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B56E9C" w:rsidRPr="00FD4196" w14:paraId="47F32CB4" w14:textId="77777777" w:rsidTr="0047514E">
        <w:trPr>
          <w:cantSplit/>
          <w:trHeight w:hRule="exact" w:val="568"/>
        </w:trPr>
        <w:tc>
          <w:tcPr>
            <w:tcW w:w="1276" w:type="dxa"/>
            <w:tcBorders>
              <w:bottom w:val="single" w:sz="4" w:space="0" w:color="auto"/>
            </w:tcBorders>
            <w:vAlign w:val="bottom"/>
          </w:tcPr>
          <w:p w14:paraId="47F32CB1" w14:textId="77777777" w:rsidR="00B56E9C" w:rsidRPr="00FD4196" w:rsidRDefault="00B56E9C" w:rsidP="00D9503E">
            <w:pPr>
              <w:spacing w:after="80"/>
            </w:pPr>
          </w:p>
        </w:tc>
        <w:tc>
          <w:tcPr>
            <w:tcW w:w="2268" w:type="dxa"/>
            <w:tcBorders>
              <w:bottom w:val="single" w:sz="4" w:space="0" w:color="auto"/>
            </w:tcBorders>
            <w:vAlign w:val="bottom"/>
          </w:tcPr>
          <w:p w14:paraId="47F32CB2" w14:textId="77777777" w:rsidR="00B56E9C" w:rsidRPr="00FD4196" w:rsidRDefault="00B56E9C" w:rsidP="00D9503E">
            <w:pPr>
              <w:spacing w:after="80" w:line="300" w:lineRule="exact"/>
              <w:rPr>
                <w:b/>
                <w:sz w:val="24"/>
                <w:szCs w:val="24"/>
              </w:rPr>
            </w:pPr>
            <w:r w:rsidRPr="00FD4196">
              <w:rPr>
                <w:sz w:val="28"/>
                <w:szCs w:val="28"/>
              </w:rPr>
              <w:t>United Nations</w:t>
            </w:r>
          </w:p>
        </w:tc>
        <w:tc>
          <w:tcPr>
            <w:tcW w:w="6095" w:type="dxa"/>
            <w:gridSpan w:val="2"/>
            <w:tcBorders>
              <w:bottom w:val="single" w:sz="4" w:space="0" w:color="auto"/>
            </w:tcBorders>
            <w:vAlign w:val="bottom"/>
          </w:tcPr>
          <w:p w14:paraId="47F32CB3" w14:textId="03D32F98" w:rsidR="00B56E9C" w:rsidRPr="00FD4196" w:rsidRDefault="00C35658" w:rsidP="006368FE">
            <w:pPr>
              <w:jc w:val="right"/>
            </w:pPr>
            <w:r w:rsidRPr="00C35658">
              <w:rPr>
                <w:sz w:val="40"/>
              </w:rPr>
              <w:t>ECE</w:t>
            </w:r>
            <w:r>
              <w:t>/TRANS/WP.29/GRPE/2021/6</w:t>
            </w:r>
          </w:p>
        </w:tc>
      </w:tr>
      <w:tr w:rsidR="00B56E9C" w:rsidRPr="00FD4196" w14:paraId="47F32CBB" w14:textId="77777777" w:rsidTr="007F131E">
        <w:trPr>
          <w:cantSplit/>
          <w:trHeight w:hRule="exact" w:val="2422"/>
        </w:trPr>
        <w:tc>
          <w:tcPr>
            <w:tcW w:w="1276" w:type="dxa"/>
            <w:tcBorders>
              <w:top w:val="single" w:sz="4" w:space="0" w:color="auto"/>
              <w:bottom w:val="single" w:sz="12" w:space="0" w:color="auto"/>
            </w:tcBorders>
          </w:tcPr>
          <w:p w14:paraId="47F32CB5" w14:textId="77777777" w:rsidR="00B56E9C" w:rsidRPr="00FD4196" w:rsidRDefault="00A55C3D" w:rsidP="00D9503E">
            <w:pPr>
              <w:spacing w:before="120"/>
            </w:pPr>
            <w:r>
              <w:rPr>
                <w:noProof/>
                <w:lang w:eastAsia="en-GB"/>
              </w:rPr>
              <w:drawing>
                <wp:inline distT="0" distB="0" distL="0" distR="0" wp14:anchorId="47F32D1F" wp14:editId="47F32D20">
                  <wp:extent cx="716280" cy="594360"/>
                  <wp:effectExtent l="0" t="0" r="7620"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6280" cy="59436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47F32CB6" w14:textId="77777777" w:rsidR="00B56E9C" w:rsidRPr="00DB2094" w:rsidRDefault="00D773DF" w:rsidP="00D9503E">
            <w:pPr>
              <w:spacing w:before="120" w:line="420" w:lineRule="exact"/>
              <w:rPr>
                <w:sz w:val="40"/>
                <w:szCs w:val="40"/>
              </w:rPr>
            </w:pPr>
            <w:r w:rsidRPr="00DB2094">
              <w:rPr>
                <w:b/>
                <w:sz w:val="40"/>
                <w:szCs w:val="40"/>
              </w:rPr>
              <w:t>Economic and Social Council</w:t>
            </w:r>
          </w:p>
        </w:tc>
        <w:tc>
          <w:tcPr>
            <w:tcW w:w="2835" w:type="dxa"/>
            <w:tcBorders>
              <w:top w:val="single" w:sz="4" w:space="0" w:color="auto"/>
              <w:bottom w:val="single" w:sz="12" w:space="0" w:color="auto"/>
            </w:tcBorders>
          </w:tcPr>
          <w:p w14:paraId="47F32CB7" w14:textId="77777777" w:rsidR="006368FE" w:rsidRPr="00776AE7" w:rsidRDefault="006368FE" w:rsidP="006368FE">
            <w:pPr>
              <w:spacing w:before="240" w:line="240" w:lineRule="exact"/>
              <w:rPr>
                <w:rFonts w:eastAsia="MS Mincho"/>
              </w:rPr>
            </w:pPr>
            <w:r w:rsidRPr="00776AE7">
              <w:rPr>
                <w:rFonts w:eastAsia="MS Mincho"/>
              </w:rPr>
              <w:t>Distr.: General</w:t>
            </w:r>
          </w:p>
          <w:p w14:paraId="47F32CB8" w14:textId="77F00119" w:rsidR="006368FE" w:rsidRPr="00776AE7" w:rsidRDefault="000E3905" w:rsidP="006368FE">
            <w:pPr>
              <w:spacing w:line="240" w:lineRule="exact"/>
              <w:rPr>
                <w:rFonts w:eastAsia="MS Mincho"/>
                <w:lang w:eastAsia="ja-JP"/>
              </w:rPr>
            </w:pPr>
            <w:r>
              <w:rPr>
                <w:rFonts w:eastAsia="MS Mincho"/>
                <w:lang w:eastAsia="ja-JP"/>
              </w:rPr>
              <w:t>3</w:t>
            </w:r>
            <w:r w:rsidR="00EF39C5">
              <w:rPr>
                <w:rFonts w:eastAsia="MS Mincho"/>
                <w:lang w:eastAsia="ja-JP"/>
              </w:rPr>
              <w:t xml:space="preserve"> Novem</w:t>
            </w:r>
            <w:r w:rsidR="006368FE" w:rsidRPr="00776AE7">
              <w:rPr>
                <w:rFonts w:eastAsia="MS Mincho"/>
              </w:rPr>
              <w:t>ber 20</w:t>
            </w:r>
            <w:r w:rsidR="00F059D1">
              <w:rPr>
                <w:rFonts w:eastAsia="MS Mincho"/>
              </w:rPr>
              <w:t>20</w:t>
            </w:r>
          </w:p>
          <w:p w14:paraId="47F32CB9" w14:textId="77777777" w:rsidR="006368FE" w:rsidRPr="00776AE7" w:rsidRDefault="006368FE" w:rsidP="006368FE">
            <w:pPr>
              <w:spacing w:line="240" w:lineRule="exact"/>
              <w:rPr>
                <w:rFonts w:eastAsia="MS Mincho"/>
              </w:rPr>
            </w:pPr>
          </w:p>
          <w:p w14:paraId="47F32CBA" w14:textId="77777777" w:rsidR="0090004D" w:rsidRPr="00DB2094" w:rsidRDefault="006368FE" w:rsidP="006368FE">
            <w:pPr>
              <w:spacing w:line="240" w:lineRule="exact"/>
            </w:pPr>
            <w:r w:rsidRPr="00776AE7">
              <w:rPr>
                <w:rFonts w:eastAsia="MS Mincho"/>
              </w:rPr>
              <w:t>Original: English</w:t>
            </w:r>
          </w:p>
        </w:tc>
      </w:tr>
    </w:tbl>
    <w:p w14:paraId="47F32CBC" w14:textId="77777777" w:rsidR="006368FE" w:rsidRPr="00776AE7" w:rsidRDefault="006368FE" w:rsidP="006368FE">
      <w:pPr>
        <w:tabs>
          <w:tab w:val="left" w:pos="567"/>
          <w:tab w:val="left" w:pos="1134"/>
        </w:tabs>
        <w:spacing w:before="120"/>
        <w:rPr>
          <w:rFonts w:eastAsia="MS Mincho"/>
          <w:sz w:val="22"/>
          <w:szCs w:val="22"/>
        </w:rPr>
      </w:pPr>
      <w:r w:rsidRPr="00776AE7">
        <w:rPr>
          <w:rFonts w:eastAsia="MS Mincho"/>
          <w:b/>
          <w:sz w:val="28"/>
          <w:szCs w:val="28"/>
        </w:rPr>
        <w:t>Economic</w:t>
      </w:r>
      <w:r w:rsidRPr="00776AE7">
        <w:rPr>
          <w:rFonts w:eastAsia="MS Mincho"/>
          <w:b/>
          <w:bCs/>
          <w:sz w:val="28"/>
          <w:szCs w:val="28"/>
        </w:rPr>
        <w:t xml:space="preserve"> Commission for Europe </w:t>
      </w:r>
    </w:p>
    <w:p w14:paraId="47F32CBD" w14:textId="77777777" w:rsidR="006368FE" w:rsidRPr="00776AE7" w:rsidRDefault="006368FE" w:rsidP="006368FE">
      <w:pPr>
        <w:tabs>
          <w:tab w:val="left" w:pos="567"/>
          <w:tab w:val="left" w:pos="1134"/>
        </w:tabs>
        <w:spacing w:before="120"/>
        <w:rPr>
          <w:rFonts w:eastAsia="MS Mincho"/>
          <w:sz w:val="22"/>
          <w:szCs w:val="22"/>
        </w:rPr>
      </w:pPr>
      <w:r w:rsidRPr="00776AE7">
        <w:rPr>
          <w:rFonts w:eastAsia="MS Mincho"/>
          <w:sz w:val="28"/>
          <w:szCs w:val="28"/>
        </w:rPr>
        <w:t xml:space="preserve">Inland Transport Committee </w:t>
      </w:r>
    </w:p>
    <w:p w14:paraId="47F32CBE" w14:textId="77777777" w:rsidR="006368FE" w:rsidRPr="00776AE7" w:rsidRDefault="006368FE" w:rsidP="006368FE">
      <w:pPr>
        <w:tabs>
          <w:tab w:val="left" w:pos="567"/>
          <w:tab w:val="left" w:pos="1134"/>
        </w:tabs>
        <w:spacing w:before="120"/>
        <w:rPr>
          <w:rFonts w:eastAsia="MS Mincho"/>
          <w:sz w:val="22"/>
          <w:szCs w:val="22"/>
        </w:rPr>
      </w:pPr>
      <w:r w:rsidRPr="00776AE7">
        <w:rPr>
          <w:rFonts w:eastAsia="MS Mincho"/>
          <w:b/>
          <w:bCs/>
          <w:sz w:val="24"/>
          <w:szCs w:val="24"/>
        </w:rPr>
        <w:t>World Forum for Harmo</w:t>
      </w:r>
      <w:r w:rsidR="003119FC">
        <w:rPr>
          <w:rFonts w:eastAsia="MS Mincho"/>
          <w:b/>
          <w:bCs/>
          <w:sz w:val="24"/>
          <w:szCs w:val="24"/>
        </w:rPr>
        <w:t>nization of Vehicle Regulations</w:t>
      </w:r>
    </w:p>
    <w:p w14:paraId="47F32CBF" w14:textId="77777777" w:rsidR="006368FE" w:rsidRPr="00776AE7" w:rsidRDefault="006368FE" w:rsidP="006368FE">
      <w:pPr>
        <w:tabs>
          <w:tab w:val="left" w:pos="567"/>
          <w:tab w:val="left" w:pos="1134"/>
        </w:tabs>
        <w:spacing w:before="120" w:after="120"/>
        <w:rPr>
          <w:rFonts w:eastAsia="MS Mincho"/>
          <w:b/>
          <w:bCs/>
        </w:rPr>
      </w:pPr>
      <w:r w:rsidRPr="00776AE7">
        <w:rPr>
          <w:rFonts w:eastAsia="MS Mincho"/>
          <w:b/>
          <w:bCs/>
        </w:rPr>
        <w:t>Working Party on Pollution and Energy</w:t>
      </w:r>
    </w:p>
    <w:p w14:paraId="47F32CC0" w14:textId="600C6120" w:rsidR="006368FE" w:rsidRPr="00776AE7" w:rsidRDefault="00DF55BE" w:rsidP="006368FE">
      <w:pPr>
        <w:rPr>
          <w:rFonts w:eastAsia="MS Mincho"/>
          <w:b/>
        </w:rPr>
      </w:pPr>
      <w:r>
        <w:rPr>
          <w:rFonts w:eastAsia="MS Mincho"/>
          <w:b/>
        </w:rPr>
        <w:t>Eight</w:t>
      </w:r>
      <w:r w:rsidR="006368FE" w:rsidRPr="00776AE7">
        <w:rPr>
          <w:rFonts w:eastAsia="MS Mincho"/>
          <w:b/>
        </w:rPr>
        <w:t>y-s</w:t>
      </w:r>
      <w:r>
        <w:rPr>
          <w:rFonts w:eastAsia="MS Mincho"/>
          <w:b/>
        </w:rPr>
        <w:t>econd</w:t>
      </w:r>
      <w:r w:rsidR="006368FE" w:rsidRPr="00776AE7">
        <w:rPr>
          <w:rFonts w:eastAsia="MS Mincho"/>
          <w:b/>
        </w:rPr>
        <w:t xml:space="preserve"> session</w:t>
      </w:r>
    </w:p>
    <w:p w14:paraId="47F32CC1" w14:textId="62B6300A" w:rsidR="006368FE" w:rsidRDefault="006368FE" w:rsidP="006368FE">
      <w:r w:rsidRPr="00776AE7">
        <w:rPr>
          <w:rFonts w:eastAsia="MS Mincho"/>
        </w:rPr>
        <w:t>Geneva</w:t>
      </w:r>
      <w:r w:rsidRPr="00776AE7">
        <w:rPr>
          <w:rFonts w:eastAsia="MS Mincho"/>
          <w:bCs/>
        </w:rPr>
        <w:t xml:space="preserve">, </w:t>
      </w:r>
      <w:r w:rsidR="003C746A">
        <w:rPr>
          <w:rFonts w:eastAsia="MS Mincho"/>
          <w:bCs/>
        </w:rPr>
        <w:t>12</w:t>
      </w:r>
      <w:r w:rsidRPr="00776AE7">
        <w:rPr>
          <w:rFonts w:eastAsia="MS Mincho"/>
          <w:bCs/>
        </w:rPr>
        <w:t>-</w:t>
      </w:r>
      <w:r w:rsidR="003C746A">
        <w:rPr>
          <w:rFonts w:eastAsia="MS Mincho"/>
          <w:bCs/>
        </w:rPr>
        <w:t>15</w:t>
      </w:r>
      <w:r w:rsidRPr="00776AE7">
        <w:rPr>
          <w:rFonts w:eastAsia="MS Mincho"/>
          <w:bCs/>
        </w:rPr>
        <w:t xml:space="preserve"> January 20</w:t>
      </w:r>
      <w:r w:rsidR="00DF55BE">
        <w:rPr>
          <w:rFonts w:eastAsia="MS Mincho"/>
          <w:bCs/>
        </w:rPr>
        <w:t>2</w:t>
      </w:r>
      <w:r w:rsidR="00486617">
        <w:rPr>
          <w:rFonts w:eastAsia="MS Mincho"/>
          <w:bCs/>
        </w:rPr>
        <w:t>1</w:t>
      </w:r>
    </w:p>
    <w:p w14:paraId="47F32CC2" w14:textId="77777777" w:rsidR="006368FE" w:rsidRDefault="006368FE" w:rsidP="006368FE">
      <w:pPr>
        <w:tabs>
          <w:tab w:val="left" w:pos="567"/>
          <w:tab w:val="left" w:pos="1134"/>
        </w:tabs>
        <w:rPr>
          <w:bCs/>
        </w:rPr>
      </w:pPr>
      <w:r>
        <w:rPr>
          <w:bCs/>
        </w:rPr>
        <w:t>Item 4(a) of the provisional agenda</w:t>
      </w:r>
    </w:p>
    <w:p w14:paraId="47F32CC3" w14:textId="0492A084" w:rsidR="006368FE" w:rsidRPr="00DA63CE" w:rsidRDefault="006368FE" w:rsidP="006368FE">
      <w:pPr>
        <w:tabs>
          <w:tab w:val="left" w:pos="567"/>
          <w:tab w:val="left" w:pos="1134"/>
        </w:tabs>
        <w:rPr>
          <w:b/>
          <w:bCs/>
        </w:rPr>
      </w:pPr>
      <w:r>
        <w:rPr>
          <w:b/>
        </w:rPr>
        <w:t>Heavy duty vehicles</w:t>
      </w:r>
      <w:r w:rsidR="000E060F">
        <w:rPr>
          <w:b/>
        </w:rPr>
        <w:t>:</w:t>
      </w:r>
      <w:r>
        <w:rPr>
          <w:b/>
        </w:rPr>
        <w:t xml:space="preserve"> </w:t>
      </w:r>
      <w:r w:rsidR="00E72AD4">
        <w:rPr>
          <w:b/>
        </w:rPr>
        <w:t xml:space="preserve">UN </w:t>
      </w:r>
      <w:r>
        <w:rPr>
          <w:b/>
        </w:rPr>
        <w:t xml:space="preserve">Regulations Nos. 49 </w:t>
      </w:r>
      <w:r>
        <w:rPr>
          <w:b/>
        </w:rPr>
        <w:br/>
        <w:t xml:space="preserve">(Emissions of compression ignition and positive </w:t>
      </w:r>
      <w:r>
        <w:rPr>
          <w:b/>
        </w:rPr>
        <w:br/>
        <w:t xml:space="preserve">ignition (LPG and CNG) engines) and 132 </w:t>
      </w:r>
      <w:r>
        <w:rPr>
          <w:b/>
        </w:rPr>
        <w:br/>
        <w:t>(Retrofit Emissions Control devices (REC)</w:t>
      </w:r>
      <w:r>
        <w:rPr>
          <w:b/>
          <w:lang w:val="en-US"/>
        </w:rPr>
        <w:t>)</w:t>
      </w:r>
    </w:p>
    <w:p w14:paraId="47F32CC4" w14:textId="38DD73A7" w:rsidR="00450B28" w:rsidRPr="00FD4196" w:rsidRDefault="00450B28" w:rsidP="00D074BE">
      <w:pPr>
        <w:pStyle w:val="HChG"/>
      </w:pPr>
      <w:r w:rsidRPr="00FD4196">
        <w:tab/>
      </w:r>
      <w:r w:rsidRPr="00FD4196">
        <w:tab/>
      </w:r>
      <w:r w:rsidR="00DA63CE">
        <w:t xml:space="preserve">Proposal </w:t>
      </w:r>
      <w:r w:rsidR="00F332B0">
        <w:t xml:space="preserve">for a new </w:t>
      </w:r>
      <w:r w:rsidR="00AA422E">
        <w:t>series</w:t>
      </w:r>
      <w:r w:rsidR="00DA63CE">
        <w:t xml:space="preserve"> of amendments to </w:t>
      </w:r>
      <w:r w:rsidR="00E72AD4">
        <w:t xml:space="preserve">UN </w:t>
      </w:r>
      <w:r w:rsidR="00DA63CE">
        <w:t>Regulation No. 49 (</w:t>
      </w:r>
      <w:r w:rsidR="00D074BE">
        <w:t>Emissions of compression ignition and positive ignition (LPG and CNG) engines</w:t>
      </w:r>
      <w:r w:rsidR="00DA63CE">
        <w:t>)</w:t>
      </w:r>
    </w:p>
    <w:p w14:paraId="47F32CC5" w14:textId="6FC7BA3A" w:rsidR="00450B28" w:rsidRPr="007E5C8F" w:rsidRDefault="00C97374" w:rsidP="00450B28">
      <w:pPr>
        <w:pStyle w:val="H1G"/>
        <w:rPr>
          <w:lang w:val="en-GB"/>
        </w:rPr>
      </w:pPr>
      <w:r w:rsidRPr="00FD4196">
        <w:tab/>
      </w:r>
      <w:r w:rsidRPr="00FD4196">
        <w:tab/>
        <w:t xml:space="preserve">Submitted by </w:t>
      </w:r>
      <w:r w:rsidR="00586A6E" w:rsidRPr="00FD4196">
        <w:t>the</w:t>
      </w:r>
      <w:r w:rsidR="0086079A" w:rsidRPr="00DD2DA8">
        <w:t xml:space="preserve"> </w:t>
      </w:r>
      <w:r w:rsidR="0094468E">
        <w:rPr>
          <w:lang w:val="en-US"/>
        </w:rPr>
        <w:t>European Commission</w:t>
      </w:r>
      <w:r w:rsidR="00735EE3" w:rsidRPr="007E5C8F">
        <w:rPr>
          <w:rStyle w:val="H1GChar"/>
          <w:lang w:val="en-GB"/>
        </w:rPr>
        <w:footnoteReference w:customMarkFollows="1" w:id="2"/>
        <w:t>*</w:t>
      </w:r>
    </w:p>
    <w:p w14:paraId="47F32CC6" w14:textId="152009FD" w:rsidR="009C3E09" w:rsidRDefault="009C3E09" w:rsidP="002C7499">
      <w:pPr>
        <w:pStyle w:val="SingleTxtG"/>
      </w:pPr>
      <w:r w:rsidRPr="0057157B">
        <w:t xml:space="preserve">The text </w:t>
      </w:r>
      <w:r w:rsidR="006242C0" w:rsidRPr="0057157B">
        <w:t xml:space="preserve">reproduced below was prepared by the expert from </w:t>
      </w:r>
      <w:r w:rsidR="003A3A5E" w:rsidRPr="0057157B">
        <w:t xml:space="preserve">the </w:t>
      </w:r>
      <w:r w:rsidR="00201AF0" w:rsidRPr="0057157B">
        <w:t>European Commission</w:t>
      </w:r>
      <w:r w:rsidR="0057157B" w:rsidRPr="0057157B">
        <w:t xml:space="preserve"> to introduce </w:t>
      </w:r>
      <w:r w:rsidR="00C17A24">
        <w:t xml:space="preserve">new </w:t>
      </w:r>
      <w:r w:rsidR="0057157B" w:rsidRPr="0057157B">
        <w:t>requirements relating to</w:t>
      </w:r>
      <w:r w:rsidR="0057157B">
        <w:t xml:space="preserve"> Auxiliary Emission Strategies,</w:t>
      </w:r>
      <w:r w:rsidR="0057157B" w:rsidRPr="0057157B">
        <w:t xml:space="preserve"> cold engine starts </w:t>
      </w:r>
      <w:r w:rsidR="0057157B">
        <w:t xml:space="preserve">and </w:t>
      </w:r>
      <w:r w:rsidR="004E4CFF">
        <w:t>the use of Portable Emission</w:t>
      </w:r>
      <w:r w:rsidR="00F02CD4">
        <w:t>s</w:t>
      </w:r>
      <w:r w:rsidR="004E4CFF">
        <w:t xml:space="preserve"> M</w:t>
      </w:r>
      <w:r w:rsidR="0057157B" w:rsidRPr="0057157B">
        <w:t xml:space="preserve">easurement </w:t>
      </w:r>
      <w:r w:rsidR="004E4CFF">
        <w:t>Systems (PEMS) to measure</w:t>
      </w:r>
      <w:r w:rsidR="0057157B" w:rsidRPr="0057157B">
        <w:t xml:space="preserve"> </w:t>
      </w:r>
      <w:r w:rsidR="003478AD">
        <w:t>particle</w:t>
      </w:r>
      <w:r w:rsidR="0057157B" w:rsidRPr="0057157B">
        <w:t xml:space="preserve"> number</w:t>
      </w:r>
      <w:r w:rsidR="003478AD">
        <w:t>s</w:t>
      </w:r>
      <w:r w:rsidR="006242C0" w:rsidRPr="0057157B">
        <w:t xml:space="preserve">. </w:t>
      </w:r>
      <w:r w:rsidR="00D332C6">
        <w:t>A new series of amendments is required because</w:t>
      </w:r>
      <w:r w:rsidR="00871566">
        <w:t xml:space="preserve"> this proposed amendment introduces a new conformity factor for particle </w:t>
      </w:r>
      <w:r w:rsidR="00D332C6">
        <w:t xml:space="preserve">matter </w:t>
      </w:r>
      <w:r w:rsidR="00871566">
        <w:t>number</w:t>
      </w:r>
      <w:r w:rsidR="00F332B0" w:rsidRPr="0057157B">
        <w:t>.</w:t>
      </w:r>
      <w:r w:rsidR="006242C0" w:rsidRPr="0057157B">
        <w:t xml:space="preserve"> </w:t>
      </w:r>
      <w:r w:rsidR="00AC28F1" w:rsidRPr="00AC28F1">
        <w:t>The modifications to the current text of the Regulation are marked in bold for new or strikethrough for deleted characters</w:t>
      </w:r>
      <w:r w:rsidR="002F00CE" w:rsidRPr="0057157B">
        <w:rPr>
          <w:szCs w:val="23"/>
        </w:rPr>
        <w:t>.</w:t>
      </w:r>
    </w:p>
    <w:p w14:paraId="198785DA" w14:textId="77777777" w:rsidR="00BC13F4" w:rsidRDefault="00BC13F4">
      <w:pPr>
        <w:suppressAutoHyphens w:val="0"/>
        <w:spacing w:line="240" w:lineRule="auto"/>
        <w:rPr>
          <w:b/>
          <w:sz w:val="28"/>
        </w:rPr>
      </w:pPr>
      <w:r>
        <w:br w:type="page"/>
      </w:r>
    </w:p>
    <w:p w14:paraId="47F32CC7" w14:textId="3335298B" w:rsidR="003E02FC" w:rsidRDefault="003E02FC" w:rsidP="00890FB0">
      <w:pPr>
        <w:pStyle w:val="HChG"/>
        <w:tabs>
          <w:tab w:val="clear" w:pos="851"/>
        </w:tabs>
        <w:ind w:left="0"/>
      </w:pPr>
      <w:r>
        <w:lastRenderedPageBreak/>
        <w:tab/>
      </w:r>
      <w:r>
        <w:tab/>
      </w:r>
      <w:r w:rsidRPr="00FD4196">
        <w:t>I.</w:t>
      </w:r>
      <w:r w:rsidRPr="00FD4196">
        <w:tab/>
      </w:r>
      <w:r w:rsidR="007903E8">
        <w:t>Proposal</w:t>
      </w:r>
    </w:p>
    <w:p w14:paraId="35E33CAF" w14:textId="4BDFEDF0" w:rsidR="00C12C6E" w:rsidRDefault="00C12C6E" w:rsidP="00AE3C95">
      <w:pPr>
        <w:pStyle w:val="SingleTxtG"/>
        <w:keepNext/>
        <w:rPr>
          <w:i/>
          <w:iCs/>
          <w:lang w:val="en-US"/>
        </w:rPr>
      </w:pPr>
      <w:r>
        <w:rPr>
          <w:i/>
          <w:iCs/>
          <w:lang w:val="en-US"/>
        </w:rPr>
        <w:t>Amend paragraph</w:t>
      </w:r>
      <w:r w:rsidR="00AE3C95">
        <w:rPr>
          <w:i/>
          <w:iCs/>
          <w:lang w:val="en-US"/>
        </w:rPr>
        <w:t xml:space="preserve"> 1.2.,</w:t>
      </w:r>
      <w:r w:rsidR="00AE3C95" w:rsidRPr="00AE3C95">
        <w:rPr>
          <w:lang w:val="en-US"/>
        </w:rPr>
        <w:t xml:space="preserve"> to read:</w:t>
      </w:r>
    </w:p>
    <w:p w14:paraId="1CBDD02F" w14:textId="26E72249" w:rsidR="00AE3C95" w:rsidRPr="00A3790A" w:rsidRDefault="00F02CD4" w:rsidP="00AE3C95">
      <w:pPr>
        <w:pStyle w:val="para"/>
        <w:keepNext/>
        <w:spacing w:before="120"/>
        <w:rPr>
          <w:u w:val="single"/>
          <w:lang w:val="en-GB"/>
        </w:rPr>
      </w:pPr>
      <w:r w:rsidRPr="00C17A24">
        <w:rPr>
          <w:lang w:val="en-GB"/>
        </w:rPr>
        <w:t>"</w:t>
      </w:r>
      <w:r w:rsidR="00AE3C95" w:rsidRPr="00A3790A">
        <w:rPr>
          <w:lang w:val="en-GB"/>
        </w:rPr>
        <w:t>1.2.</w:t>
      </w:r>
      <w:r w:rsidR="00AE3C95" w:rsidRPr="00A3790A">
        <w:rPr>
          <w:lang w:val="en-GB"/>
        </w:rPr>
        <w:tab/>
        <w:t>Equivalent approvals</w:t>
      </w:r>
    </w:p>
    <w:p w14:paraId="22B534F8" w14:textId="072E2876" w:rsidR="00AE3C95" w:rsidRDefault="00AE3C95" w:rsidP="00AE3C95">
      <w:pPr>
        <w:pStyle w:val="para"/>
        <w:rPr>
          <w:i/>
          <w:iCs/>
          <w:lang w:val="en-US"/>
        </w:rPr>
      </w:pPr>
      <w:r w:rsidRPr="00A3790A">
        <w:rPr>
          <w:lang w:val="en-GB"/>
        </w:rPr>
        <w:tab/>
        <w:t xml:space="preserve">The following do not need to be approved according to this Regulation: engines mounted in vehicles of up to 2,840 kg reference mass to which an approval to Regulation No. 83 </w:t>
      </w:r>
      <w:r w:rsidRPr="00F46004">
        <w:rPr>
          <w:b/>
          <w:bCs/>
          <w:lang w:val="en-GB"/>
        </w:rPr>
        <w:t xml:space="preserve">or Regulation No. </w:t>
      </w:r>
      <w:r w:rsidR="008262AB" w:rsidRPr="00F46004">
        <w:rPr>
          <w:b/>
          <w:bCs/>
          <w:lang w:val="en-GB"/>
        </w:rPr>
        <w:t>[</w:t>
      </w:r>
      <w:r w:rsidRPr="00F46004">
        <w:rPr>
          <w:b/>
          <w:bCs/>
          <w:lang w:val="en-GB"/>
        </w:rPr>
        <w:t>154</w:t>
      </w:r>
      <w:r w:rsidR="008262AB" w:rsidRPr="00F46004">
        <w:rPr>
          <w:b/>
          <w:bCs/>
          <w:lang w:val="en-GB"/>
        </w:rPr>
        <w:t>]</w:t>
      </w:r>
      <w:r>
        <w:rPr>
          <w:lang w:val="en-GB"/>
        </w:rPr>
        <w:t xml:space="preserve"> </w:t>
      </w:r>
      <w:r w:rsidRPr="00A3790A">
        <w:rPr>
          <w:lang w:val="en-GB"/>
        </w:rPr>
        <w:t>has been granted as an extension.</w:t>
      </w:r>
      <w:r w:rsidR="00F02CD4" w:rsidRPr="00C17A24">
        <w:rPr>
          <w:lang w:val="en-GB"/>
        </w:rPr>
        <w:t xml:space="preserve"> "</w:t>
      </w:r>
    </w:p>
    <w:p w14:paraId="539433DC" w14:textId="2D266AFD" w:rsidR="0075713B" w:rsidRPr="00A10A2D" w:rsidRDefault="00FA048C" w:rsidP="00462F69">
      <w:pPr>
        <w:pStyle w:val="SingleTxtG"/>
        <w:rPr>
          <w:lang w:val="en-US"/>
        </w:rPr>
      </w:pPr>
      <w:r w:rsidRPr="003046AF">
        <w:rPr>
          <w:i/>
          <w:iCs/>
          <w:lang w:val="en-US"/>
        </w:rPr>
        <w:t>Insert a new p</w:t>
      </w:r>
      <w:r w:rsidR="0075713B" w:rsidRPr="003046AF">
        <w:rPr>
          <w:i/>
          <w:iCs/>
          <w:lang w:val="en-US"/>
        </w:rPr>
        <w:t xml:space="preserve">aragraph </w:t>
      </w:r>
      <w:r w:rsidR="003109CF" w:rsidRPr="003046AF">
        <w:rPr>
          <w:i/>
          <w:iCs/>
          <w:lang w:val="en-US"/>
        </w:rPr>
        <w:t>2.46.1.</w:t>
      </w:r>
      <w:r w:rsidR="003046AF" w:rsidRPr="003046AF">
        <w:rPr>
          <w:i/>
          <w:iCs/>
          <w:lang w:val="en-US"/>
        </w:rPr>
        <w:t>,</w:t>
      </w:r>
      <w:r w:rsidR="003109CF" w:rsidRPr="00A10A2D">
        <w:rPr>
          <w:lang w:val="en-US"/>
        </w:rPr>
        <w:t xml:space="preserve"> </w:t>
      </w:r>
      <w:r w:rsidR="00E71FC9">
        <w:rPr>
          <w:iCs/>
          <w:lang w:val="en-US"/>
        </w:rPr>
        <w:t>to read</w:t>
      </w:r>
      <w:r w:rsidR="0075713B" w:rsidRPr="00A10A2D">
        <w:rPr>
          <w:lang w:val="en-US"/>
        </w:rPr>
        <w:t>:</w:t>
      </w:r>
    </w:p>
    <w:p w14:paraId="483AB131" w14:textId="4698EB05" w:rsidR="0075713B" w:rsidRPr="002C7499" w:rsidRDefault="0075713B" w:rsidP="0083414D">
      <w:pPr>
        <w:pStyle w:val="SingleTxtG"/>
        <w:ind w:left="2268" w:hanging="1134"/>
      </w:pPr>
      <w:r w:rsidRPr="002C7499">
        <w:t>"</w:t>
      </w:r>
      <w:r w:rsidR="0083414D" w:rsidRPr="00F46004">
        <w:rPr>
          <w:b/>
          <w:bCs/>
        </w:rPr>
        <w:t>2.46.1.</w:t>
      </w:r>
      <w:r w:rsidR="0083414D" w:rsidRPr="00F46004">
        <w:rPr>
          <w:b/>
          <w:bCs/>
        </w:rPr>
        <w:tab/>
        <w:t>"Particulate Matter number" (PM number) means the total number of solid particles emitted from the exhaust quantified according to the dilution, sampling and measurement methods as specified in Annex 4.</w:t>
      </w:r>
      <w:r w:rsidRPr="002C7499">
        <w:t>"</w:t>
      </w:r>
    </w:p>
    <w:p w14:paraId="42FCF7B6" w14:textId="632F4C6A" w:rsidR="00F26ACA" w:rsidRPr="002C7499" w:rsidRDefault="00F26ACA" w:rsidP="00462F69">
      <w:pPr>
        <w:pStyle w:val="SingleTxtG"/>
        <w:rPr>
          <w:lang w:val="en-US"/>
        </w:rPr>
      </w:pPr>
      <w:r w:rsidRPr="002C7499">
        <w:rPr>
          <w:i/>
          <w:iCs/>
          <w:lang w:val="en-US"/>
        </w:rPr>
        <w:t>Paragraph 3.</w:t>
      </w:r>
      <w:r w:rsidR="009866AF" w:rsidRPr="002C7499">
        <w:rPr>
          <w:i/>
          <w:iCs/>
          <w:lang w:val="en-US"/>
        </w:rPr>
        <w:t>1</w:t>
      </w:r>
      <w:r w:rsidRPr="002C7499">
        <w:rPr>
          <w:i/>
          <w:iCs/>
          <w:lang w:val="en-US"/>
        </w:rPr>
        <w:t>.</w:t>
      </w:r>
      <w:r w:rsidR="009866AF" w:rsidRPr="002C7499">
        <w:rPr>
          <w:i/>
          <w:iCs/>
          <w:lang w:val="en-US"/>
        </w:rPr>
        <w:t>3</w:t>
      </w:r>
      <w:r w:rsidRPr="002C7499">
        <w:rPr>
          <w:i/>
          <w:iCs/>
          <w:lang w:val="en-US"/>
        </w:rPr>
        <w:t>.</w:t>
      </w:r>
      <w:r w:rsidRPr="002C7499">
        <w:rPr>
          <w:lang w:val="en-US"/>
        </w:rPr>
        <w:t>, amend to read:</w:t>
      </w:r>
    </w:p>
    <w:p w14:paraId="6CDCD55C" w14:textId="16B14052" w:rsidR="00673283" w:rsidRPr="00F46004" w:rsidRDefault="00F26ACA" w:rsidP="0047260C">
      <w:pPr>
        <w:pStyle w:val="SingleTxtG"/>
        <w:ind w:left="2268" w:hanging="1134"/>
        <w:rPr>
          <w:strike/>
        </w:rPr>
      </w:pPr>
      <w:r w:rsidRPr="002C7499">
        <w:t>"</w:t>
      </w:r>
      <w:r w:rsidR="00673283" w:rsidRPr="002C7499">
        <w:t>3.1.3.</w:t>
      </w:r>
      <w:r w:rsidR="00673283" w:rsidRPr="002C7499">
        <w:tab/>
        <w:t>Together with the application, the manufacturer shall provide a documentation package that fully</w:t>
      </w:r>
      <w:r w:rsidR="00673283" w:rsidRPr="009C619D">
        <w:t xml:space="preserve"> explains any element of design which affects emissions, the emission control strategy of the engine system, the means by which the engine system controls the output variables which have a bearing upon emissions, whether that control is direct or indirect, </w:t>
      </w:r>
      <w:r w:rsidR="0047260C" w:rsidRPr="00F46004">
        <w:rPr>
          <w:b/>
          <w:bCs/>
        </w:rPr>
        <w:t xml:space="preserve">anti-tampering measures </w:t>
      </w:r>
      <w:r w:rsidR="00673283" w:rsidRPr="009C619D">
        <w:t xml:space="preserve">and fully explains the warning and inducement system required by paragraphs 4. and 5. of Annex 11. </w:t>
      </w:r>
      <w:r w:rsidR="00673283" w:rsidRPr="00F46004">
        <w:rPr>
          <w:strike/>
        </w:rPr>
        <w:t>The documentation package shall consist of the following parts including the information set out in paragraph 5.1.4.:</w:t>
      </w:r>
    </w:p>
    <w:p w14:paraId="6EF20B74" w14:textId="0C2FFF8D" w:rsidR="00673283" w:rsidRPr="00F46004" w:rsidRDefault="00673283" w:rsidP="0047260C">
      <w:pPr>
        <w:pStyle w:val="SingleTxtG"/>
        <w:ind w:left="2835" w:hanging="567"/>
        <w:rPr>
          <w:strike/>
        </w:rPr>
      </w:pPr>
      <w:r w:rsidRPr="00F46004">
        <w:rPr>
          <w:strike/>
        </w:rPr>
        <w:t>(a)</w:t>
      </w:r>
      <w:r w:rsidRPr="00F46004">
        <w:rPr>
          <w:strike/>
        </w:rPr>
        <w:tab/>
        <w:t>A formal documentation package that shall be retained by the Type Approval Authority. The formal documentation package may be made available to interested parties upon request;</w:t>
      </w:r>
    </w:p>
    <w:p w14:paraId="01A78C47" w14:textId="2EAE32DF" w:rsidR="0047260C" w:rsidRPr="0032769F" w:rsidRDefault="00673283" w:rsidP="0047260C">
      <w:pPr>
        <w:pStyle w:val="SingleTxtG"/>
        <w:ind w:left="2835" w:hanging="567"/>
        <w:rPr>
          <w:b/>
          <w:bCs/>
        </w:rPr>
      </w:pPr>
      <w:r w:rsidRPr="00F46004">
        <w:rPr>
          <w:strike/>
        </w:rPr>
        <w:t>(b)</w:t>
      </w:r>
      <w:r w:rsidRPr="00F46004">
        <w:rPr>
          <w:strike/>
        </w:rPr>
        <w:tab/>
        <w:t>An extended documentation package that shall remain confidential. The extended documentation package may be kept by the Type Approval Authority or be retained by the manufacturer, at the discretion of the Type Approval Authority, but shall be made available for inspection by the Type Approval Authority at the time of approval or at any time during the validity of the approval. When the documentation package is retained by the manufacturer, the Type Approval Authority shall take the necessary measures to ensure that the documentation is not being altered after approval.</w:t>
      </w:r>
    </w:p>
    <w:p w14:paraId="262B4714" w14:textId="77777777" w:rsidR="0047260C" w:rsidRPr="0032769F" w:rsidRDefault="0047260C" w:rsidP="0047260C">
      <w:pPr>
        <w:pStyle w:val="SingleTxtG"/>
        <w:ind w:left="2268"/>
        <w:rPr>
          <w:b/>
          <w:bCs/>
        </w:rPr>
      </w:pPr>
      <w:bookmarkStart w:id="0" w:name="_Hlk53558911"/>
      <w:r w:rsidRPr="0032769F">
        <w:rPr>
          <w:b/>
          <w:bCs/>
        </w:rPr>
        <w:t>The documentation package shall be identified and dated by the approval authority and kept by that authority for at least 10 years after the approval is granted.</w:t>
      </w:r>
      <w:bookmarkEnd w:id="0"/>
      <w:r w:rsidRPr="0032769F">
        <w:rPr>
          <w:b/>
          <w:bCs/>
        </w:rPr>
        <w:t xml:space="preserve"> </w:t>
      </w:r>
    </w:p>
    <w:p w14:paraId="655292DF" w14:textId="77777777" w:rsidR="0047260C" w:rsidRPr="0032769F" w:rsidRDefault="0047260C" w:rsidP="0047260C">
      <w:pPr>
        <w:pStyle w:val="SingleTxtG"/>
        <w:ind w:left="2268"/>
        <w:rPr>
          <w:b/>
          <w:bCs/>
        </w:rPr>
      </w:pPr>
      <w:r w:rsidRPr="0032769F">
        <w:rPr>
          <w:b/>
          <w:bCs/>
        </w:rPr>
        <w:t>The documentation package shall consist of the following parts:</w:t>
      </w:r>
    </w:p>
    <w:p w14:paraId="2BD94F3A" w14:textId="655A2E9F" w:rsidR="0047260C" w:rsidRPr="0032769F" w:rsidRDefault="00EF39C5" w:rsidP="00EF39C5">
      <w:pPr>
        <w:pStyle w:val="SingleTxtG"/>
        <w:numPr>
          <w:ilvl w:val="0"/>
          <w:numId w:val="42"/>
        </w:numPr>
        <w:ind w:left="2835" w:hanging="567"/>
        <w:rPr>
          <w:b/>
          <w:bCs/>
        </w:rPr>
      </w:pPr>
      <w:r>
        <w:rPr>
          <w:b/>
          <w:bCs/>
        </w:rPr>
        <w:t>T</w:t>
      </w:r>
      <w:r w:rsidR="0047260C" w:rsidRPr="0032769F">
        <w:rPr>
          <w:b/>
          <w:bCs/>
        </w:rPr>
        <w:t>he information set out in paragraph 5.1.4.</w:t>
      </w:r>
      <w:r>
        <w:rPr>
          <w:b/>
          <w:bCs/>
        </w:rPr>
        <w:t>;</w:t>
      </w:r>
    </w:p>
    <w:p w14:paraId="4AC13238" w14:textId="63EE70D9" w:rsidR="0047260C" w:rsidRPr="0032769F" w:rsidRDefault="00EF39C5" w:rsidP="00EF39C5">
      <w:pPr>
        <w:pStyle w:val="SingleTxtG"/>
        <w:numPr>
          <w:ilvl w:val="0"/>
          <w:numId w:val="42"/>
        </w:numPr>
        <w:ind w:left="2835" w:hanging="567"/>
        <w:rPr>
          <w:b/>
          <w:bCs/>
        </w:rPr>
      </w:pPr>
      <w:r>
        <w:rPr>
          <w:b/>
          <w:bCs/>
        </w:rPr>
        <w:t>A</w:t>
      </w:r>
      <w:r w:rsidR="0047260C" w:rsidRPr="0032769F">
        <w:rPr>
          <w:b/>
          <w:bCs/>
        </w:rPr>
        <w:t xml:space="preserve">n AES documentation package, as described in Annex 2D to this Regulation in order for the approval authorities to be able to assess the proper use of AES. </w:t>
      </w:r>
    </w:p>
    <w:p w14:paraId="70B0797D" w14:textId="77777777" w:rsidR="0047260C" w:rsidRPr="0032769F" w:rsidRDefault="0047260C" w:rsidP="0047260C">
      <w:pPr>
        <w:pStyle w:val="SingleTxtG"/>
        <w:ind w:left="2268"/>
        <w:rPr>
          <w:b/>
          <w:bCs/>
        </w:rPr>
      </w:pPr>
      <w:r w:rsidRPr="0032769F">
        <w:rPr>
          <w:b/>
          <w:bCs/>
        </w:rPr>
        <w:t xml:space="preserve">At the request of the manufacturer, the approval authority shall conduct a preliminary assessment of the AES for new vehicle types. In that case, the manufacturer shall provide the draft AES documentation package to the approval authority between 2 and 12 months before the start of the type-approval process. </w:t>
      </w:r>
    </w:p>
    <w:p w14:paraId="3D31A6DF" w14:textId="38C1F49F" w:rsidR="0047260C" w:rsidRPr="0032769F" w:rsidRDefault="0047260C" w:rsidP="0047260C">
      <w:pPr>
        <w:pStyle w:val="SingleTxtG"/>
        <w:ind w:left="2268"/>
        <w:rPr>
          <w:b/>
          <w:bCs/>
        </w:rPr>
      </w:pPr>
      <w:r w:rsidRPr="0032769F">
        <w:rPr>
          <w:b/>
          <w:bCs/>
        </w:rPr>
        <w:t xml:space="preserve">The approval authority shall make a preliminary assessment on the basis of the draft AES documentation package provided by the manufacturer. The approval authority shall make the preliminary assessment in accordance with the methodology described in Appendix 2 </w:t>
      </w:r>
      <w:r w:rsidR="00D864A7" w:rsidRPr="0032769F">
        <w:rPr>
          <w:b/>
          <w:bCs/>
        </w:rPr>
        <w:t>to Annex 10</w:t>
      </w:r>
      <w:r w:rsidRPr="0032769F">
        <w:rPr>
          <w:b/>
          <w:bCs/>
        </w:rPr>
        <w:t xml:space="preserve">. The approval authority may deviate from that methodology in exceptional and duly justified cases. </w:t>
      </w:r>
    </w:p>
    <w:p w14:paraId="623A5ED7" w14:textId="6A1D3B41" w:rsidR="0092351C" w:rsidRDefault="0047260C" w:rsidP="00D02A78">
      <w:pPr>
        <w:pStyle w:val="SingleTxtG"/>
        <w:ind w:left="2268"/>
      </w:pPr>
      <w:r w:rsidRPr="0032769F">
        <w:rPr>
          <w:b/>
          <w:bCs/>
        </w:rPr>
        <w:lastRenderedPageBreak/>
        <w:t>The preliminary assessment of the AES for new vehicle types shall remain valid for the purposes of type approval for a period of 18 months. That period may be extended by a further 12 months if the manufacturer provides the approval authority with proof that no new technologies have become available on the market that would change the preliminary assessment of the AES.</w:t>
      </w:r>
      <w:r w:rsidR="00BF7855" w:rsidRPr="000D1DE5">
        <w:t>"</w:t>
      </w:r>
    </w:p>
    <w:p w14:paraId="5894E4B7" w14:textId="1CCED4FB" w:rsidR="00CC63A0" w:rsidRPr="000D1DE5" w:rsidRDefault="00CC63A0" w:rsidP="00462F69">
      <w:pPr>
        <w:pStyle w:val="SingleTxtG"/>
        <w:rPr>
          <w:lang w:val="en-US"/>
        </w:rPr>
      </w:pPr>
      <w:r w:rsidRPr="000D1DE5">
        <w:rPr>
          <w:i/>
          <w:iCs/>
          <w:lang w:val="en-US"/>
        </w:rPr>
        <w:t>Paragraph 4.12.1.</w:t>
      </w:r>
      <w:r w:rsidRPr="000D1DE5">
        <w:rPr>
          <w:lang w:val="en-US"/>
        </w:rPr>
        <w:t>, amend to read:</w:t>
      </w:r>
    </w:p>
    <w:p w14:paraId="63171C91" w14:textId="110B4D81" w:rsidR="00CC63A0" w:rsidRPr="00E54547" w:rsidRDefault="00CC63A0" w:rsidP="00D93E4C">
      <w:pPr>
        <w:pStyle w:val="SingleTxtG"/>
        <w:ind w:left="2259" w:hanging="1125"/>
      </w:pPr>
      <w:r w:rsidRPr="000D1DE5">
        <w:t>"4</w:t>
      </w:r>
      <w:r w:rsidR="002D0832" w:rsidRPr="000D1DE5">
        <w:t>.12.1.</w:t>
      </w:r>
      <w:r w:rsidRPr="000D1DE5">
        <w:tab/>
      </w:r>
      <w:r w:rsidR="00743C66" w:rsidRPr="000D1DE5">
        <w:t xml:space="preserve">An approval number shall be assigned to each type approved. Its first two digits </w:t>
      </w:r>
      <w:r w:rsidR="00743C66" w:rsidRPr="0032769F">
        <w:rPr>
          <w:strike/>
        </w:rPr>
        <w:t>(at present 06, corresponding to 06 series of amendments)</w:t>
      </w:r>
      <w:r w:rsidR="00EB006E" w:rsidRPr="0032769F">
        <w:rPr>
          <w:b/>
          <w:bCs/>
        </w:rPr>
        <w:t>(at present 07, corresponding to 07 series of amendments)</w:t>
      </w:r>
      <w:r w:rsidR="00743C66" w:rsidRPr="000D1DE5">
        <w:t xml:space="preserve"> shall indicate the series of amendments incorporating the most recent major technical amendments made to the Regulation at the time of issue of the approval. The same Contracting Party shall not assign the same number to another engine type or vehicle type.</w:t>
      </w:r>
      <w:r w:rsidRPr="000D1DE5">
        <w:t>"</w:t>
      </w:r>
    </w:p>
    <w:p w14:paraId="5EFF5DB0" w14:textId="14F99BD3" w:rsidR="00E54547" w:rsidRPr="002C7499" w:rsidRDefault="00E54547" w:rsidP="003046AF">
      <w:pPr>
        <w:pStyle w:val="SingleTxtG"/>
        <w:rPr>
          <w:lang w:val="en-US"/>
        </w:rPr>
      </w:pPr>
      <w:r w:rsidRPr="002C7499">
        <w:rPr>
          <w:i/>
          <w:lang w:val="en-US"/>
        </w:rPr>
        <w:t xml:space="preserve">Paragraph </w:t>
      </w:r>
      <w:r w:rsidR="00B477B0" w:rsidRPr="002C7499">
        <w:rPr>
          <w:i/>
          <w:lang w:val="en-US"/>
        </w:rPr>
        <w:t>5</w:t>
      </w:r>
      <w:r w:rsidRPr="002C7499">
        <w:rPr>
          <w:i/>
          <w:lang w:val="en-US"/>
        </w:rPr>
        <w:t>.</w:t>
      </w:r>
      <w:r w:rsidR="00B477B0" w:rsidRPr="002C7499">
        <w:rPr>
          <w:i/>
          <w:lang w:val="en-US"/>
        </w:rPr>
        <w:t>1</w:t>
      </w:r>
      <w:r w:rsidRPr="002C7499">
        <w:rPr>
          <w:i/>
          <w:lang w:val="en-US"/>
        </w:rPr>
        <w:t>.</w:t>
      </w:r>
      <w:r w:rsidR="00B477B0" w:rsidRPr="002C7499">
        <w:rPr>
          <w:i/>
          <w:lang w:val="en-US"/>
        </w:rPr>
        <w:t>4.1</w:t>
      </w:r>
      <w:r w:rsidRPr="002C7499">
        <w:rPr>
          <w:i/>
          <w:lang w:val="en-US"/>
        </w:rPr>
        <w:t>.,</w:t>
      </w:r>
      <w:r w:rsidRPr="002C7499">
        <w:rPr>
          <w:lang w:val="en-US"/>
        </w:rPr>
        <w:t xml:space="preserve"> amend to read:</w:t>
      </w:r>
    </w:p>
    <w:p w14:paraId="32AA6899" w14:textId="00C7C8F3" w:rsidR="001D1E9E" w:rsidRPr="002C7499" w:rsidRDefault="00E54547" w:rsidP="00D93E4C">
      <w:pPr>
        <w:pStyle w:val="SingleTxtG"/>
        <w:ind w:left="2259" w:hanging="1125"/>
      </w:pPr>
      <w:r w:rsidRPr="002C7499">
        <w:t>"</w:t>
      </w:r>
      <w:r w:rsidR="00B477B0" w:rsidRPr="002C7499">
        <w:t>5.1.4.1.</w:t>
      </w:r>
      <w:r w:rsidRPr="002C7499">
        <w:tab/>
      </w:r>
      <w:r w:rsidR="001D1E9E" w:rsidRPr="002C7499">
        <w:t>The documentation package required by paragraph 3. of this Regulation enabling the Type Approval Authority to evaluate the emission control strategies and the systems on-board the vehicle and engine to ensure the correct operation of NO</w:t>
      </w:r>
      <w:r w:rsidR="001D1E9E" w:rsidRPr="002C7499">
        <w:rPr>
          <w:vertAlign w:val="subscript"/>
        </w:rPr>
        <w:t>x</w:t>
      </w:r>
      <w:r w:rsidR="001D1E9E" w:rsidRPr="002C7499">
        <w:t xml:space="preserve"> control measures</w:t>
      </w:r>
      <w:r w:rsidR="001D1E9E" w:rsidRPr="002C7499">
        <w:rPr>
          <w:noProof/>
        </w:rPr>
        <w:t>, as well as the documentation packages required in Annex 10 (off-cycle emissions), Annexes 9A and 9B (OBD) and Annex 15 to this Regulation (dual-fuel engines),</w:t>
      </w:r>
      <w:r w:rsidR="001D1E9E" w:rsidRPr="002C7499">
        <w:t xml:space="preserve"> shall </w:t>
      </w:r>
      <w:r w:rsidR="001D1E9E" w:rsidRPr="0032769F">
        <w:rPr>
          <w:strike/>
        </w:rPr>
        <w:t xml:space="preserve">be made available in the two following </w:t>
      </w:r>
      <w:proofErr w:type="spellStart"/>
      <w:r w:rsidR="001D1E9E" w:rsidRPr="0032769F">
        <w:rPr>
          <w:strike/>
        </w:rPr>
        <w:t>parts</w:t>
      </w:r>
      <w:r w:rsidR="00007A79" w:rsidRPr="0032769F">
        <w:rPr>
          <w:b/>
          <w:bCs/>
        </w:rPr>
        <w:t>include</w:t>
      </w:r>
      <w:proofErr w:type="spellEnd"/>
      <w:r w:rsidR="00007A79" w:rsidRPr="0032769F">
        <w:rPr>
          <w:b/>
          <w:bCs/>
        </w:rPr>
        <w:t xml:space="preserve"> the following information</w:t>
      </w:r>
      <w:r w:rsidR="001D1E9E" w:rsidRPr="002C7499">
        <w:t>:</w:t>
      </w:r>
    </w:p>
    <w:p w14:paraId="4E7B85AE" w14:textId="08F1CF34" w:rsidR="001D1E9E" w:rsidRPr="002C7499" w:rsidRDefault="001D1E9E" w:rsidP="00D93E4C">
      <w:pPr>
        <w:pStyle w:val="SingleTxtG"/>
        <w:ind w:left="2835" w:hanging="567"/>
      </w:pPr>
      <w:r w:rsidRPr="002C7499">
        <w:t>(a)</w:t>
      </w:r>
      <w:r w:rsidRPr="002C7499">
        <w:tab/>
      </w:r>
      <w:r w:rsidRPr="0032769F">
        <w:rPr>
          <w:strike/>
        </w:rPr>
        <w:t xml:space="preserve">The "formal documentation package" that may be made available to interested parties upon </w:t>
      </w:r>
      <w:proofErr w:type="spellStart"/>
      <w:r w:rsidRPr="0032769F">
        <w:rPr>
          <w:strike/>
        </w:rPr>
        <w:t>request</w:t>
      </w:r>
      <w:r w:rsidR="00C32CCB" w:rsidRPr="0032769F">
        <w:rPr>
          <w:b/>
          <w:bCs/>
        </w:rPr>
        <w:t>A</w:t>
      </w:r>
      <w:proofErr w:type="spellEnd"/>
      <w:r w:rsidR="00C32CCB" w:rsidRPr="0032769F">
        <w:rPr>
          <w:b/>
          <w:bCs/>
        </w:rPr>
        <w:t xml:space="preserve"> full description of the inducement system required by </w:t>
      </w:r>
      <w:r w:rsidR="002A616C" w:rsidRPr="0032769F">
        <w:rPr>
          <w:b/>
          <w:bCs/>
        </w:rPr>
        <w:t>Annex 11</w:t>
      </w:r>
      <w:r w:rsidR="00C32CCB" w:rsidRPr="0032769F">
        <w:rPr>
          <w:b/>
          <w:bCs/>
        </w:rPr>
        <w:t>, including the associated monitoring strategies</w:t>
      </w:r>
      <w:r w:rsidRPr="002C7499">
        <w:t>;</w:t>
      </w:r>
    </w:p>
    <w:p w14:paraId="05BA1450" w14:textId="217C7CF2" w:rsidR="00E54547" w:rsidRPr="002C7499" w:rsidRDefault="001D1E9E" w:rsidP="00D93E4C">
      <w:pPr>
        <w:pStyle w:val="SingleTxtG"/>
        <w:ind w:left="2835" w:hanging="567"/>
      </w:pPr>
      <w:r w:rsidRPr="002C7499">
        <w:t>(b)</w:t>
      </w:r>
      <w:r w:rsidRPr="002C7499">
        <w:tab/>
      </w:r>
      <w:r w:rsidRPr="0032769F">
        <w:rPr>
          <w:strike/>
        </w:rPr>
        <w:t>The "extended documentation package" that shall remain strictly confidential</w:t>
      </w:r>
      <w:r w:rsidR="001717CE" w:rsidRPr="0032769F">
        <w:rPr>
          <w:strike/>
        </w:rPr>
        <w:t xml:space="preserve"> </w:t>
      </w:r>
      <w:r w:rsidR="00C32CCB" w:rsidRPr="0032769F">
        <w:rPr>
          <w:b/>
          <w:bCs/>
        </w:rPr>
        <w:t xml:space="preserve">The description of the anti-tampering measures considered in </w:t>
      </w:r>
      <w:r w:rsidR="002A616C" w:rsidRPr="0032769F">
        <w:rPr>
          <w:b/>
          <w:bCs/>
        </w:rPr>
        <w:t>paragraph 3.1.4.(b)</w:t>
      </w:r>
      <w:r w:rsidR="00C32CCB" w:rsidRPr="0032769F">
        <w:rPr>
          <w:b/>
          <w:bCs/>
        </w:rPr>
        <w:t xml:space="preserve"> and in </w:t>
      </w:r>
      <w:r w:rsidR="002A616C" w:rsidRPr="0032769F">
        <w:rPr>
          <w:b/>
          <w:bCs/>
        </w:rPr>
        <w:t>paragraph 3.2.4.(a)</w:t>
      </w:r>
      <w:r w:rsidR="00C32CCB" w:rsidRPr="0032769F">
        <w:rPr>
          <w:b/>
          <w:bCs/>
        </w:rPr>
        <w:t>.</w:t>
      </w:r>
      <w:r w:rsidR="00E54547" w:rsidRPr="002C7499">
        <w:t>"</w:t>
      </w:r>
    </w:p>
    <w:p w14:paraId="0F209AA4" w14:textId="77777777" w:rsidR="004D0EE5" w:rsidRDefault="004D0EE5" w:rsidP="003046AF">
      <w:pPr>
        <w:pStyle w:val="SingleTxtG"/>
        <w:rPr>
          <w:i/>
          <w:lang w:val="en-US"/>
        </w:rPr>
      </w:pPr>
      <w:r>
        <w:rPr>
          <w:i/>
          <w:lang w:val="en-US"/>
        </w:rPr>
        <w:t xml:space="preserve">Paragraph 5.2.4., </w:t>
      </w:r>
      <w:r w:rsidRPr="004D0EE5">
        <w:rPr>
          <w:iCs/>
          <w:lang w:val="en-US"/>
        </w:rPr>
        <w:t>amend to read:</w:t>
      </w:r>
    </w:p>
    <w:p w14:paraId="0AEC9314" w14:textId="49E695DF" w:rsidR="004D0EE5" w:rsidRPr="004D0EE5" w:rsidRDefault="004D0EE5" w:rsidP="004D0EE5">
      <w:pPr>
        <w:spacing w:after="120"/>
        <w:ind w:left="2268" w:right="1134" w:hanging="1134"/>
        <w:jc w:val="both"/>
        <w:rPr>
          <w:rFonts w:eastAsia="MS Mincho"/>
          <w:lang w:eastAsia="fi-FI"/>
        </w:rPr>
      </w:pPr>
      <w:r w:rsidRPr="002C7499">
        <w:t>"</w:t>
      </w:r>
      <w:r w:rsidRPr="004D0EE5">
        <w:rPr>
          <w:rFonts w:eastAsia="MS Mincho"/>
          <w:lang w:eastAsia="fi-FI"/>
        </w:rPr>
        <w:t>5.2.4.</w:t>
      </w:r>
      <w:r w:rsidRPr="004D0EE5">
        <w:rPr>
          <w:rFonts w:eastAsia="MS Mincho"/>
          <w:lang w:eastAsia="fi-FI"/>
        </w:rPr>
        <w:tab/>
        <w:t xml:space="preserve">For the dilute testing of positive ignition engines by using an exhaust dilution system, it is permitted to use analyser systems that meet the general requirements and calibration procedures of </w:t>
      </w:r>
      <w:r w:rsidR="00F70815">
        <w:rPr>
          <w:rFonts w:eastAsia="MS Mincho"/>
          <w:lang w:eastAsia="fi-FI"/>
        </w:rPr>
        <w:t xml:space="preserve">UN </w:t>
      </w:r>
      <w:r w:rsidRPr="004D0EE5">
        <w:rPr>
          <w:rFonts w:eastAsia="MS Mincho"/>
          <w:lang w:eastAsia="fi-FI"/>
        </w:rPr>
        <w:t>Regulation No. 83</w:t>
      </w:r>
      <w:r w:rsidRPr="0032769F">
        <w:rPr>
          <w:rFonts w:eastAsia="MS Mincho"/>
          <w:b/>
          <w:bCs/>
          <w:lang w:eastAsia="fi-FI"/>
        </w:rPr>
        <w:t xml:space="preserve"> or Regulation No. </w:t>
      </w:r>
      <w:r w:rsidR="00226924" w:rsidRPr="0032769F">
        <w:rPr>
          <w:rFonts w:eastAsia="MS Mincho"/>
          <w:b/>
          <w:bCs/>
          <w:lang w:eastAsia="fi-FI"/>
        </w:rPr>
        <w:t>[154]</w:t>
      </w:r>
      <w:r w:rsidRPr="004D0EE5">
        <w:rPr>
          <w:rFonts w:eastAsia="MS Mincho"/>
          <w:lang w:eastAsia="fi-FI"/>
        </w:rPr>
        <w:t xml:space="preserve">. In this case, the provisions of paragraph 9. and Appendix 2 to Annex 4 </w:t>
      </w:r>
      <w:r w:rsidRPr="004D0EE5">
        <w:rPr>
          <w:rFonts w:eastAsia="MS Mincho"/>
          <w:noProof/>
          <w:lang w:eastAsia="fi-FI"/>
        </w:rPr>
        <w:t xml:space="preserve">to this Regulation </w:t>
      </w:r>
      <w:r w:rsidRPr="004D0EE5">
        <w:rPr>
          <w:rFonts w:eastAsia="MS Mincho"/>
          <w:lang w:eastAsia="fi-FI"/>
        </w:rPr>
        <w:t>shall not apply.</w:t>
      </w:r>
    </w:p>
    <w:p w14:paraId="6120465E" w14:textId="77777777" w:rsidR="004D0EE5" w:rsidRDefault="004D0EE5" w:rsidP="004D0EE5">
      <w:pPr>
        <w:pStyle w:val="SingleTxtG"/>
        <w:ind w:left="2268"/>
      </w:pPr>
      <w:r w:rsidRPr="004D0EE5">
        <w:rPr>
          <w:rFonts w:eastAsia="MS Mincho"/>
          <w:lang w:eastAsia="fi-FI"/>
        </w:rPr>
        <w:tab/>
        <w:t xml:space="preserve">However, the test procedures in paragraph 7. of Annex 4 </w:t>
      </w:r>
      <w:r w:rsidRPr="004D0EE5">
        <w:rPr>
          <w:rFonts w:eastAsia="MS Mincho"/>
          <w:noProof/>
          <w:lang w:eastAsia="fi-FI"/>
        </w:rPr>
        <w:t xml:space="preserve">to this Regulation </w:t>
      </w:r>
      <w:r w:rsidRPr="004D0EE5">
        <w:rPr>
          <w:rFonts w:eastAsia="MS Mincho"/>
          <w:lang w:eastAsia="fi-FI"/>
        </w:rPr>
        <w:t>and the emission calculations provided in paragraph 8. of Annex 4 shall apply.</w:t>
      </w:r>
      <w:r w:rsidRPr="004D0EE5">
        <w:t xml:space="preserve"> </w:t>
      </w:r>
      <w:r w:rsidRPr="002C7499">
        <w:t>"</w:t>
      </w:r>
    </w:p>
    <w:p w14:paraId="4EA9FFB4" w14:textId="4E48FD0A" w:rsidR="00E54547" w:rsidRPr="002C7499" w:rsidRDefault="00E54547" w:rsidP="004D0EE5">
      <w:pPr>
        <w:pStyle w:val="SingleTxtG"/>
        <w:rPr>
          <w:lang w:val="en-US"/>
        </w:rPr>
      </w:pPr>
      <w:r w:rsidRPr="002C7499">
        <w:rPr>
          <w:i/>
          <w:lang w:val="en-US"/>
        </w:rPr>
        <w:t xml:space="preserve">Paragraph </w:t>
      </w:r>
      <w:r w:rsidR="00846A55" w:rsidRPr="002C7499">
        <w:rPr>
          <w:i/>
          <w:lang w:val="en-US"/>
        </w:rPr>
        <w:t>13</w:t>
      </w:r>
      <w:r w:rsidRPr="002C7499">
        <w:rPr>
          <w:i/>
          <w:lang w:val="en-US"/>
        </w:rPr>
        <w:t>.,</w:t>
      </w:r>
      <w:r w:rsidRPr="002C7499">
        <w:rPr>
          <w:lang w:val="en-US"/>
        </w:rPr>
        <w:t xml:space="preserve"> amend to read:</w:t>
      </w:r>
    </w:p>
    <w:p w14:paraId="7107D1B6" w14:textId="6E76C76E" w:rsidR="00186F9D" w:rsidRPr="008450ED" w:rsidRDefault="00186F9D" w:rsidP="00186F9D">
      <w:pPr>
        <w:pStyle w:val="HChG"/>
      </w:pPr>
      <w:r>
        <w:tab/>
      </w:r>
      <w:r>
        <w:tab/>
      </w:r>
      <w:r w:rsidR="00E54547" w:rsidRPr="002C7499">
        <w:t>"</w:t>
      </w:r>
      <w:bookmarkStart w:id="1" w:name="_Toc307818772"/>
      <w:bookmarkStart w:id="2" w:name="_Toc307819143"/>
      <w:bookmarkStart w:id="3" w:name="_Toc339460467"/>
      <w:bookmarkStart w:id="4" w:name="_Toc339541990"/>
      <w:bookmarkStart w:id="5" w:name="_Toc307819144"/>
      <w:r w:rsidRPr="008450ED">
        <w:t>13.</w:t>
      </w:r>
      <w:r w:rsidRPr="008450ED">
        <w:tab/>
      </w:r>
      <w:r w:rsidRPr="008450ED">
        <w:tab/>
        <w:t>Transitional provisions</w:t>
      </w:r>
      <w:bookmarkEnd w:id="1"/>
      <w:bookmarkEnd w:id="2"/>
      <w:bookmarkEnd w:id="3"/>
      <w:bookmarkEnd w:id="4"/>
    </w:p>
    <w:p w14:paraId="42059941" w14:textId="540519D8" w:rsidR="008D6C4B" w:rsidRPr="00EF39C5" w:rsidRDefault="008D6C4B" w:rsidP="008D6C4B">
      <w:pPr>
        <w:pStyle w:val="para"/>
        <w:rPr>
          <w:lang w:val="en-GB"/>
        </w:rPr>
      </w:pPr>
      <w:r w:rsidRPr="00EF39C5">
        <w:rPr>
          <w:lang w:val="en-GB"/>
        </w:rPr>
        <w:t>13.1.</w:t>
      </w:r>
      <w:r w:rsidRPr="00EF39C5">
        <w:rPr>
          <w:lang w:val="en-GB"/>
        </w:rPr>
        <w:tab/>
        <w:t>General</w:t>
      </w:r>
      <w:bookmarkEnd w:id="5"/>
      <w:r w:rsidRPr="00EF39C5">
        <w:rPr>
          <w:lang w:val="en-GB"/>
        </w:rPr>
        <w:t xml:space="preserve"> provisions</w:t>
      </w:r>
    </w:p>
    <w:p w14:paraId="171D66E8" w14:textId="16CCE119" w:rsidR="00C9661A" w:rsidRPr="0032769F" w:rsidRDefault="00C9661A" w:rsidP="00C9661A">
      <w:pPr>
        <w:pStyle w:val="para"/>
        <w:rPr>
          <w:strike/>
          <w:lang w:val="en-GB"/>
        </w:rPr>
      </w:pPr>
      <w:r w:rsidRPr="0032769F">
        <w:rPr>
          <w:strike/>
          <w:lang w:val="en-GB"/>
        </w:rPr>
        <w:t>13.1.1.</w:t>
      </w:r>
      <w:r w:rsidRPr="0032769F">
        <w:rPr>
          <w:strike/>
          <w:lang w:val="en-GB"/>
        </w:rPr>
        <w:tab/>
        <w:t>As from the official date of entry into force of the 06 series of amendments, no Contracting Party applying this Regulation shall refuse to grant approval under this Regulation as amended by the 06 series of amendments.</w:t>
      </w:r>
    </w:p>
    <w:p w14:paraId="5E0180E3" w14:textId="2451C973" w:rsidR="00C9661A" w:rsidRPr="0032769F" w:rsidRDefault="00C9661A" w:rsidP="00C9661A">
      <w:pPr>
        <w:pStyle w:val="para"/>
        <w:rPr>
          <w:strike/>
          <w:lang w:val="en-GB"/>
        </w:rPr>
      </w:pPr>
      <w:r w:rsidRPr="0032769F">
        <w:rPr>
          <w:strike/>
          <w:lang w:val="en-GB"/>
        </w:rPr>
        <w:t>13.1.2.</w:t>
      </w:r>
      <w:r w:rsidRPr="0032769F">
        <w:rPr>
          <w:strike/>
          <w:lang w:val="en-GB"/>
        </w:rPr>
        <w:tab/>
        <w:t>As from the date of entry into force of the 06 series of amendments, Contracting Parties applying this Regulation shall grant ECE approvals only if the engine meets the requirements of this Regulation as amended by the 06 series of amendments.</w:t>
      </w:r>
    </w:p>
    <w:p w14:paraId="6BD524A8" w14:textId="77777777" w:rsidR="008D6C4B" w:rsidRPr="00866F13" w:rsidRDefault="008D6C4B" w:rsidP="008D6C4B">
      <w:pPr>
        <w:spacing w:after="120"/>
        <w:ind w:left="2268" w:right="1134" w:hanging="1134"/>
        <w:jc w:val="both"/>
        <w:rPr>
          <w:b/>
          <w:bCs/>
        </w:rPr>
      </w:pPr>
      <w:r w:rsidRPr="00866F13">
        <w:rPr>
          <w:b/>
          <w:bCs/>
        </w:rPr>
        <w:t>13.1.1.</w:t>
      </w:r>
      <w:r w:rsidRPr="00866F13">
        <w:rPr>
          <w:b/>
          <w:bCs/>
        </w:rPr>
        <w:tab/>
        <w:t>As from the official date of entry into force of the 07 series of amendments, no Contracting Party applying this Regulation shall refuse to grant approval under this Regulation as amended by the 07 series of amendments.</w:t>
      </w:r>
    </w:p>
    <w:p w14:paraId="61D5F3EA" w14:textId="0363F317" w:rsidR="002E5B1F" w:rsidRPr="00866F13" w:rsidRDefault="002E5B1F" w:rsidP="002E5B1F">
      <w:pPr>
        <w:pStyle w:val="para"/>
        <w:keepNext/>
        <w:keepLines/>
        <w:rPr>
          <w:strike/>
          <w:lang w:val="en-GB"/>
        </w:rPr>
      </w:pPr>
      <w:r w:rsidRPr="00866F13">
        <w:rPr>
          <w:strike/>
          <w:lang w:val="en-GB"/>
        </w:rPr>
        <w:lastRenderedPageBreak/>
        <w:t>13.2.</w:t>
      </w:r>
      <w:r w:rsidRPr="00866F13">
        <w:rPr>
          <w:strike/>
          <w:lang w:val="en-GB"/>
        </w:rPr>
        <w:tab/>
        <w:t>New type approvals</w:t>
      </w:r>
    </w:p>
    <w:p w14:paraId="67FB397D" w14:textId="52405D0C" w:rsidR="002E5B1F" w:rsidRPr="00866F13" w:rsidRDefault="002E5B1F" w:rsidP="002E5B1F">
      <w:pPr>
        <w:tabs>
          <w:tab w:val="left" w:pos="8505"/>
        </w:tabs>
        <w:spacing w:after="120"/>
        <w:ind w:left="2268" w:right="1134" w:hanging="1134"/>
        <w:jc w:val="both"/>
        <w:rPr>
          <w:strike/>
        </w:rPr>
      </w:pPr>
      <w:r w:rsidRPr="00866F13">
        <w:rPr>
          <w:strike/>
        </w:rPr>
        <w:t>13.2.1.</w:t>
      </w:r>
      <w:r w:rsidRPr="00866F13">
        <w:rPr>
          <w:strike/>
        </w:rPr>
        <w:tab/>
        <w:t>Contracting Parties applying this Regulation shall, from the date of entry into force of the 06 series of amendments to this Regulation, grant an ECE approval to an engine system or vehicle only if it complies with:</w:t>
      </w:r>
    </w:p>
    <w:p w14:paraId="2BD95650" w14:textId="2DAEB991" w:rsidR="002E5B1F" w:rsidRPr="00866F13" w:rsidRDefault="002E5B1F" w:rsidP="002E5B1F">
      <w:pPr>
        <w:tabs>
          <w:tab w:val="left" w:pos="8505"/>
        </w:tabs>
        <w:spacing w:after="120"/>
        <w:ind w:left="2835" w:right="1134" w:hanging="567"/>
        <w:jc w:val="both"/>
        <w:rPr>
          <w:strike/>
        </w:rPr>
      </w:pPr>
      <w:r w:rsidRPr="00866F13">
        <w:rPr>
          <w:strike/>
        </w:rPr>
        <w:t>(a)</w:t>
      </w:r>
      <w:r w:rsidRPr="00866F13">
        <w:rPr>
          <w:strike/>
        </w:rPr>
        <w:tab/>
        <w:t>The requirements of paragraph 4.1. of this Regulation;</w:t>
      </w:r>
    </w:p>
    <w:p w14:paraId="4BD1161A" w14:textId="791F84A5" w:rsidR="002E5B1F" w:rsidRPr="00866F13" w:rsidRDefault="002E5B1F" w:rsidP="002E5B1F">
      <w:pPr>
        <w:tabs>
          <w:tab w:val="left" w:pos="8505"/>
        </w:tabs>
        <w:spacing w:after="120"/>
        <w:ind w:left="2835" w:right="1134" w:hanging="567"/>
        <w:jc w:val="both"/>
        <w:rPr>
          <w:strike/>
          <w:lang w:val="en-US"/>
        </w:rPr>
      </w:pPr>
      <w:r w:rsidRPr="00866F13">
        <w:rPr>
          <w:strike/>
        </w:rPr>
        <w:t>(b)</w:t>
      </w:r>
      <w:r w:rsidRPr="00866F13">
        <w:rPr>
          <w:strike/>
        </w:rPr>
        <w:tab/>
        <w:t>The performance monitoring requirements of paragraph 2.3.2.2. of Annex 9A in the case of compression ignition and dual-fuel engines and vehicles;</w:t>
      </w:r>
    </w:p>
    <w:p w14:paraId="2F49B186" w14:textId="175698EE" w:rsidR="002E5B1F" w:rsidRPr="00866F13" w:rsidRDefault="002E5B1F" w:rsidP="002E5B1F">
      <w:pPr>
        <w:tabs>
          <w:tab w:val="left" w:pos="8505"/>
        </w:tabs>
        <w:spacing w:after="120"/>
        <w:ind w:left="2835" w:right="1134" w:hanging="567"/>
        <w:jc w:val="both"/>
        <w:rPr>
          <w:strike/>
        </w:rPr>
      </w:pPr>
      <w:r w:rsidRPr="00866F13">
        <w:rPr>
          <w:strike/>
        </w:rPr>
        <w:t>(c)</w:t>
      </w:r>
      <w:r w:rsidRPr="00866F13">
        <w:rPr>
          <w:strike/>
        </w:rPr>
        <w:tab/>
        <w:t>The NO</w:t>
      </w:r>
      <w:r w:rsidRPr="00866F13">
        <w:rPr>
          <w:strike/>
          <w:vertAlign w:val="subscript"/>
        </w:rPr>
        <w:t>x</w:t>
      </w:r>
      <w:r w:rsidRPr="00866F13">
        <w:rPr>
          <w:strike/>
        </w:rPr>
        <w:t xml:space="preserve"> OTL monitoring requirements as set out in the row "phase in period" of Table 1 of Annex 9A, in the case of compression ignition and dual-fuel engines and vehicles;</w:t>
      </w:r>
    </w:p>
    <w:p w14:paraId="392C1F7F" w14:textId="69B472D5" w:rsidR="002E5B1F" w:rsidRPr="00866F13" w:rsidRDefault="002E5B1F" w:rsidP="002E5B1F">
      <w:pPr>
        <w:spacing w:after="120"/>
        <w:ind w:left="2835" w:right="1134" w:hanging="567"/>
        <w:jc w:val="both"/>
        <w:rPr>
          <w:strike/>
        </w:rPr>
      </w:pPr>
      <w:r w:rsidRPr="00866F13">
        <w:rPr>
          <w:strike/>
        </w:rPr>
        <w:t>(d)</w:t>
      </w:r>
      <w:r w:rsidRPr="00866F13">
        <w:rPr>
          <w:strike/>
        </w:rPr>
        <w:tab/>
        <w:t>The NO</w:t>
      </w:r>
      <w:r w:rsidRPr="00866F13">
        <w:rPr>
          <w:strike/>
          <w:vertAlign w:val="subscript"/>
        </w:rPr>
        <w:t>x</w:t>
      </w:r>
      <w:r w:rsidRPr="00866F13">
        <w:rPr>
          <w:strike/>
        </w:rPr>
        <w:t xml:space="preserve"> OTL monitoring requirements as set out in the row "phase in period" of Table 2 of Annex 9A, in the case of positive ignition engines and vehicles;</w:t>
      </w:r>
    </w:p>
    <w:p w14:paraId="6CC11F5B" w14:textId="5F5493A4" w:rsidR="002E5B1F" w:rsidRPr="00866F13" w:rsidRDefault="002E5B1F" w:rsidP="002E5B1F">
      <w:pPr>
        <w:spacing w:after="120"/>
        <w:ind w:left="2835" w:right="1134" w:hanging="567"/>
        <w:jc w:val="both"/>
        <w:rPr>
          <w:strike/>
        </w:rPr>
      </w:pPr>
      <w:r w:rsidRPr="00866F13">
        <w:rPr>
          <w:strike/>
        </w:rPr>
        <w:t>(e)</w:t>
      </w:r>
      <w:r w:rsidRPr="00866F13">
        <w:rPr>
          <w:strike/>
        </w:rPr>
        <w:tab/>
        <w:t>The Reagent quality "phase-in" requirements as set out in paragraph 7.1.1.1. of Annex 11.</w:t>
      </w:r>
    </w:p>
    <w:p w14:paraId="47DCC631" w14:textId="00F0CF16" w:rsidR="002E5B1F" w:rsidRPr="00866F13" w:rsidRDefault="002E5B1F" w:rsidP="002E5B1F">
      <w:pPr>
        <w:spacing w:after="120"/>
        <w:ind w:left="2259" w:right="1134" w:hanging="1125"/>
        <w:jc w:val="both"/>
        <w:rPr>
          <w:strike/>
        </w:rPr>
      </w:pPr>
      <w:r w:rsidRPr="00866F13">
        <w:rPr>
          <w:strike/>
        </w:rPr>
        <w:t>13.2.1.1.</w:t>
      </w:r>
      <w:r w:rsidRPr="00866F13">
        <w:rPr>
          <w:strike/>
        </w:rPr>
        <w:tab/>
        <w:t>In accordance with the requirements of paragraph 6.4.4. of Annex 9A manufacturers are exempted from providing a statement of OBD in-use performance compliance.</w:t>
      </w:r>
    </w:p>
    <w:p w14:paraId="7BAC216F" w14:textId="442CF41B" w:rsidR="002E5B1F" w:rsidRPr="00866F13" w:rsidRDefault="002E5B1F" w:rsidP="002E5B1F">
      <w:pPr>
        <w:spacing w:after="120"/>
        <w:ind w:left="2268" w:right="1134" w:hanging="1098"/>
        <w:jc w:val="both"/>
        <w:rPr>
          <w:strike/>
        </w:rPr>
      </w:pPr>
      <w:r w:rsidRPr="00866F13">
        <w:rPr>
          <w:strike/>
        </w:rPr>
        <w:t>13.2.2.</w:t>
      </w:r>
      <w:r w:rsidRPr="00866F13">
        <w:rPr>
          <w:strike/>
        </w:rPr>
        <w:tab/>
        <w:t>In the case of positive ignition engines and vehicles, Contracting Parties applying this Regulation shall, from 1 September 2014, grant a type-approval to an engine system or vehicle only if it complies with:</w:t>
      </w:r>
    </w:p>
    <w:p w14:paraId="158BA526" w14:textId="553C3DA9" w:rsidR="002E5B1F" w:rsidRPr="00866F13" w:rsidRDefault="002E5B1F" w:rsidP="002E5B1F">
      <w:pPr>
        <w:spacing w:after="120"/>
        <w:ind w:left="2835" w:right="1134" w:hanging="567"/>
        <w:jc w:val="both"/>
        <w:rPr>
          <w:strike/>
        </w:rPr>
      </w:pPr>
      <w:r w:rsidRPr="00866F13">
        <w:rPr>
          <w:strike/>
        </w:rPr>
        <w:t>(a)</w:t>
      </w:r>
      <w:r w:rsidRPr="00866F13">
        <w:rPr>
          <w:strike/>
        </w:rPr>
        <w:tab/>
        <w:t>The requirements of paragraph 4.1. of this Regulation;</w:t>
      </w:r>
    </w:p>
    <w:p w14:paraId="294B662B" w14:textId="4F0F4DA0" w:rsidR="002E5B1F" w:rsidRPr="00866F13" w:rsidRDefault="002E5B1F" w:rsidP="002E5B1F">
      <w:pPr>
        <w:spacing w:after="120"/>
        <w:ind w:left="2835" w:right="1134" w:hanging="567"/>
        <w:jc w:val="both"/>
        <w:rPr>
          <w:strike/>
        </w:rPr>
      </w:pPr>
      <w:r w:rsidRPr="00866F13">
        <w:rPr>
          <w:strike/>
        </w:rPr>
        <w:t>(b)</w:t>
      </w:r>
      <w:r w:rsidRPr="00866F13">
        <w:rPr>
          <w:strike/>
        </w:rPr>
        <w:tab/>
      </w:r>
      <w:r w:rsidRPr="00866F13">
        <w:rPr>
          <w:b/>
          <w:strike/>
        </w:rPr>
        <w:tab/>
      </w:r>
      <w:r w:rsidRPr="00866F13">
        <w:rPr>
          <w:strike/>
        </w:rPr>
        <w:t>The NO</w:t>
      </w:r>
      <w:r w:rsidRPr="00866F13">
        <w:rPr>
          <w:strike/>
          <w:vertAlign w:val="subscript"/>
        </w:rPr>
        <w:t>x</w:t>
      </w:r>
      <w:r w:rsidRPr="00866F13">
        <w:rPr>
          <w:strike/>
        </w:rPr>
        <w:t xml:space="preserve"> OTL monitoring requirements as set out in the row "phase-in period" of Table 2 of Annex 9A;</w:t>
      </w:r>
    </w:p>
    <w:p w14:paraId="4C9B3E69" w14:textId="3FE67B3B" w:rsidR="002E5B1F" w:rsidRPr="00866F13" w:rsidRDefault="002E5B1F" w:rsidP="002E5B1F">
      <w:pPr>
        <w:spacing w:after="120"/>
        <w:ind w:left="2835" w:right="1134" w:hanging="567"/>
        <w:jc w:val="both"/>
        <w:rPr>
          <w:strike/>
        </w:rPr>
      </w:pPr>
      <w:r w:rsidRPr="00866F13">
        <w:rPr>
          <w:strike/>
        </w:rPr>
        <w:t>(c)</w:t>
      </w:r>
      <w:r w:rsidRPr="00866F13">
        <w:rPr>
          <w:strike/>
        </w:rPr>
        <w:tab/>
        <w:t>The CO OTL monitoring requirements as set out in the row "phase-in period" of Table 2 of Annex 9A;</w:t>
      </w:r>
    </w:p>
    <w:p w14:paraId="7AB62439" w14:textId="0904154F" w:rsidR="002E5B1F" w:rsidRPr="00866F13" w:rsidRDefault="002E5B1F" w:rsidP="002E5B1F">
      <w:pPr>
        <w:spacing w:after="120"/>
        <w:ind w:left="2835" w:right="1134" w:hanging="567"/>
        <w:jc w:val="both"/>
        <w:rPr>
          <w:strike/>
        </w:rPr>
      </w:pPr>
      <w:r w:rsidRPr="00866F13">
        <w:rPr>
          <w:strike/>
        </w:rPr>
        <w:t>(d)</w:t>
      </w:r>
      <w:r w:rsidRPr="00866F13">
        <w:rPr>
          <w:strike/>
        </w:rPr>
        <w:tab/>
        <w:t>The Reagent quality "phase-in" requirements as set out in paragraph 7.1.1.1. of Annex 11.</w:t>
      </w:r>
    </w:p>
    <w:p w14:paraId="389895FE" w14:textId="5CD2B0A0" w:rsidR="002E5B1F" w:rsidRPr="00866F13" w:rsidRDefault="002E5B1F" w:rsidP="002E5B1F">
      <w:pPr>
        <w:spacing w:after="120"/>
        <w:ind w:left="2268" w:right="1134" w:hanging="1098"/>
        <w:jc w:val="both"/>
        <w:rPr>
          <w:strike/>
        </w:rPr>
      </w:pPr>
      <w:r w:rsidRPr="00866F13">
        <w:rPr>
          <w:strike/>
        </w:rPr>
        <w:t>13.2.2.1.</w:t>
      </w:r>
      <w:r w:rsidRPr="00866F13">
        <w:rPr>
          <w:strike/>
        </w:rPr>
        <w:tab/>
        <w:t>In accordance with the requirements of paragraph 6.4.4. of Annex 9A manufacturers are exempted from providing a statement of OBD in-use performance compliance.</w:t>
      </w:r>
    </w:p>
    <w:p w14:paraId="50BF11B5" w14:textId="5534C70A" w:rsidR="002E5B1F" w:rsidRPr="00866F13" w:rsidRDefault="002E5B1F" w:rsidP="002E5B1F">
      <w:pPr>
        <w:spacing w:after="120"/>
        <w:ind w:left="2268" w:right="1134" w:hanging="1098"/>
        <w:jc w:val="both"/>
        <w:rPr>
          <w:strike/>
        </w:rPr>
      </w:pPr>
      <w:r w:rsidRPr="00866F13">
        <w:rPr>
          <w:strike/>
        </w:rPr>
        <w:t>13.2.3.</w:t>
      </w:r>
      <w:r w:rsidRPr="00866F13">
        <w:rPr>
          <w:strike/>
        </w:rPr>
        <w:tab/>
        <w:t>Contracting Parties applying this Regulation shall, from 31 December 2015, grant a type-approval to an engine system or vehicle only if it complies with:</w:t>
      </w:r>
    </w:p>
    <w:p w14:paraId="4D171DD3" w14:textId="695C0B4E" w:rsidR="002E5B1F" w:rsidRPr="00866F13" w:rsidRDefault="002E5B1F" w:rsidP="002E5B1F">
      <w:pPr>
        <w:spacing w:after="120"/>
        <w:ind w:left="2835" w:right="1134" w:hanging="567"/>
        <w:jc w:val="both"/>
        <w:rPr>
          <w:strike/>
        </w:rPr>
      </w:pPr>
      <w:r w:rsidRPr="00866F13">
        <w:rPr>
          <w:strike/>
        </w:rPr>
        <w:t>(a)</w:t>
      </w:r>
      <w:r w:rsidRPr="00866F13">
        <w:rPr>
          <w:strike/>
        </w:rPr>
        <w:tab/>
        <w:t>The requirements of paragraph 4.1. of this Regulation;</w:t>
      </w:r>
    </w:p>
    <w:p w14:paraId="0AE01606" w14:textId="5243824B" w:rsidR="002E5B1F" w:rsidRPr="00866F13" w:rsidRDefault="002E5B1F" w:rsidP="002E5B1F">
      <w:pPr>
        <w:tabs>
          <w:tab w:val="left" w:pos="2790"/>
        </w:tabs>
        <w:spacing w:after="120"/>
        <w:ind w:left="2835" w:right="1134" w:hanging="567"/>
        <w:jc w:val="both"/>
        <w:rPr>
          <w:strike/>
        </w:rPr>
      </w:pPr>
      <w:r w:rsidRPr="00866F13">
        <w:rPr>
          <w:strike/>
        </w:rPr>
        <w:t>(b)</w:t>
      </w:r>
      <w:r w:rsidRPr="00866F13">
        <w:rPr>
          <w:strike/>
        </w:rPr>
        <w:tab/>
        <w:t>The PM Mass OTL monitoring requirements as set out in the row "general requirements" of Table 1 of Annex 9A in the case of compression ignition and dual-fuel engines and vehicles;</w:t>
      </w:r>
    </w:p>
    <w:p w14:paraId="51B9AD02" w14:textId="3A784CA4" w:rsidR="002E5B1F" w:rsidRPr="00866F13" w:rsidRDefault="002E5B1F" w:rsidP="002E5B1F">
      <w:pPr>
        <w:tabs>
          <w:tab w:val="left" w:pos="2790"/>
        </w:tabs>
        <w:spacing w:after="120"/>
        <w:ind w:left="2835" w:right="1134" w:hanging="567"/>
        <w:jc w:val="both"/>
        <w:rPr>
          <w:strike/>
        </w:rPr>
      </w:pPr>
      <w:r w:rsidRPr="00866F13">
        <w:rPr>
          <w:strike/>
        </w:rPr>
        <w:t>(c)</w:t>
      </w:r>
      <w:r w:rsidRPr="00866F13">
        <w:rPr>
          <w:b/>
          <w:strike/>
        </w:rPr>
        <w:tab/>
      </w:r>
      <w:r w:rsidRPr="00866F13">
        <w:rPr>
          <w:strike/>
        </w:rPr>
        <w:t>The NO</w:t>
      </w:r>
      <w:r w:rsidRPr="00866F13">
        <w:rPr>
          <w:strike/>
          <w:vertAlign w:val="subscript"/>
        </w:rPr>
        <w:t>x</w:t>
      </w:r>
      <w:r w:rsidRPr="00866F13">
        <w:rPr>
          <w:strike/>
        </w:rPr>
        <w:t xml:space="preserve"> OTL monitoring requirements as set out in the row "general requirements" of Table 2 of Annex 9A in the case of compression ignition and dual-fuel engines and vehicles;</w:t>
      </w:r>
    </w:p>
    <w:p w14:paraId="5B2F14D8" w14:textId="59A89970" w:rsidR="002E5B1F" w:rsidRPr="00866F13" w:rsidRDefault="002E5B1F" w:rsidP="002E5B1F">
      <w:pPr>
        <w:tabs>
          <w:tab w:val="left" w:pos="2790"/>
        </w:tabs>
        <w:spacing w:after="120"/>
        <w:ind w:left="2835" w:right="1134" w:hanging="567"/>
        <w:jc w:val="both"/>
        <w:rPr>
          <w:strike/>
        </w:rPr>
      </w:pPr>
      <w:r w:rsidRPr="00866F13">
        <w:rPr>
          <w:strike/>
        </w:rPr>
        <w:t>(d)</w:t>
      </w:r>
      <w:r w:rsidRPr="00866F13">
        <w:rPr>
          <w:strike/>
        </w:rPr>
        <w:tab/>
        <w:t>The NO</w:t>
      </w:r>
      <w:r w:rsidRPr="00866F13">
        <w:rPr>
          <w:strike/>
          <w:vertAlign w:val="subscript"/>
        </w:rPr>
        <w:t>x</w:t>
      </w:r>
      <w:r w:rsidRPr="00866F13">
        <w:rPr>
          <w:strike/>
        </w:rPr>
        <w:t xml:space="preserve"> and CO OTL monitoring requirements as set out in the row "general requirements" of Table 2 of Annex 9A in the case of positive ignition engines and vehicles;</w:t>
      </w:r>
    </w:p>
    <w:p w14:paraId="383F8A9F" w14:textId="172316B0" w:rsidR="002E5B1F" w:rsidRPr="00866F13" w:rsidRDefault="002E5B1F" w:rsidP="002E5B1F">
      <w:pPr>
        <w:tabs>
          <w:tab w:val="left" w:pos="2790"/>
        </w:tabs>
        <w:spacing w:after="120"/>
        <w:ind w:left="2835" w:right="1134" w:hanging="567"/>
        <w:jc w:val="both"/>
        <w:rPr>
          <w:strike/>
        </w:rPr>
      </w:pPr>
      <w:r w:rsidRPr="00866F13">
        <w:rPr>
          <w:strike/>
        </w:rPr>
        <w:t>(e)</w:t>
      </w:r>
      <w:r w:rsidRPr="00866F13">
        <w:rPr>
          <w:strike/>
        </w:rPr>
        <w:tab/>
        <w:t>The Reagent quality "general requirements" as set out in paragraph 7.1.1.1. of Annex 11.</w:t>
      </w:r>
    </w:p>
    <w:p w14:paraId="78B5BBAB" w14:textId="404CC84B" w:rsidR="002E5B1F" w:rsidRPr="00866F13" w:rsidRDefault="002E5B1F" w:rsidP="002E5B1F">
      <w:pPr>
        <w:tabs>
          <w:tab w:val="left" w:pos="2790"/>
        </w:tabs>
        <w:spacing w:after="120"/>
        <w:ind w:left="2835" w:right="1134" w:hanging="567"/>
        <w:jc w:val="both"/>
        <w:rPr>
          <w:strike/>
        </w:rPr>
      </w:pPr>
      <w:r w:rsidRPr="00866F13">
        <w:rPr>
          <w:strike/>
        </w:rPr>
        <w:t>(f)</w:t>
      </w:r>
      <w:r w:rsidRPr="00866F13">
        <w:rPr>
          <w:strike/>
        </w:rPr>
        <w:tab/>
        <w:t>The requirements regarding the plan and implementation of the monitoring techniques according to paragraphs 2.3.1.2. and 2.3.1.2.1. of Annex 9A;</w:t>
      </w:r>
    </w:p>
    <w:p w14:paraId="6EED7B04" w14:textId="4D5FE6F1" w:rsidR="002E5B1F" w:rsidRPr="00866F13" w:rsidRDefault="002E5B1F" w:rsidP="002E5B1F">
      <w:pPr>
        <w:tabs>
          <w:tab w:val="left" w:pos="2790"/>
        </w:tabs>
        <w:spacing w:after="120"/>
        <w:ind w:left="2835" w:right="1134" w:hanging="567"/>
        <w:jc w:val="both"/>
        <w:rPr>
          <w:strike/>
        </w:rPr>
      </w:pPr>
      <w:r w:rsidRPr="00866F13">
        <w:rPr>
          <w:strike/>
        </w:rPr>
        <w:lastRenderedPageBreak/>
        <w:t>(g)</w:t>
      </w:r>
      <w:r w:rsidRPr="00866F13">
        <w:rPr>
          <w:strike/>
        </w:rPr>
        <w:tab/>
        <w:t>The requirements of paragraph 6.4.1. of Annex 9A for providing a statement of OBD in-use performance compliance.</w:t>
      </w:r>
    </w:p>
    <w:p w14:paraId="279537E0" w14:textId="7F652A7A" w:rsidR="002E5B1F" w:rsidRPr="00866F13" w:rsidRDefault="002E5B1F" w:rsidP="002E5B1F">
      <w:pPr>
        <w:tabs>
          <w:tab w:val="left" w:pos="1134"/>
        </w:tabs>
        <w:spacing w:after="120"/>
        <w:ind w:left="2268" w:right="1134" w:hanging="1134"/>
        <w:jc w:val="both"/>
        <w:rPr>
          <w:strike/>
        </w:rPr>
      </w:pPr>
      <w:r w:rsidRPr="00866F13">
        <w:rPr>
          <w:strike/>
        </w:rPr>
        <w:t>13.2.4.</w:t>
      </w:r>
      <w:r w:rsidRPr="00866F13">
        <w:rPr>
          <w:strike/>
        </w:rPr>
        <w:tab/>
      </w:r>
      <w:r w:rsidRPr="00866F13">
        <w:rPr>
          <w:strike/>
        </w:rPr>
        <w:tab/>
        <w:t>Contracting Parties applying this Regulation may refuse type approval to an engine system or a vehicle if they do not comply with the requirements of this Supplement 5 to the 06 series of amendments of this Regulation with the exception of the requirements specified in paragraphs A.1.4.2.2.2., and A.1.4.3.1.2. of Appendix 1 to Annex 8.</w:t>
      </w:r>
    </w:p>
    <w:p w14:paraId="228D43C0" w14:textId="0BF24E20" w:rsidR="002E5B1F" w:rsidRPr="00866F13" w:rsidRDefault="002E5B1F" w:rsidP="002E5B1F">
      <w:pPr>
        <w:spacing w:after="120"/>
        <w:ind w:left="2268" w:right="1134" w:hanging="1134"/>
        <w:jc w:val="both"/>
        <w:rPr>
          <w:strike/>
        </w:rPr>
      </w:pPr>
      <w:r w:rsidRPr="00866F13">
        <w:rPr>
          <w:strike/>
        </w:rPr>
        <w:t>13.2.5.</w:t>
      </w:r>
      <w:r w:rsidRPr="00866F13">
        <w:rPr>
          <w:strike/>
        </w:rPr>
        <w:tab/>
      </w:r>
      <w:r w:rsidRPr="00866F13">
        <w:rPr>
          <w:strike/>
        </w:rPr>
        <w:tab/>
        <w:t>Contracting Parties applying this Regulation shall, from 1 September 2018, grant an ECE type approval to an engine system or a vehicle only if they comply with the requirements of this Supplement 5 to the 06 series of amendments of this Regulation.</w:t>
      </w:r>
    </w:p>
    <w:p w14:paraId="6AEC3D43" w14:textId="77777777" w:rsidR="008D6C4B" w:rsidRPr="00866F13" w:rsidRDefault="008D6C4B" w:rsidP="008D6C4B">
      <w:pPr>
        <w:keepNext/>
        <w:keepLines/>
        <w:spacing w:after="120"/>
        <w:ind w:left="2268" w:right="1134" w:hanging="1134"/>
        <w:jc w:val="both"/>
        <w:rPr>
          <w:b/>
          <w:bCs/>
        </w:rPr>
      </w:pPr>
      <w:r w:rsidRPr="00866F13">
        <w:rPr>
          <w:b/>
          <w:bCs/>
        </w:rPr>
        <w:t>13.2.</w:t>
      </w:r>
      <w:bookmarkStart w:id="6" w:name="_Toc307819145"/>
      <w:r w:rsidRPr="00866F13">
        <w:rPr>
          <w:b/>
          <w:bCs/>
        </w:rPr>
        <w:tab/>
        <w:t>Type approvals</w:t>
      </w:r>
      <w:bookmarkEnd w:id="6"/>
    </w:p>
    <w:p w14:paraId="03F7137A" w14:textId="77777777" w:rsidR="008D6C4B" w:rsidRPr="00866F13" w:rsidRDefault="008D6C4B" w:rsidP="008D6C4B">
      <w:pPr>
        <w:spacing w:after="120"/>
        <w:ind w:left="2259" w:right="1134" w:hanging="1125"/>
        <w:jc w:val="both"/>
        <w:rPr>
          <w:rFonts w:eastAsia="MS Mincho"/>
          <w:b/>
          <w:bCs/>
          <w:lang w:eastAsia="fi-FI"/>
        </w:rPr>
      </w:pPr>
      <w:r w:rsidRPr="00866F13">
        <w:rPr>
          <w:rFonts w:eastAsia="MS Mincho"/>
          <w:b/>
          <w:bCs/>
          <w:lang w:eastAsia="fi-FI"/>
        </w:rPr>
        <w:t>13.2.1.</w:t>
      </w:r>
      <w:r w:rsidRPr="00866F13">
        <w:rPr>
          <w:rFonts w:eastAsia="MS Mincho"/>
          <w:b/>
          <w:bCs/>
          <w:lang w:eastAsia="fi-FI"/>
        </w:rPr>
        <w:tab/>
        <w:t>As from the official date of entry into force of the 07 series of amendments, Contracting Parties applying this Regulation shall grant an approval to new types of vehicle or engine only if they comply with the requirements of this Regulation, as amended by the 07 series of amendments.</w:t>
      </w:r>
    </w:p>
    <w:p w14:paraId="38B2E498" w14:textId="77777777" w:rsidR="008D6C4B" w:rsidRPr="00866F13" w:rsidRDefault="008D6C4B" w:rsidP="008D6C4B">
      <w:pPr>
        <w:spacing w:after="120"/>
        <w:ind w:left="2259" w:right="1134" w:hanging="1125"/>
        <w:jc w:val="both"/>
        <w:rPr>
          <w:rFonts w:eastAsia="MS Mincho"/>
          <w:b/>
          <w:bCs/>
          <w:lang w:eastAsia="fi-FI"/>
        </w:rPr>
      </w:pPr>
      <w:r w:rsidRPr="00866F13">
        <w:rPr>
          <w:rFonts w:eastAsia="MS Mincho"/>
          <w:b/>
          <w:bCs/>
          <w:lang w:eastAsia="fi-FI"/>
        </w:rPr>
        <w:t>13.2.2.</w:t>
      </w:r>
      <w:r w:rsidRPr="00866F13">
        <w:rPr>
          <w:rFonts w:eastAsia="MS Mincho"/>
          <w:b/>
          <w:bCs/>
          <w:lang w:eastAsia="fi-FI"/>
        </w:rPr>
        <w:tab/>
        <w:t>By way of derogation from paragraph 13.2.1., new types of positive-ignition engines, type 1A dual-fuel engines and type 1B dual-fuel engines (in dual-fuel mode), and vehicles equipped with such engines, shall comply with the maximum allowed conformity factor for PM number according to paragraph 6.3. of Annex 8 with effect from 1 January 2023. However, as from the date of entry into force of this Regulation, the particle number work window conformity factor and CO</w:t>
      </w:r>
      <w:r w:rsidRPr="00866F13">
        <w:rPr>
          <w:rFonts w:eastAsia="MS Mincho"/>
          <w:b/>
          <w:bCs/>
          <w:vertAlign w:val="subscript"/>
          <w:lang w:eastAsia="fi-FI"/>
        </w:rPr>
        <w:t>2</w:t>
      </w:r>
      <w:r w:rsidRPr="00866F13">
        <w:rPr>
          <w:rFonts w:eastAsia="MS Mincho"/>
          <w:b/>
          <w:bCs/>
          <w:lang w:eastAsia="fi-FI"/>
        </w:rPr>
        <w:t xml:space="preserve"> mass window conformity factor shall be stated in the PEMS demonstration test results in the type-approval communication for monitoring purposes.</w:t>
      </w:r>
    </w:p>
    <w:p w14:paraId="41F87AAD" w14:textId="2FD8BF42" w:rsidR="008D6C4B" w:rsidRPr="00866F13" w:rsidRDefault="008D6C4B" w:rsidP="008D6C4B">
      <w:pPr>
        <w:spacing w:after="120"/>
        <w:ind w:left="2259" w:right="1134" w:hanging="1125"/>
        <w:jc w:val="both"/>
        <w:rPr>
          <w:rFonts w:eastAsia="MS Mincho"/>
          <w:b/>
          <w:bCs/>
          <w:lang w:eastAsia="fi-FI"/>
        </w:rPr>
      </w:pPr>
      <w:r w:rsidRPr="00866F13">
        <w:rPr>
          <w:rFonts w:eastAsia="MS Mincho"/>
          <w:b/>
          <w:bCs/>
          <w:lang w:eastAsia="fi-FI"/>
        </w:rPr>
        <w:t>13.2.3.</w:t>
      </w:r>
      <w:r w:rsidRPr="00866F13">
        <w:rPr>
          <w:rFonts w:eastAsia="MS Mincho"/>
          <w:b/>
          <w:bCs/>
          <w:lang w:eastAsia="fi-FI"/>
        </w:rPr>
        <w:tab/>
        <w:t>As from the official date of entry into force of the 07 series of amendments Contracting Parties applying this Regulation shall not be obliged to accept a type-approval which has not been granted in accordance with the 07 series of amendments to this Regulation.</w:t>
      </w:r>
    </w:p>
    <w:p w14:paraId="6411EA24" w14:textId="7E4BDFC9" w:rsidR="006E0E7E" w:rsidRPr="00866F13" w:rsidRDefault="006E0E7E" w:rsidP="008D6C4B">
      <w:pPr>
        <w:spacing w:after="120"/>
        <w:ind w:left="2259" w:right="1134" w:hanging="1125"/>
        <w:jc w:val="both"/>
        <w:rPr>
          <w:rFonts w:eastAsia="MS Mincho"/>
          <w:b/>
          <w:bCs/>
          <w:lang w:eastAsia="fi-FI"/>
        </w:rPr>
      </w:pPr>
      <w:r w:rsidRPr="00866F13">
        <w:rPr>
          <w:rFonts w:eastAsia="MS Mincho"/>
          <w:b/>
          <w:bCs/>
          <w:lang w:eastAsia="fi-FI"/>
        </w:rPr>
        <w:t>13.2.4.</w:t>
      </w:r>
      <w:r w:rsidRPr="00866F13">
        <w:rPr>
          <w:rFonts w:eastAsia="MS Mincho"/>
          <w:b/>
          <w:bCs/>
          <w:lang w:eastAsia="fi-FI"/>
        </w:rPr>
        <w:tab/>
      </w:r>
      <w:r w:rsidR="00FD01E6" w:rsidRPr="00866F13">
        <w:rPr>
          <w:rFonts w:eastAsia="MS Mincho"/>
          <w:b/>
          <w:bCs/>
          <w:lang w:eastAsia="fi-FI"/>
        </w:rPr>
        <w:t>By way of derogation from paragraph 13.2.3., a</w:t>
      </w:r>
      <w:r w:rsidR="00043203" w:rsidRPr="00866F13">
        <w:rPr>
          <w:rFonts w:eastAsia="MS Mincho"/>
          <w:b/>
          <w:bCs/>
          <w:lang w:eastAsia="fi-FI"/>
        </w:rPr>
        <w:t xml:space="preserve">s from </w:t>
      </w:r>
      <w:r w:rsidR="006029D0" w:rsidRPr="00866F13">
        <w:rPr>
          <w:rFonts w:eastAsia="MS Mincho"/>
          <w:b/>
          <w:bCs/>
          <w:lang w:eastAsia="fi-FI"/>
        </w:rPr>
        <w:t xml:space="preserve">two years after the </w:t>
      </w:r>
      <w:r w:rsidR="00043203" w:rsidRPr="00866F13">
        <w:rPr>
          <w:rFonts w:eastAsia="MS Mincho"/>
          <w:b/>
          <w:bCs/>
          <w:lang w:eastAsia="fi-FI"/>
        </w:rPr>
        <w:t>official date of entry into force of the 07 series of amendments</w:t>
      </w:r>
      <w:r w:rsidR="00487D36" w:rsidRPr="00866F13">
        <w:rPr>
          <w:rFonts w:eastAsia="MS Mincho"/>
          <w:b/>
          <w:bCs/>
          <w:lang w:eastAsia="fi-FI"/>
        </w:rPr>
        <w:t>,</w:t>
      </w:r>
      <w:r w:rsidR="00043203" w:rsidRPr="00866F13">
        <w:rPr>
          <w:rFonts w:eastAsia="MS Mincho"/>
          <w:b/>
          <w:bCs/>
          <w:lang w:eastAsia="fi-FI"/>
        </w:rPr>
        <w:t xml:space="preserve"> for new vehicles equipped with positive-ignition engines, type 1A dual-fuel engines and type 1B dual-fuel engines (in dual-fuel mode) which do not comply with the maximum allowed conformity factor for PM number according to paragraph 6.3. of Annex 8 and the requirements of this Regulation, Contracting Parties applying this Regulation shall not be obliged to accept a type-approval which has not been granted in accordance with the 07 series of amendments to this Regulation. However, as from the official date of entry into force of the 07 series of amendments, the particle number work window conformity factor and CO</w:t>
      </w:r>
      <w:r w:rsidR="00043203" w:rsidRPr="00866F13">
        <w:rPr>
          <w:rFonts w:eastAsia="MS Mincho"/>
          <w:b/>
          <w:bCs/>
          <w:vertAlign w:val="subscript"/>
          <w:lang w:eastAsia="fi-FI"/>
        </w:rPr>
        <w:t>2</w:t>
      </w:r>
      <w:r w:rsidR="00043203" w:rsidRPr="00866F13">
        <w:rPr>
          <w:rFonts w:eastAsia="MS Mincho"/>
          <w:b/>
          <w:bCs/>
          <w:lang w:eastAsia="fi-FI"/>
        </w:rPr>
        <w:t xml:space="preserve"> mass window conformity factor shall be stated in the PEMS demonstration test results in the type-approval communication for monitoring purposes.</w:t>
      </w:r>
    </w:p>
    <w:p w14:paraId="2906DCCE" w14:textId="542B28C4" w:rsidR="008840DF" w:rsidRPr="00866F13" w:rsidRDefault="008840DF" w:rsidP="008D6C4B">
      <w:pPr>
        <w:spacing w:after="120"/>
        <w:ind w:left="2259" w:right="1134" w:hanging="1125"/>
        <w:jc w:val="both"/>
        <w:rPr>
          <w:rFonts w:eastAsia="MS Mincho"/>
          <w:b/>
          <w:bCs/>
          <w:lang w:eastAsia="fi-FI"/>
        </w:rPr>
      </w:pPr>
      <w:r w:rsidRPr="00866F13">
        <w:rPr>
          <w:rFonts w:eastAsia="MS Mincho"/>
          <w:b/>
          <w:bCs/>
          <w:lang w:eastAsia="fi-FI"/>
        </w:rPr>
        <w:t>13.2.</w:t>
      </w:r>
      <w:r w:rsidR="006E0E7E" w:rsidRPr="00866F13">
        <w:rPr>
          <w:rFonts w:eastAsia="MS Mincho"/>
          <w:b/>
          <w:bCs/>
          <w:lang w:eastAsia="fi-FI"/>
        </w:rPr>
        <w:t>5</w:t>
      </w:r>
      <w:r w:rsidRPr="00866F13">
        <w:rPr>
          <w:rFonts w:eastAsia="MS Mincho"/>
          <w:b/>
          <w:bCs/>
          <w:lang w:eastAsia="fi-FI"/>
        </w:rPr>
        <w:t>.</w:t>
      </w:r>
      <w:r w:rsidRPr="00866F13">
        <w:rPr>
          <w:rFonts w:eastAsia="MS Mincho"/>
          <w:b/>
          <w:bCs/>
          <w:lang w:eastAsia="fi-FI"/>
        </w:rPr>
        <w:tab/>
        <w:t>As from the official date of entry into force of the 07 series of amendments, Contracting Parties applying this Regulation shall not be obliged to accept a type-approval for a vehicle with a reference mass exceeding 2,380 kg but not exceeding 2,610 kg, which has not been granted in accordance with the 07 series of amendments to this Regulation.</w:t>
      </w:r>
    </w:p>
    <w:p w14:paraId="37463122" w14:textId="68B8E398" w:rsidR="0054278E" w:rsidRPr="00866F13" w:rsidRDefault="0054278E" w:rsidP="0054278E">
      <w:pPr>
        <w:spacing w:after="120"/>
        <w:ind w:left="2268" w:right="1134" w:hanging="1134"/>
        <w:jc w:val="both"/>
        <w:rPr>
          <w:strike/>
        </w:rPr>
      </w:pPr>
      <w:r w:rsidRPr="00866F13">
        <w:rPr>
          <w:strike/>
        </w:rPr>
        <w:t>13.3.</w:t>
      </w:r>
      <w:r w:rsidRPr="00866F13">
        <w:rPr>
          <w:strike/>
        </w:rPr>
        <w:tab/>
        <w:t>Acceptance of already issued type approvals</w:t>
      </w:r>
    </w:p>
    <w:p w14:paraId="1AD7C796" w14:textId="5C2B299F" w:rsidR="0054278E" w:rsidRPr="00866F13" w:rsidRDefault="0054278E" w:rsidP="0054278E">
      <w:pPr>
        <w:spacing w:after="120"/>
        <w:ind w:left="2268" w:right="1134" w:hanging="1134"/>
        <w:jc w:val="both"/>
        <w:rPr>
          <w:strike/>
        </w:rPr>
      </w:pPr>
      <w:r w:rsidRPr="00866F13">
        <w:rPr>
          <w:strike/>
        </w:rPr>
        <w:t>13.3.1.</w:t>
      </w:r>
      <w:r w:rsidRPr="00866F13">
        <w:rPr>
          <w:strike/>
        </w:rPr>
        <w:tab/>
        <w:t>As from 31 December 2013, Contracting Parties may refuse type approvals granted to this Regulation which do not comply with the requirements mentioned in paragraph 13.2.1. above.</w:t>
      </w:r>
    </w:p>
    <w:p w14:paraId="63107DFC" w14:textId="69F30E32" w:rsidR="0054278E" w:rsidRPr="00866F13" w:rsidRDefault="0054278E" w:rsidP="0054278E">
      <w:pPr>
        <w:spacing w:after="120"/>
        <w:ind w:left="2268" w:right="1134" w:hanging="1134"/>
        <w:jc w:val="both"/>
        <w:rPr>
          <w:strike/>
        </w:rPr>
      </w:pPr>
      <w:r w:rsidRPr="00866F13">
        <w:rPr>
          <w:strike/>
        </w:rPr>
        <w:t>13.3.2.</w:t>
      </w:r>
      <w:r w:rsidRPr="00866F13">
        <w:rPr>
          <w:strike/>
        </w:rPr>
        <w:tab/>
        <w:t>As from 1 September 2015, Contracting Parties may refuse type approvals of positive ignition engines and vehicles granted to this Regulation, which do not comply with the requirements mentioned in paragraph 13.2.2. above.</w:t>
      </w:r>
    </w:p>
    <w:p w14:paraId="0ABE2B1B" w14:textId="423BC115" w:rsidR="0054278E" w:rsidRPr="00866F13" w:rsidRDefault="0054278E" w:rsidP="0054278E">
      <w:pPr>
        <w:pStyle w:val="para"/>
        <w:rPr>
          <w:rFonts w:eastAsia="MS Mincho"/>
          <w:strike/>
          <w:lang w:val="en-GB"/>
        </w:rPr>
      </w:pPr>
      <w:r w:rsidRPr="00866F13">
        <w:rPr>
          <w:rFonts w:eastAsia="MS Mincho"/>
          <w:strike/>
          <w:lang w:val="en-GB"/>
        </w:rPr>
        <w:lastRenderedPageBreak/>
        <w:t>13.3.3.</w:t>
      </w:r>
      <w:r w:rsidRPr="00866F13">
        <w:rPr>
          <w:rFonts w:eastAsia="MS Mincho"/>
          <w:strike/>
          <w:lang w:val="en-GB"/>
        </w:rPr>
        <w:tab/>
        <w:t>As from 31 December 2016, Contracting Parties may refuse type approvals granted to this Regulation, which do not comply with the requirements mentioned in paragraph 13.2.3. above.</w:t>
      </w:r>
    </w:p>
    <w:p w14:paraId="3C885644" w14:textId="1439DE4C" w:rsidR="0054278E" w:rsidRPr="00866F13" w:rsidRDefault="0054278E" w:rsidP="0054278E">
      <w:pPr>
        <w:pStyle w:val="para"/>
        <w:rPr>
          <w:strike/>
          <w:lang w:val="en-GB"/>
        </w:rPr>
      </w:pPr>
      <w:r w:rsidRPr="00866F13">
        <w:rPr>
          <w:strike/>
          <w:lang w:val="en-GB"/>
        </w:rPr>
        <w:t>13.3.4.</w:t>
      </w:r>
      <w:r w:rsidRPr="00866F13">
        <w:rPr>
          <w:strike/>
          <w:lang w:val="en-GB"/>
        </w:rPr>
        <w:tab/>
      </w:r>
      <w:r w:rsidRPr="00866F13">
        <w:rPr>
          <w:strike/>
          <w:lang w:val="en-GB"/>
        </w:rPr>
        <w:tab/>
        <w:t>As from 1 September 2019, type approvals granted to this Regulation as amended by the 06 series of amendments, which do not comply with the requirements of paragraph 13.2.5., shall cease to be valid.</w:t>
      </w:r>
    </w:p>
    <w:p w14:paraId="7487286B" w14:textId="77777777" w:rsidR="008D6C4B" w:rsidRPr="00866F13" w:rsidRDefault="008D6C4B" w:rsidP="008D6C4B">
      <w:pPr>
        <w:spacing w:after="120"/>
        <w:ind w:left="2259" w:right="1134" w:hanging="1125"/>
        <w:jc w:val="both"/>
        <w:rPr>
          <w:rFonts w:eastAsia="MS Mincho"/>
          <w:b/>
          <w:bCs/>
          <w:lang w:eastAsia="fi-FI"/>
        </w:rPr>
      </w:pPr>
      <w:r w:rsidRPr="00866F13">
        <w:rPr>
          <w:rFonts w:eastAsia="MS Mincho"/>
          <w:b/>
          <w:bCs/>
          <w:lang w:eastAsia="fi-FI"/>
        </w:rPr>
        <w:t>13.3.</w:t>
      </w:r>
      <w:r w:rsidRPr="00866F13">
        <w:rPr>
          <w:rFonts w:eastAsia="MS Mincho"/>
          <w:b/>
          <w:bCs/>
          <w:lang w:eastAsia="fi-FI"/>
        </w:rPr>
        <w:tab/>
        <w:t>Reserved</w:t>
      </w:r>
    </w:p>
    <w:p w14:paraId="00268E75" w14:textId="77777777" w:rsidR="008D6C4B" w:rsidRPr="008D6C4B" w:rsidRDefault="008D6C4B" w:rsidP="008D6C4B">
      <w:pPr>
        <w:spacing w:after="120"/>
        <w:ind w:left="2268" w:right="1134" w:hanging="1134"/>
        <w:jc w:val="both"/>
      </w:pPr>
      <w:r w:rsidRPr="008D6C4B">
        <w:t xml:space="preserve">13.4. </w:t>
      </w:r>
      <w:r w:rsidRPr="008D6C4B">
        <w:tab/>
        <w:t>Special provisions</w:t>
      </w:r>
    </w:p>
    <w:p w14:paraId="6233BC19" w14:textId="77777777" w:rsidR="008D6C4B" w:rsidRPr="008D6C4B" w:rsidRDefault="008D6C4B" w:rsidP="008D6C4B">
      <w:pPr>
        <w:spacing w:after="100"/>
        <w:ind w:left="2268" w:right="1134" w:hanging="1134"/>
        <w:jc w:val="both"/>
      </w:pPr>
      <w:r w:rsidRPr="008D6C4B">
        <w:t>13.4.1.</w:t>
      </w:r>
      <w:r w:rsidRPr="008D6C4B">
        <w:tab/>
        <w:t>Contracting Parties applying this Regulation may continue to grant approvals to those engine systems, or vehicles which comply with any previous series of amendments, or to any level of this Regulation provided that the vehicles are intended for sale or for export to countries that apply the relating requirements in their national legislations.</w:t>
      </w:r>
    </w:p>
    <w:p w14:paraId="75C4019E" w14:textId="77777777" w:rsidR="008D6C4B" w:rsidRPr="008D6C4B" w:rsidRDefault="008D6C4B" w:rsidP="008D6C4B">
      <w:pPr>
        <w:spacing w:after="120"/>
        <w:ind w:left="2268" w:right="1134" w:hanging="1134"/>
        <w:jc w:val="both"/>
      </w:pPr>
      <w:r w:rsidRPr="008D6C4B">
        <w:t>13.4.2.</w:t>
      </w:r>
      <w:r w:rsidRPr="008D6C4B">
        <w:tab/>
        <w:t>Replacement engines for vehicles in use</w:t>
      </w:r>
    </w:p>
    <w:p w14:paraId="7B7F0042" w14:textId="77777777" w:rsidR="008D6C4B" w:rsidRPr="008D6C4B" w:rsidRDefault="008D6C4B" w:rsidP="008D6C4B">
      <w:pPr>
        <w:spacing w:after="100"/>
        <w:ind w:left="2268" w:right="1134" w:hanging="1134"/>
        <w:jc w:val="both"/>
        <w:rPr>
          <w:spacing w:val="-2"/>
        </w:rPr>
      </w:pPr>
      <w:r w:rsidRPr="008D6C4B">
        <w:rPr>
          <w:spacing w:val="-2"/>
        </w:rPr>
        <w:tab/>
        <w:t>Contracting Parties applying this Regulation may continue to grant approvals to those engines which comply with the requirements of this Regulation as amended by any previous series of amendments, or to any level of this Regulation, provided that the engine is intended as a replacement for a vehicle in-use and for which that earlier standard was applicable at the date of that vehicle's entry into service.</w:t>
      </w:r>
    </w:p>
    <w:p w14:paraId="5239D98A" w14:textId="77777777" w:rsidR="008D6C4B" w:rsidRPr="008D6C4B" w:rsidRDefault="008D6C4B" w:rsidP="008D6C4B">
      <w:pPr>
        <w:spacing w:after="100"/>
        <w:ind w:left="2268" w:right="1134" w:hanging="1134"/>
        <w:jc w:val="both"/>
        <w:rPr>
          <w:spacing w:val="-4"/>
        </w:rPr>
      </w:pPr>
      <w:r w:rsidRPr="008D6C4B">
        <w:rPr>
          <w:spacing w:val="-4"/>
        </w:rPr>
        <w:t>13.4.3.</w:t>
      </w:r>
      <w:r w:rsidRPr="008D6C4B">
        <w:rPr>
          <w:spacing w:val="-4"/>
        </w:rPr>
        <w:tab/>
        <w:t xml:space="preserve">When applying the special provisions described in paragraph 13.4.1. or paragraph 13.4.2., the type approval communication in paragraph 1.6. of the Addendum to Annexes 2A and 2C shall include information relating to these provisions. </w:t>
      </w:r>
    </w:p>
    <w:p w14:paraId="105B5CD3" w14:textId="77777777" w:rsidR="008D6C4B" w:rsidRPr="008D6C4B" w:rsidRDefault="008D6C4B" w:rsidP="008D6C4B">
      <w:pPr>
        <w:spacing w:after="100"/>
        <w:ind w:left="2268" w:right="1134" w:hanging="1134"/>
        <w:jc w:val="both"/>
      </w:pPr>
      <w:r w:rsidRPr="008D6C4B">
        <w:t>13.4.3.1.</w:t>
      </w:r>
      <w:r w:rsidRPr="008D6C4B">
        <w:tab/>
        <w:t>In the case of approvals to the special provisions laid down in paragraph 13.4.1. the type approval communication shall include the following text at the front-end of the communication, with the relevant number of the series of amendments replacing the "xx" in the example below:</w:t>
      </w:r>
    </w:p>
    <w:p w14:paraId="1C04CE64" w14:textId="77777777" w:rsidR="008D6C4B" w:rsidRPr="008D6C4B" w:rsidRDefault="008D6C4B" w:rsidP="008D6C4B">
      <w:pPr>
        <w:spacing w:after="120" w:line="240" w:lineRule="auto"/>
        <w:ind w:left="2268" w:hanging="1134"/>
        <w:jc w:val="both"/>
      </w:pPr>
      <w:r w:rsidRPr="008D6C4B">
        <w:tab/>
        <w:t>"Engine complying to series of amendments xx of Regulation No. 49".</w:t>
      </w:r>
    </w:p>
    <w:p w14:paraId="7F6E8D98" w14:textId="77777777" w:rsidR="008D6C4B" w:rsidRPr="008D6C4B" w:rsidRDefault="008D6C4B" w:rsidP="008D6C4B">
      <w:pPr>
        <w:spacing w:after="100"/>
        <w:ind w:left="2268" w:right="1134" w:hanging="1134"/>
        <w:jc w:val="both"/>
      </w:pPr>
      <w:r w:rsidRPr="008D6C4B">
        <w:t>13.4.3.2.</w:t>
      </w:r>
      <w:r w:rsidRPr="008D6C4B">
        <w:tab/>
        <w:t>In the case of approvals to the special provisions laid down in paragraph 13.4.2. the type approval communication shall include the following text at the front-end of the communication, with the relevant number of the series of amendments replacing the "xx" in the example below:</w:t>
      </w:r>
    </w:p>
    <w:p w14:paraId="4F3AF40F" w14:textId="77777777" w:rsidR="008D6C4B" w:rsidRPr="008D6C4B" w:rsidRDefault="008D6C4B" w:rsidP="008D6C4B">
      <w:pPr>
        <w:spacing w:after="120" w:line="240" w:lineRule="auto"/>
        <w:ind w:left="2268" w:right="1134" w:hanging="1134"/>
        <w:jc w:val="both"/>
        <w:rPr>
          <w:spacing w:val="-4"/>
        </w:rPr>
      </w:pPr>
      <w:r w:rsidRPr="008D6C4B">
        <w:tab/>
      </w:r>
      <w:r w:rsidRPr="008D6C4B">
        <w:rPr>
          <w:spacing w:val="-4"/>
        </w:rPr>
        <w:t>"Replacement engine complying to series of amendments xx of Regulation No. 49".</w:t>
      </w:r>
    </w:p>
    <w:p w14:paraId="6AC37088" w14:textId="23B1B666" w:rsidR="00E54547" w:rsidRPr="002C7499" w:rsidRDefault="008D6C4B" w:rsidP="005569F5">
      <w:pPr>
        <w:pStyle w:val="SingleTxtG"/>
        <w:ind w:left="2268" w:hanging="1134"/>
      </w:pPr>
      <w:r w:rsidRPr="008D6C4B">
        <w:rPr>
          <w:rFonts w:eastAsia="MS Mincho"/>
          <w:lang w:eastAsia="fi-FI"/>
        </w:rPr>
        <w:t>13.4.4.</w:t>
      </w:r>
      <w:r w:rsidRPr="008D6C4B">
        <w:rPr>
          <w:rFonts w:eastAsia="MS Mincho"/>
          <w:lang w:eastAsia="fi-FI"/>
        </w:rPr>
        <w:tab/>
      </w:r>
      <w:r w:rsidRPr="008D6C4B">
        <w:rPr>
          <w:rFonts w:eastAsia="MS Mincho"/>
          <w:lang w:eastAsia="fi-FI"/>
        </w:rPr>
        <w:tab/>
        <w:t>It is appropriate that modified requirements for the in-service testing according to paragraph 9. do not apply retroactively to engines and vehicles which have not been approved in accordance with those requirements. Therefore, vehicles subject to in-service testing according to paragraph 9. shall always be tested according to the provisions set out in the respective level of this Regulation, which has been applicable at the time of type approval.</w:t>
      </w:r>
      <w:r w:rsidR="00E54547" w:rsidRPr="002C7499">
        <w:t>"</w:t>
      </w:r>
    </w:p>
    <w:p w14:paraId="47F32D05" w14:textId="07E3238E" w:rsidR="006242C0" w:rsidRPr="002C7499" w:rsidRDefault="00704E32" w:rsidP="003B1A87">
      <w:pPr>
        <w:pStyle w:val="SingleTxtG"/>
        <w:keepNext/>
        <w:rPr>
          <w:i/>
        </w:rPr>
      </w:pPr>
      <w:r w:rsidRPr="002C7499">
        <w:rPr>
          <w:i/>
        </w:rPr>
        <w:t xml:space="preserve">Addendum to </w:t>
      </w:r>
      <w:r w:rsidR="006242C0" w:rsidRPr="002C7499">
        <w:rPr>
          <w:i/>
        </w:rPr>
        <w:t xml:space="preserve">Annex </w:t>
      </w:r>
      <w:r w:rsidR="00F6314C" w:rsidRPr="002C7499">
        <w:rPr>
          <w:i/>
        </w:rPr>
        <w:t>2A</w:t>
      </w:r>
      <w:r w:rsidR="006242C0" w:rsidRPr="002C7499">
        <w:rPr>
          <w:i/>
        </w:rPr>
        <w:t>,</w:t>
      </w:r>
    </w:p>
    <w:p w14:paraId="47F32D06" w14:textId="026284A0" w:rsidR="006242C0" w:rsidRPr="002C7499" w:rsidRDefault="00307123" w:rsidP="003B1A87">
      <w:pPr>
        <w:pStyle w:val="SingleTxtG"/>
        <w:keepNext/>
        <w:rPr>
          <w:lang w:val="en-US"/>
        </w:rPr>
      </w:pPr>
      <w:r w:rsidRPr="002C7499">
        <w:rPr>
          <w:i/>
          <w:lang w:val="en-US"/>
        </w:rPr>
        <w:t>Ta</w:t>
      </w:r>
      <w:r w:rsidR="007B372C" w:rsidRPr="002C7499">
        <w:rPr>
          <w:i/>
          <w:lang w:val="en-US"/>
        </w:rPr>
        <w:t>b</w:t>
      </w:r>
      <w:r w:rsidRPr="002C7499">
        <w:rPr>
          <w:i/>
          <w:lang w:val="en-US"/>
        </w:rPr>
        <w:t xml:space="preserve">le </w:t>
      </w:r>
      <w:r w:rsidR="007B372C" w:rsidRPr="002C7499">
        <w:rPr>
          <w:i/>
          <w:lang w:val="en-US"/>
        </w:rPr>
        <w:t>6a</w:t>
      </w:r>
      <w:r w:rsidR="007F40E6" w:rsidRPr="002C7499">
        <w:rPr>
          <w:i/>
          <w:lang w:val="en-US"/>
        </w:rPr>
        <w:t>,</w:t>
      </w:r>
      <w:r w:rsidR="007B372C" w:rsidRPr="002C7499">
        <w:rPr>
          <w:i/>
          <w:lang w:val="en-US"/>
        </w:rPr>
        <w:t xml:space="preserve"> </w:t>
      </w:r>
      <w:r w:rsidR="001C3457" w:rsidRPr="002C7499">
        <w:rPr>
          <w:iCs/>
          <w:lang w:val="en-US"/>
        </w:rPr>
        <w:t>amend</w:t>
      </w:r>
      <w:r w:rsidR="007B372C" w:rsidRPr="002C7499">
        <w:rPr>
          <w:iCs/>
          <w:lang w:val="en-US"/>
        </w:rPr>
        <w:t xml:space="preserve"> the rows concerning </w:t>
      </w:r>
      <w:r w:rsidR="001C3457" w:rsidRPr="002C7499">
        <w:rPr>
          <w:iCs/>
          <w:lang w:val="en-US"/>
        </w:rPr>
        <w:t xml:space="preserve">Pass Fail Results </w:t>
      </w:r>
      <w:r w:rsidR="007F40E6" w:rsidRPr="002C7499">
        <w:rPr>
          <w:iCs/>
          <w:lang w:val="en-US"/>
        </w:rPr>
        <w:t xml:space="preserve">and add a new footnote </w:t>
      </w:r>
      <w:r w:rsidR="006242C0" w:rsidRPr="002C7499">
        <w:rPr>
          <w:iCs/>
          <w:lang w:val="en-US"/>
        </w:rPr>
        <w:t>to read</w:t>
      </w:r>
      <w:r w:rsidR="006242C0" w:rsidRPr="002C7499">
        <w:rPr>
          <w:lang w:val="en-US"/>
        </w:rPr>
        <w:t>:</w:t>
      </w:r>
    </w:p>
    <w:p w14:paraId="1007B443" w14:textId="77777777" w:rsidR="00406E84" w:rsidRPr="002C7499" w:rsidRDefault="00AA63EF" w:rsidP="00F83068">
      <w:pPr>
        <w:pStyle w:val="SingleTxtG"/>
        <w:keepNext/>
        <w:rPr>
          <w:noProof/>
        </w:rPr>
      </w:pPr>
      <w:r w:rsidRPr="002C7499">
        <w:t>"</w:t>
      </w:r>
    </w:p>
    <w:tbl>
      <w:tblPr>
        <w:tblW w:w="8505"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28"/>
        <w:gridCol w:w="723"/>
        <w:gridCol w:w="703"/>
        <w:gridCol w:w="708"/>
        <w:gridCol w:w="709"/>
        <w:gridCol w:w="709"/>
        <w:gridCol w:w="925"/>
      </w:tblGrid>
      <w:tr w:rsidR="002A3D07" w:rsidRPr="002C7499" w14:paraId="35F93033" w14:textId="77777777" w:rsidTr="005E5241">
        <w:tc>
          <w:tcPr>
            <w:tcW w:w="4028" w:type="dxa"/>
          </w:tcPr>
          <w:p w14:paraId="129B1EC0" w14:textId="61F21586" w:rsidR="00406E84" w:rsidRPr="002C7499" w:rsidRDefault="00406E84" w:rsidP="00F83068">
            <w:pPr>
              <w:keepNext/>
              <w:rPr>
                <w:rFonts w:eastAsia="MS Mincho"/>
                <w:noProof/>
                <w:color w:val="000000" w:themeColor="text1"/>
                <w:lang w:val="fi-FI" w:eastAsia="fi-FI"/>
              </w:rPr>
            </w:pPr>
            <w:r w:rsidRPr="002C7499">
              <w:rPr>
                <w:rFonts w:eastAsia="MS Mincho"/>
                <w:noProof/>
                <w:color w:val="000000" w:themeColor="text1"/>
                <w:lang w:val="fi-FI" w:eastAsia="fi-FI"/>
              </w:rPr>
              <w:t>Pass Fail Results</w:t>
            </w:r>
            <w:r w:rsidR="006A4987" w:rsidRPr="002C7499">
              <w:rPr>
                <w:rFonts w:eastAsia="MS Mincho"/>
                <w:noProof/>
                <w:color w:val="000000" w:themeColor="text1"/>
                <w:vertAlign w:val="superscript"/>
                <w:lang w:val="fi-FI" w:eastAsia="fi-FI"/>
              </w:rPr>
              <w:t>3</w:t>
            </w:r>
            <w:r w:rsidRPr="002C7499">
              <w:rPr>
                <w:rFonts w:eastAsia="MS Mincho"/>
                <w:noProof/>
                <w:color w:val="000000" w:themeColor="text1"/>
                <w:lang w:val="fi-FI" w:eastAsia="fi-FI"/>
              </w:rPr>
              <w:t>:</w:t>
            </w:r>
          </w:p>
        </w:tc>
        <w:tc>
          <w:tcPr>
            <w:tcW w:w="723" w:type="dxa"/>
          </w:tcPr>
          <w:p w14:paraId="63F75CE7" w14:textId="77777777" w:rsidR="00406E84" w:rsidRPr="002C7499" w:rsidRDefault="00406E84" w:rsidP="00406E84">
            <w:pPr>
              <w:rPr>
                <w:rFonts w:eastAsia="MS Mincho"/>
                <w:noProof/>
                <w:color w:val="000000" w:themeColor="text1"/>
                <w:lang w:val="fi-FI" w:eastAsia="fi-FI"/>
              </w:rPr>
            </w:pPr>
            <w:r w:rsidRPr="002C7499">
              <w:rPr>
                <w:rFonts w:eastAsia="MS Mincho"/>
                <w:noProof/>
                <w:color w:val="000000" w:themeColor="text1"/>
                <w:lang w:val="fi-FI" w:eastAsia="fi-FI"/>
              </w:rPr>
              <w:t>CO</w:t>
            </w:r>
          </w:p>
        </w:tc>
        <w:tc>
          <w:tcPr>
            <w:tcW w:w="703" w:type="dxa"/>
          </w:tcPr>
          <w:p w14:paraId="23B3E9C1" w14:textId="77777777" w:rsidR="00406E84" w:rsidRPr="002C7499" w:rsidRDefault="00406E84" w:rsidP="00406E84">
            <w:pPr>
              <w:rPr>
                <w:rFonts w:eastAsia="MS Mincho"/>
                <w:noProof/>
                <w:color w:val="000000" w:themeColor="text1"/>
                <w:lang w:val="fi-FI" w:eastAsia="fi-FI"/>
              </w:rPr>
            </w:pPr>
            <w:r w:rsidRPr="002C7499">
              <w:rPr>
                <w:rFonts w:eastAsia="MS Mincho"/>
                <w:noProof/>
                <w:color w:val="000000" w:themeColor="text1"/>
                <w:lang w:val="fi-FI" w:eastAsia="fi-FI"/>
              </w:rPr>
              <w:t>THC</w:t>
            </w:r>
          </w:p>
        </w:tc>
        <w:tc>
          <w:tcPr>
            <w:tcW w:w="708" w:type="dxa"/>
          </w:tcPr>
          <w:p w14:paraId="481B50CD" w14:textId="77777777" w:rsidR="00406E84" w:rsidRPr="002C7499" w:rsidRDefault="00406E84" w:rsidP="00406E84">
            <w:pPr>
              <w:ind w:left="-67" w:right="-99"/>
              <w:rPr>
                <w:rFonts w:eastAsia="MS Mincho"/>
                <w:noProof/>
                <w:color w:val="000000" w:themeColor="text1"/>
                <w:lang w:val="fi-FI" w:eastAsia="fi-FI"/>
              </w:rPr>
            </w:pPr>
            <w:r w:rsidRPr="002C7499">
              <w:rPr>
                <w:rFonts w:eastAsia="MS Mincho"/>
                <w:noProof/>
                <w:color w:val="000000" w:themeColor="text1"/>
                <w:lang w:val="fi-FI" w:eastAsia="fi-FI"/>
              </w:rPr>
              <w:t>NMHC</w:t>
            </w:r>
          </w:p>
        </w:tc>
        <w:tc>
          <w:tcPr>
            <w:tcW w:w="709" w:type="dxa"/>
          </w:tcPr>
          <w:p w14:paraId="5AF7B172" w14:textId="77777777" w:rsidR="00406E84" w:rsidRPr="002C7499" w:rsidRDefault="00406E84" w:rsidP="00406E84">
            <w:pPr>
              <w:rPr>
                <w:rFonts w:eastAsia="MS Mincho"/>
                <w:noProof/>
                <w:color w:val="000000" w:themeColor="text1"/>
                <w:lang w:val="fi-FI" w:eastAsia="fi-FI"/>
              </w:rPr>
            </w:pPr>
            <w:r w:rsidRPr="002C7499">
              <w:rPr>
                <w:rFonts w:eastAsia="MS Mincho"/>
                <w:noProof/>
                <w:color w:val="000000" w:themeColor="text1"/>
                <w:lang w:val="fi-FI" w:eastAsia="fi-FI"/>
              </w:rPr>
              <w:t>CH</w:t>
            </w:r>
            <w:r w:rsidRPr="002C7499">
              <w:rPr>
                <w:rFonts w:eastAsia="MS Mincho"/>
                <w:noProof/>
                <w:color w:val="000000" w:themeColor="text1"/>
                <w:vertAlign w:val="subscript"/>
                <w:lang w:val="fi-FI" w:eastAsia="fi-FI"/>
              </w:rPr>
              <w:t>4</w:t>
            </w:r>
          </w:p>
        </w:tc>
        <w:tc>
          <w:tcPr>
            <w:tcW w:w="709" w:type="dxa"/>
          </w:tcPr>
          <w:p w14:paraId="6B5F4E9C" w14:textId="77777777" w:rsidR="00406E84" w:rsidRPr="002C7499" w:rsidRDefault="00406E84" w:rsidP="00406E84">
            <w:pPr>
              <w:rPr>
                <w:rFonts w:eastAsia="MS Mincho"/>
                <w:noProof/>
                <w:color w:val="000000" w:themeColor="text1"/>
                <w:lang w:val="fi-FI" w:eastAsia="fi-FI"/>
              </w:rPr>
            </w:pPr>
            <w:r w:rsidRPr="002C7499">
              <w:rPr>
                <w:rFonts w:eastAsia="MS Mincho"/>
                <w:noProof/>
                <w:color w:val="000000" w:themeColor="text1"/>
                <w:lang w:val="fi-FI" w:eastAsia="fi-FI"/>
              </w:rPr>
              <w:t>NO</w:t>
            </w:r>
            <w:r w:rsidRPr="002C7499">
              <w:rPr>
                <w:rFonts w:eastAsia="MS Mincho"/>
                <w:noProof/>
                <w:color w:val="000000" w:themeColor="text1"/>
                <w:vertAlign w:val="subscript"/>
                <w:lang w:val="fi-FI" w:eastAsia="fi-FI"/>
              </w:rPr>
              <w:t>x</w:t>
            </w:r>
          </w:p>
        </w:tc>
        <w:tc>
          <w:tcPr>
            <w:tcW w:w="925" w:type="dxa"/>
          </w:tcPr>
          <w:p w14:paraId="42579B9A" w14:textId="7E98694A" w:rsidR="00406E84" w:rsidRPr="002C7499" w:rsidRDefault="00406E84" w:rsidP="00406E84">
            <w:pPr>
              <w:ind w:right="-75"/>
              <w:rPr>
                <w:rFonts w:eastAsia="MS Mincho"/>
                <w:noProof/>
                <w:color w:val="000000" w:themeColor="text1"/>
                <w:lang w:val="fi-FI" w:eastAsia="fi-FI"/>
              </w:rPr>
            </w:pPr>
            <w:r w:rsidRPr="002C7499">
              <w:rPr>
                <w:rFonts w:eastAsia="MS Mincho"/>
                <w:noProof/>
                <w:color w:val="000000" w:themeColor="text1"/>
                <w:lang w:val="fi-FI" w:eastAsia="fi-FI"/>
              </w:rPr>
              <w:t xml:space="preserve">PM </w:t>
            </w:r>
            <w:r w:rsidRPr="00866F13">
              <w:rPr>
                <w:rFonts w:eastAsia="MS Mincho"/>
                <w:strike/>
                <w:noProof/>
                <w:color w:val="000000" w:themeColor="text1"/>
                <w:lang w:val="fi-FI" w:eastAsia="fi-FI"/>
              </w:rPr>
              <w:t>mass</w:t>
            </w:r>
            <w:r w:rsidR="00CE6A09" w:rsidRPr="00866F13">
              <w:rPr>
                <w:rFonts w:eastAsia="MS Mincho"/>
                <w:b/>
                <w:bCs/>
                <w:noProof/>
                <w:color w:val="000000" w:themeColor="text1"/>
                <w:lang w:val="fi-FI" w:eastAsia="fi-FI"/>
              </w:rPr>
              <w:t>number</w:t>
            </w:r>
            <w:r w:rsidR="00B92416" w:rsidRPr="002C7499">
              <w:rPr>
                <w:rFonts w:eastAsia="MS Mincho"/>
                <w:strike/>
                <w:noProof/>
                <w:color w:val="000000" w:themeColor="text1"/>
                <w:lang w:val="fi-FI" w:eastAsia="fi-FI"/>
              </w:rPr>
              <w:t xml:space="preserve"> </w:t>
            </w:r>
          </w:p>
        </w:tc>
      </w:tr>
      <w:tr w:rsidR="002A3D07" w:rsidRPr="002C7499" w14:paraId="1890830C" w14:textId="77777777" w:rsidTr="005E5241">
        <w:tc>
          <w:tcPr>
            <w:tcW w:w="4028" w:type="dxa"/>
          </w:tcPr>
          <w:p w14:paraId="33BAD26B" w14:textId="271DD6E8" w:rsidR="00406E84" w:rsidRPr="002C7499" w:rsidRDefault="00406E84" w:rsidP="00F83068">
            <w:pPr>
              <w:keepNext/>
              <w:ind w:left="318"/>
              <w:rPr>
                <w:rFonts w:eastAsia="MS Mincho"/>
                <w:noProof/>
                <w:color w:val="000000" w:themeColor="text1"/>
                <w:lang w:val="fi-FI" w:eastAsia="fi-FI"/>
              </w:rPr>
            </w:pPr>
            <w:r w:rsidRPr="002C7499">
              <w:rPr>
                <w:rFonts w:eastAsia="MS Mincho"/>
                <w:noProof/>
                <w:color w:val="000000" w:themeColor="text1"/>
                <w:lang w:val="fi-FI" w:eastAsia="fi-FI"/>
              </w:rPr>
              <w:t>Work window conformity factor</w:t>
            </w:r>
            <w:r w:rsidR="007F40E6" w:rsidRPr="00047EED">
              <w:rPr>
                <w:rFonts w:eastAsia="MS Mincho"/>
                <w:b/>
                <w:bCs/>
                <w:noProof/>
                <w:color w:val="000000" w:themeColor="text1"/>
                <w:vertAlign w:val="superscript"/>
                <w:lang w:val="fi-FI" w:eastAsia="fi-FI"/>
              </w:rPr>
              <w:t>4</w:t>
            </w:r>
          </w:p>
        </w:tc>
        <w:tc>
          <w:tcPr>
            <w:tcW w:w="723" w:type="dxa"/>
          </w:tcPr>
          <w:p w14:paraId="21272E10" w14:textId="77777777" w:rsidR="00406E84" w:rsidRPr="002C7499" w:rsidRDefault="00406E84" w:rsidP="00406E84">
            <w:pPr>
              <w:rPr>
                <w:rFonts w:eastAsia="MS Mincho"/>
                <w:noProof/>
                <w:color w:val="000000" w:themeColor="text1"/>
                <w:lang w:val="fi-FI" w:eastAsia="fi-FI"/>
              </w:rPr>
            </w:pPr>
          </w:p>
        </w:tc>
        <w:tc>
          <w:tcPr>
            <w:tcW w:w="703" w:type="dxa"/>
          </w:tcPr>
          <w:p w14:paraId="771ED175" w14:textId="77777777" w:rsidR="00406E84" w:rsidRPr="002C7499" w:rsidRDefault="00406E84" w:rsidP="00406E84">
            <w:pPr>
              <w:rPr>
                <w:rFonts w:eastAsia="MS Mincho"/>
                <w:noProof/>
                <w:color w:val="000000" w:themeColor="text1"/>
                <w:lang w:val="fi-FI" w:eastAsia="fi-FI"/>
              </w:rPr>
            </w:pPr>
          </w:p>
        </w:tc>
        <w:tc>
          <w:tcPr>
            <w:tcW w:w="708" w:type="dxa"/>
          </w:tcPr>
          <w:p w14:paraId="745677CD" w14:textId="77777777" w:rsidR="00406E84" w:rsidRPr="002C7499" w:rsidRDefault="00406E84" w:rsidP="00406E84">
            <w:pPr>
              <w:rPr>
                <w:rFonts w:eastAsia="MS Mincho"/>
                <w:noProof/>
                <w:color w:val="000000" w:themeColor="text1"/>
                <w:lang w:val="fi-FI" w:eastAsia="fi-FI"/>
              </w:rPr>
            </w:pPr>
          </w:p>
        </w:tc>
        <w:tc>
          <w:tcPr>
            <w:tcW w:w="709" w:type="dxa"/>
          </w:tcPr>
          <w:p w14:paraId="343EEEE1" w14:textId="77777777" w:rsidR="00406E84" w:rsidRPr="002C7499" w:rsidRDefault="00406E84" w:rsidP="00406E84">
            <w:pPr>
              <w:rPr>
                <w:rFonts w:eastAsia="MS Mincho"/>
                <w:noProof/>
                <w:color w:val="000000" w:themeColor="text1"/>
                <w:lang w:val="fi-FI" w:eastAsia="fi-FI"/>
              </w:rPr>
            </w:pPr>
          </w:p>
        </w:tc>
        <w:tc>
          <w:tcPr>
            <w:tcW w:w="709" w:type="dxa"/>
          </w:tcPr>
          <w:p w14:paraId="6D5F0DDE" w14:textId="77777777" w:rsidR="00406E84" w:rsidRPr="002C7499" w:rsidRDefault="00406E84" w:rsidP="00406E84">
            <w:pPr>
              <w:rPr>
                <w:rFonts w:eastAsia="MS Mincho"/>
                <w:noProof/>
                <w:color w:val="000000" w:themeColor="text1"/>
                <w:lang w:val="fi-FI" w:eastAsia="fi-FI"/>
              </w:rPr>
            </w:pPr>
          </w:p>
        </w:tc>
        <w:tc>
          <w:tcPr>
            <w:tcW w:w="925" w:type="dxa"/>
          </w:tcPr>
          <w:p w14:paraId="72A3FF92" w14:textId="77777777" w:rsidR="00406E84" w:rsidRPr="002C7499" w:rsidRDefault="00406E84" w:rsidP="00406E84">
            <w:pPr>
              <w:rPr>
                <w:rFonts w:eastAsia="MS Mincho"/>
                <w:noProof/>
                <w:color w:val="000000" w:themeColor="text1"/>
                <w:lang w:val="fi-FI" w:eastAsia="fi-FI"/>
              </w:rPr>
            </w:pPr>
          </w:p>
        </w:tc>
      </w:tr>
      <w:tr w:rsidR="002A3D07" w:rsidRPr="002C7499" w14:paraId="221E1564" w14:textId="77777777" w:rsidTr="005E5241">
        <w:tc>
          <w:tcPr>
            <w:tcW w:w="4028" w:type="dxa"/>
          </w:tcPr>
          <w:p w14:paraId="7B001256" w14:textId="6FE754DA" w:rsidR="00406E84" w:rsidRPr="002C7499" w:rsidRDefault="00406E84" w:rsidP="00406E84">
            <w:pPr>
              <w:ind w:left="318"/>
              <w:rPr>
                <w:rFonts w:eastAsia="MS Mincho"/>
                <w:noProof/>
                <w:color w:val="000000" w:themeColor="text1"/>
                <w:lang w:eastAsia="fi-FI"/>
              </w:rPr>
            </w:pPr>
            <w:r w:rsidRPr="002C7499">
              <w:rPr>
                <w:rFonts w:eastAsia="MS Mincho"/>
                <w:noProof/>
                <w:color w:val="000000" w:themeColor="text1"/>
                <w:lang w:eastAsia="fi-FI"/>
              </w:rPr>
              <w:t>CO</w:t>
            </w:r>
            <w:r w:rsidRPr="002C7499">
              <w:rPr>
                <w:rFonts w:eastAsia="MS Mincho"/>
                <w:noProof/>
                <w:color w:val="000000" w:themeColor="text1"/>
                <w:vertAlign w:val="subscript"/>
                <w:lang w:eastAsia="fi-FI"/>
              </w:rPr>
              <w:t>2</w:t>
            </w:r>
            <w:r w:rsidRPr="002C7499">
              <w:rPr>
                <w:rFonts w:eastAsia="MS Mincho"/>
                <w:noProof/>
                <w:color w:val="000000" w:themeColor="text1"/>
                <w:lang w:eastAsia="fi-FI"/>
              </w:rPr>
              <w:t xml:space="preserve"> mass window conformity factor</w:t>
            </w:r>
            <w:r w:rsidR="007F40E6" w:rsidRPr="00047EED">
              <w:rPr>
                <w:rFonts w:eastAsia="MS Mincho"/>
                <w:b/>
                <w:bCs/>
                <w:noProof/>
                <w:color w:val="000000" w:themeColor="text1"/>
                <w:vertAlign w:val="superscript"/>
                <w:lang w:eastAsia="fi-FI"/>
              </w:rPr>
              <w:t>4</w:t>
            </w:r>
          </w:p>
        </w:tc>
        <w:tc>
          <w:tcPr>
            <w:tcW w:w="723" w:type="dxa"/>
          </w:tcPr>
          <w:p w14:paraId="4CCC692C" w14:textId="77777777" w:rsidR="00406E84" w:rsidRPr="002C7499" w:rsidRDefault="00406E84" w:rsidP="00406E84">
            <w:pPr>
              <w:rPr>
                <w:rFonts w:eastAsia="MS Mincho"/>
                <w:noProof/>
                <w:color w:val="000000" w:themeColor="text1"/>
                <w:lang w:eastAsia="fi-FI"/>
              </w:rPr>
            </w:pPr>
          </w:p>
        </w:tc>
        <w:tc>
          <w:tcPr>
            <w:tcW w:w="703" w:type="dxa"/>
          </w:tcPr>
          <w:p w14:paraId="58EBA79B" w14:textId="77777777" w:rsidR="00406E84" w:rsidRPr="002C7499" w:rsidRDefault="00406E84" w:rsidP="00406E84">
            <w:pPr>
              <w:rPr>
                <w:rFonts w:eastAsia="MS Mincho"/>
                <w:noProof/>
                <w:color w:val="000000" w:themeColor="text1"/>
                <w:lang w:eastAsia="fi-FI"/>
              </w:rPr>
            </w:pPr>
          </w:p>
        </w:tc>
        <w:tc>
          <w:tcPr>
            <w:tcW w:w="708" w:type="dxa"/>
          </w:tcPr>
          <w:p w14:paraId="6389D15A" w14:textId="77777777" w:rsidR="00406E84" w:rsidRPr="002C7499" w:rsidRDefault="00406E84" w:rsidP="00406E84">
            <w:pPr>
              <w:rPr>
                <w:rFonts w:eastAsia="MS Mincho"/>
                <w:noProof/>
                <w:color w:val="000000" w:themeColor="text1"/>
                <w:lang w:eastAsia="fi-FI"/>
              </w:rPr>
            </w:pPr>
          </w:p>
        </w:tc>
        <w:tc>
          <w:tcPr>
            <w:tcW w:w="709" w:type="dxa"/>
          </w:tcPr>
          <w:p w14:paraId="3931670D" w14:textId="77777777" w:rsidR="00406E84" w:rsidRPr="002C7499" w:rsidRDefault="00406E84" w:rsidP="00406E84">
            <w:pPr>
              <w:rPr>
                <w:rFonts w:eastAsia="MS Mincho"/>
                <w:noProof/>
                <w:color w:val="000000" w:themeColor="text1"/>
                <w:lang w:eastAsia="fi-FI"/>
              </w:rPr>
            </w:pPr>
          </w:p>
        </w:tc>
        <w:tc>
          <w:tcPr>
            <w:tcW w:w="709" w:type="dxa"/>
          </w:tcPr>
          <w:p w14:paraId="374B3324" w14:textId="77777777" w:rsidR="00406E84" w:rsidRPr="002C7499" w:rsidRDefault="00406E84" w:rsidP="00406E84">
            <w:pPr>
              <w:rPr>
                <w:rFonts w:eastAsia="MS Mincho"/>
                <w:noProof/>
                <w:color w:val="000000" w:themeColor="text1"/>
                <w:lang w:eastAsia="fi-FI"/>
              </w:rPr>
            </w:pPr>
          </w:p>
        </w:tc>
        <w:tc>
          <w:tcPr>
            <w:tcW w:w="925" w:type="dxa"/>
          </w:tcPr>
          <w:p w14:paraId="5AF5C89D" w14:textId="77777777" w:rsidR="00406E84" w:rsidRPr="002C7499" w:rsidRDefault="00406E84" w:rsidP="00406E84">
            <w:pPr>
              <w:rPr>
                <w:rFonts w:eastAsia="MS Mincho"/>
                <w:noProof/>
                <w:color w:val="000000" w:themeColor="text1"/>
                <w:lang w:eastAsia="fi-FI"/>
              </w:rPr>
            </w:pPr>
          </w:p>
        </w:tc>
      </w:tr>
    </w:tbl>
    <w:p w14:paraId="5B1AC409" w14:textId="10955204" w:rsidR="00406E84" w:rsidRPr="002C7499" w:rsidRDefault="007F40E6" w:rsidP="00490DFA">
      <w:pPr>
        <w:pStyle w:val="SingleTxtG"/>
        <w:spacing w:before="120"/>
      </w:pPr>
      <w:r w:rsidRPr="00047EED">
        <w:rPr>
          <w:rFonts w:eastAsia="MS Mincho"/>
          <w:b/>
          <w:bCs/>
          <w:noProof/>
          <w:color w:val="000000" w:themeColor="text1"/>
          <w:vertAlign w:val="superscript"/>
          <w:lang w:val="fi-FI" w:eastAsia="fi-FI"/>
        </w:rPr>
        <w:t>4</w:t>
      </w:r>
      <w:r w:rsidR="00CE6A09" w:rsidRPr="00047EED">
        <w:rPr>
          <w:b/>
          <w:bCs/>
        </w:rPr>
        <w:t xml:space="preserve"> </w:t>
      </w:r>
      <w:proofErr w:type="spellStart"/>
      <w:r w:rsidR="00CE6A09" w:rsidRPr="00047EED">
        <w:rPr>
          <w:b/>
          <w:bCs/>
        </w:rPr>
        <w:t>CF</w:t>
      </w:r>
      <w:r w:rsidR="00CE6A09" w:rsidRPr="00047EED">
        <w:rPr>
          <w:b/>
          <w:bCs/>
          <w:vertAlign w:val="subscript"/>
        </w:rPr>
        <w:t>final</w:t>
      </w:r>
      <w:proofErr w:type="spellEnd"/>
      <w:r w:rsidR="00CE6A09" w:rsidRPr="00047EED">
        <w:rPr>
          <w:b/>
          <w:bCs/>
        </w:rPr>
        <w:t xml:space="preserve"> needs to be stated, if applicable </w:t>
      </w:r>
      <w:r w:rsidR="00F6314C" w:rsidRPr="002C7499">
        <w:t>"</w:t>
      </w:r>
    </w:p>
    <w:p w14:paraId="718CFD61" w14:textId="055F7124" w:rsidR="00F6314C" w:rsidRPr="002C7499" w:rsidRDefault="00F6314C" w:rsidP="00687E75">
      <w:pPr>
        <w:pStyle w:val="SingleTxtG"/>
        <w:rPr>
          <w:i/>
        </w:rPr>
      </w:pPr>
      <w:bookmarkStart w:id="7" w:name="_Hlk51842188"/>
      <w:r w:rsidRPr="002C7499">
        <w:rPr>
          <w:i/>
        </w:rPr>
        <w:lastRenderedPageBreak/>
        <w:t>Addendum to Annex 2C</w:t>
      </w:r>
      <w:bookmarkEnd w:id="7"/>
      <w:r w:rsidRPr="002C7499">
        <w:rPr>
          <w:i/>
        </w:rPr>
        <w:t>,</w:t>
      </w:r>
    </w:p>
    <w:p w14:paraId="48E16A93" w14:textId="36DEB817" w:rsidR="00F6314C" w:rsidRPr="002C7499" w:rsidRDefault="00F6314C" w:rsidP="00687E75">
      <w:pPr>
        <w:pStyle w:val="SingleTxtG"/>
        <w:rPr>
          <w:lang w:val="en-US"/>
        </w:rPr>
      </w:pPr>
      <w:r w:rsidRPr="002C7499">
        <w:rPr>
          <w:i/>
          <w:lang w:val="en-US"/>
        </w:rPr>
        <w:t>Table 6a</w:t>
      </w:r>
      <w:r w:rsidR="00687E75" w:rsidRPr="002C7499">
        <w:rPr>
          <w:i/>
          <w:lang w:val="en-US"/>
        </w:rPr>
        <w:t>,</w:t>
      </w:r>
      <w:r w:rsidRPr="002C7499">
        <w:rPr>
          <w:i/>
          <w:lang w:val="en-US"/>
        </w:rPr>
        <w:t xml:space="preserve"> </w:t>
      </w:r>
      <w:r w:rsidRPr="002C7499">
        <w:rPr>
          <w:iCs/>
          <w:lang w:val="en-US"/>
        </w:rPr>
        <w:t xml:space="preserve">amend the rows concerning Pass Fail Results </w:t>
      </w:r>
      <w:r w:rsidR="007F40E6" w:rsidRPr="002C7499">
        <w:rPr>
          <w:iCs/>
          <w:lang w:val="en-US"/>
        </w:rPr>
        <w:t xml:space="preserve">and add a new footnote </w:t>
      </w:r>
      <w:r w:rsidRPr="002C7499">
        <w:rPr>
          <w:iCs/>
          <w:lang w:val="en-US"/>
        </w:rPr>
        <w:t>to read</w:t>
      </w:r>
      <w:r w:rsidRPr="002C7499">
        <w:rPr>
          <w:lang w:val="en-US"/>
        </w:rPr>
        <w:t>:</w:t>
      </w:r>
    </w:p>
    <w:p w14:paraId="0AC25875" w14:textId="77777777" w:rsidR="00F6314C" w:rsidRPr="002C7499" w:rsidRDefault="00F6314C" w:rsidP="00687E75">
      <w:pPr>
        <w:pStyle w:val="SingleTxtG"/>
        <w:rPr>
          <w:noProof/>
        </w:rPr>
      </w:pPr>
      <w:r w:rsidRPr="002C7499">
        <w:t>"</w:t>
      </w:r>
    </w:p>
    <w:tbl>
      <w:tblPr>
        <w:tblW w:w="8505"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28"/>
        <w:gridCol w:w="723"/>
        <w:gridCol w:w="703"/>
        <w:gridCol w:w="708"/>
        <w:gridCol w:w="709"/>
        <w:gridCol w:w="709"/>
        <w:gridCol w:w="925"/>
      </w:tblGrid>
      <w:tr w:rsidR="00F6314C" w:rsidRPr="002C7499" w14:paraId="04543B88" w14:textId="77777777" w:rsidTr="005E5241">
        <w:tc>
          <w:tcPr>
            <w:tcW w:w="4028" w:type="dxa"/>
          </w:tcPr>
          <w:p w14:paraId="5CC825D1" w14:textId="3CB152F2" w:rsidR="00F6314C" w:rsidRPr="002C7499" w:rsidRDefault="00F6314C" w:rsidP="005E5241">
            <w:pPr>
              <w:rPr>
                <w:rFonts w:eastAsia="MS Mincho"/>
                <w:noProof/>
                <w:color w:val="000000" w:themeColor="text1"/>
                <w:lang w:val="fi-FI" w:eastAsia="fi-FI"/>
              </w:rPr>
            </w:pPr>
            <w:r w:rsidRPr="002C7499">
              <w:rPr>
                <w:rFonts w:eastAsia="MS Mincho"/>
                <w:noProof/>
                <w:color w:val="000000" w:themeColor="text1"/>
                <w:lang w:val="fi-FI" w:eastAsia="fi-FI"/>
              </w:rPr>
              <w:t>Pass Fail Results</w:t>
            </w:r>
            <w:r w:rsidR="00D35F53" w:rsidRPr="002C7499">
              <w:rPr>
                <w:rFonts w:eastAsia="MS Mincho"/>
                <w:noProof/>
                <w:color w:val="000000" w:themeColor="text1"/>
                <w:vertAlign w:val="superscript"/>
                <w:lang w:val="fi-FI" w:eastAsia="fi-FI"/>
              </w:rPr>
              <w:t>3</w:t>
            </w:r>
            <w:r w:rsidRPr="002C7499">
              <w:rPr>
                <w:rFonts w:eastAsia="MS Mincho"/>
                <w:noProof/>
                <w:color w:val="000000" w:themeColor="text1"/>
                <w:lang w:val="fi-FI" w:eastAsia="fi-FI"/>
              </w:rPr>
              <w:t>:</w:t>
            </w:r>
          </w:p>
        </w:tc>
        <w:tc>
          <w:tcPr>
            <w:tcW w:w="723" w:type="dxa"/>
          </w:tcPr>
          <w:p w14:paraId="055FAE4D" w14:textId="77777777" w:rsidR="00F6314C" w:rsidRPr="002C7499" w:rsidRDefault="00F6314C" w:rsidP="005E5241">
            <w:pPr>
              <w:rPr>
                <w:rFonts w:eastAsia="MS Mincho"/>
                <w:noProof/>
                <w:color w:val="000000" w:themeColor="text1"/>
                <w:lang w:val="fi-FI" w:eastAsia="fi-FI"/>
              </w:rPr>
            </w:pPr>
            <w:r w:rsidRPr="002C7499">
              <w:rPr>
                <w:rFonts w:eastAsia="MS Mincho"/>
                <w:noProof/>
                <w:color w:val="000000" w:themeColor="text1"/>
                <w:lang w:val="fi-FI" w:eastAsia="fi-FI"/>
              </w:rPr>
              <w:t>CO</w:t>
            </w:r>
          </w:p>
        </w:tc>
        <w:tc>
          <w:tcPr>
            <w:tcW w:w="703" w:type="dxa"/>
          </w:tcPr>
          <w:p w14:paraId="42AE7E9D" w14:textId="77777777" w:rsidR="00F6314C" w:rsidRPr="002C7499" w:rsidRDefault="00F6314C" w:rsidP="005E5241">
            <w:pPr>
              <w:rPr>
                <w:rFonts w:eastAsia="MS Mincho"/>
                <w:noProof/>
                <w:color w:val="000000" w:themeColor="text1"/>
                <w:lang w:val="fi-FI" w:eastAsia="fi-FI"/>
              </w:rPr>
            </w:pPr>
            <w:r w:rsidRPr="002C7499">
              <w:rPr>
                <w:rFonts w:eastAsia="MS Mincho"/>
                <w:noProof/>
                <w:color w:val="000000" w:themeColor="text1"/>
                <w:lang w:val="fi-FI" w:eastAsia="fi-FI"/>
              </w:rPr>
              <w:t>THC</w:t>
            </w:r>
          </w:p>
        </w:tc>
        <w:tc>
          <w:tcPr>
            <w:tcW w:w="708" w:type="dxa"/>
          </w:tcPr>
          <w:p w14:paraId="3B3C212E" w14:textId="77777777" w:rsidR="00F6314C" w:rsidRPr="002C7499" w:rsidRDefault="00F6314C" w:rsidP="005E5241">
            <w:pPr>
              <w:ind w:left="-67" w:right="-99"/>
              <w:rPr>
                <w:rFonts w:eastAsia="MS Mincho"/>
                <w:noProof/>
                <w:color w:val="000000" w:themeColor="text1"/>
                <w:lang w:val="fi-FI" w:eastAsia="fi-FI"/>
              </w:rPr>
            </w:pPr>
            <w:r w:rsidRPr="002C7499">
              <w:rPr>
                <w:rFonts w:eastAsia="MS Mincho"/>
                <w:noProof/>
                <w:color w:val="000000" w:themeColor="text1"/>
                <w:lang w:val="fi-FI" w:eastAsia="fi-FI"/>
              </w:rPr>
              <w:t>NMHC</w:t>
            </w:r>
          </w:p>
        </w:tc>
        <w:tc>
          <w:tcPr>
            <w:tcW w:w="709" w:type="dxa"/>
          </w:tcPr>
          <w:p w14:paraId="0CD1BAE1" w14:textId="77777777" w:rsidR="00F6314C" w:rsidRPr="002C7499" w:rsidRDefault="00F6314C" w:rsidP="005E5241">
            <w:pPr>
              <w:rPr>
                <w:rFonts w:eastAsia="MS Mincho"/>
                <w:noProof/>
                <w:color w:val="000000" w:themeColor="text1"/>
                <w:lang w:val="fi-FI" w:eastAsia="fi-FI"/>
              </w:rPr>
            </w:pPr>
            <w:r w:rsidRPr="002C7499">
              <w:rPr>
                <w:rFonts w:eastAsia="MS Mincho"/>
                <w:noProof/>
                <w:color w:val="000000" w:themeColor="text1"/>
                <w:lang w:val="fi-FI" w:eastAsia="fi-FI"/>
              </w:rPr>
              <w:t>CH</w:t>
            </w:r>
            <w:r w:rsidRPr="002C7499">
              <w:rPr>
                <w:rFonts w:eastAsia="MS Mincho"/>
                <w:noProof/>
                <w:color w:val="000000" w:themeColor="text1"/>
                <w:vertAlign w:val="subscript"/>
                <w:lang w:val="fi-FI" w:eastAsia="fi-FI"/>
              </w:rPr>
              <w:t>4</w:t>
            </w:r>
          </w:p>
        </w:tc>
        <w:tc>
          <w:tcPr>
            <w:tcW w:w="709" w:type="dxa"/>
          </w:tcPr>
          <w:p w14:paraId="64FB030E" w14:textId="77777777" w:rsidR="00F6314C" w:rsidRPr="002C7499" w:rsidRDefault="00F6314C" w:rsidP="005E5241">
            <w:pPr>
              <w:rPr>
                <w:rFonts w:eastAsia="MS Mincho"/>
                <w:noProof/>
                <w:color w:val="000000" w:themeColor="text1"/>
                <w:lang w:val="fi-FI" w:eastAsia="fi-FI"/>
              </w:rPr>
            </w:pPr>
            <w:r w:rsidRPr="002C7499">
              <w:rPr>
                <w:rFonts w:eastAsia="MS Mincho"/>
                <w:noProof/>
                <w:color w:val="000000" w:themeColor="text1"/>
                <w:lang w:val="fi-FI" w:eastAsia="fi-FI"/>
              </w:rPr>
              <w:t>NO</w:t>
            </w:r>
            <w:r w:rsidRPr="002C7499">
              <w:rPr>
                <w:rFonts w:eastAsia="MS Mincho"/>
                <w:noProof/>
                <w:color w:val="000000" w:themeColor="text1"/>
                <w:vertAlign w:val="subscript"/>
                <w:lang w:val="fi-FI" w:eastAsia="fi-FI"/>
              </w:rPr>
              <w:t>x</w:t>
            </w:r>
          </w:p>
        </w:tc>
        <w:tc>
          <w:tcPr>
            <w:tcW w:w="925" w:type="dxa"/>
          </w:tcPr>
          <w:p w14:paraId="0CB12E91" w14:textId="0815EA54" w:rsidR="00F6314C" w:rsidRPr="002C7499" w:rsidRDefault="00F6314C" w:rsidP="005E5241">
            <w:pPr>
              <w:ind w:right="-75"/>
              <w:rPr>
                <w:rFonts w:eastAsia="MS Mincho"/>
                <w:noProof/>
                <w:color w:val="000000" w:themeColor="text1"/>
                <w:lang w:val="fi-FI" w:eastAsia="fi-FI"/>
              </w:rPr>
            </w:pPr>
            <w:r w:rsidRPr="002C7499">
              <w:rPr>
                <w:rFonts w:eastAsia="MS Mincho"/>
                <w:noProof/>
                <w:color w:val="000000" w:themeColor="text1"/>
                <w:lang w:val="fi-FI" w:eastAsia="fi-FI"/>
              </w:rPr>
              <w:t xml:space="preserve">PM </w:t>
            </w:r>
            <w:r w:rsidRPr="00047EED">
              <w:rPr>
                <w:rFonts w:eastAsia="MS Mincho"/>
                <w:strike/>
                <w:noProof/>
                <w:color w:val="000000" w:themeColor="text1"/>
                <w:lang w:val="fi-FI" w:eastAsia="fi-FI"/>
              </w:rPr>
              <w:t>mass</w:t>
            </w:r>
            <w:r w:rsidR="00CE6A09" w:rsidRPr="00047EED">
              <w:rPr>
                <w:rFonts w:eastAsia="MS Mincho"/>
                <w:b/>
                <w:bCs/>
                <w:noProof/>
                <w:color w:val="000000" w:themeColor="text1"/>
                <w:lang w:val="fi-FI" w:eastAsia="fi-FI"/>
              </w:rPr>
              <w:t>number</w:t>
            </w:r>
            <w:r w:rsidRPr="002C7499">
              <w:rPr>
                <w:rFonts w:eastAsia="MS Mincho"/>
                <w:strike/>
                <w:noProof/>
                <w:color w:val="000000" w:themeColor="text1"/>
                <w:lang w:val="fi-FI" w:eastAsia="fi-FI"/>
              </w:rPr>
              <w:t xml:space="preserve"> </w:t>
            </w:r>
          </w:p>
        </w:tc>
      </w:tr>
      <w:tr w:rsidR="00F6314C" w:rsidRPr="002C7499" w14:paraId="213D79E0" w14:textId="77777777" w:rsidTr="005E5241">
        <w:tc>
          <w:tcPr>
            <w:tcW w:w="4028" w:type="dxa"/>
          </w:tcPr>
          <w:p w14:paraId="2E7C957E" w14:textId="5A8189B5" w:rsidR="00F6314C" w:rsidRPr="002C7499" w:rsidRDefault="00F6314C" w:rsidP="005E5241">
            <w:pPr>
              <w:ind w:left="318"/>
              <w:rPr>
                <w:rFonts w:eastAsia="MS Mincho"/>
                <w:noProof/>
                <w:color w:val="000000" w:themeColor="text1"/>
                <w:lang w:val="fi-FI" w:eastAsia="fi-FI"/>
              </w:rPr>
            </w:pPr>
            <w:r w:rsidRPr="002C7499">
              <w:rPr>
                <w:rFonts w:eastAsia="MS Mincho"/>
                <w:noProof/>
                <w:color w:val="000000" w:themeColor="text1"/>
                <w:lang w:val="fi-FI" w:eastAsia="fi-FI"/>
              </w:rPr>
              <w:t>Work window conformity factor</w:t>
            </w:r>
            <w:r w:rsidR="007F40E6" w:rsidRPr="00047EED">
              <w:rPr>
                <w:rFonts w:eastAsia="MS Mincho"/>
                <w:b/>
                <w:bCs/>
                <w:noProof/>
                <w:color w:val="000000" w:themeColor="text1"/>
                <w:vertAlign w:val="superscript"/>
                <w:lang w:val="fi-FI" w:eastAsia="fi-FI"/>
              </w:rPr>
              <w:t>4</w:t>
            </w:r>
          </w:p>
        </w:tc>
        <w:tc>
          <w:tcPr>
            <w:tcW w:w="723" w:type="dxa"/>
          </w:tcPr>
          <w:p w14:paraId="7C7FC861" w14:textId="77777777" w:rsidR="00F6314C" w:rsidRPr="002C7499" w:rsidRDefault="00F6314C" w:rsidP="005E5241">
            <w:pPr>
              <w:rPr>
                <w:rFonts w:eastAsia="MS Mincho"/>
                <w:noProof/>
                <w:color w:val="000000" w:themeColor="text1"/>
                <w:lang w:val="fi-FI" w:eastAsia="fi-FI"/>
              </w:rPr>
            </w:pPr>
          </w:p>
        </w:tc>
        <w:tc>
          <w:tcPr>
            <w:tcW w:w="703" w:type="dxa"/>
          </w:tcPr>
          <w:p w14:paraId="4D3727A0" w14:textId="77777777" w:rsidR="00F6314C" w:rsidRPr="002C7499" w:rsidRDefault="00F6314C" w:rsidP="005E5241">
            <w:pPr>
              <w:rPr>
                <w:rFonts w:eastAsia="MS Mincho"/>
                <w:noProof/>
                <w:color w:val="000000" w:themeColor="text1"/>
                <w:lang w:val="fi-FI" w:eastAsia="fi-FI"/>
              </w:rPr>
            </w:pPr>
          </w:p>
        </w:tc>
        <w:tc>
          <w:tcPr>
            <w:tcW w:w="708" w:type="dxa"/>
          </w:tcPr>
          <w:p w14:paraId="57F7FEAA" w14:textId="77777777" w:rsidR="00F6314C" w:rsidRPr="002C7499" w:rsidRDefault="00F6314C" w:rsidP="005E5241">
            <w:pPr>
              <w:rPr>
                <w:rFonts w:eastAsia="MS Mincho"/>
                <w:noProof/>
                <w:color w:val="000000" w:themeColor="text1"/>
                <w:lang w:val="fi-FI" w:eastAsia="fi-FI"/>
              </w:rPr>
            </w:pPr>
          </w:p>
        </w:tc>
        <w:tc>
          <w:tcPr>
            <w:tcW w:w="709" w:type="dxa"/>
          </w:tcPr>
          <w:p w14:paraId="5FF19BEB" w14:textId="77777777" w:rsidR="00F6314C" w:rsidRPr="002C7499" w:rsidRDefault="00F6314C" w:rsidP="005E5241">
            <w:pPr>
              <w:rPr>
                <w:rFonts w:eastAsia="MS Mincho"/>
                <w:noProof/>
                <w:color w:val="000000" w:themeColor="text1"/>
                <w:lang w:val="fi-FI" w:eastAsia="fi-FI"/>
              </w:rPr>
            </w:pPr>
          </w:p>
        </w:tc>
        <w:tc>
          <w:tcPr>
            <w:tcW w:w="709" w:type="dxa"/>
          </w:tcPr>
          <w:p w14:paraId="52F7703E" w14:textId="77777777" w:rsidR="00F6314C" w:rsidRPr="002C7499" w:rsidRDefault="00F6314C" w:rsidP="005E5241">
            <w:pPr>
              <w:rPr>
                <w:rFonts w:eastAsia="MS Mincho"/>
                <w:noProof/>
                <w:color w:val="000000" w:themeColor="text1"/>
                <w:lang w:val="fi-FI" w:eastAsia="fi-FI"/>
              </w:rPr>
            </w:pPr>
          </w:p>
        </w:tc>
        <w:tc>
          <w:tcPr>
            <w:tcW w:w="925" w:type="dxa"/>
          </w:tcPr>
          <w:p w14:paraId="7999ED9C" w14:textId="77777777" w:rsidR="00F6314C" w:rsidRPr="002C7499" w:rsidRDefault="00F6314C" w:rsidP="005E5241">
            <w:pPr>
              <w:rPr>
                <w:rFonts w:eastAsia="MS Mincho"/>
                <w:noProof/>
                <w:color w:val="000000" w:themeColor="text1"/>
                <w:lang w:val="fi-FI" w:eastAsia="fi-FI"/>
              </w:rPr>
            </w:pPr>
          </w:p>
        </w:tc>
      </w:tr>
      <w:tr w:rsidR="00F6314C" w:rsidRPr="002C7499" w14:paraId="7E79174B" w14:textId="77777777" w:rsidTr="005E5241">
        <w:tc>
          <w:tcPr>
            <w:tcW w:w="4028" w:type="dxa"/>
          </w:tcPr>
          <w:p w14:paraId="4E79581F" w14:textId="52756800" w:rsidR="00F6314C" w:rsidRPr="002C7499" w:rsidRDefault="00F6314C" w:rsidP="005E5241">
            <w:pPr>
              <w:ind w:left="318"/>
              <w:rPr>
                <w:rFonts w:eastAsia="MS Mincho"/>
                <w:noProof/>
                <w:color w:val="000000" w:themeColor="text1"/>
                <w:lang w:eastAsia="fi-FI"/>
              </w:rPr>
            </w:pPr>
            <w:r w:rsidRPr="002C7499">
              <w:rPr>
                <w:rFonts w:eastAsia="MS Mincho"/>
                <w:noProof/>
                <w:color w:val="000000" w:themeColor="text1"/>
                <w:lang w:eastAsia="fi-FI"/>
              </w:rPr>
              <w:t>CO</w:t>
            </w:r>
            <w:r w:rsidRPr="002C7499">
              <w:rPr>
                <w:rFonts w:eastAsia="MS Mincho"/>
                <w:noProof/>
                <w:color w:val="000000" w:themeColor="text1"/>
                <w:vertAlign w:val="subscript"/>
                <w:lang w:eastAsia="fi-FI"/>
              </w:rPr>
              <w:t>2</w:t>
            </w:r>
            <w:r w:rsidRPr="002C7499">
              <w:rPr>
                <w:rFonts w:eastAsia="MS Mincho"/>
                <w:noProof/>
                <w:color w:val="000000" w:themeColor="text1"/>
                <w:lang w:eastAsia="fi-FI"/>
              </w:rPr>
              <w:t xml:space="preserve"> mass window conformity factor</w:t>
            </w:r>
            <w:r w:rsidR="007F40E6" w:rsidRPr="00047EED">
              <w:rPr>
                <w:rFonts w:eastAsia="MS Mincho"/>
                <w:b/>
                <w:bCs/>
                <w:noProof/>
                <w:color w:val="000000" w:themeColor="text1"/>
                <w:vertAlign w:val="superscript"/>
                <w:lang w:eastAsia="fi-FI"/>
              </w:rPr>
              <w:t>4</w:t>
            </w:r>
          </w:p>
        </w:tc>
        <w:tc>
          <w:tcPr>
            <w:tcW w:w="723" w:type="dxa"/>
          </w:tcPr>
          <w:p w14:paraId="20367D9F" w14:textId="77777777" w:rsidR="00F6314C" w:rsidRPr="002C7499" w:rsidRDefault="00F6314C" w:rsidP="005E5241">
            <w:pPr>
              <w:rPr>
                <w:rFonts w:eastAsia="MS Mincho"/>
                <w:noProof/>
                <w:color w:val="000000" w:themeColor="text1"/>
                <w:lang w:eastAsia="fi-FI"/>
              </w:rPr>
            </w:pPr>
          </w:p>
        </w:tc>
        <w:tc>
          <w:tcPr>
            <w:tcW w:w="703" w:type="dxa"/>
          </w:tcPr>
          <w:p w14:paraId="657E06DD" w14:textId="77777777" w:rsidR="00F6314C" w:rsidRPr="002C7499" w:rsidRDefault="00F6314C" w:rsidP="005E5241">
            <w:pPr>
              <w:rPr>
                <w:rFonts w:eastAsia="MS Mincho"/>
                <w:noProof/>
                <w:color w:val="000000" w:themeColor="text1"/>
                <w:lang w:eastAsia="fi-FI"/>
              </w:rPr>
            </w:pPr>
          </w:p>
        </w:tc>
        <w:tc>
          <w:tcPr>
            <w:tcW w:w="708" w:type="dxa"/>
          </w:tcPr>
          <w:p w14:paraId="2EDA3EC7" w14:textId="77777777" w:rsidR="00F6314C" w:rsidRPr="002C7499" w:rsidRDefault="00F6314C" w:rsidP="005E5241">
            <w:pPr>
              <w:rPr>
                <w:rFonts w:eastAsia="MS Mincho"/>
                <w:noProof/>
                <w:color w:val="000000" w:themeColor="text1"/>
                <w:lang w:eastAsia="fi-FI"/>
              </w:rPr>
            </w:pPr>
          </w:p>
        </w:tc>
        <w:tc>
          <w:tcPr>
            <w:tcW w:w="709" w:type="dxa"/>
          </w:tcPr>
          <w:p w14:paraId="05A720C1" w14:textId="77777777" w:rsidR="00F6314C" w:rsidRPr="002C7499" w:rsidRDefault="00F6314C" w:rsidP="005E5241">
            <w:pPr>
              <w:rPr>
                <w:rFonts w:eastAsia="MS Mincho"/>
                <w:noProof/>
                <w:color w:val="000000" w:themeColor="text1"/>
                <w:lang w:eastAsia="fi-FI"/>
              </w:rPr>
            </w:pPr>
          </w:p>
        </w:tc>
        <w:tc>
          <w:tcPr>
            <w:tcW w:w="709" w:type="dxa"/>
          </w:tcPr>
          <w:p w14:paraId="77A03206" w14:textId="77777777" w:rsidR="00F6314C" w:rsidRPr="002C7499" w:rsidRDefault="00F6314C" w:rsidP="005E5241">
            <w:pPr>
              <w:rPr>
                <w:rFonts w:eastAsia="MS Mincho"/>
                <w:noProof/>
                <w:color w:val="000000" w:themeColor="text1"/>
                <w:lang w:eastAsia="fi-FI"/>
              </w:rPr>
            </w:pPr>
          </w:p>
        </w:tc>
        <w:tc>
          <w:tcPr>
            <w:tcW w:w="925" w:type="dxa"/>
          </w:tcPr>
          <w:p w14:paraId="57AC0CEF" w14:textId="77777777" w:rsidR="00F6314C" w:rsidRPr="002C7499" w:rsidRDefault="00F6314C" w:rsidP="005E5241">
            <w:pPr>
              <w:rPr>
                <w:rFonts w:eastAsia="MS Mincho"/>
                <w:noProof/>
                <w:color w:val="000000" w:themeColor="text1"/>
                <w:lang w:eastAsia="fi-FI"/>
              </w:rPr>
            </w:pPr>
          </w:p>
        </w:tc>
      </w:tr>
    </w:tbl>
    <w:p w14:paraId="68AC1E13" w14:textId="7F5D5A1C" w:rsidR="00F6314C" w:rsidRPr="002C7499" w:rsidRDefault="00346DD6" w:rsidP="00490DFA">
      <w:pPr>
        <w:pStyle w:val="SingleTxtG"/>
        <w:spacing w:before="120"/>
        <w:rPr>
          <w:noProof/>
        </w:rPr>
      </w:pPr>
      <w:r w:rsidRPr="00047EED">
        <w:rPr>
          <w:rFonts w:eastAsia="MS Mincho"/>
          <w:b/>
          <w:bCs/>
          <w:noProof/>
          <w:color w:val="000000" w:themeColor="text1"/>
          <w:vertAlign w:val="superscript"/>
          <w:lang w:val="fi-FI" w:eastAsia="fi-FI"/>
        </w:rPr>
        <w:t>4</w:t>
      </w:r>
      <w:r w:rsidR="00BF56EA" w:rsidRPr="00047EED">
        <w:rPr>
          <w:b/>
          <w:bCs/>
        </w:rPr>
        <w:t xml:space="preserve"> </w:t>
      </w:r>
      <w:proofErr w:type="spellStart"/>
      <w:r w:rsidR="00BF56EA" w:rsidRPr="00047EED">
        <w:rPr>
          <w:b/>
          <w:bCs/>
        </w:rPr>
        <w:t>CF</w:t>
      </w:r>
      <w:r w:rsidR="00BF56EA" w:rsidRPr="00047EED">
        <w:rPr>
          <w:b/>
          <w:bCs/>
          <w:vertAlign w:val="subscript"/>
        </w:rPr>
        <w:t>final</w:t>
      </w:r>
      <w:proofErr w:type="spellEnd"/>
      <w:r w:rsidR="00BF56EA" w:rsidRPr="00047EED">
        <w:rPr>
          <w:b/>
          <w:bCs/>
        </w:rPr>
        <w:t xml:space="preserve"> needs to be stated, if applicable </w:t>
      </w:r>
      <w:r w:rsidR="00F6314C" w:rsidRPr="002C7499">
        <w:t>"</w:t>
      </w:r>
    </w:p>
    <w:p w14:paraId="3FAB6615" w14:textId="425AE8CE" w:rsidR="0035491B" w:rsidRPr="002C7499" w:rsidRDefault="0035491B" w:rsidP="003E588C">
      <w:pPr>
        <w:pStyle w:val="SingleTxtG"/>
        <w:rPr>
          <w:lang w:eastAsia="de-DE"/>
        </w:rPr>
      </w:pPr>
      <w:r w:rsidRPr="002C7499">
        <w:rPr>
          <w:i/>
          <w:lang w:val="en-US" w:eastAsia="de-DE"/>
        </w:rPr>
        <w:t>Insert a new Annex 2D,</w:t>
      </w:r>
      <w:r w:rsidRPr="002C7499">
        <w:rPr>
          <w:lang w:val="en-US" w:eastAsia="de-DE"/>
        </w:rPr>
        <w:t xml:space="preserve"> to read:</w:t>
      </w:r>
    </w:p>
    <w:p w14:paraId="432D76F2" w14:textId="77777777" w:rsidR="00F071DC" w:rsidRPr="00047EED" w:rsidRDefault="005F3B26" w:rsidP="009C7801">
      <w:pPr>
        <w:pStyle w:val="SingleTxtG"/>
        <w:spacing w:before="360" w:after="240"/>
        <w:ind w:hanging="1134"/>
        <w:rPr>
          <w:b/>
          <w:bCs/>
          <w:sz w:val="28"/>
          <w:szCs w:val="28"/>
        </w:rPr>
      </w:pPr>
      <w:r w:rsidRPr="002C7499">
        <w:t>"</w:t>
      </w:r>
      <w:r w:rsidR="00F071DC" w:rsidRPr="00047EED">
        <w:rPr>
          <w:b/>
          <w:bCs/>
          <w:sz w:val="28"/>
          <w:szCs w:val="28"/>
        </w:rPr>
        <w:t>Annex 2D</w:t>
      </w:r>
    </w:p>
    <w:p w14:paraId="4238F6A8" w14:textId="77777777" w:rsidR="00F071DC" w:rsidRPr="00047EED" w:rsidRDefault="00F071DC" w:rsidP="00F071DC">
      <w:pPr>
        <w:pStyle w:val="SingleTxtG"/>
        <w:rPr>
          <w:b/>
          <w:bCs/>
          <w:sz w:val="28"/>
          <w:szCs w:val="28"/>
          <w:lang w:eastAsia="de-DE"/>
        </w:rPr>
      </w:pPr>
      <w:r w:rsidRPr="00047EED">
        <w:rPr>
          <w:b/>
          <w:bCs/>
          <w:sz w:val="28"/>
          <w:szCs w:val="28"/>
          <w:lang w:eastAsia="de-DE"/>
        </w:rPr>
        <w:t>AES Documentation Package</w:t>
      </w:r>
    </w:p>
    <w:p w14:paraId="1E5B7595" w14:textId="77777777" w:rsidR="00F071DC" w:rsidRPr="00047EED" w:rsidRDefault="00F071DC" w:rsidP="00A85240">
      <w:pPr>
        <w:pStyle w:val="SingleTxtG"/>
        <w:ind w:left="2268"/>
        <w:rPr>
          <w:b/>
          <w:bCs/>
          <w:noProof/>
        </w:rPr>
      </w:pPr>
      <w:r w:rsidRPr="00047EED">
        <w:rPr>
          <w:b/>
          <w:bCs/>
          <w:noProof/>
        </w:rPr>
        <w:t xml:space="preserve">The AES documentation package shall include the following: </w:t>
      </w:r>
    </w:p>
    <w:p w14:paraId="35BA93D8" w14:textId="0FB2068E" w:rsidR="00F071DC" w:rsidRPr="00047EED" w:rsidRDefault="00F071DC" w:rsidP="00A85240">
      <w:pPr>
        <w:pStyle w:val="SingleTxtG"/>
        <w:ind w:left="2268"/>
        <w:rPr>
          <w:b/>
          <w:bCs/>
          <w:noProof/>
        </w:rPr>
      </w:pPr>
      <w:r w:rsidRPr="00047EED">
        <w:rPr>
          <w:b/>
          <w:bCs/>
          <w:noProof/>
        </w:rPr>
        <w:tab/>
        <w:t xml:space="preserve">Information on all AES: </w:t>
      </w:r>
    </w:p>
    <w:p w14:paraId="51C6A095" w14:textId="77777777" w:rsidR="00F071DC" w:rsidRPr="00047EED" w:rsidRDefault="00F071DC" w:rsidP="00F071DC">
      <w:pPr>
        <w:pStyle w:val="SingleTxtG"/>
        <w:ind w:left="2835" w:hanging="567"/>
        <w:rPr>
          <w:b/>
          <w:bCs/>
          <w:noProof/>
        </w:rPr>
      </w:pPr>
      <w:r w:rsidRPr="00047EED">
        <w:rPr>
          <w:b/>
          <w:bCs/>
          <w:noProof/>
        </w:rPr>
        <w:t>(a)</w:t>
      </w:r>
      <w:r w:rsidRPr="00047EED">
        <w:rPr>
          <w:b/>
          <w:bCs/>
          <w:noProof/>
        </w:rPr>
        <w:tab/>
        <w:t xml:space="preserve">A declaration of the manufacturer that the engine system or engine family type approved as a separate technical unit, or the vehicle with an approved engine system with regard to emissions, or an vehicle type approved with regard to emissions, does not contain any defeat strategy; </w:t>
      </w:r>
    </w:p>
    <w:p w14:paraId="4C0B492C" w14:textId="77777777" w:rsidR="00F071DC" w:rsidRPr="00047EED" w:rsidRDefault="00F071DC" w:rsidP="00F071DC">
      <w:pPr>
        <w:pStyle w:val="SingleTxtG"/>
        <w:ind w:left="2835" w:hanging="567"/>
        <w:rPr>
          <w:b/>
          <w:bCs/>
          <w:noProof/>
        </w:rPr>
      </w:pPr>
      <w:r w:rsidRPr="00047EED">
        <w:rPr>
          <w:b/>
          <w:bCs/>
          <w:noProof/>
        </w:rPr>
        <w:t>(b)</w:t>
      </w:r>
      <w:r w:rsidRPr="00047EED">
        <w:rPr>
          <w:b/>
          <w:bCs/>
          <w:noProof/>
        </w:rPr>
        <w:tab/>
        <w:t xml:space="preserve">A description of the engine and the emission control strategies and devices employed, whether software or hardware, and any condition(s) under which the strategies and devices will not operate as they do during testing for Type Approval; </w:t>
      </w:r>
    </w:p>
    <w:p w14:paraId="6802FD0A" w14:textId="77777777" w:rsidR="00F071DC" w:rsidRPr="00047EED" w:rsidRDefault="00F071DC" w:rsidP="00F071DC">
      <w:pPr>
        <w:pStyle w:val="SingleTxtG"/>
        <w:ind w:left="2835" w:hanging="567"/>
        <w:rPr>
          <w:b/>
          <w:bCs/>
          <w:noProof/>
        </w:rPr>
      </w:pPr>
      <w:r w:rsidRPr="00047EED">
        <w:rPr>
          <w:b/>
          <w:bCs/>
          <w:noProof/>
        </w:rPr>
        <w:t>(c)</w:t>
      </w:r>
      <w:r w:rsidRPr="00047EED">
        <w:rPr>
          <w:b/>
          <w:bCs/>
          <w:noProof/>
        </w:rPr>
        <w:tab/>
        <w:t xml:space="preserve">A declaration of the software versions used to control the AES/BES, including the appropriate checksums of these software versions and instructions to the authority on how to read the checksums; the declaration shall be updated and sent to the approval authority that holds this documentation package each time there is a new software version that has an impact to the AES/BES; </w:t>
      </w:r>
    </w:p>
    <w:p w14:paraId="55B26397" w14:textId="77777777" w:rsidR="00F071DC" w:rsidRPr="00047EED" w:rsidRDefault="00F071DC" w:rsidP="00F071DC">
      <w:pPr>
        <w:pStyle w:val="SingleTxtG"/>
        <w:ind w:left="2835" w:hanging="567"/>
        <w:rPr>
          <w:b/>
          <w:bCs/>
          <w:noProof/>
        </w:rPr>
      </w:pPr>
      <w:r w:rsidRPr="00047EED">
        <w:rPr>
          <w:b/>
          <w:bCs/>
          <w:noProof/>
        </w:rPr>
        <w:t>(d)</w:t>
      </w:r>
      <w:r w:rsidRPr="00047EED">
        <w:rPr>
          <w:b/>
          <w:bCs/>
          <w:noProof/>
        </w:rPr>
        <w:tab/>
        <w:t xml:space="preserve">Detailed technical reasoning of any AES including a risk assessment estimating the risk with and without the AES, and including the following: </w:t>
      </w:r>
    </w:p>
    <w:p w14:paraId="37A37478" w14:textId="77777777" w:rsidR="00F071DC" w:rsidRPr="00047EED" w:rsidRDefault="00F071DC" w:rsidP="00F071DC">
      <w:pPr>
        <w:pStyle w:val="SingleTxtG"/>
        <w:ind w:left="3402" w:hanging="567"/>
        <w:rPr>
          <w:b/>
          <w:bCs/>
          <w:noProof/>
        </w:rPr>
      </w:pPr>
      <w:r w:rsidRPr="00047EED">
        <w:rPr>
          <w:b/>
          <w:bCs/>
          <w:noProof/>
        </w:rPr>
        <w:t>(i)</w:t>
      </w:r>
      <w:r w:rsidRPr="00047EED">
        <w:rPr>
          <w:b/>
          <w:bCs/>
          <w:noProof/>
        </w:rPr>
        <w:tab/>
        <w:t xml:space="preserve">Information on the hardware element(s) that need to be protected by the AES, where applicable; </w:t>
      </w:r>
    </w:p>
    <w:p w14:paraId="14B7E68E" w14:textId="77777777" w:rsidR="00F071DC" w:rsidRPr="00047EED" w:rsidRDefault="00F071DC" w:rsidP="00F071DC">
      <w:pPr>
        <w:pStyle w:val="SingleTxtG"/>
        <w:ind w:left="3402" w:hanging="567"/>
        <w:rPr>
          <w:b/>
          <w:bCs/>
          <w:noProof/>
        </w:rPr>
      </w:pPr>
      <w:r w:rsidRPr="00047EED">
        <w:rPr>
          <w:b/>
          <w:bCs/>
          <w:noProof/>
        </w:rPr>
        <w:t>(ii)</w:t>
      </w:r>
      <w:r w:rsidRPr="00047EED">
        <w:rPr>
          <w:b/>
          <w:bCs/>
          <w:noProof/>
        </w:rPr>
        <w:tab/>
        <w:t xml:space="preserve">Proof of sudden and irreparable engine damage that cannot be prevented by regular maintenance and would occur in the absence of the AES, where applicable; </w:t>
      </w:r>
    </w:p>
    <w:p w14:paraId="6E148995" w14:textId="77777777" w:rsidR="00F071DC" w:rsidRPr="00047EED" w:rsidRDefault="00F071DC" w:rsidP="00F071DC">
      <w:pPr>
        <w:pStyle w:val="SingleTxtG"/>
        <w:ind w:left="3402" w:hanging="567"/>
        <w:rPr>
          <w:b/>
          <w:bCs/>
          <w:noProof/>
        </w:rPr>
      </w:pPr>
      <w:r w:rsidRPr="00047EED">
        <w:rPr>
          <w:b/>
          <w:bCs/>
          <w:noProof/>
        </w:rPr>
        <w:t>(iii)</w:t>
      </w:r>
      <w:r w:rsidRPr="00047EED">
        <w:rPr>
          <w:b/>
          <w:bCs/>
          <w:noProof/>
        </w:rPr>
        <w:tab/>
        <w:t xml:space="preserve">A reasoned explanation on why there is a need to use an AES upon engine starting or warm up, where applicable; </w:t>
      </w:r>
    </w:p>
    <w:p w14:paraId="24EF1B95" w14:textId="77777777" w:rsidR="00F071DC" w:rsidRPr="00047EED" w:rsidRDefault="00F071DC" w:rsidP="00F071DC">
      <w:pPr>
        <w:pStyle w:val="SingleTxtG"/>
        <w:ind w:left="2835" w:hanging="567"/>
        <w:rPr>
          <w:b/>
          <w:bCs/>
          <w:noProof/>
        </w:rPr>
      </w:pPr>
      <w:r w:rsidRPr="00047EED">
        <w:rPr>
          <w:b/>
          <w:bCs/>
          <w:noProof/>
        </w:rPr>
        <w:t>(e)</w:t>
      </w:r>
      <w:r w:rsidRPr="00047EED">
        <w:rPr>
          <w:b/>
          <w:bCs/>
          <w:noProof/>
        </w:rPr>
        <w:tab/>
        <w:t xml:space="preserve">A description of the fuel system control logic, timing strategies and switch points during all modes of operation; </w:t>
      </w:r>
    </w:p>
    <w:p w14:paraId="0401DFC0" w14:textId="77777777" w:rsidR="00F071DC" w:rsidRPr="00047EED" w:rsidRDefault="00F071DC" w:rsidP="00F071DC">
      <w:pPr>
        <w:pStyle w:val="SingleTxtG"/>
        <w:ind w:left="2835" w:hanging="567"/>
        <w:rPr>
          <w:b/>
          <w:bCs/>
          <w:noProof/>
        </w:rPr>
      </w:pPr>
      <w:r w:rsidRPr="00047EED">
        <w:rPr>
          <w:b/>
          <w:bCs/>
          <w:noProof/>
        </w:rPr>
        <w:t>(f)</w:t>
      </w:r>
      <w:r w:rsidRPr="00047EED">
        <w:rPr>
          <w:b/>
          <w:bCs/>
          <w:noProof/>
        </w:rPr>
        <w:tab/>
        <w:t xml:space="preserve">A description of the hierarchical relations among the AES (i.e., when more than one AES can be active concurrently, an indication of which AES is primary in responding, the method by which strategies interact, including data flow diagrams and decision logic and how does the hierarchy assure emissions from all AES are controlled to the lowest practical level; </w:t>
      </w:r>
    </w:p>
    <w:p w14:paraId="56F17A34" w14:textId="77777777" w:rsidR="00F071DC" w:rsidRPr="00047EED" w:rsidRDefault="00F071DC" w:rsidP="00F071DC">
      <w:pPr>
        <w:pStyle w:val="SingleTxtG"/>
        <w:ind w:left="2835" w:hanging="567"/>
        <w:rPr>
          <w:b/>
          <w:bCs/>
          <w:noProof/>
        </w:rPr>
      </w:pPr>
      <w:r w:rsidRPr="00047EED">
        <w:rPr>
          <w:b/>
          <w:bCs/>
          <w:noProof/>
        </w:rPr>
        <w:lastRenderedPageBreak/>
        <w:t>(g)</w:t>
      </w:r>
      <w:r w:rsidRPr="00047EED">
        <w:rPr>
          <w:b/>
          <w:bCs/>
          <w:noProof/>
        </w:rPr>
        <w:tab/>
        <w:t xml:space="preserve">A list of parameters which are measured and/or calculated by the AES, along with the purpose of every parameter measured and/or calculated and how each of those parameters relates to engine damage; including the method of calculation and how well these calculated parameters correlate with the true state of the parameter being controlled and any resulting tolerance or factor of safety incorporated into the analysis; </w:t>
      </w:r>
    </w:p>
    <w:p w14:paraId="08E9F23D" w14:textId="77777777" w:rsidR="00F071DC" w:rsidRPr="00047EED" w:rsidRDefault="00F071DC" w:rsidP="00F071DC">
      <w:pPr>
        <w:pStyle w:val="SingleTxtG"/>
        <w:ind w:left="2835" w:hanging="567"/>
        <w:rPr>
          <w:b/>
          <w:bCs/>
          <w:noProof/>
        </w:rPr>
      </w:pPr>
      <w:r w:rsidRPr="00047EED">
        <w:rPr>
          <w:b/>
          <w:bCs/>
          <w:noProof/>
        </w:rPr>
        <w:t>(h)</w:t>
      </w:r>
      <w:r w:rsidRPr="00047EED">
        <w:rPr>
          <w:b/>
          <w:bCs/>
          <w:noProof/>
        </w:rPr>
        <w:tab/>
        <w:t xml:space="preserve">A list of engine/emission control parameters which are modulated as a function of the measured or calculated parameter(s) and the range of modulation for each engine/emission control parameter; along with the relationship between engine/emission control parameters and measured or calculated parameters; </w:t>
      </w:r>
    </w:p>
    <w:p w14:paraId="11FEBD5E" w14:textId="77777777" w:rsidR="00F071DC" w:rsidRPr="00047EED" w:rsidRDefault="00F071DC" w:rsidP="00F071DC">
      <w:pPr>
        <w:pStyle w:val="SingleTxtG"/>
        <w:ind w:left="2835" w:hanging="567"/>
        <w:rPr>
          <w:b/>
          <w:bCs/>
          <w:noProof/>
        </w:rPr>
      </w:pPr>
      <w:r w:rsidRPr="00047EED">
        <w:rPr>
          <w:b/>
          <w:bCs/>
          <w:noProof/>
        </w:rPr>
        <w:t>(i)</w:t>
      </w:r>
      <w:r w:rsidRPr="00047EED">
        <w:rPr>
          <w:b/>
          <w:bCs/>
          <w:noProof/>
        </w:rPr>
        <w:tab/>
        <w:t>An evaluation of how the AES will control real-driving emissions to the lowest practical level, including a detailed analysis of the expected increase of total regulated pollutants and CO</w:t>
      </w:r>
      <w:r w:rsidRPr="00047EED">
        <w:rPr>
          <w:b/>
          <w:bCs/>
          <w:noProof/>
          <w:vertAlign w:val="subscript"/>
        </w:rPr>
        <w:t>2</w:t>
      </w:r>
      <w:r w:rsidRPr="00047EED">
        <w:rPr>
          <w:b/>
          <w:bCs/>
          <w:noProof/>
        </w:rPr>
        <w:t xml:space="preserve"> emissions by using the AES, compared to the BES;</w:t>
      </w:r>
    </w:p>
    <w:p w14:paraId="74B38341" w14:textId="5EB8B9B3" w:rsidR="00F071DC" w:rsidRPr="00047EED" w:rsidRDefault="00F071DC" w:rsidP="00F071DC">
      <w:pPr>
        <w:pStyle w:val="SingleTxtG"/>
        <w:ind w:left="2268"/>
        <w:rPr>
          <w:b/>
          <w:bCs/>
          <w:lang w:eastAsia="de-DE"/>
        </w:rPr>
      </w:pPr>
      <w:r w:rsidRPr="00047EED">
        <w:rPr>
          <w:b/>
          <w:bCs/>
          <w:lang w:eastAsia="de-DE"/>
        </w:rPr>
        <w:t xml:space="preserve">The AES documentation package shall be limited to 100 pages and shall include all the main elements to allow the approval authority to assess the AES (according to the requirements of </w:t>
      </w:r>
      <w:r w:rsidR="000D0038" w:rsidRPr="00047EED">
        <w:rPr>
          <w:b/>
          <w:bCs/>
          <w:lang w:eastAsia="de-DE"/>
        </w:rPr>
        <w:t>Appendix 2 to Annex 10</w:t>
      </w:r>
      <w:r w:rsidRPr="00047EED">
        <w:rPr>
          <w:b/>
          <w:bCs/>
          <w:lang w:eastAsia="de-DE"/>
        </w:rPr>
        <w:t xml:space="preserve">, the effectiveness of the inducement system and the anti-tampering measures. The package may be complemented with annexes and other attached documents, containing additional and complementary elements, if necessary. The manufacturer shall send a new version of the AES documentation package to the approval authority every time changes are introduced to the AES. The new version shall be limited to the changes and their effect. The new version of the AES shall be evaluated and approved by the approval authority. </w:t>
      </w:r>
    </w:p>
    <w:p w14:paraId="09E83DDE" w14:textId="10762264" w:rsidR="002F1A9B" w:rsidRPr="00047EED" w:rsidRDefault="00F071DC" w:rsidP="00EF4CCE">
      <w:pPr>
        <w:pStyle w:val="SingleTxtG"/>
        <w:ind w:left="2268"/>
        <w:rPr>
          <w:b/>
          <w:bCs/>
          <w:lang w:eastAsia="de-DE"/>
        </w:rPr>
      </w:pPr>
      <w:r w:rsidRPr="00047EED">
        <w:rPr>
          <w:b/>
          <w:bCs/>
          <w:lang w:eastAsia="de-DE"/>
        </w:rPr>
        <w:t>The AES documentation package shall be structured as follows:</w:t>
      </w:r>
    </w:p>
    <w:tbl>
      <w:tblPr>
        <w:tblStyle w:val="TableGrid"/>
        <w:tblW w:w="8505" w:type="dxa"/>
        <w:jc w:val="center"/>
        <w:tblLook w:val="04A0" w:firstRow="1" w:lastRow="0" w:firstColumn="1" w:lastColumn="0" w:noHBand="0" w:noVBand="1"/>
      </w:tblPr>
      <w:tblGrid>
        <w:gridCol w:w="1440"/>
        <w:gridCol w:w="1285"/>
        <w:gridCol w:w="2569"/>
        <w:gridCol w:w="3211"/>
      </w:tblGrid>
      <w:tr w:rsidR="00566F28" w:rsidRPr="00047EED" w14:paraId="2C03C248" w14:textId="77777777" w:rsidTr="002013A7">
        <w:trPr>
          <w:jc w:val="center"/>
        </w:trPr>
        <w:tc>
          <w:tcPr>
            <w:tcW w:w="1271" w:type="dxa"/>
          </w:tcPr>
          <w:p w14:paraId="675C8162" w14:textId="456EAF18" w:rsidR="001447A6" w:rsidRPr="00047EED" w:rsidRDefault="001F76C7" w:rsidP="00DF0C95">
            <w:pPr>
              <w:pStyle w:val="Heading1"/>
              <w:ind w:left="136"/>
              <w:outlineLvl w:val="0"/>
              <w:rPr>
                <w:b/>
                <w:bCs/>
              </w:rPr>
            </w:pPr>
            <w:r w:rsidRPr="00047EED">
              <w:rPr>
                <w:b/>
                <w:bCs/>
              </w:rPr>
              <w:t>Parts</w:t>
            </w:r>
          </w:p>
        </w:tc>
        <w:tc>
          <w:tcPr>
            <w:tcW w:w="1134" w:type="dxa"/>
          </w:tcPr>
          <w:p w14:paraId="62DC8370" w14:textId="24EC4841" w:rsidR="001447A6" w:rsidRPr="00047EED" w:rsidRDefault="001F76C7" w:rsidP="00DF0C95">
            <w:pPr>
              <w:pStyle w:val="Heading1"/>
              <w:ind w:left="139"/>
              <w:outlineLvl w:val="0"/>
              <w:rPr>
                <w:b/>
                <w:bCs/>
              </w:rPr>
            </w:pPr>
            <w:r w:rsidRPr="00047EED">
              <w:rPr>
                <w:b/>
                <w:bCs/>
              </w:rPr>
              <w:t>Paragraph</w:t>
            </w:r>
          </w:p>
        </w:tc>
        <w:tc>
          <w:tcPr>
            <w:tcW w:w="2268" w:type="dxa"/>
          </w:tcPr>
          <w:p w14:paraId="40AB3CAC" w14:textId="5B1F4040" w:rsidR="001447A6" w:rsidRPr="00047EED" w:rsidRDefault="001F76C7" w:rsidP="008D18BD">
            <w:pPr>
              <w:pStyle w:val="Heading1"/>
              <w:ind w:left="32"/>
              <w:outlineLvl w:val="0"/>
              <w:rPr>
                <w:b/>
                <w:bCs/>
              </w:rPr>
            </w:pPr>
            <w:r w:rsidRPr="00047EED">
              <w:rPr>
                <w:b/>
                <w:bCs/>
              </w:rPr>
              <w:t>Point</w:t>
            </w:r>
          </w:p>
        </w:tc>
        <w:tc>
          <w:tcPr>
            <w:tcW w:w="2835" w:type="dxa"/>
          </w:tcPr>
          <w:p w14:paraId="04437C49" w14:textId="7244475D" w:rsidR="001447A6" w:rsidRPr="00047EED" w:rsidRDefault="001F76C7" w:rsidP="006F37EB">
            <w:pPr>
              <w:pStyle w:val="Heading1"/>
              <w:ind w:left="108"/>
              <w:outlineLvl w:val="0"/>
              <w:rPr>
                <w:b/>
                <w:bCs/>
              </w:rPr>
            </w:pPr>
            <w:r w:rsidRPr="00047EED">
              <w:rPr>
                <w:b/>
                <w:bCs/>
              </w:rPr>
              <w:t>Explanation</w:t>
            </w:r>
          </w:p>
        </w:tc>
      </w:tr>
      <w:tr w:rsidR="00940020" w:rsidRPr="00047EED" w14:paraId="31CF0441" w14:textId="77777777" w:rsidTr="002013A7">
        <w:trPr>
          <w:jc w:val="center"/>
        </w:trPr>
        <w:tc>
          <w:tcPr>
            <w:tcW w:w="1271" w:type="dxa"/>
            <w:vMerge w:val="restart"/>
          </w:tcPr>
          <w:p w14:paraId="2740FBC1" w14:textId="53916A15" w:rsidR="00940020" w:rsidRPr="00047EED" w:rsidRDefault="00940020" w:rsidP="00DF0C95">
            <w:pPr>
              <w:pStyle w:val="Heading1"/>
              <w:ind w:left="136"/>
              <w:outlineLvl w:val="0"/>
              <w:rPr>
                <w:b/>
                <w:bCs/>
              </w:rPr>
            </w:pPr>
            <w:r w:rsidRPr="00047EED">
              <w:rPr>
                <w:b/>
                <w:bCs/>
              </w:rPr>
              <w:t>Introduction documents</w:t>
            </w:r>
          </w:p>
        </w:tc>
        <w:tc>
          <w:tcPr>
            <w:tcW w:w="1134" w:type="dxa"/>
          </w:tcPr>
          <w:p w14:paraId="0306EC6A" w14:textId="77777777" w:rsidR="00940020" w:rsidRPr="00047EED" w:rsidRDefault="00940020" w:rsidP="00DF0C95">
            <w:pPr>
              <w:pStyle w:val="Heading1"/>
              <w:ind w:left="139"/>
              <w:outlineLvl w:val="0"/>
              <w:rPr>
                <w:b/>
                <w:bCs/>
              </w:rPr>
            </w:pPr>
          </w:p>
        </w:tc>
        <w:tc>
          <w:tcPr>
            <w:tcW w:w="2268" w:type="dxa"/>
          </w:tcPr>
          <w:p w14:paraId="3BA8550E" w14:textId="313B586E" w:rsidR="00940020" w:rsidRPr="00047EED" w:rsidRDefault="00940020" w:rsidP="008D18BD">
            <w:pPr>
              <w:pStyle w:val="Heading1"/>
              <w:ind w:left="32"/>
              <w:outlineLvl w:val="0"/>
              <w:rPr>
                <w:b/>
                <w:bCs/>
              </w:rPr>
            </w:pPr>
            <w:r w:rsidRPr="00047EED">
              <w:rPr>
                <w:b/>
                <w:bCs/>
              </w:rPr>
              <w:t>Introduction letter to T</w:t>
            </w:r>
            <w:r w:rsidR="000D0038" w:rsidRPr="00047EED">
              <w:rPr>
                <w:b/>
                <w:bCs/>
              </w:rPr>
              <w:t xml:space="preserve">ype </w:t>
            </w:r>
            <w:r w:rsidRPr="00047EED">
              <w:rPr>
                <w:b/>
                <w:bCs/>
              </w:rPr>
              <w:t>A</w:t>
            </w:r>
            <w:r w:rsidR="000D0038" w:rsidRPr="00047EED">
              <w:rPr>
                <w:b/>
                <w:bCs/>
              </w:rPr>
              <w:t xml:space="preserve">pproval </w:t>
            </w:r>
            <w:r w:rsidRPr="00047EED">
              <w:rPr>
                <w:b/>
                <w:bCs/>
              </w:rPr>
              <w:t>A</w:t>
            </w:r>
            <w:r w:rsidR="000D0038" w:rsidRPr="00047EED">
              <w:rPr>
                <w:b/>
                <w:bCs/>
              </w:rPr>
              <w:t>uthority</w:t>
            </w:r>
          </w:p>
        </w:tc>
        <w:tc>
          <w:tcPr>
            <w:tcW w:w="2835" w:type="dxa"/>
          </w:tcPr>
          <w:p w14:paraId="43D3DCEB" w14:textId="2766115E" w:rsidR="00940020" w:rsidRPr="00047EED" w:rsidRDefault="00940020" w:rsidP="007D0E78">
            <w:pPr>
              <w:pStyle w:val="Heading1"/>
              <w:ind w:left="108"/>
              <w:outlineLvl w:val="0"/>
              <w:rPr>
                <w:b/>
                <w:bCs/>
              </w:rPr>
            </w:pPr>
            <w:r w:rsidRPr="00047EED">
              <w:rPr>
                <w:b/>
                <w:bCs/>
              </w:rPr>
              <w:t>Reference of the document with the version, the date of issuing the document, signature by the relevant person in the manufacturer organisation</w:t>
            </w:r>
          </w:p>
        </w:tc>
      </w:tr>
      <w:tr w:rsidR="00940020" w:rsidRPr="00047EED" w14:paraId="67902D82" w14:textId="77777777" w:rsidTr="002013A7">
        <w:trPr>
          <w:jc w:val="center"/>
        </w:trPr>
        <w:tc>
          <w:tcPr>
            <w:tcW w:w="1271" w:type="dxa"/>
            <w:vMerge/>
          </w:tcPr>
          <w:p w14:paraId="7B08DF04" w14:textId="77777777" w:rsidR="00940020" w:rsidRPr="00047EED" w:rsidRDefault="00940020" w:rsidP="00DF0C95">
            <w:pPr>
              <w:pStyle w:val="Heading1"/>
              <w:ind w:left="136"/>
              <w:outlineLvl w:val="0"/>
              <w:rPr>
                <w:b/>
                <w:bCs/>
              </w:rPr>
            </w:pPr>
          </w:p>
        </w:tc>
        <w:tc>
          <w:tcPr>
            <w:tcW w:w="1134" w:type="dxa"/>
          </w:tcPr>
          <w:p w14:paraId="1E60A5CD" w14:textId="77777777" w:rsidR="00940020" w:rsidRPr="00047EED" w:rsidRDefault="00940020" w:rsidP="00DF0C95">
            <w:pPr>
              <w:pStyle w:val="Heading1"/>
              <w:ind w:left="139"/>
              <w:outlineLvl w:val="0"/>
              <w:rPr>
                <w:b/>
                <w:bCs/>
              </w:rPr>
            </w:pPr>
          </w:p>
        </w:tc>
        <w:tc>
          <w:tcPr>
            <w:tcW w:w="2268" w:type="dxa"/>
          </w:tcPr>
          <w:p w14:paraId="7CC55AFF" w14:textId="04743840" w:rsidR="00940020" w:rsidRPr="00047EED" w:rsidRDefault="00940020" w:rsidP="008D18BD">
            <w:pPr>
              <w:pStyle w:val="Heading1"/>
              <w:ind w:left="32"/>
              <w:outlineLvl w:val="0"/>
              <w:rPr>
                <w:b/>
                <w:bCs/>
              </w:rPr>
            </w:pPr>
            <w:r w:rsidRPr="00047EED">
              <w:rPr>
                <w:b/>
                <w:bCs/>
              </w:rPr>
              <w:t>Versioning table</w:t>
            </w:r>
          </w:p>
        </w:tc>
        <w:tc>
          <w:tcPr>
            <w:tcW w:w="2835" w:type="dxa"/>
          </w:tcPr>
          <w:p w14:paraId="3A40EB50" w14:textId="345A6446" w:rsidR="00940020" w:rsidRPr="00047EED" w:rsidRDefault="00940020" w:rsidP="008803F7">
            <w:pPr>
              <w:pStyle w:val="Heading1"/>
              <w:ind w:left="108"/>
              <w:outlineLvl w:val="0"/>
              <w:rPr>
                <w:b/>
                <w:bCs/>
              </w:rPr>
            </w:pPr>
            <w:r w:rsidRPr="00047EED">
              <w:rPr>
                <w:b/>
                <w:bCs/>
              </w:rPr>
              <w:t>Content of each version modifications: and with part is modified</w:t>
            </w:r>
          </w:p>
        </w:tc>
      </w:tr>
      <w:tr w:rsidR="00940020" w:rsidRPr="00047EED" w14:paraId="5C8D594C" w14:textId="77777777" w:rsidTr="002013A7">
        <w:trPr>
          <w:jc w:val="center"/>
        </w:trPr>
        <w:tc>
          <w:tcPr>
            <w:tcW w:w="1271" w:type="dxa"/>
            <w:vMerge/>
          </w:tcPr>
          <w:p w14:paraId="42B83A57" w14:textId="77777777" w:rsidR="00940020" w:rsidRPr="00047EED" w:rsidRDefault="00940020" w:rsidP="00DF0C95">
            <w:pPr>
              <w:pStyle w:val="Heading1"/>
              <w:ind w:left="136"/>
              <w:outlineLvl w:val="0"/>
              <w:rPr>
                <w:b/>
                <w:bCs/>
              </w:rPr>
            </w:pPr>
          </w:p>
        </w:tc>
        <w:tc>
          <w:tcPr>
            <w:tcW w:w="1134" w:type="dxa"/>
          </w:tcPr>
          <w:p w14:paraId="30A2EA82" w14:textId="77777777" w:rsidR="00940020" w:rsidRPr="00047EED" w:rsidRDefault="00940020" w:rsidP="00DF0C95">
            <w:pPr>
              <w:pStyle w:val="Heading1"/>
              <w:ind w:left="139"/>
              <w:outlineLvl w:val="0"/>
              <w:rPr>
                <w:b/>
                <w:bCs/>
              </w:rPr>
            </w:pPr>
          </w:p>
        </w:tc>
        <w:tc>
          <w:tcPr>
            <w:tcW w:w="2268" w:type="dxa"/>
          </w:tcPr>
          <w:p w14:paraId="750B3AF7" w14:textId="69EDE756" w:rsidR="00940020" w:rsidRPr="00047EED" w:rsidRDefault="00940020" w:rsidP="008803F7">
            <w:pPr>
              <w:pStyle w:val="Heading1"/>
              <w:ind w:left="32"/>
              <w:outlineLvl w:val="0"/>
              <w:rPr>
                <w:b/>
                <w:bCs/>
              </w:rPr>
            </w:pPr>
            <w:r w:rsidRPr="00047EED">
              <w:rPr>
                <w:b/>
                <w:bCs/>
              </w:rPr>
              <w:t>Description of the (emission) types concerned</w:t>
            </w:r>
          </w:p>
        </w:tc>
        <w:tc>
          <w:tcPr>
            <w:tcW w:w="2835" w:type="dxa"/>
          </w:tcPr>
          <w:p w14:paraId="4AE20958" w14:textId="77777777" w:rsidR="00940020" w:rsidRPr="00047EED" w:rsidRDefault="00940020" w:rsidP="007D0E78">
            <w:pPr>
              <w:pStyle w:val="Heading1"/>
              <w:ind w:left="108"/>
              <w:outlineLvl w:val="0"/>
              <w:rPr>
                <w:b/>
                <w:bCs/>
              </w:rPr>
            </w:pPr>
          </w:p>
        </w:tc>
      </w:tr>
      <w:tr w:rsidR="00940020" w:rsidRPr="00047EED" w14:paraId="6FDD7954" w14:textId="77777777" w:rsidTr="002013A7">
        <w:trPr>
          <w:jc w:val="center"/>
        </w:trPr>
        <w:tc>
          <w:tcPr>
            <w:tcW w:w="1271" w:type="dxa"/>
            <w:vMerge/>
          </w:tcPr>
          <w:p w14:paraId="09AC858C" w14:textId="77777777" w:rsidR="00940020" w:rsidRPr="00047EED" w:rsidRDefault="00940020" w:rsidP="00DF0C95">
            <w:pPr>
              <w:pStyle w:val="Heading1"/>
              <w:ind w:left="136"/>
              <w:outlineLvl w:val="0"/>
              <w:rPr>
                <w:b/>
                <w:bCs/>
              </w:rPr>
            </w:pPr>
          </w:p>
        </w:tc>
        <w:tc>
          <w:tcPr>
            <w:tcW w:w="1134" w:type="dxa"/>
          </w:tcPr>
          <w:p w14:paraId="3A8C0B8D" w14:textId="77777777" w:rsidR="00940020" w:rsidRPr="00047EED" w:rsidRDefault="00940020" w:rsidP="00DF0C95">
            <w:pPr>
              <w:pStyle w:val="Heading1"/>
              <w:ind w:left="139"/>
              <w:outlineLvl w:val="0"/>
              <w:rPr>
                <w:b/>
                <w:bCs/>
              </w:rPr>
            </w:pPr>
          </w:p>
        </w:tc>
        <w:tc>
          <w:tcPr>
            <w:tcW w:w="2268" w:type="dxa"/>
          </w:tcPr>
          <w:p w14:paraId="29A3E2D6" w14:textId="30C8C29C" w:rsidR="00940020" w:rsidRPr="00047EED" w:rsidRDefault="00940020" w:rsidP="008D18BD">
            <w:pPr>
              <w:pStyle w:val="Heading1"/>
              <w:ind w:left="32"/>
              <w:outlineLvl w:val="0"/>
              <w:rPr>
                <w:b/>
                <w:bCs/>
              </w:rPr>
            </w:pPr>
            <w:r w:rsidRPr="00047EED">
              <w:rPr>
                <w:b/>
                <w:bCs/>
              </w:rPr>
              <w:t>Attached documents table</w:t>
            </w:r>
          </w:p>
        </w:tc>
        <w:tc>
          <w:tcPr>
            <w:tcW w:w="2835" w:type="dxa"/>
          </w:tcPr>
          <w:p w14:paraId="0F41F194" w14:textId="20438DDA" w:rsidR="00940020" w:rsidRPr="00047EED" w:rsidRDefault="00940020" w:rsidP="007D0E78">
            <w:pPr>
              <w:pStyle w:val="Heading1"/>
              <w:ind w:left="108"/>
              <w:outlineLvl w:val="0"/>
              <w:rPr>
                <w:b/>
                <w:bCs/>
              </w:rPr>
            </w:pPr>
            <w:r w:rsidRPr="00047EED">
              <w:rPr>
                <w:b/>
                <w:bCs/>
              </w:rPr>
              <w:t>List of all attached documents</w:t>
            </w:r>
          </w:p>
        </w:tc>
      </w:tr>
      <w:tr w:rsidR="00940020" w:rsidRPr="00047EED" w14:paraId="510D8928" w14:textId="77777777" w:rsidTr="002013A7">
        <w:trPr>
          <w:jc w:val="center"/>
        </w:trPr>
        <w:tc>
          <w:tcPr>
            <w:tcW w:w="1271" w:type="dxa"/>
            <w:vMerge/>
          </w:tcPr>
          <w:p w14:paraId="182BDAF7" w14:textId="77777777" w:rsidR="00940020" w:rsidRPr="00047EED" w:rsidRDefault="00940020" w:rsidP="00DF0C95">
            <w:pPr>
              <w:pStyle w:val="Heading1"/>
              <w:ind w:left="136"/>
              <w:outlineLvl w:val="0"/>
              <w:rPr>
                <w:b/>
                <w:bCs/>
              </w:rPr>
            </w:pPr>
          </w:p>
        </w:tc>
        <w:tc>
          <w:tcPr>
            <w:tcW w:w="1134" w:type="dxa"/>
          </w:tcPr>
          <w:p w14:paraId="657BF1E5" w14:textId="77777777" w:rsidR="00940020" w:rsidRPr="00047EED" w:rsidRDefault="00940020" w:rsidP="00DF0C95">
            <w:pPr>
              <w:pStyle w:val="Heading1"/>
              <w:ind w:left="139"/>
              <w:outlineLvl w:val="0"/>
              <w:rPr>
                <w:b/>
                <w:bCs/>
              </w:rPr>
            </w:pPr>
          </w:p>
        </w:tc>
        <w:tc>
          <w:tcPr>
            <w:tcW w:w="2268" w:type="dxa"/>
          </w:tcPr>
          <w:p w14:paraId="5EFBD8EC" w14:textId="6565FAF5" w:rsidR="00940020" w:rsidRPr="00047EED" w:rsidRDefault="00940020" w:rsidP="008D18BD">
            <w:pPr>
              <w:pStyle w:val="Heading1"/>
              <w:ind w:left="32"/>
              <w:outlineLvl w:val="0"/>
              <w:rPr>
                <w:b/>
                <w:bCs/>
              </w:rPr>
            </w:pPr>
            <w:r w:rsidRPr="00047EED">
              <w:rPr>
                <w:b/>
                <w:bCs/>
              </w:rPr>
              <w:t>Cross references</w:t>
            </w:r>
          </w:p>
        </w:tc>
        <w:tc>
          <w:tcPr>
            <w:tcW w:w="2835" w:type="dxa"/>
          </w:tcPr>
          <w:p w14:paraId="7EBDC3CD" w14:textId="65883C9A" w:rsidR="00940020" w:rsidRPr="00047EED" w:rsidRDefault="00940020" w:rsidP="003A5196">
            <w:pPr>
              <w:pStyle w:val="Heading1"/>
              <w:ind w:left="108"/>
              <w:outlineLvl w:val="0"/>
              <w:rPr>
                <w:b/>
                <w:bCs/>
              </w:rPr>
            </w:pPr>
            <w:r w:rsidRPr="00047EED">
              <w:rPr>
                <w:b/>
                <w:bCs/>
              </w:rPr>
              <w:t>Link to paragraph (a) to (</w:t>
            </w:r>
            <w:proofErr w:type="spellStart"/>
            <w:r w:rsidRPr="00047EED">
              <w:rPr>
                <w:b/>
                <w:bCs/>
              </w:rPr>
              <w:t>i</w:t>
            </w:r>
            <w:proofErr w:type="spellEnd"/>
            <w:r w:rsidRPr="00047EED">
              <w:rPr>
                <w:b/>
                <w:bCs/>
              </w:rPr>
              <w:t xml:space="preserve">) of </w:t>
            </w:r>
            <w:r w:rsidR="000D0038" w:rsidRPr="00047EED">
              <w:rPr>
                <w:b/>
                <w:bCs/>
              </w:rPr>
              <w:t>Annex 2D</w:t>
            </w:r>
            <w:r w:rsidRPr="00047EED">
              <w:rPr>
                <w:b/>
                <w:bCs/>
              </w:rPr>
              <w:t xml:space="preserve"> (where to find each requirement of the regulation)</w:t>
            </w:r>
          </w:p>
        </w:tc>
      </w:tr>
      <w:tr w:rsidR="00940020" w:rsidRPr="00047EED" w14:paraId="209EDD21" w14:textId="77777777" w:rsidTr="002013A7">
        <w:trPr>
          <w:jc w:val="center"/>
        </w:trPr>
        <w:tc>
          <w:tcPr>
            <w:tcW w:w="1271" w:type="dxa"/>
            <w:vMerge/>
          </w:tcPr>
          <w:p w14:paraId="3A481415" w14:textId="77777777" w:rsidR="00940020" w:rsidRPr="00047EED" w:rsidRDefault="00940020" w:rsidP="00DF0C95">
            <w:pPr>
              <w:pStyle w:val="Heading1"/>
              <w:ind w:left="136"/>
              <w:outlineLvl w:val="0"/>
              <w:rPr>
                <w:b/>
                <w:bCs/>
              </w:rPr>
            </w:pPr>
          </w:p>
        </w:tc>
        <w:tc>
          <w:tcPr>
            <w:tcW w:w="1134" w:type="dxa"/>
          </w:tcPr>
          <w:p w14:paraId="7A373D9F" w14:textId="77777777" w:rsidR="00940020" w:rsidRPr="00047EED" w:rsidRDefault="00940020" w:rsidP="00DF0C95">
            <w:pPr>
              <w:pStyle w:val="Heading1"/>
              <w:ind w:left="139"/>
              <w:outlineLvl w:val="0"/>
              <w:rPr>
                <w:b/>
                <w:bCs/>
              </w:rPr>
            </w:pPr>
          </w:p>
        </w:tc>
        <w:tc>
          <w:tcPr>
            <w:tcW w:w="2268" w:type="dxa"/>
          </w:tcPr>
          <w:p w14:paraId="3443EE5B" w14:textId="77ECE8ED" w:rsidR="00940020" w:rsidRPr="00047EED" w:rsidRDefault="00940020" w:rsidP="008D18BD">
            <w:pPr>
              <w:pStyle w:val="Heading1"/>
              <w:ind w:left="32"/>
              <w:outlineLvl w:val="0"/>
              <w:rPr>
                <w:b/>
                <w:bCs/>
              </w:rPr>
            </w:pPr>
            <w:r w:rsidRPr="00047EED">
              <w:rPr>
                <w:b/>
                <w:bCs/>
              </w:rPr>
              <w:t>Absence of defeat device declaration</w:t>
            </w:r>
          </w:p>
        </w:tc>
        <w:tc>
          <w:tcPr>
            <w:tcW w:w="2835" w:type="dxa"/>
          </w:tcPr>
          <w:p w14:paraId="2D1BDA9F" w14:textId="374257B4" w:rsidR="00940020" w:rsidRPr="00047EED" w:rsidRDefault="00940020" w:rsidP="007D0E78">
            <w:pPr>
              <w:pStyle w:val="Heading1"/>
              <w:ind w:left="108"/>
              <w:outlineLvl w:val="0"/>
              <w:rPr>
                <w:b/>
                <w:bCs/>
              </w:rPr>
            </w:pPr>
            <w:r w:rsidRPr="00047EED">
              <w:rPr>
                <w:b/>
                <w:bCs/>
              </w:rPr>
              <w:t>+ Signature</w:t>
            </w:r>
          </w:p>
        </w:tc>
      </w:tr>
      <w:tr w:rsidR="0001188F" w:rsidRPr="00047EED" w14:paraId="6A40770D" w14:textId="77777777" w:rsidTr="002013A7">
        <w:trPr>
          <w:jc w:val="center"/>
        </w:trPr>
        <w:tc>
          <w:tcPr>
            <w:tcW w:w="1271" w:type="dxa"/>
            <w:vMerge w:val="restart"/>
          </w:tcPr>
          <w:p w14:paraId="7C236EA9" w14:textId="31864F5E" w:rsidR="0001188F" w:rsidRPr="00047EED" w:rsidRDefault="0001188F" w:rsidP="00DF0C95">
            <w:pPr>
              <w:pStyle w:val="Heading1"/>
              <w:ind w:left="136"/>
              <w:outlineLvl w:val="0"/>
              <w:rPr>
                <w:b/>
                <w:bCs/>
              </w:rPr>
            </w:pPr>
            <w:r w:rsidRPr="00047EED">
              <w:rPr>
                <w:b/>
                <w:bCs/>
              </w:rPr>
              <w:t>Core document</w:t>
            </w:r>
          </w:p>
        </w:tc>
        <w:tc>
          <w:tcPr>
            <w:tcW w:w="1134" w:type="dxa"/>
          </w:tcPr>
          <w:p w14:paraId="7659392F" w14:textId="60EE9443" w:rsidR="0001188F" w:rsidRPr="00047EED" w:rsidRDefault="0001188F" w:rsidP="00DF0C95">
            <w:pPr>
              <w:pStyle w:val="Heading1"/>
              <w:ind w:left="139"/>
              <w:outlineLvl w:val="0"/>
              <w:rPr>
                <w:b/>
                <w:bCs/>
              </w:rPr>
            </w:pPr>
            <w:r w:rsidRPr="00047EED">
              <w:rPr>
                <w:b/>
                <w:bCs/>
              </w:rPr>
              <w:t>0</w:t>
            </w:r>
          </w:p>
        </w:tc>
        <w:tc>
          <w:tcPr>
            <w:tcW w:w="2268" w:type="dxa"/>
          </w:tcPr>
          <w:p w14:paraId="57F3C093" w14:textId="5C211D85" w:rsidR="0001188F" w:rsidRPr="00047EED" w:rsidRDefault="0001188F" w:rsidP="008D18BD">
            <w:pPr>
              <w:pStyle w:val="Heading1"/>
              <w:ind w:left="32"/>
              <w:outlineLvl w:val="0"/>
              <w:rPr>
                <w:b/>
                <w:bCs/>
              </w:rPr>
            </w:pPr>
            <w:r w:rsidRPr="00047EED">
              <w:rPr>
                <w:b/>
                <w:bCs/>
              </w:rPr>
              <w:t>Acronyms/abbreviations</w:t>
            </w:r>
          </w:p>
        </w:tc>
        <w:tc>
          <w:tcPr>
            <w:tcW w:w="2835" w:type="dxa"/>
          </w:tcPr>
          <w:p w14:paraId="3D2FB506" w14:textId="77777777" w:rsidR="0001188F" w:rsidRPr="00047EED" w:rsidRDefault="0001188F" w:rsidP="007D0E78">
            <w:pPr>
              <w:pStyle w:val="Heading1"/>
              <w:ind w:left="108"/>
              <w:outlineLvl w:val="0"/>
              <w:rPr>
                <w:b/>
                <w:bCs/>
              </w:rPr>
            </w:pPr>
          </w:p>
        </w:tc>
      </w:tr>
      <w:tr w:rsidR="0001188F" w:rsidRPr="00047EED" w14:paraId="64463DF6" w14:textId="77777777" w:rsidTr="002013A7">
        <w:trPr>
          <w:jc w:val="center"/>
        </w:trPr>
        <w:tc>
          <w:tcPr>
            <w:tcW w:w="1271" w:type="dxa"/>
            <w:vMerge/>
          </w:tcPr>
          <w:p w14:paraId="731B2FF2" w14:textId="77777777" w:rsidR="0001188F" w:rsidRPr="00047EED" w:rsidRDefault="0001188F" w:rsidP="00DF0C95">
            <w:pPr>
              <w:pStyle w:val="Heading1"/>
              <w:ind w:left="136"/>
              <w:outlineLvl w:val="0"/>
              <w:rPr>
                <w:b/>
                <w:bCs/>
              </w:rPr>
            </w:pPr>
          </w:p>
        </w:tc>
        <w:tc>
          <w:tcPr>
            <w:tcW w:w="1134" w:type="dxa"/>
          </w:tcPr>
          <w:p w14:paraId="750B473B" w14:textId="3BBAA615" w:rsidR="0001188F" w:rsidRPr="00047EED" w:rsidRDefault="0001188F" w:rsidP="00DF0C95">
            <w:pPr>
              <w:pStyle w:val="Heading1"/>
              <w:ind w:left="139"/>
              <w:outlineLvl w:val="0"/>
              <w:rPr>
                <w:b/>
                <w:bCs/>
              </w:rPr>
            </w:pPr>
            <w:r w:rsidRPr="00047EED">
              <w:rPr>
                <w:b/>
                <w:bCs/>
              </w:rPr>
              <w:t>1</w:t>
            </w:r>
          </w:p>
        </w:tc>
        <w:tc>
          <w:tcPr>
            <w:tcW w:w="2268" w:type="dxa"/>
          </w:tcPr>
          <w:p w14:paraId="4CB88710" w14:textId="467969B0" w:rsidR="0001188F" w:rsidRPr="00047EED" w:rsidRDefault="0001188F" w:rsidP="008D18BD">
            <w:pPr>
              <w:pStyle w:val="Heading1"/>
              <w:ind w:left="32"/>
              <w:outlineLvl w:val="0"/>
              <w:rPr>
                <w:b/>
                <w:bCs/>
              </w:rPr>
            </w:pPr>
            <w:r w:rsidRPr="00047EED">
              <w:rPr>
                <w:b/>
                <w:bCs/>
              </w:rPr>
              <w:t>GENERAL DESCRIPTION</w:t>
            </w:r>
          </w:p>
        </w:tc>
        <w:tc>
          <w:tcPr>
            <w:tcW w:w="2835" w:type="dxa"/>
          </w:tcPr>
          <w:p w14:paraId="5E22488D" w14:textId="77777777" w:rsidR="0001188F" w:rsidRPr="00047EED" w:rsidRDefault="0001188F" w:rsidP="007D0E78">
            <w:pPr>
              <w:pStyle w:val="Heading1"/>
              <w:ind w:left="108"/>
              <w:outlineLvl w:val="0"/>
              <w:rPr>
                <w:b/>
                <w:bCs/>
              </w:rPr>
            </w:pPr>
          </w:p>
        </w:tc>
      </w:tr>
      <w:tr w:rsidR="0001188F" w:rsidRPr="00047EED" w14:paraId="3F1F5537" w14:textId="77777777" w:rsidTr="002013A7">
        <w:trPr>
          <w:jc w:val="center"/>
        </w:trPr>
        <w:tc>
          <w:tcPr>
            <w:tcW w:w="1271" w:type="dxa"/>
            <w:vMerge/>
          </w:tcPr>
          <w:p w14:paraId="2054DE1A" w14:textId="77777777" w:rsidR="0001188F" w:rsidRPr="00047EED" w:rsidRDefault="0001188F" w:rsidP="00DF0C95">
            <w:pPr>
              <w:pStyle w:val="Heading1"/>
              <w:ind w:left="136"/>
              <w:outlineLvl w:val="0"/>
              <w:rPr>
                <w:b/>
                <w:bCs/>
              </w:rPr>
            </w:pPr>
          </w:p>
        </w:tc>
        <w:tc>
          <w:tcPr>
            <w:tcW w:w="1134" w:type="dxa"/>
          </w:tcPr>
          <w:p w14:paraId="72D9564C" w14:textId="3DC7AED3" w:rsidR="0001188F" w:rsidRPr="00047EED" w:rsidRDefault="0001188F" w:rsidP="00DF0C95">
            <w:pPr>
              <w:pStyle w:val="Heading1"/>
              <w:ind w:left="139"/>
              <w:outlineLvl w:val="0"/>
              <w:rPr>
                <w:b/>
                <w:bCs/>
              </w:rPr>
            </w:pPr>
            <w:r w:rsidRPr="00047EED">
              <w:rPr>
                <w:b/>
                <w:bCs/>
              </w:rPr>
              <w:t>1.1</w:t>
            </w:r>
          </w:p>
        </w:tc>
        <w:tc>
          <w:tcPr>
            <w:tcW w:w="2268" w:type="dxa"/>
          </w:tcPr>
          <w:p w14:paraId="16D08D0F" w14:textId="5AE0904C" w:rsidR="0001188F" w:rsidRPr="00047EED" w:rsidRDefault="0001188F" w:rsidP="008D18BD">
            <w:pPr>
              <w:pStyle w:val="Heading1"/>
              <w:ind w:left="32"/>
              <w:outlineLvl w:val="0"/>
              <w:rPr>
                <w:b/>
                <w:bCs/>
              </w:rPr>
            </w:pPr>
            <w:r w:rsidRPr="00047EED">
              <w:rPr>
                <w:b/>
                <w:bCs/>
              </w:rPr>
              <w:t>Engine general presentation</w:t>
            </w:r>
          </w:p>
        </w:tc>
        <w:tc>
          <w:tcPr>
            <w:tcW w:w="2835" w:type="dxa"/>
          </w:tcPr>
          <w:p w14:paraId="59C03E35" w14:textId="1DFC273F" w:rsidR="0001188F" w:rsidRPr="00047EED" w:rsidRDefault="0001188F" w:rsidP="004975EA">
            <w:pPr>
              <w:pStyle w:val="Heading1"/>
              <w:ind w:left="108"/>
              <w:outlineLvl w:val="0"/>
              <w:rPr>
                <w:b/>
                <w:bCs/>
              </w:rPr>
            </w:pPr>
            <w:r w:rsidRPr="00047EED">
              <w:rPr>
                <w:b/>
                <w:bCs/>
              </w:rPr>
              <w:t>Description of main characteristics: displacement, after treatment,…</w:t>
            </w:r>
          </w:p>
        </w:tc>
      </w:tr>
      <w:tr w:rsidR="0001188F" w:rsidRPr="00047EED" w14:paraId="72D2FB69" w14:textId="77777777" w:rsidTr="002013A7">
        <w:trPr>
          <w:jc w:val="center"/>
        </w:trPr>
        <w:tc>
          <w:tcPr>
            <w:tcW w:w="1271" w:type="dxa"/>
            <w:vMerge/>
          </w:tcPr>
          <w:p w14:paraId="11300815" w14:textId="77777777" w:rsidR="0001188F" w:rsidRPr="00047EED" w:rsidRDefault="0001188F" w:rsidP="00DF0C95">
            <w:pPr>
              <w:pStyle w:val="Heading1"/>
              <w:ind w:left="136"/>
              <w:outlineLvl w:val="0"/>
              <w:rPr>
                <w:b/>
                <w:bCs/>
              </w:rPr>
            </w:pPr>
          </w:p>
        </w:tc>
        <w:tc>
          <w:tcPr>
            <w:tcW w:w="1134" w:type="dxa"/>
          </w:tcPr>
          <w:p w14:paraId="7AB2BC15" w14:textId="79C4CCD8" w:rsidR="0001188F" w:rsidRPr="00047EED" w:rsidRDefault="0001188F" w:rsidP="00DF0C95">
            <w:pPr>
              <w:pStyle w:val="Heading1"/>
              <w:ind w:left="139"/>
              <w:outlineLvl w:val="0"/>
              <w:rPr>
                <w:b/>
                <w:bCs/>
              </w:rPr>
            </w:pPr>
            <w:r w:rsidRPr="00047EED">
              <w:rPr>
                <w:b/>
                <w:bCs/>
              </w:rPr>
              <w:t>1.2</w:t>
            </w:r>
          </w:p>
        </w:tc>
        <w:tc>
          <w:tcPr>
            <w:tcW w:w="2268" w:type="dxa"/>
          </w:tcPr>
          <w:p w14:paraId="35E66325" w14:textId="0C4A989B" w:rsidR="0001188F" w:rsidRPr="00047EED" w:rsidRDefault="0001188F" w:rsidP="008D18BD">
            <w:pPr>
              <w:pStyle w:val="Heading1"/>
              <w:ind w:left="32"/>
              <w:outlineLvl w:val="0"/>
              <w:rPr>
                <w:b/>
                <w:bCs/>
              </w:rPr>
            </w:pPr>
            <w:r w:rsidRPr="00047EED">
              <w:rPr>
                <w:b/>
                <w:bCs/>
              </w:rPr>
              <w:t>General system architecture</w:t>
            </w:r>
          </w:p>
        </w:tc>
        <w:tc>
          <w:tcPr>
            <w:tcW w:w="2835" w:type="dxa"/>
          </w:tcPr>
          <w:p w14:paraId="62766379" w14:textId="6125864D" w:rsidR="0001188F" w:rsidRPr="00047EED" w:rsidRDefault="0001188F" w:rsidP="004975EA">
            <w:pPr>
              <w:pStyle w:val="Heading1"/>
              <w:ind w:left="108"/>
              <w:outlineLvl w:val="0"/>
              <w:rPr>
                <w:b/>
                <w:bCs/>
              </w:rPr>
            </w:pPr>
            <w:r w:rsidRPr="00047EED">
              <w:rPr>
                <w:b/>
                <w:bCs/>
              </w:rPr>
              <w:t>System bloc diagram: list of sensors and actuators, explanation of engine general functions</w:t>
            </w:r>
          </w:p>
        </w:tc>
      </w:tr>
      <w:tr w:rsidR="0001188F" w:rsidRPr="00047EED" w14:paraId="481EF3C5" w14:textId="77777777" w:rsidTr="002013A7">
        <w:trPr>
          <w:jc w:val="center"/>
        </w:trPr>
        <w:tc>
          <w:tcPr>
            <w:tcW w:w="1271" w:type="dxa"/>
            <w:vMerge/>
          </w:tcPr>
          <w:p w14:paraId="70D8EA4E" w14:textId="77777777" w:rsidR="0001188F" w:rsidRPr="00047EED" w:rsidRDefault="0001188F" w:rsidP="00DF0C95">
            <w:pPr>
              <w:pStyle w:val="Heading1"/>
              <w:ind w:left="136"/>
              <w:outlineLvl w:val="0"/>
              <w:rPr>
                <w:b/>
                <w:bCs/>
              </w:rPr>
            </w:pPr>
          </w:p>
        </w:tc>
        <w:tc>
          <w:tcPr>
            <w:tcW w:w="1134" w:type="dxa"/>
          </w:tcPr>
          <w:p w14:paraId="4CA1A74C" w14:textId="29BCDCD0" w:rsidR="0001188F" w:rsidRPr="00047EED" w:rsidRDefault="0001188F" w:rsidP="00DF0C95">
            <w:pPr>
              <w:pStyle w:val="Heading1"/>
              <w:ind w:left="139"/>
              <w:outlineLvl w:val="0"/>
              <w:rPr>
                <w:b/>
                <w:bCs/>
              </w:rPr>
            </w:pPr>
            <w:r w:rsidRPr="00047EED">
              <w:rPr>
                <w:b/>
                <w:bCs/>
              </w:rPr>
              <w:t>1.3</w:t>
            </w:r>
          </w:p>
        </w:tc>
        <w:tc>
          <w:tcPr>
            <w:tcW w:w="2268" w:type="dxa"/>
          </w:tcPr>
          <w:p w14:paraId="709BFD47" w14:textId="4C6F77E0" w:rsidR="0001188F" w:rsidRPr="00047EED" w:rsidRDefault="0001188F" w:rsidP="008D18BD">
            <w:pPr>
              <w:pStyle w:val="Heading1"/>
              <w:ind w:left="32"/>
              <w:outlineLvl w:val="0"/>
              <w:rPr>
                <w:b/>
                <w:bCs/>
              </w:rPr>
            </w:pPr>
            <w:r w:rsidRPr="00047EED">
              <w:rPr>
                <w:b/>
                <w:bCs/>
              </w:rPr>
              <w:t>Reading of software and calibration version</w:t>
            </w:r>
          </w:p>
        </w:tc>
        <w:tc>
          <w:tcPr>
            <w:tcW w:w="2835" w:type="dxa"/>
          </w:tcPr>
          <w:p w14:paraId="2B507180" w14:textId="367ADBF5" w:rsidR="0001188F" w:rsidRPr="00047EED" w:rsidRDefault="0001188F" w:rsidP="007D0E78">
            <w:pPr>
              <w:pStyle w:val="Heading1"/>
              <w:ind w:left="108"/>
              <w:outlineLvl w:val="0"/>
              <w:rPr>
                <w:b/>
                <w:bCs/>
              </w:rPr>
            </w:pPr>
            <w:r w:rsidRPr="00047EED">
              <w:rPr>
                <w:b/>
                <w:bCs/>
              </w:rPr>
              <w:t>E.g. scan-tool explanation</w:t>
            </w:r>
          </w:p>
        </w:tc>
      </w:tr>
      <w:tr w:rsidR="0001188F" w:rsidRPr="00047EED" w14:paraId="6AF24A69" w14:textId="77777777" w:rsidTr="002013A7">
        <w:trPr>
          <w:jc w:val="center"/>
        </w:trPr>
        <w:tc>
          <w:tcPr>
            <w:tcW w:w="1271" w:type="dxa"/>
            <w:vMerge/>
          </w:tcPr>
          <w:p w14:paraId="5AFB8489" w14:textId="77777777" w:rsidR="0001188F" w:rsidRPr="00047EED" w:rsidRDefault="0001188F" w:rsidP="00DF0C95">
            <w:pPr>
              <w:pStyle w:val="Heading1"/>
              <w:ind w:left="136"/>
              <w:outlineLvl w:val="0"/>
              <w:rPr>
                <w:b/>
                <w:bCs/>
              </w:rPr>
            </w:pPr>
          </w:p>
        </w:tc>
        <w:tc>
          <w:tcPr>
            <w:tcW w:w="1134" w:type="dxa"/>
          </w:tcPr>
          <w:p w14:paraId="7E186869" w14:textId="4D6FE590" w:rsidR="0001188F" w:rsidRPr="00047EED" w:rsidRDefault="0001188F" w:rsidP="00DF0C95">
            <w:pPr>
              <w:pStyle w:val="Heading1"/>
              <w:ind w:left="139"/>
              <w:outlineLvl w:val="0"/>
              <w:rPr>
                <w:b/>
                <w:bCs/>
              </w:rPr>
            </w:pPr>
            <w:r w:rsidRPr="00047EED">
              <w:rPr>
                <w:b/>
                <w:bCs/>
              </w:rPr>
              <w:t>2</w:t>
            </w:r>
          </w:p>
        </w:tc>
        <w:tc>
          <w:tcPr>
            <w:tcW w:w="2268" w:type="dxa"/>
          </w:tcPr>
          <w:p w14:paraId="096A92E3" w14:textId="47E51C31" w:rsidR="0001188F" w:rsidRPr="00047EED" w:rsidRDefault="0001188F" w:rsidP="008D18BD">
            <w:pPr>
              <w:pStyle w:val="Heading1"/>
              <w:ind w:left="32"/>
              <w:outlineLvl w:val="0"/>
              <w:rPr>
                <w:b/>
                <w:bCs/>
              </w:rPr>
            </w:pPr>
            <w:r w:rsidRPr="00047EED">
              <w:rPr>
                <w:b/>
                <w:bCs/>
              </w:rPr>
              <w:t>Base Emission Strategies</w:t>
            </w:r>
          </w:p>
        </w:tc>
        <w:tc>
          <w:tcPr>
            <w:tcW w:w="2835" w:type="dxa"/>
          </w:tcPr>
          <w:p w14:paraId="5891C2FD" w14:textId="77777777" w:rsidR="0001188F" w:rsidRPr="00047EED" w:rsidRDefault="0001188F" w:rsidP="007D0E78">
            <w:pPr>
              <w:pStyle w:val="Heading1"/>
              <w:ind w:left="108"/>
              <w:outlineLvl w:val="0"/>
              <w:rPr>
                <w:b/>
                <w:bCs/>
              </w:rPr>
            </w:pPr>
          </w:p>
        </w:tc>
      </w:tr>
      <w:tr w:rsidR="0001188F" w:rsidRPr="00047EED" w14:paraId="648EE4D9" w14:textId="77777777" w:rsidTr="002013A7">
        <w:trPr>
          <w:jc w:val="center"/>
        </w:trPr>
        <w:tc>
          <w:tcPr>
            <w:tcW w:w="1271" w:type="dxa"/>
            <w:vMerge/>
          </w:tcPr>
          <w:p w14:paraId="3A8D050A" w14:textId="77777777" w:rsidR="0001188F" w:rsidRPr="00047EED" w:rsidRDefault="0001188F" w:rsidP="00DF0C95">
            <w:pPr>
              <w:pStyle w:val="Heading1"/>
              <w:ind w:left="136"/>
              <w:outlineLvl w:val="0"/>
              <w:rPr>
                <w:b/>
                <w:bCs/>
              </w:rPr>
            </w:pPr>
          </w:p>
        </w:tc>
        <w:tc>
          <w:tcPr>
            <w:tcW w:w="1134" w:type="dxa"/>
          </w:tcPr>
          <w:p w14:paraId="4F0711AC" w14:textId="10C0EA94" w:rsidR="0001188F" w:rsidRPr="00047EED" w:rsidRDefault="0001188F" w:rsidP="00DF0C95">
            <w:pPr>
              <w:pStyle w:val="Heading1"/>
              <w:ind w:left="139"/>
              <w:outlineLvl w:val="0"/>
              <w:rPr>
                <w:b/>
                <w:bCs/>
              </w:rPr>
            </w:pPr>
            <w:r w:rsidRPr="00047EED">
              <w:rPr>
                <w:b/>
                <w:bCs/>
              </w:rPr>
              <w:t>2.x</w:t>
            </w:r>
          </w:p>
        </w:tc>
        <w:tc>
          <w:tcPr>
            <w:tcW w:w="2268" w:type="dxa"/>
          </w:tcPr>
          <w:p w14:paraId="5D3DC06F" w14:textId="41CD4292" w:rsidR="0001188F" w:rsidRPr="00047EED" w:rsidRDefault="0001188F" w:rsidP="008D18BD">
            <w:pPr>
              <w:pStyle w:val="Heading1"/>
              <w:ind w:left="32"/>
              <w:outlineLvl w:val="0"/>
              <w:rPr>
                <w:b/>
                <w:bCs/>
              </w:rPr>
            </w:pPr>
            <w:r w:rsidRPr="00047EED">
              <w:rPr>
                <w:b/>
                <w:bCs/>
              </w:rPr>
              <w:t>BES x</w:t>
            </w:r>
          </w:p>
        </w:tc>
        <w:tc>
          <w:tcPr>
            <w:tcW w:w="2835" w:type="dxa"/>
          </w:tcPr>
          <w:p w14:paraId="250C5112" w14:textId="1B9A0D38" w:rsidR="0001188F" w:rsidRPr="00047EED" w:rsidRDefault="0001188F" w:rsidP="007D0E78">
            <w:pPr>
              <w:pStyle w:val="Heading1"/>
              <w:ind w:left="108"/>
              <w:outlineLvl w:val="0"/>
              <w:rPr>
                <w:b/>
                <w:bCs/>
              </w:rPr>
            </w:pPr>
            <w:r w:rsidRPr="00047EED">
              <w:rPr>
                <w:b/>
                <w:bCs/>
              </w:rPr>
              <w:t>Description of strategy x</w:t>
            </w:r>
          </w:p>
        </w:tc>
      </w:tr>
      <w:tr w:rsidR="0001188F" w:rsidRPr="00047EED" w14:paraId="23A9D6C7" w14:textId="77777777" w:rsidTr="002013A7">
        <w:trPr>
          <w:jc w:val="center"/>
        </w:trPr>
        <w:tc>
          <w:tcPr>
            <w:tcW w:w="1271" w:type="dxa"/>
            <w:vMerge/>
          </w:tcPr>
          <w:p w14:paraId="18567372" w14:textId="77777777" w:rsidR="0001188F" w:rsidRPr="00047EED" w:rsidRDefault="0001188F" w:rsidP="00DF0C95">
            <w:pPr>
              <w:pStyle w:val="Heading1"/>
              <w:ind w:left="136"/>
              <w:outlineLvl w:val="0"/>
              <w:rPr>
                <w:b/>
                <w:bCs/>
              </w:rPr>
            </w:pPr>
          </w:p>
        </w:tc>
        <w:tc>
          <w:tcPr>
            <w:tcW w:w="1134" w:type="dxa"/>
          </w:tcPr>
          <w:p w14:paraId="47978866" w14:textId="3799B2E7" w:rsidR="0001188F" w:rsidRPr="00047EED" w:rsidRDefault="0001188F" w:rsidP="00DF0C95">
            <w:pPr>
              <w:pStyle w:val="Heading1"/>
              <w:ind w:left="139"/>
              <w:outlineLvl w:val="0"/>
              <w:rPr>
                <w:b/>
                <w:bCs/>
              </w:rPr>
            </w:pPr>
            <w:r w:rsidRPr="00047EED">
              <w:rPr>
                <w:b/>
                <w:bCs/>
              </w:rPr>
              <w:t>2.y</w:t>
            </w:r>
          </w:p>
        </w:tc>
        <w:tc>
          <w:tcPr>
            <w:tcW w:w="2268" w:type="dxa"/>
          </w:tcPr>
          <w:p w14:paraId="1B587C6F" w14:textId="40135C6B" w:rsidR="0001188F" w:rsidRPr="00047EED" w:rsidRDefault="0001188F" w:rsidP="008D18BD">
            <w:pPr>
              <w:pStyle w:val="Heading1"/>
              <w:ind w:left="32"/>
              <w:outlineLvl w:val="0"/>
              <w:rPr>
                <w:b/>
                <w:bCs/>
              </w:rPr>
            </w:pPr>
            <w:r w:rsidRPr="00047EED">
              <w:rPr>
                <w:b/>
                <w:bCs/>
              </w:rPr>
              <w:t>BES y</w:t>
            </w:r>
          </w:p>
        </w:tc>
        <w:tc>
          <w:tcPr>
            <w:tcW w:w="2835" w:type="dxa"/>
          </w:tcPr>
          <w:p w14:paraId="2CAA7DD3" w14:textId="53E19532" w:rsidR="0001188F" w:rsidRPr="00047EED" w:rsidRDefault="0001188F" w:rsidP="007D0E78">
            <w:pPr>
              <w:pStyle w:val="Heading1"/>
              <w:ind w:left="108"/>
              <w:outlineLvl w:val="0"/>
              <w:rPr>
                <w:b/>
                <w:bCs/>
              </w:rPr>
            </w:pPr>
            <w:r w:rsidRPr="00047EED">
              <w:rPr>
                <w:b/>
                <w:bCs/>
              </w:rPr>
              <w:t>Description of strategy y</w:t>
            </w:r>
          </w:p>
        </w:tc>
      </w:tr>
      <w:tr w:rsidR="0001188F" w:rsidRPr="00047EED" w14:paraId="27A6BADF" w14:textId="77777777" w:rsidTr="002013A7">
        <w:trPr>
          <w:jc w:val="center"/>
        </w:trPr>
        <w:tc>
          <w:tcPr>
            <w:tcW w:w="1271" w:type="dxa"/>
            <w:vMerge/>
          </w:tcPr>
          <w:p w14:paraId="73BEDF07" w14:textId="77777777" w:rsidR="0001188F" w:rsidRPr="00047EED" w:rsidRDefault="0001188F" w:rsidP="00DF0C95">
            <w:pPr>
              <w:pStyle w:val="Heading1"/>
              <w:ind w:left="136"/>
              <w:outlineLvl w:val="0"/>
              <w:rPr>
                <w:b/>
                <w:bCs/>
              </w:rPr>
            </w:pPr>
          </w:p>
        </w:tc>
        <w:tc>
          <w:tcPr>
            <w:tcW w:w="1134" w:type="dxa"/>
          </w:tcPr>
          <w:p w14:paraId="7C7F1776" w14:textId="1E710A02" w:rsidR="0001188F" w:rsidRPr="00047EED" w:rsidRDefault="0001188F" w:rsidP="00DF0C95">
            <w:pPr>
              <w:pStyle w:val="Heading1"/>
              <w:ind w:left="139"/>
              <w:outlineLvl w:val="0"/>
              <w:rPr>
                <w:b/>
                <w:bCs/>
              </w:rPr>
            </w:pPr>
            <w:r w:rsidRPr="00047EED">
              <w:rPr>
                <w:b/>
                <w:bCs/>
              </w:rPr>
              <w:t>3</w:t>
            </w:r>
          </w:p>
        </w:tc>
        <w:tc>
          <w:tcPr>
            <w:tcW w:w="2268" w:type="dxa"/>
          </w:tcPr>
          <w:p w14:paraId="32B3F6E4" w14:textId="5E7141EB" w:rsidR="0001188F" w:rsidRPr="00047EED" w:rsidRDefault="0001188F" w:rsidP="008D18BD">
            <w:pPr>
              <w:pStyle w:val="Heading1"/>
              <w:ind w:left="32"/>
              <w:outlineLvl w:val="0"/>
              <w:rPr>
                <w:b/>
                <w:bCs/>
              </w:rPr>
            </w:pPr>
            <w:r w:rsidRPr="00047EED">
              <w:rPr>
                <w:b/>
                <w:bCs/>
              </w:rPr>
              <w:t>Auxiliary Emission Strategies</w:t>
            </w:r>
          </w:p>
        </w:tc>
        <w:tc>
          <w:tcPr>
            <w:tcW w:w="2835" w:type="dxa"/>
          </w:tcPr>
          <w:p w14:paraId="3D134765" w14:textId="77777777" w:rsidR="0001188F" w:rsidRPr="00047EED" w:rsidRDefault="0001188F" w:rsidP="007D0E78">
            <w:pPr>
              <w:pStyle w:val="Heading1"/>
              <w:ind w:left="108"/>
              <w:outlineLvl w:val="0"/>
              <w:rPr>
                <w:b/>
                <w:bCs/>
              </w:rPr>
            </w:pPr>
          </w:p>
        </w:tc>
      </w:tr>
      <w:tr w:rsidR="0001188F" w:rsidRPr="00047EED" w14:paraId="65C485BC" w14:textId="77777777" w:rsidTr="002013A7">
        <w:trPr>
          <w:jc w:val="center"/>
        </w:trPr>
        <w:tc>
          <w:tcPr>
            <w:tcW w:w="1271" w:type="dxa"/>
            <w:vMerge/>
          </w:tcPr>
          <w:p w14:paraId="683862B8" w14:textId="77777777" w:rsidR="0001188F" w:rsidRPr="00047EED" w:rsidRDefault="0001188F" w:rsidP="00DF0C95">
            <w:pPr>
              <w:pStyle w:val="Heading1"/>
              <w:ind w:left="136"/>
              <w:outlineLvl w:val="0"/>
              <w:rPr>
                <w:b/>
                <w:bCs/>
              </w:rPr>
            </w:pPr>
          </w:p>
        </w:tc>
        <w:tc>
          <w:tcPr>
            <w:tcW w:w="1134" w:type="dxa"/>
          </w:tcPr>
          <w:p w14:paraId="56302A6C" w14:textId="2629241D" w:rsidR="0001188F" w:rsidRPr="00047EED" w:rsidRDefault="0001188F" w:rsidP="00DF0C95">
            <w:pPr>
              <w:pStyle w:val="Heading1"/>
              <w:ind w:left="139"/>
              <w:outlineLvl w:val="0"/>
              <w:rPr>
                <w:b/>
                <w:bCs/>
              </w:rPr>
            </w:pPr>
            <w:r w:rsidRPr="00047EED">
              <w:rPr>
                <w:b/>
                <w:bCs/>
              </w:rPr>
              <w:t>3.0</w:t>
            </w:r>
          </w:p>
        </w:tc>
        <w:tc>
          <w:tcPr>
            <w:tcW w:w="2268" w:type="dxa"/>
          </w:tcPr>
          <w:p w14:paraId="10D85B90" w14:textId="70ED13AA" w:rsidR="0001188F" w:rsidRPr="00047EED" w:rsidRDefault="0001188F" w:rsidP="008D18BD">
            <w:pPr>
              <w:pStyle w:val="Heading1"/>
              <w:ind w:left="32"/>
              <w:outlineLvl w:val="0"/>
              <w:rPr>
                <w:b/>
                <w:bCs/>
              </w:rPr>
            </w:pPr>
            <w:r w:rsidRPr="00047EED">
              <w:rPr>
                <w:b/>
                <w:bCs/>
              </w:rPr>
              <w:t>Presentation of the AESs</w:t>
            </w:r>
          </w:p>
        </w:tc>
        <w:tc>
          <w:tcPr>
            <w:tcW w:w="2835" w:type="dxa"/>
          </w:tcPr>
          <w:p w14:paraId="573D4D1F" w14:textId="0299CA6C" w:rsidR="0001188F" w:rsidRPr="00047EED" w:rsidRDefault="0001188F" w:rsidP="00134642">
            <w:pPr>
              <w:pStyle w:val="Heading1"/>
              <w:ind w:left="108"/>
              <w:outlineLvl w:val="0"/>
              <w:rPr>
                <w:b/>
                <w:bCs/>
              </w:rPr>
            </w:pPr>
            <w:r w:rsidRPr="00047EED">
              <w:rPr>
                <w:b/>
                <w:bCs/>
              </w:rPr>
              <w:t>Hierarchical relations among AES: description and justification (e.g. safety, reliability, etc.)</w:t>
            </w:r>
          </w:p>
        </w:tc>
      </w:tr>
      <w:tr w:rsidR="0001188F" w:rsidRPr="00047EED" w14:paraId="2B7C0C80" w14:textId="77777777" w:rsidTr="002013A7">
        <w:trPr>
          <w:jc w:val="center"/>
        </w:trPr>
        <w:tc>
          <w:tcPr>
            <w:tcW w:w="1271" w:type="dxa"/>
            <w:vMerge/>
          </w:tcPr>
          <w:p w14:paraId="17162186" w14:textId="77777777" w:rsidR="0001188F" w:rsidRPr="00047EED" w:rsidRDefault="0001188F" w:rsidP="00DF0C95">
            <w:pPr>
              <w:pStyle w:val="Heading1"/>
              <w:ind w:left="136"/>
              <w:outlineLvl w:val="0"/>
              <w:rPr>
                <w:b/>
                <w:bCs/>
              </w:rPr>
            </w:pPr>
          </w:p>
        </w:tc>
        <w:tc>
          <w:tcPr>
            <w:tcW w:w="1134" w:type="dxa"/>
          </w:tcPr>
          <w:p w14:paraId="4710CDB2" w14:textId="57725084" w:rsidR="0001188F" w:rsidRPr="00047EED" w:rsidRDefault="0001188F" w:rsidP="00DF0C95">
            <w:pPr>
              <w:pStyle w:val="Heading1"/>
              <w:ind w:left="139"/>
              <w:outlineLvl w:val="0"/>
              <w:rPr>
                <w:b/>
                <w:bCs/>
              </w:rPr>
            </w:pPr>
            <w:r w:rsidRPr="00047EED">
              <w:rPr>
                <w:b/>
                <w:bCs/>
              </w:rPr>
              <w:t>3.x</w:t>
            </w:r>
          </w:p>
        </w:tc>
        <w:tc>
          <w:tcPr>
            <w:tcW w:w="2268" w:type="dxa"/>
          </w:tcPr>
          <w:p w14:paraId="6AB01275" w14:textId="18AF22ED" w:rsidR="0001188F" w:rsidRPr="00047EED" w:rsidRDefault="0001188F" w:rsidP="008D18BD">
            <w:pPr>
              <w:pStyle w:val="Heading1"/>
              <w:ind w:left="32"/>
              <w:outlineLvl w:val="0"/>
              <w:rPr>
                <w:b/>
                <w:bCs/>
              </w:rPr>
            </w:pPr>
            <w:r w:rsidRPr="00047EED">
              <w:rPr>
                <w:b/>
                <w:bCs/>
              </w:rPr>
              <w:t>AES x</w:t>
            </w:r>
          </w:p>
        </w:tc>
        <w:tc>
          <w:tcPr>
            <w:tcW w:w="2835" w:type="dxa"/>
          </w:tcPr>
          <w:p w14:paraId="39D3D637" w14:textId="77777777" w:rsidR="0001188F" w:rsidRPr="00047EED" w:rsidRDefault="0001188F" w:rsidP="002F5062">
            <w:pPr>
              <w:pStyle w:val="Heading1"/>
              <w:spacing w:after="40"/>
              <w:ind w:left="108"/>
              <w:outlineLvl w:val="0"/>
              <w:rPr>
                <w:b/>
                <w:bCs/>
              </w:rPr>
            </w:pPr>
            <w:r w:rsidRPr="00047EED">
              <w:rPr>
                <w:b/>
                <w:bCs/>
              </w:rPr>
              <w:t xml:space="preserve">3.x.1 AES justification </w:t>
            </w:r>
          </w:p>
          <w:p w14:paraId="06660F6F" w14:textId="718A0951" w:rsidR="0001188F" w:rsidRPr="00047EED" w:rsidRDefault="0001188F" w:rsidP="002F5062">
            <w:pPr>
              <w:pStyle w:val="Heading1"/>
              <w:spacing w:after="40"/>
              <w:ind w:left="108"/>
              <w:outlineLvl w:val="0"/>
              <w:rPr>
                <w:b/>
                <w:bCs/>
              </w:rPr>
            </w:pPr>
            <w:r w:rsidRPr="00047EED">
              <w:rPr>
                <w:b/>
                <w:bCs/>
              </w:rPr>
              <w:t xml:space="preserve">3.x.2 measured and/or modelled parameters for AES characterization </w:t>
            </w:r>
          </w:p>
          <w:p w14:paraId="61441F85" w14:textId="3529281C" w:rsidR="0001188F" w:rsidRPr="00047EED" w:rsidRDefault="0001188F" w:rsidP="002F5062">
            <w:pPr>
              <w:pStyle w:val="Heading1"/>
              <w:spacing w:after="40"/>
              <w:ind w:left="108"/>
              <w:outlineLvl w:val="0"/>
              <w:rPr>
                <w:b/>
                <w:bCs/>
              </w:rPr>
            </w:pPr>
            <w:r w:rsidRPr="00047EED">
              <w:rPr>
                <w:b/>
                <w:bCs/>
              </w:rPr>
              <w:t xml:space="preserve">3.x.3 Action mode of AES — Parameters used </w:t>
            </w:r>
          </w:p>
          <w:p w14:paraId="7FC108D0" w14:textId="0D7A1F17" w:rsidR="0001188F" w:rsidRPr="00047EED" w:rsidRDefault="0001188F" w:rsidP="002F5062">
            <w:pPr>
              <w:pStyle w:val="Heading1"/>
              <w:ind w:left="108"/>
              <w:outlineLvl w:val="0"/>
              <w:rPr>
                <w:b/>
                <w:bCs/>
              </w:rPr>
            </w:pPr>
            <w:r w:rsidRPr="00047EED">
              <w:rPr>
                <w:b/>
                <w:bCs/>
              </w:rPr>
              <w:t>3.x.4 Effect of AES on pollutants and CO</w:t>
            </w:r>
            <w:r w:rsidRPr="00047EED">
              <w:rPr>
                <w:b/>
                <w:bCs/>
                <w:vertAlign w:val="subscript"/>
              </w:rPr>
              <w:t>2</w:t>
            </w:r>
            <w:r w:rsidRPr="00047EED">
              <w:rPr>
                <w:b/>
                <w:bCs/>
              </w:rPr>
              <w:t xml:space="preserve">  </w:t>
            </w:r>
          </w:p>
        </w:tc>
      </w:tr>
      <w:tr w:rsidR="0001188F" w:rsidRPr="00047EED" w14:paraId="004DACDD" w14:textId="77777777" w:rsidTr="002013A7">
        <w:trPr>
          <w:jc w:val="center"/>
        </w:trPr>
        <w:tc>
          <w:tcPr>
            <w:tcW w:w="1271" w:type="dxa"/>
            <w:vMerge/>
          </w:tcPr>
          <w:p w14:paraId="0F788646" w14:textId="77777777" w:rsidR="0001188F" w:rsidRPr="00047EED" w:rsidRDefault="0001188F" w:rsidP="00DF0C95">
            <w:pPr>
              <w:pStyle w:val="Heading1"/>
              <w:ind w:left="136"/>
              <w:outlineLvl w:val="0"/>
              <w:rPr>
                <w:b/>
                <w:bCs/>
              </w:rPr>
            </w:pPr>
          </w:p>
        </w:tc>
        <w:tc>
          <w:tcPr>
            <w:tcW w:w="1134" w:type="dxa"/>
          </w:tcPr>
          <w:p w14:paraId="1DC3ED38" w14:textId="1BB9A6EE" w:rsidR="0001188F" w:rsidRPr="00047EED" w:rsidRDefault="0001188F" w:rsidP="00DF0C95">
            <w:pPr>
              <w:pStyle w:val="Heading1"/>
              <w:ind w:left="139"/>
              <w:outlineLvl w:val="0"/>
              <w:rPr>
                <w:b/>
                <w:bCs/>
              </w:rPr>
            </w:pPr>
            <w:r w:rsidRPr="00047EED">
              <w:rPr>
                <w:b/>
                <w:bCs/>
              </w:rPr>
              <w:t>3.y</w:t>
            </w:r>
          </w:p>
        </w:tc>
        <w:tc>
          <w:tcPr>
            <w:tcW w:w="2268" w:type="dxa"/>
          </w:tcPr>
          <w:p w14:paraId="00704342" w14:textId="3E8D66C3" w:rsidR="0001188F" w:rsidRPr="00047EED" w:rsidRDefault="0001188F" w:rsidP="008D18BD">
            <w:pPr>
              <w:pStyle w:val="Heading1"/>
              <w:ind w:left="32"/>
              <w:outlineLvl w:val="0"/>
              <w:rPr>
                <w:b/>
                <w:bCs/>
              </w:rPr>
            </w:pPr>
            <w:r w:rsidRPr="00047EED">
              <w:rPr>
                <w:b/>
                <w:bCs/>
              </w:rPr>
              <w:t>AES y</w:t>
            </w:r>
          </w:p>
        </w:tc>
        <w:tc>
          <w:tcPr>
            <w:tcW w:w="2835" w:type="dxa"/>
          </w:tcPr>
          <w:p w14:paraId="19EC5CA7" w14:textId="77777777" w:rsidR="0001188F" w:rsidRPr="00047EED" w:rsidRDefault="0001188F" w:rsidP="00566F28">
            <w:pPr>
              <w:pStyle w:val="Heading1"/>
              <w:ind w:left="108"/>
              <w:outlineLvl w:val="0"/>
              <w:rPr>
                <w:b/>
                <w:bCs/>
              </w:rPr>
            </w:pPr>
            <w:r w:rsidRPr="00047EED">
              <w:rPr>
                <w:b/>
                <w:bCs/>
              </w:rPr>
              <w:t>3.y.1</w:t>
            </w:r>
          </w:p>
          <w:p w14:paraId="15EED846" w14:textId="77777777" w:rsidR="0001188F" w:rsidRPr="00047EED" w:rsidRDefault="0001188F" w:rsidP="00D452C5">
            <w:pPr>
              <w:pStyle w:val="Heading1"/>
              <w:ind w:left="108"/>
              <w:outlineLvl w:val="0"/>
              <w:rPr>
                <w:b/>
                <w:bCs/>
              </w:rPr>
            </w:pPr>
            <w:r w:rsidRPr="00047EED">
              <w:rPr>
                <w:b/>
                <w:bCs/>
              </w:rPr>
              <w:t>3.y.2</w:t>
            </w:r>
          </w:p>
          <w:p w14:paraId="6DD0DA25" w14:textId="19A49EFE" w:rsidR="0001188F" w:rsidRPr="00047EED" w:rsidRDefault="0001188F" w:rsidP="00D452C5">
            <w:pPr>
              <w:pStyle w:val="Heading1"/>
              <w:ind w:left="108"/>
              <w:outlineLvl w:val="0"/>
              <w:rPr>
                <w:b/>
                <w:bCs/>
              </w:rPr>
            </w:pPr>
            <w:r w:rsidRPr="00047EED">
              <w:rPr>
                <w:b/>
                <w:bCs/>
              </w:rPr>
              <w:t>etc.</w:t>
            </w:r>
          </w:p>
        </w:tc>
      </w:tr>
      <w:tr w:rsidR="0001188F" w:rsidRPr="00047EED" w14:paraId="439D2B2B" w14:textId="77777777" w:rsidTr="002013A7">
        <w:trPr>
          <w:jc w:val="center"/>
        </w:trPr>
        <w:tc>
          <w:tcPr>
            <w:tcW w:w="1271" w:type="dxa"/>
            <w:vMerge/>
          </w:tcPr>
          <w:p w14:paraId="6676F8EB" w14:textId="77777777" w:rsidR="0001188F" w:rsidRPr="00047EED" w:rsidRDefault="0001188F" w:rsidP="00DF0C95">
            <w:pPr>
              <w:pStyle w:val="Heading1"/>
              <w:ind w:left="136"/>
              <w:outlineLvl w:val="0"/>
              <w:rPr>
                <w:b/>
                <w:bCs/>
              </w:rPr>
            </w:pPr>
          </w:p>
        </w:tc>
        <w:tc>
          <w:tcPr>
            <w:tcW w:w="1134" w:type="dxa"/>
          </w:tcPr>
          <w:p w14:paraId="7D382FA7" w14:textId="27629AB3" w:rsidR="0001188F" w:rsidRPr="00047EED" w:rsidRDefault="0001188F" w:rsidP="00DF0C95">
            <w:pPr>
              <w:pStyle w:val="Heading1"/>
              <w:ind w:left="139"/>
              <w:outlineLvl w:val="0"/>
              <w:rPr>
                <w:b/>
                <w:bCs/>
              </w:rPr>
            </w:pPr>
            <w:r w:rsidRPr="00047EED">
              <w:rPr>
                <w:b/>
                <w:bCs/>
              </w:rPr>
              <w:t>4.</w:t>
            </w:r>
          </w:p>
        </w:tc>
        <w:tc>
          <w:tcPr>
            <w:tcW w:w="2268" w:type="dxa"/>
          </w:tcPr>
          <w:p w14:paraId="6F89032A" w14:textId="58F41EFC" w:rsidR="0001188F" w:rsidRPr="00047EED" w:rsidRDefault="0001188F" w:rsidP="00D93719">
            <w:pPr>
              <w:pStyle w:val="Heading1"/>
              <w:ind w:left="32"/>
              <w:outlineLvl w:val="0"/>
              <w:rPr>
                <w:b/>
                <w:bCs/>
              </w:rPr>
            </w:pPr>
            <w:r w:rsidRPr="00047EED">
              <w:rPr>
                <w:b/>
                <w:bCs/>
              </w:rPr>
              <w:t>Description of the inducement system, including the associated monitoring strategies</w:t>
            </w:r>
          </w:p>
        </w:tc>
        <w:tc>
          <w:tcPr>
            <w:tcW w:w="2835" w:type="dxa"/>
          </w:tcPr>
          <w:p w14:paraId="764B58DE" w14:textId="77777777" w:rsidR="0001188F" w:rsidRPr="00047EED" w:rsidRDefault="0001188F" w:rsidP="007D0E78">
            <w:pPr>
              <w:pStyle w:val="Heading1"/>
              <w:ind w:left="108"/>
              <w:outlineLvl w:val="0"/>
              <w:rPr>
                <w:b/>
                <w:bCs/>
              </w:rPr>
            </w:pPr>
          </w:p>
        </w:tc>
      </w:tr>
      <w:tr w:rsidR="0001188F" w:rsidRPr="00047EED" w14:paraId="4BACA750" w14:textId="77777777" w:rsidTr="002013A7">
        <w:trPr>
          <w:jc w:val="center"/>
        </w:trPr>
        <w:tc>
          <w:tcPr>
            <w:tcW w:w="1271" w:type="dxa"/>
            <w:vMerge/>
          </w:tcPr>
          <w:p w14:paraId="49B1770F" w14:textId="77777777" w:rsidR="0001188F" w:rsidRPr="00047EED" w:rsidRDefault="0001188F" w:rsidP="00DF0C95">
            <w:pPr>
              <w:pStyle w:val="Heading1"/>
              <w:ind w:left="136"/>
              <w:outlineLvl w:val="0"/>
              <w:rPr>
                <w:b/>
                <w:bCs/>
              </w:rPr>
            </w:pPr>
          </w:p>
        </w:tc>
        <w:tc>
          <w:tcPr>
            <w:tcW w:w="1134" w:type="dxa"/>
          </w:tcPr>
          <w:p w14:paraId="383150B1" w14:textId="79F1BFAE" w:rsidR="0001188F" w:rsidRPr="00047EED" w:rsidRDefault="0001188F" w:rsidP="00DF0C95">
            <w:pPr>
              <w:pStyle w:val="Heading1"/>
              <w:ind w:left="139"/>
              <w:outlineLvl w:val="0"/>
              <w:rPr>
                <w:b/>
                <w:bCs/>
              </w:rPr>
            </w:pPr>
            <w:r w:rsidRPr="00047EED">
              <w:rPr>
                <w:b/>
                <w:bCs/>
              </w:rPr>
              <w:t>5.</w:t>
            </w:r>
          </w:p>
        </w:tc>
        <w:tc>
          <w:tcPr>
            <w:tcW w:w="2268" w:type="dxa"/>
          </w:tcPr>
          <w:p w14:paraId="56F172C3" w14:textId="7D5E110B" w:rsidR="0001188F" w:rsidRPr="00047EED" w:rsidRDefault="0001188F" w:rsidP="00D93719">
            <w:pPr>
              <w:pStyle w:val="Heading1"/>
              <w:ind w:left="32"/>
              <w:outlineLvl w:val="0"/>
              <w:rPr>
                <w:b/>
                <w:bCs/>
              </w:rPr>
            </w:pPr>
            <w:r w:rsidRPr="00047EED">
              <w:rPr>
                <w:b/>
                <w:bCs/>
              </w:rPr>
              <w:t>Description of the anti-tampering measures</w:t>
            </w:r>
          </w:p>
        </w:tc>
        <w:tc>
          <w:tcPr>
            <w:tcW w:w="2835" w:type="dxa"/>
          </w:tcPr>
          <w:p w14:paraId="07CC823A" w14:textId="77777777" w:rsidR="0001188F" w:rsidRPr="00047EED" w:rsidRDefault="0001188F" w:rsidP="007D0E78">
            <w:pPr>
              <w:pStyle w:val="Heading1"/>
              <w:ind w:left="108"/>
              <w:outlineLvl w:val="0"/>
              <w:rPr>
                <w:b/>
                <w:bCs/>
              </w:rPr>
            </w:pPr>
          </w:p>
        </w:tc>
      </w:tr>
      <w:tr w:rsidR="0001188F" w:rsidRPr="00047EED" w14:paraId="68063287" w14:textId="77777777" w:rsidTr="002013A7">
        <w:trPr>
          <w:jc w:val="center"/>
        </w:trPr>
        <w:tc>
          <w:tcPr>
            <w:tcW w:w="1271" w:type="dxa"/>
            <w:vMerge/>
          </w:tcPr>
          <w:p w14:paraId="167E20AC" w14:textId="77777777" w:rsidR="0001188F" w:rsidRPr="00047EED" w:rsidRDefault="0001188F" w:rsidP="00DF0C95">
            <w:pPr>
              <w:pStyle w:val="Heading1"/>
              <w:ind w:left="136"/>
              <w:outlineLvl w:val="0"/>
              <w:rPr>
                <w:b/>
                <w:bCs/>
              </w:rPr>
            </w:pPr>
          </w:p>
        </w:tc>
        <w:tc>
          <w:tcPr>
            <w:tcW w:w="6237" w:type="dxa"/>
            <w:gridSpan w:val="3"/>
          </w:tcPr>
          <w:p w14:paraId="6081A0E4" w14:textId="3AB0951D" w:rsidR="0001188F" w:rsidRPr="00047EED" w:rsidRDefault="0001188F" w:rsidP="00D93719">
            <w:pPr>
              <w:pStyle w:val="Heading1"/>
              <w:ind w:left="108"/>
              <w:jc w:val="center"/>
              <w:outlineLvl w:val="0"/>
              <w:rPr>
                <w:b/>
                <w:bCs/>
              </w:rPr>
            </w:pPr>
            <w:r w:rsidRPr="00047EED">
              <w:rPr>
                <w:b/>
                <w:bCs/>
              </w:rPr>
              <w:t>100 page limit ends here</w:t>
            </w:r>
          </w:p>
        </w:tc>
      </w:tr>
      <w:tr w:rsidR="0001188F" w:rsidRPr="00047EED" w14:paraId="77B9E207" w14:textId="77777777" w:rsidTr="002013A7">
        <w:trPr>
          <w:jc w:val="center"/>
        </w:trPr>
        <w:tc>
          <w:tcPr>
            <w:tcW w:w="1271" w:type="dxa"/>
            <w:vMerge/>
          </w:tcPr>
          <w:p w14:paraId="571CB4E0" w14:textId="77777777" w:rsidR="0001188F" w:rsidRPr="00047EED" w:rsidRDefault="0001188F" w:rsidP="00DF0C95">
            <w:pPr>
              <w:pStyle w:val="Heading1"/>
              <w:ind w:left="136"/>
              <w:outlineLvl w:val="0"/>
              <w:rPr>
                <w:b/>
                <w:bCs/>
              </w:rPr>
            </w:pPr>
          </w:p>
        </w:tc>
        <w:tc>
          <w:tcPr>
            <w:tcW w:w="1134" w:type="dxa"/>
          </w:tcPr>
          <w:p w14:paraId="0353D36A" w14:textId="7D4D3195" w:rsidR="0001188F" w:rsidRPr="00047EED" w:rsidRDefault="0001188F" w:rsidP="00DF0C95">
            <w:pPr>
              <w:pStyle w:val="Heading1"/>
              <w:ind w:left="139"/>
              <w:outlineLvl w:val="0"/>
              <w:rPr>
                <w:b/>
                <w:bCs/>
              </w:rPr>
            </w:pPr>
            <w:r w:rsidRPr="00047EED">
              <w:rPr>
                <w:b/>
                <w:bCs/>
              </w:rPr>
              <w:t>Annex</w:t>
            </w:r>
          </w:p>
        </w:tc>
        <w:tc>
          <w:tcPr>
            <w:tcW w:w="2268" w:type="dxa"/>
          </w:tcPr>
          <w:p w14:paraId="41E23B69" w14:textId="77777777" w:rsidR="0001188F" w:rsidRPr="00047EED" w:rsidRDefault="0001188F" w:rsidP="008D18BD">
            <w:pPr>
              <w:pStyle w:val="Heading1"/>
              <w:ind w:left="32"/>
              <w:outlineLvl w:val="0"/>
              <w:rPr>
                <w:b/>
                <w:bCs/>
              </w:rPr>
            </w:pPr>
          </w:p>
        </w:tc>
        <w:tc>
          <w:tcPr>
            <w:tcW w:w="2835" w:type="dxa"/>
          </w:tcPr>
          <w:p w14:paraId="1F0E03F0" w14:textId="43AF8D75" w:rsidR="0001188F" w:rsidRPr="00047EED" w:rsidRDefault="0001188F" w:rsidP="006612F4">
            <w:pPr>
              <w:pStyle w:val="Heading1"/>
              <w:ind w:left="108"/>
              <w:outlineLvl w:val="0"/>
              <w:rPr>
                <w:b/>
                <w:bCs/>
              </w:rPr>
            </w:pPr>
            <w:r w:rsidRPr="00047EED">
              <w:rPr>
                <w:b/>
                <w:bCs/>
              </w:rPr>
              <w:t>List of types covered by this BES-AES: including Type Approval reference, software reference, calibration number, checksums of each version and of each electronic control unit (engine and/or after-treatment if any)</w:t>
            </w:r>
          </w:p>
        </w:tc>
      </w:tr>
      <w:tr w:rsidR="00312AF5" w:rsidRPr="00047EED" w14:paraId="7A461346" w14:textId="77777777" w:rsidTr="002013A7">
        <w:trPr>
          <w:jc w:val="center"/>
        </w:trPr>
        <w:tc>
          <w:tcPr>
            <w:tcW w:w="1271" w:type="dxa"/>
            <w:vMerge w:val="restart"/>
          </w:tcPr>
          <w:p w14:paraId="1D429F74" w14:textId="79CCD388" w:rsidR="00312AF5" w:rsidRPr="00047EED" w:rsidRDefault="00312AF5" w:rsidP="00DF0C95">
            <w:pPr>
              <w:pStyle w:val="Heading1"/>
              <w:ind w:left="136"/>
              <w:outlineLvl w:val="0"/>
              <w:rPr>
                <w:b/>
                <w:bCs/>
              </w:rPr>
            </w:pPr>
            <w:r w:rsidRPr="00047EED">
              <w:rPr>
                <w:b/>
                <w:bCs/>
              </w:rPr>
              <w:t>Attached documents</w:t>
            </w:r>
          </w:p>
        </w:tc>
        <w:tc>
          <w:tcPr>
            <w:tcW w:w="1134" w:type="dxa"/>
          </w:tcPr>
          <w:p w14:paraId="1FEBE32F" w14:textId="77777777" w:rsidR="00312AF5" w:rsidRPr="00047EED" w:rsidRDefault="00312AF5" w:rsidP="00DF0C95">
            <w:pPr>
              <w:pStyle w:val="Heading1"/>
              <w:ind w:left="139"/>
              <w:outlineLvl w:val="0"/>
              <w:rPr>
                <w:b/>
                <w:bCs/>
              </w:rPr>
            </w:pPr>
          </w:p>
        </w:tc>
        <w:tc>
          <w:tcPr>
            <w:tcW w:w="2268" w:type="dxa"/>
          </w:tcPr>
          <w:p w14:paraId="377744D6" w14:textId="197CCC2B" w:rsidR="00312AF5" w:rsidRPr="00047EED" w:rsidRDefault="00312AF5" w:rsidP="008D18BD">
            <w:pPr>
              <w:pStyle w:val="Heading1"/>
              <w:ind w:left="32"/>
              <w:outlineLvl w:val="0"/>
              <w:rPr>
                <w:b/>
                <w:bCs/>
              </w:rPr>
            </w:pPr>
            <w:r w:rsidRPr="00047EED">
              <w:rPr>
                <w:b/>
                <w:bCs/>
              </w:rPr>
              <w:t xml:space="preserve">Technical note for AES justification </w:t>
            </w:r>
            <w:proofErr w:type="spellStart"/>
            <w:r w:rsidRPr="00047EED">
              <w:rPr>
                <w:b/>
                <w:bCs/>
              </w:rPr>
              <w:t>n°xxx</w:t>
            </w:r>
            <w:proofErr w:type="spellEnd"/>
          </w:p>
        </w:tc>
        <w:tc>
          <w:tcPr>
            <w:tcW w:w="2835" w:type="dxa"/>
          </w:tcPr>
          <w:p w14:paraId="75989982" w14:textId="0095FFFE" w:rsidR="00312AF5" w:rsidRPr="00047EED" w:rsidRDefault="00312AF5" w:rsidP="00837651">
            <w:pPr>
              <w:pStyle w:val="Heading1"/>
              <w:ind w:left="108"/>
              <w:outlineLvl w:val="0"/>
              <w:rPr>
                <w:b/>
                <w:bCs/>
              </w:rPr>
            </w:pPr>
            <w:r w:rsidRPr="00047EED">
              <w:rPr>
                <w:b/>
                <w:bCs/>
              </w:rPr>
              <w:t>Risk assessment or justification by testing or example of sudden damage, if any</w:t>
            </w:r>
          </w:p>
        </w:tc>
      </w:tr>
      <w:tr w:rsidR="00312AF5" w:rsidRPr="00047EED" w14:paraId="32715754" w14:textId="77777777" w:rsidTr="002013A7">
        <w:trPr>
          <w:jc w:val="center"/>
        </w:trPr>
        <w:tc>
          <w:tcPr>
            <w:tcW w:w="1271" w:type="dxa"/>
            <w:vMerge/>
          </w:tcPr>
          <w:p w14:paraId="546F72BF" w14:textId="77777777" w:rsidR="00312AF5" w:rsidRPr="00047EED" w:rsidRDefault="00312AF5" w:rsidP="00DF0C95">
            <w:pPr>
              <w:pStyle w:val="Heading1"/>
              <w:ind w:left="136"/>
              <w:outlineLvl w:val="0"/>
              <w:rPr>
                <w:b/>
                <w:bCs/>
              </w:rPr>
            </w:pPr>
          </w:p>
        </w:tc>
        <w:tc>
          <w:tcPr>
            <w:tcW w:w="1134" w:type="dxa"/>
          </w:tcPr>
          <w:p w14:paraId="5291F356" w14:textId="77777777" w:rsidR="00312AF5" w:rsidRPr="00047EED" w:rsidRDefault="00312AF5" w:rsidP="00DF0C95">
            <w:pPr>
              <w:pStyle w:val="Heading1"/>
              <w:ind w:left="139"/>
              <w:outlineLvl w:val="0"/>
              <w:rPr>
                <w:b/>
                <w:bCs/>
              </w:rPr>
            </w:pPr>
          </w:p>
        </w:tc>
        <w:tc>
          <w:tcPr>
            <w:tcW w:w="2268" w:type="dxa"/>
          </w:tcPr>
          <w:p w14:paraId="4430FDF0" w14:textId="03D403BB" w:rsidR="00312AF5" w:rsidRPr="00047EED" w:rsidRDefault="00312AF5" w:rsidP="008D18BD">
            <w:pPr>
              <w:pStyle w:val="Heading1"/>
              <w:ind w:left="32"/>
              <w:outlineLvl w:val="0"/>
              <w:rPr>
                <w:b/>
                <w:bCs/>
              </w:rPr>
            </w:pPr>
            <w:r w:rsidRPr="00047EED">
              <w:rPr>
                <w:b/>
                <w:bCs/>
              </w:rPr>
              <w:t xml:space="preserve">Technical note for AES justification </w:t>
            </w:r>
            <w:proofErr w:type="spellStart"/>
            <w:r w:rsidRPr="00047EED">
              <w:rPr>
                <w:b/>
                <w:bCs/>
              </w:rPr>
              <w:t>n°yyy</w:t>
            </w:r>
            <w:proofErr w:type="spellEnd"/>
          </w:p>
        </w:tc>
        <w:tc>
          <w:tcPr>
            <w:tcW w:w="2835" w:type="dxa"/>
          </w:tcPr>
          <w:p w14:paraId="268AB5E8" w14:textId="77777777" w:rsidR="00312AF5" w:rsidRPr="00047EED" w:rsidRDefault="00312AF5" w:rsidP="007D0E78">
            <w:pPr>
              <w:pStyle w:val="Heading1"/>
              <w:ind w:left="108"/>
              <w:outlineLvl w:val="0"/>
              <w:rPr>
                <w:b/>
                <w:bCs/>
              </w:rPr>
            </w:pPr>
          </w:p>
        </w:tc>
      </w:tr>
      <w:tr w:rsidR="00312AF5" w:rsidRPr="00047EED" w14:paraId="4CC501F1" w14:textId="77777777" w:rsidTr="002013A7">
        <w:trPr>
          <w:jc w:val="center"/>
        </w:trPr>
        <w:tc>
          <w:tcPr>
            <w:tcW w:w="1271" w:type="dxa"/>
            <w:vMerge/>
          </w:tcPr>
          <w:p w14:paraId="19F505AB" w14:textId="77777777" w:rsidR="00312AF5" w:rsidRPr="00047EED" w:rsidRDefault="00312AF5" w:rsidP="00DF0C95">
            <w:pPr>
              <w:pStyle w:val="Heading1"/>
              <w:ind w:left="136"/>
              <w:outlineLvl w:val="0"/>
              <w:rPr>
                <w:b/>
                <w:bCs/>
              </w:rPr>
            </w:pPr>
          </w:p>
        </w:tc>
        <w:tc>
          <w:tcPr>
            <w:tcW w:w="1134" w:type="dxa"/>
          </w:tcPr>
          <w:p w14:paraId="67E7390D" w14:textId="77777777" w:rsidR="00312AF5" w:rsidRPr="00047EED" w:rsidRDefault="00312AF5" w:rsidP="00DF0C95">
            <w:pPr>
              <w:pStyle w:val="Heading1"/>
              <w:ind w:left="139"/>
              <w:outlineLvl w:val="0"/>
              <w:rPr>
                <w:b/>
                <w:bCs/>
              </w:rPr>
            </w:pPr>
          </w:p>
        </w:tc>
        <w:tc>
          <w:tcPr>
            <w:tcW w:w="2268" w:type="dxa"/>
          </w:tcPr>
          <w:p w14:paraId="2C848FF3" w14:textId="085E3ABA" w:rsidR="00312AF5" w:rsidRPr="00047EED" w:rsidRDefault="00312AF5" w:rsidP="00312AF5">
            <w:pPr>
              <w:pStyle w:val="Heading1"/>
              <w:ind w:left="32"/>
              <w:outlineLvl w:val="0"/>
              <w:rPr>
                <w:b/>
                <w:bCs/>
              </w:rPr>
            </w:pPr>
            <w:r w:rsidRPr="00047EED">
              <w:rPr>
                <w:b/>
                <w:bCs/>
              </w:rPr>
              <w:t>Test report for specific AES impact quantification</w:t>
            </w:r>
          </w:p>
        </w:tc>
        <w:tc>
          <w:tcPr>
            <w:tcW w:w="2835" w:type="dxa"/>
          </w:tcPr>
          <w:p w14:paraId="74932A27" w14:textId="77AAAFD4" w:rsidR="00312AF5" w:rsidRPr="00047EED" w:rsidRDefault="00312AF5" w:rsidP="00312AF5">
            <w:pPr>
              <w:pStyle w:val="Heading1"/>
              <w:ind w:left="108"/>
              <w:outlineLvl w:val="0"/>
              <w:rPr>
                <w:b/>
                <w:bCs/>
              </w:rPr>
            </w:pPr>
            <w:r w:rsidRPr="00047EED">
              <w:rPr>
                <w:b/>
                <w:bCs/>
              </w:rPr>
              <w:t>Test report of all specific tests done for AES justification, test conditions details, description of the vehicle/date of the tests emission/CO2 impact with/without AES activation</w:t>
            </w:r>
          </w:p>
        </w:tc>
      </w:tr>
    </w:tbl>
    <w:p w14:paraId="33D28DAC" w14:textId="1F1205FC" w:rsidR="00F12BFE" w:rsidRPr="002C7499" w:rsidRDefault="00CD7E18" w:rsidP="002013A7">
      <w:pPr>
        <w:pStyle w:val="Heading1"/>
        <w:spacing w:before="120"/>
        <w:ind w:right="1134"/>
        <w:jc w:val="right"/>
        <w:rPr>
          <w:lang w:eastAsia="de-DE"/>
        </w:rPr>
      </w:pPr>
      <w:r w:rsidRPr="002C7499">
        <w:t>"</w:t>
      </w:r>
    </w:p>
    <w:p w14:paraId="3638246B" w14:textId="54DF0FF9" w:rsidR="00CD7E18" w:rsidRPr="002C7499" w:rsidRDefault="006122BC" w:rsidP="000C235B">
      <w:pPr>
        <w:pStyle w:val="SingleTxtG"/>
        <w:keepNext/>
        <w:rPr>
          <w:i/>
          <w:iCs/>
          <w:lang w:eastAsia="de-DE"/>
        </w:rPr>
      </w:pPr>
      <w:r w:rsidRPr="002C7499">
        <w:rPr>
          <w:i/>
          <w:iCs/>
          <w:lang w:eastAsia="de-DE"/>
        </w:rPr>
        <w:t>Annex 3</w:t>
      </w:r>
    </w:p>
    <w:p w14:paraId="0FAB1BC8" w14:textId="25311108" w:rsidR="00BB7F8C" w:rsidRPr="002C7499" w:rsidRDefault="00BB7F8C" w:rsidP="000C235B">
      <w:pPr>
        <w:pStyle w:val="SingleTxtG"/>
        <w:keepNext/>
        <w:rPr>
          <w:color w:val="000000" w:themeColor="text1"/>
        </w:rPr>
      </w:pPr>
      <w:r w:rsidRPr="002C7499">
        <w:rPr>
          <w:i/>
          <w:iCs/>
          <w:color w:val="000000" w:themeColor="text1"/>
        </w:rPr>
        <w:t xml:space="preserve">Table </w:t>
      </w:r>
      <w:r w:rsidR="00C80A5A" w:rsidRPr="002C7499">
        <w:rPr>
          <w:i/>
          <w:iCs/>
          <w:color w:val="000000" w:themeColor="text1"/>
        </w:rPr>
        <w:t>1 and accompanying notes</w:t>
      </w:r>
      <w:r w:rsidR="00F43594" w:rsidRPr="002C7499">
        <w:rPr>
          <w:color w:val="000000" w:themeColor="text1"/>
        </w:rPr>
        <w:t>,</w:t>
      </w:r>
      <w:r w:rsidR="00C80A5A" w:rsidRPr="002C7499">
        <w:rPr>
          <w:color w:val="000000" w:themeColor="text1"/>
        </w:rPr>
        <w:t xml:space="preserve"> </w:t>
      </w:r>
      <w:r w:rsidR="008800C6" w:rsidRPr="002C7499">
        <w:rPr>
          <w:color w:val="000000" w:themeColor="text1"/>
        </w:rPr>
        <w:t xml:space="preserve">amend </w:t>
      </w:r>
      <w:r w:rsidR="00963F45" w:rsidRPr="002C7499">
        <w:rPr>
          <w:color w:val="000000" w:themeColor="text1"/>
        </w:rPr>
        <w:t>to read:</w:t>
      </w:r>
    </w:p>
    <w:p w14:paraId="336C987F" w14:textId="63E39DE5" w:rsidR="00B135C9" w:rsidRPr="002C7499" w:rsidRDefault="001067C8" w:rsidP="00B135C9">
      <w:pPr>
        <w:keepNext/>
        <w:spacing w:line="240" w:lineRule="auto"/>
        <w:ind w:right="1134"/>
        <w:outlineLvl w:val="0"/>
        <w:rPr>
          <w:bCs/>
          <w:lang w:eastAsia="fi-FI"/>
        </w:rPr>
      </w:pPr>
      <w:r w:rsidRPr="002C7499">
        <w:rPr>
          <w:color w:val="000000" w:themeColor="text1"/>
        </w:rPr>
        <w:t>"</w:t>
      </w:r>
      <w:bookmarkStart w:id="8" w:name="_Toc339542051"/>
      <w:bookmarkStart w:id="9" w:name="_Toc339460528"/>
      <w:r w:rsidR="00B135C9" w:rsidRPr="002C7499">
        <w:rPr>
          <w:bCs/>
        </w:rPr>
        <w:t xml:space="preserve"> Table 1</w:t>
      </w:r>
      <w:bookmarkEnd w:id="8"/>
      <w:bookmarkEnd w:id="9"/>
    </w:p>
    <w:p w14:paraId="6822FCAD" w14:textId="77777777" w:rsidR="00B135C9" w:rsidRPr="002C7499" w:rsidRDefault="00B135C9" w:rsidP="00B135C9">
      <w:pPr>
        <w:keepNext/>
        <w:spacing w:after="120" w:line="240" w:lineRule="auto"/>
        <w:ind w:right="1134"/>
        <w:outlineLvl w:val="0"/>
        <w:rPr>
          <w:b/>
          <w:bCs/>
        </w:rPr>
      </w:pPr>
      <w:bookmarkStart w:id="10" w:name="_Toc339542052"/>
      <w:bookmarkStart w:id="11" w:name="_Toc339460529"/>
      <w:r w:rsidRPr="002C7499">
        <w:rPr>
          <w:b/>
          <w:bCs/>
          <w:lang w:eastAsia="en-GB"/>
        </w:rPr>
        <w:t>Letters with reference to r</w:t>
      </w:r>
      <w:r w:rsidRPr="002C7499">
        <w:rPr>
          <w:b/>
          <w:bCs/>
        </w:rPr>
        <w:t>equirements of OBD and SCR systems</w:t>
      </w:r>
      <w:bookmarkEnd w:id="10"/>
      <w:bookmarkEnd w:id="11"/>
    </w:p>
    <w:tbl>
      <w:tblPr>
        <w:tblW w:w="544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821"/>
        <w:gridCol w:w="1021"/>
        <w:gridCol w:w="1134"/>
        <w:gridCol w:w="994"/>
        <w:gridCol w:w="849"/>
        <w:gridCol w:w="849"/>
        <w:gridCol w:w="971"/>
        <w:gridCol w:w="872"/>
        <w:gridCol w:w="849"/>
        <w:gridCol w:w="1134"/>
        <w:gridCol w:w="990"/>
      </w:tblGrid>
      <w:tr w:rsidR="009C6287" w:rsidRPr="002C7499" w14:paraId="4B468F6E" w14:textId="77777777" w:rsidTr="002013A7">
        <w:trPr>
          <w:jc w:val="center"/>
        </w:trPr>
        <w:tc>
          <w:tcPr>
            <w:tcW w:w="391" w:type="pct"/>
            <w:tcBorders>
              <w:top w:val="single" w:sz="4" w:space="0" w:color="auto"/>
              <w:left w:val="single" w:sz="4" w:space="0" w:color="auto"/>
              <w:bottom w:val="single" w:sz="12" w:space="0" w:color="auto"/>
              <w:right w:val="single" w:sz="4" w:space="0" w:color="auto"/>
            </w:tcBorders>
            <w:vAlign w:val="center"/>
            <w:hideMark/>
          </w:tcPr>
          <w:p w14:paraId="21447010" w14:textId="77777777" w:rsidR="00524E39" w:rsidRPr="002C7499" w:rsidRDefault="00524E39" w:rsidP="00524E39">
            <w:pPr>
              <w:tabs>
                <w:tab w:val="left" w:pos="1134"/>
              </w:tabs>
              <w:suppressAutoHyphens w:val="0"/>
              <w:spacing w:before="80" w:after="80" w:line="200" w:lineRule="exact"/>
              <w:ind w:left="113" w:right="113"/>
              <w:jc w:val="center"/>
              <w:rPr>
                <w:i/>
                <w:noProof/>
                <w:sz w:val="16"/>
                <w:szCs w:val="16"/>
                <w:lang w:val="fi-FI"/>
              </w:rPr>
            </w:pPr>
            <w:r w:rsidRPr="002C7499">
              <w:rPr>
                <w:i/>
                <w:noProof/>
                <w:sz w:val="16"/>
                <w:szCs w:val="16"/>
              </w:rPr>
              <w:t>Character</w:t>
            </w:r>
          </w:p>
        </w:tc>
        <w:tc>
          <w:tcPr>
            <w:tcW w:w="487" w:type="pct"/>
            <w:tcBorders>
              <w:top w:val="single" w:sz="4" w:space="0" w:color="auto"/>
              <w:left w:val="single" w:sz="4" w:space="0" w:color="auto"/>
              <w:bottom w:val="single" w:sz="12" w:space="0" w:color="auto"/>
              <w:right w:val="single" w:sz="4" w:space="0" w:color="auto"/>
            </w:tcBorders>
            <w:vAlign w:val="center"/>
            <w:hideMark/>
          </w:tcPr>
          <w:p w14:paraId="598BC8EA" w14:textId="77777777" w:rsidR="00524E39" w:rsidRPr="002C7499" w:rsidRDefault="00524E39" w:rsidP="00524E39">
            <w:pPr>
              <w:tabs>
                <w:tab w:val="left" w:pos="1134"/>
              </w:tabs>
              <w:suppressAutoHyphens w:val="0"/>
              <w:spacing w:before="80" w:after="80" w:line="200" w:lineRule="exact"/>
              <w:ind w:left="113" w:right="113"/>
              <w:jc w:val="center"/>
              <w:rPr>
                <w:i/>
                <w:noProof/>
                <w:sz w:val="16"/>
                <w:szCs w:val="16"/>
              </w:rPr>
            </w:pPr>
            <w:r w:rsidRPr="002C7499">
              <w:rPr>
                <w:i/>
                <w:noProof/>
                <w:sz w:val="16"/>
                <w:szCs w:val="16"/>
              </w:rPr>
              <w:t>NO</w:t>
            </w:r>
            <w:r w:rsidRPr="002C7499">
              <w:rPr>
                <w:i/>
                <w:noProof/>
                <w:sz w:val="16"/>
                <w:szCs w:val="16"/>
                <w:vertAlign w:val="subscript"/>
              </w:rPr>
              <w:t>x</w:t>
            </w:r>
            <w:r w:rsidRPr="002C7499">
              <w:rPr>
                <w:i/>
                <w:noProof/>
                <w:sz w:val="16"/>
                <w:szCs w:val="16"/>
              </w:rPr>
              <w:t xml:space="preserve"> OTL</w:t>
            </w:r>
            <w:r w:rsidRPr="002C7499">
              <w:rPr>
                <w:i/>
                <w:noProof/>
                <w:sz w:val="16"/>
                <w:szCs w:val="16"/>
                <w:vertAlign w:val="superscript"/>
              </w:rPr>
              <w:t>1</w:t>
            </w:r>
          </w:p>
        </w:tc>
        <w:tc>
          <w:tcPr>
            <w:tcW w:w="541" w:type="pct"/>
            <w:tcBorders>
              <w:top w:val="single" w:sz="4" w:space="0" w:color="auto"/>
              <w:left w:val="single" w:sz="4" w:space="0" w:color="auto"/>
              <w:bottom w:val="single" w:sz="12" w:space="0" w:color="auto"/>
              <w:right w:val="single" w:sz="4" w:space="0" w:color="auto"/>
            </w:tcBorders>
            <w:vAlign w:val="center"/>
            <w:hideMark/>
          </w:tcPr>
          <w:p w14:paraId="62A78E33" w14:textId="77777777" w:rsidR="00524E39" w:rsidRPr="002C7499" w:rsidRDefault="00524E39" w:rsidP="00524E39">
            <w:pPr>
              <w:tabs>
                <w:tab w:val="left" w:pos="1134"/>
              </w:tabs>
              <w:suppressAutoHyphens w:val="0"/>
              <w:spacing w:before="80" w:after="80" w:line="200" w:lineRule="exact"/>
              <w:ind w:left="113" w:right="113"/>
              <w:jc w:val="center"/>
              <w:rPr>
                <w:i/>
                <w:noProof/>
                <w:sz w:val="16"/>
                <w:szCs w:val="16"/>
              </w:rPr>
            </w:pPr>
            <w:r w:rsidRPr="002C7499">
              <w:rPr>
                <w:i/>
                <w:noProof/>
                <w:sz w:val="16"/>
                <w:szCs w:val="16"/>
              </w:rPr>
              <w:t>PM OTL</w:t>
            </w:r>
            <w:r w:rsidRPr="002C7499">
              <w:rPr>
                <w:i/>
                <w:noProof/>
                <w:sz w:val="16"/>
                <w:szCs w:val="16"/>
                <w:vertAlign w:val="superscript"/>
              </w:rPr>
              <w:t>2</w:t>
            </w:r>
          </w:p>
        </w:tc>
        <w:tc>
          <w:tcPr>
            <w:tcW w:w="474" w:type="pct"/>
            <w:tcBorders>
              <w:top w:val="single" w:sz="4" w:space="0" w:color="auto"/>
              <w:left w:val="single" w:sz="4" w:space="0" w:color="auto"/>
              <w:bottom w:val="single" w:sz="12" w:space="0" w:color="auto"/>
              <w:right w:val="single" w:sz="4" w:space="0" w:color="auto"/>
            </w:tcBorders>
            <w:vAlign w:val="center"/>
            <w:hideMark/>
          </w:tcPr>
          <w:p w14:paraId="51072885" w14:textId="77777777" w:rsidR="00524E39" w:rsidRPr="002C7499" w:rsidRDefault="00524E39" w:rsidP="00524E39">
            <w:pPr>
              <w:tabs>
                <w:tab w:val="left" w:pos="1134"/>
              </w:tabs>
              <w:suppressAutoHyphens w:val="0"/>
              <w:spacing w:before="80" w:after="80" w:line="200" w:lineRule="exact"/>
              <w:ind w:left="113" w:right="113"/>
              <w:jc w:val="center"/>
              <w:rPr>
                <w:i/>
                <w:noProof/>
                <w:sz w:val="16"/>
                <w:szCs w:val="16"/>
              </w:rPr>
            </w:pPr>
            <w:r w:rsidRPr="002C7499">
              <w:rPr>
                <w:i/>
                <w:noProof/>
                <w:sz w:val="16"/>
                <w:szCs w:val="16"/>
              </w:rPr>
              <w:t>CO OTL</w:t>
            </w:r>
            <w:r w:rsidRPr="002C7499">
              <w:rPr>
                <w:i/>
                <w:noProof/>
                <w:sz w:val="16"/>
                <w:szCs w:val="16"/>
                <w:vertAlign w:val="superscript"/>
              </w:rPr>
              <w:t>6</w:t>
            </w:r>
          </w:p>
        </w:tc>
        <w:tc>
          <w:tcPr>
            <w:tcW w:w="405" w:type="pct"/>
            <w:tcBorders>
              <w:top w:val="single" w:sz="4" w:space="0" w:color="auto"/>
              <w:left w:val="single" w:sz="4" w:space="0" w:color="auto"/>
              <w:bottom w:val="single" w:sz="12" w:space="0" w:color="auto"/>
              <w:right w:val="single" w:sz="4" w:space="0" w:color="auto"/>
            </w:tcBorders>
            <w:vAlign w:val="center"/>
            <w:hideMark/>
          </w:tcPr>
          <w:p w14:paraId="1AAA6909" w14:textId="77777777" w:rsidR="00524E39" w:rsidRPr="002C7499" w:rsidRDefault="00524E39" w:rsidP="00524E39">
            <w:pPr>
              <w:tabs>
                <w:tab w:val="left" w:pos="1134"/>
              </w:tabs>
              <w:suppressAutoHyphens w:val="0"/>
              <w:spacing w:before="80" w:after="80" w:line="200" w:lineRule="exact"/>
              <w:ind w:left="113" w:right="113"/>
              <w:jc w:val="center"/>
              <w:rPr>
                <w:i/>
                <w:noProof/>
                <w:sz w:val="16"/>
                <w:szCs w:val="16"/>
              </w:rPr>
            </w:pPr>
            <w:r w:rsidRPr="002C7499">
              <w:rPr>
                <w:i/>
                <w:noProof/>
                <w:sz w:val="16"/>
                <w:szCs w:val="16"/>
              </w:rPr>
              <w:t>IUPR</w:t>
            </w:r>
            <w:r w:rsidRPr="002C7499">
              <w:rPr>
                <w:i/>
                <w:noProof/>
                <w:sz w:val="16"/>
                <w:szCs w:val="16"/>
                <w:vertAlign w:val="superscript"/>
              </w:rPr>
              <w:t>13</w:t>
            </w:r>
          </w:p>
        </w:tc>
        <w:tc>
          <w:tcPr>
            <w:tcW w:w="405" w:type="pct"/>
            <w:tcBorders>
              <w:top w:val="single" w:sz="4" w:space="0" w:color="auto"/>
              <w:left w:val="single" w:sz="4" w:space="0" w:color="auto"/>
              <w:bottom w:val="single" w:sz="12" w:space="0" w:color="auto"/>
              <w:right w:val="single" w:sz="4" w:space="0" w:color="auto"/>
            </w:tcBorders>
            <w:vAlign w:val="center"/>
            <w:hideMark/>
          </w:tcPr>
          <w:p w14:paraId="168C3545" w14:textId="77777777" w:rsidR="00524E39" w:rsidRPr="002C7499" w:rsidRDefault="00524E39" w:rsidP="00524E39">
            <w:pPr>
              <w:tabs>
                <w:tab w:val="left" w:pos="1134"/>
              </w:tabs>
              <w:suppressAutoHyphens w:val="0"/>
              <w:spacing w:before="80" w:after="80" w:line="200" w:lineRule="exact"/>
              <w:ind w:left="113" w:right="113"/>
              <w:jc w:val="center"/>
              <w:rPr>
                <w:i/>
                <w:noProof/>
                <w:sz w:val="16"/>
                <w:szCs w:val="16"/>
              </w:rPr>
            </w:pPr>
            <w:r w:rsidRPr="002C7499">
              <w:rPr>
                <w:i/>
                <w:noProof/>
                <w:sz w:val="16"/>
                <w:szCs w:val="16"/>
              </w:rPr>
              <w:t xml:space="preserve">Reagent quality </w:t>
            </w:r>
          </w:p>
        </w:tc>
        <w:tc>
          <w:tcPr>
            <w:tcW w:w="463" w:type="pct"/>
            <w:tcBorders>
              <w:top w:val="single" w:sz="4" w:space="0" w:color="auto"/>
              <w:left w:val="single" w:sz="4" w:space="0" w:color="auto"/>
              <w:bottom w:val="single" w:sz="12" w:space="0" w:color="auto"/>
              <w:right w:val="single" w:sz="4" w:space="0" w:color="auto"/>
            </w:tcBorders>
            <w:vAlign w:val="center"/>
            <w:hideMark/>
          </w:tcPr>
          <w:p w14:paraId="1BE457FC" w14:textId="77777777" w:rsidR="00524E39" w:rsidRPr="002C7499" w:rsidRDefault="00524E39" w:rsidP="00524E39">
            <w:pPr>
              <w:tabs>
                <w:tab w:val="left" w:pos="1134"/>
              </w:tabs>
              <w:suppressAutoHyphens w:val="0"/>
              <w:spacing w:before="80" w:after="80" w:line="200" w:lineRule="exact"/>
              <w:ind w:left="113" w:right="113"/>
              <w:jc w:val="center"/>
              <w:rPr>
                <w:i/>
                <w:noProof/>
                <w:sz w:val="16"/>
                <w:szCs w:val="16"/>
              </w:rPr>
            </w:pPr>
            <w:r w:rsidRPr="002C7499">
              <w:rPr>
                <w:i/>
                <w:noProof/>
                <w:sz w:val="16"/>
                <w:szCs w:val="16"/>
              </w:rPr>
              <w:t>Additional OBD monitors</w:t>
            </w:r>
            <w:r w:rsidRPr="002C7499">
              <w:rPr>
                <w:i/>
                <w:noProof/>
                <w:sz w:val="16"/>
                <w:szCs w:val="16"/>
                <w:vertAlign w:val="superscript"/>
              </w:rPr>
              <w:t>12</w:t>
            </w:r>
          </w:p>
        </w:tc>
        <w:tc>
          <w:tcPr>
            <w:tcW w:w="416" w:type="pct"/>
            <w:tcBorders>
              <w:top w:val="single" w:sz="4" w:space="0" w:color="auto"/>
              <w:left w:val="single" w:sz="4" w:space="0" w:color="auto"/>
              <w:bottom w:val="single" w:sz="12" w:space="0" w:color="auto"/>
              <w:right w:val="single" w:sz="4" w:space="0" w:color="auto"/>
            </w:tcBorders>
            <w:vAlign w:val="center"/>
            <w:hideMark/>
          </w:tcPr>
          <w:p w14:paraId="22100FB4" w14:textId="77777777" w:rsidR="00524E39" w:rsidRPr="002C7499" w:rsidRDefault="00524E39" w:rsidP="00524E39">
            <w:pPr>
              <w:tabs>
                <w:tab w:val="left" w:pos="1134"/>
              </w:tabs>
              <w:suppressAutoHyphens w:val="0"/>
              <w:spacing w:before="80" w:after="80" w:line="200" w:lineRule="exact"/>
              <w:ind w:left="113" w:right="113"/>
              <w:jc w:val="center"/>
              <w:rPr>
                <w:i/>
                <w:noProof/>
                <w:sz w:val="16"/>
                <w:szCs w:val="16"/>
              </w:rPr>
            </w:pPr>
            <w:r w:rsidRPr="002C7499">
              <w:rPr>
                <w:i/>
                <w:noProof/>
                <w:sz w:val="14"/>
                <w:szCs w:val="14"/>
              </w:rPr>
              <w:t>Power threshold requirements</w:t>
            </w:r>
            <w:r w:rsidRPr="002C7499">
              <w:rPr>
                <w:i/>
                <w:noProof/>
                <w:sz w:val="16"/>
                <w:szCs w:val="16"/>
                <w:vertAlign w:val="superscript"/>
              </w:rPr>
              <w:t>14</w:t>
            </w:r>
          </w:p>
        </w:tc>
        <w:tc>
          <w:tcPr>
            <w:tcW w:w="405" w:type="pct"/>
            <w:tcBorders>
              <w:top w:val="single" w:sz="4" w:space="0" w:color="auto"/>
              <w:left w:val="single" w:sz="4" w:space="0" w:color="auto"/>
              <w:bottom w:val="single" w:sz="12" w:space="0" w:color="auto"/>
              <w:right w:val="single" w:sz="4" w:space="0" w:color="auto"/>
            </w:tcBorders>
            <w:vAlign w:val="center"/>
          </w:tcPr>
          <w:p w14:paraId="221B8ADC" w14:textId="6F690D84" w:rsidR="00524E39" w:rsidRPr="001B6A8B" w:rsidRDefault="00524E39" w:rsidP="00524E39">
            <w:pPr>
              <w:tabs>
                <w:tab w:val="left" w:pos="1134"/>
              </w:tabs>
              <w:suppressAutoHyphens w:val="0"/>
              <w:spacing w:before="80" w:after="80" w:line="200" w:lineRule="exact"/>
              <w:ind w:left="113" w:right="113"/>
              <w:jc w:val="center"/>
              <w:rPr>
                <w:b/>
                <w:bCs/>
                <w:i/>
                <w:noProof/>
                <w:sz w:val="16"/>
                <w:szCs w:val="16"/>
              </w:rPr>
            </w:pPr>
            <w:r w:rsidRPr="001B6A8B">
              <w:rPr>
                <w:b/>
                <w:bCs/>
                <w:i/>
                <w:noProof/>
                <w:sz w:val="16"/>
                <w:szCs w:val="16"/>
              </w:rPr>
              <w:t>Cold start and PM number</w:t>
            </w:r>
          </w:p>
        </w:tc>
        <w:tc>
          <w:tcPr>
            <w:tcW w:w="541" w:type="pct"/>
            <w:tcBorders>
              <w:top w:val="single" w:sz="4" w:space="0" w:color="auto"/>
              <w:left w:val="single" w:sz="4" w:space="0" w:color="auto"/>
              <w:bottom w:val="single" w:sz="12" w:space="0" w:color="auto"/>
              <w:right w:val="single" w:sz="4" w:space="0" w:color="auto"/>
            </w:tcBorders>
            <w:vAlign w:val="center"/>
            <w:hideMark/>
          </w:tcPr>
          <w:p w14:paraId="5D3725DC" w14:textId="31A3B67E" w:rsidR="00524E39" w:rsidRPr="002C7499" w:rsidRDefault="00524E39" w:rsidP="00524E39">
            <w:pPr>
              <w:tabs>
                <w:tab w:val="left" w:pos="1134"/>
              </w:tabs>
              <w:suppressAutoHyphens w:val="0"/>
              <w:spacing w:before="80" w:after="80" w:line="200" w:lineRule="exact"/>
              <w:ind w:left="113" w:right="113"/>
              <w:jc w:val="center"/>
              <w:rPr>
                <w:i/>
                <w:noProof/>
                <w:sz w:val="16"/>
                <w:szCs w:val="16"/>
              </w:rPr>
            </w:pPr>
            <w:r w:rsidRPr="002C7499">
              <w:rPr>
                <w:i/>
                <w:noProof/>
                <w:sz w:val="16"/>
                <w:szCs w:val="16"/>
              </w:rPr>
              <w:t>Implementation dates: new types</w:t>
            </w:r>
          </w:p>
        </w:tc>
        <w:tc>
          <w:tcPr>
            <w:tcW w:w="473" w:type="pct"/>
            <w:tcBorders>
              <w:top w:val="single" w:sz="4" w:space="0" w:color="auto"/>
              <w:left w:val="single" w:sz="4" w:space="0" w:color="auto"/>
              <w:bottom w:val="single" w:sz="12" w:space="0" w:color="auto"/>
              <w:right w:val="single" w:sz="4" w:space="0" w:color="auto"/>
            </w:tcBorders>
            <w:vAlign w:val="center"/>
            <w:hideMark/>
          </w:tcPr>
          <w:p w14:paraId="27B44EFA" w14:textId="77777777" w:rsidR="00524E39" w:rsidRPr="002C7499" w:rsidRDefault="00524E39" w:rsidP="00524E39">
            <w:pPr>
              <w:tabs>
                <w:tab w:val="left" w:pos="1134"/>
              </w:tabs>
              <w:suppressAutoHyphens w:val="0"/>
              <w:spacing w:before="80" w:after="80" w:line="200" w:lineRule="exact"/>
              <w:ind w:left="113" w:right="113"/>
              <w:jc w:val="center"/>
              <w:rPr>
                <w:i/>
                <w:noProof/>
                <w:sz w:val="16"/>
                <w:szCs w:val="16"/>
              </w:rPr>
            </w:pPr>
            <w:r w:rsidRPr="002C7499">
              <w:rPr>
                <w:i/>
                <w:noProof/>
                <w:sz w:val="16"/>
                <w:szCs w:val="16"/>
              </w:rPr>
              <w:t>Date when Contracting Parties may refuse type approval</w:t>
            </w:r>
          </w:p>
        </w:tc>
      </w:tr>
      <w:tr w:rsidR="009C6287" w:rsidRPr="002C7499" w14:paraId="71DCB210" w14:textId="77777777" w:rsidTr="002013A7">
        <w:trPr>
          <w:jc w:val="center"/>
        </w:trPr>
        <w:tc>
          <w:tcPr>
            <w:tcW w:w="391" w:type="pct"/>
            <w:tcBorders>
              <w:top w:val="single" w:sz="12" w:space="0" w:color="auto"/>
              <w:left w:val="single" w:sz="4" w:space="0" w:color="auto"/>
              <w:bottom w:val="single" w:sz="4" w:space="0" w:color="auto"/>
              <w:right w:val="single" w:sz="4" w:space="0" w:color="auto"/>
            </w:tcBorders>
            <w:vAlign w:val="center"/>
            <w:hideMark/>
          </w:tcPr>
          <w:p w14:paraId="6CF95B28" w14:textId="77777777" w:rsidR="00524E39" w:rsidRPr="002C7499" w:rsidRDefault="00524E39" w:rsidP="00524E39">
            <w:pPr>
              <w:tabs>
                <w:tab w:val="left" w:pos="1134"/>
              </w:tabs>
              <w:suppressAutoHyphens w:val="0"/>
              <w:spacing w:before="40" w:after="40" w:line="220" w:lineRule="exact"/>
              <w:ind w:left="113" w:right="113"/>
              <w:jc w:val="center"/>
              <w:rPr>
                <w:noProof/>
                <w:sz w:val="18"/>
                <w:szCs w:val="18"/>
                <w:lang w:val="fi-FI"/>
              </w:rPr>
            </w:pPr>
            <w:r w:rsidRPr="002C7499">
              <w:rPr>
                <w:noProof/>
                <w:sz w:val="18"/>
                <w:szCs w:val="18"/>
              </w:rPr>
              <w:t>A</w:t>
            </w:r>
            <w:r w:rsidRPr="002C7499">
              <w:rPr>
                <w:noProof/>
                <w:sz w:val="18"/>
                <w:szCs w:val="18"/>
                <w:vertAlign w:val="superscript"/>
              </w:rPr>
              <w:t>9 10</w:t>
            </w:r>
          </w:p>
          <w:p w14:paraId="352AF276" w14:textId="77777777" w:rsidR="00524E39" w:rsidRPr="002C7499" w:rsidRDefault="00524E39" w:rsidP="00524E39">
            <w:pPr>
              <w:tabs>
                <w:tab w:val="left" w:pos="1134"/>
              </w:tabs>
              <w:suppressAutoHyphens w:val="0"/>
              <w:spacing w:before="40" w:after="40" w:line="220" w:lineRule="exact"/>
              <w:ind w:left="113" w:right="113"/>
              <w:jc w:val="center"/>
              <w:rPr>
                <w:noProof/>
                <w:sz w:val="18"/>
                <w:szCs w:val="18"/>
              </w:rPr>
            </w:pPr>
            <w:r w:rsidRPr="002C7499">
              <w:rPr>
                <w:noProof/>
                <w:sz w:val="18"/>
                <w:szCs w:val="18"/>
              </w:rPr>
              <w:t>B</w:t>
            </w:r>
            <w:r w:rsidRPr="002C7499">
              <w:rPr>
                <w:noProof/>
                <w:sz w:val="18"/>
                <w:szCs w:val="18"/>
                <w:vertAlign w:val="superscript"/>
              </w:rPr>
              <w:t>10</w:t>
            </w:r>
          </w:p>
        </w:tc>
        <w:tc>
          <w:tcPr>
            <w:tcW w:w="487" w:type="pct"/>
            <w:tcBorders>
              <w:top w:val="single" w:sz="12" w:space="0" w:color="auto"/>
              <w:left w:val="single" w:sz="4" w:space="0" w:color="auto"/>
              <w:bottom w:val="single" w:sz="4" w:space="0" w:color="auto"/>
              <w:right w:val="single" w:sz="4" w:space="0" w:color="auto"/>
            </w:tcBorders>
            <w:vAlign w:val="center"/>
            <w:hideMark/>
          </w:tcPr>
          <w:p w14:paraId="4BA4661E" w14:textId="77777777" w:rsidR="00524E39" w:rsidRPr="002C7499" w:rsidRDefault="00524E39" w:rsidP="00524E39">
            <w:pPr>
              <w:tabs>
                <w:tab w:val="left" w:pos="1134"/>
              </w:tabs>
              <w:suppressAutoHyphens w:val="0"/>
              <w:spacing w:before="40" w:after="40" w:line="220" w:lineRule="exact"/>
              <w:ind w:left="113" w:right="113"/>
              <w:jc w:val="center"/>
              <w:rPr>
                <w:noProof/>
                <w:sz w:val="18"/>
                <w:szCs w:val="18"/>
              </w:rPr>
            </w:pPr>
            <w:r w:rsidRPr="002C7499">
              <w:rPr>
                <w:noProof/>
                <w:sz w:val="18"/>
                <w:szCs w:val="18"/>
              </w:rPr>
              <w:t>Row "phase-in period" of Tables 1 and 2 of Annex 9A</w:t>
            </w:r>
          </w:p>
        </w:tc>
        <w:tc>
          <w:tcPr>
            <w:tcW w:w="541" w:type="pct"/>
            <w:tcBorders>
              <w:top w:val="single" w:sz="12" w:space="0" w:color="auto"/>
              <w:left w:val="single" w:sz="4" w:space="0" w:color="auto"/>
              <w:bottom w:val="single" w:sz="4" w:space="0" w:color="auto"/>
              <w:right w:val="single" w:sz="4" w:space="0" w:color="auto"/>
            </w:tcBorders>
            <w:vAlign w:val="center"/>
            <w:hideMark/>
          </w:tcPr>
          <w:p w14:paraId="7CEE7126" w14:textId="77777777" w:rsidR="00524E39" w:rsidRPr="002C7499" w:rsidRDefault="00524E39" w:rsidP="00524E39">
            <w:pPr>
              <w:tabs>
                <w:tab w:val="left" w:pos="1134"/>
              </w:tabs>
              <w:suppressAutoHyphens w:val="0"/>
              <w:spacing w:before="40" w:after="40" w:line="220" w:lineRule="exact"/>
              <w:ind w:left="113" w:right="113"/>
              <w:jc w:val="center"/>
              <w:rPr>
                <w:noProof/>
                <w:sz w:val="18"/>
                <w:szCs w:val="18"/>
                <w:vertAlign w:val="superscript"/>
                <w:lang w:val="fi-FI"/>
              </w:rPr>
            </w:pPr>
            <w:r w:rsidRPr="002C7499">
              <w:rPr>
                <w:noProof/>
                <w:sz w:val="18"/>
                <w:szCs w:val="18"/>
              </w:rPr>
              <w:t>Performance monitoring</w:t>
            </w:r>
            <w:r w:rsidRPr="002C7499">
              <w:rPr>
                <w:noProof/>
                <w:sz w:val="18"/>
                <w:szCs w:val="18"/>
                <w:vertAlign w:val="superscript"/>
              </w:rPr>
              <w:t>3</w:t>
            </w:r>
          </w:p>
        </w:tc>
        <w:tc>
          <w:tcPr>
            <w:tcW w:w="474" w:type="pct"/>
            <w:tcBorders>
              <w:top w:val="single" w:sz="12" w:space="0" w:color="auto"/>
              <w:left w:val="single" w:sz="4" w:space="0" w:color="auto"/>
              <w:bottom w:val="single" w:sz="4" w:space="0" w:color="auto"/>
              <w:right w:val="single" w:sz="4" w:space="0" w:color="auto"/>
            </w:tcBorders>
            <w:vAlign w:val="center"/>
            <w:hideMark/>
          </w:tcPr>
          <w:p w14:paraId="6277C05B" w14:textId="77777777" w:rsidR="00524E39" w:rsidRPr="002C7499" w:rsidRDefault="00524E39" w:rsidP="00524E39">
            <w:pPr>
              <w:tabs>
                <w:tab w:val="left" w:pos="1134"/>
              </w:tabs>
              <w:suppressAutoHyphens w:val="0"/>
              <w:spacing w:before="40" w:after="40" w:line="220" w:lineRule="exact"/>
              <w:ind w:left="113" w:right="113"/>
              <w:jc w:val="center"/>
              <w:rPr>
                <w:noProof/>
                <w:sz w:val="18"/>
                <w:szCs w:val="18"/>
              </w:rPr>
            </w:pPr>
            <w:r w:rsidRPr="002C7499">
              <w:rPr>
                <w:noProof/>
                <w:sz w:val="18"/>
                <w:szCs w:val="18"/>
              </w:rPr>
              <w:t>N/A</w:t>
            </w:r>
          </w:p>
        </w:tc>
        <w:tc>
          <w:tcPr>
            <w:tcW w:w="405" w:type="pct"/>
            <w:tcBorders>
              <w:top w:val="single" w:sz="12" w:space="0" w:color="auto"/>
              <w:left w:val="single" w:sz="4" w:space="0" w:color="auto"/>
              <w:bottom w:val="single" w:sz="4" w:space="0" w:color="auto"/>
              <w:right w:val="single" w:sz="4" w:space="0" w:color="auto"/>
            </w:tcBorders>
            <w:vAlign w:val="center"/>
            <w:hideMark/>
          </w:tcPr>
          <w:p w14:paraId="271B3F26" w14:textId="77777777" w:rsidR="00524E39" w:rsidRPr="002C7499" w:rsidRDefault="00524E39" w:rsidP="00524E39">
            <w:pPr>
              <w:tabs>
                <w:tab w:val="left" w:pos="1134"/>
              </w:tabs>
              <w:suppressAutoHyphens w:val="0"/>
              <w:spacing w:before="40" w:after="40" w:line="220" w:lineRule="exact"/>
              <w:ind w:left="113" w:right="113"/>
              <w:jc w:val="center"/>
              <w:rPr>
                <w:noProof/>
                <w:sz w:val="18"/>
                <w:szCs w:val="18"/>
              </w:rPr>
            </w:pPr>
            <w:r w:rsidRPr="002C7499">
              <w:rPr>
                <w:noProof/>
                <w:sz w:val="18"/>
                <w:szCs w:val="18"/>
              </w:rPr>
              <w:t>Phase-in</w:t>
            </w:r>
            <w:r w:rsidRPr="002C7499">
              <w:rPr>
                <w:noProof/>
                <w:sz w:val="18"/>
                <w:szCs w:val="18"/>
                <w:vertAlign w:val="superscript"/>
              </w:rPr>
              <w:t>7</w:t>
            </w:r>
          </w:p>
        </w:tc>
        <w:tc>
          <w:tcPr>
            <w:tcW w:w="405" w:type="pct"/>
            <w:tcBorders>
              <w:top w:val="single" w:sz="12" w:space="0" w:color="auto"/>
              <w:left w:val="single" w:sz="4" w:space="0" w:color="auto"/>
              <w:bottom w:val="single" w:sz="4" w:space="0" w:color="auto"/>
              <w:right w:val="single" w:sz="4" w:space="0" w:color="auto"/>
            </w:tcBorders>
            <w:vAlign w:val="center"/>
            <w:hideMark/>
          </w:tcPr>
          <w:p w14:paraId="5B525158" w14:textId="77777777" w:rsidR="00524E39" w:rsidRPr="002C7499" w:rsidRDefault="00524E39" w:rsidP="00524E39">
            <w:pPr>
              <w:tabs>
                <w:tab w:val="left" w:pos="1134"/>
              </w:tabs>
              <w:suppressAutoHyphens w:val="0"/>
              <w:spacing w:before="40" w:after="40" w:line="220" w:lineRule="exact"/>
              <w:ind w:left="113" w:right="113"/>
              <w:jc w:val="center"/>
              <w:rPr>
                <w:noProof/>
                <w:sz w:val="18"/>
                <w:szCs w:val="18"/>
                <w:vertAlign w:val="superscript"/>
              </w:rPr>
            </w:pPr>
            <w:r w:rsidRPr="002C7499">
              <w:rPr>
                <w:noProof/>
                <w:sz w:val="18"/>
                <w:szCs w:val="18"/>
              </w:rPr>
              <w:t>Phase-in</w:t>
            </w:r>
            <w:r w:rsidRPr="002C7499">
              <w:rPr>
                <w:noProof/>
                <w:sz w:val="18"/>
                <w:szCs w:val="18"/>
                <w:vertAlign w:val="superscript"/>
              </w:rPr>
              <w:t>4</w:t>
            </w:r>
          </w:p>
        </w:tc>
        <w:tc>
          <w:tcPr>
            <w:tcW w:w="463" w:type="pct"/>
            <w:tcBorders>
              <w:top w:val="single" w:sz="12" w:space="0" w:color="auto"/>
              <w:left w:val="single" w:sz="4" w:space="0" w:color="auto"/>
              <w:bottom w:val="single" w:sz="4" w:space="0" w:color="auto"/>
              <w:right w:val="single" w:sz="4" w:space="0" w:color="auto"/>
            </w:tcBorders>
            <w:vAlign w:val="center"/>
            <w:hideMark/>
          </w:tcPr>
          <w:p w14:paraId="0007942F" w14:textId="77777777" w:rsidR="00524E39" w:rsidRPr="002C7499" w:rsidRDefault="00524E39" w:rsidP="00524E39">
            <w:pPr>
              <w:tabs>
                <w:tab w:val="left" w:pos="1134"/>
              </w:tabs>
              <w:suppressAutoHyphens w:val="0"/>
              <w:spacing w:before="40" w:after="40" w:line="220" w:lineRule="exact"/>
              <w:ind w:left="113" w:right="113"/>
              <w:jc w:val="center"/>
              <w:rPr>
                <w:noProof/>
                <w:sz w:val="18"/>
                <w:szCs w:val="18"/>
              </w:rPr>
            </w:pPr>
            <w:r w:rsidRPr="002C7499">
              <w:rPr>
                <w:noProof/>
                <w:sz w:val="18"/>
                <w:szCs w:val="18"/>
              </w:rPr>
              <w:t>N/A</w:t>
            </w:r>
          </w:p>
        </w:tc>
        <w:tc>
          <w:tcPr>
            <w:tcW w:w="416" w:type="pct"/>
            <w:tcBorders>
              <w:top w:val="single" w:sz="12" w:space="0" w:color="auto"/>
              <w:left w:val="single" w:sz="4" w:space="0" w:color="auto"/>
              <w:bottom w:val="single" w:sz="4" w:space="0" w:color="auto"/>
              <w:right w:val="single" w:sz="4" w:space="0" w:color="auto"/>
            </w:tcBorders>
            <w:vAlign w:val="center"/>
            <w:hideMark/>
          </w:tcPr>
          <w:p w14:paraId="3DCC822D" w14:textId="77777777" w:rsidR="00524E39" w:rsidRPr="002C7499" w:rsidRDefault="00524E39" w:rsidP="00524E39">
            <w:pPr>
              <w:tabs>
                <w:tab w:val="left" w:pos="1134"/>
              </w:tabs>
              <w:suppressAutoHyphens w:val="0"/>
              <w:spacing w:before="40" w:after="40" w:line="220" w:lineRule="exact"/>
              <w:ind w:left="113" w:right="113"/>
              <w:jc w:val="center"/>
              <w:rPr>
                <w:noProof/>
                <w:sz w:val="18"/>
                <w:szCs w:val="18"/>
              </w:rPr>
            </w:pPr>
            <w:r w:rsidRPr="002C7499">
              <w:rPr>
                <w:noProof/>
                <w:sz w:val="18"/>
                <w:szCs w:val="18"/>
              </w:rPr>
              <w:t>20%</w:t>
            </w:r>
          </w:p>
        </w:tc>
        <w:tc>
          <w:tcPr>
            <w:tcW w:w="405" w:type="pct"/>
            <w:tcBorders>
              <w:top w:val="single" w:sz="12" w:space="0" w:color="auto"/>
              <w:left w:val="single" w:sz="4" w:space="0" w:color="auto"/>
              <w:bottom w:val="single" w:sz="4" w:space="0" w:color="auto"/>
              <w:right w:val="single" w:sz="4" w:space="0" w:color="auto"/>
            </w:tcBorders>
            <w:vAlign w:val="center"/>
          </w:tcPr>
          <w:p w14:paraId="793B10B1" w14:textId="2C38643C" w:rsidR="00524E39" w:rsidRPr="001B6A8B" w:rsidRDefault="00524E39" w:rsidP="00524E39">
            <w:pPr>
              <w:tabs>
                <w:tab w:val="left" w:pos="1134"/>
              </w:tabs>
              <w:suppressAutoHyphens w:val="0"/>
              <w:spacing w:before="40" w:after="40" w:line="220" w:lineRule="exact"/>
              <w:ind w:left="113" w:right="113"/>
              <w:jc w:val="center"/>
              <w:rPr>
                <w:b/>
                <w:bCs/>
                <w:noProof/>
                <w:sz w:val="18"/>
                <w:szCs w:val="18"/>
              </w:rPr>
            </w:pPr>
            <w:r w:rsidRPr="001B6A8B">
              <w:rPr>
                <w:b/>
                <w:bCs/>
                <w:noProof/>
                <w:sz w:val="18"/>
                <w:szCs w:val="18"/>
              </w:rPr>
              <w:t>N/A</w:t>
            </w:r>
          </w:p>
        </w:tc>
        <w:tc>
          <w:tcPr>
            <w:tcW w:w="541" w:type="pct"/>
            <w:tcBorders>
              <w:top w:val="single" w:sz="12" w:space="0" w:color="auto"/>
              <w:left w:val="single" w:sz="4" w:space="0" w:color="auto"/>
              <w:bottom w:val="single" w:sz="4" w:space="0" w:color="auto"/>
              <w:right w:val="single" w:sz="4" w:space="0" w:color="auto"/>
            </w:tcBorders>
            <w:vAlign w:val="center"/>
            <w:hideMark/>
          </w:tcPr>
          <w:p w14:paraId="69AACD8A" w14:textId="0D2B485A" w:rsidR="00524E39" w:rsidRPr="002C7499" w:rsidRDefault="00524E39" w:rsidP="00524E39">
            <w:pPr>
              <w:tabs>
                <w:tab w:val="left" w:pos="1134"/>
              </w:tabs>
              <w:suppressAutoHyphens w:val="0"/>
              <w:spacing w:before="40" w:after="40" w:line="220" w:lineRule="exact"/>
              <w:ind w:left="113" w:right="113"/>
              <w:jc w:val="center"/>
              <w:rPr>
                <w:noProof/>
                <w:sz w:val="18"/>
                <w:szCs w:val="18"/>
              </w:rPr>
            </w:pPr>
            <w:r w:rsidRPr="002C7499">
              <w:rPr>
                <w:noProof/>
                <w:sz w:val="18"/>
                <w:szCs w:val="18"/>
              </w:rPr>
              <w:t xml:space="preserve">Date of entry into force of 06 series of UN </w:t>
            </w:r>
            <w:r w:rsidRPr="002C7499">
              <w:rPr>
                <w:noProof/>
                <w:sz w:val="18"/>
                <w:szCs w:val="18"/>
              </w:rPr>
              <w:lastRenderedPageBreak/>
              <w:t>Regulation No. 49</w:t>
            </w:r>
          </w:p>
        </w:tc>
        <w:tc>
          <w:tcPr>
            <w:tcW w:w="473" w:type="pct"/>
            <w:tcBorders>
              <w:top w:val="single" w:sz="12" w:space="0" w:color="auto"/>
              <w:left w:val="single" w:sz="4" w:space="0" w:color="auto"/>
              <w:bottom w:val="single" w:sz="4" w:space="0" w:color="auto"/>
              <w:right w:val="single" w:sz="4" w:space="0" w:color="auto"/>
            </w:tcBorders>
            <w:vAlign w:val="center"/>
            <w:hideMark/>
          </w:tcPr>
          <w:p w14:paraId="589C22C3" w14:textId="77777777" w:rsidR="00524E39" w:rsidRPr="002C7499" w:rsidRDefault="00524E39" w:rsidP="00524E39">
            <w:pPr>
              <w:tabs>
                <w:tab w:val="left" w:pos="1134"/>
              </w:tabs>
              <w:suppressAutoHyphens w:val="0"/>
              <w:spacing w:before="40" w:after="40" w:line="220" w:lineRule="exact"/>
              <w:ind w:right="113"/>
              <w:jc w:val="center"/>
              <w:rPr>
                <w:noProof/>
                <w:sz w:val="18"/>
                <w:szCs w:val="18"/>
                <w:lang w:val="fi-FI"/>
              </w:rPr>
            </w:pPr>
            <w:r w:rsidRPr="002C7499">
              <w:rPr>
                <w:noProof/>
                <w:sz w:val="18"/>
                <w:szCs w:val="18"/>
              </w:rPr>
              <w:lastRenderedPageBreak/>
              <w:t>01 September 2015</w:t>
            </w:r>
            <w:r w:rsidRPr="002C7499">
              <w:rPr>
                <w:noProof/>
                <w:sz w:val="18"/>
                <w:szCs w:val="18"/>
                <w:vertAlign w:val="superscript"/>
              </w:rPr>
              <w:t>9</w:t>
            </w:r>
          </w:p>
          <w:p w14:paraId="78EE87CD" w14:textId="77777777" w:rsidR="00524E39" w:rsidRPr="002C7499" w:rsidRDefault="00524E39" w:rsidP="00524E39">
            <w:pPr>
              <w:tabs>
                <w:tab w:val="left" w:pos="1134"/>
              </w:tabs>
              <w:suppressAutoHyphens w:val="0"/>
              <w:spacing w:before="40" w:after="40" w:line="220" w:lineRule="exact"/>
              <w:ind w:right="113"/>
              <w:jc w:val="center"/>
              <w:rPr>
                <w:noProof/>
                <w:sz w:val="18"/>
                <w:szCs w:val="18"/>
              </w:rPr>
            </w:pPr>
            <w:r w:rsidRPr="002C7499">
              <w:rPr>
                <w:noProof/>
                <w:sz w:val="18"/>
                <w:szCs w:val="18"/>
              </w:rPr>
              <w:t>31 December 2016</w:t>
            </w:r>
            <w:r w:rsidRPr="002C7499">
              <w:rPr>
                <w:noProof/>
                <w:sz w:val="18"/>
                <w:szCs w:val="18"/>
                <w:vertAlign w:val="superscript"/>
              </w:rPr>
              <w:t>10</w:t>
            </w:r>
          </w:p>
        </w:tc>
      </w:tr>
      <w:tr w:rsidR="009C6287" w:rsidRPr="002C7499" w14:paraId="6B6F8945" w14:textId="77777777" w:rsidTr="002013A7">
        <w:trPr>
          <w:jc w:val="center"/>
        </w:trPr>
        <w:tc>
          <w:tcPr>
            <w:tcW w:w="391" w:type="pct"/>
            <w:tcBorders>
              <w:top w:val="single" w:sz="4" w:space="0" w:color="auto"/>
              <w:left w:val="single" w:sz="4" w:space="0" w:color="auto"/>
              <w:bottom w:val="single" w:sz="4" w:space="0" w:color="auto"/>
              <w:right w:val="single" w:sz="4" w:space="0" w:color="auto"/>
            </w:tcBorders>
            <w:vAlign w:val="center"/>
            <w:hideMark/>
          </w:tcPr>
          <w:p w14:paraId="3AA813E9" w14:textId="77777777" w:rsidR="00524E39" w:rsidRPr="002C7499" w:rsidRDefault="00524E39" w:rsidP="00524E39">
            <w:pPr>
              <w:tabs>
                <w:tab w:val="left" w:pos="1134"/>
              </w:tabs>
              <w:suppressAutoHyphens w:val="0"/>
              <w:spacing w:before="40" w:after="40" w:line="220" w:lineRule="exact"/>
              <w:ind w:left="113" w:right="113"/>
              <w:jc w:val="center"/>
              <w:rPr>
                <w:noProof/>
                <w:sz w:val="18"/>
                <w:szCs w:val="18"/>
              </w:rPr>
            </w:pPr>
            <w:r w:rsidRPr="002C7499">
              <w:rPr>
                <w:noProof/>
                <w:sz w:val="18"/>
                <w:szCs w:val="18"/>
              </w:rPr>
              <w:t>B</w:t>
            </w:r>
            <w:r w:rsidRPr="002C7499">
              <w:rPr>
                <w:noProof/>
                <w:sz w:val="18"/>
                <w:szCs w:val="18"/>
                <w:vertAlign w:val="superscript"/>
              </w:rPr>
              <w:t>11</w:t>
            </w:r>
          </w:p>
        </w:tc>
        <w:tc>
          <w:tcPr>
            <w:tcW w:w="487" w:type="pct"/>
            <w:tcBorders>
              <w:top w:val="single" w:sz="4" w:space="0" w:color="auto"/>
              <w:left w:val="single" w:sz="4" w:space="0" w:color="auto"/>
              <w:bottom w:val="single" w:sz="4" w:space="0" w:color="auto"/>
              <w:right w:val="single" w:sz="4" w:space="0" w:color="auto"/>
            </w:tcBorders>
            <w:vAlign w:val="center"/>
            <w:hideMark/>
          </w:tcPr>
          <w:p w14:paraId="5D10B479" w14:textId="77777777" w:rsidR="00524E39" w:rsidRPr="002C7499" w:rsidRDefault="00524E39" w:rsidP="00524E39">
            <w:pPr>
              <w:tabs>
                <w:tab w:val="left" w:pos="1134"/>
              </w:tabs>
              <w:suppressAutoHyphens w:val="0"/>
              <w:spacing w:before="40" w:after="40" w:line="220" w:lineRule="exact"/>
              <w:ind w:left="113" w:right="113"/>
              <w:jc w:val="center"/>
              <w:rPr>
                <w:noProof/>
                <w:sz w:val="18"/>
                <w:szCs w:val="18"/>
              </w:rPr>
            </w:pPr>
            <w:r w:rsidRPr="002C7499">
              <w:rPr>
                <w:noProof/>
                <w:sz w:val="18"/>
                <w:szCs w:val="18"/>
              </w:rPr>
              <w:t>Row "phase-in period" of Tables 1 and 2 of Annex 9A</w:t>
            </w:r>
          </w:p>
        </w:tc>
        <w:tc>
          <w:tcPr>
            <w:tcW w:w="541" w:type="pct"/>
            <w:tcBorders>
              <w:top w:val="single" w:sz="4" w:space="0" w:color="auto"/>
              <w:left w:val="single" w:sz="4" w:space="0" w:color="auto"/>
              <w:bottom w:val="single" w:sz="4" w:space="0" w:color="auto"/>
              <w:right w:val="single" w:sz="4" w:space="0" w:color="auto"/>
            </w:tcBorders>
            <w:vAlign w:val="center"/>
            <w:hideMark/>
          </w:tcPr>
          <w:p w14:paraId="64E87633" w14:textId="77777777" w:rsidR="00524E39" w:rsidRPr="002C7499" w:rsidRDefault="00524E39" w:rsidP="00524E39">
            <w:pPr>
              <w:tabs>
                <w:tab w:val="left" w:pos="1134"/>
              </w:tabs>
              <w:suppressAutoHyphens w:val="0"/>
              <w:spacing w:before="40" w:after="40" w:line="220" w:lineRule="exact"/>
              <w:ind w:left="113" w:right="113"/>
              <w:jc w:val="center"/>
              <w:rPr>
                <w:noProof/>
                <w:sz w:val="18"/>
                <w:szCs w:val="18"/>
                <w:lang w:val="fi-FI"/>
              </w:rPr>
            </w:pPr>
            <w:r w:rsidRPr="002C7499">
              <w:rPr>
                <w:noProof/>
                <w:sz w:val="18"/>
                <w:szCs w:val="18"/>
              </w:rPr>
              <w:t>N/A</w:t>
            </w:r>
          </w:p>
        </w:tc>
        <w:tc>
          <w:tcPr>
            <w:tcW w:w="474" w:type="pct"/>
            <w:tcBorders>
              <w:top w:val="single" w:sz="4" w:space="0" w:color="auto"/>
              <w:left w:val="single" w:sz="4" w:space="0" w:color="auto"/>
              <w:bottom w:val="single" w:sz="4" w:space="0" w:color="auto"/>
              <w:right w:val="single" w:sz="4" w:space="0" w:color="auto"/>
            </w:tcBorders>
            <w:vAlign w:val="center"/>
            <w:hideMark/>
          </w:tcPr>
          <w:p w14:paraId="450B601D" w14:textId="77777777" w:rsidR="00524E39" w:rsidRPr="002C7499" w:rsidRDefault="00524E39" w:rsidP="00524E39">
            <w:pPr>
              <w:tabs>
                <w:tab w:val="left" w:pos="1134"/>
              </w:tabs>
              <w:suppressAutoHyphens w:val="0"/>
              <w:spacing w:before="40" w:after="40" w:line="220" w:lineRule="exact"/>
              <w:ind w:left="113" w:right="113"/>
              <w:jc w:val="center"/>
              <w:rPr>
                <w:noProof/>
                <w:sz w:val="18"/>
                <w:szCs w:val="18"/>
              </w:rPr>
            </w:pPr>
            <w:r w:rsidRPr="002C7499">
              <w:rPr>
                <w:noProof/>
                <w:sz w:val="18"/>
                <w:szCs w:val="18"/>
              </w:rPr>
              <w:t>Row "phase-in period" of Table 2 of Annex 9A</w:t>
            </w:r>
          </w:p>
        </w:tc>
        <w:tc>
          <w:tcPr>
            <w:tcW w:w="405" w:type="pct"/>
            <w:tcBorders>
              <w:top w:val="single" w:sz="4" w:space="0" w:color="auto"/>
              <w:left w:val="single" w:sz="4" w:space="0" w:color="auto"/>
              <w:bottom w:val="single" w:sz="4" w:space="0" w:color="auto"/>
              <w:right w:val="single" w:sz="4" w:space="0" w:color="auto"/>
            </w:tcBorders>
            <w:vAlign w:val="center"/>
            <w:hideMark/>
          </w:tcPr>
          <w:p w14:paraId="60730D5A" w14:textId="77777777" w:rsidR="00524E39" w:rsidRPr="002C7499" w:rsidRDefault="00524E39" w:rsidP="00524E39">
            <w:pPr>
              <w:tabs>
                <w:tab w:val="left" w:pos="1134"/>
              </w:tabs>
              <w:suppressAutoHyphens w:val="0"/>
              <w:spacing w:before="40" w:after="40" w:line="220" w:lineRule="exact"/>
              <w:ind w:left="113" w:right="113"/>
              <w:jc w:val="center"/>
              <w:rPr>
                <w:noProof/>
                <w:sz w:val="18"/>
                <w:szCs w:val="18"/>
                <w:lang w:val="fi-FI"/>
              </w:rPr>
            </w:pPr>
            <w:r w:rsidRPr="002C7499">
              <w:rPr>
                <w:noProof/>
                <w:sz w:val="18"/>
                <w:szCs w:val="18"/>
              </w:rPr>
              <w:t>N/A</w:t>
            </w:r>
          </w:p>
        </w:tc>
        <w:tc>
          <w:tcPr>
            <w:tcW w:w="405" w:type="pct"/>
            <w:tcBorders>
              <w:top w:val="single" w:sz="4" w:space="0" w:color="auto"/>
              <w:left w:val="single" w:sz="4" w:space="0" w:color="auto"/>
              <w:bottom w:val="single" w:sz="4" w:space="0" w:color="auto"/>
              <w:right w:val="single" w:sz="4" w:space="0" w:color="auto"/>
            </w:tcBorders>
            <w:vAlign w:val="center"/>
            <w:hideMark/>
          </w:tcPr>
          <w:p w14:paraId="38D42736" w14:textId="77777777" w:rsidR="00524E39" w:rsidRPr="002C7499" w:rsidRDefault="00524E39" w:rsidP="00524E39">
            <w:pPr>
              <w:tabs>
                <w:tab w:val="left" w:pos="1134"/>
              </w:tabs>
              <w:suppressAutoHyphens w:val="0"/>
              <w:spacing w:before="40" w:after="40" w:line="220" w:lineRule="exact"/>
              <w:ind w:left="113" w:right="113"/>
              <w:jc w:val="center"/>
              <w:rPr>
                <w:noProof/>
                <w:sz w:val="18"/>
                <w:szCs w:val="18"/>
                <w:vertAlign w:val="superscript"/>
              </w:rPr>
            </w:pPr>
            <w:r w:rsidRPr="002C7499">
              <w:rPr>
                <w:noProof/>
                <w:sz w:val="18"/>
                <w:szCs w:val="18"/>
              </w:rPr>
              <w:t>Phase-in</w:t>
            </w:r>
            <w:r w:rsidRPr="002C7499">
              <w:rPr>
                <w:noProof/>
                <w:sz w:val="18"/>
                <w:szCs w:val="18"/>
                <w:vertAlign w:val="superscript"/>
              </w:rPr>
              <w:t>4</w:t>
            </w:r>
          </w:p>
        </w:tc>
        <w:tc>
          <w:tcPr>
            <w:tcW w:w="463" w:type="pct"/>
            <w:tcBorders>
              <w:top w:val="single" w:sz="4" w:space="0" w:color="auto"/>
              <w:left w:val="single" w:sz="4" w:space="0" w:color="auto"/>
              <w:bottom w:val="single" w:sz="4" w:space="0" w:color="auto"/>
              <w:right w:val="single" w:sz="4" w:space="0" w:color="auto"/>
            </w:tcBorders>
            <w:vAlign w:val="center"/>
            <w:hideMark/>
          </w:tcPr>
          <w:p w14:paraId="3DF12393" w14:textId="77777777" w:rsidR="00524E39" w:rsidRPr="002C7499" w:rsidRDefault="00524E39" w:rsidP="00524E39">
            <w:pPr>
              <w:tabs>
                <w:tab w:val="left" w:pos="1134"/>
              </w:tabs>
              <w:suppressAutoHyphens w:val="0"/>
              <w:spacing w:before="40" w:after="40" w:line="220" w:lineRule="exact"/>
              <w:ind w:left="113" w:right="113"/>
              <w:jc w:val="center"/>
              <w:rPr>
                <w:noProof/>
                <w:sz w:val="18"/>
                <w:szCs w:val="18"/>
              </w:rPr>
            </w:pPr>
            <w:r w:rsidRPr="002C7499">
              <w:rPr>
                <w:noProof/>
                <w:sz w:val="18"/>
                <w:szCs w:val="18"/>
              </w:rPr>
              <w:t>N/A</w:t>
            </w:r>
          </w:p>
        </w:tc>
        <w:tc>
          <w:tcPr>
            <w:tcW w:w="416" w:type="pct"/>
            <w:tcBorders>
              <w:top w:val="single" w:sz="4" w:space="0" w:color="auto"/>
              <w:left w:val="single" w:sz="4" w:space="0" w:color="auto"/>
              <w:bottom w:val="single" w:sz="4" w:space="0" w:color="auto"/>
              <w:right w:val="single" w:sz="4" w:space="0" w:color="auto"/>
            </w:tcBorders>
            <w:vAlign w:val="center"/>
            <w:hideMark/>
          </w:tcPr>
          <w:p w14:paraId="66EE99E3" w14:textId="77777777" w:rsidR="00524E39" w:rsidRPr="002C7499" w:rsidRDefault="00524E39" w:rsidP="00524E39">
            <w:pPr>
              <w:tabs>
                <w:tab w:val="left" w:pos="1134"/>
              </w:tabs>
              <w:suppressAutoHyphens w:val="0"/>
              <w:spacing w:before="40" w:after="40" w:line="220" w:lineRule="exact"/>
              <w:ind w:left="113" w:right="113"/>
              <w:jc w:val="center"/>
              <w:rPr>
                <w:noProof/>
                <w:sz w:val="18"/>
                <w:szCs w:val="18"/>
              </w:rPr>
            </w:pPr>
            <w:r w:rsidRPr="002C7499">
              <w:rPr>
                <w:noProof/>
                <w:sz w:val="18"/>
                <w:szCs w:val="18"/>
              </w:rPr>
              <w:t>20%</w:t>
            </w:r>
          </w:p>
        </w:tc>
        <w:tc>
          <w:tcPr>
            <w:tcW w:w="405" w:type="pct"/>
            <w:tcBorders>
              <w:top w:val="single" w:sz="4" w:space="0" w:color="auto"/>
              <w:left w:val="single" w:sz="4" w:space="0" w:color="auto"/>
              <w:bottom w:val="single" w:sz="4" w:space="0" w:color="auto"/>
              <w:right w:val="single" w:sz="4" w:space="0" w:color="auto"/>
            </w:tcBorders>
            <w:vAlign w:val="center"/>
          </w:tcPr>
          <w:p w14:paraId="63921F98" w14:textId="0A6A1F34" w:rsidR="00524E39" w:rsidRPr="001B6A8B" w:rsidRDefault="00524E39" w:rsidP="00524E39">
            <w:pPr>
              <w:tabs>
                <w:tab w:val="left" w:pos="1134"/>
              </w:tabs>
              <w:suppressAutoHyphens w:val="0"/>
              <w:spacing w:before="40" w:after="40" w:line="220" w:lineRule="exact"/>
              <w:ind w:left="113" w:right="113"/>
              <w:jc w:val="center"/>
              <w:rPr>
                <w:b/>
                <w:bCs/>
                <w:noProof/>
                <w:sz w:val="18"/>
                <w:szCs w:val="18"/>
              </w:rPr>
            </w:pPr>
            <w:r w:rsidRPr="001B6A8B">
              <w:rPr>
                <w:b/>
                <w:bCs/>
                <w:noProof/>
                <w:sz w:val="18"/>
                <w:szCs w:val="18"/>
              </w:rPr>
              <w:t>N/A</w:t>
            </w:r>
          </w:p>
        </w:tc>
        <w:tc>
          <w:tcPr>
            <w:tcW w:w="541" w:type="pct"/>
            <w:tcBorders>
              <w:top w:val="single" w:sz="4" w:space="0" w:color="auto"/>
              <w:left w:val="single" w:sz="4" w:space="0" w:color="auto"/>
              <w:bottom w:val="single" w:sz="4" w:space="0" w:color="auto"/>
              <w:right w:val="single" w:sz="4" w:space="0" w:color="auto"/>
            </w:tcBorders>
            <w:vAlign w:val="center"/>
            <w:hideMark/>
          </w:tcPr>
          <w:p w14:paraId="6A929159" w14:textId="45D0DC92" w:rsidR="00524E39" w:rsidRPr="002C7499" w:rsidRDefault="00524E39" w:rsidP="00524E39">
            <w:pPr>
              <w:tabs>
                <w:tab w:val="left" w:pos="1134"/>
              </w:tabs>
              <w:suppressAutoHyphens w:val="0"/>
              <w:spacing w:before="40" w:after="40" w:line="220" w:lineRule="exact"/>
              <w:ind w:left="113" w:right="113"/>
              <w:jc w:val="center"/>
              <w:rPr>
                <w:noProof/>
                <w:sz w:val="18"/>
                <w:szCs w:val="18"/>
              </w:rPr>
            </w:pPr>
            <w:r w:rsidRPr="002C7499">
              <w:rPr>
                <w:noProof/>
                <w:sz w:val="18"/>
                <w:szCs w:val="18"/>
              </w:rPr>
              <w:t>01 September</w:t>
            </w:r>
            <w:r w:rsidRPr="002C7499">
              <w:rPr>
                <w:noProof/>
                <w:sz w:val="18"/>
                <w:szCs w:val="18"/>
              </w:rPr>
              <w:br/>
              <w:t>2014</w:t>
            </w:r>
          </w:p>
        </w:tc>
        <w:tc>
          <w:tcPr>
            <w:tcW w:w="473" w:type="pct"/>
            <w:tcBorders>
              <w:top w:val="single" w:sz="4" w:space="0" w:color="auto"/>
              <w:left w:val="single" w:sz="4" w:space="0" w:color="auto"/>
              <w:bottom w:val="single" w:sz="4" w:space="0" w:color="auto"/>
              <w:right w:val="single" w:sz="4" w:space="0" w:color="auto"/>
            </w:tcBorders>
            <w:vAlign w:val="center"/>
            <w:hideMark/>
          </w:tcPr>
          <w:p w14:paraId="13DEF527" w14:textId="77777777" w:rsidR="00524E39" w:rsidRPr="002C7499" w:rsidRDefault="00524E39" w:rsidP="00524E39">
            <w:pPr>
              <w:tabs>
                <w:tab w:val="left" w:pos="1134"/>
              </w:tabs>
              <w:suppressAutoHyphens w:val="0"/>
              <w:spacing w:before="40" w:after="40" w:line="220" w:lineRule="exact"/>
              <w:jc w:val="center"/>
              <w:rPr>
                <w:noProof/>
                <w:sz w:val="18"/>
                <w:szCs w:val="18"/>
              </w:rPr>
            </w:pPr>
            <w:r w:rsidRPr="002C7499">
              <w:rPr>
                <w:noProof/>
                <w:sz w:val="18"/>
                <w:szCs w:val="18"/>
              </w:rPr>
              <w:t>31 December</w:t>
            </w:r>
            <w:r w:rsidRPr="002C7499">
              <w:rPr>
                <w:noProof/>
                <w:sz w:val="18"/>
                <w:szCs w:val="18"/>
              </w:rPr>
              <w:br/>
              <w:t>2016</w:t>
            </w:r>
          </w:p>
        </w:tc>
      </w:tr>
      <w:tr w:rsidR="009C6287" w:rsidRPr="002C7499" w14:paraId="1D29C14A" w14:textId="77777777" w:rsidTr="002013A7">
        <w:trPr>
          <w:jc w:val="center"/>
        </w:trPr>
        <w:tc>
          <w:tcPr>
            <w:tcW w:w="391" w:type="pct"/>
            <w:tcBorders>
              <w:top w:val="single" w:sz="4" w:space="0" w:color="auto"/>
              <w:left w:val="single" w:sz="4" w:space="0" w:color="auto"/>
              <w:bottom w:val="single" w:sz="4" w:space="0" w:color="auto"/>
              <w:right w:val="single" w:sz="4" w:space="0" w:color="auto"/>
            </w:tcBorders>
            <w:vAlign w:val="center"/>
            <w:hideMark/>
          </w:tcPr>
          <w:p w14:paraId="30F20D6F" w14:textId="77777777" w:rsidR="00524E39" w:rsidRPr="002C7499" w:rsidRDefault="00524E39" w:rsidP="00524E39">
            <w:pPr>
              <w:tabs>
                <w:tab w:val="left" w:pos="1134"/>
              </w:tabs>
              <w:suppressAutoHyphens w:val="0"/>
              <w:spacing w:before="40" w:after="40" w:line="220" w:lineRule="exact"/>
              <w:ind w:left="113" w:right="113"/>
              <w:jc w:val="center"/>
              <w:rPr>
                <w:noProof/>
                <w:sz w:val="18"/>
                <w:szCs w:val="18"/>
              </w:rPr>
            </w:pPr>
            <w:r w:rsidRPr="002C7499">
              <w:rPr>
                <w:noProof/>
                <w:sz w:val="18"/>
                <w:szCs w:val="18"/>
              </w:rPr>
              <w:t>C</w:t>
            </w:r>
          </w:p>
        </w:tc>
        <w:tc>
          <w:tcPr>
            <w:tcW w:w="487" w:type="pct"/>
            <w:tcBorders>
              <w:top w:val="single" w:sz="4" w:space="0" w:color="auto"/>
              <w:left w:val="single" w:sz="4" w:space="0" w:color="auto"/>
              <w:bottom w:val="single" w:sz="4" w:space="0" w:color="auto"/>
              <w:right w:val="single" w:sz="4" w:space="0" w:color="auto"/>
            </w:tcBorders>
            <w:vAlign w:val="center"/>
            <w:hideMark/>
          </w:tcPr>
          <w:p w14:paraId="50FA2E6B" w14:textId="77777777" w:rsidR="00524E39" w:rsidRPr="002C7499" w:rsidRDefault="00524E39" w:rsidP="00524E39">
            <w:pPr>
              <w:tabs>
                <w:tab w:val="left" w:pos="1134"/>
              </w:tabs>
              <w:suppressAutoHyphens w:val="0"/>
              <w:spacing w:before="40" w:after="40" w:line="220" w:lineRule="exact"/>
              <w:ind w:left="113" w:right="113"/>
              <w:jc w:val="center"/>
              <w:rPr>
                <w:noProof/>
                <w:sz w:val="18"/>
                <w:szCs w:val="18"/>
              </w:rPr>
            </w:pPr>
            <w:r w:rsidRPr="002C7499">
              <w:rPr>
                <w:noProof/>
                <w:sz w:val="18"/>
                <w:szCs w:val="18"/>
              </w:rPr>
              <w:t>Row "general requirements" of Tables 1 and 2 of Annex 9A</w:t>
            </w:r>
          </w:p>
        </w:tc>
        <w:tc>
          <w:tcPr>
            <w:tcW w:w="541" w:type="pct"/>
            <w:tcBorders>
              <w:top w:val="single" w:sz="4" w:space="0" w:color="auto"/>
              <w:left w:val="single" w:sz="4" w:space="0" w:color="auto"/>
              <w:bottom w:val="single" w:sz="4" w:space="0" w:color="auto"/>
              <w:right w:val="single" w:sz="4" w:space="0" w:color="auto"/>
            </w:tcBorders>
            <w:vAlign w:val="center"/>
            <w:hideMark/>
          </w:tcPr>
          <w:p w14:paraId="28D3A992" w14:textId="77777777" w:rsidR="00524E39" w:rsidRPr="002C7499" w:rsidRDefault="00524E39" w:rsidP="00524E39">
            <w:pPr>
              <w:tabs>
                <w:tab w:val="left" w:pos="1134"/>
              </w:tabs>
              <w:suppressAutoHyphens w:val="0"/>
              <w:spacing w:before="40" w:after="40" w:line="220" w:lineRule="exact"/>
              <w:ind w:left="113" w:right="113"/>
              <w:jc w:val="center"/>
              <w:rPr>
                <w:noProof/>
                <w:sz w:val="18"/>
                <w:szCs w:val="18"/>
              </w:rPr>
            </w:pPr>
            <w:r w:rsidRPr="002C7499">
              <w:rPr>
                <w:noProof/>
                <w:sz w:val="18"/>
                <w:szCs w:val="18"/>
              </w:rPr>
              <w:t>Row "general requirements" of Table 1 of Annex 9A</w:t>
            </w:r>
          </w:p>
        </w:tc>
        <w:tc>
          <w:tcPr>
            <w:tcW w:w="474" w:type="pct"/>
            <w:tcBorders>
              <w:top w:val="single" w:sz="4" w:space="0" w:color="auto"/>
              <w:left w:val="single" w:sz="4" w:space="0" w:color="auto"/>
              <w:bottom w:val="single" w:sz="4" w:space="0" w:color="auto"/>
              <w:right w:val="single" w:sz="4" w:space="0" w:color="auto"/>
            </w:tcBorders>
            <w:vAlign w:val="center"/>
            <w:hideMark/>
          </w:tcPr>
          <w:p w14:paraId="5B1D12B0" w14:textId="77777777" w:rsidR="00524E39" w:rsidRPr="002C7499" w:rsidRDefault="00524E39" w:rsidP="00524E39">
            <w:pPr>
              <w:tabs>
                <w:tab w:val="left" w:pos="1134"/>
              </w:tabs>
              <w:suppressAutoHyphens w:val="0"/>
              <w:spacing w:before="40" w:after="40" w:line="220" w:lineRule="exact"/>
              <w:ind w:left="113" w:right="113"/>
              <w:jc w:val="center"/>
              <w:rPr>
                <w:noProof/>
                <w:sz w:val="18"/>
                <w:szCs w:val="18"/>
              </w:rPr>
            </w:pPr>
            <w:r w:rsidRPr="002C7499">
              <w:rPr>
                <w:noProof/>
                <w:sz w:val="18"/>
                <w:szCs w:val="18"/>
              </w:rPr>
              <w:t>Row "general requirements" of Table 2 of Annex 9A</w:t>
            </w:r>
          </w:p>
        </w:tc>
        <w:tc>
          <w:tcPr>
            <w:tcW w:w="405" w:type="pct"/>
            <w:tcBorders>
              <w:top w:val="single" w:sz="4" w:space="0" w:color="auto"/>
              <w:left w:val="single" w:sz="4" w:space="0" w:color="auto"/>
              <w:bottom w:val="single" w:sz="4" w:space="0" w:color="auto"/>
              <w:right w:val="single" w:sz="4" w:space="0" w:color="auto"/>
            </w:tcBorders>
            <w:vAlign w:val="center"/>
            <w:hideMark/>
          </w:tcPr>
          <w:p w14:paraId="0562E32D" w14:textId="77777777" w:rsidR="00524E39" w:rsidRPr="002C7499" w:rsidRDefault="00524E39" w:rsidP="00524E39">
            <w:pPr>
              <w:tabs>
                <w:tab w:val="left" w:pos="1134"/>
              </w:tabs>
              <w:suppressAutoHyphens w:val="0"/>
              <w:spacing w:before="40" w:after="40" w:line="220" w:lineRule="exact"/>
              <w:ind w:left="113" w:right="113"/>
              <w:jc w:val="center"/>
              <w:rPr>
                <w:noProof/>
                <w:sz w:val="18"/>
                <w:szCs w:val="18"/>
                <w:lang w:val="fi-FI"/>
              </w:rPr>
            </w:pPr>
            <w:r w:rsidRPr="002C7499">
              <w:rPr>
                <w:noProof/>
                <w:sz w:val="18"/>
                <w:szCs w:val="18"/>
              </w:rPr>
              <w:t>General</w:t>
            </w:r>
            <w:r w:rsidRPr="002C7499">
              <w:rPr>
                <w:noProof/>
                <w:sz w:val="18"/>
                <w:szCs w:val="18"/>
                <w:vertAlign w:val="superscript"/>
              </w:rPr>
              <w:t>8</w:t>
            </w:r>
          </w:p>
        </w:tc>
        <w:tc>
          <w:tcPr>
            <w:tcW w:w="405" w:type="pct"/>
            <w:tcBorders>
              <w:top w:val="single" w:sz="4" w:space="0" w:color="auto"/>
              <w:left w:val="single" w:sz="4" w:space="0" w:color="auto"/>
              <w:bottom w:val="single" w:sz="4" w:space="0" w:color="auto"/>
              <w:right w:val="single" w:sz="4" w:space="0" w:color="auto"/>
            </w:tcBorders>
            <w:vAlign w:val="center"/>
            <w:hideMark/>
          </w:tcPr>
          <w:p w14:paraId="3DB1E4C7" w14:textId="77777777" w:rsidR="00524E39" w:rsidRPr="002C7499" w:rsidRDefault="00524E39" w:rsidP="00524E39">
            <w:pPr>
              <w:tabs>
                <w:tab w:val="left" w:pos="1134"/>
              </w:tabs>
              <w:suppressAutoHyphens w:val="0"/>
              <w:spacing w:before="40" w:after="40" w:line="220" w:lineRule="exact"/>
              <w:ind w:left="113" w:right="113"/>
              <w:jc w:val="center"/>
              <w:rPr>
                <w:noProof/>
                <w:sz w:val="18"/>
                <w:szCs w:val="18"/>
                <w:vertAlign w:val="superscript"/>
              </w:rPr>
            </w:pPr>
            <w:r w:rsidRPr="002C7499">
              <w:rPr>
                <w:noProof/>
                <w:sz w:val="18"/>
                <w:szCs w:val="18"/>
              </w:rPr>
              <w:t>General</w:t>
            </w:r>
            <w:r w:rsidRPr="002C7499">
              <w:rPr>
                <w:noProof/>
                <w:sz w:val="18"/>
                <w:szCs w:val="18"/>
                <w:vertAlign w:val="superscript"/>
              </w:rPr>
              <w:t>5</w:t>
            </w:r>
          </w:p>
        </w:tc>
        <w:tc>
          <w:tcPr>
            <w:tcW w:w="463" w:type="pct"/>
            <w:tcBorders>
              <w:top w:val="single" w:sz="4" w:space="0" w:color="auto"/>
              <w:left w:val="single" w:sz="4" w:space="0" w:color="auto"/>
              <w:bottom w:val="single" w:sz="4" w:space="0" w:color="auto"/>
              <w:right w:val="single" w:sz="4" w:space="0" w:color="auto"/>
            </w:tcBorders>
            <w:vAlign w:val="center"/>
            <w:hideMark/>
          </w:tcPr>
          <w:p w14:paraId="6CA27F4E" w14:textId="77777777" w:rsidR="00524E39" w:rsidRPr="002C7499" w:rsidRDefault="00524E39" w:rsidP="00524E39">
            <w:pPr>
              <w:tabs>
                <w:tab w:val="left" w:pos="1134"/>
              </w:tabs>
              <w:suppressAutoHyphens w:val="0"/>
              <w:spacing w:before="40" w:after="40" w:line="220" w:lineRule="exact"/>
              <w:ind w:left="113" w:right="113"/>
              <w:jc w:val="center"/>
              <w:rPr>
                <w:noProof/>
                <w:sz w:val="18"/>
                <w:szCs w:val="18"/>
              </w:rPr>
            </w:pPr>
            <w:r w:rsidRPr="002C7499">
              <w:rPr>
                <w:noProof/>
                <w:sz w:val="18"/>
                <w:szCs w:val="18"/>
              </w:rPr>
              <w:t>Yes</w:t>
            </w:r>
          </w:p>
        </w:tc>
        <w:tc>
          <w:tcPr>
            <w:tcW w:w="416" w:type="pct"/>
            <w:tcBorders>
              <w:top w:val="single" w:sz="4" w:space="0" w:color="auto"/>
              <w:left w:val="single" w:sz="4" w:space="0" w:color="auto"/>
              <w:bottom w:val="single" w:sz="4" w:space="0" w:color="auto"/>
              <w:right w:val="single" w:sz="4" w:space="0" w:color="auto"/>
            </w:tcBorders>
            <w:vAlign w:val="center"/>
            <w:hideMark/>
          </w:tcPr>
          <w:p w14:paraId="30FACB72" w14:textId="77777777" w:rsidR="00524E39" w:rsidRPr="002C7499" w:rsidRDefault="00524E39" w:rsidP="00524E39">
            <w:pPr>
              <w:tabs>
                <w:tab w:val="left" w:pos="1134"/>
              </w:tabs>
              <w:suppressAutoHyphens w:val="0"/>
              <w:spacing w:before="40" w:after="40" w:line="220" w:lineRule="exact"/>
              <w:jc w:val="center"/>
              <w:rPr>
                <w:noProof/>
                <w:sz w:val="18"/>
                <w:szCs w:val="18"/>
              </w:rPr>
            </w:pPr>
            <w:r w:rsidRPr="002C7499">
              <w:rPr>
                <w:noProof/>
                <w:sz w:val="18"/>
                <w:szCs w:val="18"/>
              </w:rPr>
              <w:t>20%</w:t>
            </w:r>
          </w:p>
        </w:tc>
        <w:tc>
          <w:tcPr>
            <w:tcW w:w="405" w:type="pct"/>
            <w:tcBorders>
              <w:top w:val="single" w:sz="4" w:space="0" w:color="auto"/>
              <w:left w:val="single" w:sz="4" w:space="0" w:color="auto"/>
              <w:bottom w:val="single" w:sz="4" w:space="0" w:color="auto"/>
              <w:right w:val="single" w:sz="4" w:space="0" w:color="auto"/>
            </w:tcBorders>
            <w:vAlign w:val="center"/>
          </w:tcPr>
          <w:p w14:paraId="53BD629F" w14:textId="243BB35B" w:rsidR="00524E39" w:rsidRPr="001B6A8B" w:rsidRDefault="00524E39" w:rsidP="00524E39">
            <w:pPr>
              <w:tabs>
                <w:tab w:val="left" w:pos="1134"/>
              </w:tabs>
              <w:suppressAutoHyphens w:val="0"/>
              <w:spacing w:before="40" w:after="40" w:line="220" w:lineRule="exact"/>
              <w:jc w:val="center"/>
              <w:rPr>
                <w:b/>
                <w:bCs/>
                <w:noProof/>
                <w:sz w:val="18"/>
                <w:szCs w:val="18"/>
              </w:rPr>
            </w:pPr>
            <w:r w:rsidRPr="001B6A8B">
              <w:rPr>
                <w:b/>
                <w:bCs/>
                <w:noProof/>
                <w:sz w:val="18"/>
                <w:szCs w:val="18"/>
              </w:rPr>
              <w:t>N/A</w:t>
            </w:r>
          </w:p>
        </w:tc>
        <w:tc>
          <w:tcPr>
            <w:tcW w:w="541" w:type="pct"/>
            <w:tcBorders>
              <w:top w:val="single" w:sz="4" w:space="0" w:color="auto"/>
              <w:left w:val="single" w:sz="4" w:space="0" w:color="auto"/>
              <w:bottom w:val="single" w:sz="4" w:space="0" w:color="auto"/>
              <w:right w:val="single" w:sz="4" w:space="0" w:color="auto"/>
            </w:tcBorders>
            <w:vAlign w:val="center"/>
            <w:hideMark/>
          </w:tcPr>
          <w:p w14:paraId="205BB4D9" w14:textId="5964C1AE" w:rsidR="00524E39" w:rsidRPr="002C7499" w:rsidRDefault="00524E39" w:rsidP="00524E39">
            <w:pPr>
              <w:tabs>
                <w:tab w:val="left" w:pos="1134"/>
              </w:tabs>
              <w:suppressAutoHyphens w:val="0"/>
              <w:spacing w:before="40" w:after="40" w:line="220" w:lineRule="exact"/>
              <w:jc w:val="center"/>
              <w:rPr>
                <w:noProof/>
                <w:sz w:val="18"/>
                <w:szCs w:val="18"/>
              </w:rPr>
            </w:pPr>
            <w:r w:rsidRPr="002C7499">
              <w:rPr>
                <w:noProof/>
                <w:sz w:val="18"/>
                <w:szCs w:val="18"/>
              </w:rPr>
              <w:t>31 December</w:t>
            </w:r>
            <w:r w:rsidRPr="002C7499">
              <w:rPr>
                <w:noProof/>
                <w:sz w:val="18"/>
                <w:szCs w:val="18"/>
              </w:rPr>
              <w:br/>
              <w:t>2015</w:t>
            </w:r>
          </w:p>
        </w:tc>
        <w:tc>
          <w:tcPr>
            <w:tcW w:w="473" w:type="pct"/>
            <w:tcBorders>
              <w:top w:val="single" w:sz="4" w:space="0" w:color="auto"/>
              <w:left w:val="single" w:sz="4" w:space="0" w:color="auto"/>
              <w:bottom w:val="single" w:sz="4" w:space="0" w:color="auto"/>
              <w:right w:val="single" w:sz="4" w:space="0" w:color="auto"/>
            </w:tcBorders>
            <w:vAlign w:val="center"/>
            <w:hideMark/>
          </w:tcPr>
          <w:p w14:paraId="7935B9E7" w14:textId="77777777" w:rsidR="00524E39" w:rsidRPr="002C7499" w:rsidRDefault="00524E39" w:rsidP="00524E39">
            <w:pPr>
              <w:tabs>
                <w:tab w:val="left" w:pos="1134"/>
              </w:tabs>
              <w:suppressAutoHyphens w:val="0"/>
              <w:spacing w:before="40" w:after="40" w:line="220" w:lineRule="exact"/>
              <w:ind w:left="113" w:right="113"/>
              <w:jc w:val="center"/>
              <w:rPr>
                <w:noProof/>
                <w:sz w:val="18"/>
                <w:szCs w:val="18"/>
              </w:rPr>
            </w:pPr>
            <w:r w:rsidRPr="002C7499">
              <w:rPr>
                <w:noProof/>
                <w:sz w:val="18"/>
                <w:szCs w:val="18"/>
              </w:rPr>
              <w:t>01 September</w:t>
            </w:r>
            <w:r w:rsidRPr="002C7499">
              <w:rPr>
                <w:noProof/>
                <w:sz w:val="18"/>
                <w:szCs w:val="18"/>
              </w:rPr>
              <w:br/>
              <w:t>2019</w:t>
            </w:r>
          </w:p>
        </w:tc>
      </w:tr>
      <w:tr w:rsidR="009C6287" w:rsidRPr="002C7499" w14:paraId="732A363B" w14:textId="77777777" w:rsidTr="002013A7">
        <w:trPr>
          <w:jc w:val="center"/>
        </w:trPr>
        <w:tc>
          <w:tcPr>
            <w:tcW w:w="391" w:type="pct"/>
            <w:tcBorders>
              <w:top w:val="single" w:sz="4" w:space="0" w:color="auto"/>
              <w:left w:val="single" w:sz="4" w:space="0" w:color="auto"/>
              <w:bottom w:val="single" w:sz="4" w:space="0" w:color="auto"/>
              <w:right w:val="single" w:sz="4" w:space="0" w:color="auto"/>
            </w:tcBorders>
            <w:vAlign w:val="center"/>
            <w:hideMark/>
          </w:tcPr>
          <w:p w14:paraId="65E8FCC9" w14:textId="77777777" w:rsidR="00524E39" w:rsidRPr="002C7499" w:rsidRDefault="00524E39" w:rsidP="00524E39">
            <w:pPr>
              <w:tabs>
                <w:tab w:val="left" w:pos="1134"/>
              </w:tabs>
              <w:suppressAutoHyphens w:val="0"/>
              <w:spacing w:before="40" w:after="40" w:line="220" w:lineRule="exact"/>
              <w:ind w:left="113" w:right="113"/>
              <w:jc w:val="center"/>
              <w:rPr>
                <w:noProof/>
                <w:sz w:val="18"/>
                <w:szCs w:val="18"/>
              </w:rPr>
            </w:pPr>
            <w:r w:rsidRPr="002C7499">
              <w:rPr>
                <w:noProof/>
                <w:sz w:val="18"/>
                <w:szCs w:val="18"/>
              </w:rPr>
              <w:t>D</w:t>
            </w:r>
          </w:p>
        </w:tc>
        <w:tc>
          <w:tcPr>
            <w:tcW w:w="487" w:type="pct"/>
            <w:tcBorders>
              <w:top w:val="single" w:sz="4" w:space="0" w:color="auto"/>
              <w:left w:val="single" w:sz="4" w:space="0" w:color="auto"/>
              <w:bottom w:val="single" w:sz="4" w:space="0" w:color="auto"/>
              <w:right w:val="single" w:sz="4" w:space="0" w:color="auto"/>
            </w:tcBorders>
            <w:vAlign w:val="center"/>
            <w:hideMark/>
          </w:tcPr>
          <w:p w14:paraId="3636A11C" w14:textId="77777777" w:rsidR="00524E39" w:rsidRPr="002C7499" w:rsidRDefault="00524E39" w:rsidP="00524E39">
            <w:pPr>
              <w:tabs>
                <w:tab w:val="left" w:pos="1134"/>
              </w:tabs>
              <w:suppressAutoHyphens w:val="0"/>
              <w:spacing w:before="40" w:after="40" w:line="220" w:lineRule="exact"/>
              <w:ind w:left="113" w:right="113"/>
              <w:jc w:val="center"/>
              <w:rPr>
                <w:noProof/>
                <w:sz w:val="18"/>
                <w:szCs w:val="18"/>
              </w:rPr>
            </w:pPr>
            <w:r w:rsidRPr="002C7499">
              <w:rPr>
                <w:noProof/>
                <w:sz w:val="18"/>
                <w:szCs w:val="18"/>
              </w:rPr>
              <w:t>Row "general requirements" of Tables 1 and 2 of Annex 9A</w:t>
            </w:r>
          </w:p>
        </w:tc>
        <w:tc>
          <w:tcPr>
            <w:tcW w:w="541" w:type="pct"/>
            <w:tcBorders>
              <w:top w:val="single" w:sz="4" w:space="0" w:color="auto"/>
              <w:left w:val="single" w:sz="4" w:space="0" w:color="auto"/>
              <w:bottom w:val="single" w:sz="4" w:space="0" w:color="auto"/>
              <w:right w:val="single" w:sz="4" w:space="0" w:color="auto"/>
            </w:tcBorders>
            <w:vAlign w:val="center"/>
            <w:hideMark/>
          </w:tcPr>
          <w:p w14:paraId="68CF6CD6" w14:textId="77777777" w:rsidR="00524E39" w:rsidRPr="002C7499" w:rsidRDefault="00524E39" w:rsidP="00524E39">
            <w:pPr>
              <w:tabs>
                <w:tab w:val="left" w:pos="1134"/>
              </w:tabs>
              <w:suppressAutoHyphens w:val="0"/>
              <w:spacing w:before="40" w:after="40" w:line="220" w:lineRule="exact"/>
              <w:ind w:left="113" w:right="113"/>
              <w:jc w:val="center"/>
              <w:rPr>
                <w:noProof/>
                <w:sz w:val="18"/>
                <w:szCs w:val="18"/>
              </w:rPr>
            </w:pPr>
            <w:r w:rsidRPr="002C7499">
              <w:rPr>
                <w:noProof/>
                <w:sz w:val="18"/>
                <w:szCs w:val="18"/>
              </w:rPr>
              <w:t>Row "general requirements" of Table 1 of Annex 9A</w:t>
            </w:r>
          </w:p>
        </w:tc>
        <w:tc>
          <w:tcPr>
            <w:tcW w:w="474" w:type="pct"/>
            <w:tcBorders>
              <w:top w:val="single" w:sz="4" w:space="0" w:color="auto"/>
              <w:left w:val="single" w:sz="4" w:space="0" w:color="auto"/>
              <w:bottom w:val="single" w:sz="4" w:space="0" w:color="auto"/>
              <w:right w:val="single" w:sz="4" w:space="0" w:color="auto"/>
            </w:tcBorders>
            <w:vAlign w:val="center"/>
            <w:hideMark/>
          </w:tcPr>
          <w:p w14:paraId="788F3A63" w14:textId="77777777" w:rsidR="00524E39" w:rsidRPr="002C7499" w:rsidRDefault="00524E39" w:rsidP="00524E39">
            <w:pPr>
              <w:tabs>
                <w:tab w:val="left" w:pos="1134"/>
              </w:tabs>
              <w:suppressAutoHyphens w:val="0"/>
              <w:spacing w:before="40" w:after="40" w:line="220" w:lineRule="exact"/>
              <w:ind w:left="113" w:right="113"/>
              <w:jc w:val="center"/>
              <w:rPr>
                <w:noProof/>
                <w:sz w:val="18"/>
                <w:szCs w:val="18"/>
              </w:rPr>
            </w:pPr>
            <w:r w:rsidRPr="002C7499">
              <w:rPr>
                <w:noProof/>
                <w:sz w:val="18"/>
                <w:szCs w:val="18"/>
              </w:rPr>
              <w:t>Row "general requirements" of Table 2 of Annex 9A</w:t>
            </w:r>
          </w:p>
        </w:tc>
        <w:tc>
          <w:tcPr>
            <w:tcW w:w="405" w:type="pct"/>
            <w:tcBorders>
              <w:top w:val="single" w:sz="4" w:space="0" w:color="auto"/>
              <w:left w:val="single" w:sz="4" w:space="0" w:color="auto"/>
              <w:bottom w:val="single" w:sz="4" w:space="0" w:color="auto"/>
              <w:right w:val="single" w:sz="4" w:space="0" w:color="auto"/>
            </w:tcBorders>
            <w:vAlign w:val="center"/>
            <w:hideMark/>
          </w:tcPr>
          <w:p w14:paraId="29BFD057" w14:textId="77777777" w:rsidR="00524E39" w:rsidRPr="002C7499" w:rsidRDefault="00524E39" w:rsidP="00524E39">
            <w:pPr>
              <w:tabs>
                <w:tab w:val="left" w:pos="1134"/>
              </w:tabs>
              <w:suppressAutoHyphens w:val="0"/>
              <w:spacing w:before="40" w:after="40" w:line="220" w:lineRule="exact"/>
              <w:ind w:left="113" w:right="113"/>
              <w:jc w:val="center"/>
              <w:rPr>
                <w:noProof/>
                <w:sz w:val="18"/>
                <w:szCs w:val="18"/>
                <w:lang w:val="fi-FI"/>
              </w:rPr>
            </w:pPr>
            <w:r w:rsidRPr="002C7499">
              <w:rPr>
                <w:noProof/>
                <w:sz w:val="18"/>
                <w:szCs w:val="18"/>
              </w:rPr>
              <w:t>General</w:t>
            </w:r>
            <w:r w:rsidRPr="002C7499">
              <w:rPr>
                <w:noProof/>
                <w:sz w:val="18"/>
                <w:szCs w:val="18"/>
                <w:vertAlign w:val="superscript"/>
              </w:rPr>
              <w:t>8</w:t>
            </w:r>
          </w:p>
        </w:tc>
        <w:tc>
          <w:tcPr>
            <w:tcW w:w="405" w:type="pct"/>
            <w:tcBorders>
              <w:top w:val="single" w:sz="4" w:space="0" w:color="auto"/>
              <w:left w:val="single" w:sz="4" w:space="0" w:color="auto"/>
              <w:bottom w:val="single" w:sz="4" w:space="0" w:color="auto"/>
              <w:right w:val="single" w:sz="4" w:space="0" w:color="auto"/>
            </w:tcBorders>
            <w:vAlign w:val="center"/>
            <w:hideMark/>
          </w:tcPr>
          <w:p w14:paraId="3EA8747E" w14:textId="77777777" w:rsidR="00524E39" w:rsidRPr="002C7499" w:rsidRDefault="00524E39" w:rsidP="00524E39">
            <w:pPr>
              <w:tabs>
                <w:tab w:val="left" w:pos="1134"/>
              </w:tabs>
              <w:suppressAutoHyphens w:val="0"/>
              <w:spacing w:before="40" w:after="40" w:line="220" w:lineRule="exact"/>
              <w:ind w:left="113" w:right="113"/>
              <w:jc w:val="center"/>
              <w:rPr>
                <w:noProof/>
                <w:sz w:val="18"/>
                <w:szCs w:val="18"/>
                <w:vertAlign w:val="superscript"/>
              </w:rPr>
            </w:pPr>
            <w:r w:rsidRPr="002C7499">
              <w:rPr>
                <w:noProof/>
                <w:sz w:val="18"/>
                <w:szCs w:val="18"/>
              </w:rPr>
              <w:t>General</w:t>
            </w:r>
            <w:r w:rsidRPr="002C7499">
              <w:rPr>
                <w:noProof/>
                <w:sz w:val="18"/>
                <w:szCs w:val="18"/>
                <w:vertAlign w:val="superscript"/>
              </w:rPr>
              <w:t>5</w:t>
            </w:r>
          </w:p>
        </w:tc>
        <w:tc>
          <w:tcPr>
            <w:tcW w:w="463" w:type="pct"/>
            <w:tcBorders>
              <w:top w:val="single" w:sz="4" w:space="0" w:color="auto"/>
              <w:left w:val="single" w:sz="4" w:space="0" w:color="auto"/>
              <w:bottom w:val="single" w:sz="4" w:space="0" w:color="auto"/>
              <w:right w:val="single" w:sz="4" w:space="0" w:color="auto"/>
            </w:tcBorders>
            <w:vAlign w:val="center"/>
            <w:hideMark/>
          </w:tcPr>
          <w:p w14:paraId="5F89EC46" w14:textId="77777777" w:rsidR="00524E39" w:rsidRPr="002C7499" w:rsidRDefault="00524E39" w:rsidP="00524E39">
            <w:pPr>
              <w:tabs>
                <w:tab w:val="left" w:pos="1134"/>
              </w:tabs>
              <w:suppressAutoHyphens w:val="0"/>
              <w:spacing w:before="40" w:after="40" w:line="220" w:lineRule="exact"/>
              <w:ind w:left="113" w:right="113"/>
              <w:jc w:val="center"/>
              <w:rPr>
                <w:noProof/>
                <w:sz w:val="18"/>
                <w:szCs w:val="18"/>
              </w:rPr>
            </w:pPr>
            <w:r w:rsidRPr="002C7499">
              <w:rPr>
                <w:noProof/>
                <w:sz w:val="18"/>
                <w:szCs w:val="18"/>
              </w:rPr>
              <w:t>Yes</w:t>
            </w:r>
          </w:p>
        </w:tc>
        <w:tc>
          <w:tcPr>
            <w:tcW w:w="416" w:type="pct"/>
            <w:tcBorders>
              <w:top w:val="single" w:sz="4" w:space="0" w:color="auto"/>
              <w:left w:val="single" w:sz="4" w:space="0" w:color="auto"/>
              <w:bottom w:val="single" w:sz="4" w:space="0" w:color="auto"/>
              <w:right w:val="single" w:sz="4" w:space="0" w:color="auto"/>
            </w:tcBorders>
            <w:vAlign w:val="center"/>
            <w:hideMark/>
          </w:tcPr>
          <w:p w14:paraId="493A25DA" w14:textId="77777777" w:rsidR="00524E39" w:rsidRPr="002C7499" w:rsidRDefault="00524E39" w:rsidP="00524E39">
            <w:pPr>
              <w:tabs>
                <w:tab w:val="left" w:pos="1134"/>
              </w:tabs>
              <w:suppressAutoHyphens w:val="0"/>
              <w:spacing w:before="40" w:after="40" w:line="220" w:lineRule="exact"/>
              <w:jc w:val="center"/>
              <w:rPr>
                <w:noProof/>
                <w:sz w:val="18"/>
                <w:szCs w:val="18"/>
              </w:rPr>
            </w:pPr>
            <w:r w:rsidRPr="002C7499">
              <w:rPr>
                <w:noProof/>
                <w:sz w:val="18"/>
                <w:szCs w:val="18"/>
              </w:rPr>
              <w:t>10%</w:t>
            </w:r>
          </w:p>
        </w:tc>
        <w:tc>
          <w:tcPr>
            <w:tcW w:w="405" w:type="pct"/>
            <w:tcBorders>
              <w:top w:val="single" w:sz="4" w:space="0" w:color="auto"/>
              <w:left w:val="single" w:sz="4" w:space="0" w:color="auto"/>
              <w:bottom w:val="single" w:sz="4" w:space="0" w:color="auto"/>
              <w:right w:val="single" w:sz="4" w:space="0" w:color="auto"/>
            </w:tcBorders>
            <w:vAlign w:val="center"/>
          </w:tcPr>
          <w:p w14:paraId="615C74E3" w14:textId="215C7D02" w:rsidR="00524E39" w:rsidRPr="001B6A8B" w:rsidRDefault="00524E39" w:rsidP="00524E39">
            <w:pPr>
              <w:tabs>
                <w:tab w:val="left" w:pos="1134"/>
              </w:tabs>
              <w:suppressAutoHyphens w:val="0"/>
              <w:spacing w:before="40" w:after="40" w:line="220" w:lineRule="exact"/>
              <w:jc w:val="center"/>
              <w:rPr>
                <w:b/>
                <w:bCs/>
                <w:noProof/>
                <w:sz w:val="18"/>
                <w:szCs w:val="18"/>
              </w:rPr>
            </w:pPr>
            <w:r w:rsidRPr="001B6A8B">
              <w:rPr>
                <w:b/>
                <w:bCs/>
                <w:noProof/>
                <w:sz w:val="18"/>
                <w:szCs w:val="18"/>
              </w:rPr>
              <w:t>N/A</w:t>
            </w:r>
          </w:p>
        </w:tc>
        <w:tc>
          <w:tcPr>
            <w:tcW w:w="541" w:type="pct"/>
            <w:tcBorders>
              <w:top w:val="single" w:sz="4" w:space="0" w:color="auto"/>
              <w:left w:val="single" w:sz="4" w:space="0" w:color="auto"/>
              <w:bottom w:val="single" w:sz="4" w:space="0" w:color="auto"/>
              <w:right w:val="single" w:sz="4" w:space="0" w:color="auto"/>
            </w:tcBorders>
            <w:vAlign w:val="center"/>
            <w:hideMark/>
          </w:tcPr>
          <w:p w14:paraId="56CAEFAA" w14:textId="16825037" w:rsidR="00524E39" w:rsidRPr="002C7499" w:rsidRDefault="00524E39" w:rsidP="00524E39">
            <w:pPr>
              <w:tabs>
                <w:tab w:val="left" w:pos="1134"/>
              </w:tabs>
              <w:suppressAutoHyphens w:val="0"/>
              <w:spacing w:before="40" w:after="40" w:line="220" w:lineRule="exact"/>
              <w:jc w:val="center"/>
              <w:rPr>
                <w:noProof/>
                <w:sz w:val="18"/>
                <w:szCs w:val="18"/>
              </w:rPr>
            </w:pPr>
            <w:r w:rsidRPr="002C7499">
              <w:rPr>
                <w:noProof/>
                <w:sz w:val="18"/>
                <w:szCs w:val="18"/>
              </w:rPr>
              <w:t>01 September</w:t>
            </w:r>
            <w:r w:rsidRPr="002C7499">
              <w:rPr>
                <w:noProof/>
                <w:sz w:val="18"/>
                <w:szCs w:val="18"/>
              </w:rPr>
              <w:br/>
              <w:t>2018</w:t>
            </w:r>
          </w:p>
        </w:tc>
        <w:tc>
          <w:tcPr>
            <w:tcW w:w="473" w:type="pct"/>
            <w:tcBorders>
              <w:top w:val="single" w:sz="4" w:space="0" w:color="auto"/>
              <w:left w:val="single" w:sz="4" w:space="0" w:color="auto"/>
              <w:bottom w:val="single" w:sz="4" w:space="0" w:color="auto"/>
              <w:right w:val="single" w:sz="4" w:space="0" w:color="auto"/>
            </w:tcBorders>
            <w:vAlign w:val="center"/>
          </w:tcPr>
          <w:p w14:paraId="425933EF" w14:textId="1CCD42EE" w:rsidR="00524E39" w:rsidRPr="001B6A8B" w:rsidRDefault="007B3D34" w:rsidP="00524E39">
            <w:pPr>
              <w:tabs>
                <w:tab w:val="left" w:pos="1134"/>
              </w:tabs>
              <w:suppressAutoHyphens w:val="0"/>
              <w:spacing w:before="40" w:after="40" w:line="220" w:lineRule="exact"/>
              <w:ind w:left="113" w:right="113"/>
              <w:jc w:val="center"/>
              <w:rPr>
                <w:b/>
                <w:bCs/>
                <w:noProof/>
                <w:sz w:val="18"/>
                <w:szCs w:val="18"/>
              </w:rPr>
            </w:pPr>
            <w:r w:rsidRPr="001B6A8B">
              <w:rPr>
                <w:b/>
                <w:bCs/>
                <w:noProof/>
                <w:sz w:val="18"/>
                <w:szCs w:val="18"/>
              </w:rPr>
              <w:t>31 December</w:t>
            </w:r>
            <w:r w:rsidRPr="001B6A8B">
              <w:rPr>
                <w:b/>
                <w:bCs/>
                <w:noProof/>
                <w:sz w:val="18"/>
                <w:szCs w:val="18"/>
              </w:rPr>
              <w:br/>
              <w:t>20</w:t>
            </w:r>
            <w:r w:rsidR="007A17C5" w:rsidRPr="001B6A8B">
              <w:rPr>
                <w:b/>
                <w:bCs/>
                <w:noProof/>
                <w:sz w:val="18"/>
                <w:szCs w:val="18"/>
              </w:rPr>
              <w:t>21</w:t>
            </w:r>
          </w:p>
        </w:tc>
      </w:tr>
      <w:tr w:rsidR="009C6287" w:rsidRPr="001B6A8B" w14:paraId="62B378DD" w14:textId="77777777" w:rsidTr="002013A7">
        <w:trPr>
          <w:jc w:val="center"/>
        </w:trPr>
        <w:tc>
          <w:tcPr>
            <w:tcW w:w="391" w:type="pct"/>
            <w:tcBorders>
              <w:top w:val="single" w:sz="4" w:space="0" w:color="auto"/>
              <w:left w:val="single" w:sz="4" w:space="0" w:color="auto"/>
              <w:bottom w:val="single" w:sz="12" w:space="0" w:color="auto"/>
              <w:right w:val="single" w:sz="4" w:space="0" w:color="auto"/>
            </w:tcBorders>
            <w:vAlign w:val="center"/>
          </w:tcPr>
          <w:p w14:paraId="16957346" w14:textId="00EDB9AE" w:rsidR="00524E39" w:rsidRPr="001B6A8B" w:rsidRDefault="00524E39" w:rsidP="00524E39">
            <w:pPr>
              <w:tabs>
                <w:tab w:val="left" w:pos="1134"/>
              </w:tabs>
              <w:suppressAutoHyphens w:val="0"/>
              <w:spacing w:before="40" w:after="40" w:line="220" w:lineRule="exact"/>
              <w:ind w:left="113" w:right="113"/>
              <w:jc w:val="center"/>
              <w:rPr>
                <w:b/>
                <w:bCs/>
                <w:noProof/>
                <w:sz w:val="18"/>
                <w:szCs w:val="18"/>
              </w:rPr>
            </w:pPr>
            <w:r w:rsidRPr="001B6A8B">
              <w:rPr>
                <w:b/>
                <w:bCs/>
                <w:noProof/>
                <w:sz w:val="18"/>
                <w:szCs w:val="18"/>
              </w:rPr>
              <w:t>E</w:t>
            </w:r>
          </w:p>
        </w:tc>
        <w:tc>
          <w:tcPr>
            <w:tcW w:w="487" w:type="pct"/>
            <w:tcBorders>
              <w:top w:val="single" w:sz="4" w:space="0" w:color="auto"/>
              <w:left w:val="single" w:sz="4" w:space="0" w:color="auto"/>
              <w:bottom w:val="single" w:sz="12" w:space="0" w:color="auto"/>
              <w:right w:val="single" w:sz="4" w:space="0" w:color="auto"/>
            </w:tcBorders>
            <w:vAlign w:val="center"/>
          </w:tcPr>
          <w:p w14:paraId="7E73F8CD" w14:textId="6511BB71" w:rsidR="00524E39" w:rsidRPr="001B6A8B" w:rsidRDefault="00524E39" w:rsidP="00524E39">
            <w:pPr>
              <w:tabs>
                <w:tab w:val="left" w:pos="1134"/>
              </w:tabs>
              <w:suppressAutoHyphens w:val="0"/>
              <w:spacing w:before="40" w:after="40" w:line="220" w:lineRule="exact"/>
              <w:ind w:left="113" w:right="113"/>
              <w:jc w:val="center"/>
              <w:rPr>
                <w:b/>
                <w:bCs/>
                <w:noProof/>
                <w:sz w:val="18"/>
                <w:szCs w:val="18"/>
              </w:rPr>
            </w:pPr>
            <w:r w:rsidRPr="001B6A8B">
              <w:rPr>
                <w:b/>
                <w:bCs/>
                <w:noProof/>
                <w:sz w:val="18"/>
                <w:szCs w:val="18"/>
              </w:rPr>
              <w:t>Row "general requirements" of Tables 1 and 2 of Annex 9A</w:t>
            </w:r>
          </w:p>
        </w:tc>
        <w:tc>
          <w:tcPr>
            <w:tcW w:w="541" w:type="pct"/>
            <w:tcBorders>
              <w:top w:val="single" w:sz="4" w:space="0" w:color="auto"/>
              <w:left w:val="single" w:sz="4" w:space="0" w:color="auto"/>
              <w:bottom w:val="single" w:sz="12" w:space="0" w:color="auto"/>
              <w:right w:val="single" w:sz="4" w:space="0" w:color="auto"/>
            </w:tcBorders>
            <w:vAlign w:val="center"/>
          </w:tcPr>
          <w:p w14:paraId="421CCF67" w14:textId="7450D542" w:rsidR="00524E39" w:rsidRPr="001B6A8B" w:rsidRDefault="00524E39" w:rsidP="00524E39">
            <w:pPr>
              <w:tabs>
                <w:tab w:val="left" w:pos="1134"/>
              </w:tabs>
              <w:suppressAutoHyphens w:val="0"/>
              <w:spacing w:before="40" w:after="40" w:line="220" w:lineRule="exact"/>
              <w:ind w:left="113" w:right="113"/>
              <w:jc w:val="center"/>
              <w:rPr>
                <w:b/>
                <w:bCs/>
                <w:noProof/>
                <w:sz w:val="18"/>
                <w:szCs w:val="18"/>
              </w:rPr>
            </w:pPr>
            <w:r w:rsidRPr="001B6A8B">
              <w:rPr>
                <w:b/>
                <w:bCs/>
                <w:noProof/>
                <w:sz w:val="18"/>
                <w:szCs w:val="18"/>
              </w:rPr>
              <w:t>Row "general requirements" of Table 1 of Annex 9A</w:t>
            </w:r>
          </w:p>
        </w:tc>
        <w:tc>
          <w:tcPr>
            <w:tcW w:w="474" w:type="pct"/>
            <w:tcBorders>
              <w:top w:val="single" w:sz="4" w:space="0" w:color="auto"/>
              <w:left w:val="single" w:sz="4" w:space="0" w:color="auto"/>
              <w:bottom w:val="single" w:sz="12" w:space="0" w:color="auto"/>
              <w:right w:val="single" w:sz="4" w:space="0" w:color="auto"/>
            </w:tcBorders>
            <w:vAlign w:val="center"/>
          </w:tcPr>
          <w:p w14:paraId="664D70DE" w14:textId="5C1244CE" w:rsidR="00524E39" w:rsidRPr="001B6A8B" w:rsidRDefault="00524E39" w:rsidP="00524E39">
            <w:pPr>
              <w:tabs>
                <w:tab w:val="left" w:pos="1134"/>
              </w:tabs>
              <w:suppressAutoHyphens w:val="0"/>
              <w:spacing w:before="40" w:after="40" w:line="220" w:lineRule="exact"/>
              <w:ind w:left="113" w:right="113"/>
              <w:jc w:val="center"/>
              <w:rPr>
                <w:b/>
                <w:bCs/>
                <w:noProof/>
                <w:sz w:val="18"/>
                <w:szCs w:val="18"/>
              </w:rPr>
            </w:pPr>
            <w:r w:rsidRPr="001B6A8B">
              <w:rPr>
                <w:b/>
                <w:bCs/>
                <w:noProof/>
                <w:sz w:val="18"/>
                <w:szCs w:val="18"/>
              </w:rPr>
              <w:t>Row "general requirements" of Table 2 of Annex 9A</w:t>
            </w:r>
          </w:p>
        </w:tc>
        <w:tc>
          <w:tcPr>
            <w:tcW w:w="405" w:type="pct"/>
            <w:tcBorders>
              <w:top w:val="single" w:sz="4" w:space="0" w:color="auto"/>
              <w:left w:val="single" w:sz="4" w:space="0" w:color="auto"/>
              <w:bottom w:val="single" w:sz="12" w:space="0" w:color="auto"/>
              <w:right w:val="single" w:sz="4" w:space="0" w:color="auto"/>
            </w:tcBorders>
            <w:vAlign w:val="center"/>
          </w:tcPr>
          <w:p w14:paraId="43EFD54E" w14:textId="43E6682E" w:rsidR="00524E39" w:rsidRPr="001B6A8B" w:rsidRDefault="00524E39" w:rsidP="00524E39">
            <w:pPr>
              <w:tabs>
                <w:tab w:val="left" w:pos="1134"/>
              </w:tabs>
              <w:suppressAutoHyphens w:val="0"/>
              <w:spacing w:before="40" w:after="40" w:line="220" w:lineRule="exact"/>
              <w:ind w:left="113" w:right="113"/>
              <w:jc w:val="center"/>
              <w:rPr>
                <w:b/>
                <w:bCs/>
                <w:noProof/>
                <w:sz w:val="18"/>
                <w:szCs w:val="18"/>
              </w:rPr>
            </w:pPr>
            <w:r w:rsidRPr="001B6A8B">
              <w:rPr>
                <w:b/>
                <w:bCs/>
                <w:noProof/>
                <w:sz w:val="18"/>
                <w:szCs w:val="18"/>
              </w:rPr>
              <w:t>General</w:t>
            </w:r>
            <w:r w:rsidRPr="001B6A8B">
              <w:rPr>
                <w:b/>
                <w:bCs/>
                <w:noProof/>
                <w:sz w:val="18"/>
                <w:szCs w:val="18"/>
                <w:vertAlign w:val="superscript"/>
              </w:rPr>
              <w:t>8</w:t>
            </w:r>
          </w:p>
        </w:tc>
        <w:tc>
          <w:tcPr>
            <w:tcW w:w="405" w:type="pct"/>
            <w:tcBorders>
              <w:top w:val="single" w:sz="4" w:space="0" w:color="auto"/>
              <w:left w:val="single" w:sz="4" w:space="0" w:color="auto"/>
              <w:bottom w:val="single" w:sz="12" w:space="0" w:color="auto"/>
              <w:right w:val="single" w:sz="4" w:space="0" w:color="auto"/>
            </w:tcBorders>
            <w:vAlign w:val="center"/>
          </w:tcPr>
          <w:p w14:paraId="62D6F750" w14:textId="79378247" w:rsidR="00524E39" w:rsidRPr="001B6A8B" w:rsidRDefault="00524E39" w:rsidP="00524E39">
            <w:pPr>
              <w:tabs>
                <w:tab w:val="left" w:pos="1134"/>
              </w:tabs>
              <w:suppressAutoHyphens w:val="0"/>
              <w:spacing w:before="40" w:after="40" w:line="220" w:lineRule="exact"/>
              <w:ind w:left="113" w:right="113"/>
              <w:jc w:val="center"/>
              <w:rPr>
                <w:b/>
                <w:bCs/>
                <w:noProof/>
                <w:sz w:val="18"/>
                <w:szCs w:val="18"/>
              </w:rPr>
            </w:pPr>
            <w:r w:rsidRPr="001B6A8B">
              <w:rPr>
                <w:b/>
                <w:bCs/>
                <w:noProof/>
                <w:sz w:val="18"/>
                <w:szCs w:val="18"/>
              </w:rPr>
              <w:t>General</w:t>
            </w:r>
            <w:r w:rsidRPr="001B6A8B">
              <w:rPr>
                <w:b/>
                <w:bCs/>
                <w:noProof/>
                <w:sz w:val="18"/>
                <w:szCs w:val="18"/>
                <w:vertAlign w:val="superscript"/>
              </w:rPr>
              <w:t>5</w:t>
            </w:r>
          </w:p>
        </w:tc>
        <w:tc>
          <w:tcPr>
            <w:tcW w:w="463" w:type="pct"/>
            <w:tcBorders>
              <w:top w:val="single" w:sz="4" w:space="0" w:color="auto"/>
              <w:left w:val="single" w:sz="4" w:space="0" w:color="auto"/>
              <w:bottom w:val="single" w:sz="12" w:space="0" w:color="auto"/>
              <w:right w:val="single" w:sz="4" w:space="0" w:color="auto"/>
            </w:tcBorders>
            <w:vAlign w:val="center"/>
          </w:tcPr>
          <w:p w14:paraId="6BDA9A11" w14:textId="618DC844" w:rsidR="00524E39" w:rsidRPr="001B6A8B" w:rsidRDefault="00524E39" w:rsidP="00524E39">
            <w:pPr>
              <w:tabs>
                <w:tab w:val="left" w:pos="1134"/>
              </w:tabs>
              <w:suppressAutoHyphens w:val="0"/>
              <w:spacing w:before="40" w:after="40" w:line="220" w:lineRule="exact"/>
              <w:ind w:left="113" w:right="113"/>
              <w:jc w:val="center"/>
              <w:rPr>
                <w:b/>
                <w:bCs/>
                <w:noProof/>
                <w:sz w:val="18"/>
                <w:szCs w:val="18"/>
              </w:rPr>
            </w:pPr>
            <w:r w:rsidRPr="001B6A8B">
              <w:rPr>
                <w:b/>
                <w:bCs/>
                <w:noProof/>
                <w:sz w:val="18"/>
                <w:szCs w:val="18"/>
              </w:rPr>
              <w:t>Yes</w:t>
            </w:r>
          </w:p>
        </w:tc>
        <w:tc>
          <w:tcPr>
            <w:tcW w:w="416" w:type="pct"/>
            <w:tcBorders>
              <w:top w:val="single" w:sz="4" w:space="0" w:color="auto"/>
              <w:left w:val="single" w:sz="4" w:space="0" w:color="auto"/>
              <w:bottom w:val="single" w:sz="12" w:space="0" w:color="auto"/>
              <w:right w:val="single" w:sz="4" w:space="0" w:color="auto"/>
            </w:tcBorders>
            <w:vAlign w:val="center"/>
          </w:tcPr>
          <w:p w14:paraId="3C556E7E" w14:textId="1748B6E4" w:rsidR="00524E39" w:rsidRPr="001B6A8B" w:rsidRDefault="00524E39" w:rsidP="00524E39">
            <w:pPr>
              <w:tabs>
                <w:tab w:val="left" w:pos="1134"/>
              </w:tabs>
              <w:suppressAutoHyphens w:val="0"/>
              <w:spacing w:before="40" w:after="40" w:line="220" w:lineRule="exact"/>
              <w:jc w:val="center"/>
              <w:rPr>
                <w:b/>
                <w:bCs/>
                <w:noProof/>
                <w:sz w:val="18"/>
                <w:szCs w:val="18"/>
              </w:rPr>
            </w:pPr>
            <w:r w:rsidRPr="001B6A8B">
              <w:rPr>
                <w:b/>
                <w:bCs/>
                <w:noProof/>
                <w:sz w:val="18"/>
                <w:szCs w:val="18"/>
              </w:rPr>
              <w:t>10%</w:t>
            </w:r>
          </w:p>
        </w:tc>
        <w:tc>
          <w:tcPr>
            <w:tcW w:w="405" w:type="pct"/>
            <w:tcBorders>
              <w:top w:val="single" w:sz="4" w:space="0" w:color="auto"/>
              <w:left w:val="single" w:sz="4" w:space="0" w:color="auto"/>
              <w:bottom w:val="single" w:sz="12" w:space="0" w:color="auto"/>
              <w:right w:val="single" w:sz="4" w:space="0" w:color="auto"/>
            </w:tcBorders>
            <w:vAlign w:val="center"/>
          </w:tcPr>
          <w:p w14:paraId="67F71BA8" w14:textId="74346C1F" w:rsidR="00524E39" w:rsidRPr="001B6A8B" w:rsidRDefault="00524E39" w:rsidP="00524E39">
            <w:pPr>
              <w:tabs>
                <w:tab w:val="left" w:pos="1134"/>
              </w:tabs>
              <w:suppressAutoHyphens w:val="0"/>
              <w:spacing w:before="40" w:after="40" w:line="220" w:lineRule="exact"/>
              <w:jc w:val="center"/>
              <w:rPr>
                <w:b/>
                <w:bCs/>
                <w:noProof/>
                <w:sz w:val="18"/>
                <w:szCs w:val="18"/>
              </w:rPr>
            </w:pPr>
            <w:r w:rsidRPr="001B6A8B">
              <w:rPr>
                <w:b/>
                <w:bCs/>
                <w:noProof/>
                <w:sz w:val="18"/>
                <w:szCs w:val="18"/>
              </w:rPr>
              <w:t>Yes</w:t>
            </w:r>
          </w:p>
        </w:tc>
        <w:tc>
          <w:tcPr>
            <w:tcW w:w="541" w:type="pct"/>
            <w:tcBorders>
              <w:top w:val="single" w:sz="4" w:space="0" w:color="auto"/>
              <w:left w:val="single" w:sz="4" w:space="0" w:color="auto"/>
              <w:bottom w:val="single" w:sz="12" w:space="0" w:color="auto"/>
              <w:right w:val="single" w:sz="4" w:space="0" w:color="auto"/>
            </w:tcBorders>
            <w:vAlign w:val="center"/>
          </w:tcPr>
          <w:p w14:paraId="30549316" w14:textId="3189AD46" w:rsidR="00524E39" w:rsidRPr="001B6A8B" w:rsidRDefault="00217411" w:rsidP="00524E39">
            <w:pPr>
              <w:tabs>
                <w:tab w:val="left" w:pos="1134"/>
              </w:tabs>
              <w:suppressAutoHyphens w:val="0"/>
              <w:spacing w:before="40" w:after="40" w:line="220" w:lineRule="exact"/>
              <w:jc w:val="center"/>
              <w:rPr>
                <w:b/>
                <w:bCs/>
                <w:noProof/>
                <w:sz w:val="18"/>
                <w:szCs w:val="18"/>
              </w:rPr>
            </w:pPr>
            <w:r w:rsidRPr="001B6A8B">
              <w:rPr>
                <w:b/>
                <w:bCs/>
                <w:noProof/>
                <w:sz w:val="18"/>
                <w:szCs w:val="18"/>
              </w:rPr>
              <w:t>[Date of entry into force of 07 series of UN Regulation No. 49</w:t>
            </w:r>
            <w:r w:rsidR="00144CC5" w:rsidRPr="001B6A8B">
              <w:rPr>
                <w:b/>
                <w:bCs/>
                <w:noProof/>
                <w:sz w:val="18"/>
                <w:szCs w:val="18"/>
                <w:vertAlign w:val="superscript"/>
              </w:rPr>
              <w:t>15</w:t>
            </w:r>
            <w:r w:rsidRPr="001B6A8B">
              <w:rPr>
                <w:b/>
                <w:bCs/>
                <w:noProof/>
                <w:sz w:val="18"/>
                <w:szCs w:val="18"/>
              </w:rPr>
              <w:t>]</w:t>
            </w:r>
            <w:r w:rsidR="00144CC5" w:rsidRPr="001B6A8B">
              <w:rPr>
                <w:rStyle w:val="FootnoteReference"/>
                <w:b/>
                <w:bCs/>
                <w:noProof/>
                <w:szCs w:val="18"/>
              </w:rPr>
              <w:footnoteReference w:id="3"/>
            </w:r>
          </w:p>
        </w:tc>
        <w:tc>
          <w:tcPr>
            <w:tcW w:w="473" w:type="pct"/>
            <w:tcBorders>
              <w:top w:val="single" w:sz="4" w:space="0" w:color="auto"/>
              <w:left w:val="single" w:sz="4" w:space="0" w:color="auto"/>
              <w:bottom w:val="single" w:sz="12" w:space="0" w:color="auto"/>
              <w:right w:val="single" w:sz="4" w:space="0" w:color="auto"/>
            </w:tcBorders>
            <w:vAlign w:val="center"/>
          </w:tcPr>
          <w:p w14:paraId="379B7A66" w14:textId="1E3DDA0A" w:rsidR="00524E39" w:rsidRPr="001B6A8B" w:rsidRDefault="00524E39" w:rsidP="00524E39">
            <w:pPr>
              <w:tabs>
                <w:tab w:val="left" w:pos="1134"/>
              </w:tabs>
              <w:suppressAutoHyphens w:val="0"/>
              <w:spacing w:before="40" w:after="40" w:line="220" w:lineRule="exact"/>
              <w:ind w:left="113" w:right="113"/>
              <w:jc w:val="center"/>
              <w:rPr>
                <w:b/>
                <w:bCs/>
                <w:noProof/>
                <w:sz w:val="18"/>
                <w:szCs w:val="18"/>
              </w:rPr>
            </w:pPr>
          </w:p>
        </w:tc>
      </w:tr>
    </w:tbl>
    <w:p w14:paraId="356F708B" w14:textId="77777777" w:rsidR="00B135C9" w:rsidRPr="002C7499" w:rsidRDefault="00B135C9" w:rsidP="00C4076B">
      <w:pPr>
        <w:tabs>
          <w:tab w:val="left" w:pos="1134"/>
        </w:tabs>
        <w:autoSpaceDE w:val="0"/>
        <w:autoSpaceDN w:val="0"/>
        <w:adjustRightInd w:val="0"/>
        <w:spacing w:before="120" w:line="240" w:lineRule="auto"/>
        <w:rPr>
          <w:sz w:val="18"/>
          <w:szCs w:val="18"/>
          <w:lang w:val="fi-FI" w:eastAsia="en-GB"/>
        </w:rPr>
      </w:pPr>
      <w:r w:rsidRPr="002C7499">
        <w:rPr>
          <w:bCs/>
          <w:i/>
          <w:iCs/>
          <w:sz w:val="18"/>
          <w:szCs w:val="18"/>
          <w:lang w:eastAsia="en-GB"/>
        </w:rPr>
        <w:t>Notes:</w:t>
      </w:r>
    </w:p>
    <w:p w14:paraId="0F3D48C2" w14:textId="6DDBA891" w:rsidR="00B135C9" w:rsidRPr="002C7499" w:rsidRDefault="00B135C9" w:rsidP="00E54AA5">
      <w:pPr>
        <w:tabs>
          <w:tab w:val="left" w:pos="1134"/>
        </w:tabs>
        <w:ind w:left="142" w:hanging="153"/>
        <w:jc w:val="both"/>
        <w:rPr>
          <w:sz w:val="18"/>
          <w:szCs w:val="18"/>
          <w:lang w:eastAsia="fi-FI"/>
        </w:rPr>
      </w:pPr>
      <w:r w:rsidRPr="002C7499">
        <w:rPr>
          <w:sz w:val="18"/>
          <w:szCs w:val="18"/>
          <w:vertAlign w:val="superscript"/>
        </w:rPr>
        <w:t>1</w:t>
      </w:r>
      <w:r w:rsidR="003569B6">
        <w:rPr>
          <w:sz w:val="18"/>
          <w:szCs w:val="18"/>
          <w:vertAlign w:val="superscript"/>
        </w:rPr>
        <w:tab/>
      </w:r>
      <w:r w:rsidRPr="002C7499">
        <w:rPr>
          <w:sz w:val="18"/>
          <w:szCs w:val="18"/>
        </w:rPr>
        <w:t>"NO</w:t>
      </w:r>
      <w:r w:rsidRPr="002C7499">
        <w:rPr>
          <w:sz w:val="18"/>
          <w:szCs w:val="18"/>
          <w:vertAlign w:val="subscript"/>
        </w:rPr>
        <w:t>x</w:t>
      </w:r>
      <w:r w:rsidRPr="002C7499">
        <w:rPr>
          <w:sz w:val="18"/>
          <w:szCs w:val="18"/>
        </w:rPr>
        <w:t xml:space="preserve"> OTL" monitoring requirements as set out in Table 1 of Annex 9A for compression ignition and dual-fuel engines and vehicles and in Table 2 of Annex 9A for positive ignition engines and vehicles.</w:t>
      </w:r>
    </w:p>
    <w:p w14:paraId="3D1D0029" w14:textId="7372851F" w:rsidR="00B135C9" w:rsidRPr="002C7499" w:rsidRDefault="00B135C9" w:rsidP="00E54AA5">
      <w:pPr>
        <w:tabs>
          <w:tab w:val="left" w:pos="1134"/>
        </w:tabs>
        <w:ind w:left="142" w:hanging="153"/>
        <w:jc w:val="both"/>
        <w:rPr>
          <w:sz w:val="18"/>
          <w:szCs w:val="18"/>
        </w:rPr>
      </w:pPr>
      <w:r w:rsidRPr="002C7499">
        <w:rPr>
          <w:sz w:val="18"/>
          <w:szCs w:val="18"/>
          <w:vertAlign w:val="superscript"/>
        </w:rPr>
        <w:t xml:space="preserve">2 </w:t>
      </w:r>
      <w:r w:rsidR="00E54AA5">
        <w:rPr>
          <w:sz w:val="18"/>
          <w:szCs w:val="18"/>
          <w:vertAlign w:val="superscript"/>
        </w:rPr>
        <w:tab/>
      </w:r>
      <w:r w:rsidRPr="002C7499">
        <w:rPr>
          <w:sz w:val="18"/>
          <w:szCs w:val="18"/>
        </w:rPr>
        <w:t>"PM OTL" monitoring requirements as set out in Table 1 of Annex 9A for compression ignition and dual-fuel engines and vehicles.</w:t>
      </w:r>
    </w:p>
    <w:p w14:paraId="1C9BFBE4" w14:textId="78A8A16D" w:rsidR="00B135C9" w:rsidRPr="002C7499" w:rsidRDefault="00B135C9" w:rsidP="00E54AA5">
      <w:pPr>
        <w:tabs>
          <w:tab w:val="left" w:pos="1134"/>
        </w:tabs>
        <w:ind w:left="142" w:hanging="153"/>
        <w:jc w:val="both"/>
        <w:rPr>
          <w:sz w:val="18"/>
          <w:szCs w:val="18"/>
        </w:rPr>
      </w:pPr>
      <w:r w:rsidRPr="002C7499">
        <w:rPr>
          <w:sz w:val="18"/>
          <w:szCs w:val="18"/>
          <w:vertAlign w:val="superscript"/>
        </w:rPr>
        <w:t xml:space="preserve">3 </w:t>
      </w:r>
      <w:r w:rsidR="00E54AA5">
        <w:rPr>
          <w:sz w:val="18"/>
          <w:szCs w:val="18"/>
          <w:vertAlign w:val="superscript"/>
        </w:rPr>
        <w:tab/>
      </w:r>
      <w:r w:rsidRPr="002C7499">
        <w:rPr>
          <w:sz w:val="18"/>
          <w:szCs w:val="18"/>
        </w:rPr>
        <w:t>"Performance monitoring" requirements as set out in paragraph 2.3.2.2. of Annex 9A.</w:t>
      </w:r>
    </w:p>
    <w:p w14:paraId="271B08E3" w14:textId="2892815C" w:rsidR="00B135C9" w:rsidRPr="002C7499" w:rsidRDefault="00B135C9" w:rsidP="00E54AA5">
      <w:pPr>
        <w:tabs>
          <w:tab w:val="left" w:pos="1134"/>
        </w:tabs>
        <w:ind w:left="142" w:hanging="153"/>
        <w:jc w:val="both"/>
        <w:rPr>
          <w:sz w:val="18"/>
          <w:szCs w:val="18"/>
        </w:rPr>
      </w:pPr>
      <w:r w:rsidRPr="002C7499">
        <w:rPr>
          <w:sz w:val="18"/>
          <w:szCs w:val="18"/>
          <w:vertAlign w:val="superscript"/>
        </w:rPr>
        <w:t xml:space="preserve">4 </w:t>
      </w:r>
      <w:r w:rsidR="00E54AA5">
        <w:rPr>
          <w:sz w:val="18"/>
          <w:szCs w:val="18"/>
        </w:rPr>
        <w:tab/>
      </w:r>
      <w:r w:rsidRPr="002C7499">
        <w:rPr>
          <w:sz w:val="18"/>
          <w:szCs w:val="18"/>
        </w:rPr>
        <w:t>Reagent quality "phase-in" requirements as set out in paragraph 7.1.1.1. of Annex 11.</w:t>
      </w:r>
    </w:p>
    <w:p w14:paraId="5330A2A3" w14:textId="26A590C7" w:rsidR="00B135C9" w:rsidRPr="002C7499" w:rsidRDefault="00B135C9" w:rsidP="00E54AA5">
      <w:pPr>
        <w:tabs>
          <w:tab w:val="left" w:pos="1134"/>
        </w:tabs>
        <w:ind w:left="142" w:hanging="153"/>
        <w:jc w:val="both"/>
        <w:rPr>
          <w:sz w:val="18"/>
          <w:szCs w:val="18"/>
        </w:rPr>
      </w:pPr>
      <w:r w:rsidRPr="002C7499">
        <w:rPr>
          <w:sz w:val="18"/>
          <w:szCs w:val="18"/>
          <w:vertAlign w:val="superscript"/>
        </w:rPr>
        <w:t>5</w:t>
      </w:r>
      <w:r w:rsidR="00E54AA5">
        <w:rPr>
          <w:sz w:val="18"/>
          <w:szCs w:val="18"/>
          <w:vertAlign w:val="superscript"/>
        </w:rPr>
        <w:tab/>
      </w:r>
      <w:r w:rsidRPr="002C7499">
        <w:rPr>
          <w:sz w:val="18"/>
          <w:szCs w:val="18"/>
          <w:vertAlign w:val="superscript"/>
        </w:rPr>
        <w:t xml:space="preserve"> </w:t>
      </w:r>
      <w:r w:rsidRPr="002C7499">
        <w:rPr>
          <w:sz w:val="18"/>
          <w:szCs w:val="18"/>
        </w:rPr>
        <w:t>Reagent quality "general" requirements as set out in paragraph 7.1.1. of Annex 11.</w:t>
      </w:r>
    </w:p>
    <w:p w14:paraId="0BDC2D92" w14:textId="51106B2E" w:rsidR="00B135C9" w:rsidRPr="002C7499" w:rsidRDefault="00B135C9" w:rsidP="00E54AA5">
      <w:pPr>
        <w:tabs>
          <w:tab w:val="left" w:pos="1134"/>
        </w:tabs>
        <w:ind w:left="142" w:hanging="153"/>
        <w:jc w:val="both"/>
        <w:rPr>
          <w:sz w:val="18"/>
          <w:szCs w:val="18"/>
        </w:rPr>
      </w:pPr>
      <w:r w:rsidRPr="002C7499">
        <w:rPr>
          <w:sz w:val="18"/>
          <w:szCs w:val="18"/>
          <w:vertAlign w:val="superscript"/>
        </w:rPr>
        <w:t xml:space="preserve">6 </w:t>
      </w:r>
      <w:r w:rsidR="00E54AA5">
        <w:rPr>
          <w:sz w:val="18"/>
          <w:szCs w:val="18"/>
          <w:vertAlign w:val="superscript"/>
        </w:rPr>
        <w:tab/>
      </w:r>
      <w:r w:rsidRPr="002C7499">
        <w:rPr>
          <w:sz w:val="18"/>
          <w:szCs w:val="18"/>
        </w:rPr>
        <w:t>"CO OTL" monitoring requirements as set out in Table 2 of Annex 9A for positive ignition engines and vehicles.</w:t>
      </w:r>
    </w:p>
    <w:p w14:paraId="18CCF22A" w14:textId="7B592563" w:rsidR="00B135C9" w:rsidRPr="002C7499" w:rsidRDefault="00B135C9" w:rsidP="00E54AA5">
      <w:pPr>
        <w:tabs>
          <w:tab w:val="left" w:pos="1134"/>
        </w:tabs>
        <w:ind w:left="142" w:hanging="153"/>
        <w:jc w:val="both"/>
        <w:rPr>
          <w:sz w:val="18"/>
          <w:szCs w:val="18"/>
        </w:rPr>
      </w:pPr>
      <w:r w:rsidRPr="002C7499">
        <w:rPr>
          <w:sz w:val="18"/>
          <w:szCs w:val="18"/>
          <w:vertAlign w:val="superscript"/>
        </w:rPr>
        <w:t xml:space="preserve">7 </w:t>
      </w:r>
      <w:r w:rsidR="00E54AA5">
        <w:rPr>
          <w:sz w:val="18"/>
          <w:szCs w:val="18"/>
          <w:vertAlign w:val="superscript"/>
        </w:rPr>
        <w:tab/>
      </w:r>
      <w:r w:rsidRPr="002C7499">
        <w:rPr>
          <w:sz w:val="18"/>
          <w:szCs w:val="18"/>
        </w:rPr>
        <w:t>Excluding the statement required by paragraph 6.4.1. of Annex 9A.</w:t>
      </w:r>
    </w:p>
    <w:p w14:paraId="0972EA9C" w14:textId="5BF7FAB5" w:rsidR="00B135C9" w:rsidRPr="002C7499" w:rsidRDefault="00B135C9" w:rsidP="00E54AA5">
      <w:pPr>
        <w:tabs>
          <w:tab w:val="left" w:pos="1134"/>
        </w:tabs>
        <w:ind w:left="142" w:hanging="153"/>
        <w:jc w:val="both"/>
        <w:rPr>
          <w:sz w:val="18"/>
          <w:szCs w:val="18"/>
        </w:rPr>
      </w:pPr>
      <w:r w:rsidRPr="002C7499">
        <w:rPr>
          <w:sz w:val="18"/>
          <w:szCs w:val="18"/>
          <w:vertAlign w:val="superscript"/>
        </w:rPr>
        <w:t xml:space="preserve">8 </w:t>
      </w:r>
      <w:r w:rsidR="00E54AA5">
        <w:rPr>
          <w:sz w:val="18"/>
          <w:szCs w:val="18"/>
          <w:vertAlign w:val="superscript"/>
        </w:rPr>
        <w:tab/>
      </w:r>
      <w:r w:rsidRPr="002C7499">
        <w:rPr>
          <w:sz w:val="18"/>
          <w:szCs w:val="18"/>
        </w:rPr>
        <w:t>Including the statement required by paragraph 6.4.1. of Annex 9A.</w:t>
      </w:r>
    </w:p>
    <w:p w14:paraId="189F22BD" w14:textId="3BBB4027" w:rsidR="00B135C9" w:rsidRPr="002C7499" w:rsidRDefault="00B135C9" w:rsidP="00E54AA5">
      <w:pPr>
        <w:tabs>
          <w:tab w:val="left" w:pos="1134"/>
        </w:tabs>
        <w:ind w:left="142" w:hanging="153"/>
        <w:jc w:val="both"/>
        <w:rPr>
          <w:sz w:val="18"/>
          <w:szCs w:val="18"/>
        </w:rPr>
      </w:pPr>
      <w:r w:rsidRPr="002C7499">
        <w:rPr>
          <w:sz w:val="18"/>
          <w:szCs w:val="18"/>
          <w:vertAlign w:val="superscript"/>
        </w:rPr>
        <w:t>9</w:t>
      </w:r>
      <w:r w:rsidR="00E54AA5">
        <w:rPr>
          <w:sz w:val="18"/>
          <w:szCs w:val="18"/>
          <w:vertAlign w:val="superscript"/>
        </w:rPr>
        <w:tab/>
      </w:r>
      <w:r w:rsidRPr="002C7499">
        <w:rPr>
          <w:sz w:val="18"/>
          <w:szCs w:val="18"/>
          <w:vertAlign w:val="superscript"/>
        </w:rPr>
        <w:t xml:space="preserve"> </w:t>
      </w:r>
      <w:r w:rsidRPr="002C7499">
        <w:rPr>
          <w:sz w:val="18"/>
          <w:szCs w:val="18"/>
        </w:rPr>
        <w:t>For positive-ignition engines and vehicles.</w:t>
      </w:r>
    </w:p>
    <w:p w14:paraId="2C046BC0" w14:textId="590CC532" w:rsidR="00B135C9" w:rsidRPr="002C7499" w:rsidRDefault="00B135C9" w:rsidP="00E54AA5">
      <w:pPr>
        <w:ind w:left="142" w:hanging="153"/>
        <w:jc w:val="both"/>
        <w:rPr>
          <w:sz w:val="18"/>
          <w:szCs w:val="18"/>
        </w:rPr>
      </w:pPr>
      <w:r w:rsidRPr="002C7499">
        <w:rPr>
          <w:sz w:val="18"/>
          <w:szCs w:val="18"/>
          <w:vertAlign w:val="superscript"/>
        </w:rPr>
        <w:t>10</w:t>
      </w:r>
      <w:r w:rsidR="00E54AA5">
        <w:rPr>
          <w:sz w:val="18"/>
          <w:szCs w:val="18"/>
          <w:vertAlign w:val="superscript"/>
        </w:rPr>
        <w:tab/>
      </w:r>
      <w:r w:rsidRPr="002C7499">
        <w:rPr>
          <w:sz w:val="18"/>
          <w:szCs w:val="18"/>
        </w:rPr>
        <w:t>For compression-ignition and dual-fuel engines and vehicles.</w:t>
      </w:r>
    </w:p>
    <w:p w14:paraId="40A67C57" w14:textId="46A87069" w:rsidR="00B135C9" w:rsidRPr="002C7499" w:rsidRDefault="00B135C9" w:rsidP="00E54AA5">
      <w:pPr>
        <w:tabs>
          <w:tab w:val="left" w:pos="1134"/>
        </w:tabs>
        <w:ind w:left="142" w:hanging="156"/>
        <w:jc w:val="both"/>
        <w:rPr>
          <w:sz w:val="18"/>
          <w:szCs w:val="18"/>
        </w:rPr>
      </w:pPr>
      <w:r w:rsidRPr="002C7499">
        <w:rPr>
          <w:sz w:val="18"/>
          <w:szCs w:val="18"/>
          <w:vertAlign w:val="superscript"/>
        </w:rPr>
        <w:t>11</w:t>
      </w:r>
      <w:r w:rsidR="00E54AA5">
        <w:rPr>
          <w:sz w:val="18"/>
          <w:szCs w:val="18"/>
          <w:vertAlign w:val="superscript"/>
        </w:rPr>
        <w:tab/>
      </w:r>
      <w:r w:rsidRPr="002C7499">
        <w:rPr>
          <w:sz w:val="18"/>
          <w:szCs w:val="18"/>
        </w:rPr>
        <w:t>Only applicable to positive-ignition engines and vehicles.</w:t>
      </w:r>
    </w:p>
    <w:p w14:paraId="4DFCFC68" w14:textId="2289AD79" w:rsidR="00B135C9" w:rsidRPr="002C7499" w:rsidRDefault="00B135C9" w:rsidP="00E54AA5">
      <w:pPr>
        <w:tabs>
          <w:tab w:val="left" w:pos="1134"/>
        </w:tabs>
        <w:ind w:left="142" w:hanging="156"/>
        <w:jc w:val="both"/>
        <w:rPr>
          <w:sz w:val="18"/>
          <w:szCs w:val="18"/>
        </w:rPr>
      </w:pPr>
      <w:r w:rsidRPr="002C7499">
        <w:rPr>
          <w:sz w:val="18"/>
          <w:szCs w:val="18"/>
          <w:vertAlign w:val="superscript"/>
        </w:rPr>
        <w:t>12</w:t>
      </w:r>
      <w:r w:rsidR="00E54AA5">
        <w:rPr>
          <w:sz w:val="18"/>
          <w:szCs w:val="18"/>
          <w:vertAlign w:val="superscript"/>
        </w:rPr>
        <w:tab/>
      </w:r>
      <w:r w:rsidRPr="002C7499">
        <w:rPr>
          <w:sz w:val="18"/>
          <w:szCs w:val="18"/>
        </w:rPr>
        <w:t>"Additional provisions concerning monitoring requirements" as set out in paragraph 2.3.1.2. of Annex 9A.</w:t>
      </w:r>
    </w:p>
    <w:p w14:paraId="7D6C03B6" w14:textId="5B4700A7" w:rsidR="00B135C9" w:rsidRPr="002C7499" w:rsidRDefault="00B135C9" w:rsidP="00E54AA5">
      <w:pPr>
        <w:tabs>
          <w:tab w:val="left" w:pos="1134"/>
        </w:tabs>
        <w:ind w:left="142" w:hanging="156"/>
        <w:jc w:val="both"/>
        <w:rPr>
          <w:sz w:val="18"/>
          <w:szCs w:val="18"/>
        </w:rPr>
      </w:pPr>
      <w:r w:rsidRPr="002C7499">
        <w:rPr>
          <w:sz w:val="18"/>
          <w:szCs w:val="18"/>
          <w:vertAlign w:val="superscript"/>
        </w:rPr>
        <w:t>13</w:t>
      </w:r>
      <w:r w:rsidR="00E54AA5">
        <w:rPr>
          <w:sz w:val="18"/>
          <w:szCs w:val="18"/>
          <w:vertAlign w:val="superscript"/>
        </w:rPr>
        <w:tab/>
      </w:r>
      <w:r w:rsidRPr="002C7499">
        <w:rPr>
          <w:sz w:val="18"/>
          <w:szCs w:val="18"/>
        </w:rPr>
        <w:t>IUPR specifications are set out in Annexes 9A and 9C of this Regulation. PI engines are not subjected to IUPR."</w:t>
      </w:r>
    </w:p>
    <w:p w14:paraId="21B892E8" w14:textId="4B136A06" w:rsidR="00D973B6" w:rsidRPr="001B6A8B" w:rsidRDefault="00B135C9" w:rsidP="00E54AA5">
      <w:pPr>
        <w:suppressAutoHyphens w:val="0"/>
        <w:spacing w:line="240" w:lineRule="auto"/>
        <w:ind w:left="142" w:hanging="156"/>
        <w:rPr>
          <w:b/>
          <w:bCs/>
        </w:rPr>
      </w:pPr>
      <w:r w:rsidRPr="002C7499">
        <w:rPr>
          <w:sz w:val="18"/>
          <w:szCs w:val="18"/>
          <w:vertAlign w:val="superscript"/>
        </w:rPr>
        <w:t>14</w:t>
      </w:r>
      <w:r w:rsidR="00E54AA5">
        <w:rPr>
          <w:sz w:val="18"/>
          <w:szCs w:val="18"/>
          <w:vertAlign w:val="superscript"/>
        </w:rPr>
        <w:tab/>
      </w:r>
      <w:r w:rsidRPr="002C7499">
        <w:rPr>
          <w:sz w:val="18"/>
          <w:szCs w:val="18"/>
        </w:rPr>
        <w:t>ISC requirement set out in Appendix 1 to Annex 8</w:t>
      </w:r>
      <w:r w:rsidRPr="002C7499">
        <w:t>.</w:t>
      </w:r>
    </w:p>
    <w:p w14:paraId="3C445A3F" w14:textId="57D5C26F" w:rsidR="00144CC5" w:rsidRPr="002C7499" w:rsidRDefault="00D973B6" w:rsidP="00E54AA5">
      <w:pPr>
        <w:suppressAutoHyphens w:val="0"/>
        <w:spacing w:line="240" w:lineRule="auto"/>
        <w:ind w:left="142" w:hanging="156"/>
        <w:rPr>
          <w:sz w:val="18"/>
          <w:szCs w:val="18"/>
          <w:lang w:eastAsia="en-GB"/>
        </w:rPr>
      </w:pPr>
      <w:r w:rsidRPr="001B6A8B">
        <w:rPr>
          <w:b/>
          <w:bCs/>
          <w:sz w:val="18"/>
          <w:szCs w:val="18"/>
          <w:vertAlign w:val="superscript"/>
        </w:rPr>
        <w:t>15</w:t>
      </w:r>
      <w:r w:rsidR="00E54AA5">
        <w:rPr>
          <w:b/>
          <w:bCs/>
          <w:sz w:val="18"/>
          <w:szCs w:val="18"/>
        </w:rPr>
        <w:tab/>
      </w:r>
      <w:r w:rsidRPr="001B6A8B">
        <w:rPr>
          <w:b/>
          <w:bCs/>
          <w:sz w:val="18"/>
          <w:szCs w:val="18"/>
          <w:lang w:eastAsia="en-GB"/>
        </w:rPr>
        <w:t>Subject to transitional measures laid down in paragraph 13.</w:t>
      </w:r>
      <w:r w:rsidR="00FE3668" w:rsidRPr="001B6A8B">
        <w:rPr>
          <w:b/>
          <w:bCs/>
          <w:sz w:val="18"/>
          <w:szCs w:val="18"/>
          <w:lang w:eastAsia="en-GB"/>
        </w:rPr>
        <w:t>2</w:t>
      </w:r>
      <w:r w:rsidRPr="001B6A8B">
        <w:rPr>
          <w:b/>
          <w:bCs/>
          <w:sz w:val="18"/>
          <w:szCs w:val="18"/>
          <w:lang w:eastAsia="en-GB"/>
        </w:rPr>
        <w:t>.</w:t>
      </w:r>
      <w:r w:rsidR="00E019AB" w:rsidRPr="001B6A8B">
        <w:rPr>
          <w:b/>
          <w:bCs/>
          <w:sz w:val="18"/>
          <w:szCs w:val="18"/>
          <w:lang w:eastAsia="en-GB"/>
        </w:rPr>
        <w:t>2.</w:t>
      </w:r>
      <w:r w:rsidRPr="001B6A8B">
        <w:rPr>
          <w:b/>
          <w:bCs/>
          <w:sz w:val="18"/>
          <w:szCs w:val="18"/>
          <w:lang w:eastAsia="en-GB"/>
        </w:rPr>
        <w:t xml:space="preserve"> of this Regulation.</w:t>
      </w:r>
    </w:p>
    <w:p w14:paraId="173E602D" w14:textId="329F47DD" w:rsidR="00963F45" w:rsidRPr="002C7499" w:rsidRDefault="001067C8" w:rsidP="008312C9">
      <w:pPr>
        <w:pStyle w:val="SingleTxtG"/>
        <w:jc w:val="right"/>
        <w:rPr>
          <w:color w:val="000000" w:themeColor="text1"/>
        </w:rPr>
      </w:pPr>
      <w:r w:rsidRPr="002C7499">
        <w:rPr>
          <w:color w:val="000000" w:themeColor="text1"/>
        </w:rPr>
        <w:t>"</w:t>
      </w:r>
    </w:p>
    <w:p w14:paraId="3D24676A" w14:textId="414EC55A" w:rsidR="00807814" w:rsidRPr="002C7499" w:rsidRDefault="00807814" w:rsidP="00B5134F">
      <w:pPr>
        <w:pStyle w:val="SingleTxtG"/>
        <w:rPr>
          <w:i/>
          <w:iCs/>
          <w:lang w:eastAsia="de-DE"/>
        </w:rPr>
      </w:pPr>
      <w:r w:rsidRPr="002C7499">
        <w:rPr>
          <w:i/>
          <w:iCs/>
          <w:lang w:eastAsia="de-DE"/>
        </w:rPr>
        <w:t xml:space="preserve">Annex </w:t>
      </w:r>
      <w:r w:rsidR="00243547" w:rsidRPr="002C7499">
        <w:rPr>
          <w:i/>
          <w:iCs/>
          <w:lang w:eastAsia="de-DE"/>
        </w:rPr>
        <w:t>8</w:t>
      </w:r>
    </w:p>
    <w:p w14:paraId="38A0288C" w14:textId="4544A1D3" w:rsidR="00807814" w:rsidRPr="002C7499" w:rsidRDefault="00CA54D7" w:rsidP="00B5134F">
      <w:pPr>
        <w:pStyle w:val="SingleTxtG"/>
        <w:rPr>
          <w:color w:val="000000" w:themeColor="text1"/>
        </w:rPr>
      </w:pPr>
      <w:r w:rsidRPr="002C7499">
        <w:rPr>
          <w:i/>
          <w:iCs/>
          <w:color w:val="000000" w:themeColor="text1"/>
        </w:rPr>
        <w:t xml:space="preserve">Paragraph </w:t>
      </w:r>
      <w:r w:rsidR="003D7F40" w:rsidRPr="002C7499">
        <w:rPr>
          <w:i/>
          <w:iCs/>
          <w:color w:val="000000" w:themeColor="text1"/>
        </w:rPr>
        <w:t>4.1.</w:t>
      </w:r>
      <w:r w:rsidR="001D2398" w:rsidRPr="002C7499">
        <w:rPr>
          <w:color w:val="000000" w:themeColor="text1"/>
        </w:rPr>
        <w:t>,</w:t>
      </w:r>
      <w:r w:rsidR="003D7F40" w:rsidRPr="002C7499">
        <w:rPr>
          <w:color w:val="000000" w:themeColor="text1"/>
        </w:rPr>
        <w:t xml:space="preserve"> amend</w:t>
      </w:r>
      <w:r w:rsidR="00807814" w:rsidRPr="002C7499">
        <w:rPr>
          <w:color w:val="000000" w:themeColor="text1"/>
        </w:rPr>
        <w:t xml:space="preserve"> to read:</w:t>
      </w:r>
    </w:p>
    <w:p w14:paraId="353D728D" w14:textId="32F53C74" w:rsidR="00584512" w:rsidRPr="002C7499" w:rsidRDefault="00807814" w:rsidP="001D2398">
      <w:pPr>
        <w:pStyle w:val="SingleTxtG"/>
        <w:ind w:left="2268" w:hanging="1134"/>
        <w:rPr>
          <w:rFonts w:eastAsia="MS Mincho"/>
          <w:lang w:eastAsia="fi-FI"/>
        </w:rPr>
      </w:pPr>
      <w:r w:rsidRPr="002C7499">
        <w:rPr>
          <w:color w:val="000000" w:themeColor="text1"/>
        </w:rPr>
        <w:t>"</w:t>
      </w:r>
      <w:r w:rsidR="00584512" w:rsidRPr="002C7499">
        <w:rPr>
          <w:rFonts w:eastAsia="MS Mincho"/>
          <w:lang w:eastAsia="fi-FI"/>
        </w:rPr>
        <w:t>4.1.</w:t>
      </w:r>
      <w:r w:rsidR="001D2398" w:rsidRPr="002C7499">
        <w:rPr>
          <w:rFonts w:eastAsia="MS Mincho"/>
          <w:lang w:eastAsia="fi-FI"/>
        </w:rPr>
        <w:tab/>
      </w:r>
      <w:r w:rsidR="00584512" w:rsidRPr="002C7499">
        <w:rPr>
          <w:rFonts w:eastAsia="MS Mincho"/>
          <w:lang w:eastAsia="fi-FI"/>
        </w:rPr>
        <w:t>Vehicle payload</w:t>
      </w:r>
    </w:p>
    <w:p w14:paraId="116054F5" w14:textId="77777777" w:rsidR="00584512" w:rsidRPr="002C7499" w:rsidRDefault="00584512" w:rsidP="001D2398">
      <w:pPr>
        <w:pStyle w:val="SingleTxtG"/>
        <w:ind w:left="2268"/>
        <w:rPr>
          <w:rFonts w:eastAsia="MS Mincho"/>
          <w:lang w:eastAsia="fi-FI"/>
        </w:rPr>
      </w:pPr>
      <w:r w:rsidRPr="002C7499">
        <w:rPr>
          <w:rFonts w:eastAsia="MS Mincho"/>
          <w:lang w:eastAsia="fi-FI"/>
        </w:rPr>
        <w:t>Normal payload is a payload between 10 and 100 per cent of the maximum payload.</w:t>
      </w:r>
    </w:p>
    <w:p w14:paraId="37A7E44A" w14:textId="35F310E5" w:rsidR="00584512" w:rsidRPr="002C7499" w:rsidRDefault="00584512" w:rsidP="001D2398">
      <w:pPr>
        <w:pStyle w:val="SingleTxtG"/>
        <w:ind w:left="2268"/>
        <w:rPr>
          <w:rFonts w:eastAsia="MS Mincho"/>
          <w:lang w:eastAsia="fi-FI"/>
        </w:rPr>
      </w:pPr>
      <w:r w:rsidRPr="002C7499">
        <w:rPr>
          <w:rFonts w:eastAsia="MS Mincho"/>
          <w:lang w:eastAsia="fi-FI"/>
        </w:rPr>
        <w:t xml:space="preserve">The maximum payload is the difference between technically permissible maximum laden mass of the vehicle and the mass of the vehicle in running </w:t>
      </w:r>
      <w:r w:rsidRPr="002C7499">
        <w:rPr>
          <w:rFonts w:eastAsia="MS Mincho"/>
          <w:lang w:eastAsia="fi-FI"/>
        </w:rPr>
        <w:lastRenderedPageBreak/>
        <w:t>order as specified in Annex 3 to Special Resolution No. 1 (ECE/TRANS/WP.29/1045, as amended by Amend</w:t>
      </w:r>
      <w:r w:rsidR="00AC1FE0">
        <w:rPr>
          <w:rFonts w:eastAsia="MS Mincho"/>
          <w:lang w:eastAsia="fi-FI"/>
        </w:rPr>
        <w:t>ment</w:t>
      </w:r>
      <w:r w:rsidRPr="002C7499">
        <w:rPr>
          <w:rFonts w:eastAsia="MS Mincho"/>
          <w:lang w:eastAsia="fi-FI"/>
        </w:rPr>
        <w:t>s 1 and 2).</w:t>
      </w:r>
    </w:p>
    <w:p w14:paraId="716F4284" w14:textId="77777777" w:rsidR="00CB2EDA" w:rsidRPr="001B6A8B" w:rsidRDefault="00CB2EDA" w:rsidP="004C6E9F">
      <w:pPr>
        <w:pStyle w:val="SingleTxtG"/>
        <w:ind w:left="2268"/>
        <w:rPr>
          <w:rFonts w:eastAsia="MS Mincho"/>
          <w:b/>
          <w:bCs/>
          <w:lang w:eastAsia="fi-FI"/>
        </w:rPr>
      </w:pPr>
      <w:r w:rsidRPr="001B6A8B">
        <w:rPr>
          <w:rFonts w:eastAsia="MS Mincho"/>
          <w:b/>
          <w:bCs/>
          <w:lang w:eastAsia="fi-FI"/>
        </w:rPr>
        <w:t>In case the legally permissible maximum vehicle weight is lower than the technically permissible laden mass of the vehicle, it is permitted to use the legally permissible maximum vehicle weight to determine the vehicle payload for the test run.</w:t>
      </w:r>
    </w:p>
    <w:p w14:paraId="3EEDC7F2" w14:textId="346DC019" w:rsidR="00584512" w:rsidRPr="002C7499" w:rsidRDefault="00584512" w:rsidP="004C6E9F">
      <w:pPr>
        <w:pStyle w:val="SingleTxtG"/>
        <w:ind w:left="2268"/>
        <w:rPr>
          <w:rFonts w:eastAsia="MS Mincho"/>
          <w:lang w:eastAsia="fi-FI"/>
        </w:rPr>
      </w:pPr>
      <w:r w:rsidRPr="002C7499">
        <w:rPr>
          <w:rFonts w:eastAsia="MS Mincho"/>
          <w:lang w:eastAsia="fi-FI"/>
        </w:rPr>
        <w:t>For the purpose of in- service conformity testing the payload may be reproduced and an artificial load may be used.</w:t>
      </w:r>
    </w:p>
    <w:p w14:paraId="734050EF" w14:textId="431C5951" w:rsidR="00807814" w:rsidRPr="002C7499" w:rsidRDefault="00584512" w:rsidP="004C6E9F">
      <w:pPr>
        <w:pStyle w:val="SingleTxtG"/>
        <w:ind w:left="2268"/>
        <w:rPr>
          <w:rFonts w:eastAsia="MS Mincho"/>
          <w:lang w:eastAsia="fi-FI"/>
        </w:rPr>
      </w:pPr>
      <w:r w:rsidRPr="002C7499">
        <w:rPr>
          <w:rFonts w:eastAsia="MS Mincho"/>
          <w:lang w:eastAsia="fi-FI"/>
        </w:rPr>
        <w:t>Approval authorities may request to test the vehicle with any payload between 10 to 100 per cent of the maximum vehicle payload. In case the mass of the PEMS equipment needed for operation exceeds 10 per cent of the maximum vehicle payload this mass may be considered as minimum payload.</w:t>
      </w:r>
      <w:r w:rsidR="00807814" w:rsidRPr="002C7499">
        <w:rPr>
          <w:rFonts w:eastAsia="MS Mincho"/>
          <w:lang w:eastAsia="fi-FI"/>
        </w:rPr>
        <w:t>"</w:t>
      </w:r>
    </w:p>
    <w:p w14:paraId="771E2650" w14:textId="2756C390" w:rsidR="000C22A5" w:rsidRPr="002C7499" w:rsidRDefault="000C22A5" w:rsidP="000C22A5">
      <w:pPr>
        <w:pStyle w:val="SingleTxtG"/>
        <w:rPr>
          <w:color w:val="000000" w:themeColor="text1"/>
        </w:rPr>
      </w:pPr>
      <w:r w:rsidRPr="002C7499">
        <w:rPr>
          <w:i/>
          <w:iCs/>
          <w:color w:val="000000" w:themeColor="text1"/>
        </w:rPr>
        <w:t>Paragraph 4.6.2.</w:t>
      </w:r>
      <w:r w:rsidRPr="002C7499">
        <w:rPr>
          <w:color w:val="000000" w:themeColor="text1"/>
        </w:rPr>
        <w:t>, amend to read:</w:t>
      </w:r>
    </w:p>
    <w:p w14:paraId="7E4CBA0C" w14:textId="17EF82F8" w:rsidR="00EA1E04" w:rsidRPr="002C7499" w:rsidRDefault="000C22A5" w:rsidP="005B5D73">
      <w:pPr>
        <w:pStyle w:val="SingleTxtG"/>
        <w:ind w:left="2268" w:hanging="1134"/>
        <w:rPr>
          <w:lang w:eastAsia="en-GB"/>
        </w:rPr>
      </w:pPr>
      <w:r w:rsidRPr="002C7499">
        <w:rPr>
          <w:color w:val="000000" w:themeColor="text1"/>
        </w:rPr>
        <w:t>"</w:t>
      </w:r>
      <w:r w:rsidRPr="002C7499">
        <w:rPr>
          <w:rFonts w:eastAsia="MS Mincho"/>
          <w:lang w:eastAsia="fi-FI"/>
        </w:rPr>
        <w:t>4.</w:t>
      </w:r>
      <w:r w:rsidR="000A5A7C" w:rsidRPr="002C7499">
        <w:rPr>
          <w:rFonts w:eastAsia="MS Mincho"/>
          <w:lang w:eastAsia="fi-FI"/>
        </w:rPr>
        <w:t>6</w:t>
      </w:r>
      <w:r w:rsidRPr="002C7499">
        <w:rPr>
          <w:rFonts w:eastAsia="MS Mincho"/>
          <w:lang w:eastAsia="fi-FI"/>
        </w:rPr>
        <w:t>.</w:t>
      </w:r>
      <w:r w:rsidR="000A5A7C" w:rsidRPr="002C7499">
        <w:rPr>
          <w:rFonts w:eastAsia="MS Mincho"/>
          <w:lang w:eastAsia="fi-FI"/>
        </w:rPr>
        <w:t>2.</w:t>
      </w:r>
      <w:r w:rsidRPr="002C7499">
        <w:rPr>
          <w:rFonts w:eastAsia="MS Mincho"/>
          <w:lang w:eastAsia="fi-FI"/>
        </w:rPr>
        <w:tab/>
      </w:r>
      <w:r w:rsidR="00EA1E04" w:rsidRPr="001B6A8B">
        <w:rPr>
          <w:strike/>
          <w:noProof/>
        </w:rPr>
        <w:t>Emissions and other data sampling shall start prior to starting the engine. Any cold start emissions may be removed from the emissions evaluation, in accordance with paragraph A.1.2.6. of Appendix 1 to this annex.</w:t>
      </w:r>
      <w:r w:rsidR="00CB2EDA" w:rsidRPr="001B6A8B">
        <w:rPr>
          <w:b/>
          <w:bCs/>
          <w:noProof/>
        </w:rPr>
        <w:t>Emissions and other data sampling shall start prior to starting the engine. Cold start emissions shall be included in the emissions evaluation, in accordance with paragraph</w:t>
      </w:r>
      <w:r w:rsidR="000B7455" w:rsidRPr="001B6A8B">
        <w:rPr>
          <w:b/>
          <w:bCs/>
          <w:noProof/>
        </w:rPr>
        <w:t> </w:t>
      </w:r>
      <w:r w:rsidR="00CB2EDA" w:rsidRPr="001B6A8B">
        <w:rPr>
          <w:b/>
          <w:bCs/>
          <w:noProof/>
        </w:rPr>
        <w:t>A.1.2.6. of Appendix</w:t>
      </w:r>
      <w:r w:rsidR="000B7455" w:rsidRPr="001B6A8B">
        <w:rPr>
          <w:b/>
          <w:bCs/>
          <w:noProof/>
        </w:rPr>
        <w:t> </w:t>
      </w:r>
      <w:r w:rsidR="00CB2EDA" w:rsidRPr="001B6A8B">
        <w:rPr>
          <w:b/>
          <w:bCs/>
          <w:noProof/>
        </w:rPr>
        <w:t>1 to this annex.</w:t>
      </w:r>
      <w:r w:rsidR="005B5D73" w:rsidRPr="002C7499">
        <w:rPr>
          <w:color w:val="000000" w:themeColor="text1"/>
        </w:rPr>
        <w:t>"</w:t>
      </w:r>
    </w:p>
    <w:p w14:paraId="3018EF43" w14:textId="51273886" w:rsidR="00935EBD" w:rsidRPr="002C7499" w:rsidRDefault="00935EBD" w:rsidP="00935EBD">
      <w:pPr>
        <w:pStyle w:val="SingleTxtG"/>
        <w:rPr>
          <w:color w:val="000000" w:themeColor="text1"/>
        </w:rPr>
      </w:pPr>
      <w:r w:rsidRPr="002C7499">
        <w:rPr>
          <w:i/>
          <w:iCs/>
          <w:color w:val="000000" w:themeColor="text1"/>
        </w:rPr>
        <w:t>Paragraph 6.3.</w:t>
      </w:r>
      <w:r w:rsidR="00181F5D" w:rsidRPr="002C7499">
        <w:rPr>
          <w:i/>
          <w:iCs/>
          <w:color w:val="000000" w:themeColor="text1"/>
        </w:rPr>
        <w:t>, including Table 2</w:t>
      </w:r>
      <w:r w:rsidRPr="002C7499">
        <w:rPr>
          <w:color w:val="000000" w:themeColor="text1"/>
        </w:rPr>
        <w:t>, amend to read:</w:t>
      </w:r>
    </w:p>
    <w:p w14:paraId="7C331C74" w14:textId="3FE0776D" w:rsidR="009B0963" w:rsidRPr="002C7499" w:rsidRDefault="00BD788B" w:rsidP="00BD788B">
      <w:pPr>
        <w:pStyle w:val="SingleTxtG"/>
        <w:ind w:left="2268" w:hanging="1134"/>
        <w:rPr>
          <w:noProof/>
          <w:lang w:eastAsia="fi-FI"/>
        </w:rPr>
      </w:pPr>
      <w:r w:rsidRPr="002C7499">
        <w:rPr>
          <w:color w:val="000000" w:themeColor="text1"/>
        </w:rPr>
        <w:t>"</w:t>
      </w:r>
      <w:r w:rsidR="009B0963" w:rsidRPr="002C7499">
        <w:rPr>
          <w:noProof/>
        </w:rPr>
        <w:t>6.3.</w:t>
      </w:r>
      <w:r w:rsidR="009B0963" w:rsidRPr="002C7499">
        <w:rPr>
          <w:noProof/>
        </w:rPr>
        <w:tab/>
      </w:r>
      <w:r w:rsidR="009B0963" w:rsidRPr="001B6A8B">
        <w:rPr>
          <w:strike/>
          <w:noProof/>
        </w:rPr>
        <w:t>The 90 per cent cumulative percentile of the exhaust emission conformity factors from each engine system tested, determined in accordance with the measurement and calculation procedures specified in Appendix 1 to this annex, shall not exceed any of the values set out in Table 2.</w:t>
      </w:r>
      <w:r w:rsidR="00181F5D" w:rsidRPr="001B6A8B">
        <w:rPr>
          <w:b/>
          <w:bCs/>
          <w:noProof/>
        </w:rPr>
        <w:t xml:space="preserve"> The final conformity factor for the test (CF</w:t>
      </w:r>
      <w:r w:rsidR="00181F5D" w:rsidRPr="001B6A8B">
        <w:rPr>
          <w:b/>
          <w:bCs/>
          <w:noProof/>
          <w:vertAlign w:val="subscript"/>
        </w:rPr>
        <w:t>final</w:t>
      </w:r>
      <w:r w:rsidR="00181F5D" w:rsidRPr="001B6A8B">
        <w:rPr>
          <w:b/>
          <w:bCs/>
          <w:noProof/>
        </w:rPr>
        <w:t>) for each pollutant calculated in accordance with Appendix 1 shall not exceed the maximum allowed conformity factor for that pollutant set out in Table 2.</w:t>
      </w:r>
    </w:p>
    <w:p w14:paraId="4FD79037" w14:textId="77777777" w:rsidR="009B0963" w:rsidRPr="002C7499" w:rsidRDefault="009B0963" w:rsidP="00BD788B">
      <w:pPr>
        <w:pStyle w:val="SingleTxtG"/>
        <w:keepNext/>
        <w:ind w:left="2268"/>
        <w:rPr>
          <w:rFonts w:eastAsia="MS Mincho"/>
          <w:bCs/>
          <w:noProof/>
          <w:lang w:val="fi-FI"/>
        </w:rPr>
      </w:pPr>
      <w:bookmarkStart w:id="12" w:name="_Toc339542154"/>
      <w:bookmarkStart w:id="13" w:name="_Toc339460631"/>
      <w:r w:rsidRPr="002C7499">
        <w:rPr>
          <w:rFonts w:eastAsia="MS Mincho"/>
          <w:bCs/>
          <w:noProof/>
        </w:rPr>
        <w:t>Table 2</w:t>
      </w:r>
      <w:bookmarkEnd w:id="12"/>
      <w:bookmarkEnd w:id="13"/>
    </w:p>
    <w:p w14:paraId="1BC47469" w14:textId="77777777" w:rsidR="009B0963" w:rsidRPr="002C7499" w:rsidRDefault="009B0963" w:rsidP="00BD788B">
      <w:pPr>
        <w:pStyle w:val="SingleTxtG"/>
        <w:keepNext/>
        <w:ind w:left="2268"/>
        <w:rPr>
          <w:rFonts w:eastAsia="MS Mincho"/>
          <w:b/>
          <w:bCs/>
          <w:noProof/>
        </w:rPr>
      </w:pPr>
      <w:bookmarkStart w:id="14" w:name="_Toc339542155"/>
      <w:bookmarkStart w:id="15" w:name="_Toc339460632"/>
      <w:r w:rsidRPr="002C7499">
        <w:rPr>
          <w:rFonts w:eastAsia="MS Mincho"/>
          <w:b/>
          <w:bCs/>
          <w:noProof/>
        </w:rPr>
        <w:t>Maximum allowed conformity factors for in-service conformity emission testing</w:t>
      </w:r>
      <w:bookmarkEnd w:id="14"/>
      <w:bookmarkEnd w:id="15"/>
    </w:p>
    <w:tbl>
      <w:tblPr>
        <w:tblW w:w="48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6"/>
        <w:gridCol w:w="2406"/>
      </w:tblGrid>
      <w:tr w:rsidR="009B0963" w:rsidRPr="002C7499" w14:paraId="6649F4C4" w14:textId="77777777" w:rsidTr="009B0963">
        <w:trPr>
          <w:trHeight w:val="503"/>
          <w:jc w:val="center"/>
        </w:trPr>
        <w:tc>
          <w:tcPr>
            <w:tcW w:w="2406" w:type="dxa"/>
            <w:tcBorders>
              <w:top w:val="single" w:sz="4" w:space="0" w:color="auto"/>
              <w:left w:val="single" w:sz="4" w:space="0" w:color="auto"/>
              <w:bottom w:val="single" w:sz="4" w:space="0" w:color="auto"/>
              <w:right w:val="single" w:sz="4" w:space="0" w:color="auto"/>
            </w:tcBorders>
            <w:hideMark/>
          </w:tcPr>
          <w:p w14:paraId="5AB29F3C" w14:textId="77777777" w:rsidR="009B0963" w:rsidRPr="002C7499" w:rsidRDefault="009B0963" w:rsidP="00BD788B">
            <w:pPr>
              <w:keepNext/>
              <w:tabs>
                <w:tab w:val="num" w:pos="851"/>
              </w:tabs>
              <w:ind w:left="113"/>
              <w:rPr>
                <w:rFonts w:eastAsia="MS Mincho"/>
                <w:i/>
                <w:noProof/>
                <w:sz w:val="16"/>
                <w:szCs w:val="16"/>
                <w:lang w:val="fi-FI"/>
              </w:rPr>
            </w:pPr>
            <w:r w:rsidRPr="002C7499">
              <w:rPr>
                <w:i/>
                <w:noProof/>
                <w:sz w:val="16"/>
                <w:szCs w:val="16"/>
              </w:rPr>
              <w:t>Pollutant</w:t>
            </w:r>
          </w:p>
        </w:tc>
        <w:tc>
          <w:tcPr>
            <w:tcW w:w="2406" w:type="dxa"/>
            <w:tcBorders>
              <w:top w:val="single" w:sz="4" w:space="0" w:color="auto"/>
              <w:left w:val="single" w:sz="4" w:space="0" w:color="auto"/>
              <w:bottom w:val="single" w:sz="4" w:space="0" w:color="auto"/>
              <w:right w:val="single" w:sz="4" w:space="0" w:color="auto"/>
            </w:tcBorders>
            <w:hideMark/>
          </w:tcPr>
          <w:p w14:paraId="11939864" w14:textId="77777777" w:rsidR="009B0963" w:rsidRPr="002C7499" w:rsidRDefault="009B0963" w:rsidP="00BD788B">
            <w:pPr>
              <w:keepNext/>
              <w:tabs>
                <w:tab w:val="num" w:pos="851"/>
              </w:tabs>
              <w:ind w:firstLine="12"/>
              <w:jc w:val="right"/>
              <w:rPr>
                <w:i/>
                <w:noProof/>
                <w:sz w:val="16"/>
                <w:szCs w:val="16"/>
              </w:rPr>
            </w:pPr>
            <w:r w:rsidRPr="002C7499">
              <w:rPr>
                <w:i/>
                <w:noProof/>
                <w:sz w:val="16"/>
                <w:szCs w:val="16"/>
              </w:rPr>
              <w:t>Maximum allowed conformity factor</w:t>
            </w:r>
          </w:p>
        </w:tc>
      </w:tr>
      <w:tr w:rsidR="009B0963" w:rsidRPr="002C7499" w14:paraId="0413E5B5" w14:textId="77777777" w:rsidTr="009B0963">
        <w:trPr>
          <w:trHeight w:val="323"/>
          <w:jc w:val="center"/>
        </w:trPr>
        <w:tc>
          <w:tcPr>
            <w:tcW w:w="2406" w:type="dxa"/>
            <w:tcBorders>
              <w:top w:val="single" w:sz="4" w:space="0" w:color="auto"/>
              <w:left w:val="single" w:sz="4" w:space="0" w:color="auto"/>
              <w:bottom w:val="single" w:sz="4" w:space="0" w:color="auto"/>
              <w:right w:val="single" w:sz="4" w:space="0" w:color="auto"/>
            </w:tcBorders>
            <w:hideMark/>
          </w:tcPr>
          <w:p w14:paraId="3E3FE523" w14:textId="77777777" w:rsidR="009B0963" w:rsidRPr="002C7499" w:rsidRDefault="009B0963" w:rsidP="00BD788B">
            <w:pPr>
              <w:keepNext/>
              <w:tabs>
                <w:tab w:val="num" w:pos="-120"/>
              </w:tabs>
              <w:ind w:left="113" w:right="1134" w:hanging="120"/>
              <w:rPr>
                <w:noProof/>
              </w:rPr>
            </w:pPr>
            <w:r w:rsidRPr="002C7499">
              <w:rPr>
                <w:noProof/>
              </w:rPr>
              <w:t>CO</w:t>
            </w:r>
          </w:p>
        </w:tc>
        <w:tc>
          <w:tcPr>
            <w:tcW w:w="2406" w:type="dxa"/>
            <w:tcBorders>
              <w:top w:val="single" w:sz="4" w:space="0" w:color="auto"/>
              <w:left w:val="single" w:sz="4" w:space="0" w:color="auto"/>
              <w:bottom w:val="single" w:sz="4" w:space="0" w:color="auto"/>
              <w:right w:val="single" w:sz="4" w:space="0" w:color="auto"/>
            </w:tcBorders>
            <w:hideMark/>
          </w:tcPr>
          <w:p w14:paraId="344632B4" w14:textId="77777777" w:rsidR="009B0963" w:rsidRPr="002C7499" w:rsidRDefault="009B0963" w:rsidP="00BD788B">
            <w:pPr>
              <w:keepNext/>
              <w:tabs>
                <w:tab w:val="num" w:pos="1305"/>
              </w:tabs>
              <w:ind w:right="113" w:firstLine="11"/>
              <w:jc w:val="right"/>
              <w:rPr>
                <w:noProof/>
              </w:rPr>
            </w:pPr>
            <w:r w:rsidRPr="002C7499">
              <w:rPr>
                <w:noProof/>
              </w:rPr>
              <w:t>1.50</w:t>
            </w:r>
          </w:p>
        </w:tc>
      </w:tr>
      <w:tr w:rsidR="009B0963" w:rsidRPr="002C7499" w14:paraId="786DE615" w14:textId="77777777" w:rsidTr="009B0963">
        <w:trPr>
          <w:cantSplit/>
          <w:trHeight w:val="323"/>
          <w:jc w:val="center"/>
        </w:trPr>
        <w:tc>
          <w:tcPr>
            <w:tcW w:w="2406" w:type="dxa"/>
            <w:tcBorders>
              <w:top w:val="single" w:sz="4" w:space="0" w:color="auto"/>
              <w:left w:val="single" w:sz="4" w:space="0" w:color="auto"/>
              <w:bottom w:val="single" w:sz="4" w:space="0" w:color="auto"/>
              <w:right w:val="single" w:sz="4" w:space="0" w:color="auto"/>
            </w:tcBorders>
            <w:hideMark/>
          </w:tcPr>
          <w:p w14:paraId="0A5FFAB8" w14:textId="53BC03F9" w:rsidR="009B0963" w:rsidRPr="002C7499" w:rsidRDefault="009B0963">
            <w:pPr>
              <w:tabs>
                <w:tab w:val="num" w:pos="-120"/>
              </w:tabs>
              <w:ind w:left="113" w:right="1134" w:hanging="120"/>
              <w:rPr>
                <w:noProof/>
                <w:vertAlign w:val="superscript"/>
              </w:rPr>
            </w:pPr>
            <w:r w:rsidRPr="002C7499">
              <w:rPr>
                <w:noProof/>
              </w:rPr>
              <w:t>THC</w:t>
            </w:r>
            <w:r w:rsidR="002007E0" w:rsidRPr="008B1FE5">
              <w:rPr>
                <w:b/>
                <w:bCs/>
                <w:noProof/>
                <w:vertAlign w:val="superscript"/>
              </w:rPr>
              <w:t>1</w:t>
            </w:r>
          </w:p>
        </w:tc>
        <w:tc>
          <w:tcPr>
            <w:tcW w:w="2406" w:type="dxa"/>
            <w:tcBorders>
              <w:top w:val="single" w:sz="4" w:space="0" w:color="auto"/>
              <w:left w:val="single" w:sz="4" w:space="0" w:color="auto"/>
              <w:bottom w:val="single" w:sz="4" w:space="0" w:color="auto"/>
              <w:right w:val="single" w:sz="4" w:space="0" w:color="auto"/>
            </w:tcBorders>
            <w:hideMark/>
          </w:tcPr>
          <w:p w14:paraId="1F220D88" w14:textId="77777777" w:rsidR="009B0963" w:rsidRPr="002C7499" w:rsidRDefault="009B0963">
            <w:pPr>
              <w:tabs>
                <w:tab w:val="num" w:pos="1305"/>
              </w:tabs>
              <w:ind w:right="113" w:firstLine="11"/>
              <w:jc w:val="right"/>
              <w:rPr>
                <w:noProof/>
              </w:rPr>
            </w:pPr>
            <w:r w:rsidRPr="002C7499">
              <w:rPr>
                <w:noProof/>
              </w:rPr>
              <w:t>1.50</w:t>
            </w:r>
          </w:p>
        </w:tc>
      </w:tr>
      <w:tr w:rsidR="009B0963" w:rsidRPr="002C7499" w14:paraId="6BBCE260" w14:textId="77777777" w:rsidTr="009B0963">
        <w:trPr>
          <w:trHeight w:val="323"/>
          <w:jc w:val="center"/>
        </w:trPr>
        <w:tc>
          <w:tcPr>
            <w:tcW w:w="2406" w:type="dxa"/>
            <w:tcBorders>
              <w:top w:val="single" w:sz="4" w:space="0" w:color="auto"/>
              <w:left w:val="single" w:sz="4" w:space="0" w:color="auto"/>
              <w:bottom w:val="single" w:sz="4" w:space="0" w:color="auto"/>
              <w:right w:val="single" w:sz="4" w:space="0" w:color="auto"/>
            </w:tcBorders>
            <w:hideMark/>
          </w:tcPr>
          <w:p w14:paraId="2B209F01" w14:textId="6EF1434F" w:rsidR="009B0963" w:rsidRPr="002C7499" w:rsidRDefault="009B0963">
            <w:pPr>
              <w:tabs>
                <w:tab w:val="num" w:pos="-120"/>
              </w:tabs>
              <w:ind w:left="113" w:right="1134" w:hanging="120"/>
              <w:rPr>
                <w:noProof/>
                <w:vertAlign w:val="superscript"/>
              </w:rPr>
            </w:pPr>
            <w:r w:rsidRPr="002C7499">
              <w:rPr>
                <w:noProof/>
              </w:rPr>
              <w:t>NMHC</w:t>
            </w:r>
            <w:r w:rsidR="002007E0" w:rsidRPr="008B1FE5">
              <w:rPr>
                <w:b/>
                <w:bCs/>
                <w:noProof/>
                <w:vertAlign w:val="superscript"/>
              </w:rPr>
              <w:t>2</w:t>
            </w:r>
          </w:p>
        </w:tc>
        <w:tc>
          <w:tcPr>
            <w:tcW w:w="2406" w:type="dxa"/>
            <w:tcBorders>
              <w:top w:val="single" w:sz="4" w:space="0" w:color="auto"/>
              <w:left w:val="single" w:sz="4" w:space="0" w:color="auto"/>
              <w:bottom w:val="single" w:sz="4" w:space="0" w:color="auto"/>
              <w:right w:val="single" w:sz="4" w:space="0" w:color="auto"/>
            </w:tcBorders>
            <w:hideMark/>
          </w:tcPr>
          <w:p w14:paraId="1D80A815" w14:textId="77777777" w:rsidR="009B0963" w:rsidRPr="002C7499" w:rsidRDefault="009B0963">
            <w:pPr>
              <w:tabs>
                <w:tab w:val="num" w:pos="1305"/>
              </w:tabs>
              <w:ind w:right="113" w:firstLine="11"/>
              <w:jc w:val="right"/>
              <w:rPr>
                <w:noProof/>
              </w:rPr>
            </w:pPr>
            <w:r w:rsidRPr="002C7499">
              <w:rPr>
                <w:noProof/>
              </w:rPr>
              <w:t>1.50</w:t>
            </w:r>
          </w:p>
        </w:tc>
      </w:tr>
      <w:tr w:rsidR="009B0963" w:rsidRPr="002C7499" w14:paraId="060FEC73" w14:textId="77777777" w:rsidTr="009B0963">
        <w:trPr>
          <w:trHeight w:val="323"/>
          <w:jc w:val="center"/>
        </w:trPr>
        <w:tc>
          <w:tcPr>
            <w:tcW w:w="2406" w:type="dxa"/>
            <w:tcBorders>
              <w:top w:val="single" w:sz="4" w:space="0" w:color="auto"/>
              <w:left w:val="single" w:sz="4" w:space="0" w:color="auto"/>
              <w:bottom w:val="single" w:sz="4" w:space="0" w:color="auto"/>
              <w:right w:val="single" w:sz="4" w:space="0" w:color="auto"/>
            </w:tcBorders>
            <w:hideMark/>
          </w:tcPr>
          <w:p w14:paraId="48457848" w14:textId="7A01EED0" w:rsidR="009B0963" w:rsidRPr="002C7499" w:rsidRDefault="009B0963">
            <w:pPr>
              <w:tabs>
                <w:tab w:val="num" w:pos="-120"/>
              </w:tabs>
              <w:ind w:left="113" w:right="1134" w:hanging="120"/>
              <w:rPr>
                <w:noProof/>
                <w:vertAlign w:val="superscript"/>
              </w:rPr>
            </w:pPr>
            <w:r w:rsidRPr="002C7499">
              <w:rPr>
                <w:noProof/>
              </w:rPr>
              <w:t>CH</w:t>
            </w:r>
            <w:r w:rsidRPr="002C7499">
              <w:rPr>
                <w:noProof/>
                <w:vertAlign w:val="subscript"/>
              </w:rPr>
              <w:t>4</w:t>
            </w:r>
            <w:r w:rsidR="00B702FA" w:rsidRPr="008B1FE5">
              <w:rPr>
                <w:b/>
                <w:bCs/>
                <w:noProof/>
                <w:vertAlign w:val="superscript"/>
              </w:rPr>
              <w:t>2</w:t>
            </w:r>
          </w:p>
        </w:tc>
        <w:tc>
          <w:tcPr>
            <w:tcW w:w="2406" w:type="dxa"/>
            <w:tcBorders>
              <w:top w:val="single" w:sz="4" w:space="0" w:color="auto"/>
              <w:left w:val="single" w:sz="4" w:space="0" w:color="auto"/>
              <w:bottom w:val="single" w:sz="4" w:space="0" w:color="auto"/>
              <w:right w:val="single" w:sz="4" w:space="0" w:color="auto"/>
            </w:tcBorders>
            <w:hideMark/>
          </w:tcPr>
          <w:p w14:paraId="2C24424A" w14:textId="77777777" w:rsidR="009B0963" w:rsidRPr="002C7499" w:rsidRDefault="009B0963">
            <w:pPr>
              <w:tabs>
                <w:tab w:val="num" w:pos="1305"/>
              </w:tabs>
              <w:ind w:right="113" w:firstLine="11"/>
              <w:jc w:val="right"/>
              <w:rPr>
                <w:noProof/>
              </w:rPr>
            </w:pPr>
            <w:r w:rsidRPr="002C7499">
              <w:rPr>
                <w:noProof/>
              </w:rPr>
              <w:t>1.50</w:t>
            </w:r>
          </w:p>
        </w:tc>
      </w:tr>
      <w:tr w:rsidR="009B0963" w:rsidRPr="002C7499" w14:paraId="52338DE0" w14:textId="77777777" w:rsidTr="009B0963">
        <w:trPr>
          <w:trHeight w:val="323"/>
          <w:jc w:val="center"/>
        </w:trPr>
        <w:tc>
          <w:tcPr>
            <w:tcW w:w="2406" w:type="dxa"/>
            <w:tcBorders>
              <w:top w:val="single" w:sz="4" w:space="0" w:color="auto"/>
              <w:left w:val="single" w:sz="4" w:space="0" w:color="auto"/>
              <w:bottom w:val="single" w:sz="4" w:space="0" w:color="auto"/>
              <w:right w:val="single" w:sz="4" w:space="0" w:color="auto"/>
            </w:tcBorders>
            <w:hideMark/>
          </w:tcPr>
          <w:p w14:paraId="2BEEA9E8" w14:textId="77777777" w:rsidR="009B0963" w:rsidRPr="002C7499" w:rsidRDefault="009B0963">
            <w:pPr>
              <w:tabs>
                <w:tab w:val="num" w:pos="-120"/>
              </w:tabs>
              <w:ind w:left="113" w:right="1134" w:hanging="120"/>
              <w:rPr>
                <w:noProof/>
              </w:rPr>
            </w:pPr>
            <w:r w:rsidRPr="002C7499">
              <w:rPr>
                <w:noProof/>
              </w:rPr>
              <w:t>NO</w:t>
            </w:r>
            <w:r w:rsidRPr="002C7499">
              <w:rPr>
                <w:noProof/>
                <w:vertAlign w:val="subscript"/>
              </w:rPr>
              <w:t>x</w:t>
            </w:r>
          </w:p>
        </w:tc>
        <w:tc>
          <w:tcPr>
            <w:tcW w:w="2406" w:type="dxa"/>
            <w:tcBorders>
              <w:top w:val="single" w:sz="4" w:space="0" w:color="auto"/>
              <w:left w:val="single" w:sz="4" w:space="0" w:color="auto"/>
              <w:bottom w:val="single" w:sz="4" w:space="0" w:color="auto"/>
              <w:right w:val="single" w:sz="4" w:space="0" w:color="auto"/>
            </w:tcBorders>
            <w:hideMark/>
          </w:tcPr>
          <w:p w14:paraId="7DF8F09C" w14:textId="77777777" w:rsidR="009B0963" w:rsidRPr="002C7499" w:rsidRDefault="009B0963">
            <w:pPr>
              <w:tabs>
                <w:tab w:val="num" w:pos="1305"/>
              </w:tabs>
              <w:ind w:right="113" w:firstLine="11"/>
              <w:jc w:val="right"/>
              <w:rPr>
                <w:noProof/>
              </w:rPr>
            </w:pPr>
            <w:r w:rsidRPr="002C7499">
              <w:rPr>
                <w:noProof/>
              </w:rPr>
              <w:t>1.50</w:t>
            </w:r>
          </w:p>
        </w:tc>
      </w:tr>
      <w:tr w:rsidR="009B0963" w:rsidRPr="008B1FE5" w14:paraId="0D57F1C2" w14:textId="1A0AFCE6" w:rsidTr="009B0963">
        <w:trPr>
          <w:trHeight w:val="323"/>
          <w:jc w:val="center"/>
        </w:trPr>
        <w:tc>
          <w:tcPr>
            <w:tcW w:w="2406" w:type="dxa"/>
            <w:tcBorders>
              <w:top w:val="single" w:sz="4" w:space="0" w:color="auto"/>
              <w:left w:val="single" w:sz="4" w:space="0" w:color="auto"/>
              <w:bottom w:val="single" w:sz="4" w:space="0" w:color="auto"/>
              <w:right w:val="single" w:sz="4" w:space="0" w:color="auto"/>
            </w:tcBorders>
            <w:hideMark/>
          </w:tcPr>
          <w:p w14:paraId="1ED6B84C" w14:textId="149C3F0E" w:rsidR="009B0963" w:rsidRPr="008B1FE5" w:rsidRDefault="009B0963">
            <w:pPr>
              <w:tabs>
                <w:tab w:val="num" w:pos="-120"/>
              </w:tabs>
              <w:ind w:left="113" w:right="1134" w:hanging="120"/>
              <w:rPr>
                <w:strike/>
                <w:noProof/>
              </w:rPr>
            </w:pPr>
            <w:r w:rsidRPr="008B1FE5">
              <w:rPr>
                <w:strike/>
                <w:noProof/>
              </w:rPr>
              <w:t>PM mass</w:t>
            </w:r>
          </w:p>
        </w:tc>
        <w:tc>
          <w:tcPr>
            <w:tcW w:w="2406" w:type="dxa"/>
            <w:tcBorders>
              <w:top w:val="single" w:sz="4" w:space="0" w:color="auto"/>
              <w:left w:val="single" w:sz="4" w:space="0" w:color="auto"/>
              <w:bottom w:val="single" w:sz="4" w:space="0" w:color="auto"/>
              <w:right w:val="single" w:sz="4" w:space="0" w:color="auto"/>
            </w:tcBorders>
            <w:hideMark/>
          </w:tcPr>
          <w:p w14:paraId="2E6900FF" w14:textId="385117CE" w:rsidR="009B0963" w:rsidRPr="008B1FE5" w:rsidRDefault="009B0963">
            <w:pPr>
              <w:tabs>
                <w:tab w:val="num" w:pos="1447"/>
              </w:tabs>
              <w:ind w:right="113" w:firstLine="11"/>
              <w:jc w:val="right"/>
              <w:rPr>
                <w:strike/>
                <w:noProof/>
              </w:rPr>
            </w:pPr>
            <w:r w:rsidRPr="008B1FE5">
              <w:rPr>
                <w:strike/>
                <w:noProof/>
              </w:rPr>
              <w:t>-</w:t>
            </w:r>
          </w:p>
        </w:tc>
      </w:tr>
      <w:tr w:rsidR="009B0963" w:rsidRPr="002C7499" w14:paraId="6A1A6AD9" w14:textId="77777777" w:rsidTr="009B0963">
        <w:trPr>
          <w:trHeight w:val="332"/>
          <w:jc w:val="center"/>
        </w:trPr>
        <w:tc>
          <w:tcPr>
            <w:tcW w:w="2406" w:type="dxa"/>
            <w:tcBorders>
              <w:top w:val="single" w:sz="4" w:space="0" w:color="auto"/>
              <w:left w:val="single" w:sz="4" w:space="0" w:color="auto"/>
              <w:bottom w:val="single" w:sz="4" w:space="0" w:color="auto"/>
              <w:right w:val="single" w:sz="4" w:space="0" w:color="auto"/>
            </w:tcBorders>
            <w:hideMark/>
          </w:tcPr>
          <w:p w14:paraId="01E25F05" w14:textId="77777777" w:rsidR="009B0963" w:rsidRPr="002C7499" w:rsidRDefault="009B0963">
            <w:pPr>
              <w:tabs>
                <w:tab w:val="num" w:pos="-120"/>
              </w:tabs>
              <w:ind w:left="113" w:right="1134" w:hanging="120"/>
              <w:rPr>
                <w:noProof/>
              </w:rPr>
            </w:pPr>
            <w:r w:rsidRPr="002C7499">
              <w:rPr>
                <w:noProof/>
              </w:rPr>
              <w:t>PM number</w:t>
            </w:r>
          </w:p>
        </w:tc>
        <w:tc>
          <w:tcPr>
            <w:tcW w:w="2406" w:type="dxa"/>
            <w:tcBorders>
              <w:top w:val="single" w:sz="4" w:space="0" w:color="auto"/>
              <w:left w:val="single" w:sz="4" w:space="0" w:color="auto"/>
              <w:bottom w:val="single" w:sz="4" w:space="0" w:color="auto"/>
              <w:right w:val="single" w:sz="4" w:space="0" w:color="auto"/>
            </w:tcBorders>
            <w:hideMark/>
          </w:tcPr>
          <w:p w14:paraId="6463F77D" w14:textId="38B012C7" w:rsidR="009B0963" w:rsidRPr="002C7499" w:rsidRDefault="00950FF1">
            <w:pPr>
              <w:tabs>
                <w:tab w:val="num" w:pos="1447"/>
              </w:tabs>
              <w:ind w:right="113" w:firstLine="11"/>
              <w:jc w:val="right"/>
              <w:rPr>
                <w:noProof/>
              </w:rPr>
            </w:pPr>
            <w:r w:rsidRPr="008B1FE5">
              <w:rPr>
                <w:b/>
                <w:bCs/>
                <w:noProof/>
              </w:rPr>
              <w:t>1.63</w:t>
            </w:r>
            <w:r w:rsidRPr="008B1FE5">
              <w:rPr>
                <w:b/>
                <w:bCs/>
                <w:noProof/>
                <w:vertAlign w:val="superscript"/>
              </w:rPr>
              <w:t>3</w:t>
            </w:r>
            <w:r w:rsidRPr="008B1FE5">
              <w:rPr>
                <w:strike/>
                <w:noProof/>
              </w:rPr>
              <w:t>-</w:t>
            </w:r>
          </w:p>
        </w:tc>
      </w:tr>
    </w:tbl>
    <w:p w14:paraId="3D4FF633" w14:textId="4F43576B" w:rsidR="00950FF1" w:rsidRPr="008B1FE5" w:rsidRDefault="00950FF1" w:rsidP="00E54AA5">
      <w:pPr>
        <w:spacing w:before="120"/>
        <w:ind w:left="2552" w:right="1134" w:hanging="142"/>
        <w:rPr>
          <w:b/>
          <w:bCs/>
          <w:lang w:eastAsia="fi-FI"/>
        </w:rPr>
      </w:pPr>
      <w:r w:rsidRPr="008B1FE5">
        <w:rPr>
          <w:b/>
          <w:bCs/>
          <w:vertAlign w:val="superscript"/>
          <w:lang w:eastAsia="fi-FI"/>
        </w:rPr>
        <w:t>1</w:t>
      </w:r>
      <w:r w:rsidR="00E54AA5">
        <w:rPr>
          <w:b/>
          <w:bCs/>
          <w:vertAlign w:val="superscript"/>
          <w:lang w:eastAsia="fi-FI"/>
        </w:rPr>
        <w:tab/>
      </w:r>
      <w:r w:rsidRPr="008B1FE5">
        <w:rPr>
          <w:b/>
          <w:bCs/>
          <w:lang w:eastAsia="fi-FI"/>
        </w:rPr>
        <w:t xml:space="preserve">For compression-ignition engines. </w:t>
      </w:r>
    </w:p>
    <w:p w14:paraId="3FA4E894" w14:textId="189A7452" w:rsidR="00950FF1" w:rsidRPr="008B1FE5" w:rsidRDefault="00950FF1" w:rsidP="00E54AA5">
      <w:pPr>
        <w:ind w:left="2552" w:right="1134" w:hanging="142"/>
        <w:rPr>
          <w:b/>
          <w:bCs/>
          <w:lang w:eastAsia="fi-FI"/>
        </w:rPr>
      </w:pPr>
      <w:r w:rsidRPr="008B1FE5">
        <w:rPr>
          <w:b/>
          <w:bCs/>
          <w:vertAlign w:val="superscript"/>
          <w:lang w:eastAsia="fi-FI"/>
        </w:rPr>
        <w:t>2</w:t>
      </w:r>
      <w:r w:rsidR="00E54AA5">
        <w:rPr>
          <w:b/>
          <w:bCs/>
          <w:lang w:eastAsia="fi-FI"/>
        </w:rPr>
        <w:tab/>
      </w:r>
      <w:r w:rsidRPr="008B1FE5">
        <w:rPr>
          <w:b/>
          <w:bCs/>
          <w:lang w:eastAsia="fi-FI"/>
        </w:rPr>
        <w:t>For positive-ignition engines.</w:t>
      </w:r>
    </w:p>
    <w:p w14:paraId="347B5EBE" w14:textId="0ED5918A" w:rsidR="00950FF1" w:rsidRPr="008B1FE5" w:rsidRDefault="00950FF1" w:rsidP="00E54AA5">
      <w:pPr>
        <w:ind w:left="2552" w:right="1134" w:hanging="142"/>
        <w:rPr>
          <w:b/>
          <w:bCs/>
          <w:lang w:eastAsia="fi-FI"/>
        </w:rPr>
      </w:pPr>
      <w:r w:rsidRPr="008B1FE5">
        <w:rPr>
          <w:b/>
          <w:bCs/>
          <w:vertAlign w:val="superscript"/>
          <w:lang w:eastAsia="fi-FI"/>
        </w:rPr>
        <w:t>3</w:t>
      </w:r>
      <w:r w:rsidR="00E54AA5">
        <w:rPr>
          <w:b/>
          <w:bCs/>
          <w:lang w:eastAsia="fi-FI"/>
        </w:rPr>
        <w:tab/>
      </w:r>
      <w:r w:rsidRPr="008B1FE5">
        <w:rPr>
          <w:b/>
          <w:bCs/>
          <w:lang w:eastAsia="fi-FI"/>
        </w:rPr>
        <w:t>Subject to transitional provisions laid down in paragraph 13.</w:t>
      </w:r>
      <w:r w:rsidR="00FC78E9" w:rsidRPr="008B1FE5">
        <w:rPr>
          <w:b/>
          <w:bCs/>
          <w:lang w:eastAsia="fi-FI"/>
        </w:rPr>
        <w:t>2</w:t>
      </w:r>
      <w:r w:rsidRPr="008B1FE5">
        <w:rPr>
          <w:b/>
          <w:bCs/>
          <w:lang w:eastAsia="fi-FI"/>
        </w:rPr>
        <w:t>. of this Regulation.</w:t>
      </w:r>
    </w:p>
    <w:p w14:paraId="12820204" w14:textId="77777777" w:rsidR="009B0963" w:rsidRPr="002C7499" w:rsidRDefault="009B0963" w:rsidP="00950FF1">
      <w:pPr>
        <w:ind w:left="1701" w:right="1134"/>
        <w:rPr>
          <w:lang w:val="fi-FI" w:eastAsia="fi-FI"/>
        </w:rPr>
      </w:pPr>
    </w:p>
    <w:p w14:paraId="047B2E85" w14:textId="74AB8A28" w:rsidR="00A14498" w:rsidRPr="002C7499" w:rsidRDefault="00A14498" w:rsidP="00A14498">
      <w:pPr>
        <w:pStyle w:val="SingleTxtG"/>
        <w:rPr>
          <w:lang w:eastAsia="de-DE"/>
        </w:rPr>
      </w:pPr>
      <w:r w:rsidRPr="002C7499">
        <w:rPr>
          <w:i/>
          <w:lang w:val="en-US" w:eastAsia="de-DE"/>
        </w:rPr>
        <w:t xml:space="preserve">Insert a new paragraph </w:t>
      </w:r>
      <w:r w:rsidR="001B439B" w:rsidRPr="002C7499">
        <w:rPr>
          <w:i/>
          <w:lang w:val="en-US" w:eastAsia="de-DE"/>
        </w:rPr>
        <w:t>10.1.8.5a.</w:t>
      </w:r>
      <w:r w:rsidRPr="002C7499">
        <w:rPr>
          <w:i/>
          <w:lang w:val="en-US" w:eastAsia="de-DE"/>
        </w:rPr>
        <w:t>,</w:t>
      </w:r>
      <w:r w:rsidRPr="002C7499">
        <w:rPr>
          <w:lang w:val="en-US" w:eastAsia="de-DE"/>
        </w:rPr>
        <w:t xml:space="preserve"> to read:</w:t>
      </w:r>
    </w:p>
    <w:p w14:paraId="5AB0CE1D" w14:textId="335FBC73" w:rsidR="000C22A5" w:rsidRPr="002C7499" w:rsidRDefault="00A14498" w:rsidP="004A50F1">
      <w:pPr>
        <w:pStyle w:val="SingleTxtG"/>
        <w:ind w:left="2268" w:hanging="1134"/>
        <w:rPr>
          <w:rFonts w:eastAsia="MS Mincho"/>
          <w:lang w:eastAsia="fi-FI"/>
        </w:rPr>
      </w:pPr>
      <w:r w:rsidRPr="002C7499">
        <w:t>"</w:t>
      </w:r>
      <w:r w:rsidR="00CD4004" w:rsidRPr="008B1FE5">
        <w:rPr>
          <w:b/>
          <w:bCs/>
        </w:rPr>
        <w:t>10.1.8.5a.</w:t>
      </w:r>
      <w:r w:rsidR="00CD4004" w:rsidRPr="008B1FE5">
        <w:rPr>
          <w:b/>
          <w:bCs/>
        </w:rPr>
        <w:tab/>
        <w:t>PM number concentration [#/cm</w:t>
      </w:r>
      <w:r w:rsidR="00CD4004" w:rsidRPr="008B1FE5">
        <w:rPr>
          <w:b/>
          <w:bCs/>
          <w:vertAlign w:val="superscript"/>
        </w:rPr>
        <w:t>3</w:t>
      </w:r>
      <w:r w:rsidR="00CD4004" w:rsidRPr="008B1FE5">
        <w:rPr>
          <w:b/>
          <w:bCs/>
        </w:rPr>
        <w:t>]</w:t>
      </w:r>
      <w:r w:rsidR="004A50F1" w:rsidRPr="002C7499">
        <w:t>"</w:t>
      </w:r>
    </w:p>
    <w:p w14:paraId="452821B3" w14:textId="158AAF54" w:rsidR="00F736AD" w:rsidRPr="002C7499" w:rsidRDefault="00F736AD" w:rsidP="00F736AD">
      <w:pPr>
        <w:pStyle w:val="SingleTxtG"/>
        <w:rPr>
          <w:lang w:eastAsia="de-DE"/>
        </w:rPr>
      </w:pPr>
      <w:r w:rsidRPr="002C7499">
        <w:rPr>
          <w:i/>
          <w:lang w:val="en-US" w:eastAsia="de-DE"/>
        </w:rPr>
        <w:t>Insert a new paragraph 10.1.9.5a.,</w:t>
      </w:r>
      <w:r w:rsidRPr="002C7499">
        <w:rPr>
          <w:lang w:val="en-US" w:eastAsia="de-DE"/>
        </w:rPr>
        <w:t xml:space="preserve"> to read:</w:t>
      </w:r>
    </w:p>
    <w:p w14:paraId="2FA198A2" w14:textId="148FF03F" w:rsidR="00F736AD" w:rsidRPr="002C7499" w:rsidRDefault="00F736AD" w:rsidP="00F736AD">
      <w:pPr>
        <w:pStyle w:val="SingleTxtG"/>
        <w:ind w:left="2268" w:hanging="1134"/>
        <w:rPr>
          <w:rFonts w:eastAsia="MS Mincho"/>
          <w:lang w:eastAsia="fi-FI"/>
        </w:rPr>
      </w:pPr>
      <w:r w:rsidRPr="002C7499">
        <w:t>"</w:t>
      </w:r>
      <w:r w:rsidR="00CD4004" w:rsidRPr="008B1FE5">
        <w:rPr>
          <w:b/>
          <w:bCs/>
        </w:rPr>
        <w:t>10.1.9.5a.</w:t>
      </w:r>
      <w:r w:rsidR="00CD4004" w:rsidRPr="008B1FE5">
        <w:rPr>
          <w:b/>
          <w:bCs/>
        </w:rPr>
        <w:tab/>
        <w:t>PM number flux [#/s]</w:t>
      </w:r>
      <w:r w:rsidRPr="002C7499">
        <w:t>"</w:t>
      </w:r>
    </w:p>
    <w:p w14:paraId="7848C7B2" w14:textId="01712D97" w:rsidR="004A50F1" w:rsidRPr="002C7499" w:rsidRDefault="004A50F1" w:rsidP="004A50F1">
      <w:pPr>
        <w:pStyle w:val="SingleTxtG"/>
        <w:rPr>
          <w:lang w:eastAsia="de-DE"/>
        </w:rPr>
      </w:pPr>
      <w:r w:rsidRPr="002C7499">
        <w:rPr>
          <w:i/>
          <w:lang w:val="en-US" w:eastAsia="de-DE"/>
        </w:rPr>
        <w:t>Insert a new paragraph 10.1.9.10a.,</w:t>
      </w:r>
      <w:r w:rsidRPr="002C7499">
        <w:rPr>
          <w:lang w:val="en-US" w:eastAsia="de-DE"/>
        </w:rPr>
        <w:t xml:space="preserve"> to read:</w:t>
      </w:r>
    </w:p>
    <w:p w14:paraId="1B21EFC7" w14:textId="7968069D" w:rsidR="004A50F1" w:rsidRPr="002C7499" w:rsidRDefault="004A50F1" w:rsidP="004A50F1">
      <w:pPr>
        <w:pStyle w:val="SingleTxtG"/>
        <w:ind w:left="2268" w:hanging="1134"/>
        <w:rPr>
          <w:rFonts w:eastAsia="MS Mincho"/>
          <w:lang w:eastAsia="fi-FI"/>
        </w:rPr>
      </w:pPr>
      <w:r w:rsidRPr="002C7499">
        <w:lastRenderedPageBreak/>
        <w:t>"</w:t>
      </w:r>
      <w:r w:rsidR="00CD4004" w:rsidRPr="008B1FE5">
        <w:rPr>
          <w:b/>
          <w:bCs/>
        </w:rPr>
        <w:t>10.1.9.10a.</w:t>
      </w:r>
      <w:r w:rsidR="00CD4004" w:rsidRPr="008B1FE5">
        <w:rPr>
          <w:b/>
          <w:bCs/>
        </w:rPr>
        <w:tab/>
        <w:t>PM number [#]</w:t>
      </w:r>
      <w:r w:rsidRPr="002C7499">
        <w:t>"</w:t>
      </w:r>
    </w:p>
    <w:p w14:paraId="7FF85F5C" w14:textId="139C5C68" w:rsidR="004A50F1" w:rsidRPr="002C7499" w:rsidRDefault="004A50F1" w:rsidP="004A50F1">
      <w:pPr>
        <w:pStyle w:val="SingleTxtG"/>
        <w:rPr>
          <w:lang w:eastAsia="de-DE"/>
        </w:rPr>
      </w:pPr>
      <w:r w:rsidRPr="002C7499">
        <w:rPr>
          <w:i/>
          <w:lang w:val="en-US" w:eastAsia="de-DE"/>
        </w:rPr>
        <w:t>Insert a new paragraph 10.1.</w:t>
      </w:r>
      <w:r w:rsidR="00BD553D" w:rsidRPr="002C7499">
        <w:rPr>
          <w:i/>
          <w:lang w:val="en-US" w:eastAsia="de-DE"/>
        </w:rPr>
        <w:t>9</w:t>
      </w:r>
      <w:r w:rsidRPr="002C7499">
        <w:rPr>
          <w:i/>
          <w:lang w:val="en-US" w:eastAsia="de-DE"/>
        </w:rPr>
        <w:t>.</w:t>
      </w:r>
      <w:r w:rsidR="00BD553D" w:rsidRPr="002C7499">
        <w:rPr>
          <w:i/>
          <w:lang w:val="en-US" w:eastAsia="de-DE"/>
        </w:rPr>
        <w:t>19</w:t>
      </w:r>
      <w:r w:rsidRPr="002C7499">
        <w:rPr>
          <w:i/>
          <w:lang w:val="en-US" w:eastAsia="de-DE"/>
        </w:rPr>
        <w:t>a.,</w:t>
      </w:r>
      <w:r w:rsidRPr="002C7499">
        <w:rPr>
          <w:lang w:val="en-US" w:eastAsia="de-DE"/>
        </w:rPr>
        <w:t xml:space="preserve"> to read:</w:t>
      </w:r>
    </w:p>
    <w:p w14:paraId="766F43DB" w14:textId="6FB2C519" w:rsidR="004A50F1" w:rsidRPr="002C7499" w:rsidRDefault="004A50F1" w:rsidP="004A50F1">
      <w:pPr>
        <w:pStyle w:val="SingleTxtG"/>
        <w:ind w:left="2268" w:hanging="1134"/>
        <w:rPr>
          <w:rFonts w:eastAsia="MS Mincho"/>
          <w:lang w:eastAsia="fi-FI"/>
        </w:rPr>
      </w:pPr>
      <w:r w:rsidRPr="002C7499">
        <w:t>"</w:t>
      </w:r>
      <w:r w:rsidR="00CD4004" w:rsidRPr="008B1FE5">
        <w:rPr>
          <w:b/>
          <w:bCs/>
        </w:rPr>
        <w:t>10.1.9.19a.</w:t>
      </w:r>
      <w:r w:rsidR="00CD4004" w:rsidRPr="008B1FE5">
        <w:rPr>
          <w:b/>
          <w:bCs/>
        </w:rPr>
        <w:tab/>
        <w:t>Work window PM number conformity factor [-]</w:t>
      </w:r>
      <w:r w:rsidRPr="002C7499">
        <w:t>"</w:t>
      </w:r>
    </w:p>
    <w:p w14:paraId="258B1714" w14:textId="7011E8F9" w:rsidR="004A50F1" w:rsidRPr="002C7499" w:rsidRDefault="004A50F1" w:rsidP="004A50F1">
      <w:pPr>
        <w:pStyle w:val="SingleTxtG"/>
        <w:rPr>
          <w:lang w:eastAsia="de-DE"/>
        </w:rPr>
      </w:pPr>
      <w:r w:rsidRPr="002C7499">
        <w:rPr>
          <w:i/>
          <w:lang w:val="en-US" w:eastAsia="de-DE"/>
        </w:rPr>
        <w:t>Insert a new paragraph 10.1.</w:t>
      </w:r>
      <w:r w:rsidR="00C14A35" w:rsidRPr="002C7499">
        <w:rPr>
          <w:i/>
          <w:lang w:val="en-US" w:eastAsia="de-DE"/>
        </w:rPr>
        <w:t>9</w:t>
      </w:r>
      <w:r w:rsidRPr="002C7499">
        <w:rPr>
          <w:i/>
          <w:lang w:val="en-US" w:eastAsia="de-DE"/>
        </w:rPr>
        <w:t>.</w:t>
      </w:r>
      <w:r w:rsidR="00C14A35" w:rsidRPr="002C7499">
        <w:rPr>
          <w:i/>
          <w:lang w:val="en-US" w:eastAsia="de-DE"/>
        </w:rPr>
        <w:t>24</w:t>
      </w:r>
      <w:r w:rsidRPr="002C7499">
        <w:rPr>
          <w:i/>
          <w:lang w:val="en-US" w:eastAsia="de-DE"/>
        </w:rPr>
        <w:t>a.,</w:t>
      </w:r>
      <w:r w:rsidRPr="002C7499">
        <w:rPr>
          <w:lang w:val="en-US" w:eastAsia="de-DE"/>
        </w:rPr>
        <w:t xml:space="preserve"> to read:</w:t>
      </w:r>
    </w:p>
    <w:p w14:paraId="6401311B" w14:textId="37AAEF23" w:rsidR="004A50F1" w:rsidRPr="002C7499" w:rsidRDefault="004A50F1" w:rsidP="004A50F1">
      <w:pPr>
        <w:pStyle w:val="SingleTxtG"/>
        <w:ind w:left="2268" w:hanging="1134"/>
        <w:rPr>
          <w:rFonts w:eastAsia="MS Mincho"/>
          <w:lang w:eastAsia="fi-FI"/>
        </w:rPr>
      </w:pPr>
      <w:r w:rsidRPr="002C7499">
        <w:t>"</w:t>
      </w:r>
      <w:r w:rsidR="00CD4004" w:rsidRPr="008B1FE5">
        <w:rPr>
          <w:b/>
          <w:bCs/>
        </w:rPr>
        <w:t>10.1.9.24a.</w:t>
      </w:r>
      <w:r w:rsidR="00CD4004" w:rsidRPr="008B1FE5">
        <w:rPr>
          <w:b/>
          <w:bCs/>
        </w:rPr>
        <w:tab/>
        <w:t>CO</w:t>
      </w:r>
      <w:r w:rsidR="00CD4004" w:rsidRPr="008B1FE5">
        <w:rPr>
          <w:b/>
          <w:bCs/>
          <w:vertAlign w:val="subscript"/>
        </w:rPr>
        <w:t>2</w:t>
      </w:r>
      <w:r w:rsidR="00CD4004" w:rsidRPr="008B1FE5">
        <w:rPr>
          <w:b/>
          <w:bCs/>
        </w:rPr>
        <w:t xml:space="preserve"> mass window PM number conformity factor [-]</w:t>
      </w:r>
      <w:r w:rsidRPr="002C7499">
        <w:t>"</w:t>
      </w:r>
    </w:p>
    <w:p w14:paraId="1CC5C6A8" w14:textId="175CE49B" w:rsidR="004A50F1" w:rsidRPr="002C7499" w:rsidRDefault="004A50F1" w:rsidP="004A50F1">
      <w:pPr>
        <w:pStyle w:val="SingleTxtG"/>
        <w:rPr>
          <w:lang w:eastAsia="de-DE"/>
        </w:rPr>
      </w:pPr>
      <w:r w:rsidRPr="002C7499">
        <w:rPr>
          <w:i/>
          <w:lang w:val="en-US" w:eastAsia="de-DE"/>
        </w:rPr>
        <w:t>Insert a new paragraph 10.1.</w:t>
      </w:r>
      <w:r w:rsidR="00695EDA" w:rsidRPr="002C7499">
        <w:rPr>
          <w:i/>
          <w:lang w:val="en-US" w:eastAsia="de-DE"/>
        </w:rPr>
        <w:t>10</w:t>
      </w:r>
      <w:r w:rsidRPr="002C7499">
        <w:rPr>
          <w:i/>
          <w:lang w:val="en-US" w:eastAsia="de-DE"/>
        </w:rPr>
        <w:t>.</w:t>
      </w:r>
      <w:r w:rsidR="00695EDA" w:rsidRPr="002C7499">
        <w:rPr>
          <w:i/>
          <w:lang w:val="en-US" w:eastAsia="de-DE"/>
        </w:rPr>
        <w:t>12</w:t>
      </w:r>
      <w:r w:rsidRPr="002C7499">
        <w:rPr>
          <w:i/>
          <w:lang w:val="en-US" w:eastAsia="de-DE"/>
        </w:rPr>
        <w:t>a.,</w:t>
      </w:r>
      <w:r w:rsidRPr="002C7499">
        <w:rPr>
          <w:lang w:val="en-US" w:eastAsia="de-DE"/>
        </w:rPr>
        <w:t xml:space="preserve"> to read:</w:t>
      </w:r>
    </w:p>
    <w:p w14:paraId="6A62D972" w14:textId="3244BC5B" w:rsidR="004A50F1" w:rsidRPr="002C7499" w:rsidRDefault="004A50F1" w:rsidP="004A50F1">
      <w:pPr>
        <w:pStyle w:val="SingleTxtG"/>
        <w:ind w:left="2268" w:hanging="1134"/>
        <w:rPr>
          <w:rFonts w:eastAsia="MS Mincho"/>
          <w:lang w:eastAsia="fi-FI"/>
        </w:rPr>
      </w:pPr>
      <w:r w:rsidRPr="002C7499">
        <w:t>"</w:t>
      </w:r>
      <w:r w:rsidR="00CD4004" w:rsidRPr="008B1FE5">
        <w:rPr>
          <w:b/>
          <w:bCs/>
        </w:rPr>
        <w:t>10.1.10.12a.</w:t>
      </w:r>
      <w:r w:rsidR="00CD4004" w:rsidRPr="008B1FE5">
        <w:rPr>
          <w:b/>
          <w:bCs/>
        </w:rPr>
        <w:tab/>
        <w:t>PM number [#]</w:t>
      </w:r>
      <w:r w:rsidRPr="002C7499">
        <w:t>"</w:t>
      </w:r>
    </w:p>
    <w:p w14:paraId="2ABB1B5A" w14:textId="106D5F69" w:rsidR="00310831" w:rsidRPr="002C7499" w:rsidRDefault="00310831" w:rsidP="00310831">
      <w:pPr>
        <w:pStyle w:val="SingleTxtG"/>
        <w:rPr>
          <w:lang w:eastAsia="de-DE"/>
        </w:rPr>
      </w:pPr>
      <w:r w:rsidRPr="002C7499">
        <w:rPr>
          <w:i/>
          <w:lang w:val="en-US" w:eastAsia="de-DE"/>
        </w:rPr>
        <w:t>Insert a new paragraph 10.1.11.5a.,</w:t>
      </w:r>
      <w:r w:rsidRPr="002C7499">
        <w:rPr>
          <w:lang w:val="en-US" w:eastAsia="de-DE"/>
        </w:rPr>
        <w:t xml:space="preserve"> to read:</w:t>
      </w:r>
    </w:p>
    <w:p w14:paraId="67151054" w14:textId="6E46ADAF" w:rsidR="00310831" w:rsidRPr="002C7499" w:rsidRDefault="00310831" w:rsidP="00310831">
      <w:pPr>
        <w:pStyle w:val="SingleTxtG"/>
        <w:ind w:left="2268" w:hanging="1134"/>
        <w:rPr>
          <w:rFonts w:eastAsia="MS Mincho"/>
          <w:lang w:eastAsia="fi-FI"/>
        </w:rPr>
      </w:pPr>
      <w:r w:rsidRPr="002C7499">
        <w:t>"</w:t>
      </w:r>
      <w:r w:rsidR="00CD4004" w:rsidRPr="008B1FE5">
        <w:rPr>
          <w:b/>
          <w:bCs/>
        </w:rPr>
        <w:t>10.1.11.5a.</w:t>
      </w:r>
      <w:r w:rsidR="00CD4004" w:rsidRPr="008B1FE5">
        <w:rPr>
          <w:b/>
          <w:bCs/>
        </w:rPr>
        <w:tab/>
        <w:t>Work window PM number conformity factor [-]</w:t>
      </w:r>
      <w:r w:rsidRPr="002C7499">
        <w:t>"</w:t>
      </w:r>
    </w:p>
    <w:p w14:paraId="2E204F0B" w14:textId="24FB39BA" w:rsidR="00310831" w:rsidRPr="002C7499" w:rsidRDefault="00310831" w:rsidP="00310831">
      <w:pPr>
        <w:pStyle w:val="SingleTxtG"/>
        <w:rPr>
          <w:lang w:eastAsia="de-DE"/>
        </w:rPr>
      </w:pPr>
      <w:r w:rsidRPr="002C7499">
        <w:rPr>
          <w:i/>
          <w:lang w:val="en-US" w:eastAsia="de-DE"/>
        </w:rPr>
        <w:t>Insert a new paragraph 10.1.1</w:t>
      </w:r>
      <w:r w:rsidR="001826D3" w:rsidRPr="002C7499">
        <w:rPr>
          <w:i/>
          <w:lang w:val="en-US" w:eastAsia="de-DE"/>
        </w:rPr>
        <w:t>1</w:t>
      </w:r>
      <w:r w:rsidRPr="002C7499">
        <w:rPr>
          <w:i/>
          <w:lang w:val="en-US" w:eastAsia="de-DE"/>
        </w:rPr>
        <w:t>.</w:t>
      </w:r>
      <w:r w:rsidR="001826D3" w:rsidRPr="002C7499">
        <w:rPr>
          <w:i/>
          <w:lang w:val="en-US" w:eastAsia="de-DE"/>
        </w:rPr>
        <w:t>9</w:t>
      </w:r>
      <w:r w:rsidRPr="002C7499">
        <w:rPr>
          <w:i/>
          <w:lang w:val="en-US" w:eastAsia="de-DE"/>
        </w:rPr>
        <w:t>a.,</w:t>
      </w:r>
      <w:r w:rsidRPr="002C7499">
        <w:rPr>
          <w:lang w:val="en-US" w:eastAsia="de-DE"/>
        </w:rPr>
        <w:t xml:space="preserve"> to read:</w:t>
      </w:r>
    </w:p>
    <w:p w14:paraId="5599244E" w14:textId="54D5C031" w:rsidR="00C32639" w:rsidRPr="002C7499" w:rsidRDefault="00C32639" w:rsidP="00C32639">
      <w:pPr>
        <w:pStyle w:val="SingleTxtG"/>
        <w:ind w:left="2268" w:hanging="1134"/>
        <w:rPr>
          <w:rFonts w:eastAsia="MS Mincho"/>
          <w:lang w:eastAsia="fi-FI"/>
        </w:rPr>
      </w:pPr>
      <w:r w:rsidRPr="002C7499">
        <w:t>"</w:t>
      </w:r>
      <w:r w:rsidR="00CD4004" w:rsidRPr="008B1FE5">
        <w:rPr>
          <w:b/>
          <w:bCs/>
        </w:rPr>
        <w:t>10.1.11.9a.</w:t>
      </w:r>
      <w:r w:rsidR="00CD4004" w:rsidRPr="008B1FE5">
        <w:rPr>
          <w:b/>
          <w:bCs/>
        </w:rPr>
        <w:tab/>
        <w:t>CO2 mass window PM number conformity factor [-]</w:t>
      </w:r>
      <w:r w:rsidRPr="002C7499">
        <w:t>"</w:t>
      </w:r>
    </w:p>
    <w:p w14:paraId="22E371D4" w14:textId="405D1C97" w:rsidR="001826D3" w:rsidRPr="002C7499" w:rsidRDefault="001826D3" w:rsidP="001826D3">
      <w:pPr>
        <w:pStyle w:val="SingleTxtG"/>
        <w:rPr>
          <w:lang w:eastAsia="de-DE"/>
        </w:rPr>
      </w:pPr>
      <w:r w:rsidRPr="002C7499">
        <w:rPr>
          <w:i/>
          <w:lang w:val="en-US" w:eastAsia="de-DE"/>
        </w:rPr>
        <w:t>Insert a new paragraph 10.1.1</w:t>
      </w:r>
      <w:r w:rsidR="00EB1E55" w:rsidRPr="002C7499">
        <w:rPr>
          <w:i/>
          <w:lang w:val="en-US" w:eastAsia="de-DE"/>
        </w:rPr>
        <w:t>2</w:t>
      </w:r>
      <w:r w:rsidRPr="002C7499">
        <w:rPr>
          <w:i/>
          <w:lang w:val="en-US" w:eastAsia="de-DE"/>
        </w:rPr>
        <w:t>.</w:t>
      </w:r>
      <w:r w:rsidR="00EB1E55" w:rsidRPr="002C7499">
        <w:rPr>
          <w:i/>
          <w:lang w:val="en-US" w:eastAsia="de-DE"/>
        </w:rPr>
        <w:t>4</w:t>
      </w:r>
      <w:r w:rsidRPr="002C7499">
        <w:rPr>
          <w:i/>
          <w:lang w:val="en-US" w:eastAsia="de-DE"/>
        </w:rPr>
        <w:t>a.,</w:t>
      </w:r>
      <w:r w:rsidRPr="002C7499">
        <w:rPr>
          <w:lang w:val="en-US" w:eastAsia="de-DE"/>
        </w:rPr>
        <w:t xml:space="preserve"> to read:</w:t>
      </w:r>
    </w:p>
    <w:p w14:paraId="0A92A125" w14:textId="77C5C0B6" w:rsidR="001826D3" w:rsidRPr="002C7499" w:rsidRDefault="001826D3" w:rsidP="001826D3">
      <w:pPr>
        <w:pStyle w:val="SingleTxtG"/>
        <w:ind w:left="2268" w:hanging="1134"/>
        <w:rPr>
          <w:rFonts w:eastAsia="MS Mincho"/>
          <w:lang w:eastAsia="fi-FI"/>
        </w:rPr>
      </w:pPr>
      <w:r w:rsidRPr="002C7499">
        <w:t>"</w:t>
      </w:r>
      <w:r w:rsidR="00AD6EC9" w:rsidRPr="008B1FE5">
        <w:rPr>
          <w:b/>
          <w:bCs/>
        </w:rPr>
        <w:t>10.1.12.4a.</w:t>
      </w:r>
      <w:r w:rsidR="00AD6EC9" w:rsidRPr="008B1FE5">
        <w:rPr>
          <w:b/>
          <w:bCs/>
        </w:rPr>
        <w:tab/>
        <w:t xml:space="preserve">PM number analyser zero, pre and </w:t>
      </w:r>
      <w:proofErr w:type="spellStart"/>
      <w:r w:rsidR="00AD6EC9" w:rsidRPr="008B1FE5">
        <w:rPr>
          <w:b/>
          <w:bCs/>
        </w:rPr>
        <w:t>post test</w:t>
      </w:r>
      <w:proofErr w:type="spellEnd"/>
      <w:r w:rsidRPr="002C7499">
        <w:t>"</w:t>
      </w:r>
    </w:p>
    <w:p w14:paraId="2405CDCE" w14:textId="085628DA" w:rsidR="00084CD7" w:rsidRPr="002C7499" w:rsidRDefault="00084CD7" w:rsidP="00F1066A">
      <w:pPr>
        <w:pStyle w:val="SingleTxtG"/>
        <w:keepNext/>
        <w:rPr>
          <w:i/>
          <w:iCs/>
          <w:lang w:eastAsia="de-DE"/>
        </w:rPr>
      </w:pPr>
      <w:r w:rsidRPr="002C7499">
        <w:rPr>
          <w:i/>
          <w:iCs/>
          <w:lang w:eastAsia="de-DE"/>
        </w:rPr>
        <w:t>Annex 8, Appendix 1</w:t>
      </w:r>
    </w:p>
    <w:p w14:paraId="0DB5185A" w14:textId="17A730D1" w:rsidR="00084CD7" w:rsidRPr="002C7499" w:rsidRDefault="00084CD7" w:rsidP="00F1066A">
      <w:pPr>
        <w:pStyle w:val="SingleTxtG"/>
        <w:keepNext/>
        <w:rPr>
          <w:color w:val="000000" w:themeColor="text1"/>
        </w:rPr>
      </w:pPr>
      <w:r w:rsidRPr="002C7499">
        <w:rPr>
          <w:i/>
          <w:iCs/>
          <w:color w:val="000000" w:themeColor="text1"/>
        </w:rPr>
        <w:t>Paragraph A</w:t>
      </w:r>
      <w:r w:rsidR="00EF659D" w:rsidRPr="002C7499">
        <w:rPr>
          <w:i/>
          <w:iCs/>
          <w:color w:val="000000" w:themeColor="text1"/>
        </w:rPr>
        <w:t>.1</w:t>
      </w:r>
      <w:r w:rsidRPr="002C7499">
        <w:rPr>
          <w:i/>
          <w:iCs/>
          <w:color w:val="000000" w:themeColor="text1"/>
        </w:rPr>
        <w:t>.1.</w:t>
      </w:r>
      <w:r w:rsidRPr="002C7499">
        <w:rPr>
          <w:color w:val="000000" w:themeColor="text1"/>
        </w:rPr>
        <w:t>, amend to read:</w:t>
      </w:r>
    </w:p>
    <w:p w14:paraId="1126A740" w14:textId="26FF06C5" w:rsidR="00EF659D" w:rsidRPr="002C7499" w:rsidRDefault="00084CD7" w:rsidP="00F1066A">
      <w:pPr>
        <w:pStyle w:val="SingleTxtG"/>
        <w:keepNext/>
        <w:rPr>
          <w:color w:val="000000" w:themeColor="text1"/>
        </w:rPr>
      </w:pPr>
      <w:r w:rsidRPr="002C7499">
        <w:rPr>
          <w:color w:val="000000" w:themeColor="text1"/>
        </w:rPr>
        <w:t>"</w:t>
      </w:r>
      <w:r w:rsidR="00EF659D" w:rsidRPr="002C7499">
        <w:rPr>
          <w:color w:val="000000" w:themeColor="text1"/>
        </w:rPr>
        <w:t>A.1.1.</w:t>
      </w:r>
      <w:r w:rsidR="00EF659D" w:rsidRPr="002C7499">
        <w:rPr>
          <w:color w:val="000000" w:themeColor="text1"/>
        </w:rPr>
        <w:tab/>
        <w:t>Introduction</w:t>
      </w:r>
    </w:p>
    <w:p w14:paraId="12EAFAC0" w14:textId="4F9D42CE" w:rsidR="00EF659D" w:rsidRPr="002C7499" w:rsidRDefault="00EF659D" w:rsidP="00BE1F86">
      <w:pPr>
        <w:pStyle w:val="SingleTxtG"/>
        <w:ind w:left="2268"/>
        <w:rPr>
          <w:color w:val="000000" w:themeColor="text1"/>
        </w:rPr>
      </w:pPr>
      <w:r w:rsidRPr="008B1FE5">
        <w:rPr>
          <w:strike/>
          <w:color w:val="000000" w:themeColor="text1"/>
        </w:rPr>
        <w:t>This appendix describes the procedure to determine gaseous emissions from on-vehicle on-road measurements using Portable Emissions Measurement Systems (hereinafter PEMS). The pollutant emissions to be measured from the exhaust of the engine include the following components: carbon monoxide, total hydrocarbons and nitrogen oxides for compression ignition engines and carbon monoxide, non-methane hydrocarbons, methane and nitrogen oxides for positive ignition engines. Additionally, carbon dioxide shall be measured to enable the calculation procedures described in paragraph A.1.4.</w:t>
      </w:r>
      <w:r w:rsidR="00CD4004" w:rsidRPr="008B1FE5">
        <w:rPr>
          <w:b/>
          <w:bCs/>
          <w:color w:val="000000" w:themeColor="text1"/>
        </w:rPr>
        <w:t>This Appendix describes the procedure to determine pollutant emissions from on-vehicle on-road measurements using Portable Emissions Measurement Systems (hereinafter “PEMS”). The pollutant emissions to be measured from the exhaust of the engine include the following components: carbon monoxide, total hydrocarbons, nitrogen oxides and PM number for compression ignition engines and carbon monoxide, non- methane hydrocarbons, methane, nitrogen oxides and PM number for positive ignition engines. Additionally, carbon dioxide shall be measured to enable the calculation procedures described in paragraph A.1.4.</w:t>
      </w:r>
    </w:p>
    <w:p w14:paraId="5BA24993" w14:textId="77777777" w:rsidR="00EF659D" w:rsidRPr="002C7499" w:rsidRDefault="00EF659D" w:rsidP="00BE1F86">
      <w:pPr>
        <w:pStyle w:val="SingleTxtG"/>
        <w:ind w:left="2268"/>
        <w:rPr>
          <w:color w:val="000000" w:themeColor="text1"/>
        </w:rPr>
      </w:pPr>
      <w:r w:rsidRPr="002C7499">
        <w:rPr>
          <w:color w:val="000000" w:themeColor="text1"/>
        </w:rPr>
        <w:t>For engines fuelled with natural gas, the manufacturer, technical service or Type Approval Authority may choose to measure the total hydrocarbon (THC) emissions only instead of measuring the methane and non-methane hydrocarbon emissions. In that case, the emission limit for the total hydrocarbon emissions is the same as the one shown in paragraph 5.3. of this Regulation for methane emissions. For the purposes of the calculation of the conformity factors pursuant to paragraphs A.1.4.2.3. and A.1.4.3.2., the applicable limit shall in that case be the methane emission limit only.</w:t>
      </w:r>
    </w:p>
    <w:p w14:paraId="7BED8496" w14:textId="0383B812" w:rsidR="00EF659D" w:rsidRPr="002C7499" w:rsidRDefault="00EF659D" w:rsidP="00BE1F86">
      <w:pPr>
        <w:pStyle w:val="SingleTxtG"/>
        <w:ind w:left="2268"/>
        <w:rPr>
          <w:color w:val="000000" w:themeColor="text1"/>
        </w:rPr>
      </w:pPr>
      <w:r w:rsidRPr="002C7499">
        <w:rPr>
          <w:color w:val="000000" w:themeColor="text1"/>
        </w:rPr>
        <w:t>For engines fuelled with gases other than natural gas, the manufacturer, technical service or Type Approval Authority may choose to measure the total hydrocarbon (THC) emissions instead of measuring the non-methane hydrocarbon emissions. In that case, the emission limit for the total hydrocarbon emissions is the same as shown in paragraph 5.3. of this Regulation for non-methane hydrocarbon emissions. For the purposes of the calculations of the conformity factors pursuant to paragraphs A.1.4.2.3. and A.1.4.3.2., the applicable limit shall in that case be the non-methane emission limit.</w:t>
      </w:r>
      <w:r w:rsidR="00F1066A" w:rsidRPr="002C7499">
        <w:rPr>
          <w:color w:val="000000" w:themeColor="text1"/>
        </w:rPr>
        <w:t>"</w:t>
      </w:r>
    </w:p>
    <w:p w14:paraId="44682586" w14:textId="4F244567" w:rsidR="002A7381" w:rsidRPr="002C7499" w:rsidRDefault="002A7381" w:rsidP="002A7381">
      <w:pPr>
        <w:pStyle w:val="SingleTxtG"/>
        <w:keepNext/>
        <w:rPr>
          <w:color w:val="000000" w:themeColor="text1"/>
        </w:rPr>
      </w:pPr>
      <w:r w:rsidRPr="002C7499">
        <w:rPr>
          <w:i/>
          <w:iCs/>
          <w:color w:val="000000" w:themeColor="text1"/>
        </w:rPr>
        <w:lastRenderedPageBreak/>
        <w:t>Paragraph A.1.2.1.1.</w:t>
      </w:r>
      <w:r w:rsidRPr="002C7499">
        <w:rPr>
          <w:color w:val="000000" w:themeColor="text1"/>
        </w:rPr>
        <w:t>, amend to read:</w:t>
      </w:r>
    </w:p>
    <w:p w14:paraId="0D3BEC1B" w14:textId="3633B23A" w:rsidR="00232F5A" w:rsidRPr="002C7499" w:rsidRDefault="002A7381" w:rsidP="001A666E">
      <w:pPr>
        <w:pStyle w:val="SingleTxtG"/>
        <w:ind w:left="2268" w:hanging="1134"/>
        <w:rPr>
          <w:color w:val="000000" w:themeColor="text1"/>
        </w:rPr>
      </w:pPr>
      <w:r w:rsidRPr="002C7499">
        <w:rPr>
          <w:color w:val="000000" w:themeColor="text1"/>
        </w:rPr>
        <w:t>"</w:t>
      </w:r>
      <w:r w:rsidR="00232F5A" w:rsidRPr="002C7499">
        <w:rPr>
          <w:color w:val="000000" w:themeColor="text1"/>
        </w:rPr>
        <w:t>A.1.2.1.1.</w:t>
      </w:r>
      <w:r w:rsidR="00232F5A" w:rsidRPr="002C7499">
        <w:rPr>
          <w:color w:val="000000" w:themeColor="text1"/>
        </w:rPr>
        <w:tab/>
      </w:r>
      <w:r w:rsidR="00232F5A" w:rsidRPr="00D030DA">
        <w:rPr>
          <w:strike/>
          <w:color w:val="000000" w:themeColor="text1"/>
        </w:rPr>
        <w:t xml:space="preserve">Gas analysers to measure the concentrations of regulated gaseous pollutants in the exhaust </w:t>
      </w:r>
      <w:proofErr w:type="spellStart"/>
      <w:r w:rsidR="00232F5A" w:rsidRPr="00D030DA">
        <w:rPr>
          <w:strike/>
          <w:color w:val="000000" w:themeColor="text1"/>
        </w:rPr>
        <w:t>gas</w:t>
      </w:r>
      <w:r w:rsidR="00CD4004" w:rsidRPr="00D030DA">
        <w:rPr>
          <w:b/>
          <w:bCs/>
          <w:color w:val="000000" w:themeColor="text1"/>
        </w:rPr>
        <w:t>Gas</w:t>
      </w:r>
      <w:proofErr w:type="spellEnd"/>
      <w:r w:rsidR="00CD4004" w:rsidRPr="00D030DA">
        <w:rPr>
          <w:b/>
          <w:bCs/>
          <w:color w:val="000000" w:themeColor="text1"/>
        </w:rPr>
        <w:t xml:space="preserve"> analysers and PM number analysers to measure the concentrations of regulated pollutants in the exhaust gas</w:t>
      </w:r>
      <w:r w:rsidR="00232F5A" w:rsidRPr="002C7499">
        <w:rPr>
          <w:color w:val="000000" w:themeColor="text1"/>
        </w:rPr>
        <w:t>;</w:t>
      </w:r>
      <w:r w:rsidR="001A666E">
        <w:rPr>
          <w:color w:val="000000" w:themeColor="text1"/>
        </w:rPr>
        <w:t>"</w:t>
      </w:r>
    </w:p>
    <w:p w14:paraId="15A8FF56" w14:textId="2CC76873" w:rsidR="008A314D" w:rsidRPr="002C7499" w:rsidRDefault="00BB3E71" w:rsidP="008A314D">
      <w:pPr>
        <w:pStyle w:val="SingleTxtG"/>
        <w:keepNext/>
        <w:rPr>
          <w:color w:val="000000" w:themeColor="text1"/>
        </w:rPr>
      </w:pPr>
      <w:r w:rsidRPr="002C7499">
        <w:rPr>
          <w:i/>
          <w:iCs/>
          <w:color w:val="000000" w:themeColor="text1"/>
        </w:rPr>
        <w:t>Table 1 in p</w:t>
      </w:r>
      <w:r w:rsidR="008A314D" w:rsidRPr="002C7499">
        <w:rPr>
          <w:i/>
          <w:iCs/>
          <w:color w:val="000000" w:themeColor="text1"/>
        </w:rPr>
        <w:t>aragraph A.1.2.</w:t>
      </w:r>
      <w:r w:rsidRPr="002C7499">
        <w:rPr>
          <w:i/>
          <w:iCs/>
          <w:color w:val="000000" w:themeColor="text1"/>
        </w:rPr>
        <w:t>2</w:t>
      </w:r>
      <w:r w:rsidR="008A314D" w:rsidRPr="002C7499">
        <w:rPr>
          <w:i/>
          <w:iCs/>
          <w:color w:val="000000" w:themeColor="text1"/>
        </w:rPr>
        <w:t>.</w:t>
      </w:r>
      <w:r w:rsidR="008A314D" w:rsidRPr="002C7499">
        <w:rPr>
          <w:color w:val="000000" w:themeColor="text1"/>
        </w:rPr>
        <w:t>, amend to read:</w:t>
      </w:r>
    </w:p>
    <w:p w14:paraId="3E6FE5C7" w14:textId="4C25CDE1" w:rsidR="00FE4AD6" w:rsidRPr="002C7499" w:rsidRDefault="008A314D" w:rsidP="001A666E">
      <w:pPr>
        <w:pStyle w:val="Heading1"/>
        <w:keepNext/>
        <w:keepLines/>
        <w:rPr>
          <w:rFonts w:eastAsia="MS Mincho"/>
          <w:noProof/>
          <w:lang w:val="fi-FI" w:eastAsia="fi-FI"/>
        </w:rPr>
      </w:pPr>
      <w:r w:rsidRPr="002C7499">
        <w:rPr>
          <w:color w:val="000000" w:themeColor="text1"/>
        </w:rPr>
        <w:t>"</w:t>
      </w:r>
      <w:bookmarkStart w:id="16" w:name="_Toc339542158"/>
      <w:bookmarkStart w:id="17" w:name="_Toc339460635"/>
      <w:r w:rsidR="00FE4AD6" w:rsidRPr="002C7499">
        <w:rPr>
          <w:rFonts w:eastAsia="MS Mincho"/>
          <w:noProof/>
          <w:lang w:val="fi-FI" w:eastAsia="fi-FI"/>
        </w:rPr>
        <w:t>Table 1</w:t>
      </w:r>
      <w:bookmarkEnd w:id="16"/>
      <w:bookmarkEnd w:id="17"/>
    </w:p>
    <w:p w14:paraId="65CED915" w14:textId="77777777" w:rsidR="00FE4AD6" w:rsidRPr="002C7499" w:rsidRDefault="00FE4AD6" w:rsidP="001A666E">
      <w:pPr>
        <w:keepNext/>
        <w:keepLines/>
        <w:tabs>
          <w:tab w:val="num" w:pos="2268"/>
        </w:tabs>
        <w:spacing w:after="120" w:line="240" w:lineRule="auto"/>
        <w:ind w:left="1134"/>
        <w:outlineLvl w:val="0"/>
        <w:rPr>
          <w:rFonts w:eastAsia="MS Mincho"/>
          <w:b/>
          <w:lang w:val="fi-FI" w:eastAsia="fi-FI"/>
        </w:rPr>
      </w:pPr>
      <w:bookmarkStart w:id="18" w:name="_Toc339542159"/>
      <w:bookmarkStart w:id="19" w:name="_Toc339460636"/>
      <w:r w:rsidRPr="002C7499">
        <w:rPr>
          <w:rFonts w:eastAsia="MS Mincho"/>
          <w:b/>
          <w:noProof/>
          <w:lang w:val="fi-FI" w:eastAsia="fi-FI"/>
        </w:rPr>
        <w:t>Test parameters</w:t>
      </w:r>
      <w:bookmarkEnd w:id="18"/>
      <w:bookmarkEnd w:id="19"/>
    </w:p>
    <w:tbl>
      <w:tblPr>
        <w:tblW w:w="7021"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5"/>
        <w:gridCol w:w="2569"/>
        <w:gridCol w:w="2417"/>
      </w:tblGrid>
      <w:tr w:rsidR="00FE4AD6" w:rsidRPr="002C7499" w14:paraId="78821787" w14:textId="77777777" w:rsidTr="00DC2F72">
        <w:trPr>
          <w:trHeight w:val="243"/>
          <w:tblHeader/>
        </w:trPr>
        <w:tc>
          <w:tcPr>
            <w:tcW w:w="2035" w:type="dxa"/>
            <w:tcBorders>
              <w:top w:val="single" w:sz="4" w:space="0" w:color="auto"/>
              <w:left w:val="single" w:sz="4" w:space="0" w:color="auto"/>
              <w:bottom w:val="single" w:sz="4" w:space="0" w:color="auto"/>
              <w:right w:val="single" w:sz="4" w:space="0" w:color="auto"/>
            </w:tcBorders>
            <w:hideMark/>
          </w:tcPr>
          <w:p w14:paraId="4B6AFA02" w14:textId="77777777" w:rsidR="00FE4AD6" w:rsidRPr="002C7499" w:rsidRDefault="00FE4AD6" w:rsidP="00FE4AD6">
            <w:pPr>
              <w:keepNext/>
              <w:keepLines/>
              <w:spacing w:before="80" w:after="80"/>
              <w:ind w:right="1134"/>
              <w:rPr>
                <w:rFonts w:eastAsia="MS Mincho"/>
                <w:i/>
                <w:noProof/>
                <w:sz w:val="16"/>
                <w:szCs w:val="16"/>
                <w:lang w:val="fi-FI" w:eastAsia="fi-FI"/>
              </w:rPr>
            </w:pPr>
            <w:r w:rsidRPr="002C7499">
              <w:rPr>
                <w:rFonts w:eastAsia="MS Mincho"/>
                <w:i/>
                <w:noProof/>
                <w:sz w:val="16"/>
                <w:szCs w:val="16"/>
                <w:lang w:val="fi-FI" w:eastAsia="fi-FI"/>
              </w:rPr>
              <w:t>Parameter</w:t>
            </w:r>
          </w:p>
        </w:tc>
        <w:tc>
          <w:tcPr>
            <w:tcW w:w="2569" w:type="dxa"/>
            <w:tcBorders>
              <w:top w:val="single" w:sz="4" w:space="0" w:color="auto"/>
              <w:left w:val="single" w:sz="4" w:space="0" w:color="auto"/>
              <w:bottom w:val="single" w:sz="4" w:space="0" w:color="auto"/>
              <w:right w:val="single" w:sz="4" w:space="0" w:color="auto"/>
            </w:tcBorders>
            <w:hideMark/>
          </w:tcPr>
          <w:p w14:paraId="6205F079" w14:textId="77777777" w:rsidR="00FE4AD6" w:rsidRPr="002C7499" w:rsidRDefault="00FE4AD6" w:rsidP="00FE4AD6">
            <w:pPr>
              <w:keepNext/>
              <w:keepLines/>
              <w:spacing w:before="80" w:after="80"/>
              <w:ind w:right="1134"/>
              <w:rPr>
                <w:rFonts w:eastAsia="MS Mincho"/>
                <w:i/>
                <w:noProof/>
                <w:sz w:val="16"/>
                <w:szCs w:val="16"/>
                <w:lang w:val="fi-FI" w:eastAsia="fi-FI"/>
              </w:rPr>
            </w:pPr>
            <w:r w:rsidRPr="002C7499">
              <w:rPr>
                <w:rFonts w:eastAsia="MS Mincho"/>
                <w:i/>
                <w:noProof/>
                <w:sz w:val="16"/>
                <w:szCs w:val="16"/>
                <w:lang w:val="fi-FI" w:eastAsia="fi-FI"/>
              </w:rPr>
              <w:t>Unit</w:t>
            </w:r>
          </w:p>
        </w:tc>
        <w:tc>
          <w:tcPr>
            <w:tcW w:w="2417" w:type="dxa"/>
            <w:tcBorders>
              <w:top w:val="single" w:sz="4" w:space="0" w:color="auto"/>
              <w:left w:val="single" w:sz="4" w:space="0" w:color="auto"/>
              <w:bottom w:val="single" w:sz="4" w:space="0" w:color="auto"/>
              <w:right w:val="single" w:sz="4" w:space="0" w:color="auto"/>
            </w:tcBorders>
            <w:hideMark/>
          </w:tcPr>
          <w:p w14:paraId="18E73251" w14:textId="77777777" w:rsidR="00FE4AD6" w:rsidRPr="002C7499" w:rsidRDefault="00FE4AD6" w:rsidP="00FE4AD6">
            <w:pPr>
              <w:keepNext/>
              <w:keepLines/>
              <w:spacing w:before="80" w:after="80"/>
              <w:ind w:right="1134"/>
              <w:rPr>
                <w:rFonts w:eastAsia="MS Mincho"/>
                <w:i/>
                <w:noProof/>
                <w:sz w:val="16"/>
                <w:szCs w:val="16"/>
                <w:lang w:val="fi-FI" w:eastAsia="fi-FI"/>
              </w:rPr>
            </w:pPr>
            <w:r w:rsidRPr="002C7499">
              <w:rPr>
                <w:rFonts w:eastAsia="MS Mincho"/>
                <w:i/>
                <w:noProof/>
                <w:sz w:val="16"/>
                <w:szCs w:val="16"/>
                <w:lang w:val="fi-FI" w:eastAsia="fi-FI"/>
              </w:rPr>
              <w:t>Source</w:t>
            </w:r>
          </w:p>
        </w:tc>
      </w:tr>
      <w:tr w:rsidR="00FE4AD6" w:rsidRPr="002C7499" w14:paraId="5AF20DB9" w14:textId="77777777" w:rsidTr="00DC2F72">
        <w:trPr>
          <w:trHeight w:val="243"/>
        </w:trPr>
        <w:tc>
          <w:tcPr>
            <w:tcW w:w="2035" w:type="dxa"/>
            <w:tcBorders>
              <w:top w:val="single" w:sz="4" w:space="0" w:color="auto"/>
              <w:left w:val="single" w:sz="4" w:space="0" w:color="auto"/>
              <w:bottom w:val="single" w:sz="4" w:space="0" w:color="auto"/>
              <w:right w:val="single" w:sz="4" w:space="0" w:color="auto"/>
            </w:tcBorders>
            <w:hideMark/>
          </w:tcPr>
          <w:p w14:paraId="31CD8889" w14:textId="77777777" w:rsidR="00FE4AD6" w:rsidRPr="002C7499" w:rsidRDefault="00FE4AD6" w:rsidP="00FE4AD6">
            <w:pPr>
              <w:keepNext/>
              <w:keepLines/>
              <w:spacing w:before="40" w:after="40"/>
              <w:ind w:left="34" w:right="113"/>
              <w:rPr>
                <w:rFonts w:eastAsia="MS Mincho"/>
                <w:noProof/>
                <w:lang w:val="fi-FI" w:eastAsia="fi-FI"/>
              </w:rPr>
            </w:pPr>
            <w:r w:rsidRPr="002C7499">
              <w:rPr>
                <w:rFonts w:eastAsia="MS Mincho"/>
                <w:noProof/>
                <w:lang w:val="fi-FI" w:eastAsia="fi-FI"/>
              </w:rPr>
              <w:t>THC concentration</w:t>
            </w:r>
            <w:r w:rsidRPr="002C7499">
              <w:rPr>
                <w:rFonts w:eastAsia="MS Mincho"/>
                <w:noProof/>
                <w:vertAlign w:val="superscript"/>
                <w:lang w:val="fi-FI" w:eastAsia="fi-FI"/>
              </w:rPr>
              <w:t>1</w:t>
            </w:r>
          </w:p>
        </w:tc>
        <w:tc>
          <w:tcPr>
            <w:tcW w:w="2569" w:type="dxa"/>
            <w:tcBorders>
              <w:top w:val="single" w:sz="4" w:space="0" w:color="auto"/>
              <w:left w:val="single" w:sz="4" w:space="0" w:color="auto"/>
              <w:bottom w:val="single" w:sz="4" w:space="0" w:color="auto"/>
              <w:right w:val="single" w:sz="4" w:space="0" w:color="auto"/>
            </w:tcBorders>
            <w:hideMark/>
          </w:tcPr>
          <w:p w14:paraId="34FBB83A" w14:textId="77777777" w:rsidR="00FE4AD6" w:rsidRPr="002C7499" w:rsidRDefault="00FE4AD6" w:rsidP="00FE4AD6">
            <w:pPr>
              <w:keepNext/>
              <w:keepLines/>
              <w:spacing w:before="40" w:after="40"/>
              <w:ind w:right="1134"/>
              <w:rPr>
                <w:rFonts w:eastAsia="MS Mincho"/>
                <w:noProof/>
                <w:lang w:val="fi-FI" w:eastAsia="fi-FI"/>
              </w:rPr>
            </w:pPr>
            <w:r w:rsidRPr="002C7499">
              <w:rPr>
                <w:rFonts w:eastAsia="MS Mincho"/>
                <w:noProof/>
                <w:lang w:val="fi-FI" w:eastAsia="fi-FI"/>
              </w:rPr>
              <w:t>ppm</w:t>
            </w:r>
          </w:p>
        </w:tc>
        <w:tc>
          <w:tcPr>
            <w:tcW w:w="2417" w:type="dxa"/>
            <w:tcBorders>
              <w:top w:val="single" w:sz="4" w:space="0" w:color="auto"/>
              <w:left w:val="single" w:sz="4" w:space="0" w:color="auto"/>
              <w:bottom w:val="single" w:sz="4" w:space="0" w:color="auto"/>
              <w:right w:val="single" w:sz="4" w:space="0" w:color="auto"/>
            </w:tcBorders>
            <w:hideMark/>
          </w:tcPr>
          <w:p w14:paraId="37D75559" w14:textId="571F18D3" w:rsidR="00FE4AD6" w:rsidRPr="002C7499" w:rsidRDefault="00FE4AD6" w:rsidP="00FE4AD6">
            <w:pPr>
              <w:keepNext/>
              <w:keepLines/>
              <w:spacing w:before="40" w:after="40"/>
              <w:ind w:right="1134"/>
              <w:rPr>
                <w:rFonts w:eastAsia="MS Mincho"/>
                <w:noProof/>
                <w:lang w:val="fi-FI" w:eastAsia="fi-FI"/>
              </w:rPr>
            </w:pPr>
            <w:r w:rsidRPr="00D030DA">
              <w:rPr>
                <w:rFonts w:eastAsia="MS Mincho"/>
                <w:strike/>
                <w:noProof/>
                <w:lang w:val="fi-FI" w:eastAsia="fi-FI"/>
              </w:rPr>
              <w:t>Analyzer</w:t>
            </w:r>
            <w:r w:rsidR="00DD5E63" w:rsidRPr="00D030DA">
              <w:rPr>
                <w:rFonts w:eastAsia="MS Mincho"/>
                <w:b/>
                <w:bCs/>
                <w:noProof/>
                <w:lang w:val="fi-FI" w:eastAsia="fi-FI"/>
              </w:rPr>
              <w:t>Gas analyser</w:t>
            </w:r>
          </w:p>
        </w:tc>
      </w:tr>
      <w:tr w:rsidR="00FE4AD6" w:rsidRPr="002C7499" w14:paraId="6F7654A5" w14:textId="77777777" w:rsidTr="00DC2F72">
        <w:trPr>
          <w:trHeight w:val="243"/>
        </w:trPr>
        <w:tc>
          <w:tcPr>
            <w:tcW w:w="2035" w:type="dxa"/>
            <w:tcBorders>
              <w:top w:val="single" w:sz="4" w:space="0" w:color="auto"/>
              <w:left w:val="single" w:sz="4" w:space="0" w:color="auto"/>
              <w:bottom w:val="single" w:sz="4" w:space="0" w:color="auto"/>
              <w:right w:val="single" w:sz="4" w:space="0" w:color="auto"/>
            </w:tcBorders>
            <w:hideMark/>
          </w:tcPr>
          <w:p w14:paraId="13055C9C" w14:textId="77777777" w:rsidR="00FE4AD6" w:rsidRPr="002C7499" w:rsidRDefault="00FE4AD6" w:rsidP="00FE4AD6">
            <w:pPr>
              <w:keepNext/>
              <w:keepLines/>
              <w:spacing w:before="40" w:after="40"/>
              <w:ind w:left="34" w:right="113"/>
              <w:rPr>
                <w:rFonts w:eastAsia="MS Mincho"/>
                <w:noProof/>
                <w:lang w:val="fi-FI" w:eastAsia="fi-FI"/>
              </w:rPr>
            </w:pPr>
            <w:r w:rsidRPr="002C7499">
              <w:rPr>
                <w:rFonts w:eastAsia="MS Mincho"/>
                <w:noProof/>
                <w:lang w:val="fi-FI" w:eastAsia="fi-FI"/>
              </w:rPr>
              <w:t>CO concentration</w:t>
            </w:r>
            <w:r w:rsidRPr="002C7499">
              <w:rPr>
                <w:rFonts w:eastAsia="MS Mincho"/>
                <w:noProof/>
                <w:vertAlign w:val="superscript"/>
                <w:lang w:val="fi-FI" w:eastAsia="fi-FI"/>
              </w:rPr>
              <w:t>1</w:t>
            </w:r>
          </w:p>
        </w:tc>
        <w:tc>
          <w:tcPr>
            <w:tcW w:w="2569" w:type="dxa"/>
            <w:tcBorders>
              <w:top w:val="single" w:sz="4" w:space="0" w:color="auto"/>
              <w:left w:val="single" w:sz="4" w:space="0" w:color="auto"/>
              <w:bottom w:val="single" w:sz="4" w:space="0" w:color="auto"/>
              <w:right w:val="single" w:sz="4" w:space="0" w:color="auto"/>
            </w:tcBorders>
            <w:hideMark/>
          </w:tcPr>
          <w:p w14:paraId="4FBE7D73" w14:textId="77777777" w:rsidR="00FE4AD6" w:rsidRPr="002C7499" w:rsidRDefault="00FE4AD6" w:rsidP="00FE4AD6">
            <w:pPr>
              <w:keepNext/>
              <w:keepLines/>
              <w:spacing w:before="40" w:after="40"/>
              <w:ind w:right="1134"/>
              <w:rPr>
                <w:rFonts w:eastAsia="MS Mincho"/>
                <w:noProof/>
                <w:lang w:val="fi-FI" w:eastAsia="fi-FI"/>
              </w:rPr>
            </w:pPr>
            <w:r w:rsidRPr="002C7499">
              <w:rPr>
                <w:rFonts w:eastAsia="MS Mincho"/>
                <w:noProof/>
                <w:lang w:val="fi-FI" w:eastAsia="fi-FI"/>
              </w:rPr>
              <w:t>ppm</w:t>
            </w:r>
          </w:p>
        </w:tc>
        <w:tc>
          <w:tcPr>
            <w:tcW w:w="2417" w:type="dxa"/>
            <w:tcBorders>
              <w:top w:val="single" w:sz="4" w:space="0" w:color="auto"/>
              <w:left w:val="single" w:sz="4" w:space="0" w:color="auto"/>
              <w:bottom w:val="single" w:sz="4" w:space="0" w:color="auto"/>
              <w:right w:val="single" w:sz="4" w:space="0" w:color="auto"/>
            </w:tcBorders>
            <w:hideMark/>
          </w:tcPr>
          <w:p w14:paraId="59DF8822" w14:textId="41ED3ADF" w:rsidR="00FE4AD6" w:rsidRPr="002C7499" w:rsidRDefault="00C02471" w:rsidP="00FE4AD6">
            <w:pPr>
              <w:keepNext/>
              <w:keepLines/>
              <w:spacing w:before="40" w:after="40"/>
              <w:ind w:right="1134"/>
              <w:rPr>
                <w:rFonts w:eastAsia="MS Mincho"/>
                <w:noProof/>
                <w:lang w:val="fi-FI" w:eastAsia="fi-FI"/>
              </w:rPr>
            </w:pPr>
            <w:r w:rsidRPr="00D030DA">
              <w:rPr>
                <w:rFonts w:eastAsia="MS Mincho"/>
                <w:strike/>
                <w:noProof/>
                <w:lang w:val="fi-FI" w:eastAsia="fi-FI"/>
              </w:rPr>
              <w:t>Analyzer</w:t>
            </w:r>
            <w:r w:rsidR="00DD5E63" w:rsidRPr="00D030DA">
              <w:rPr>
                <w:rFonts w:eastAsia="MS Mincho"/>
                <w:b/>
                <w:bCs/>
                <w:noProof/>
                <w:lang w:val="fi-FI" w:eastAsia="fi-FI"/>
              </w:rPr>
              <w:t>Gas analyser</w:t>
            </w:r>
          </w:p>
        </w:tc>
      </w:tr>
      <w:tr w:rsidR="00FE4AD6" w:rsidRPr="002C7499" w14:paraId="4A5F6665" w14:textId="77777777" w:rsidTr="00DC2F72">
        <w:trPr>
          <w:trHeight w:val="243"/>
        </w:trPr>
        <w:tc>
          <w:tcPr>
            <w:tcW w:w="2035" w:type="dxa"/>
            <w:tcBorders>
              <w:top w:val="single" w:sz="4" w:space="0" w:color="auto"/>
              <w:left w:val="single" w:sz="4" w:space="0" w:color="auto"/>
              <w:bottom w:val="single" w:sz="4" w:space="0" w:color="auto"/>
              <w:right w:val="single" w:sz="4" w:space="0" w:color="auto"/>
            </w:tcBorders>
            <w:hideMark/>
          </w:tcPr>
          <w:p w14:paraId="299A250B" w14:textId="77777777" w:rsidR="00FE4AD6" w:rsidRPr="002C7499" w:rsidRDefault="00FE4AD6" w:rsidP="00FE4AD6">
            <w:pPr>
              <w:keepNext/>
              <w:keepLines/>
              <w:spacing w:before="40" w:after="40"/>
              <w:ind w:left="34" w:right="113"/>
              <w:rPr>
                <w:rFonts w:eastAsia="MS Mincho"/>
                <w:noProof/>
                <w:lang w:val="fi-FI" w:eastAsia="fi-FI"/>
              </w:rPr>
            </w:pPr>
            <w:r w:rsidRPr="002C7499">
              <w:rPr>
                <w:rFonts w:eastAsia="MS Mincho"/>
                <w:noProof/>
                <w:lang w:val="fi-FI" w:eastAsia="fi-FI"/>
              </w:rPr>
              <w:t>NO</w:t>
            </w:r>
            <w:r w:rsidRPr="002C7499">
              <w:rPr>
                <w:rFonts w:eastAsia="MS Mincho"/>
                <w:noProof/>
                <w:vertAlign w:val="subscript"/>
                <w:lang w:val="fi-FI" w:eastAsia="fi-FI"/>
              </w:rPr>
              <w:t>x</w:t>
            </w:r>
            <w:r w:rsidRPr="002C7499">
              <w:rPr>
                <w:rFonts w:eastAsia="MS Mincho"/>
                <w:noProof/>
                <w:lang w:val="fi-FI" w:eastAsia="fi-FI"/>
              </w:rPr>
              <w:t xml:space="preserve"> concentration</w:t>
            </w:r>
            <w:r w:rsidRPr="002C7499">
              <w:rPr>
                <w:rFonts w:eastAsia="MS Mincho"/>
                <w:noProof/>
                <w:vertAlign w:val="superscript"/>
                <w:lang w:val="fi-FI" w:eastAsia="fi-FI"/>
              </w:rPr>
              <w:t>1</w:t>
            </w:r>
          </w:p>
        </w:tc>
        <w:tc>
          <w:tcPr>
            <w:tcW w:w="2569" w:type="dxa"/>
            <w:tcBorders>
              <w:top w:val="single" w:sz="4" w:space="0" w:color="auto"/>
              <w:left w:val="single" w:sz="4" w:space="0" w:color="auto"/>
              <w:bottom w:val="single" w:sz="4" w:space="0" w:color="auto"/>
              <w:right w:val="single" w:sz="4" w:space="0" w:color="auto"/>
            </w:tcBorders>
            <w:hideMark/>
          </w:tcPr>
          <w:p w14:paraId="198BEE71" w14:textId="77777777" w:rsidR="00FE4AD6" w:rsidRPr="002C7499" w:rsidRDefault="00FE4AD6" w:rsidP="00FE4AD6">
            <w:pPr>
              <w:keepNext/>
              <w:keepLines/>
              <w:spacing w:before="40" w:after="40"/>
              <w:ind w:right="1134"/>
              <w:rPr>
                <w:rFonts w:eastAsia="MS Mincho"/>
                <w:noProof/>
                <w:lang w:val="fi-FI" w:eastAsia="fi-FI"/>
              </w:rPr>
            </w:pPr>
            <w:r w:rsidRPr="002C7499">
              <w:rPr>
                <w:rFonts w:eastAsia="MS Mincho"/>
                <w:noProof/>
                <w:lang w:val="fi-FI" w:eastAsia="fi-FI"/>
              </w:rPr>
              <w:t>ppm</w:t>
            </w:r>
          </w:p>
        </w:tc>
        <w:tc>
          <w:tcPr>
            <w:tcW w:w="2417" w:type="dxa"/>
            <w:tcBorders>
              <w:top w:val="single" w:sz="4" w:space="0" w:color="auto"/>
              <w:left w:val="single" w:sz="4" w:space="0" w:color="auto"/>
              <w:bottom w:val="single" w:sz="4" w:space="0" w:color="auto"/>
              <w:right w:val="single" w:sz="4" w:space="0" w:color="auto"/>
            </w:tcBorders>
            <w:hideMark/>
          </w:tcPr>
          <w:p w14:paraId="2847178E" w14:textId="44F8489D" w:rsidR="00FE4AD6" w:rsidRPr="002C7499" w:rsidRDefault="00C02471" w:rsidP="00FE4AD6">
            <w:pPr>
              <w:keepNext/>
              <w:keepLines/>
              <w:spacing w:before="40" w:after="40"/>
              <w:ind w:right="1134"/>
              <w:rPr>
                <w:rFonts w:eastAsia="MS Mincho"/>
                <w:noProof/>
                <w:lang w:val="fi-FI" w:eastAsia="fi-FI"/>
              </w:rPr>
            </w:pPr>
            <w:r w:rsidRPr="00D030DA">
              <w:rPr>
                <w:rFonts w:eastAsia="MS Mincho"/>
                <w:strike/>
                <w:noProof/>
                <w:lang w:val="fi-FI" w:eastAsia="fi-FI"/>
              </w:rPr>
              <w:t>Analyzer</w:t>
            </w:r>
            <w:r w:rsidR="00DD5E63" w:rsidRPr="00D030DA">
              <w:rPr>
                <w:rFonts w:eastAsia="MS Mincho"/>
                <w:b/>
                <w:bCs/>
                <w:noProof/>
                <w:lang w:val="fi-FI" w:eastAsia="fi-FI"/>
              </w:rPr>
              <w:t>Gas analyser</w:t>
            </w:r>
          </w:p>
        </w:tc>
      </w:tr>
      <w:tr w:rsidR="00FE4AD6" w:rsidRPr="002C7499" w14:paraId="22C16834" w14:textId="77777777" w:rsidTr="00DC2F72">
        <w:trPr>
          <w:trHeight w:val="243"/>
        </w:trPr>
        <w:tc>
          <w:tcPr>
            <w:tcW w:w="2035" w:type="dxa"/>
            <w:tcBorders>
              <w:top w:val="single" w:sz="4" w:space="0" w:color="auto"/>
              <w:left w:val="single" w:sz="4" w:space="0" w:color="auto"/>
              <w:bottom w:val="single" w:sz="4" w:space="0" w:color="auto"/>
              <w:right w:val="single" w:sz="4" w:space="0" w:color="auto"/>
            </w:tcBorders>
            <w:hideMark/>
          </w:tcPr>
          <w:p w14:paraId="48E8194B" w14:textId="77777777" w:rsidR="00FE4AD6" w:rsidRPr="002C7499" w:rsidRDefault="00FE4AD6" w:rsidP="00FE4AD6">
            <w:pPr>
              <w:keepNext/>
              <w:keepLines/>
              <w:spacing w:before="40" w:after="40"/>
              <w:ind w:left="34" w:right="113"/>
              <w:rPr>
                <w:rFonts w:eastAsia="MS Mincho"/>
                <w:noProof/>
                <w:lang w:val="fi-FI" w:eastAsia="fi-FI"/>
              </w:rPr>
            </w:pPr>
            <w:r w:rsidRPr="002C7499">
              <w:rPr>
                <w:rFonts w:eastAsia="MS Mincho"/>
                <w:noProof/>
                <w:lang w:val="fi-FI" w:eastAsia="fi-FI"/>
              </w:rPr>
              <w:t>CO</w:t>
            </w:r>
            <w:r w:rsidRPr="002C7499">
              <w:rPr>
                <w:rFonts w:eastAsia="MS Mincho"/>
                <w:noProof/>
                <w:vertAlign w:val="subscript"/>
                <w:lang w:val="fi-FI" w:eastAsia="fi-FI"/>
              </w:rPr>
              <w:t>2</w:t>
            </w:r>
            <w:r w:rsidRPr="002C7499">
              <w:rPr>
                <w:rFonts w:eastAsia="MS Mincho"/>
                <w:noProof/>
                <w:lang w:val="fi-FI" w:eastAsia="fi-FI"/>
              </w:rPr>
              <w:t xml:space="preserve"> concentration</w:t>
            </w:r>
            <w:r w:rsidRPr="002C7499">
              <w:rPr>
                <w:rFonts w:eastAsia="MS Mincho"/>
                <w:noProof/>
                <w:vertAlign w:val="superscript"/>
                <w:lang w:val="fi-FI" w:eastAsia="fi-FI"/>
              </w:rPr>
              <w:t>1</w:t>
            </w:r>
          </w:p>
        </w:tc>
        <w:tc>
          <w:tcPr>
            <w:tcW w:w="2569" w:type="dxa"/>
            <w:tcBorders>
              <w:top w:val="single" w:sz="4" w:space="0" w:color="auto"/>
              <w:left w:val="single" w:sz="4" w:space="0" w:color="auto"/>
              <w:bottom w:val="single" w:sz="4" w:space="0" w:color="auto"/>
              <w:right w:val="single" w:sz="4" w:space="0" w:color="auto"/>
            </w:tcBorders>
            <w:hideMark/>
          </w:tcPr>
          <w:p w14:paraId="0B1F1B9B" w14:textId="77777777" w:rsidR="00FE4AD6" w:rsidRPr="002C7499" w:rsidRDefault="00FE4AD6" w:rsidP="00FE4AD6">
            <w:pPr>
              <w:keepNext/>
              <w:keepLines/>
              <w:spacing w:before="40" w:after="40"/>
              <w:ind w:right="1134"/>
              <w:rPr>
                <w:rFonts w:eastAsia="MS Mincho"/>
                <w:noProof/>
                <w:lang w:val="fi-FI" w:eastAsia="fi-FI"/>
              </w:rPr>
            </w:pPr>
            <w:r w:rsidRPr="002C7499">
              <w:rPr>
                <w:rFonts w:eastAsia="MS Mincho"/>
                <w:noProof/>
                <w:lang w:val="fi-FI" w:eastAsia="fi-FI"/>
              </w:rPr>
              <w:t>ppm</w:t>
            </w:r>
          </w:p>
        </w:tc>
        <w:tc>
          <w:tcPr>
            <w:tcW w:w="2417" w:type="dxa"/>
            <w:tcBorders>
              <w:top w:val="single" w:sz="4" w:space="0" w:color="auto"/>
              <w:left w:val="single" w:sz="4" w:space="0" w:color="auto"/>
              <w:bottom w:val="single" w:sz="4" w:space="0" w:color="auto"/>
              <w:right w:val="single" w:sz="4" w:space="0" w:color="auto"/>
            </w:tcBorders>
            <w:hideMark/>
          </w:tcPr>
          <w:p w14:paraId="4372B61E" w14:textId="04069371" w:rsidR="00FE4AD6" w:rsidRPr="002C7499" w:rsidRDefault="00C02471" w:rsidP="00FE4AD6">
            <w:pPr>
              <w:keepNext/>
              <w:keepLines/>
              <w:spacing w:before="40" w:after="40"/>
              <w:ind w:right="1134"/>
              <w:rPr>
                <w:rFonts w:eastAsia="MS Mincho"/>
                <w:noProof/>
                <w:lang w:val="fi-FI" w:eastAsia="fi-FI"/>
              </w:rPr>
            </w:pPr>
            <w:r w:rsidRPr="00D030DA">
              <w:rPr>
                <w:rFonts w:eastAsia="MS Mincho"/>
                <w:strike/>
                <w:noProof/>
                <w:lang w:val="fi-FI" w:eastAsia="fi-FI"/>
              </w:rPr>
              <w:t>Analyzer</w:t>
            </w:r>
            <w:r w:rsidR="00DD5E63" w:rsidRPr="00D030DA">
              <w:rPr>
                <w:rFonts w:eastAsia="MS Mincho"/>
                <w:b/>
                <w:bCs/>
                <w:noProof/>
                <w:lang w:val="fi-FI" w:eastAsia="fi-FI"/>
              </w:rPr>
              <w:t>Gas analyser</w:t>
            </w:r>
          </w:p>
        </w:tc>
      </w:tr>
      <w:tr w:rsidR="00FE4AD6" w:rsidRPr="002C7499" w14:paraId="3F4BF449" w14:textId="77777777" w:rsidTr="00DC2F72">
        <w:trPr>
          <w:trHeight w:val="256"/>
        </w:trPr>
        <w:tc>
          <w:tcPr>
            <w:tcW w:w="2035" w:type="dxa"/>
            <w:tcBorders>
              <w:top w:val="single" w:sz="4" w:space="0" w:color="auto"/>
              <w:left w:val="single" w:sz="4" w:space="0" w:color="auto"/>
              <w:bottom w:val="single" w:sz="4" w:space="0" w:color="auto"/>
              <w:right w:val="single" w:sz="4" w:space="0" w:color="auto"/>
            </w:tcBorders>
            <w:hideMark/>
          </w:tcPr>
          <w:p w14:paraId="70C75B6B" w14:textId="77777777" w:rsidR="00FE4AD6" w:rsidRPr="002C7499" w:rsidRDefault="00FE4AD6" w:rsidP="00FE4AD6">
            <w:pPr>
              <w:spacing w:before="40" w:after="40"/>
              <w:ind w:left="34" w:right="113"/>
              <w:rPr>
                <w:rFonts w:eastAsia="MS Mincho"/>
                <w:noProof/>
                <w:lang w:val="fi-FI" w:eastAsia="fi-FI"/>
              </w:rPr>
            </w:pPr>
            <w:r w:rsidRPr="002C7499">
              <w:rPr>
                <w:rFonts w:eastAsia="MS Mincho"/>
                <w:noProof/>
                <w:lang w:val="fi-FI" w:eastAsia="fi-FI"/>
              </w:rPr>
              <w:t>CH</w:t>
            </w:r>
            <w:r w:rsidRPr="002C7499">
              <w:rPr>
                <w:rFonts w:eastAsia="MS Mincho"/>
                <w:noProof/>
                <w:vertAlign w:val="subscript"/>
                <w:lang w:val="fi-FI" w:eastAsia="fi-FI"/>
              </w:rPr>
              <w:t>4</w:t>
            </w:r>
            <w:r w:rsidRPr="002C7499">
              <w:rPr>
                <w:rFonts w:eastAsia="MS Mincho"/>
                <w:noProof/>
                <w:lang w:val="fi-FI" w:eastAsia="fi-FI"/>
              </w:rPr>
              <w:t xml:space="preserve"> concentration</w:t>
            </w:r>
            <w:r w:rsidRPr="002C7499">
              <w:rPr>
                <w:rFonts w:eastAsia="MS Mincho"/>
                <w:noProof/>
                <w:vertAlign w:val="superscript"/>
                <w:lang w:val="fi-FI" w:eastAsia="fi-FI"/>
              </w:rPr>
              <w:t>1, 2</w:t>
            </w:r>
          </w:p>
        </w:tc>
        <w:tc>
          <w:tcPr>
            <w:tcW w:w="2569" w:type="dxa"/>
            <w:tcBorders>
              <w:top w:val="single" w:sz="4" w:space="0" w:color="auto"/>
              <w:left w:val="single" w:sz="4" w:space="0" w:color="auto"/>
              <w:bottom w:val="single" w:sz="4" w:space="0" w:color="auto"/>
              <w:right w:val="single" w:sz="4" w:space="0" w:color="auto"/>
            </w:tcBorders>
            <w:hideMark/>
          </w:tcPr>
          <w:p w14:paraId="2B0B117B" w14:textId="77777777" w:rsidR="00FE4AD6" w:rsidRPr="002C7499" w:rsidRDefault="00FE4AD6" w:rsidP="00FE4AD6">
            <w:pPr>
              <w:spacing w:before="40" w:after="40"/>
              <w:ind w:right="1134"/>
              <w:rPr>
                <w:rFonts w:eastAsia="MS Mincho"/>
                <w:noProof/>
                <w:lang w:val="fi-FI" w:eastAsia="fi-FI"/>
              </w:rPr>
            </w:pPr>
            <w:r w:rsidRPr="002C7499">
              <w:rPr>
                <w:rFonts w:eastAsia="MS Mincho"/>
                <w:noProof/>
                <w:lang w:val="fi-FI" w:eastAsia="fi-FI"/>
              </w:rPr>
              <w:t>ppm</w:t>
            </w:r>
          </w:p>
        </w:tc>
        <w:tc>
          <w:tcPr>
            <w:tcW w:w="2417" w:type="dxa"/>
            <w:tcBorders>
              <w:top w:val="single" w:sz="4" w:space="0" w:color="auto"/>
              <w:left w:val="single" w:sz="4" w:space="0" w:color="auto"/>
              <w:bottom w:val="single" w:sz="4" w:space="0" w:color="auto"/>
              <w:right w:val="single" w:sz="4" w:space="0" w:color="auto"/>
            </w:tcBorders>
            <w:hideMark/>
          </w:tcPr>
          <w:p w14:paraId="62AA6E07" w14:textId="0B5318D1" w:rsidR="00FE4AD6" w:rsidRPr="002C7499" w:rsidRDefault="00C02471" w:rsidP="00FE4AD6">
            <w:pPr>
              <w:spacing w:before="40" w:after="40"/>
              <w:ind w:right="1134"/>
              <w:rPr>
                <w:rFonts w:eastAsia="MS Mincho"/>
                <w:noProof/>
                <w:lang w:val="fi-FI" w:eastAsia="fi-FI"/>
              </w:rPr>
            </w:pPr>
            <w:r w:rsidRPr="00D030DA">
              <w:rPr>
                <w:rFonts w:eastAsia="MS Mincho"/>
                <w:strike/>
                <w:noProof/>
                <w:lang w:val="fi-FI" w:eastAsia="fi-FI"/>
              </w:rPr>
              <w:t>Analyzer</w:t>
            </w:r>
            <w:r w:rsidR="00DD5E63" w:rsidRPr="00D030DA">
              <w:rPr>
                <w:rFonts w:eastAsia="MS Mincho"/>
                <w:b/>
                <w:bCs/>
                <w:noProof/>
                <w:lang w:val="fi-FI" w:eastAsia="fi-FI"/>
              </w:rPr>
              <w:t>Gas analyser</w:t>
            </w:r>
          </w:p>
        </w:tc>
      </w:tr>
      <w:tr w:rsidR="00DC2F72" w:rsidRPr="002C7499" w14:paraId="029B076B" w14:textId="77777777" w:rsidTr="00DC2F72">
        <w:trPr>
          <w:trHeight w:val="243"/>
        </w:trPr>
        <w:tc>
          <w:tcPr>
            <w:tcW w:w="2035" w:type="dxa"/>
            <w:tcBorders>
              <w:top w:val="single" w:sz="4" w:space="0" w:color="auto"/>
              <w:left w:val="single" w:sz="4" w:space="0" w:color="auto"/>
              <w:bottom w:val="single" w:sz="4" w:space="0" w:color="auto"/>
              <w:right w:val="single" w:sz="4" w:space="0" w:color="auto"/>
            </w:tcBorders>
          </w:tcPr>
          <w:p w14:paraId="5FE76404" w14:textId="1858635F" w:rsidR="00DC2F72" w:rsidRPr="00D030DA" w:rsidRDefault="00DC2F72" w:rsidP="00DC2F72">
            <w:pPr>
              <w:spacing w:before="40" w:after="40"/>
              <w:ind w:left="34" w:right="113"/>
              <w:rPr>
                <w:rFonts w:eastAsia="MS Mincho"/>
                <w:b/>
                <w:bCs/>
                <w:noProof/>
                <w:lang w:val="fi-FI" w:eastAsia="fi-FI"/>
              </w:rPr>
            </w:pPr>
            <w:r w:rsidRPr="00D030DA">
              <w:rPr>
                <w:rFonts w:eastAsia="MS Mincho"/>
                <w:b/>
                <w:bCs/>
                <w:noProof/>
                <w:lang w:val="fi-FI" w:eastAsia="fi-FI"/>
              </w:rPr>
              <w:t>PM number concentration</w:t>
            </w:r>
          </w:p>
        </w:tc>
        <w:tc>
          <w:tcPr>
            <w:tcW w:w="2569" w:type="dxa"/>
            <w:tcBorders>
              <w:top w:val="single" w:sz="4" w:space="0" w:color="auto"/>
              <w:left w:val="single" w:sz="4" w:space="0" w:color="auto"/>
              <w:bottom w:val="single" w:sz="4" w:space="0" w:color="auto"/>
              <w:right w:val="single" w:sz="4" w:space="0" w:color="auto"/>
            </w:tcBorders>
          </w:tcPr>
          <w:p w14:paraId="4AF4E2F1" w14:textId="11E8F082" w:rsidR="00DC2F72" w:rsidRPr="00D030DA" w:rsidRDefault="00DC2F72" w:rsidP="00DC2F72">
            <w:pPr>
              <w:keepNext/>
              <w:keepLines/>
              <w:spacing w:before="40" w:after="40"/>
              <w:ind w:right="1134"/>
              <w:rPr>
                <w:rFonts w:eastAsia="MS Mincho"/>
                <w:b/>
                <w:bCs/>
                <w:noProof/>
                <w:lang w:val="fi-FI" w:eastAsia="fi-FI"/>
              </w:rPr>
            </w:pPr>
            <w:r w:rsidRPr="00D030DA">
              <w:rPr>
                <w:rFonts w:eastAsia="MS Mincho"/>
                <w:b/>
                <w:bCs/>
                <w:noProof/>
                <w:lang w:val="fi-FI" w:eastAsia="fi-FI"/>
              </w:rPr>
              <w:t>#/cm</w:t>
            </w:r>
            <w:r w:rsidRPr="00D030DA">
              <w:rPr>
                <w:rFonts w:eastAsia="MS Mincho"/>
                <w:b/>
                <w:bCs/>
                <w:noProof/>
                <w:vertAlign w:val="superscript"/>
                <w:lang w:val="fi-FI" w:eastAsia="fi-FI"/>
              </w:rPr>
              <w:t>3</w:t>
            </w:r>
          </w:p>
        </w:tc>
        <w:tc>
          <w:tcPr>
            <w:tcW w:w="2417" w:type="dxa"/>
            <w:tcBorders>
              <w:top w:val="single" w:sz="4" w:space="0" w:color="auto"/>
              <w:left w:val="single" w:sz="4" w:space="0" w:color="auto"/>
              <w:bottom w:val="single" w:sz="4" w:space="0" w:color="auto"/>
              <w:right w:val="single" w:sz="4" w:space="0" w:color="auto"/>
            </w:tcBorders>
          </w:tcPr>
          <w:p w14:paraId="2FB30A33" w14:textId="305F5929" w:rsidR="00DC2F72" w:rsidRPr="00D030DA" w:rsidRDefault="00DC2F72" w:rsidP="00DC2F72">
            <w:pPr>
              <w:spacing w:before="40" w:after="40"/>
              <w:ind w:right="33"/>
              <w:rPr>
                <w:rFonts w:eastAsia="MS Mincho"/>
                <w:b/>
                <w:bCs/>
                <w:noProof/>
                <w:lang w:eastAsia="fi-FI"/>
              </w:rPr>
            </w:pPr>
            <w:r w:rsidRPr="00D030DA">
              <w:rPr>
                <w:rFonts w:eastAsia="MS Mincho"/>
                <w:b/>
                <w:bCs/>
                <w:noProof/>
                <w:lang w:eastAsia="fi-FI"/>
              </w:rPr>
              <w:t>PM number analyser</w:t>
            </w:r>
          </w:p>
        </w:tc>
      </w:tr>
      <w:tr w:rsidR="00DC2F72" w:rsidRPr="002C7499" w14:paraId="19F9E004" w14:textId="77777777" w:rsidTr="00DC2F72">
        <w:trPr>
          <w:trHeight w:val="243"/>
        </w:trPr>
        <w:tc>
          <w:tcPr>
            <w:tcW w:w="2035" w:type="dxa"/>
            <w:tcBorders>
              <w:top w:val="single" w:sz="4" w:space="0" w:color="auto"/>
              <w:left w:val="single" w:sz="4" w:space="0" w:color="auto"/>
              <w:bottom w:val="single" w:sz="4" w:space="0" w:color="auto"/>
              <w:right w:val="single" w:sz="4" w:space="0" w:color="auto"/>
            </w:tcBorders>
          </w:tcPr>
          <w:p w14:paraId="107852E4" w14:textId="54EC3AA2" w:rsidR="00DC2F72" w:rsidRPr="00D030DA" w:rsidRDefault="00DC2F72" w:rsidP="00DC2F72">
            <w:pPr>
              <w:spacing w:before="40" w:after="40"/>
              <w:ind w:left="34" w:right="113"/>
              <w:rPr>
                <w:rFonts w:eastAsia="MS Mincho"/>
                <w:b/>
                <w:bCs/>
                <w:noProof/>
                <w:lang w:val="fi-FI" w:eastAsia="fi-FI"/>
              </w:rPr>
            </w:pPr>
            <w:r w:rsidRPr="00D030DA">
              <w:rPr>
                <w:rFonts w:eastAsia="MS Mincho"/>
                <w:b/>
                <w:bCs/>
                <w:noProof/>
                <w:lang w:val="fi-FI" w:eastAsia="fi-FI"/>
              </w:rPr>
              <w:t>Dilution setting (if applicable)</w:t>
            </w:r>
          </w:p>
        </w:tc>
        <w:tc>
          <w:tcPr>
            <w:tcW w:w="2569" w:type="dxa"/>
            <w:tcBorders>
              <w:top w:val="single" w:sz="4" w:space="0" w:color="auto"/>
              <w:left w:val="single" w:sz="4" w:space="0" w:color="auto"/>
              <w:bottom w:val="single" w:sz="4" w:space="0" w:color="auto"/>
              <w:right w:val="single" w:sz="4" w:space="0" w:color="auto"/>
            </w:tcBorders>
          </w:tcPr>
          <w:p w14:paraId="73109F16" w14:textId="0592304C" w:rsidR="00DC2F72" w:rsidRPr="00D030DA" w:rsidRDefault="00DC2F72" w:rsidP="00DC2F72">
            <w:pPr>
              <w:keepNext/>
              <w:keepLines/>
              <w:spacing w:before="40" w:after="40"/>
              <w:ind w:right="1134"/>
              <w:rPr>
                <w:rFonts w:eastAsia="MS Mincho"/>
                <w:b/>
                <w:bCs/>
                <w:noProof/>
                <w:lang w:val="fi-FI" w:eastAsia="fi-FI"/>
              </w:rPr>
            </w:pPr>
            <w:r w:rsidRPr="00D030DA">
              <w:rPr>
                <w:rFonts w:eastAsia="MS Mincho"/>
                <w:b/>
                <w:bCs/>
                <w:noProof/>
                <w:lang w:val="fi-FI" w:eastAsia="fi-FI"/>
              </w:rPr>
              <w:t>-</w:t>
            </w:r>
          </w:p>
        </w:tc>
        <w:tc>
          <w:tcPr>
            <w:tcW w:w="2417" w:type="dxa"/>
            <w:tcBorders>
              <w:top w:val="single" w:sz="4" w:space="0" w:color="auto"/>
              <w:left w:val="single" w:sz="4" w:space="0" w:color="auto"/>
              <w:bottom w:val="single" w:sz="4" w:space="0" w:color="auto"/>
              <w:right w:val="single" w:sz="4" w:space="0" w:color="auto"/>
            </w:tcBorders>
          </w:tcPr>
          <w:p w14:paraId="5FB410EB" w14:textId="5453861C" w:rsidR="00DC2F72" w:rsidRPr="00D030DA" w:rsidRDefault="00DC2F72" w:rsidP="00DC2F72">
            <w:pPr>
              <w:spacing w:before="40" w:after="40"/>
              <w:ind w:right="33"/>
              <w:rPr>
                <w:rFonts w:eastAsia="MS Mincho"/>
                <w:b/>
                <w:bCs/>
                <w:noProof/>
                <w:lang w:eastAsia="fi-FI"/>
              </w:rPr>
            </w:pPr>
            <w:r w:rsidRPr="00D030DA">
              <w:rPr>
                <w:rFonts w:eastAsia="MS Mincho"/>
                <w:b/>
                <w:bCs/>
                <w:noProof/>
                <w:lang w:eastAsia="fi-FI"/>
              </w:rPr>
              <w:t>PM number analyser</w:t>
            </w:r>
          </w:p>
        </w:tc>
      </w:tr>
      <w:tr w:rsidR="00DC2F72" w:rsidRPr="00A37FE4" w14:paraId="46A46FE1" w14:textId="77777777" w:rsidTr="00DC2F72">
        <w:trPr>
          <w:trHeight w:val="243"/>
        </w:trPr>
        <w:tc>
          <w:tcPr>
            <w:tcW w:w="2035" w:type="dxa"/>
            <w:tcBorders>
              <w:top w:val="single" w:sz="4" w:space="0" w:color="auto"/>
              <w:left w:val="single" w:sz="4" w:space="0" w:color="auto"/>
              <w:bottom w:val="single" w:sz="4" w:space="0" w:color="auto"/>
              <w:right w:val="single" w:sz="4" w:space="0" w:color="auto"/>
            </w:tcBorders>
            <w:hideMark/>
          </w:tcPr>
          <w:p w14:paraId="2213A85C" w14:textId="77777777" w:rsidR="00DC2F72" w:rsidRPr="002C7499" w:rsidRDefault="00DC2F72" w:rsidP="00DC2F72">
            <w:pPr>
              <w:spacing w:before="40" w:after="40"/>
              <w:ind w:left="34" w:right="113"/>
              <w:rPr>
                <w:rFonts w:eastAsia="MS Mincho"/>
                <w:noProof/>
                <w:lang w:val="fi-FI" w:eastAsia="fi-FI"/>
              </w:rPr>
            </w:pPr>
            <w:r w:rsidRPr="002C7499">
              <w:rPr>
                <w:rFonts w:eastAsia="MS Mincho"/>
                <w:noProof/>
                <w:lang w:val="fi-FI" w:eastAsia="fi-FI"/>
              </w:rPr>
              <w:t>Exhaust gas flow</w:t>
            </w:r>
          </w:p>
        </w:tc>
        <w:tc>
          <w:tcPr>
            <w:tcW w:w="2569" w:type="dxa"/>
            <w:tcBorders>
              <w:top w:val="single" w:sz="4" w:space="0" w:color="auto"/>
              <w:left w:val="single" w:sz="4" w:space="0" w:color="auto"/>
              <w:bottom w:val="single" w:sz="4" w:space="0" w:color="auto"/>
              <w:right w:val="single" w:sz="4" w:space="0" w:color="auto"/>
            </w:tcBorders>
            <w:hideMark/>
          </w:tcPr>
          <w:p w14:paraId="672EA005" w14:textId="77777777" w:rsidR="00DC2F72" w:rsidRPr="002C7499" w:rsidRDefault="00DC2F72" w:rsidP="00DC2F72">
            <w:pPr>
              <w:keepNext/>
              <w:keepLines/>
              <w:spacing w:before="40" w:after="40"/>
              <w:ind w:right="1134"/>
              <w:rPr>
                <w:rFonts w:eastAsia="MS Mincho"/>
                <w:noProof/>
                <w:lang w:val="fi-FI" w:eastAsia="fi-FI"/>
              </w:rPr>
            </w:pPr>
            <w:r w:rsidRPr="002C7499">
              <w:rPr>
                <w:rFonts w:eastAsia="MS Mincho"/>
                <w:noProof/>
                <w:lang w:val="fi-FI" w:eastAsia="fi-FI"/>
              </w:rPr>
              <w:t>kg/h</w:t>
            </w:r>
          </w:p>
        </w:tc>
        <w:tc>
          <w:tcPr>
            <w:tcW w:w="2417" w:type="dxa"/>
            <w:tcBorders>
              <w:top w:val="single" w:sz="4" w:space="0" w:color="auto"/>
              <w:left w:val="single" w:sz="4" w:space="0" w:color="auto"/>
              <w:bottom w:val="single" w:sz="4" w:space="0" w:color="auto"/>
              <w:right w:val="single" w:sz="4" w:space="0" w:color="auto"/>
            </w:tcBorders>
            <w:hideMark/>
          </w:tcPr>
          <w:p w14:paraId="02BDCE6A" w14:textId="77777777" w:rsidR="00DC2F72" w:rsidRPr="000E3905" w:rsidRDefault="00DC2F72" w:rsidP="00DC2F72">
            <w:pPr>
              <w:spacing w:before="40" w:after="40"/>
              <w:ind w:right="33"/>
              <w:rPr>
                <w:rFonts w:eastAsia="MS Mincho"/>
                <w:noProof/>
                <w:lang w:val="de-CH" w:eastAsia="fi-FI"/>
              </w:rPr>
            </w:pPr>
            <w:r w:rsidRPr="000E3905">
              <w:rPr>
                <w:rFonts w:eastAsia="MS Mincho"/>
                <w:noProof/>
                <w:lang w:val="de-CH" w:eastAsia="fi-FI"/>
              </w:rPr>
              <w:t>Exhaust Flow Meter (hereinafter EFM)</w:t>
            </w:r>
          </w:p>
        </w:tc>
      </w:tr>
      <w:tr w:rsidR="00DC2F72" w:rsidRPr="002C7499" w14:paraId="289F970E" w14:textId="77777777" w:rsidTr="00DC2F72">
        <w:trPr>
          <w:trHeight w:val="243"/>
        </w:trPr>
        <w:tc>
          <w:tcPr>
            <w:tcW w:w="2035" w:type="dxa"/>
            <w:tcBorders>
              <w:top w:val="single" w:sz="4" w:space="0" w:color="auto"/>
              <w:left w:val="single" w:sz="4" w:space="0" w:color="auto"/>
              <w:bottom w:val="single" w:sz="4" w:space="0" w:color="auto"/>
              <w:right w:val="single" w:sz="4" w:space="0" w:color="auto"/>
            </w:tcBorders>
            <w:hideMark/>
          </w:tcPr>
          <w:p w14:paraId="2D64ED7F" w14:textId="77777777" w:rsidR="00DC2F72" w:rsidRPr="002C7499" w:rsidRDefault="00DC2F72" w:rsidP="00DC2F72">
            <w:pPr>
              <w:spacing w:before="40" w:after="40"/>
              <w:ind w:left="34" w:right="113"/>
              <w:rPr>
                <w:rFonts w:eastAsia="MS Mincho"/>
                <w:noProof/>
                <w:lang w:val="fi-FI" w:eastAsia="fi-FI"/>
              </w:rPr>
            </w:pPr>
            <w:r w:rsidRPr="002C7499">
              <w:rPr>
                <w:rFonts w:eastAsia="MS Mincho"/>
                <w:noProof/>
                <w:lang w:val="fi-FI" w:eastAsia="fi-FI"/>
              </w:rPr>
              <w:t>Exhaust temperature</w:t>
            </w:r>
          </w:p>
        </w:tc>
        <w:tc>
          <w:tcPr>
            <w:tcW w:w="2569" w:type="dxa"/>
            <w:tcBorders>
              <w:top w:val="single" w:sz="4" w:space="0" w:color="auto"/>
              <w:left w:val="single" w:sz="4" w:space="0" w:color="auto"/>
              <w:bottom w:val="single" w:sz="4" w:space="0" w:color="auto"/>
              <w:right w:val="single" w:sz="4" w:space="0" w:color="auto"/>
            </w:tcBorders>
            <w:hideMark/>
          </w:tcPr>
          <w:p w14:paraId="13F7FB0E" w14:textId="0A920BEC" w:rsidR="00DC2F72" w:rsidRPr="002C7499" w:rsidRDefault="00DC2F72" w:rsidP="00DC2F72">
            <w:pPr>
              <w:keepNext/>
              <w:keepLines/>
              <w:spacing w:before="40" w:after="40"/>
              <w:ind w:right="1134"/>
              <w:rPr>
                <w:rFonts w:eastAsia="MS Mincho"/>
                <w:noProof/>
                <w:lang w:val="fi-FI" w:eastAsia="fi-FI"/>
              </w:rPr>
            </w:pPr>
            <w:r w:rsidRPr="003109B3">
              <w:rPr>
                <w:rFonts w:eastAsia="MS Mincho"/>
                <w:strike/>
                <w:noProof/>
                <w:vertAlign w:val="superscript"/>
                <w:lang w:val="fi-FI" w:eastAsia="fi-FI"/>
              </w:rPr>
              <w:t>o</w:t>
            </w:r>
            <w:r w:rsidRPr="002C7499">
              <w:rPr>
                <w:rFonts w:eastAsia="MS Mincho"/>
                <w:noProof/>
                <w:lang w:val="fi-FI" w:eastAsia="fi-FI"/>
              </w:rPr>
              <w:t>K</w:t>
            </w:r>
          </w:p>
        </w:tc>
        <w:tc>
          <w:tcPr>
            <w:tcW w:w="2417" w:type="dxa"/>
            <w:tcBorders>
              <w:top w:val="single" w:sz="4" w:space="0" w:color="auto"/>
              <w:left w:val="single" w:sz="4" w:space="0" w:color="auto"/>
              <w:bottom w:val="single" w:sz="4" w:space="0" w:color="auto"/>
              <w:right w:val="single" w:sz="4" w:space="0" w:color="auto"/>
            </w:tcBorders>
            <w:hideMark/>
          </w:tcPr>
          <w:p w14:paraId="2B66FA5D" w14:textId="77777777" w:rsidR="00DC2F72" w:rsidRPr="002C7499" w:rsidRDefault="00DC2F72" w:rsidP="00DC2F72">
            <w:pPr>
              <w:spacing w:before="40" w:after="40"/>
              <w:ind w:right="33"/>
              <w:rPr>
                <w:rFonts w:eastAsia="MS Mincho"/>
                <w:noProof/>
                <w:lang w:val="fi-FI" w:eastAsia="fi-FI"/>
              </w:rPr>
            </w:pPr>
            <w:r w:rsidRPr="002C7499">
              <w:rPr>
                <w:rFonts w:eastAsia="MS Mincho"/>
                <w:noProof/>
                <w:lang w:val="fi-FI" w:eastAsia="fi-FI"/>
              </w:rPr>
              <w:t>EFM</w:t>
            </w:r>
          </w:p>
        </w:tc>
      </w:tr>
      <w:tr w:rsidR="00DC2F72" w:rsidRPr="002C7499" w14:paraId="31EC6AD1" w14:textId="77777777" w:rsidTr="00DC2F72">
        <w:trPr>
          <w:trHeight w:val="243"/>
        </w:trPr>
        <w:tc>
          <w:tcPr>
            <w:tcW w:w="2035" w:type="dxa"/>
            <w:tcBorders>
              <w:top w:val="single" w:sz="4" w:space="0" w:color="auto"/>
              <w:left w:val="single" w:sz="4" w:space="0" w:color="auto"/>
              <w:bottom w:val="single" w:sz="4" w:space="0" w:color="auto"/>
              <w:right w:val="single" w:sz="4" w:space="0" w:color="auto"/>
            </w:tcBorders>
            <w:hideMark/>
          </w:tcPr>
          <w:p w14:paraId="0D72C2B0" w14:textId="77777777" w:rsidR="00DC2F72" w:rsidRPr="002C7499" w:rsidRDefault="00DC2F72" w:rsidP="00DC2F72">
            <w:pPr>
              <w:spacing w:before="40" w:after="40"/>
              <w:ind w:left="34" w:right="113"/>
              <w:rPr>
                <w:rFonts w:eastAsia="MS Mincho"/>
                <w:noProof/>
                <w:lang w:val="fi-FI" w:eastAsia="fi-FI"/>
              </w:rPr>
            </w:pPr>
            <w:r w:rsidRPr="002C7499">
              <w:rPr>
                <w:rFonts w:eastAsia="MS Mincho"/>
                <w:noProof/>
                <w:lang w:val="fi-FI" w:eastAsia="fi-FI"/>
              </w:rPr>
              <w:t>Ambient temperature</w:t>
            </w:r>
            <w:r w:rsidRPr="002C7499">
              <w:rPr>
                <w:rFonts w:eastAsia="MS Mincho"/>
                <w:noProof/>
                <w:vertAlign w:val="superscript"/>
                <w:lang w:val="fi-FI" w:eastAsia="fi-FI"/>
              </w:rPr>
              <w:t>3</w:t>
            </w:r>
          </w:p>
        </w:tc>
        <w:tc>
          <w:tcPr>
            <w:tcW w:w="2569" w:type="dxa"/>
            <w:tcBorders>
              <w:top w:val="single" w:sz="4" w:space="0" w:color="auto"/>
              <w:left w:val="single" w:sz="4" w:space="0" w:color="auto"/>
              <w:bottom w:val="single" w:sz="4" w:space="0" w:color="auto"/>
              <w:right w:val="single" w:sz="4" w:space="0" w:color="auto"/>
            </w:tcBorders>
            <w:hideMark/>
          </w:tcPr>
          <w:p w14:paraId="06A3A22C" w14:textId="31DD7B5F" w:rsidR="00DC2F72" w:rsidRPr="002C7499" w:rsidRDefault="00DC2F72" w:rsidP="00DC2F72">
            <w:pPr>
              <w:keepNext/>
              <w:keepLines/>
              <w:spacing w:before="40" w:after="40"/>
              <w:ind w:right="1134"/>
              <w:rPr>
                <w:rFonts w:eastAsia="MS Mincho"/>
                <w:noProof/>
                <w:lang w:val="fi-FI" w:eastAsia="fi-FI"/>
              </w:rPr>
            </w:pPr>
            <w:r w:rsidRPr="003109B3">
              <w:rPr>
                <w:rFonts w:eastAsia="MS Mincho"/>
                <w:strike/>
                <w:noProof/>
                <w:vertAlign w:val="superscript"/>
                <w:lang w:val="fi-FI" w:eastAsia="fi-FI"/>
              </w:rPr>
              <w:t>o</w:t>
            </w:r>
            <w:r w:rsidRPr="002C7499">
              <w:rPr>
                <w:rFonts w:eastAsia="MS Mincho"/>
                <w:noProof/>
                <w:lang w:val="fi-FI" w:eastAsia="fi-FI"/>
              </w:rPr>
              <w:t>K</w:t>
            </w:r>
          </w:p>
        </w:tc>
        <w:tc>
          <w:tcPr>
            <w:tcW w:w="2417" w:type="dxa"/>
            <w:tcBorders>
              <w:top w:val="single" w:sz="4" w:space="0" w:color="auto"/>
              <w:left w:val="single" w:sz="4" w:space="0" w:color="auto"/>
              <w:bottom w:val="single" w:sz="4" w:space="0" w:color="auto"/>
              <w:right w:val="single" w:sz="4" w:space="0" w:color="auto"/>
            </w:tcBorders>
            <w:hideMark/>
          </w:tcPr>
          <w:p w14:paraId="4E91295B" w14:textId="77777777" w:rsidR="00DC2F72" w:rsidRPr="002C7499" w:rsidRDefault="00DC2F72" w:rsidP="00DC2F72">
            <w:pPr>
              <w:spacing w:before="40" w:after="40"/>
              <w:ind w:right="33"/>
              <w:rPr>
                <w:rFonts w:eastAsia="MS Mincho"/>
                <w:noProof/>
                <w:lang w:val="fi-FI" w:eastAsia="fi-FI"/>
              </w:rPr>
            </w:pPr>
            <w:r w:rsidRPr="002C7499">
              <w:rPr>
                <w:rFonts w:eastAsia="MS Mincho"/>
                <w:noProof/>
                <w:lang w:val="fi-FI" w:eastAsia="fi-FI"/>
              </w:rPr>
              <w:t>Sensor</w:t>
            </w:r>
          </w:p>
        </w:tc>
      </w:tr>
      <w:tr w:rsidR="00DC2F72" w:rsidRPr="002C7499" w14:paraId="5237E262" w14:textId="77777777" w:rsidTr="00DC2F72">
        <w:trPr>
          <w:trHeight w:val="243"/>
        </w:trPr>
        <w:tc>
          <w:tcPr>
            <w:tcW w:w="2035" w:type="dxa"/>
            <w:tcBorders>
              <w:top w:val="single" w:sz="4" w:space="0" w:color="auto"/>
              <w:left w:val="single" w:sz="4" w:space="0" w:color="auto"/>
              <w:bottom w:val="single" w:sz="4" w:space="0" w:color="auto"/>
              <w:right w:val="single" w:sz="4" w:space="0" w:color="auto"/>
            </w:tcBorders>
            <w:hideMark/>
          </w:tcPr>
          <w:p w14:paraId="55CA96D6" w14:textId="77777777" w:rsidR="00DC2F72" w:rsidRPr="002C7499" w:rsidRDefault="00DC2F72" w:rsidP="00DC2F72">
            <w:pPr>
              <w:spacing w:before="40" w:after="40"/>
              <w:ind w:left="34" w:right="113"/>
              <w:rPr>
                <w:rFonts w:eastAsia="MS Mincho"/>
                <w:noProof/>
                <w:lang w:val="fi-FI" w:eastAsia="fi-FI"/>
              </w:rPr>
            </w:pPr>
            <w:r w:rsidRPr="002C7499">
              <w:rPr>
                <w:rFonts w:eastAsia="MS Mincho"/>
                <w:noProof/>
                <w:lang w:val="fi-FI" w:eastAsia="fi-FI"/>
              </w:rPr>
              <w:t>Ambient pressure</w:t>
            </w:r>
          </w:p>
        </w:tc>
        <w:tc>
          <w:tcPr>
            <w:tcW w:w="2569" w:type="dxa"/>
            <w:tcBorders>
              <w:top w:val="single" w:sz="4" w:space="0" w:color="auto"/>
              <w:left w:val="single" w:sz="4" w:space="0" w:color="auto"/>
              <w:bottom w:val="single" w:sz="4" w:space="0" w:color="auto"/>
              <w:right w:val="single" w:sz="4" w:space="0" w:color="auto"/>
            </w:tcBorders>
            <w:hideMark/>
          </w:tcPr>
          <w:p w14:paraId="58097173" w14:textId="77777777" w:rsidR="00DC2F72" w:rsidRPr="002C7499" w:rsidRDefault="00DC2F72" w:rsidP="00DC2F72">
            <w:pPr>
              <w:keepNext/>
              <w:keepLines/>
              <w:spacing w:before="40" w:after="40"/>
              <w:ind w:right="1134"/>
              <w:rPr>
                <w:rFonts w:eastAsia="MS Mincho"/>
                <w:noProof/>
                <w:lang w:val="fi-FI" w:eastAsia="fi-FI"/>
              </w:rPr>
            </w:pPr>
            <w:r w:rsidRPr="002C7499">
              <w:rPr>
                <w:rFonts w:eastAsia="MS Mincho"/>
                <w:noProof/>
                <w:lang w:val="fi-FI" w:eastAsia="fi-FI"/>
              </w:rPr>
              <w:t>kPa</w:t>
            </w:r>
          </w:p>
        </w:tc>
        <w:tc>
          <w:tcPr>
            <w:tcW w:w="2417" w:type="dxa"/>
            <w:tcBorders>
              <w:top w:val="single" w:sz="4" w:space="0" w:color="auto"/>
              <w:left w:val="single" w:sz="4" w:space="0" w:color="auto"/>
              <w:bottom w:val="single" w:sz="4" w:space="0" w:color="auto"/>
              <w:right w:val="single" w:sz="4" w:space="0" w:color="auto"/>
            </w:tcBorders>
            <w:hideMark/>
          </w:tcPr>
          <w:p w14:paraId="7D521D38" w14:textId="77777777" w:rsidR="00DC2F72" w:rsidRPr="002C7499" w:rsidRDefault="00DC2F72" w:rsidP="00DC2F72">
            <w:pPr>
              <w:spacing w:before="40" w:after="40"/>
              <w:ind w:right="33"/>
              <w:rPr>
                <w:rFonts w:eastAsia="MS Mincho"/>
                <w:noProof/>
                <w:lang w:val="fi-FI" w:eastAsia="fi-FI"/>
              </w:rPr>
            </w:pPr>
            <w:r w:rsidRPr="002C7499">
              <w:rPr>
                <w:rFonts w:eastAsia="MS Mincho"/>
                <w:noProof/>
                <w:lang w:val="fi-FI" w:eastAsia="fi-FI"/>
              </w:rPr>
              <w:t>Sensor</w:t>
            </w:r>
          </w:p>
        </w:tc>
      </w:tr>
      <w:tr w:rsidR="00DC2F72" w:rsidRPr="002C7499" w14:paraId="030BD880" w14:textId="77777777" w:rsidTr="00DC2F72">
        <w:trPr>
          <w:trHeight w:val="243"/>
        </w:trPr>
        <w:tc>
          <w:tcPr>
            <w:tcW w:w="2035" w:type="dxa"/>
            <w:tcBorders>
              <w:top w:val="single" w:sz="4" w:space="0" w:color="auto"/>
              <w:left w:val="single" w:sz="4" w:space="0" w:color="auto"/>
              <w:bottom w:val="single" w:sz="4" w:space="0" w:color="auto"/>
              <w:right w:val="single" w:sz="4" w:space="0" w:color="auto"/>
            </w:tcBorders>
            <w:hideMark/>
          </w:tcPr>
          <w:p w14:paraId="44F498F3" w14:textId="77777777" w:rsidR="00DC2F72" w:rsidRPr="002C7499" w:rsidRDefault="00DC2F72" w:rsidP="00DC2F72">
            <w:pPr>
              <w:spacing w:before="40" w:after="40"/>
              <w:ind w:left="34" w:right="113"/>
              <w:rPr>
                <w:rFonts w:eastAsia="MS Mincho"/>
                <w:noProof/>
                <w:lang w:val="fi-FI" w:eastAsia="fi-FI"/>
              </w:rPr>
            </w:pPr>
            <w:r w:rsidRPr="002C7499">
              <w:rPr>
                <w:rFonts w:eastAsia="MS Mincho"/>
                <w:noProof/>
                <w:lang w:val="fi-FI" w:eastAsia="fi-FI"/>
              </w:rPr>
              <w:t>Engine torque</w:t>
            </w:r>
            <w:r w:rsidRPr="002C7499">
              <w:rPr>
                <w:rFonts w:eastAsia="MS Mincho"/>
                <w:noProof/>
                <w:vertAlign w:val="superscript"/>
                <w:lang w:val="fi-FI" w:eastAsia="fi-FI"/>
              </w:rPr>
              <w:t>4</w:t>
            </w:r>
          </w:p>
        </w:tc>
        <w:tc>
          <w:tcPr>
            <w:tcW w:w="2569" w:type="dxa"/>
            <w:tcBorders>
              <w:top w:val="single" w:sz="4" w:space="0" w:color="auto"/>
              <w:left w:val="single" w:sz="4" w:space="0" w:color="auto"/>
              <w:bottom w:val="single" w:sz="4" w:space="0" w:color="auto"/>
              <w:right w:val="single" w:sz="4" w:space="0" w:color="auto"/>
            </w:tcBorders>
            <w:hideMark/>
          </w:tcPr>
          <w:p w14:paraId="769C89D3" w14:textId="77777777" w:rsidR="00DC2F72" w:rsidRPr="002C7499" w:rsidRDefault="00DC2F72" w:rsidP="00DC2F72">
            <w:pPr>
              <w:keepNext/>
              <w:keepLines/>
              <w:spacing w:before="40" w:after="40"/>
              <w:ind w:right="1134"/>
              <w:rPr>
                <w:rFonts w:eastAsia="MS Mincho"/>
                <w:noProof/>
                <w:lang w:val="fi-FI" w:eastAsia="fi-FI"/>
              </w:rPr>
            </w:pPr>
            <w:r w:rsidRPr="002C7499">
              <w:rPr>
                <w:rFonts w:eastAsia="MS Mincho"/>
                <w:noProof/>
                <w:lang w:val="fi-FI" w:eastAsia="fi-FI"/>
              </w:rPr>
              <w:t>Nm</w:t>
            </w:r>
          </w:p>
        </w:tc>
        <w:tc>
          <w:tcPr>
            <w:tcW w:w="2417" w:type="dxa"/>
            <w:tcBorders>
              <w:top w:val="single" w:sz="4" w:space="0" w:color="auto"/>
              <w:left w:val="single" w:sz="4" w:space="0" w:color="auto"/>
              <w:bottom w:val="single" w:sz="4" w:space="0" w:color="auto"/>
              <w:right w:val="single" w:sz="4" w:space="0" w:color="auto"/>
            </w:tcBorders>
            <w:hideMark/>
          </w:tcPr>
          <w:p w14:paraId="6E6064E7" w14:textId="77777777" w:rsidR="00DC2F72" w:rsidRPr="002C7499" w:rsidRDefault="00DC2F72" w:rsidP="00DC2F72">
            <w:pPr>
              <w:spacing w:before="40" w:after="40"/>
              <w:ind w:right="33"/>
              <w:rPr>
                <w:rFonts w:eastAsia="MS Mincho"/>
                <w:noProof/>
                <w:lang w:val="fi-FI" w:eastAsia="fi-FI"/>
              </w:rPr>
            </w:pPr>
            <w:r w:rsidRPr="002C7499">
              <w:rPr>
                <w:rFonts w:eastAsia="MS Mincho"/>
                <w:noProof/>
                <w:lang w:val="fi-FI" w:eastAsia="fi-FI"/>
              </w:rPr>
              <w:t>ECU or Sensor</w:t>
            </w:r>
          </w:p>
        </w:tc>
      </w:tr>
      <w:tr w:rsidR="00DC2F72" w:rsidRPr="002C7499" w14:paraId="52C16341" w14:textId="77777777" w:rsidTr="00DC2F72">
        <w:trPr>
          <w:trHeight w:val="243"/>
        </w:trPr>
        <w:tc>
          <w:tcPr>
            <w:tcW w:w="2035" w:type="dxa"/>
            <w:tcBorders>
              <w:top w:val="single" w:sz="4" w:space="0" w:color="auto"/>
              <w:left w:val="single" w:sz="4" w:space="0" w:color="auto"/>
              <w:bottom w:val="single" w:sz="4" w:space="0" w:color="auto"/>
              <w:right w:val="single" w:sz="4" w:space="0" w:color="auto"/>
            </w:tcBorders>
            <w:hideMark/>
          </w:tcPr>
          <w:p w14:paraId="787D4D3C" w14:textId="77777777" w:rsidR="00DC2F72" w:rsidRPr="002C7499" w:rsidRDefault="00DC2F72" w:rsidP="00DC2F72">
            <w:pPr>
              <w:spacing w:before="40" w:after="40"/>
              <w:ind w:left="34" w:right="113"/>
              <w:rPr>
                <w:rFonts w:eastAsia="MS Mincho"/>
                <w:noProof/>
                <w:lang w:val="fi-FI" w:eastAsia="fi-FI"/>
              </w:rPr>
            </w:pPr>
            <w:r w:rsidRPr="002C7499">
              <w:rPr>
                <w:rFonts w:eastAsia="MS Mincho"/>
                <w:noProof/>
                <w:lang w:val="fi-FI" w:eastAsia="fi-FI"/>
              </w:rPr>
              <w:t>Engine speed</w:t>
            </w:r>
          </w:p>
        </w:tc>
        <w:tc>
          <w:tcPr>
            <w:tcW w:w="2569" w:type="dxa"/>
            <w:tcBorders>
              <w:top w:val="single" w:sz="4" w:space="0" w:color="auto"/>
              <w:left w:val="single" w:sz="4" w:space="0" w:color="auto"/>
              <w:bottom w:val="single" w:sz="4" w:space="0" w:color="auto"/>
              <w:right w:val="single" w:sz="4" w:space="0" w:color="auto"/>
            </w:tcBorders>
            <w:hideMark/>
          </w:tcPr>
          <w:p w14:paraId="7A08F37A" w14:textId="77777777" w:rsidR="00DC2F72" w:rsidRPr="002C7499" w:rsidRDefault="00DC2F72" w:rsidP="00DC2F72">
            <w:pPr>
              <w:keepNext/>
              <w:keepLines/>
              <w:spacing w:before="40" w:after="40"/>
              <w:ind w:right="1134"/>
              <w:rPr>
                <w:rFonts w:eastAsia="MS Mincho"/>
                <w:noProof/>
                <w:lang w:val="fi-FI" w:eastAsia="fi-FI"/>
              </w:rPr>
            </w:pPr>
            <w:r w:rsidRPr="002C7499">
              <w:rPr>
                <w:rFonts w:eastAsia="MS Mincho"/>
                <w:noProof/>
                <w:lang w:val="fi-FI" w:eastAsia="fi-FI"/>
              </w:rPr>
              <w:t>rpm</w:t>
            </w:r>
          </w:p>
        </w:tc>
        <w:tc>
          <w:tcPr>
            <w:tcW w:w="2417" w:type="dxa"/>
            <w:tcBorders>
              <w:top w:val="single" w:sz="4" w:space="0" w:color="auto"/>
              <w:left w:val="single" w:sz="4" w:space="0" w:color="auto"/>
              <w:bottom w:val="single" w:sz="4" w:space="0" w:color="auto"/>
              <w:right w:val="single" w:sz="4" w:space="0" w:color="auto"/>
            </w:tcBorders>
            <w:hideMark/>
          </w:tcPr>
          <w:p w14:paraId="447189D4" w14:textId="77777777" w:rsidR="00DC2F72" w:rsidRPr="002C7499" w:rsidRDefault="00DC2F72" w:rsidP="00DC2F72">
            <w:pPr>
              <w:spacing w:before="40" w:after="40"/>
              <w:ind w:right="33"/>
              <w:rPr>
                <w:rFonts w:eastAsia="MS Mincho"/>
                <w:noProof/>
                <w:lang w:val="fi-FI" w:eastAsia="fi-FI"/>
              </w:rPr>
            </w:pPr>
            <w:r w:rsidRPr="002C7499">
              <w:rPr>
                <w:rFonts w:eastAsia="MS Mincho"/>
                <w:noProof/>
                <w:lang w:val="fi-FI" w:eastAsia="fi-FI"/>
              </w:rPr>
              <w:t>ECU or Sensor</w:t>
            </w:r>
          </w:p>
        </w:tc>
      </w:tr>
      <w:tr w:rsidR="00DC2F72" w:rsidRPr="002C7499" w14:paraId="3B3D368A" w14:textId="77777777" w:rsidTr="00DC2F72">
        <w:trPr>
          <w:trHeight w:val="243"/>
        </w:trPr>
        <w:tc>
          <w:tcPr>
            <w:tcW w:w="2035" w:type="dxa"/>
            <w:tcBorders>
              <w:top w:val="single" w:sz="4" w:space="0" w:color="auto"/>
              <w:left w:val="single" w:sz="4" w:space="0" w:color="auto"/>
              <w:bottom w:val="single" w:sz="4" w:space="0" w:color="auto"/>
              <w:right w:val="single" w:sz="4" w:space="0" w:color="auto"/>
            </w:tcBorders>
            <w:hideMark/>
          </w:tcPr>
          <w:p w14:paraId="60099B43" w14:textId="77777777" w:rsidR="00DC2F72" w:rsidRPr="002C7499" w:rsidRDefault="00DC2F72" w:rsidP="00DC2F72">
            <w:pPr>
              <w:spacing w:before="40" w:after="40"/>
              <w:ind w:left="34" w:right="113"/>
              <w:rPr>
                <w:rFonts w:eastAsia="MS Mincho"/>
                <w:noProof/>
                <w:lang w:val="fi-FI" w:eastAsia="fi-FI"/>
              </w:rPr>
            </w:pPr>
            <w:r w:rsidRPr="002C7499">
              <w:rPr>
                <w:rFonts w:eastAsia="MS Mincho"/>
                <w:noProof/>
                <w:lang w:val="fi-FI" w:eastAsia="fi-FI"/>
              </w:rPr>
              <w:t>Engine fuel flow</w:t>
            </w:r>
          </w:p>
        </w:tc>
        <w:tc>
          <w:tcPr>
            <w:tcW w:w="2569" w:type="dxa"/>
            <w:tcBorders>
              <w:top w:val="single" w:sz="4" w:space="0" w:color="auto"/>
              <w:left w:val="single" w:sz="4" w:space="0" w:color="auto"/>
              <w:bottom w:val="single" w:sz="4" w:space="0" w:color="auto"/>
              <w:right w:val="single" w:sz="4" w:space="0" w:color="auto"/>
            </w:tcBorders>
            <w:hideMark/>
          </w:tcPr>
          <w:p w14:paraId="6B9653B2" w14:textId="77777777" w:rsidR="00DC2F72" w:rsidRPr="002C7499" w:rsidRDefault="00DC2F72" w:rsidP="00DC2F72">
            <w:pPr>
              <w:keepNext/>
              <w:keepLines/>
              <w:spacing w:before="40" w:after="40"/>
              <w:ind w:right="1134"/>
              <w:rPr>
                <w:rFonts w:eastAsia="MS Mincho"/>
                <w:noProof/>
                <w:lang w:val="fi-FI" w:eastAsia="fi-FI"/>
              </w:rPr>
            </w:pPr>
            <w:r w:rsidRPr="002C7499">
              <w:rPr>
                <w:rFonts w:eastAsia="MS Mincho"/>
                <w:noProof/>
                <w:lang w:val="fi-FI" w:eastAsia="fi-FI"/>
              </w:rPr>
              <w:t>g/s</w:t>
            </w:r>
          </w:p>
        </w:tc>
        <w:tc>
          <w:tcPr>
            <w:tcW w:w="2417" w:type="dxa"/>
            <w:tcBorders>
              <w:top w:val="single" w:sz="4" w:space="0" w:color="auto"/>
              <w:left w:val="single" w:sz="4" w:space="0" w:color="auto"/>
              <w:bottom w:val="single" w:sz="4" w:space="0" w:color="auto"/>
              <w:right w:val="single" w:sz="4" w:space="0" w:color="auto"/>
            </w:tcBorders>
            <w:hideMark/>
          </w:tcPr>
          <w:p w14:paraId="0115C542" w14:textId="77777777" w:rsidR="00DC2F72" w:rsidRPr="002C7499" w:rsidRDefault="00DC2F72" w:rsidP="00DC2F72">
            <w:pPr>
              <w:spacing w:before="40" w:after="40"/>
              <w:ind w:right="33"/>
              <w:rPr>
                <w:rFonts w:eastAsia="MS Mincho"/>
                <w:noProof/>
                <w:lang w:val="fi-FI" w:eastAsia="fi-FI"/>
              </w:rPr>
            </w:pPr>
            <w:r w:rsidRPr="002C7499">
              <w:rPr>
                <w:rFonts w:eastAsia="MS Mincho"/>
                <w:noProof/>
                <w:lang w:val="fi-FI" w:eastAsia="fi-FI"/>
              </w:rPr>
              <w:t>ECU or Sensor</w:t>
            </w:r>
          </w:p>
        </w:tc>
      </w:tr>
      <w:tr w:rsidR="00DC2F72" w:rsidRPr="002C7499" w14:paraId="073C741F" w14:textId="77777777" w:rsidTr="00DC2F72">
        <w:trPr>
          <w:trHeight w:val="243"/>
        </w:trPr>
        <w:tc>
          <w:tcPr>
            <w:tcW w:w="2035" w:type="dxa"/>
            <w:tcBorders>
              <w:top w:val="single" w:sz="4" w:space="0" w:color="auto"/>
              <w:left w:val="single" w:sz="4" w:space="0" w:color="auto"/>
              <w:bottom w:val="single" w:sz="4" w:space="0" w:color="auto"/>
              <w:right w:val="single" w:sz="4" w:space="0" w:color="auto"/>
            </w:tcBorders>
            <w:hideMark/>
          </w:tcPr>
          <w:p w14:paraId="36622380" w14:textId="77777777" w:rsidR="00DC2F72" w:rsidRPr="002C7499" w:rsidRDefault="00DC2F72" w:rsidP="00DC2F72">
            <w:pPr>
              <w:spacing w:before="40" w:after="40"/>
              <w:ind w:left="34" w:right="113"/>
              <w:rPr>
                <w:rFonts w:eastAsia="MS Mincho"/>
                <w:noProof/>
                <w:lang w:val="fi-FI" w:eastAsia="fi-FI"/>
              </w:rPr>
            </w:pPr>
            <w:r w:rsidRPr="002C7499">
              <w:rPr>
                <w:rFonts w:eastAsia="MS Mincho"/>
                <w:noProof/>
                <w:lang w:val="fi-FI" w:eastAsia="fi-FI"/>
              </w:rPr>
              <w:t>Engine coolant temperature</w:t>
            </w:r>
          </w:p>
        </w:tc>
        <w:tc>
          <w:tcPr>
            <w:tcW w:w="2569" w:type="dxa"/>
            <w:tcBorders>
              <w:top w:val="single" w:sz="4" w:space="0" w:color="auto"/>
              <w:left w:val="single" w:sz="4" w:space="0" w:color="auto"/>
              <w:bottom w:val="single" w:sz="4" w:space="0" w:color="auto"/>
              <w:right w:val="single" w:sz="4" w:space="0" w:color="auto"/>
            </w:tcBorders>
            <w:hideMark/>
          </w:tcPr>
          <w:p w14:paraId="6DF8C2DC" w14:textId="18D2A7AF" w:rsidR="00DC2F72" w:rsidRPr="002C7499" w:rsidRDefault="00DC2F72" w:rsidP="00DC2F72">
            <w:pPr>
              <w:keepNext/>
              <w:keepLines/>
              <w:spacing w:before="40" w:after="40"/>
              <w:ind w:right="1134"/>
              <w:rPr>
                <w:rFonts w:eastAsia="MS Mincho"/>
                <w:noProof/>
                <w:lang w:val="fi-FI" w:eastAsia="fi-FI"/>
              </w:rPr>
            </w:pPr>
            <w:r w:rsidRPr="003109B3">
              <w:rPr>
                <w:rFonts w:eastAsia="MS Mincho"/>
                <w:strike/>
                <w:noProof/>
                <w:vertAlign w:val="superscript"/>
                <w:lang w:val="fi-FI" w:eastAsia="fi-FI"/>
              </w:rPr>
              <w:t>o</w:t>
            </w:r>
            <w:r w:rsidRPr="002C7499">
              <w:rPr>
                <w:rFonts w:eastAsia="MS Mincho"/>
                <w:noProof/>
                <w:lang w:val="fi-FI" w:eastAsia="fi-FI"/>
              </w:rPr>
              <w:t>K</w:t>
            </w:r>
          </w:p>
        </w:tc>
        <w:tc>
          <w:tcPr>
            <w:tcW w:w="2417" w:type="dxa"/>
            <w:tcBorders>
              <w:top w:val="single" w:sz="4" w:space="0" w:color="auto"/>
              <w:left w:val="single" w:sz="4" w:space="0" w:color="auto"/>
              <w:bottom w:val="single" w:sz="4" w:space="0" w:color="auto"/>
              <w:right w:val="single" w:sz="4" w:space="0" w:color="auto"/>
            </w:tcBorders>
            <w:hideMark/>
          </w:tcPr>
          <w:p w14:paraId="7B585832" w14:textId="77777777" w:rsidR="00DC2F72" w:rsidRPr="002C7499" w:rsidRDefault="00DC2F72" w:rsidP="00DC2F72">
            <w:pPr>
              <w:spacing w:before="40" w:after="40"/>
              <w:ind w:right="33"/>
              <w:rPr>
                <w:rFonts w:eastAsia="MS Mincho"/>
                <w:noProof/>
                <w:lang w:val="fi-FI" w:eastAsia="fi-FI"/>
              </w:rPr>
            </w:pPr>
            <w:r w:rsidRPr="002C7499">
              <w:rPr>
                <w:rFonts w:eastAsia="MS Mincho"/>
                <w:noProof/>
                <w:lang w:val="fi-FI" w:eastAsia="fi-FI"/>
              </w:rPr>
              <w:t>ECU or Sensor</w:t>
            </w:r>
          </w:p>
        </w:tc>
      </w:tr>
      <w:tr w:rsidR="00DC2F72" w:rsidRPr="002C7499" w14:paraId="6383D692" w14:textId="77777777" w:rsidTr="00DC2F72">
        <w:trPr>
          <w:trHeight w:val="243"/>
        </w:trPr>
        <w:tc>
          <w:tcPr>
            <w:tcW w:w="2035" w:type="dxa"/>
            <w:tcBorders>
              <w:top w:val="single" w:sz="4" w:space="0" w:color="auto"/>
              <w:left w:val="single" w:sz="4" w:space="0" w:color="auto"/>
              <w:bottom w:val="single" w:sz="4" w:space="0" w:color="auto"/>
              <w:right w:val="single" w:sz="4" w:space="0" w:color="auto"/>
            </w:tcBorders>
            <w:hideMark/>
          </w:tcPr>
          <w:p w14:paraId="353F89C7" w14:textId="77777777" w:rsidR="00DC2F72" w:rsidRPr="002C7499" w:rsidRDefault="00DC2F72" w:rsidP="00DC2F72">
            <w:pPr>
              <w:spacing w:before="40" w:after="40"/>
              <w:ind w:left="34" w:right="113"/>
              <w:rPr>
                <w:rFonts w:eastAsia="MS Mincho"/>
                <w:noProof/>
                <w:lang w:val="fi-FI" w:eastAsia="fi-FI"/>
              </w:rPr>
            </w:pPr>
            <w:r w:rsidRPr="002C7499">
              <w:rPr>
                <w:rFonts w:eastAsia="MS Mincho"/>
                <w:noProof/>
                <w:lang w:val="fi-FI" w:eastAsia="fi-FI"/>
              </w:rPr>
              <w:t>Engine intake air temperature</w:t>
            </w:r>
            <w:r w:rsidRPr="002C7499">
              <w:rPr>
                <w:rFonts w:eastAsia="MS Mincho"/>
                <w:noProof/>
                <w:vertAlign w:val="superscript"/>
                <w:lang w:val="fi-FI" w:eastAsia="fi-FI"/>
              </w:rPr>
              <w:t>3</w:t>
            </w:r>
          </w:p>
        </w:tc>
        <w:tc>
          <w:tcPr>
            <w:tcW w:w="2569" w:type="dxa"/>
            <w:tcBorders>
              <w:top w:val="single" w:sz="4" w:space="0" w:color="auto"/>
              <w:left w:val="single" w:sz="4" w:space="0" w:color="auto"/>
              <w:bottom w:val="single" w:sz="4" w:space="0" w:color="auto"/>
              <w:right w:val="single" w:sz="4" w:space="0" w:color="auto"/>
            </w:tcBorders>
            <w:hideMark/>
          </w:tcPr>
          <w:p w14:paraId="619559D4" w14:textId="64779294" w:rsidR="00DC2F72" w:rsidRPr="002C7499" w:rsidRDefault="00DC2F72" w:rsidP="00DC2F72">
            <w:pPr>
              <w:keepNext/>
              <w:keepLines/>
              <w:spacing w:before="40" w:after="40"/>
              <w:ind w:right="1134"/>
              <w:rPr>
                <w:rFonts w:eastAsia="MS Mincho"/>
                <w:noProof/>
                <w:lang w:val="fi-FI" w:eastAsia="fi-FI"/>
              </w:rPr>
            </w:pPr>
            <w:r w:rsidRPr="003109B3">
              <w:rPr>
                <w:rFonts w:eastAsia="MS Mincho"/>
                <w:strike/>
                <w:noProof/>
                <w:vertAlign w:val="superscript"/>
                <w:lang w:val="fi-FI" w:eastAsia="fi-FI"/>
              </w:rPr>
              <w:t>o</w:t>
            </w:r>
            <w:r w:rsidRPr="002C7499">
              <w:rPr>
                <w:rFonts w:eastAsia="MS Mincho"/>
                <w:noProof/>
                <w:lang w:val="fi-FI" w:eastAsia="fi-FI"/>
              </w:rPr>
              <w:t>K</w:t>
            </w:r>
          </w:p>
        </w:tc>
        <w:tc>
          <w:tcPr>
            <w:tcW w:w="2417" w:type="dxa"/>
            <w:tcBorders>
              <w:top w:val="single" w:sz="4" w:space="0" w:color="auto"/>
              <w:left w:val="single" w:sz="4" w:space="0" w:color="auto"/>
              <w:bottom w:val="single" w:sz="4" w:space="0" w:color="auto"/>
              <w:right w:val="single" w:sz="4" w:space="0" w:color="auto"/>
            </w:tcBorders>
            <w:hideMark/>
          </w:tcPr>
          <w:p w14:paraId="39A3FF3F" w14:textId="77777777" w:rsidR="00DC2F72" w:rsidRPr="002C7499" w:rsidRDefault="00DC2F72" w:rsidP="00DC2F72">
            <w:pPr>
              <w:spacing w:before="40" w:after="40"/>
              <w:ind w:right="33"/>
              <w:rPr>
                <w:rFonts w:eastAsia="MS Mincho"/>
                <w:noProof/>
                <w:lang w:val="fi-FI" w:eastAsia="fi-FI"/>
              </w:rPr>
            </w:pPr>
            <w:r w:rsidRPr="002C7499">
              <w:rPr>
                <w:rFonts w:eastAsia="MS Mincho"/>
                <w:noProof/>
                <w:lang w:val="fi-FI" w:eastAsia="fi-FI"/>
              </w:rPr>
              <w:t>Sensor</w:t>
            </w:r>
          </w:p>
        </w:tc>
      </w:tr>
      <w:tr w:rsidR="00DC2F72" w:rsidRPr="002C7499" w14:paraId="77CB4487" w14:textId="77777777" w:rsidTr="00DC2F72">
        <w:trPr>
          <w:trHeight w:val="243"/>
        </w:trPr>
        <w:tc>
          <w:tcPr>
            <w:tcW w:w="2035" w:type="dxa"/>
            <w:tcBorders>
              <w:top w:val="single" w:sz="4" w:space="0" w:color="auto"/>
              <w:left w:val="single" w:sz="4" w:space="0" w:color="auto"/>
              <w:bottom w:val="single" w:sz="4" w:space="0" w:color="auto"/>
              <w:right w:val="single" w:sz="4" w:space="0" w:color="auto"/>
            </w:tcBorders>
            <w:hideMark/>
          </w:tcPr>
          <w:p w14:paraId="53CB9234" w14:textId="77777777" w:rsidR="00DC2F72" w:rsidRPr="002C7499" w:rsidRDefault="00DC2F72" w:rsidP="00DC2F72">
            <w:pPr>
              <w:spacing w:before="40" w:after="40"/>
              <w:ind w:left="34" w:right="113"/>
              <w:rPr>
                <w:rFonts w:eastAsia="MS Mincho"/>
                <w:noProof/>
                <w:lang w:val="fi-FI" w:eastAsia="fi-FI"/>
              </w:rPr>
            </w:pPr>
            <w:r w:rsidRPr="002C7499">
              <w:rPr>
                <w:rFonts w:eastAsia="MS Mincho"/>
                <w:noProof/>
                <w:lang w:val="fi-FI" w:eastAsia="fi-FI"/>
              </w:rPr>
              <w:t>Vehicle ground speed</w:t>
            </w:r>
          </w:p>
        </w:tc>
        <w:tc>
          <w:tcPr>
            <w:tcW w:w="2569" w:type="dxa"/>
            <w:tcBorders>
              <w:top w:val="single" w:sz="4" w:space="0" w:color="auto"/>
              <w:left w:val="single" w:sz="4" w:space="0" w:color="auto"/>
              <w:bottom w:val="single" w:sz="4" w:space="0" w:color="auto"/>
              <w:right w:val="single" w:sz="4" w:space="0" w:color="auto"/>
            </w:tcBorders>
            <w:hideMark/>
          </w:tcPr>
          <w:p w14:paraId="43B4B5B3" w14:textId="77777777" w:rsidR="00DC2F72" w:rsidRPr="002C7499" w:rsidRDefault="00DC2F72" w:rsidP="00DC2F72">
            <w:pPr>
              <w:keepNext/>
              <w:keepLines/>
              <w:spacing w:before="40" w:after="40"/>
              <w:ind w:right="1134"/>
              <w:rPr>
                <w:rFonts w:eastAsia="MS Mincho"/>
                <w:noProof/>
                <w:lang w:val="fi-FI" w:eastAsia="fi-FI"/>
              </w:rPr>
            </w:pPr>
            <w:r w:rsidRPr="002C7499">
              <w:rPr>
                <w:rFonts w:eastAsia="MS Mincho"/>
                <w:noProof/>
                <w:lang w:val="fi-FI" w:eastAsia="fi-FI"/>
              </w:rPr>
              <w:t>km/h</w:t>
            </w:r>
          </w:p>
        </w:tc>
        <w:tc>
          <w:tcPr>
            <w:tcW w:w="2417" w:type="dxa"/>
            <w:tcBorders>
              <w:top w:val="single" w:sz="4" w:space="0" w:color="auto"/>
              <w:left w:val="single" w:sz="4" w:space="0" w:color="auto"/>
              <w:bottom w:val="single" w:sz="4" w:space="0" w:color="auto"/>
              <w:right w:val="single" w:sz="4" w:space="0" w:color="auto"/>
            </w:tcBorders>
            <w:hideMark/>
          </w:tcPr>
          <w:p w14:paraId="06AB6195" w14:textId="77777777" w:rsidR="00DC2F72" w:rsidRPr="002C7499" w:rsidRDefault="00DC2F72" w:rsidP="00DC2F72">
            <w:pPr>
              <w:spacing w:before="40" w:after="40"/>
              <w:ind w:right="33"/>
              <w:rPr>
                <w:rFonts w:eastAsia="MS Mincho"/>
                <w:noProof/>
                <w:lang w:val="fi-FI" w:eastAsia="fi-FI"/>
              </w:rPr>
            </w:pPr>
            <w:r w:rsidRPr="002C7499">
              <w:rPr>
                <w:rFonts w:eastAsia="MS Mincho"/>
                <w:noProof/>
                <w:lang w:val="fi-FI" w:eastAsia="fi-FI"/>
              </w:rPr>
              <w:t>ECU and GPS</w:t>
            </w:r>
          </w:p>
        </w:tc>
      </w:tr>
      <w:tr w:rsidR="00DC2F72" w:rsidRPr="002C7499" w14:paraId="066740C4" w14:textId="77777777" w:rsidTr="00DC2F72">
        <w:trPr>
          <w:trHeight w:val="243"/>
        </w:trPr>
        <w:tc>
          <w:tcPr>
            <w:tcW w:w="2035" w:type="dxa"/>
            <w:tcBorders>
              <w:top w:val="single" w:sz="4" w:space="0" w:color="auto"/>
              <w:left w:val="single" w:sz="4" w:space="0" w:color="auto"/>
              <w:bottom w:val="single" w:sz="4" w:space="0" w:color="auto"/>
              <w:right w:val="single" w:sz="4" w:space="0" w:color="auto"/>
            </w:tcBorders>
            <w:hideMark/>
          </w:tcPr>
          <w:p w14:paraId="4C10E01C" w14:textId="77777777" w:rsidR="00DC2F72" w:rsidRPr="002C7499" w:rsidRDefault="00DC2F72" w:rsidP="00DC2F72">
            <w:pPr>
              <w:spacing w:before="40" w:after="40"/>
              <w:ind w:left="34" w:right="113"/>
              <w:rPr>
                <w:rFonts w:eastAsia="MS Mincho"/>
                <w:noProof/>
                <w:lang w:val="fi-FI" w:eastAsia="fi-FI"/>
              </w:rPr>
            </w:pPr>
            <w:r w:rsidRPr="002C7499">
              <w:rPr>
                <w:rFonts w:eastAsia="MS Mincho"/>
                <w:noProof/>
                <w:lang w:val="fi-FI" w:eastAsia="fi-FI"/>
              </w:rPr>
              <w:t>Vehicle latitude</w:t>
            </w:r>
          </w:p>
        </w:tc>
        <w:tc>
          <w:tcPr>
            <w:tcW w:w="2569" w:type="dxa"/>
            <w:tcBorders>
              <w:top w:val="single" w:sz="4" w:space="0" w:color="auto"/>
              <w:left w:val="single" w:sz="4" w:space="0" w:color="auto"/>
              <w:bottom w:val="single" w:sz="4" w:space="0" w:color="auto"/>
              <w:right w:val="single" w:sz="4" w:space="0" w:color="auto"/>
            </w:tcBorders>
            <w:hideMark/>
          </w:tcPr>
          <w:p w14:paraId="3E726FC2" w14:textId="77777777" w:rsidR="00DC2F72" w:rsidRPr="002C7499" w:rsidRDefault="00DC2F72" w:rsidP="00DC2F72">
            <w:pPr>
              <w:keepNext/>
              <w:keepLines/>
              <w:spacing w:before="40" w:after="40"/>
              <w:ind w:right="1134"/>
              <w:rPr>
                <w:rFonts w:eastAsia="MS Mincho"/>
                <w:noProof/>
                <w:lang w:val="fi-FI" w:eastAsia="fi-FI"/>
              </w:rPr>
            </w:pPr>
            <w:r w:rsidRPr="002C7499">
              <w:rPr>
                <w:rFonts w:eastAsia="MS Mincho"/>
                <w:noProof/>
                <w:lang w:val="fi-FI" w:eastAsia="fi-FI"/>
              </w:rPr>
              <w:t>degree</w:t>
            </w:r>
          </w:p>
        </w:tc>
        <w:tc>
          <w:tcPr>
            <w:tcW w:w="2417" w:type="dxa"/>
            <w:tcBorders>
              <w:top w:val="single" w:sz="4" w:space="0" w:color="auto"/>
              <w:left w:val="single" w:sz="4" w:space="0" w:color="auto"/>
              <w:bottom w:val="single" w:sz="4" w:space="0" w:color="auto"/>
              <w:right w:val="single" w:sz="4" w:space="0" w:color="auto"/>
            </w:tcBorders>
            <w:hideMark/>
          </w:tcPr>
          <w:p w14:paraId="47363A4C" w14:textId="77777777" w:rsidR="00DC2F72" w:rsidRPr="002C7499" w:rsidRDefault="00DC2F72" w:rsidP="00DC2F72">
            <w:pPr>
              <w:spacing w:before="40" w:after="40"/>
              <w:ind w:right="33"/>
              <w:rPr>
                <w:rFonts w:eastAsia="MS Mincho"/>
                <w:noProof/>
                <w:lang w:val="fi-FI" w:eastAsia="fi-FI"/>
              </w:rPr>
            </w:pPr>
            <w:r w:rsidRPr="002C7499">
              <w:rPr>
                <w:rFonts w:eastAsia="MS Mincho"/>
                <w:noProof/>
                <w:lang w:val="fi-FI" w:eastAsia="fi-FI"/>
              </w:rPr>
              <w:t>GPS</w:t>
            </w:r>
          </w:p>
        </w:tc>
      </w:tr>
      <w:tr w:rsidR="00DC2F72" w:rsidRPr="002C7499" w14:paraId="485E8C43" w14:textId="77777777" w:rsidTr="00DC2F72">
        <w:trPr>
          <w:trHeight w:val="256"/>
        </w:trPr>
        <w:tc>
          <w:tcPr>
            <w:tcW w:w="2035" w:type="dxa"/>
            <w:tcBorders>
              <w:top w:val="single" w:sz="4" w:space="0" w:color="auto"/>
              <w:left w:val="single" w:sz="4" w:space="0" w:color="auto"/>
              <w:bottom w:val="single" w:sz="4" w:space="0" w:color="auto"/>
              <w:right w:val="single" w:sz="4" w:space="0" w:color="auto"/>
            </w:tcBorders>
            <w:hideMark/>
          </w:tcPr>
          <w:p w14:paraId="422C59CC" w14:textId="77777777" w:rsidR="00DC2F72" w:rsidRPr="002C7499" w:rsidRDefault="00DC2F72" w:rsidP="00DC2F72">
            <w:pPr>
              <w:spacing w:before="40" w:after="40"/>
              <w:ind w:left="34" w:right="113"/>
              <w:rPr>
                <w:rFonts w:eastAsia="MS Mincho"/>
                <w:noProof/>
                <w:lang w:val="fi-FI" w:eastAsia="fi-FI"/>
              </w:rPr>
            </w:pPr>
            <w:r w:rsidRPr="002C7499">
              <w:rPr>
                <w:rFonts w:eastAsia="MS Mincho"/>
                <w:noProof/>
                <w:lang w:val="fi-FI" w:eastAsia="fi-FI"/>
              </w:rPr>
              <w:t>Vehicle longitude</w:t>
            </w:r>
          </w:p>
        </w:tc>
        <w:tc>
          <w:tcPr>
            <w:tcW w:w="2569" w:type="dxa"/>
            <w:tcBorders>
              <w:top w:val="single" w:sz="4" w:space="0" w:color="auto"/>
              <w:left w:val="single" w:sz="4" w:space="0" w:color="auto"/>
              <w:bottom w:val="single" w:sz="4" w:space="0" w:color="auto"/>
              <w:right w:val="single" w:sz="4" w:space="0" w:color="auto"/>
            </w:tcBorders>
            <w:hideMark/>
          </w:tcPr>
          <w:p w14:paraId="3A7DC299" w14:textId="77777777" w:rsidR="00DC2F72" w:rsidRPr="002C7499" w:rsidRDefault="00DC2F72" w:rsidP="00DC2F72">
            <w:pPr>
              <w:keepNext/>
              <w:keepLines/>
              <w:spacing w:before="40" w:after="40"/>
              <w:ind w:right="1134"/>
              <w:rPr>
                <w:rFonts w:eastAsia="MS Mincho"/>
                <w:noProof/>
                <w:lang w:val="fi-FI" w:eastAsia="fi-FI"/>
              </w:rPr>
            </w:pPr>
            <w:r w:rsidRPr="002C7499">
              <w:rPr>
                <w:rFonts w:eastAsia="MS Mincho"/>
                <w:noProof/>
                <w:lang w:val="fi-FI" w:eastAsia="fi-FI"/>
              </w:rPr>
              <w:t>degree</w:t>
            </w:r>
          </w:p>
        </w:tc>
        <w:tc>
          <w:tcPr>
            <w:tcW w:w="2417" w:type="dxa"/>
            <w:tcBorders>
              <w:top w:val="single" w:sz="4" w:space="0" w:color="auto"/>
              <w:left w:val="single" w:sz="4" w:space="0" w:color="auto"/>
              <w:bottom w:val="single" w:sz="4" w:space="0" w:color="auto"/>
              <w:right w:val="single" w:sz="4" w:space="0" w:color="auto"/>
            </w:tcBorders>
            <w:hideMark/>
          </w:tcPr>
          <w:p w14:paraId="059F391C" w14:textId="77777777" w:rsidR="00DC2F72" w:rsidRPr="002C7499" w:rsidRDefault="00DC2F72" w:rsidP="00DC2F72">
            <w:pPr>
              <w:spacing w:before="40" w:after="40"/>
              <w:ind w:right="33"/>
              <w:rPr>
                <w:rFonts w:eastAsia="MS Mincho"/>
                <w:noProof/>
                <w:lang w:val="fi-FI" w:eastAsia="fi-FI"/>
              </w:rPr>
            </w:pPr>
            <w:r w:rsidRPr="002C7499">
              <w:rPr>
                <w:rFonts w:eastAsia="MS Mincho"/>
                <w:noProof/>
                <w:lang w:val="fi-FI" w:eastAsia="fi-FI"/>
              </w:rPr>
              <w:t>GPS</w:t>
            </w:r>
          </w:p>
        </w:tc>
      </w:tr>
    </w:tbl>
    <w:p w14:paraId="6E37BCCE" w14:textId="77777777" w:rsidR="00FE4AD6" w:rsidRPr="00E54AA5" w:rsidRDefault="00FE4AD6" w:rsidP="00E54AA5">
      <w:pPr>
        <w:keepNext/>
        <w:suppressAutoHyphens w:val="0"/>
        <w:spacing w:before="120" w:after="120" w:line="240" w:lineRule="auto"/>
        <w:ind w:left="1276" w:right="1134"/>
        <w:jc w:val="both"/>
        <w:rPr>
          <w:rFonts w:eastAsia="MS Mincho"/>
          <w:noProof/>
          <w:sz w:val="18"/>
          <w:szCs w:val="18"/>
          <w:lang w:val="fi-FI" w:eastAsia="en-GB"/>
        </w:rPr>
      </w:pPr>
      <w:r w:rsidRPr="00E54AA5">
        <w:rPr>
          <w:rFonts w:eastAsia="MS Mincho"/>
          <w:i/>
          <w:noProof/>
          <w:sz w:val="18"/>
          <w:szCs w:val="18"/>
          <w:lang w:val="fi-FI" w:eastAsia="en-GB"/>
        </w:rPr>
        <w:t>Notes</w:t>
      </w:r>
      <w:r w:rsidRPr="00E54AA5">
        <w:rPr>
          <w:rFonts w:eastAsia="MS Mincho"/>
          <w:noProof/>
          <w:sz w:val="18"/>
          <w:szCs w:val="18"/>
          <w:lang w:val="fi-FI" w:eastAsia="en-GB"/>
        </w:rPr>
        <w:t>:</w:t>
      </w:r>
    </w:p>
    <w:p w14:paraId="6B531C33" w14:textId="77777777" w:rsidR="00FE4AD6" w:rsidRPr="00E54AA5" w:rsidRDefault="00FE4AD6" w:rsidP="00E54AA5">
      <w:pPr>
        <w:suppressAutoHyphens w:val="0"/>
        <w:spacing w:line="240" w:lineRule="auto"/>
        <w:ind w:left="1418" w:right="1701" w:hanging="142"/>
        <w:jc w:val="both"/>
        <w:rPr>
          <w:rFonts w:eastAsia="MS Mincho"/>
          <w:noProof/>
          <w:sz w:val="18"/>
          <w:szCs w:val="18"/>
          <w:lang w:eastAsia="en-GB"/>
        </w:rPr>
      </w:pPr>
      <w:r w:rsidRPr="00E54AA5">
        <w:rPr>
          <w:rFonts w:eastAsia="MS Mincho"/>
          <w:noProof/>
          <w:sz w:val="18"/>
          <w:szCs w:val="18"/>
          <w:vertAlign w:val="superscript"/>
          <w:lang w:eastAsia="en-GB"/>
        </w:rPr>
        <w:t>1</w:t>
      </w:r>
      <w:r w:rsidRPr="00E54AA5">
        <w:rPr>
          <w:rFonts w:eastAsia="MS Mincho"/>
          <w:noProof/>
          <w:sz w:val="18"/>
          <w:szCs w:val="18"/>
          <w:vertAlign w:val="superscript"/>
          <w:lang w:eastAsia="en-GB"/>
        </w:rPr>
        <w:tab/>
      </w:r>
      <w:r w:rsidRPr="00E54AA5">
        <w:rPr>
          <w:rFonts w:eastAsia="MS Mincho"/>
          <w:noProof/>
          <w:sz w:val="18"/>
          <w:szCs w:val="18"/>
          <w:lang w:eastAsia="en-GB"/>
        </w:rPr>
        <w:t>Measured or corrected to a wet basis</w:t>
      </w:r>
    </w:p>
    <w:p w14:paraId="6E6DC9FC" w14:textId="77777777" w:rsidR="00FE4AD6" w:rsidRPr="00E54AA5" w:rsidRDefault="00FE4AD6" w:rsidP="00E54AA5">
      <w:pPr>
        <w:suppressAutoHyphens w:val="0"/>
        <w:spacing w:line="240" w:lineRule="auto"/>
        <w:ind w:left="1418" w:right="1701" w:hanging="142"/>
        <w:jc w:val="both"/>
        <w:rPr>
          <w:rFonts w:eastAsia="MS Mincho"/>
          <w:noProof/>
          <w:sz w:val="18"/>
          <w:szCs w:val="18"/>
          <w:lang w:eastAsia="en-GB"/>
        </w:rPr>
      </w:pPr>
      <w:r w:rsidRPr="00E54AA5">
        <w:rPr>
          <w:rFonts w:eastAsia="MS Mincho"/>
          <w:noProof/>
          <w:sz w:val="18"/>
          <w:szCs w:val="18"/>
          <w:vertAlign w:val="superscript"/>
          <w:lang w:eastAsia="en-GB"/>
        </w:rPr>
        <w:t>2</w:t>
      </w:r>
      <w:r w:rsidRPr="00E54AA5">
        <w:rPr>
          <w:rFonts w:eastAsia="MS Mincho"/>
          <w:noProof/>
          <w:sz w:val="18"/>
          <w:szCs w:val="18"/>
          <w:vertAlign w:val="superscript"/>
          <w:lang w:eastAsia="en-GB"/>
        </w:rPr>
        <w:tab/>
      </w:r>
      <w:r w:rsidRPr="00E54AA5">
        <w:rPr>
          <w:rFonts w:eastAsia="MS Mincho"/>
          <w:noProof/>
          <w:sz w:val="18"/>
          <w:szCs w:val="18"/>
          <w:lang w:eastAsia="en-GB"/>
        </w:rPr>
        <w:t>Only for gas engines fuelled with natural gas</w:t>
      </w:r>
    </w:p>
    <w:p w14:paraId="04EAB353" w14:textId="77777777" w:rsidR="00FE4AD6" w:rsidRPr="00E54AA5" w:rsidRDefault="00FE4AD6" w:rsidP="00E54AA5">
      <w:pPr>
        <w:suppressAutoHyphens w:val="0"/>
        <w:spacing w:line="240" w:lineRule="auto"/>
        <w:ind w:left="1418" w:right="1701" w:hanging="142"/>
        <w:jc w:val="both"/>
        <w:rPr>
          <w:rFonts w:eastAsia="MS Mincho"/>
          <w:noProof/>
          <w:sz w:val="18"/>
          <w:szCs w:val="18"/>
          <w:lang w:eastAsia="en-GB"/>
        </w:rPr>
      </w:pPr>
      <w:r w:rsidRPr="00E54AA5">
        <w:rPr>
          <w:rFonts w:eastAsia="MS Mincho"/>
          <w:noProof/>
          <w:sz w:val="18"/>
          <w:szCs w:val="18"/>
          <w:vertAlign w:val="superscript"/>
          <w:lang w:eastAsia="en-GB"/>
        </w:rPr>
        <w:t>3</w:t>
      </w:r>
      <w:r w:rsidRPr="00E54AA5">
        <w:rPr>
          <w:rFonts w:eastAsia="MS Mincho"/>
          <w:noProof/>
          <w:sz w:val="18"/>
          <w:szCs w:val="18"/>
          <w:lang w:eastAsia="en-GB"/>
        </w:rPr>
        <w:tab/>
        <w:t>Use the ambient temperature sensor or an intake air temperature sensor</w:t>
      </w:r>
    </w:p>
    <w:p w14:paraId="3AEE247C" w14:textId="77777777" w:rsidR="00FE4AD6" w:rsidRPr="00E54AA5" w:rsidRDefault="00FE4AD6" w:rsidP="00E54AA5">
      <w:pPr>
        <w:suppressAutoHyphens w:val="0"/>
        <w:spacing w:after="120" w:line="240" w:lineRule="auto"/>
        <w:ind w:left="1418" w:right="1417" w:hanging="142"/>
        <w:jc w:val="both"/>
        <w:rPr>
          <w:rFonts w:eastAsia="MS Mincho"/>
          <w:noProof/>
          <w:sz w:val="18"/>
          <w:szCs w:val="18"/>
          <w:lang w:eastAsia="en-GB"/>
        </w:rPr>
      </w:pPr>
      <w:r w:rsidRPr="00E54AA5">
        <w:rPr>
          <w:rFonts w:eastAsia="MS Mincho"/>
          <w:noProof/>
          <w:sz w:val="18"/>
          <w:szCs w:val="18"/>
          <w:vertAlign w:val="superscript"/>
          <w:lang w:eastAsia="en-GB"/>
        </w:rPr>
        <w:t>4</w:t>
      </w:r>
      <w:r w:rsidRPr="00E54AA5">
        <w:rPr>
          <w:rFonts w:eastAsia="MS Mincho"/>
          <w:noProof/>
          <w:sz w:val="18"/>
          <w:szCs w:val="18"/>
          <w:lang w:eastAsia="en-GB"/>
        </w:rPr>
        <w:tab/>
        <w:t xml:space="preserve">The recorded value shall be either (a) the net </w:t>
      </w:r>
      <w:r w:rsidRPr="00E54AA5">
        <w:rPr>
          <w:rFonts w:eastAsia="MS Mincho"/>
          <w:sz w:val="18"/>
          <w:szCs w:val="18"/>
          <w:lang w:eastAsia="en-GB"/>
        </w:rPr>
        <w:t>brake engine</w:t>
      </w:r>
      <w:r w:rsidRPr="00E54AA5">
        <w:rPr>
          <w:rFonts w:eastAsia="MS Mincho"/>
          <w:noProof/>
          <w:sz w:val="18"/>
          <w:szCs w:val="18"/>
          <w:lang w:eastAsia="en-GB"/>
        </w:rPr>
        <w:t xml:space="preserve"> torque </w:t>
      </w:r>
      <w:r w:rsidRPr="00E54AA5">
        <w:rPr>
          <w:rFonts w:eastAsia="MS Mincho"/>
          <w:sz w:val="18"/>
          <w:szCs w:val="18"/>
          <w:lang w:eastAsia="en-GB"/>
        </w:rPr>
        <w:t>according to paragraph A.1.2.4.4. of this appendix</w:t>
      </w:r>
      <w:r w:rsidRPr="00E54AA5">
        <w:rPr>
          <w:rFonts w:eastAsia="MS Mincho"/>
          <w:noProof/>
          <w:sz w:val="18"/>
          <w:szCs w:val="18"/>
          <w:lang w:eastAsia="en-GB"/>
        </w:rPr>
        <w:t xml:space="preserve"> or (b) the net </w:t>
      </w:r>
      <w:r w:rsidRPr="00E54AA5">
        <w:rPr>
          <w:rFonts w:eastAsia="MS Mincho"/>
          <w:sz w:val="18"/>
          <w:szCs w:val="18"/>
          <w:lang w:eastAsia="en-GB"/>
        </w:rPr>
        <w:t>brake engine</w:t>
      </w:r>
      <w:r w:rsidRPr="00E54AA5">
        <w:rPr>
          <w:rFonts w:eastAsia="MS Mincho"/>
          <w:noProof/>
          <w:sz w:val="18"/>
          <w:szCs w:val="18"/>
          <w:lang w:eastAsia="en-GB"/>
        </w:rPr>
        <w:t xml:space="preserve"> torque calculated from </w:t>
      </w:r>
      <w:r w:rsidRPr="00E54AA5">
        <w:rPr>
          <w:rFonts w:eastAsia="MS Mincho"/>
          <w:sz w:val="18"/>
          <w:szCs w:val="18"/>
          <w:lang w:eastAsia="en-GB"/>
        </w:rPr>
        <w:t>the torque values according to paragraph A.1.2.4.4. of this appendix</w:t>
      </w:r>
      <w:r w:rsidRPr="00E54AA5">
        <w:rPr>
          <w:rFonts w:eastAsia="MS Mincho"/>
          <w:noProof/>
          <w:sz w:val="18"/>
          <w:szCs w:val="18"/>
          <w:lang w:eastAsia="en-GB"/>
        </w:rPr>
        <w:t>.</w:t>
      </w:r>
    </w:p>
    <w:p w14:paraId="1828EB6B" w14:textId="6D22F23A" w:rsidR="001B598F" w:rsidRPr="002C7499" w:rsidRDefault="001B598F" w:rsidP="00942E5B">
      <w:pPr>
        <w:pStyle w:val="SingleTxtG"/>
        <w:keepNext/>
        <w:rPr>
          <w:lang w:eastAsia="de-DE"/>
        </w:rPr>
      </w:pPr>
      <w:r w:rsidRPr="002C7499">
        <w:rPr>
          <w:i/>
          <w:iCs/>
          <w:lang w:eastAsia="de-DE"/>
        </w:rPr>
        <w:t>Insert new paragraph</w:t>
      </w:r>
      <w:r w:rsidR="003A0726" w:rsidRPr="002C7499">
        <w:rPr>
          <w:i/>
          <w:iCs/>
          <w:lang w:eastAsia="de-DE"/>
        </w:rPr>
        <w:t>s</w:t>
      </w:r>
      <w:r w:rsidRPr="002C7499">
        <w:rPr>
          <w:i/>
          <w:iCs/>
          <w:lang w:eastAsia="de-DE"/>
        </w:rPr>
        <w:t xml:space="preserve"> A.1.2.</w:t>
      </w:r>
      <w:r w:rsidR="003A0726" w:rsidRPr="002C7499">
        <w:rPr>
          <w:i/>
          <w:iCs/>
          <w:lang w:eastAsia="de-DE"/>
        </w:rPr>
        <w:t>4</w:t>
      </w:r>
      <w:r w:rsidR="00DB00C5" w:rsidRPr="002C7499">
        <w:rPr>
          <w:i/>
          <w:iCs/>
          <w:lang w:eastAsia="de-DE"/>
        </w:rPr>
        <w:t>.</w:t>
      </w:r>
      <w:r w:rsidR="003A0726" w:rsidRPr="002C7499">
        <w:rPr>
          <w:i/>
          <w:iCs/>
          <w:lang w:eastAsia="de-DE"/>
        </w:rPr>
        <w:t>6. and A.1.2.4.7</w:t>
      </w:r>
      <w:r w:rsidRPr="002C7499">
        <w:rPr>
          <w:i/>
          <w:iCs/>
          <w:lang w:eastAsia="de-DE"/>
        </w:rPr>
        <w:t>.</w:t>
      </w:r>
      <w:r w:rsidRPr="002C7499">
        <w:rPr>
          <w:lang w:eastAsia="de-DE"/>
        </w:rPr>
        <w:t>, to read:</w:t>
      </w:r>
    </w:p>
    <w:p w14:paraId="38372DA6" w14:textId="47886564" w:rsidR="000B58E2" w:rsidRPr="003109B3" w:rsidRDefault="001B598F" w:rsidP="000B58E2">
      <w:pPr>
        <w:pStyle w:val="SingleTxtG"/>
        <w:tabs>
          <w:tab w:val="left" w:pos="8505"/>
        </w:tabs>
        <w:ind w:left="2268" w:hanging="1134"/>
        <w:rPr>
          <w:rFonts w:eastAsia="MS Mincho"/>
          <w:b/>
          <w:bCs/>
          <w:lang w:val="fi-FI" w:eastAsia="fi-FI"/>
        </w:rPr>
      </w:pPr>
      <w:r w:rsidRPr="002C7499">
        <w:rPr>
          <w:lang w:eastAsia="de-DE"/>
        </w:rPr>
        <w:t>"</w:t>
      </w:r>
      <w:r w:rsidR="000B58E2" w:rsidRPr="003109B3">
        <w:rPr>
          <w:b/>
          <w:bCs/>
          <w:lang w:eastAsia="de-DE"/>
        </w:rPr>
        <w:t>A.1.</w:t>
      </w:r>
      <w:r w:rsidR="000B58E2" w:rsidRPr="003109B3">
        <w:rPr>
          <w:rFonts w:eastAsia="MS Mincho"/>
          <w:b/>
          <w:bCs/>
          <w:lang w:val="fi-FI" w:eastAsia="fi-FI"/>
        </w:rPr>
        <w:t>2.4.6.</w:t>
      </w:r>
      <w:r w:rsidR="000B58E2" w:rsidRPr="003109B3">
        <w:rPr>
          <w:rFonts w:eastAsia="MS Mincho"/>
          <w:b/>
          <w:bCs/>
          <w:lang w:val="fi-FI" w:eastAsia="fi-FI"/>
        </w:rPr>
        <w:tab/>
        <w:t>Installation of PM number analyser</w:t>
      </w:r>
    </w:p>
    <w:p w14:paraId="37DF0C67" w14:textId="77777777" w:rsidR="000B58E2" w:rsidRPr="003109B3" w:rsidRDefault="000B58E2" w:rsidP="000B58E2">
      <w:pPr>
        <w:pStyle w:val="SingleTxtG"/>
        <w:tabs>
          <w:tab w:val="left" w:pos="8505"/>
        </w:tabs>
        <w:ind w:left="2268"/>
        <w:rPr>
          <w:rFonts w:eastAsia="MS Mincho"/>
          <w:b/>
          <w:bCs/>
          <w:lang w:val="fi-FI" w:eastAsia="fi-FI"/>
        </w:rPr>
      </w:pPr>
      <w:r w:rsidRPr="003109B3">
        <w:rPr>
          <w:rFonts w:eastAsia="MS Mincho"/>
          <w:b/>
          <w:bCs/>
          <w:lang w:val="fi-FI" w:eastAsia="fi-FI"/>
        </w:rPr>
        <w:lastRenderedPageBreak/>
        <w:t xml:space="preserve">The installation and operation of the PEMS shall be leak-tight and minimise heat loss. To avoid the generation of particles, connectors shall be thermally stable at the exhaust gas temperatures expected during the test. Where elastomer connectors are used to connect the vehicle exhaust outlet and the connecting tube, those connectors shall have no contact with the exhaust gas to avoid artefacts at high engine load. </w:t>
      </w:r>
    </w:p>
    <w:p w14:paraId="02EB8FC2" w14:textId="77777777" w:rsidR="000B58E2" w:rsidRPr="003109B3" w:rsidRDefault="000B58E2" w:rsidP="000B58E2">
      <w:pPr>
        <w:pStyle w:val="SingleTxtG"/>
        <w:ind w:left="2268" w:hanging="1134"/>
        <w:rPr>
          <w:rFonts w:eastAsia="MS Mincho"/>
          <w:b/>
          <w:bCs/>
          <w:lang w:val="fi-FI" w:eastAsia="fi-FI"/>
        </w:rPr>
      </w:pPr>
      <w:r w:rsidRPr="003109B3">
        <w:rPr>
          <w:rFonts w:eastAsia="MS Mincho"/>
          <w:b/>
          <w:bCs/>
          <w:lang w:val="fi-FI" w:eastAsia="fi-FI"/>
        </w:rPr>
        <w:t>A.1.2.4.7.</w:t>
      </w:r>
      <w:r w:rsidRPr="003109B3">
        <w:rPr>
          <w:rFonts w:eastAsia="MS Mincho"/>
          <w:b/>
          <w:bCs/>
          <w:lang w:val="fi-FI" w:eastAsia="fi-FI"/>
        </w:rPr>
        <w:tab/>
        <w:t xml:space="preserve">Sampling of PM number emissions </w:t>
      </w:r>
    </w:p>
    <w:p w14:paraId="21F6ABC4" w14:textId="1C1D53EF" w:rsidR="000B58E2" w:rsidRPr="003109B3" w:rsidRDefault="000B58E2" w:rsidP="000B58E2">
      <w:pPr>
        <w:pStyle w:val="SingleTxtG"/>
        <w:ind w:left="2268"/>
        <w:rPr>
          <w:rFonts w:eastAsia="MS Mincho"/>
          <w:b/>
          <w:bCs/>
          <w:lang w:val="fi-FI" w:eastAsia="fi-FI"/>
        </w:rPr>
      </w:pPr>
      <w:r w:rsidRPr="003109B3">
        <w:rPr>
          <w:rFonts w:eastAsia="MS Mincho"/>
          <w:b/>
          <w:bCs/>
          <w:lang w:val="fi-FI" w:eastAsia="fi-FI"/>
        </w:rPr>
        <w:t>Emissions sampling shall be representative and conducted at locations of well-mixed exhaust gas where the influence of ambient air downstream of the sampling point is minimal. Where applicable, emissions shall be sampled downstream of the exhaust mass flow meter, respecting a distance of at least 150</w:t>
      </w:r>
      <w:r w:rsidR="00D0279F" w:rsidRPr="003109B3">
        <w:rPr>
          <w:rFonts w:eastAsia="MS Mincho"/>
          <w:b/>
          <w:bCs/>
          <w:lang w:val="fi-FI" w:eastAsia="fi-FI"/>
        </w:rPr>
        <w:t> </w:t>
      </w:r>
      <w:r w:rsidRPr="003109B3">
        <w:rPr>
          <w:rFonts w:eastAsia="MS Mincho"/>
          <w:b/>
          <w:bCs/>
          <w:lang w:val="fi-FI" w:eastAsia="fi-FI"/>
        </w:rPr>
        <w:t>mm to the flow sensing element. The sampling probe shall be fitted at least 3</w:t>
      </w:r>
      <w:r w:rsidR="00D0279F" w:rsidRPr="003109B3">
        <w:rPr>
          <w:rFonts w:eastAsia="MS Mincho"/>
          <w:b/>
          <w:bCs/>
        </w:rPr>
        <w:t> </w:t>
      </w:r>
      <w:r w:rsidRPr="003109B3">
        <w:rPr>
          <w:rFonts w:eastAsia="MS Mincho"/>
          <w:b/>
          <w:bCs/>
          <w:lang w:val="fi-FI" w:eastAsia="fi-FI"/>
        </w:rPr>
        <w:t xml:space="preserve">times the inner diameter of the exhaust pipe upstream of the point at which the exhaust exits into the environment. The exhaust shall be sampled from the centre of the exhaust stream. Where several probes are used for emissions sampling, the particle sampling probe shall be placed upstream of the other sampling probes. The particle sampling probe shall not interfere with the sampling of gaseous pollutants. The type and specifications of the probe and its mounting shall be documented in detail, either in the test report of the Technical Service (in the case of testing at type approval) or in the vehicle manufacturer’s own documentation (in case of in-service conformity testing). </w:t>
      </w:r>
    </w:p>
    <w:p w14:paraId="0F285114" w14:textId="7A14F188" w:rsidR="000B58E2" w:rsidRPr="003109B3" w:rsidRDefault="000B58E2" w:rsidP="000B58E2">
      <w:pPr>
        <w:pStyle w:val="SingleTxtG"/>
        <w:ind w:left="2268"/>
        <w:rPr>
          <w:rFonts w:eastAsia="MS Mincho"/>
          <w:b/>
          <w:bCs/>
          <w:lang w:val="fi-FI" w:eastAsia="fi-FI"/>
        </w:rPr>
      </w:pPr>
      <w:r w:rsidRPr="003109B3">
        <w:rPr>
          <w:rFonts w:eastAsia="MS Mincho"/>
          <w:b/>
          <w:bCs/>
          <w:lang w:val="fi-FI" w:eastAsia="fi-FI"/>
        </w:rPr>
        <w:t>Where particles are sampled and not diluted at the tailpipe, the sampling line from the raw exhaust sample point to the point of dilution or particle detector shall be heated to a minimum of 373</w:t>
      </w:r>
      <w:r w:rsidR="0069309E" w:rsidRPr="003109B3">
        <w:rPr>
          <w:rFonts w:eastAsia="MS Mincho"/>
          <w:b/>
          <w:bCs/>
          <w:lang w:val="fi-FI" w:eastAsia="fi-FI"/>
        </w:rPr>
        <w:t> </w:t>
      </w:r>
      <w:r w:rsidRPr="003109B3">
        <w:rPr>
          <w:rFonts w:eastAsia="MS Mincho"/>
          <w:b/>
          <w:bCs/>
          <w:lang w:val="fi-FI" w:eastAsia="fi-FI"/>
        </w:rPr>
        <w:t>K (100</w:t>
      </w:r>
      <w:r w:rsidR="0069309E" w:rsidRPr="003109B3">
        <w:rPr>
          <w:rFonts w:eastAsia="MS Mincho"/>
          <w:b/>
          <w:bCs/>
          <w:lang w:val="fi-FI" w:eastAsia="fi-FI"/>
        </w:rPr>
        <w:t> </w:t>
      </w:r>
      <w:r w:rsidRPr="003109B3">
        <w:rPr>
          <w:rFonts w:eastAsia="MS Mincho"/>
          <w:b/>
          <w:bCs/>
          <w:lang w:val="fi-FI" w:eastAsia="fi-FI"/>
        </w:rPr>
        <w:t xml:space="preserve">°C). </w:t>
      </w:r>
    </w:p>
    <w:p w14:paraId="0803C1B1" w14:textId="711298F8" w:rsidR="001B598F" w:rsidRPr="002C7499" w:rsidRDefault="000B58E2" w:rsidP="00940C68">
      <w:pPr>
        <w:pStyle w:val="SingleTxtG"/>
        <w:tabs>
          <w:tab w:val="left" w:pos="8505"/>
        </w:tabs>
        <w:ind w:left="2268"/>
        <w:rPr>
          <w:lang w:eastAsia="de-DE"/>
        </w:rPr>
      </w:pPr>
      <w:r w:rsidRPr="003109B3">
        <w:rPr>
          <w:rFonts w:eastAsia="MS Mincho"/>
          <w:b/>
          <w:bCs/>
          <w:lang w:val="fi-FI" w:eastAsia="fi-FI"/>
        </w:rPr>
        <w:t>All parts of the sampling system, from the exhaust pipe to the particle detector, which are in contact with raw or diluted exhaust gas, shall be designed to minimise the deposition of particles. All parts shall be made from anti-static material to prevent electrostatic effects.</w:t>
      </w:r>
      <w:r w:rsidR="001B598F" w:rsidRPr="002C7499">
        <w:rPr>
          <w:lang w:eastAsia="de-DE"/>
        </w:rPr>
        <w:t>"</w:t>
      </w:r>
    </w:p>
    <w:p w14:paraId="55D80C87" w14:textId="2E86BCF4" w:rsidR="002B14B0" w:rsidRPr="002C7499" w:rsidRDefault="002B14B0" w:rsidP="002B14B0">
      <w:pPr>
        <w:pStyle w:val="SingleTxtG"/>
        <w:ind w:left="2268" w:hanging="1134"/>
        <w:rPr>
          <w:lang w:eastAsia="de-DE"/>
        </w:rPr>
      </w:pPr>
      <w:r w:rsidRPr="002C7499">
        <w:rPr>
          <w:i/>
          <w:iCs/>
          <w:lang w:eastAsia="de-DE"/>
        </w:rPr>
        <w:t>Insert a new paragraph A.1.2.</w:t>
      </w:r>
      <w:r w:rsidR="00885057" w:rsidRPr="002C7499">
        <w:rPr>
          <w:i/>
          <w:iCs/>
          <w:lang w:eastAsia="de-DE"/>
        </w:rPr>
        <w:t>5</w:t>
      </w:r>
      <w:r w:rsidRPr="002C7499">
        <w:rPr>
          <w:i/>
          <w:iCs/>
          <w:lang w:eastAsia="de-DE"/>
        </w:rPr>
        <w:t>.</w:t>
      </w:r>
      <w:r w:rsidR="00885057" w:rsidRPr="002C7499">
        <w:rPr>
          <w:i/>
          <w:iCs/>
          <w:lang w:eastAsia="de-DE"/>
        </w:rPr>
        <w:t>5</w:t>
      </w:r>
      <w:r w:rsidRPr="002C7499">
        <w:rPr>
          <w:i/>
          <w:iCs/>
          <w:lang w:eastAsia="de-DE"/>
        </w:rPr>
        <w:t>.</w:t>
      </w:r>
      <w:r w:rsidRPr="002C7499">
        <w:rPr>
          <w:lang w:eastAsia="de-DE"/>
        </w:rPr>
        <w:t>, to read:</w:t>
      </w:r>
    </w:p>
    <w:p w14:paraId="5C6584F6" w14:textId="5656A6A7" w:rsidR="002B14B0" w:rsidRPr="003109B3" w:rsidRDefault="002B14B0" w:rsidP="002B14B0">
      <w:pPr>
        <w:pStyle w:val="SingleTxtG"/>
        <w:rPr>
          <w:b/>
          <w:bCs/>
          <w:lang w:eastAsia="de-DE"/>
        </w:rPr>
      </w:pPr>
      <w:r w:rsidRPr="003109B3">
        <w:rPr>
          <w:b/>
          <w:bCs/>
          <w:lang w:eastAsia="de-DE"/>
        </w:rPr>
        <w:t>"</w:t>
      </w:r>
      <w:bookmarkStart w:id="20" w:name="_Hlk53501859"/>
      <w:r w:rsidRPr="003109B3">
        <w:rPr>
          <w:b/>
          <w:bCs/>
          <w:lang w:eastAsia="de-DE"/>
        </w:rPr>
        <w:t>A.1.2.</w:t>
      </w:r>
      <w:r w:rsidR="00885057" w:rsidRPr="003109B3">
        <w:rPr>
          <w:b/>
          <w:bCs/>
          <w:lang w:eastAsia="de-DE"/>
        </w:rPr>
        <w:t>5</w:t>
      </w:r>
      <w:r w:rsidRPr="003109B3">
        <w:rPr>
          <w:b/>
          <w:bCs/>
          <w:lang w:eastAsia="de-DE"/>
        </w:rPr>
        <w:t>.</w:t>
      </w:r>
      <w:r w:rsidR="00885057" w:rsidRPr="003109B3">
        <w:rPr>
          <w:b/>
          <w:bCs/>
          <w:lang w:eastAsia="de-DE"/>
        </w:rPr>
        <w:t>5</w:t>
      </w:r>
      <w:r w:rsidRPr="003109B3">
        <w:rPr>
          <w:b/>
          <w:bCs/>
          <w:lang w:eastAsia="de-DE"/>
        </w:rPr>
        <w:t>.</w:t>
      </w:r>
      <w:r w:rsidRPr="003109B3">
        <w:rPr>
          <w:b/>
          <w:bCs/>
          <w:lang w:eastAsia="de-DE"/>
        </w:rPr>
        <w:tab/>
        <w:t xml:space="preserve">Checking the PM number analyser </w:t>
      </w:r>
    </w:p>
    <w:p w14:paraId="7183516F" w14:textId="49E44B64" w:rsidR="002B14B0" w:rsidRPr="002C7499" w:rsidRDefault="00885057" w:rsidP="00885057">
      <w:pPr>
        <w:pStyle w:val="SingleTxtG"/>
        <w:ind w:left="2268"/>
        <w:rPr>
          <w:rFonts w:eastAsia="MS Mincho"/>
          <w:lang w:val="fi-FI" w:eastAsia="fi-FI"/>
        </w:rPr>
      </w:pPr>
      <w:r w:rsidRPr="003109B3">
        <w:rPr>
          <w:b/>
          <w:bCs/>
          <w:lang w:eastAsia="de-DE"/>
        </w:rPr>
        <w:t>The PEMS shall function free of errors and critical warnings. The zero level of the PM number analyser shall be recorded by sampling high efficiency particulate filtered ambient air (HEPA) at the inlet of the sampling line in the 12 hour-period before test start. The signal shall be recorded at a constant frequency of at least 1.0 Hz averaged over a period of 2 minutes. The final absolute concentration shall be within the manufacturer’s specifications and, in addition, shall not exceed 5,000 particles per cubic centimetre.</w:t>
      </w:r>
      <w:bookmarkEnd w:id="20"/>
      <w:r w:rsidR="002B14B0" w:rsidRPr="003109B3">
        <w:rPr>
          <w:b/>
          <w:bCs/>
          <w:lang w:eastAsia="de-DE"/>
        </w:rPr>
        <w:t>"</w:t>
      </w:r>
    </w:p>
    <w:p w14:paraId="7382EECB" w14:textId="2E9E1B76" w:rsidR="001B598F" w:rsidRPr="002C7499" w:rsidRDefault="00942E5B" w:rsidP="00942E5B">
      <w:pPr>
        <w:pStyle w:val="SingleTxtG"/>
        <w:keepNext/>
        <w:rPr>
          <w:lang w:eastAsia="de-DE"/>
        </w:rPr>
      </w:pPr>
      <w:r w:rsidRPr="002C7499">
        <w:rPr>
          <w:i/>
          <w:iCs/>
          <w:lang w:eastAsia="de-DE"/>
        </w:rPr>
        <w:t>P</w:t>
      </w:r>
      <w:r w:rsidR="001B598F" w:rsidRPr="002C7499">
        <w:rPr>
          <w:i/>
          <w:iCs/>
          <w:lang w:eastAsia="de-DE"/>
        </w:rPr>
        <w:t xml:space="preserve">aragraph </w:t>
      </w:r>
      <w:r w:rsidRPr="002C7499">
        <w:rPr>
          <w:i/>
          <w:iCs/>
          <w:lang w:eastAsia="de-DE"/>
        </w:rPr>
        <w:t>A.1</w:t>
      </w:r>
      <w:r w:rsidR="001B598F" w:rsidRPr="002C7499">
        <w:rPr>
          <w:i/>
          <w:iCs/>
          <w:lang w:eastAsia="de-DE"/>
        </w:rPr>
        <w:t>.</w:t>
      </w:r>
      <w:r w:rsidRPr="002C7499">
        <w:rPr>
          <w:i/>
          <w:iCs/>
          <w:lang w:eastAsia="de-DE"/>
        </w:rPr>
        <w:t>2.</w:t>
      </w:r>
      <w:r w:rsidR="00C302C6" w:rsidRPr="002C7499">
        <w:rPr>
          <w:i/>
          <w:iCs/>
          <w:lang w:eastAsia="de-DE"/>
        </w:rPr>
        <w:t>6</w:t>
      </w:r>
      <w:r w:rsidRPr="002C7499">
        <w:rPr>
          <w:i/>
          <w:iCs/>
          <w:lang w:eastAsia="de-DE"/>
        </w:rPr>
        <w:t>.</w:t>
      </w:r>
      <w:r w:rsidR="00C302C6" w:rsidRPr="002C7499">
        <w:rPr>
          <w:i/>
          <w:iCs/>
          <w:lang w:eastAsia="de-DE"/>
        </w:rPr>
        <w:t>1</w:t>
      </w:r>
      <w:r w:rsidRPr="002C7499">
        <w:rPr>
          <w:i/>
          <w:iCs/>
          <w:lang w:eastAsia="de-DE"/>
        </w:rPr>
        <w:t>.</w:t>
      </w:r>
      <w:r w:rsidRPr="002C7499">
        <w:rPr>
          <w:lang w:eastAsia="de-DE"/>
        </w:rPr>
        <w:t>,</w:t>
      </w:r>
      <w:r w:rsidR="001B598F" w:rsidRPr="002C7499">
        <w:rPr>
          <w:lang w:eastAsia="de-DE"/>
        </w:rPr>
        <w:t xml:space="preserve"> amend to read:</w:t>
      </w:r>
    </w:p>
    <w:p w14:paraId="7222A386" w14:textId="078A91D6" w:rsidR="00B91050" w:rsidRPr="002C7499" w:rsidRDefault="001B598F" w:rsidP="00B91050">
      <w:pPr>
        <w:pStyle w:val="SingleTxtG"/>
        <w:rPr>
          <w:rFonts w:eastAsia="MS Mincho"/>
          <w:noProof/>
        </w:rPr>
      </w:pPr>
      <w:r w:rsidRPr="002C7499">
        <w:t>"</w:t>
      </w:r>
      <w:r w:rsidR="0064773A" w:rsidRPr="002C7499">
        <w:t>A.1.2.6.1.</w:t>
      </w:r>
      <w:r w:rsidR="0064773A" w:rsidRPr="002C7499">
        <w:tab/>
      </w:r>
      <w:r w:rsidR="00B91050" w:rsidRPr="002C7499">
        <w:rPr>
          <w:rFonts w:eastAsia="MS Mincho"/>
          <w:noProof/>
        </w:rPr>
        <w:t>Test start</w:t>
      </w:r>
    </w:p>
    <w:p w14:paraId="35E83747" w14:textId="3D456F94" w:rsidR="00B91050" w:rsidRPr="003109B3" w:rsidRDefault="00B91050" w:rsidP="0064773A">
      <w:pPr>
        <w:pStyle w:val="SingleTxtG"/>
        <w:ind w:left="2268"/>
        <w:rPr>
          <w:rFonts w:eastAsia="MS Mincho"/>
          <w:strike/>
          <w:lang w:eastAsia="en-GB"/>
        </w:rPr>
      </w:pPr>
      <w:r w:rsidRPr="003109B3">
        <w:rPr>
          <w:rFonts w:eastAsia="MS Mincho"/>
          <w:strike/>
          <w:noProof/>
          <w:lang w:eastAsia="fi-FI"/>
        </w:rPr>
        <w:t>Emissions sampling, measurement of the exhaust parameters and recording of the engine and ambient data shall commence prior to starting the engine. The coolant temperature shall not exceed 303 K (30 °C) at the beginning of the test. In case ambient temperature exceeds 303 K (30 °C) at the beginning of the test, the coolant temperature shall not exceed the ambient temperature by more than 2 °C. The data evaluation shall start after the coolant temperature has reached 343 K (70 °C) for the first time or after the coolant temperature is stabilized within +/-2 K over a period of 5 minutes whichever comes first but no later than 15 minutes after engine start.</w:t>
      </w:r>
      <w:r w:rsidRPr="003109B3">
        <w:rPr>
          <w:rFonts w:eastAsia="MS Mincho"/>
          <w:strike/>
          <w:sz w:val="24"/>
          <w:szCs w:val="24"/>
          <w:lang w:eastAsia="en-GB"/>
        </w:rPr>
        <w:t xml:space="preserve"> </w:t>
      </w:r>
    </w:p>
    <w:p w14:paraId="71D3E879" w14:textId="77777777" w:rsidR="00C61D58" w:rsidRPr="003109B3" w:rsidRDefault="00C61D58" w:rsidP="00C61D58">
      <w:pPr>
        <w:pStyle w:val="SingleTxtG"/>
        <w:ind w:left="2268"/>
        <w:rPr>
          <w:b/>
          <w:bCs/>
          <w:lang w:val="x-none" w:eastAsia="de-DE"/>
        </w:rPr>
      </w:pPr>
      <w:r w:rsidRPr="003109B3">
        <w:rPr>
          <w:b/>
          <w:bCs/>
          <w:lang w:val="x-none" w:eastAsia="de-DE"/>
        </w:rPr>
        <w:t xml:space="preserve">For the purposes of the test procedure, “test start” shall mean the first ignition of the internal combustion engine. </w:t>
      </w:r>
    </w:p>
    <w:p w14:paraId="698A6583" w14:textId="77777777" w:rsidR="00C61D58" w:rsidRPr="003109B3" w:rsidRDefault="00C61D58" w:rsidP="00C61D58">
      <w:pPr>
        <w:pStyle w:val="SingleTxtG"/>
        <w:ind w:left="2268"/>
        <w:rPr>
          <w:b/>
          <w:bCs/>
          <w:lang w:val="x-none" w:eastAsia="de-DE"/>
        </w:rPr>
      </w:pPr>
      <w:r w:rsidRPr="003109B3">
        <w:rPr>
          <w:b/>
          <w:bCs/>
          <w:lang w:val="x-none" w:eastAsia="de-DE"/>
        </w:rPr>
        <w:lastRenderedPageBreak/>
        <w:t xml:space="preserve">Emissions sampling, measurement of the exhaust parameters and recording of the engine and ambient data shall commence prior to the test start. Artificial warming up of the emission control systems of the vehicle prior to the test start shall be prohibited. </w:t>
      </w:r>
    </w:p>
    <w:p w14:paraId="702458CC" w14:textId="7D6540A8" w:rsidR="0036281A" w:rsidRPr="002C7499" w:rsidRDefault="00C61D58" w:rsidP="00C61D58">
      <w:pPr>
        <w:pStyle w:val="SingleTxtG"/>
        <w:ind w:left="2268"/>
        <w:rPr>
          <w:lang w:eastAsia="de-DE"/>
        </w:rPr>
      </w:pPr>
      <w:r w:rsidRPr="003109B3">
        <w:rPr>
          <w:b/>
          <w:bCs/>
          <w:lang w:eastAsia="de-DE"/>
        </w:rPr>
        <w:t>At test start, the temperature of the coolant shall not exceed the ambient temperature by more than 5 °C, and shall not exceed 303 K (30 °C). The data evaluation shall start once the coolant temperature has reached 303 K (30 °C) for the first time or once the coolant temperature is stabilised within +/– 2 K over a period of 5 minutes, whichever occurs first, but in any event no later than 10 minutes after test start.</w:t>
      </w:r>
      <w:r w:rsidR="00F334D2" w:rsidRPr="002C7499">
        <w:t>"</w:t>
      </w:r>
    </w:p>
    <w:p w14:paraId="40FA11A3" w14:textId="68F58938" w:rsidR="001B598F" w:rsidRPr="002C7499" w:rsidRDefault="00BC242A" w:rsidP="00BC242A">
      <w:pPr>
        <w:pStyle w:val="SingleTxtG"/>
        <w:ind w:left="2268" w:hanging="1134"/>
        <w:rPr>
          <w:lang w:eastAsia="de-DE"/>
        </w:rPr>
      </w:pPr>
      <w:r w:rsidRPr="002C7499">
        <w:rPr>
          <w:i/>
          <w:iCs/>
          <w:lang w:eastAsia="de-DE"/>
        </w:rPr>
        <w:t>P</w:t>
      </w:r>
      <w:r w:rsidR="001B598F" w:rsidRPr="002C7499">
        <w:rPr>
          <w:i/>
          <w:iCs/>
          <w:lang w:eastAsia="de-DE"/>
        </w:rPr>
        <w:t xml:space="preserve">aragraph </w:t>
      </w:r>
      <w:r w:rsidRPr="002C7499">
        <w:rPr>
          <w:i/>
          <w:iCs/>
          <w:lang w:eastAsia="de-DE"/>
        </w:rPr>
        <w:t>A.1</w:t>
      </w:r>
      <w:r w:rsidR="001B598F" w:rsidRPr="002C7499">
        <w:rPr>
          <w:i/>
          <w:iCs/>
          <w:lang w:eastAsia="de-DE"/>
        </w:rPr>
        <w:t>.</w:t>
      </w:r>
      <w:r w:rsidRPr="002C7499">
        <w:rPr>
          <w:i/>
          <w:iCs/>
          <w:lang w:eastAsia="de-DE"/>
        </w:rPr>
        <w:t>2.6.3.</w:t>
      </w:r>
      <w:r w:rsidRPr="002C7499">
        <w:rPr>
          <w:lang w:eastAsia="de-DE"/>
        </w:rPr>
        <w:t>,</w:t>
      </w:r>
      <w:r w:rsidR="001B598F" w:rsidRPr="002C7499">
        <w:rPr>
          <w:lang w:eastAsia="de-DE"/>
        </w:rPr>
        <w:t xml:space="preserve"> amend to read:</w:t>
      </w:r>
    </w:p>
    <w:p w14:paraId="1C816422" w14:textId="51BEB48A" w:rsidR="00C021B3" w:rsidRPr="003109B3" w:rsidRDefault="00BC242A" w:rsidP="00A35135">
      <w:pPr>
        <w:pStyle w:val="SingleTxtG"/>
        <w:rPr>
          <w:strike/>
          <w:lang w:eastAsia="de-DE"/>
        </w:rPr>
      </w:pPr>
      <w:r w:rsidRPr="002C7499">
        <w:rPr>
          <w:lang w:eastAsia="de-DE"/>
        </w:rPr>
        <w:t>"A.1.2.6.3.</w:t>
      </w:r>
      <w:r w:rsidRPr="002C7499">
        <w:rPr>
          <w:lang w:eastAsia="de-DE"/>
        </w:rPr>
        <w:tab/>
      </w:r>
      <w:r w:rsidR="00C021B3" w:rsidRPr="003109B3">
        <w:rPr>
          <w:strike/>
          <w:lang w:eastAsia="de-DE"/>
        </w:rPr>
        <w:t>End of test sequence</w:t>
      </w:r>
    </w:p>
    <w:p w14:paraId="2AEB25F9" w14:textId="5DBCA967" w:rsidR="00C021B3" w:rsidRPr="003109B3" w:rsidRDefault="00C021B3" w:rsidP="00A35135">
      <w:pPr>
        <w:pStyle w:val="SingleTxtG"/>
        <w:ind w:left="2268"/>
        <w:rPr>
          <w:strike/>
          <w:lang w:eastAsia="de-DE"/>
        </w:rPr>
      </w:pPr>
      <w:r w:rsidRPr="003109B3">
        <w:rPr>
          <w:strike/>
          <w:lang w:eastAsia="de-DE"/>
        </w:rPr>
        <w:t xml:space="preserve">At the end of the test, sufficient time shall be given to the sampling systems to allow their response times to elapse. The engine may be shut down before or after sampling is stopped. </w:t>
      </w:r>
    </w:p>
    <w:p w14:paraId="5733E73A" w14:textId="77777777" w:rsidR="00A35135" w:rsidRPr="003109B3" w:rsidRDefault="00A35135" w:rsidP="00A35135">
      <w:pPr>
        <w:pStyle w:val="SingleTxtG"/>
        <w:ind w:left="2268"/>
        <w:rPr>
          <w:b/>
          <w:bCs/>
          <w:lang w:val="x-none" w:eastAsia="de-DE"/>
        </w:rPr>
      </w:pPr>
      <w:r w:rsidRPr="003109B3">
        <w:rPr>
          <w:b/>
          <w:bCs/>
          <w:lang w:val="x-none" w:eastAsia="de-DE"/>
        </w:rPr>
        <w:t xml:space="preserve">Test end </w:t>
      </w:r>
    </w:p>
    <w:p w14:paraId="7D3A912E" w14:textId="77777777" w:rsidR="00A35135" w:rsidRPr="003109B3" w:rsidRDefault="00A35135" w:rsidP="00A35135">
      <w:pPr>
        <w:pStyle w:val="SingleTxtG"/>
        <w:ind w:left="2268"/>
        <w:rPr>
          <w:b/>
          <w:bCs/>
          <w:lang w:val="x-none" w:eastAsia="de-DE"/>
        </w:rPr>
      </w:pPr>
      <w:r w:rsidRPr="003109B3">
        <w:rPr>
          <w:b/>
          <w:bCs/>
          <w:lang w:val="x-none" w:eastAsia="de-DE"/>
        </w:rPr>
        <w:t xml:space="preserve">Test end is reached when the vehicle has completed the trip and the internal combustion engine is switched off. </w:t>
      </w:r>
    </w:p>
    <w:p w14:paraId="211B0466" w14:textId="4AE08E3E" w:rsidR="00F334D2" w:rsidRPr="002C7499" w:rsidRDefault="00A35135" w:rsidP="00A35135">
      <w:pPr>
        <w:pStyle w:val="SingleTxtG"/>
        <w:ind w:left="2268"/>
        <w:rPr>
          <w:lang w:eastAsia="de-DE"/>
        </w:rPr>
      </w:pPr>
      <w:r w:rsidRPr="003109B3">
        <w:rPr>
          <w:b/>
          <w:bCs/>
          <w:lang w:eastAsia="de-DE"/>
        </w:rPr>
        <w:t>The internal combustion engine shall be switched off as soon as practicable at the end of the trip. Data shall continue to be recorded until the response time of the sampling systems has elapsed.</w:t>
      </w:r>
      <w:r w:rsidR="00BC242A" w:rsidRPr="002C7499">
        <w:rPr>
          <w:lang w:eastAsia="de-DE"/>
        </w:rPr>
        <w:t>"</w:t>
      </w:r>
    </w:p>
    <w:p w14:paraId="0401FBCA" w14:textId="0048190C" w:rsidR="001B598F" w:rsidRPr="002C7499" w:rsidRDefault="00F939AB" w:rsidP="00F939AB">
      <w:pPr>
        <w:pStyle w:val="SingleTxtG"/>
        <w:ind w:left="2268" w:hanging="1134"/>
        <w:rPr>
          <w:lang w:eastAsia="de-DE"/>
        </w:rPr>
      </w:pPr>
      <w:r w:rsidRPr="002C7499">
        <w:rPr>
          <w:i/>
          <w:iCs/>
          <w:lang w:eastAsia="de-DE"/>
        </w:rPr>
        <w:t>P</w:t>
      </w:r>
      <w:r w:rsidR="001B598F" w:rsidRPr="002C7499">
        <w:rPr>
          <w:i/>
          <w:iCs/>
          <w:lang w:eastAsia="de-DE"/>
        </w:rPr>
        <w:t xml:space="preserve">aragraph </w:t>
      </w:r>
      <w:r w:rsidRPr="002C7499">
        <w:rPr>
          <w:i/>
          <w:iCs/>
          <w:lang w:eastAsia="de-DE"/>
        </w:rPr>
        <w:t>A.1</w:t>
      </w:r>
      <w:r w:rsidR="001B598F" w:rsidRPr="002C7499">
        <w:rPr>
          <w:i/>
          <w:iCs/>
          <w:lang w:eastAsia="de-DE"/>
        </w:rPr>
        <w:t>.</w:t>
      </w:r>
      <w:r w:rsidRPr="002C7499">
        <w:rPr>
          <w:i/>
          <w:iCs/>
          <w:lang w:eastAsia="de-DE"/>
        </w:rPr>
        <w:t>2.</w:t>
      </w:r>
      <w:r w:rsidR="002277F1" w:rsidRPr="002C7499">
        <w:rPr>
          <w:i/>
          <w:iCs/>
          <w:lang w:eastAsia="de-DE"/>
        </w:rPr>
        <w:t>7</w:t>
      </w:r>
      <w:r w:rsidRPr="002C7499">
        <w:rPr>
          <w:i/>
          <w:iCs/>
          <w:lang w:eastAsia="de-DE"/>
        </w:rPr>
        <w:t>.</w:t>
      </w:r>
      <w:r w:rsidR="002277F1" w:rsidRPr="002C7499">
        <w:rPr>
          <w:i/>
          <w:iCs/>
          <w:lang w:eastAsia="de-DE"/>
        </w:rPr>
        <w:t>4</w:t>
      </w:r>
      <w:r w:rsidRPr="002C7499">
        <w:rPr>
          <w:i/>
          <w:iCs/>
          <w:lang w:eastAsia="de-DE"/>
        </w:rPr>
        <w:t>.</w:t>
      </w:r>
      <w:r w:rsidR="002277F1" w:rsidRPr="002C7499">
        <w:rPr>
          <w:i/>
          <w:iCs/>
          <w:lang w:eastAsia="de-DE"/>
        </w:rPr>
        <w:t>(a)</w:t>
      </w:r>
      <w:r w:rsidRPr="002C7499">
        <w:rPr>
          <w:lang w:eastAsia="de-DE"/>
        </w:rPr>
        <w:t>,</w:t>
      </w:r>
      <w:r w:rsidR="001B598F" w:rsidRPr="002C7499">
        <w:rPr>
          <w:lang w:eastAsia="de-DE"/>
        </w:rPr>
        <w:t xml:space="preserve"> amend to read:</w:t>
      </w:r>
    </w:p>
    <w:p w14:paraId="65828B3A" w14:textId="563DE042" w:rsidR="00C638D6" w:rsidRPr="002C7499" w:rsidRDefault="00BC242A" w:rsidP="00AC0F06">
      <w:pPr>
        <w:pStyle w:val="SingleTxtG"/>
        <w:ind w:left="2835" w:hanging="567"/>
        <w:rPr>
          <w:lang w:eastAsia="de-DE"/>
        </w:rPr>
      </w:pPr>
      <w:r w:rsidRPr="002C7499">
        <w:rPr>
          <w:lang w:eastAsia="de-DE"/>
        </w:rPr>
        <w:t>"</w:t>
      </w:r>
      <w:r w:rsidR="002277F1" w:rsidRPr="002C7499">
        <w:rPr>
          <w:lang w:eastAsia="de-DE"/>
        </w:rPr>
        <w:t>(a)</w:t>
      </w:r>
      <w:r w:rsidR="00F939AB" w:rsidRPr="002C7499">
        <w:rPr>
          <w:lang w:eastAsia="de-DE"/>
        </w:rPr>
        <w:tab/>
      </w:r>
      <w:r w:rsidR="00C638D6" w:rsidRPr="003109B3">
        <w:rPr>
          <w:strike/>
          <w:lang w:eastAsia="de-DE"/>
        </w:rPr>
        <w:t>If the difference between the pre-test and post-test results is less than 2 per cent as specified in paragraphs A.1.2.7.2. and A.1.2.7.3., the measured concentrations may be used uncorrected or may be corrected for drift according to paragraph A.1.2.7.5.</w:t>
      </w:r>
      <w:r w:rsidR="00C638D6" w:rsidRPr="003109B3">
        <w:rPr>
          <w:b/>
          <w:bCs/>
        </w:rPr>
        <w:t>I</w:t>
      </w:r>
      <w:r w:rsidR="00C638D6" w:rsidRPr="003109B3">
        <w:rPr>
          <w:b/>
          <w:bCs/>
          <w:lang w:eastAsia="de-DE"/>
        </w:rPr>
        <w:t xml:space="preserve">f the difference between the pre-test and post-test results is less than 2 % as specified in </w:t>
      </w:r>
      <w:r w:rsidR="00764B2D" w:rsidRPr="003109B3">
        <w:rPr>
          <w:b/>
          <w:bCs/>
          <w:lang w:eastAsia="de-DE"/>
        </w:rPr>
        <w:t>paragraphs</w:t>
      </w:r>
      <w:r w:rsidR="00C638D6" w:rsidRPr="003109B3">
        <w:rPr>
          <w:b/>
          <w:bCs/>
          <w:lang w:eastAsia="de-DE"/>
        </w:rPr>
        <w:t xml:space="preserve"> </w:t>
      </w:r>
      <w:r w:rsidR="00764B2D" w:rsidRPr="003109B3">
        <w:rPr>
          <w:b/>
          <w:bCs/>
          <w:lang w:eastAsia="de-DE"/>
        </w:rPr>
        <w:t>A.1.</w:t>
      </w:r>
      <w:r w:rsidR="00C638D6" w:rsidRPr="003109B3">
        <w:rPr>
          <w:b/>
          <w:bCs/>
          <w:lang w:eastAsia="de-DE"/>
        </w:rPr>
        <w:t xml:space="preserve">2.7.2 and </w:t>
      </w:r>
      <w:r w:rsidR="00764B2D" w:rsidRPr="003109B3">
        <w:rPr>
          <w:b/>
          <w:bCs/>
          <w:lang w:eastAsia="de-DE"/>
        </w:rPr>
        <w:t>A.1.</w:t>
      </w:r>
      <w:r w:rsidR="00C638D6" w:rsidRPr="003109B3">
        <w:rPr>
          <w:b/>
          <w:bCs/>
          <w:lang w:eastAsia="de-DE"/>
        </w:rPr>
        <w:t xml:space="preserve">2.7.3, the measured concentrations may be used uncorrected or shall, at the request of the manufacturer, be corrected for drift according to </w:t>
      </w:r>
      <w:r w:rsidR="00764B2D" w:rsidRPr="003109B3">
        <w:rPr>
          <w:b/>
          <w:bCs/>
          <w:lang w:eastAsia="de-DE"/>
        </w:rPr>
        <w:t>paragraph A.1.</w:t>
      </w:r>
      <w:r w:rsidR="00C638D6" w:rsidRPr="003109B3">
        <w:rPr>
          <w:b/>
          <w:bCs/>
          <w:lang w:eastAsia="de-DE"/>
        </w:rPr>
        <w:t>2.7.5.</w:t>
      </w:r>
      <w:r w:rsidR="00C638D6" w:rsidRPr="002C7499">
        <w:rPr>
          <w:lang w:eastAsia="de-DE"/>
        </w:rPr>
        <w:t>;</w:t>
      </w:r>
      <w:r w:rsidR="00CB6E8B" w:rsidRPr="002C7499">
        <w:rPr>
          <w:lang w:eastAsia="de-DE"/>
        </w:rPr>
        <w:t>"</w:t>
      </w:r>
    </w:p>
    <w:p w14:paraId="1ED128FB" w14:textId="51E1E068" w:rsidR="007E32D1" w:rsidRPr="002C7499" w:rsidRDefault="002B14B0" w:rsidP="00C638D6">
      <w:pPr>
        <w:pStyle w:val="SingleTxtG"/>
        <w:ind w:left="2268" w:hanging="1134"/>
        <w:rPr>
          <w:lang w:eastAsia="de-DE"/>
        </w:rPr>
      </w:pPr>
      <w:r w:rsidRPr="002C7499">
        <w:rPr>
          <w:i/>
          <w:iCs/>
          <w:lang w:eastAsia="de-DE"/>
        </w:rPr>
        <w:t>Insert a new paragraph A.1.2.7.6.</w:t>
      </w:r>
      <w:r w:rsidRPr="002C7499">
        <w:rPr>
          <w:lang w:eastAsia="de-DE"/>
        </w:rPr>
        <w:t>, to read:</w:t>
      </w:r>
    </w:p>
    <w:p w14:paraId="198DE70E" w14:textId="3026D00D" w:rsidR="002B14B0" w:rsidRPr="003109B3" w:rsidRDefault="002B14B0" w:rsidP="002B14B0">
      <w:pPr>
        <w:pStyle w:val="SingleTxtG"/>
        <w:rPr>
          <w:b/>
          <w:bCs/>
          <w:lang w:eastAsia="de-DE"/>
        </w:rPr>
      </w:pPr>
      <w:r w:rsidRPr="003109B3">
        <w:rPr>
          <w:b/>
          <w:bCs/>
          <w:lang w:eastAsia="de-DE"/>
        </w:rPr>
        <w:t>"A.1.2.7.6.</w:t>
      </w:r>
      <w:r w:rsidRPr="003109B3">
        <w:rPr>
          <w:b/>
          <w:bCs/>
          <w:lang w:eastAsia="de-DE"/>
        </w:rPr>
        <w:tab/>
        <w:t xml:space="preserve">Checking the PM number analyser </w:t>
      </w:r>
    </w:p>
    <w:p w14:paraId="6AE5B75F" w14:textId="1966DFD8" w:rsidR="002B14B0" w:rsidRPr="002C7499" w:rsidRDefault="002B14B0" w:rsidP="002B14B0">
      <w:pPr>
        <w:pStyle w:val="SingleTxtG"/>
        <w:ind w:left="2268"/>
        <w:rPr>
          <w:lang w:eastAsia="de-DE"/>
        </w:rPr>
      </w:pPr>
      <w:r w:rsidRPr="003109B3">
        <w:rPr>
          <w:b/>
          <w:bCs/>
          <w:lang w:eastAsia="de-DE"/>
        </w:rPr>
        <w:t>The zero level of the PM number analyser shall be checked before test start and after test end and recorded in accordance with the requirements of paragraph A.1.2.5.5. "</w:t>
      </w:r>
    </w:p>
    <w:p w14:paraId="127A9471" w14:textId="25D6E85E" w:rsidR="00CB6E8B" w:rsidRPr="002C7499" w:rsidRDefault="00CB6E8B" w:rsidP="00CB6E8B">
      <w:pPr>
        <w:pStyle w:val="SingleTxtG"/>
        <w:ind w:left="2268" w:hanging="1134"/>
        <w:rPr>
          <w:lang w:eastAsia="de-DE"/>
        </w:rPr>
      </w:pPr>
      <w:r w:rsidRPr="002C7499">
        <w:rPr>
          <w:i/>
          <w:iCs/>
          <w:lang w:eastAsia="de-DE"/>
        </w:rPr>
        <w:t>Paragraphs A.1.</w:t>
      </w:r>
      <w:r w:rsidR="00924897" w:rsidRPr="002C7499">
        <w:rPr>
          <w:i/>
          <w:iCs/>
          <w:lang w:eastAsia="de-DE"/>
        </w:rPr>
        <w:t>3</w:t>
      </w:r>
      <w:r w:rsidRPr="002C7499">
        <w:rPr>
          <w:i/>
          <w:iCs/>
          <w:lang w:eastAsia="de-DE"/>
        </w:rPr>
        <w:t>.</w:t>
      </w:r>
      <w:r w:rsidR="00924897" w:rsidRPr="002C7499">
        <w:rPr>
          <w:i/>
          <w:iCs/>
          <w:lang w:eastAsia="de-DE"/>
        </w:rPr>
        <w:t>1.1.</w:t>
      </w:r>
      <w:r w:rsidR="00000377" w:rsidRPr="002C7499">
        <w:rPr>
          <w:i/>
          <w:iCs/>
          <w:lang w:eastAsia="de-DE"/>
        </w:rPr>
        <w:t>, A.1.3.1.2. and A.1.3.1.3.</w:t>
      </w:r>
      <w:r w:rsidRPr="002C7499">
        <w:rPr>
          <w:lang w:eastAsia="de-DE"/>
        </w:rPr>
        <w:t>, amend to read:</w:t>
      </w:r>
    </w:p>
    <w:p w14:paraId="67F8230D" w14:textId="53D07BDF" w:rsidR="00487EE5" w:rsidRPr="003109B3" w:rsidRDefault="00CB6E8B" w:rsidP="00487EE5">
      <w:pPr>
        <w:pStyle w:val="SingleTxtG"/>
        <w:rPr>
          <w:strike/>
          <w:lang w:eastAsia="de-DE"/>
        </w:rPr>
      </w:pPr>
      <w:r w:rsidRPr="002C7499">
        <w:rPr>
          <w:lang w:eastAsia="de-DE"/>
        </w:rPr>
        <w:t>"</w:t>
      </w:r>
      <w:r w:rsidR="00487EE5" w:rsidRPr="003109B3">
        <w:rPr>
          <w:strike/>
          <w:lang w:eastAsia="de-DE"/>
        </w:rPr>
        <w:t>A.1.3.1.1.</w:t>
      </w:r>
      <w:r w:rsidR="00487EE5" w:rsidRPr="003109B3">
        <w:rPr>
          <w:strike/>
          <w:lang w:eastAsia="de-DE"/>
        </w:rPr>
        <w:tab/>
        <w:t>Gas analysers data</w:t>
      </w:r>
    </w:p>
    <w:p w14:paraId="3565A8BA" w14:textId="49C76373" w:rsidR="00487EE5" w:rsidRPr="003109B3" w:rsidRDefault="00487EE5" w:rsidP="00487EE5">
      <w:pPr>
        <w:pStyle w:val="SingleTxtG"/>
        <w:ind w:left="2268"/>
        <w:rPr>
          <w:strike/>
          <w:lang w:eastAsia="de-DE"/>
        </w:rPr>
      </w:pPr>
      <w:r w:rsidRPr="003109B3">
        <w:rPr>
          <w:strike/>
          <w:lang w:eastAsia="de-DE"/>
        </w:rPr>
        <w:t>The data from the gas analysers shall be properly aligned using the procedure in paragraph 9.3.5. of Annex 4.</w:t>
      </w:r>
    </w:p>
    <w:p w14:paraId="1806BCD7" w14:textId="52C76C65" w:rsidR="00487EE5" w:rsidRPr="003109B3" w:rsidRDefault="00487EE5" w:rsidP="00487EE5">
      <w:pPr>
        <w:pStyle w:val="SingleTxtG"/>
        <w:rPr>
          <w:strike/>
          <w:lang w:eastAsia="de-DE"/>
        </w:rPr>
      </w:pPr>
      <w:r w:rsidRPr="003109B3">
        <w:rPr>
          <w:strike/>
          <w:lang w:eastAsia="de-DE"/>
        </w:rPr>
        <w:t>A.1.3.1.2.</w:t>
      </w:r>
      <w:r w:rsidRPr="003109B3">
        <w:rPr>
          <w:strike/>
          <w:lang w:eastAsia="de-DE"/>
        </w:rPr>
        <w:tab/>
        <w:t>Gas analysers and EFM data</w:t>
      </w:r>
    </w:p>
    <w:p w14:paraId="558752B4" w14:textId="69E00B0C" w:rsidR="00487EE5" w:rsidRPr="003109B3" w:rsidRDefault="00487EE5" w:rsidP="00487EE5">
      <w:pPr>
        <w:pStyle w:val="SingleTxtG"/>
        <w:ind w:left="2268"/>
        <w:rPr>
          <w:strike/>
          <w:lang w:eastAsia="de-DE"/>
        </w:rPr>
      </w:pPr>
      <w:r w:rsidRPr="003109B3">
        <w:rPr>
          <w:strike/>
          <w:lang w:eastAsia="de-DE"/>
        </w:rPr>
        <w:t>The data from the gas analysers shall be properly aligned with the data of the EFM using the procedure in paragraph A.1.3.1.4.</w:t>
      </w:r>
    </w:p>
    <w:p w14:paraId="437CB1FC" w14:textId="63413FF0" w:rsidR="00487EE5" w:rsidRPr="003109B3" w:rsidRDefault="00487EE5" w:rsidP="00487EE5">
      <w:pPr>
        <w:pStyle w:val="SingleTxtG"/>
        <w:rPr>
          <w:strike/>
          <w:lang w:eastAsia="de-DE"/>
        </w:rPr>
      </w:pPr>
      <w:r w:rsidRPr="003109B3">
        <w:rPr>
          <w:strike/>
          <w:lang w:eastAsia="de-DE"/>
        </w:rPr>
        <w:t>A.1.3.1.3.</w:t>
      </w:r>
      <w:r w:rsidRPr="003109B3">
        <w:rPr>
          <w:strike/>
          <w:lang w:eastAsia="de-DE"/>
        </w:rPr>
        <w:tab/>
        <w:t>PEMS and engine data</w:t>
      </w:r>
    </w:p>
    <w:p w14:paraId="21A1104C" w14:textId="061B6380" w:rsidR="00487EE5" w:rsidRPr="002C7499" w:rsidRDefault="00487EE5" w:rsidP="00487EE5">
      <w:pPr>
        <w:pStyle w:val="SingleTxtG"/>
        <w:ind w:left="2268"/>
        <w:rPr>
          <w:lang w:eastAsia="de-DE"/>
        </w:rPr>
      </w:pPr>
      <w:r w:rsidRPr="003109B3">
        <w:rPr>
          <w:strike/>
          <w:lang w:eastAsia="de-DE"/>
        </w:rPr>
        <w:t>The data from the PEMS (gas analysers and EFM) shall be properly aligned with the data from the engine ECU using the procedure in paragraph A.1.3.1.4.</w:t>
      </w:r>
    </w:p>
    <w:p w14:paraId="6795217D" w14:textId="2FB043AD" w:rsidR="00487EE5" w:rsidRPr="003109B3" w:rsidRDefault="00487EE5" w:rsidP="001D65A2">
      <w:pPr>
        <w:pStyle w:val="SingleTxtG"/>
        <w:ind w:left="2268" w:hanging="1134"/>
        <w:rPr>
          <w:b/>
          <w:bCs/>
          <w:lang w:val="x-none" w:eastAsia="de-DE"/>
        </w:rPr>
      </w:pPr>
      <w:r w:rsidRPr="003109B3">
        <w:rPr>
          <w:b/>
          <w:bCs/>
          <w:lang w:eastAsia="de-DE"/>
        </w:rPr>
        <w:t>A.1.</w:t>
      </w:r>
      <w:r w:rsidRPr="003109B3">
        <w:rPr>
          <w:b/>
          <w:bCs/>
          <w:lang w:val="x-none" w:eastAsia="de-DE"/>
        </w:rPr>
        <w:t>3.1.1.</w:t>
      </w:r>
      <w:r w:rsidR="001D65A2" w:rsidRPr="003109B3">
        <w:rPr>
          <w:b/>
          <w:bCs/>
          <w:lang w:val="x-none" w:eastAsia="de-DE"/>
        </w:rPr>
        <w:tab/>
      </w:r>
      <w:proofErr w:type="spellStart"/>
      <w:r w:rsidRPr="003109B3">
        <w:rPr>
          <w:b/>
          <w:bCs/>
          <w:lang w:val="x-none" w:eastAsia="de-DE"/>
        </w:rPr>
        <w:t>Analysers</w:t>
      </w:r>
      <w:proofErr w:type="spellEnd"/>
      <w:r w:rsidRPr="003109B3">
        <w:rPr>
          <w:b/>
          <w:bCs/>
          <w:lang w:val="x-none" w:eastAsia="de-DE"/>
        </w:rPr>
        <w:t xml:space="preserve"> data </w:t>
      </w:r>
    </w:p>
    <w:p w14:paraId="5F329791" w14:textId="125438A9" w:rsidR="00487EE5" w:rsidRPr="002C7499" w:rsidRDefault="00487EE5" w:rsidP="00487EE5">
      <w:pPr>
        <w:pStyle w:val="SingleTxtG"/>
        <w:ind w:left="2268"/>
        <w:rPr>
          <w:lang w:val="x-none" w:eastAsia="de-DE"/>
        </w:rPr>
      </w:pPr>
      <w:r w:rsidRPr="003109B3">
        <w:rPr>
          <w:b/>
          <w:bCs/>
          <w:lang w:val="x-none" w:eastAsia="de-DE"/>
        </w:rPr>
        <w:t xml:space="preserve">The data from the gas </w:t>
      </w:r>
      <w:proofErr w:type="spellStart"/>
      <w:r w:rsidRPr="003109B3">
        <w:rPr>
          <w:b/>
          <w:bCs/>
          <w:lang w:val="x-none" w:eastAsia="de-DE"/>
        </w:rPr>
        <w:t>analysers</w:t>
      </w:r>
      <w:proofErr w:type="spellEnd"/>
      <w:r w:rsidRPr="003109B3">
        <w:rPr>
          <w:b/>
          <w:bCs/>
          <w:lang w:val="x-none" w:eastAsia="de-DE"/>
        </w:rPr>
        <w:t xml:space="preserve"> shall be properly aligned using the procedure laid down in paragraph 9.3</w:t>
      </w:r>
      <w:r w:rsidRPr="006140A8">
        <w:rPr>
          <w:b/>
          <w:bCs/>
          <w:lang w:val="x-none" w:eastAsia="de-DE"/>
        </w:rPr>
        <w:t>.5</w:t>
      </w:r>
      <w:r w:rsidR="00AD4E8F" w:rsidRPr="006140A8">
        <w:rPr>
          <w:b/>
          <w:bCs/>
          <w:lang w:eastAsia="de-DE"/>
        </w:rPr>
        <w:t>.</w:t>
      </w:r>
      <w:r w:rsidRPr="006140A8">
        <w:rPr>
          <w:b/>
          <w:bCs/>
          <w:lang w:val="x-none" w:eastAsia="de-DE"/>
        </w:rPr>
        <w:t xml:space="preserve"> of Annex 4. The data from the </w:t>
      </w:r>
      <w:r w:rsidRPr="006140A8">
        <w:rPr>
          <w:b/>
          <w:bCs/>
          <w:lang w:val="x-none" w:eastAsia="de-DE"/>
        </w:rPr>
        <w:lastRenderedPageBreak/>
        <w:t xml:space="preserve">PM number </w:t>
      </w:r>
      <w:proofErr w:type="spellStart"/>
      <w:r w:rsidRPr="006140A8">
        <w:rPr>
          <w:b/>
          <w:bCs/>
          <w:lang w:val="x-none" w:eastAsia="de-DE"/>
        </w:rPr>
        <w:t>analyser</w:t>
      </w:r>
      <w:proofErr w:type="spellEnd"/>
      <w:r w:rsidRPr="006140A8">
        <w:rPr>
          <w:b/>
          <w:bCs/>
          <w:lang w:val="x-none" w:eastAsia="de-DE"/>
        </w:rPr>
        <w:t xml:space="preserve"> shall be time aligned with its own transformation time, according to the instrument manufacturer’s instructions.</w:t>
      </w:r>
      <w:r w:rsidRPr="002C7499">
        <w:rPr>
          <w:lang w:val="x-none" w:eastAsia="de-DE"/>
        </w:rPr>
        <w:t xml:space="preserve"> </w:t>
      </w:r>
    </w:p>
    <w:p w14:paraId="32ED89BE" w14:textId="54FF4048" w:rsidR="00487EE5" w:rsidRPr="006140A8" w:rsidRDefault="001D65A2" w:rsidP="001D65A2">
      <w:pPr>
        <w:pStyle w:val="SingleTxtG"/>
        <w:ind w:left="2268" w:hanging="1134"/>
        <w:rPr>
          <w:b/>
          <w:bCs/>
          <w:lang w:val="x-none" w:eastAsia="de-DE"/>
        </w:rPr>
      </w:pPr>
      <w:r w:rsidRPr="006140A8">
        <w:rPr>
          <w:b/>
          <w:bCs/>
          <w:lang w:eastAsia="de-DE"/>
        </w:rPr>
        <w:t>A.1.</w:t>
      </w:r>
      <w:r w:rsidR="00487EE5" w:rsidRPr="006140A8">
        <w:rPr>
          <w:b/>
          <w:bCs/>
          <w:lang w:val="x-none" w:eastAsia="de-DE"/>
        </w:rPr>
        <w:t>3.1.2.</w:t>
      </w:r>
      <w:r w:rsidRPr="006140A8">
        <w:rPr>
          <w:b/>
          <w:bCs/>
          <w:lang w:val="x-none" w:eastAsia="de-DE"/>
        </w:rPr>
        <w:tab/>
      </w:r>
      <w:proofErr w:type="spellStart"/>
      <w:r w:rsidR="00487EE5" w:rsidRPr="006140A8">
        <w:rPr>
          <w:b/>
          <w:bCs/>
          <w:lang w:val="x-none" w:eastAsia="de-DE"/>
        </w:rPr>
        <w:t>Analysers</w:t>
      </w:r>
      <w:proofErr w:type="spellEnd"/>
      <w:r w:rsidR="00487EE5" w:rsidRPr="006140A8">
        <w:rPr>
          <w:b/>
          <w:bCs/>
          <w:lang w:val="x-none" w:eastAsia="de-DE"/>
        </w:rPr>
        <w:t xml:space="preserve"> and Exhaust Flow Meter (EFM) data </w:t>
      </w:r>
    </w:p>
    <w:p w14:paraId="5DC9FF5C" w14:textId="250807A2" w:rsidR="00487EE5" w:rsidRPr="001F1DCE" w:rsidRDefault="00487EE5" w:rsidP="00487EE5">
      <w:pPr>
        <w:pStyle w:val="SingleTxtG"/>
        <w:ind w:left="2268"/>
        <w:rPr>
          <w:b/>
          <w:bCs/>
          <w:lang w:val="x-none" w:eastAsia="de-DE"/>
        </w:rPr>
      </w:pPr>
      <w:r w:rsidRPr="001F1DCE">
        <w:rPr>
          <w:b/>
          <w:bCs/>
          <w:lang w:val="x-none" w:eastAsia="de-DE"/>
        </w:rPr>
        <w:t xml:space="preserve">The data from the gas </w:t>
      </w:r>
      <w:proofErr w:type="spellStart"/>
      <w:r w:rsidRPr="001F1DCE">
        <w:rPr>
          <w:b/>
          <w:bCs/>
          <w:lang w:val="x-none" w:eastAsia="de-DE"/>
        </w:rPr>
        <w:t>analysers</w:t>
      </w:r>
      <w:proofErr w:type="spellEnd"/>
      <w:r w:rsidRPr="001F1DCE">
        <w:rPr>
          <w:b/>
          <w:bCs/>
          <w:lang w:val="x-none" w:eastAsia="de-DE"/>
        </w:rPr>
        <w:t xml:space="preserve"> and the PM number </w:t>
      </w:r>
      <w:proofErr w:type="spellStart"/>
      <w:r w:rsidRPr="001F1DCE">
        <w:rPr>
          <w:b/>
          <w:bCs/>
          <w:lang w:val="x-none" w:eastAsia="de-DE"/>
        </w:rPr>
        <w:t>analysers</w:t>
      </w:r>
      <w:proofErr w:type="spellEnd"/>
      <w:r w:rsidRPr="001F1DCE">
        <w:rPr>
          <w:b/>
          <w:bCs/>
          <w:lang w:val="x-none" w:eastAsia="de-DE"/>
        </w:rPr>
        <w:t xml:space="preserve"> shall be properly aligned with the data of the EFM using the procedure in </w:t>
      </w:r>
      <w:r w:rsidR="00764B2D" w:rsidRPr="001F1DCE">
        <w:rPr>
          <w:b/>
          <w:bCs/>
          <w:lang w:eastAsia="de-DE"/>
        </w:rPr>
        <w:t>paragraph</w:t>
      </w:r>
      <w:r w:rsidRPr="001F1DCE">
        <w:rPr>
          <w:b/>
          <w:bCs/>
          <w:lang w:val="x-none" w:eastAsia="de-DE"/>
        </w:rPr>
        <w:t xml:space="preserve"> </w:t>
      </w:r>
      <w:r w:rsidR="00764B2D" w:rsidRPr="001F1DCE">
        <w:rPr>
          <w:b/>
          <w:bCs/>
          <w:lang w:eastAsia="de-DE"/>
        </w:rPr>
        <w:t>A.1.</w:t>
      </w:r>
      <w:r w:rsidRPr="001F1DCE">
        <w:rPr>
          <w:b/>
          <w:bCs/>
          <w:lang w:val="x-none" w:eastAsia="de-DE"/>
        </w:rPr>
        <w:t xml:space="preserve">3.1.4. </w:t>
      </w:r>
    </w:p>
    <w:p w14:paraId="29565540" w14:textId="5EC25781" w:rsidR="00487EE5" w:rsidRPr="000C5D79" w:rsidRDefault="001D65A2" w:rsidP="001D65A2">
      <w:pPr>
        <w:pStyle w:val="SingleTxtG"/>
        <w:ind w:left="2268" w:hanging="1134"/>
        <w:rPr>
          <w:b/>
          <w:bCs/>
          <w:lang w:val="x-none" w:eastAsia="de-DE"/>
        </w:rPr>
      </w:pPr>
      <w:r w:rsidRPr="000C5D79">
        <w:rPr>
          <w:b/>
          <w:bCs/>
          <w:lang w:eastAsia="de-DE"/>
        </w:rPr>
        <w:t>A.1.</w:t>
      </w:r>
      <w:r w:rsidR="00487EE5" w:rsidRPr="000C5D79">
        <w:rPr>
          <w:b/>
          <w:bCs/>
          <w:lang w:val="x-none" w:eastAsia="de-DE"/>
        </w:rPr>
        <w:t>3.1.3.</w:t>
      </w:r>
      <w:r w:rsidRPr="000C5D79">
        <w:rPr>
          <w:b/>
          <w:bCs/>
          <w:lang w:val="x-none" w:eastAsia="de-DE"/>
        </w:rPr>
        <w:tab/>
      </w:r>
      <w:r w:rsidR="00487EE5" w:rsidRPr="000C5D79">
        <w:rPr>
          <w:b/>
          <w:bCs/>
          <w:lang w:val="x-none" w:eastAsia="de-DE"/>
        </w:rPr>
        <w:t xml:space="preserve">PEMS and engine data </w:t>
      </w:r>
    </w:p>
    <w:p w14:paraId="21C4EE49" w14:textId="62951522" w:rsidR="00487EE5" w:rsidRPr="000C5D79" w:rsidRDefault="00487EE5" w:rsidP="00487EE5">
      <w:pPr>
        <w:pStyle w:val="SingleTxtG"/>
        <w:ind w:left="2268"/>
        <w:rPr>
          <w:b/>
          <w:bCs/>
          <w:lang w:eastAsia="de-DE"/>
        </w:rPr>
      </w:pPr>
      <w:r w:rsidRPr="000C5D79">
        <w:rPr>
          <w:b/>
          <w:bCs/>
          <w:lang w:eastAsia="de-DE"/>
        </w:rPr>
        <w:t xml:space="preserve">The data from the PEMS (gas analysers, PM number analyser and EFM) shall be properly aligned with the data from the engine ECU using the procedure in </w:t>
      </w:r>
      <w:r w:rsidR="00764B2D" w:rsidRPr="000C5D79">
        <w:rPr>
          <w:b/>
          <w:bCs/>
          <w:lang w:eastAsia="de-DE"/>
        </w:rPr>
        <w:t>paragraph</w:t>
      </w:r>
      <w:r w:rsidR="00764B2D" w:rsidRPr="000C5D79">
        <w:rPr>
          <w:b/>
          <w:bCs/>
          <w:lang w:val="x-none" w:eastAsia="de-DE"/>
        </w:rPr>
        <w:t xml:space="preserve"> </w:t>
      </w:r>
      <w:r w:rsidR="00764B2D" w:rsidRPr="000C5D79">
        <w:rPr>
          <w:b/>
          <w:bCs/>
          <w:lang w:eastAsia="de-DE"/>
        </w:rPr>
        <w:t>A.1.</w:t>
      </w:r>
      <w:r w:rsidR="00764B2D" w:rsidRPr="000C5D79">
        <w:rPr>
          <w:b/>
          <w:bCs/>
          <w:lang w:val="x-none" w:eastAsia="de-DE"/>
        </w:rPr>
        <w:t>3.1.4.</w:t>
      </w:r>
      <w:r w:rsidR="001D65A2" w:rsidRPr="000C5D79">
        <w:rPr>
          <w:b/>
          <w:bCs/>
          <w:lang w:eastAsia="de-DE"/>
        </w:rPr>
        <w:t>"</w:t>
      </w:r>
    </w:p>
    <w:p w14:paraId="3A94B768" w14:textId="6A26596B" w:rsidR="000D21FE" w:rsidRPr="002C7499" w:rsidRDefault="000D21FE" w:rsidP="000D21FE">
      <w:pPr>
        <w:pStyle w:val="SingleTxtG"/>
        <w:ind w:left="2268" w:hanging="1134"/>
        <w:rPr>
          <w:lang w:eastAsia="de-DE"/>
        </w:rPr>
      </w:pPr>
      <w:bookmarkStart w:id="21" w:name="_Hlk52362245"/>
      <w:r w:rsidRPr="002C7499">
        <w:rPr>
          <w:i/>
          <w:iCs/>
          <w:lang w:eastAsia="de-DE"/>
        </w:rPr>
        <w:t>Paragraph A.1.3.1.</w:t>
      </w:r>
      <w:r w:rsidR="00A70589" w:rsidRPr="002C7499">
        <w:rPr>
          <w:i/>
          <w:iCs/>
          <w:lang w:eastAsia="de-DE"/>
        </w:rPr>
        <w:t>4.</w:t>
      </w:r>
      <w:r w:rsidRPr="002C7499">
        <w:rPr>
          <w:lang w:eastAsia="de-DE"/>
        </w:rPr>
        <w:t>, amend to read:</w:t>
      </w:r>
      <w:bookmarkEnd w:id="21"/>
    </w:p>
    <w:p w14:paraId="398B9489" w14:textId="790BB627" w:rsidR="00E70AEB" w:rsidRPr="002C7499" w:rsidRDefault="00E70AEB" w:rsidP="00E70AEB">
      <w:pPr>
        <w:pStyle w:val="SingleTxtG"/>
        <w:rPr>
          <w:lang w:eastAsia="de-DE"/>
        </w:rPr>
      </w:pPr>
      <w:r w:rsidRPr="002C7499">
        <w:rPr>
          <w:lang w:eastAsia="de-DE"/>
        </w:rPr>
        <w:t>"A.1.3.1.4.</w:t>
      </w:r>
      <w:r w:rsidRPr="002C7499">
        <w:rPr>
          <w:lang w:eastAsia="de-DE"/>
        </w:rPr>
        <w:tab/>
        <w:t>Procedure for improved time-alignment of the PEMS data</w:t>
      </w:r>
    </w:p>
    <w:p w14:paraId="3ACE29BB" w14:textId="77777777" w:rsidR="00E70AEB" w:rsidRPr="002C7499" w:rsidRDefault="00E70AEB" w:rsidP="00E70AEB">
      <w:pPr>
        <w:pStyle w:val="SingleTxtG"/>
        <w:ind w:left="2268"/>
        <w:rPr>
          <w:lang w:eastAsia="de-DE"/>
        </w:rPr>
      </w:pPr>
      <w:r w:rsidRPr="002C7499">
        <w:rPr>
          <w:lang w:eastAsia="de-DE"/>
        </w:rPr>
        <w:t>The test data listed in Table 1 are split into 3 different categories:</w:t>
      </w:r>
    </w:p>
    <w:p w14:paraId="1223BC3C" w14:textId="052DE92C" w:rsidR="00E70AEB" w:rsidRPr="002C7499" w:rsidRDefault="00E70AEB" w:rsidP="00E70AEB">
      <w:pPr>
        <w:pStyle w:val="SingleTxtG"/>
        <w:ind w:left="2268"/>
        <w:rPr>
          <w:lang w:eastAsia="de-DE"/>
        </w:rPr>
      </w:pPr>
      <w:r w:rsidRPr="002C7499">
        <w:rPr>
          <w:lang w:eastAsia="de-DE"/>
        </w:rPr>
        <w:t>1.</w:t>
      </w:r>
      <w:r w:rsidRPr="002C7499">
        <w:rPr>
          <w:lang w:eastAsia="de-DE"/>
        </w:rPr>
        <w:tab/>
      </w:r>
      <w:r w:rsidRPr="003109B3">
        <w:rPr>
          <w:strike/>
          <w:lang w:eastAsia="de-DE"/>
        </w:rPr>
        <w:t>Gas analysers (THC, when applicable CH</w:t>
      </w:r>
      <w:r w:rsidRPr="003109B3">
        <w:rPr>
          <w:strike/>
          <w:vertAlign w:val="subscript"/>
          <w:lang w:eastAsia="de-DE"/>
        </w:rPr>
        <w:t>4</w:t>
      </w:r>
      <w:r w:rsidRPr="003109B3">
        <w:rPr>
          <w:strike/>
          <w:lang w:eastAsia="de-DE"/>
        </w:rPr>
        <w:t>, CO, CO</w:t>
      </w:r>
      <w:r w:rsidRPr="003109B3">
        <w:rPr>
          <w:strike/>
          <w:vertAlign w:val="subscript"/>
          <w:lang w:eastAsia="de-DE"/>
        </w:rPr>
        <w:t>2</w:t>
      </w:r>
      <w:r w:rsidRPr="003109B3">
        <w:rPr>
          <w:strike/>
          <w:lang w:eastAsia="de-DE"/>
        </w:rPr>
        <w:t>, NO</w:t>
      </w:r>
      <w:r w:rsidRPr="003109B3">
        <w:rPr>
          <w:strike/>
          <w:vertAlign w:val="subscript"/>
          <w:lang w:eastAsia="de-DE"/>
        </w:rPr>
        <w:t>x</w:t>
      </w:r>
      <w:r w:rsidRPr="003109B3">
        <w:rPr>
          <w:strike/>
          <w:lang w:eastAsia="de-DE"/>
        </w:rPr>
        <w:t xml:space="preserve"> concentrations)</w:t>
      </w:r>
      <w:r w:rsidR="00B841C7" w:rsidRPr="003109B3">
        <w:rPr>
          <w:b/>
          <w:bCs/>
          <w:lang w:eastAsia="de-DE"/>
        </w:rPr>
        <w:t>Gas analysers (THC, CO, CO</w:t>
      </w:r>
      <w:r w:rsidR="00B841C7" w:rsidRPr="003109B3">
        <w:rPr>
          <w:b/>
          <w:bCs/>
          <w:vertAlign w:val="subscript"/>
          <w:lang w:eastAsia="de-DE"/>
        </w:rPr>
        <w:t>2</w:t>
      </w:r>
      <w:r w:rsidR="00B841C7" w:rsidRPr="003109B3">
        <w:rPr>
          <w:b/>
          <w:bCs/>
          <w:lang w:eastAsia="de-DE"/>
        </w:rPr>
        <w:t>, NOx concentrations) and PM number analyser</w:t>
      </w:r>
      <w:r w:rsidRPr="002C7499">
        <w:rPr>
          <w:lang w:eastAsia="de-DE"/>
        </w:rPr>
        <w:t>;</w:t>
      </w:r>
    </w:p>
    <w:p w14:paraId="7FF90057" w14:textId="77777777" w:rsidR="00E70AEB" w:rsidRPr="002C7499" w:rsidRDefault="00E70AEB" w:rsidP="00E70AEB">
      <w:pPr>
        <w:pStyle w:val="SingleTxtG"/>
        <w:ind w:left="2268"/>
        <w:rPr>
          <w:lang w:eastAsia="de-DE"/>
        </w:rPr>
      </w:pPr>
      <w:r w:rsidRPr="002C7499">
        <w:rPr>
          <w:lang w:eastAsia="de-DE"/>
        </w:rPr>
        <w:t>2.</w:t>
      </w:r>
      <w:r w:rsidRPr="002C7499">
        <w:rPr>
          <w:lang w:eastAsia="de-DE"/>
        </w:rPr>
        <w:tab/>
        <w:t>Exhaust Flow Meter (Exhaust mass flow and exhaust temperature);</w:t>
      </w:r>
    </w:p>
    <w:p w14:paraId="0E8F12CD" w14:textId="77777777" w:rsidR="00E70AEB" w:rsidRPr="002C7499" w:rsidRDefault="00E70AEB" w:rsidP="00E70AEB">
      <w:pPr>
        <w:pStyle w:val="SingleTxtG"/>
        <w:ind w:left="2268"/>
        <w:rPr>
          <w:lang w:eastAsia="de-DE"/>
        </w:rPr>
      </w:pPr>
      <w:r w:rsidRPr="002C7499">
        <w:rPr>
          <w:lang w:eastAsia="de-DE"/>
        </w:rPr>
        <w:t>3.</w:t>
      </w:r>
      <w:r w:rsidRPr="002C7499">
        <w:rPr>
          <w:lang w:eastAsia="de-DE"/>
        </w:rPr>
        <w:tab/>
        <w:t>Engine (Torque, speed, temperatures, fuel rate, vehicle speed from ECU).</w:t>
      </w:r>
    </w:p>
    <w:p w14:paraId="21D10C6E" w14:textId="77777777" w:rsidR="00E70AEB" w:rsidRPr="002C7499" w:rsidRDefault="00E70AEB" w:rsidP="00E70AEB">
      <w:pPr>
        <w:pStyle w:val="SingleTxtG"/>
        <w:ind w:left="2268"/>
        <w:rPr>
          <w:lang w:eastAsia="de-DE"/>
        </w:rPr>
      </w:pPr>
      <w:r w:rsidRPr="002C7499">
        <w:rPr>
          <w:lang w:eastAsia="de-DE"/>
        </w:rPr>
        <w:t xml:space="preserve">The time alignment of each category with the other categories shall be verified by finding the highest correlation coefficient between two series of parameters. All the parameters in a category shall be shifted to maximize the correlation factor. The following parameters shall be used to calculate the correlation coefficients: </w:t>
      </w:r>
    </w:p>
    <w:p w14:paraId="6BD69626" w14:textId="77777777" w:rsidR="00E70AEB" w:rsidRPr="002C7499" w:rsidRDefault="00E70AEB" w:rsidP="00E70AEB">
      <w:pPr>
        <w:pStyle w:val="SingleTxtG"/>
        <w:ind w:left="2268"/>
        <w:rPr>
          <w:lang w:eastAsia="de-DE"/>
        </w:rPr>
      </w:pPr>
      <w:r w:rsidRPr="002C7499">
        <w:rPr>
          <w:lang w:eastAsia="de-DE"/>
        </w:rPr>
        <w:t>To time-align:</w:t>
      </w:r>
    </w:p>
    <w:p w14:paraId="224B26DE" w14:textId="77777777" w:rsidR="00E70AEB" w:rsidRPr="002C7499" w:rsidRDefault="00E70AEB" w:rsidP="00AC0F06">
      <w:pPr>
        <w:pStyle w:val="SingleTxtG"/>
        <w:ind w:left="2835" w:hanging="567"/>
        <w:rPr>
          <w:lang w:eastAsia="de-DE"/>
        </w:rPr>
      </w:pPr>
      <w:r w:rsidRPr="002C7499">
        <w:rPr>
          <w:lang w:eastAsia="de-DE"/>
        </w:rPr>
        <w:t>(a)</w:t>
      </w:r>
      <w:r w:rsidRPr="002C7499">
        <w:rPr>
          <w:lang w:eastAsia="de-DE"/>
        </w:rPr>
        <w:tab/>
        <w:t>Categories 1 and 2 (</w:t>
      </w:r>
      <w:proofErr w:type="spellStart"/>
      <w:r w:rsidRPr="002C7499">
        <w:rPr>
          <w:lang w:eastAsia="de-DE"/>
        </w:rPr>
        <w:t>Analyzers</w:t>
      </w:r>
      <w:proofErr w:type="spellEnd"/>
      <w:r w:rsidRPr="002C7499">
        <w:rPr>
          <w:lang w:eastAsia="de-DE"/>
        </w:rPr>
        <w:t xml:space="preserve"> and EFM data) with category 3 (Engine data): the vehicle speed from the GPS and from the ECU;</w:t>
      </w:r>
    </w:p>
    <w:p w14:paraId="381EDE40" w14:textId="77777777" w:rsidR="00E70AEB" w:rsidRPr="002C7499" w:rsidRDefault="00E70AEB" w:rsidP="00AC0F06">
      <w:pPr>
        <w:pStyle w:val="SingleTxtG"/>
        <w:ind w:left="2835" w:hanging="567"/>
        <w:rPr>
          <w:lang w:eastAsia="de-DE"/>
        </w:rPr>
      </w:pPr>
      <w:r w:rsidRPr="002C7499">
        <w:rPr>
          <w:lang w:eastAsia="de-DE"/>
        </w:rPr>
        <w:t>(b)</w:t>
      </w:r>
      <w:r w:rsidRPr="002C7499">
        <w:rPr>
          <w:lang w:eastAsia="de-DE"/>
        </w:rPr>
        <w:tab/>
        <w:t>Category 1 with category 2: the CO</w:t>
      </w:r>
      <w:r w:rsidRPr="002C7499">
        <w:rPr>
          <w:vertAlign w:val="subscript"/>
          <w:lang w:eastAsia="de-DE"/>
        </w:rPr>
        <w:t>2</w:t>
      </w:r>
      <w:r w:rsidRPr="002C7499">
        <w:rPr>
          <w:lang w:eastAsia="de-DE"/>
        </w:rPr>
        <w:t xml:space="preserve"> concentration and the exhaust mass;</w:t>
      </w:r>
    </w:p>
    <w:p w14:paraId="134121A8" w14:textId="727782B3" w:rsidR="00E70AEB" w:rsidRPr="002C7499" w:rsidRDefault="00E70AEB" w:rsidP="00AC0F06">
      <w:pPr>
        <w:pStyle w:val="SingleTxtG"/>
        <w:ind w:left="2835" w:hanging="567"/>
        <w:rPr>
          <w:lang w:eastAsia="de-DE"/>
        </w:rPr>
      </w:pPr>
      <w:r w:rsidRPr="002C7499">
        <w:rPr>
          <w:lang w:eastAsia="de-DE"/>
        </w:rPr>
        <w:t>(c)</w:t>
      </w:r>
      <w:r w:rsidRPr="002C7499">
        <w:rPr>
          <w:lang w:eastAsia="de-DE"/>
        </w:rPr>
        <w:tab/>
        <w:t>Category 2 with category 3: the CO</w:t>
      </w:r>
      <w:r w:rsidRPr="002C7499">
        <w:rPr>
          <w:vertAlign w:val="subscript"/>
          <w:lang w:eastAsia="de-DE"/>
        </w:rPr>
        <w:t>2</w:t>
      </w:r>
      <w:r w:rsidRPr="002C7499">
        <w:rPr>
          <w:lang w:eastAsia="de-DE"/>
        </w:rPr>
        <w:t xml:space="preserve"> concentration and the engine fuel flow."</w:t>
      </w:r>
    </w:p>
    <w:p w14:paraId="0933F3B1" w14:textId="75EA4C5F" w:rsidR="00F334D2" w:rsidRPr="002C7499" w:rsidRDefault="00596C68" w:rsidP="00596C68">
      <w:pPr>
        <w:pStyle w:val="SingleTxtG"/>
        <w:ind w:left="2268" w:hanging="1134"/>
        <w:rPr>
          <w:lang w:eastAsia="de-DE"/>
        </w:rPr>
      </w:pPr>
      <w:r w:rsidRPr="002C7499">
        <w:rPr>
          <w:i/>
          <w:iCs/>
          <w:lang w:eastAsia="de-DE"/>
        </w:rPr>
        <w:t xml:space="preserve">Add a </w:t>
      </w:r>
      <w:bookmarkStart w:id="22" w:name="_Hlk52363288"/>
      <w:r w:rsidRPr="002C7499">
        <w:rPr>
          <w:i/>
          <w:iCs/>
          <w:lang w:eastAsia="de-DE"/>
        </w:rPr>
        <w:t>new paragraph A.1.3.6.</w:t>
      </w:r>
      <w:r w:rsidRPr="002C7499">
        <w:rPr>
          <w:lang w:eastAsia="de-DE"/>
        </w:rPr>
        <w:t>, to read:</w:t>
      </w:r>
    </w:p>
    <w:p w14:paraId="106DFA41" w14:textId="39B64C19" w:rsidR="000223C7" w:rsidRPr="003109B3" w:rsidRDefault="00596C68" w:rsidP="000223C7">
      <w:pPr>
        <w:pStyle w:val="SingleTxtG"/>
        <w:ind w:left="2268" w:hanging="1134"/>
        <w:rPr>
          <w:b/>
          <w:bCs/>
          <w:lang w:val="fi-FI" w:eastAsia="de-DE"/>
        </w:rPr>
      </w:pPr>
      <w:r w:rsidRPr="002C7499">
        <w:rPr>
          <w:lang w:eastAsia="de-DE"/>
        </w:rPr>
        <w:t>"</w:t>
      </w:r>
      <w:bookmarkEnd w:id="22"/>
      <w:r w:rsidR="000223C7" w:rsidRPr="003109B3">
        <w:rPr>
          <w:b/>
          <w:bCs/>
          <w:lang w:eastAsia="de-DE"/>
        </w:rPr>
        <w:t>A.1.</w:t>
      </w:r>
      <w:r w:rsidR="000223C7" w:rsidRPr="003109B3">
        <w:rPr>
          <w:b/>
          <w:bCs/>
          <w:lang w:val="fi-FI" w:eastAsia="de-DE"/>
        </w:rPr>
        <w:t>3.6.</w:t>
      </w:r>
      <w:r w:rsidR="000223C7" w:rsidRPr="003109B3">
        <w:rPr>
          <w:b/>
          <w:bCs/>
          <w:lang w:val="fi-FI" w:eastAsia="de-DE"/>
        </w:rPr>
        <w:tab/>
        <w:t xml:space="preserve">Calculation of the instantaneous PM number emissions </w:t>
      </w:r>
    </w:p>
    <w:p w14:paraId="66264662" w14:textId="403255A6" w:rsidR="000223C7" w:rsidRPr="003109B3" w:rsidRDefault="000223C7" w:rsidP="000223C7">
      <w:pPr>
        <w:pStyle w:val="SingleTxtG"/>
        <w:ind w:left="2268"/>
        <w:rPr>
          <w:b/>
          <w:bCs/>
          <w:lang w:val="fi-FI" w:eastAsia="de-DE"/>
        </w:rPr>
      </w:pPr>
      <w:r w:rsidRPr="003109B3">
        <w:rPr>
          <w:b/>
          <w:bCs/>
          <w:lang w:val="fi-FI" w:eastAsia="de-DE"/>
        </w:rPr>
        <w:t>The instantaneous PM number (PN</w:t>
      </w:r>
      <w:r w:rsidRPr="003109B3">
        <w:rPr>
          <w:b/>
          <w:bCs/>
          <w:vertAlign w:val="subscript"/>
          <w:lang w:val="fi-FI" w:eastAsia="de-DE"/>
        </w:rPr>
        <w:t>i</w:t>
      </w:r>
      <w:r w:rsidRPr="003109B3">
        <w:rPr>
          <w:b/>
          <w:bCs/>
          <w:lang w:val="fi-FI" w:eastAsia="de-DE"/>
        </w:rPr>
        <w:t xml:space="preserve">) emissions </w:t>
      </w:r>
      <w:r w:rsidR="00BE0A47" w:rsidRPr="003109B3">
        <w:rPr>
          <w:b/>
          <w:bCs/>
          <w:lang w:val="fi-FI" w:eastAsia="de-DE"/>
        </w:rPr>
        <w:t>(</w:t>
      </w:r>
      <w:r w:rsidRPr="003109B3">
        <w:rPr>
          <w:b/>
          <w:bCs/>
          <w:lang w:val="fi-FI" w:eastAsia="de-DE"/>
        </w:rPr>
        <w:t>#/s</w:t>
      </w:r>
      <w:r w:rsidR="00BE0A47" w:rsidRPr="003109B3">
        <w:rPr>
          <w:b/>
          <w:bCs/>
          <w:lang w:val="fi-FI" w:eastAsia="de-DE"/>
        </w:rPr>
        <w:t>)</w:t>
      </w:r>
      <w:r w:rsidRPr="003109B3">
        <w:rPr>
          <w:b/>
          <w:bCs/>
          <w:lang w:val="fi-FI" w:eastAsia="de-DE"/>
        </w:rPr>
        <w:t xml:space="preserve"> shall be determined by multiplying the instantaneous concentration of the PM number </w:t>
      </w:r>
      <w:r w:rsidR="00BE0A47" w:rsidRPr="003109B3">
        <w:rPr>
          <w:b/>
          <w:bCs/>
          <w:lang w:val="fi-FI" w:eastAsia="de-DE"/>
        </w:rPr>
        <w:t>(</w:t>
      </w:r>
      <w:r w:rsidRPr="003109B3">
        <w:rPr>
          <w:b/>
          <w:bCs/>
          <w:lang w:val="fi-FI" w:eastAsia="de-DE"/>
        </w:rPr>
        <w:t>#/cm3</w:t>
      </w:r>
      <w:r w:rsidR="00BE0A47" w:rsidRPr="003109B3">
        <w:rPr>
          <w:b/>
          <w:bCs/>
          <w:lang w:val="fi-FI" w:eastAsia="de-DE"/>
        </w:rPr>
        <w:t>)</w:t>
      </w:r>
      <w:r w:rsidRPr="003109B3">
        <w:rPr>
          <w:b/>
          <w:bCs/>
          <w:lang w:val="fi-FI" w:eastAsia="de-DE"/>
        </w:rPr>
        <w:t xml:space="preserve"> with the instantaneous exhaust mass flow rate </w:t>
      </w:r>
      <w:r w:rsidR="00BE0A47" w:rsidRPr="003109B3">
        <w:rPr>
          <w:b/>
          <w:bCs/>
          <w:lang w:val="fi-FI" w:eastAsia="de-DE"/>
        </w:rPr>
        <w:t>(</w:t>
      </w:r>
      <w:r w:rsidRPr="003109B3">
        <w:rPr>
          <w:b/>
          <w:bCs/>
          <w:lang w:val="fi-FI" w:eastAsia="de-DE"/>
        </w:rPr>
        <w:t>kg/s</w:t>
      </w:r>
      <w:r w:rsidR="00BE0A47" w:rsidRPr="003109B3">
        <w:rPr>
          <w:b/>
          <w:bCs/>
          <w:lang w:val="fi-FI" w:eastAsia="de-DE"/>
        </w:rPr>
        <w:t>)</w:t>
      </w:r>
      <w:r w:rsidRPr="003109B3">
        <w:rPr>
          <w:b/>
          <w:bCs/>
          <w:lang w:val="fi-FI" w:eastAsia="de-DE"/>
        </w:rPr>
        <w:t xml:space="preserve">, both corrected and aligned for the transformation time, according to paragraph </w:t>
      </w:r>
      <w:r w:rsidR="00843130" w:rsidRPr="003109B3">
        <w:rPr>
          <w:b/>
          <w:bCs/>
          <w:lang w:val="fi-FI" w:eastAsia="de-DE"/>
        </w:rPr>
        <w:t>A.3.</w:t>
      </w:r>
      <w:r w:rsidRPr="003109B3">
        <w:rPr>
          <w:b/>
          <w:bCs/>
          <w:lang w:val="fi-FI" w:eastAsia="de-DE"/>
        </w:rPr>
        <w:t>1.4.3. of Appendix 3. All negative instantaneous emissions values shall enter subsequent data evaluations as zero. All significant digits of intermediate results shall enter the calculation of the instantaneous emissions. The following formula shall apply for the purposes of determining the instantaneous PM number emissions:</w:t>
      </w:r>
    </w:p>
    <w:p w14:paraId="65671556" w14:textId="742A8EB5" w:rsidR="000223C7" w:rsidRPr="003109B3" w:rsidRDefault="00A37FE4" w:rsidP="000223C7">
      <w:pPr>
        <w:pStyle w:val="SingleTxtG"/>
        <w:ind w:left="2268"/>
        <w:rPr>
          <w:b/>
          <w:bCs/>
          <w:lang w:val="fi-FI" w:eastAsia="de-DE"/>
        </w:rPr>
      </w:pPr>
      <m:oMathPara>
        <m:oMath>
          <m:sSub>
            <m:sSubPr>
              <m:ctrlPr>
                <w:rPr>
                  <w:rFonts w:ascii="Cambria Math" w:hAnsi="Cambria Math"/>
                  <w:b/>
                  <w:bCs/>
                  <w:i/>
                  <w:lang w:val="fi-FI" w:eastAsia="de-DE"/>
                </w:rPr>
              </m:ctrlPr>
            </m:sSubPr>
            <m:e>
              <m:r>
                <m:rPr>
                  <m:sty m:val="bi"/>
                </m:rPr>
                <w:rPr>
                  <w:rFonts w:ascii="Cambria Math" w:hAnsi="Cambria Math"/>
                  <w:lang w:val="fi-FI" w:eastAsia="de-DE"/>
                </w:rPr>
                <m:t>PN</m:t>
              </m:r>
            </m:e>
            <m:sub>
              <m:r>
                <m:rPr>
                  <m:sty m:val="bi"/>
                </m:rPr>
                <w:rPr>
                  <w:rFonts w:ascii="Cambria Math" w:hAnsi="Cambria Math"/>
                  <w:lang w:val="fi-FI" w:eastAsia="de-DE"/>
                </w:rPr>
                <m:t>i</m:t>
              </m:r>
            </m:sub>
          </m:sSub>
          <m:r>
            <m:rPr>
              <m:sty m:val="bi"/>
            </m:rPr>
            <w:rPr>
              <w:rFonts w:ascii="Cambria Math" w:hAnsi="Cambria Math"/>
              <w:lang w:val="fi-FI" w:eastAsia="de-DE"/>
            </w:rPr>
            <m:t>=</m:t>
          </m:r>
          <m:sSub>
            <m:sSubPr>
              <m:ctrlPr>
                <w:rPr>
                  <w:rFonts w:ascii="Cambria Math" w:hAnsi="Cambria Math"/>
                  <w:b/>
                  <w:bCs/>
                  <w:i/>
                  <w:lang w:val="fi-FI" w:eastAsia="de-DE"/>
                </w:rPr>
              </m:ctrlPr>
            </m:sSubPr>
            <m:e>
              <m:r>
                <m:rPr>
                  <m:sty m:val="bi"/>
                </m:rPr>
                <w:rPr>
                  <w:rFonts w:ascii="Cambria Math" w:hAnsi="Cambria Math"/>
                  <w:lang w:val="fi-FI" w:eastAsia="de-DE"/>
                </w:rPr>
                <m:t>c</m:t>
              </m:r>
            </m:e>
            <m:sub>
              <m:r>
                <m:rPr>
                  <m:sty m:val="bi"/>
                </m:rPr>
                <w:rPr>
                  <w:rFonts w:ascii="Cambria Math" w:hAnsi="Cambria Math"/>
                  <w:lang w:val="fi-FI" w:eastAsia="de-DE"/>
                </w:rPr>
                <m:t>PNi</m:t>
              </m:r>
            </m:sub>
          </m:sSub>
          <m:r>
            <m:rPr>
              <m:sty m:val="bi"/>
            </m:rPr>
            <w:rPr>
              <w:rFonts w:ascii="Cambria Math" w:hAnsi="Cambria Math"/>
              <w:lang w:val="fi-FI" w:eastAsia="de-DE"/>
            </w:rPr>
            <m:t xml:space="preserve"> ×</m:t>
          </m:r>
          <m:sSub>
            <m:sSubPr>
              <m:ctrlPr>
                <w:rPr>
                  <w:rFonts w:ascii="Cambria Math" w:hAnsi="Cambria Math"/>
                  <w:b/>
                  <w:bCs/>
                  <w:i/>
                  <w:lang w:val="fi-FI" w:eastAsia="de-DE"/>
                </w:rPr>
              </m:ctrlPr>
            </m:sSubPr>
            <m:e>
              <m:r>
                <m:rPr>
                  <m:sty m:val="bi"/>
                </m:rPr>
                <w:rPr>
                  <w:rFonts w:ascii="Cambria Math" w:hAnsi="Cambria Math"/>
                  <w:lang w:val="fi-FI" w:eastAsia="de-DE"/>
                </w:rPr>
                <m:t>q</m:t>
              </m:r>
            </m:e>
            <m:sub>
              <m:r>
                <m:rPr>
                  <m:sty m:val="bi"/>
                </m:rPr>
                <w:rPr>
                  <w:rFonts w:ascii="Cambria Math" w:hAnsi="Cambria Math"/>
                  <w:lang w:val="fi-FI" w:eastAsia="de-DE"/>
                </w:rPr>
                <m:t>mewi</m:t>
              </m:r>
            </m:sub>
          </m:sSub>
          <m:r>
            <m:rPr>
              <m:sty m:val="bi"/>
            </m:rPr>
            <w:rPr>
              <w:rFonts w:ascii="Cambria Math" w:hAnsi="Cambria Math"/>
              <w:lang w:val="fi-FI" w:eastAsia="de-DE"/>
            </w:rPr>
            <m:t>/</m:t>
          </m:r>
          <m:sSub>
            <m:sSubPr>
              <m:ctrlPr>
                <w:rPr>
                  <w:rFonts w:ascii="Cambria Math" w:hAnsi="Cambria Math"/>
                  <w:b/>
                  <w:bCs/>
                  <w:i/>
                  <w:lang w:val="fi-FI" w:eastAsia="de-DE"/>
                </w:rPr>
              </m:ctrlPr>
            </m:sSubPr>
            <m:e>
              <m:r>
                <m:rPr>
                  <m:sty m:val="bi"/>
                </m:rPr>
                <w:rPr>
                  <w:rFonts w:ascii="Cambria Math" w:hAnsi="Cambria Math"/>
                  <w:lang w:val="fi-FI" w:eastAsia="de-DE"/>
                </w:rPr>
                <m:t>ρ</m:t>
              </m:r>
            </m:e>
            <m:sub>
              <m:r>
                <m:rPr>
                  <m:sty m:val="bi"/>
                </m:rPr>
                <w:rPr>
                  <w:rFonts w:ascii="Cambria Math" w:hAnsi="Cambria Math"/>
                  <w:lang w:val="fi-FI" w:eastAsia="de-DE"/>
                </w:rPr>
                <m:t>e</m:t>
              </m:r>
            </m:sub>
          </m:sSub>
        </m:oMath>
      </m:oMathPara>
    </w:p>
    <w:p w14:paraId="3EAA681F" w14:textId="77777777" w:rsidR="000223C7" w:rsidRPr="003109B3" w:rsidRDefault="000223C7" w:rsidP="000223C7">
      <w:pPr>
        <w:pStyle w:val="SingleTxtG"/>
        <w:ind w:left="2268"/>
        <w:rPr>
          <w:b/>
          <w:bCs/>
          <w:lang w:val="fi-FI" w:eastAsia="de-DE"/>
        </w:rPr>
      </w:pPr>
      <w:r w:rsidRPr="003109B3">
        <w:rPr>
          <w:b/>
          <w:bCs/>
          <w:lang w:val="fi-FI" w:eastAsia="de-DE"/>
        </w:rPr>
        <w:t xml:space="preserve">where: </w:t>
      </w:r>
    </w:p>
    <w:p w14:paraId="249459B7" w14:textId="1E4C1044" w:rsidR="000223C7" w:rsidRPr="003109B3" w:rsidRDefault="00A37FE4" w:rsidP="00CB6208">
      <w:pPr>
        <w:pStyle w:val="SingleTxtG"/>
        <w:ind w:left="3402" w:hanging="1134"/>
        <w:rPr>
          <w:b/>
          <w:bCs/>
          <w:lang w:val="fi-FI" w:eastAsia="de-DE"/>
        </w:rPr>
      </w:pPr>
      <m:oMath>
        <m:sSub>
          <m:sSubPr>
            <m:ctrlPr>
              <w:rPr>
                <w:rFonts w:ascii="Cambria Math" w:hAnsi="Cambria Math"/>
                <w:b/>
                <w:bCs/>
                <w:i/>
                <w:lang w:val="fi-FI" w:eastAsia="de-DE"/>
              </w:rPr>
            </m:ctrlPr>
          </m:sSubPr>
          <m:e>
            <m:r>
              <m:rPr>
                <m:sty m:val="bi"/>
              </m:rPr>
              <w:rPr>
                <w:rFonts w:ascii="Cambria Math" w:hAnsi="Cambria Math"/>
                <w:lang w:val="fi-FI" w:eastAsia="de-DE"/>
              </w:rPr>
              <m:t>PN</m:t>
            </m:r>
          </m:e>
          <m:sub>
            <m:r>
              <m:rPr>
                <m:sty m:val="bi"/>
              </m:rPr>
              <w:rPr>
                <w:rFonts w:ascii="Cambria Math" w:hAnsi="Cambria Math"/>
                <w:lang w:val="fi-FI" w:eastAsia="de-DE"/>
              </w:rPr>
              <m:t>i</m:t>
            </m:r>
          </m:sub>
        </m:sSub>
      </m:oMath>
      <w:r w:rsidR="0073294D" w:rsidRPr="003109B3">
        <w:rPr>
          <w:b/>
          <w:bCs/>
          <w:vertAlign w:val="subscript"/>
          <w:lang w:val="fi-FI" w:eastAsia="de-DE"/>
        </w:rPr>
        <w:tab/>
      </w:r>
      <w:r w:rsidR="000223C7" w:rsidRPr="003109B3">
        <w:rPr>
          <w:b/>
          <w:bCs/>
          <w:lang w:val="fi-FI" w:eastAsia="de-DE"/>
        </w:rPr>
        <w:t>is the instantaneous PM number emissions</w:t>
      </w:r>
      <w:r w:rsidR="00BE560A" w:rsidRPr="003109B3">
        <w:rPr>
          <w:b/>
          <w:bCs/>
          <w:lang w:val="fi-FI" w:eastAsia="de-DE"/>
        </w:rPr>
        <w:t>,</w:t>
      </w:r>
      <w:r w:rsidR="000223C7" w:rsidRPr="003109B3">
        <w:rPr>
          <w:b/>
          <w:bCs/>
          <w:lang w:val="fi-FI" w:eastAsia="de-DE"/>
        </w:rPr>
        <w:t xml:space="preserve"> #/s </w:t>
      </w:r>
    </w:p>
    <w:p w14:paraId="6A42752E" w14:textId="4F8B3FED" w:rsidR="000223C7" w:rsidRPr="003109B3" w:rsidRDefault="00A37FE4" w:rsidP="00CB6208">
      <w:pPr>
        <w:pStyle w:val="SingleTxtG"/>
        <w:ind w:left="3402" w:hanging="1134"/>
        <w:rPr>
          <w:b/>
          <w:bCs/>
          <w:lang w:val="fi-FI" w:eastAsia="de-DE"/>
        </w:rPr>
      </w:pPr>
      <m:oMath>
        <m:sSub>
          <m:sSubPr>
            <m:ctrlPr>
              <w:rPr>
                <w:rFonts w:ascii="Cambria Math" w:hAnsi="Cambria Math"/>
                <w:b/>
                <w:bCs/>
                <w:i/>
                <w:lang w:val="fi-FI" w:eastAsia="de-DE"/>
              </w:rPr>
            </m:ctrlPr>
          </m:sSubPr>
          <m:e>
            <m:r>
              <m:rPr>
                <m:sty m:val="bi"/>
              </m:rPr>
              <w:rPr>
                <w:rFonts w:ascii="Cambria Math" w:hAnsi="Cambria Math"/>
                <w:lang w:val="fi-FI" w:eastAsia="de-DE"/>
              </w:rPr>
              <m:t>c</m:t>
            </m:r>
          </m:e>
          <m:sub>
            <m:r>
              <m:rPr>
                <m:sty m:val="bi"/>
              </m:rPr>
              <w:rPr>
                <w:rFonts w:ascii="Cambria Math" w:hAnsi="Cambria Math"/>
                <w:lang w:val="fi-FI" w:eastAsia="de-DE"/>
              </w:rPr>
              <m:t>PNi</m:t>
            </m:r>
          </m:sub>
        </m:sSub>
      </m:oMath>
      <w:r w:rsidR="0073294D" w:rsidRPr="003109B3">
        <w:rPr>
          <w:b/>
          <w:bCs/>
          <w:lang w:val="fi-FI" w:eastAsia="de-DE"/>
        </w:rPr>
        <w:tab/>
      </w:r>
      <w:r w:rsidR="000223C7" w:rsidRPr="003109B3">
        <w:rPr>
          <w:b/>
          <w:bCs/>
          <w:lang w:val="fi-FI" w:eastAsia="de-DE"/>
        </w:rPr>
        <w:t>is the measured PM number concentration</w:t>
      </w:r>
      <w:r w:rsidR="00C878DB" w:rsidRPr="003109B3">
        <w:rPr>
          <w:b/>
          <w:bCs/>
          <w:lang w:val="fi-FI" w:eastAsia="de-DE"/>
        </w:rPr>
        <w:t>,</w:t>
      </w:r>
      <w:r w:rsidR="000223C7" w:rsidRPr="003109B3">
        <w:rPr>
          <w:b/>
          <w:bCs/>
          <w:lang w:val="fi-FI" w:eastAsia="de-DE"/>
        </w:rPr>
        <w:t xml:space="preserve"> #/m</w:t>
      </w:r>
      <w:r w:rsidR="000223C7" w:rsidRPr="003109B3">
        <w:rPr>
          <w:b/>
          <w:bCs/>
          <w:vertAlign w:val="superscript"/>
          <w:lang w:val="fi-FI" w:eastAsia="de-DE"/>
        </w:rPr>
        <w:t>3</w:t>
      </w:r>
      <w:r w:rsidR="000223C7" w:rsidRPr="003109B3">
        <w:rPr>
          <w:b/>
          <w:bCs/>
          <w:lang w:val="fi-FI" w:eastAsia="de-DE"/>
        </w:rPr>
        <w:t xml:space="preserve"> normalised at 273 K (0 °C) including internal dilution and particle losses </w:t>
      </w:r>
    </w:p>
    <w:p w14:paraId="12964C4A" w14:textId="560EDA42" w:rsidR="000223C7" w:rsidRPr="003109B3" w:rsidRDefault="00A37FE4" w:rsidP="00CB6208">
      <w:pPr>
        <w:pStyle w:val="SingleTxtG"/>
        <w:ind w:left="3402" w:hanging="1134"/>
        <w:rPr>
          <w:b/>
          <w:bCs/>
          <w:lang w:val="fi-FI" w:eastAsia="de-DE"/>
        </w:rPr>
      </w:pPr>
      <m:oMath>
        <m:sSub>
          <m:sSubPr>
            <m:ctrlPr>
              <w:rPr>
                <w:rFonts w:ascii="Cambria Math" w:hAnsi="Cambria Math"/>
                <w:b/>
                <w:bCs/>
                <w:i/>
                <w:lang w:val="fi-FI" w:eastAsia="de-DE"/>
              </w:rPr>
            </m:ctrlPr>
          </m:sSubPr>
          <m:e>
            <m:r>
              <m:rPr>
                <m:sty m:val="bi"/>
              </m:rPr>
              <w:rPr>
                <w:rFonts w:ascii="Cambria Math" w:hAnsi="Cambria Math"/>
                <w:lang w:val="fi-FI" w:eastAsia="de-DE"/>
              </w:rPr>
              <m:t>q</m:t>
            </m:r>
          </m:e>
          <m:sub>
            <m:r>
              <m:rPr>
                <m:sty m:val="bi"/>
              </m:rPr>
              <w:rPr>
                <w:rFonts w:ascii="Cambria Math" w:hAnsi="Cambria Math"/>
                <w:lang w:val="fi-FI" w:eastAsia="de-DE"/>
              </w:rPr>
              <m:t>mewi</m:t>
            </m:r>
          </m:sub>
        </m:sSub>
      </m:oMath>
      <w:r w:rsidR="00CB6208" w:rsidRPr="003109B3">
        <w:rPr>
          <w:b/>
          <w:bCs/>
          <w:lang w:val="fi-FI" w:eastAsia="de-DE"/>
        </w:rPr>
        <w:tab/>
      </w:r>
      <w:r w:rsidR="0073294D" w:rsidRPr="003109B3">
        <w:rPr>
          <w:b/>
          <w:bCs/>
          <w:lang w:val="fi-FI" w:eastAsia="de-DE"/>
        </w:rPr>
        <w:tab/>
      </w:r>
      <w:r w:rsidR="000223C7" w:rsidRPr="003109B3">
        <w:rPr>
          <w:b/>
          <w:bCs/>
          <w:lang w:val="fi-FI" w:eastAsia="de-DE"/>
        </w:rPr>
        <w:t>is the measured exhaust mass flow rate</w:t>
      </w:r>
      <w:r w:rsidR="00C878DB" w:rsidRPr="003109B3">
        <w:rPr>
          <w:b/>
          <w:bCs/>
          <w:lang w:val="fi-FI" w:eastAsia="de-DE"/>
        </w:rPr>
        <w:t xml:space="preserve">, </w:t>
      </w:r>
      <w:r w:rsidR="000223C7" w:rsidRPr="003109B3">
        <w:rPr>
          <w:b/>
          <w:bCs/>
          <w:lang w:val="fi-FI" w:eastAsia="de-DE"/>
        </w:rPr>
        <w:t xml:space="preserve">kg/s </w:t>
      </w:r>
    </w:p>
    <w:p w14:paraId="6F03E84A" w14:textId="064C642E" w:rsidR="00596C68" w:rsidRPr="002C7499" w:rsidRDefault="00A37FE4" w:rsidP="00CB6208">
      <w:pPr>
        <w:pStyle w:val="SingleTxtG"/>
        <w:ind w:left="3402" w:hanging="1134"/>
        <w:rPr>
          <w:lang w:val="fi-FI" w:eastAsia="de-DE"/>
        </w:rPr>
      </w:pPr>
      <m:oMath>
        <m:sSub>
          <m:sSubPr>
            <m:ctrlPr>
              <w:rPr>
                <w:rFonts w:ascii="Cambria Math" w:hAnsi="Cambria Math"/>
                <w:b/>
                <w:bCs/>
                <w:i/>
                <w:lang w:val="fi-FI" w:eastAsia="de-DE"/>
              </w:rPr>
            </m:ctrlPr>
          </m:sSubPr>
          <m:e>
            <m:r>
              <m:rPr>
                <m:sty m:val="bi"/>
              </m:rPr>
              <w:rPr>
                <w:rFonts w:ascii="Cambria Math" w:hAnsi="Cambria Math"/>
                <w:lang w:val="fi-FI" w:eastAsia="de-DE"/>
              </w:rPr>
              <m:t>ρ</m:t>
            </m:r>
          </m:e>
          <m:sub>
            <m:r>
              <m:rPr>
                <m:sty m:val="bi"/>
              </m:rPr>
              <w:rPr>
                <w:rFonts w:ascii="Cambria Math" w:hAnsi="Cambria Math"/>
                <w:lang w:val="fi-FI" w:eastAsia="de-DE"/>
              </w:rPr>
              <m:t>e</m:t>
            </m:r>
          </m:sub>
        </m:sSub>
      </m:oMath>
      <w:r w:rsidR="00CB6208" w:rsidRPr="003109B3">
        <w:rPr>
          <w:b/>
          <w:bCs/>
          <w:lang w:val="fi-FI" w:eastAsia="de-DE"/>
        </w:rPr>
        <w:tab/>
      </w:r>
      <w:r w:rsidR="000223C7" w:rsidRPr="003109B3">
        <w:rPr>
          <w:b/>
          <w:bCs/>
          <w:lang w:val="fi-FI" w:eastAsia="de-DE"/>
        </w:rPr>
        <w:t>is the density of the exhaust gas</w:t>
      </w:r>
      <w:r w:rsidR="00C878DB" w:rsidRPr="003109B3">
        <w:rPr>
          <w:b/>
          <w:bCs/>
          <w:lang w:val="fi-FI" w:eastAsia="de-DE"/>
        </w:rPr>
        <w:t>,</w:t>
      </w:r>
      <w:r w:rsidR="000223C7" w:rsidRPr="003109B3">
        <w:rPr>
          <w:b/>
          <w:bCs/>
          <w:lang w:val="fi-FI" w:eastAsia="de-DE"/>
        </w:rPr>
        <w:t xml:space="preserve"> kg/m</w:t>
      </w:r>
      <w:r w:rsidR="000223C7" w:rsidRPr="003109B3">
        <w:rPr>
          <w:b/>
          <w:bCs/>
          <w:vertAlign w:val="superscript"/>
          <w:lang w:val="fi-FI" w:eastAsia="de-DE"/>
        </w:rPr>
        <w:t>3</w:t>
      </w:r>
      <w:r w:rsidR="000223C7" w:rsidRPr="003109B3">
        <w:rPr>
          <w:b/>
          <w:bCs/>
          <w:lang w:val="fi-FI" w:eastAsia="de-DE"/>
        </w:rPr>
        <w:t xml:space="preserve"> at 273 K (0 °C).</w:t>
      </w:r>
      <w:r w:rsidR="00245908" w:rsidRPr="002C7499">
        <w:rPr>
          <w:lang w:eastAsia="de-DE"/>
        </w:rPr>
        <w:t>"</w:t>
      </w:r>
    </w:p>
    <w:p w14:paraId="39DC668A" w14:textId="56B83A0B" w:rsidR="00D4302F" w:rsidRPr="002C7499" w:rsidRDefault="00D4302F" w:rsidP="00D4302F">
      <w:pPr>
        <w:pStyle w:val="SingleTxtG"/>
        <w:rPr>
          <w:lang w:eastAsia="de-DE"/>
        </w:rPr>
      </w:pPr>
      <w:r w:rsidRPr="002C7499">
        <w:rPr>
          <w:i/>
          <w:iCs/>
          <w:lang w:eastAsia="de-DE"/>
        </w:rPr>
        <w:t>Paragraph</w:t>
      </w:r>
      <w:r w:rsidR="00CC3979" w:rsidRPr="002C7499">
        <w:rPr>
          <w:i/>
          <w:iCs/>
          <w:lang w:eastAsia="de-DE"/>
        </w:rPr>
        <w:t>s</w:t>
      </w:r>
      <w:r w:rsidRPr="002C7499">
        <w:rPr>
          <w:i/>
          <w:iCs/>
          <w:lang w:eastAsia="de-DE"/>
        </w:rPr>
        <w:t xml:space="preserve"> A.1.</w:t>
      </w:r>
      <w:r w:rsidR="00CC3979" w:rsidRPr="002C7499">
        <w:rPr>
          <w:i/>
          <w:iCs/>
          <w:lang w:eastAsia="de-DE"/>
        </w:rPr>
        <w:t>4.2.1. and A.1.4.</w:t>
      </w:r>
      <w:r w:rsidR="007952FC" w:rsidRPr="002C7499">
        <w:rPr>
          <w:i/>
          <w:iCs/>
          <w:lang w:eastAsia="de-DE"/>
        </w:rPr>
        <w:t>2</w:t>
      </w:r>
      <w:r w:rsidR="00CC3979" w:rsidRPr="002C7499">
        <w:rPr>
          <w:i/>
          <w:iCs/>
          <w:lang w:eastAsia="de-DE"/>
        </w:rPr>
        <w:t>.</w:t>
      </w:r>
      <w:r w:rsidR="007952FC" w:rsidRPr="002C7499">
        <w:rPr>
          <w:i/>
          <w:iCs/>
          <w:lang w:eastAsia="de-DE"/>
        </w:rPr>
        <w:t>1.1</w:t>
      </w:r>
      <w:r w:rsidR="00CC3979" w:rsidRPr="002C7499">
        <w:rPr>
          <w:i/>
          <w:iCs/>
          <w:lang w:eastAsia="de-DE"/>
        </w:rPr>
        <w:t>.</w:t>
      </w:r>
      <w:r w:rsidRPr="002C7499">
        <w:rPr>
          <w:lang w:eastAsia="de-DE"/>
        </w:rPr>
        <w:t xml:space="preserve">, </w:t>
      </w:r>
      <w:r w:rsidR="00CC3979" w:rsidRPr="002C7499">
        <w:rPr>
          <w:lang w:eastAsia="de-DE"/>
        </w:rPr>
        <w:t xml:space="preserve">amend </w:t>
      </w:r>
      <w:r w:rsidRPr="002C7499">
        <w:rPr>
          <w:lang w:eastAsia="de-DE"/>
        </w:rPr>
        <w:t>to read:</w:t>
      </w:r>
    </w:p>
    <w:p w14:paraId="6BBBC934" w14:textId="447A7E69" w:rsidR="00771B1E" w:rsidRPr="003109B3" w:rsidRDefault="00D4302F" w:rsidP="009412C7">
      <w:pPr>
        <w:pStyle w:val="SingleTxtG"/>
        <w:rPr>
          <w:strike/>
          <w:lang w:eastAsia="de-DE"/>
        </w:rPr>
      </w:pPr>
      <w:r w:rsidRPr="002C7499">
        <w:rPr>
          <w:lang w:eastAsia="de-DE"/>
        </w:rPr>
        <w:t>"</w:t>
      </w:r>
      <w:r w:rsidR="00771B1E" w:rsidRPr="003109B3">
        <w:rPr>
          <w:strike/>
          <w:lang w:eastAsia="de-DE"/>
        </w:rPr>
        <w:t>A.1.4.2.1.</w:t>
      </w:r>
      <w:r w:rsidR="00771B1E" w:rsidRPr="003109B3">
        <w:rPr>
          <w:strike/>
          <w:lang w:eastAsia="de-DE"/>
        </w:rPr>
        <w:tab/>
        <w:t>Calculation of the specific emissions</w:t>
      </w:r>
    </w:p>
    <w:p w14:paraId="1E22D018" w14:textId="784DB982" w:rsidR="00771B1E" w:rsidRPr="003109B3" w:rsidRDefault="00771B1E" w:rsidP="009412C7">
      <w:pPr>
        <w:pStyle w:val="SingleTxtG"/>
        <w:ind w:left="2268"/>
        <w:rPr>
          <w:strike/>
          <w:lang w:eastAsia="de-DE"/>
        </w:rPr>
      </w:pPr>
      <w:r w:rsidRPr="003109B3">
        <w:rPr>
          <w:strike/>
          <w:lang w:eastAsia="de-DE"/>
        </w:rPr>
        <w:t xml:space="preserve">The specific emissions </w:t>
      </w:r>
      <w:proofErr w:type="spellStart"/>
      <w:r w:rsidRPr="003109B3">
        <w:rPr>
          <w:i/>
          <w:strike/>
          <w:lang w:eastAsia="de-DE"/>
        </w:rPr>
        <w:t>e</w:t>
      </w:r>
      <w:r w:rsidRPr="003109B3">
        <w:rPr>
          <w:strike/>
          <w:vertAlign w:val="subscript"/>
          <w:lang w:eastAsia="de-DE"/>
        </w:rPr>
        <w:t>gas</w:t>
      </w:r>
      <w:proofErr w:type="spellEnd"/>
      <w:r w:rsidRPr="003109B3">
        <w:rPr>
          <w:strike/>
          <w:lang w:eastAsia="de-DE"/>
        </w:rPr>
        <w:t xml:space="preserve"> (mg/kWh) shall be calculated for each window and each pollutant in the following way:</w:t>
      </w:r>
    </w:p>
    <w:p w14:paraId="3895FA77" w14:textId="17124D9D" w:rsidR="00771B1E" w:rsidRPr="003109B3" w:rsidRDefault="00771B1E" w:rsidP="009412C7">
      <w:pPr>
        <w:pStyle w:val="SingleTxtG"/>
        <w:ind w:left="2268"/>
        <w:rPr>
          <w:strike/>
          <w:lang w:val="fi-FI" w:eastAsia="de-DE"/>
        </w:rPr>
      </w:pPr>
      <w:r w:rsidRPr="003109B3">
        <w:rPr>
          <w:strike/>
          <w:noProof/>
          <w:lang w:eastAsia="en-GB"/>
        </w:rPr>
        <w:drawing>
          <wp:inline distT="0" distB="0" distL="0" distR="0" wp14:anchorId="656EF94D" wp14:editId="29266BD0">
            <wp:extent cx="1287780" cy="409575"/>
            <wp:effectExtent l="0" t="0" r="762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87780" cy="409575"/>
                    </a:xfrm>
                    <a:prstGeom prst="rect">
                      <a:avLst/>
                    </a:prstGeom>
                    <a:noFill/>
                    <a:ln>
                      <a:noFill/>
                    </a:ln>
                  </pic:spPr>
                </pic:pic>
              </a:graphicData>
            </a:graphic>
          </wp:inline>
        </w:drawing>
      </w:r>
    </w:p>
    <w:p w14:paraId="6CB68796" w14:textId="6E5BB4E2" w:rsidR="00771B1E" w:rsidRPr="003109B3" w:rsidRDefault="00771B1E" w:rsidP="009412C7">
      <w:pPr>
        <w:pStyle w:val="SingleTxtG"/>
        <w:ind w:left="2268"/>
        <w:rPr>
          <w:strike/>
          <w:lang w:eastAsia="de-DE"/>
        </w:rPr>
      </w:pPr>
      <w:r w:rsidRPr="003109B3">
        <w:rPr>
          <w:strike/>
          <w:lang w:eastAsia="de-DE"/>
        </w:rPr>
        <w:t>Where:</w:t>
      </w:r>
    </w:p>
    <w:p w14:paraId="317C75F6" w14:textId="5468F307" w:rsidR="00771B1E" w:rsidRPr="003109B3" w:rsidRDefault="00771B1E" w:rsidP="009412C7">
      <w:pPr>
        <w:pStyle w:val="SingleTxtG"/>
        <w:ind w:left="2268"/>
        <w:rPr>
          <w:strike/>
          <w:lang w:eastAsia="de-DE"/>
        </w:rPr>
      </w:pPr>
      <w:r w:rsidRPr="003109B3">
        <w:rPr>
          <w:i/>
          <w:strike/>
          <w:lang w:eastAsia="de-DE"/>
        </w:rPr>
        <w:t xml:space="preserve">m </w:t>
      </w:r>
      <w:r w:rsidRPr="003109B3">
        <w:rPr>
          <w:i/>
          <w:strike/>
          <w:lang w:eastAsia="de-DE"/>
        </w:rPr>
        <w:tab/>
      </w:r>
      <w:r w:rsidRPr="003109B3">
        <w:rPr>
          <w:strike/>
          <w:lang w:eastAsia="de-DE"/>
        </w:rPr>
        <w:t>is the mass emission of the component, mg/window</w:t>
      </w:r>
    </w:p>
    <w:p w14:paraId="0EC62A93" w14:textId="0E59C761" w:rsidR="00771B1E" w:rsidRPr="003109B3" w:rsidRDefault="00771B1E" w:rsidP="009412C7">
      <w:pPr>
        <w:pStyle w:val="SingleTxtG"/>
        <w:ind w:left="2268"/>
        <w:rPr>
          <w:strike/>
          <w:lang w:eastAsia="de-DE"/>
        </w:rPr>
      </w:pPr>
      <w:r w:rsidRPr="003109B3">
        <w:rPr>
          <w:strike/>
          <w:noProof/>
          <w:lang w:eastAsia="en-GB"/>
        </w:rPr>
        <w:drawing>
          <wp:inline distT="0" distB="0" distL="0" distR="0" wp14:anchorId="6D5EDFC7" wp14:editId="33F459CB">
            <wp:extent cx="789940" cy="1974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89940" cy="197485"/>
                    </a:xfrm>
                    <a:prstGeom prst="rect">
                      <a:avLst/>
                    </a:prstGeom>
                    <a:noFill/>
                    <a:ln>
                      <a:noFill/>
                    </a:ln>
                  </pic:spPr>
                </pic:pic>
              </a:graphicData>
            </a:graphic>
          </wp:inline>
        </w:drawing>
      </w:r>
      <w:r w:rsidRPr="003109B3">
        <w:rPr>
          <w:strike/>
          <w:lang w:eastAsia="de-DE"/>
        </w:rPr>
        <w:t xml:space="preserve"> is the engine work during the </w:t>
      </w:r>
      <w:proofErr w:type="spellStart"/>
      <w:r w:rsidRPr="003109B3">
        <w:rPr>
          <w:strike/>
          <w:lang w:eastAsia="de-DE"/>
        </w:rPr>
        <w:t>i</w:t>
      </w:r>
      <w:r w:rsidRPr="003109B3">
        <w:rPr>
          <w:strike/>
          <w:vertAlign w:val="superscript"/>
          <w:lang w:eastAsia="de-DE"/>
        </w:rPr>
        <w:t>th</w:t>
      </w:r>
      <w:proofErr w:type="spellEnd"/>
      <w:r w:rsidRPr="003109B3">
        <w:rPr>
          <w:strike/>
          <w:lang w:eastAsia="de-DE"/>
        </w:rPr>
        <w:t xml:space="preserve"> averaging window, kWh</w:t>
      </w:r>
    </w:p>
    <w:p w14:paraId="635BF276" w14:textId="36A2B9FD" w:rsidR="00771B1E" w:rsidRPr="003109B3" w:rsidRDefault="00771B1E" w:rsidP="009412C7">
      <w:pPr>
        <w:pStyle w:val="SingleTxtG"/>
        <w:rPr>
          <w:strike/>
          <w:lang w:eastAsia="de-DE"/>
        </w:rPr>
      </w:pPr>
      <w:r w:rsidRPr="003109B3">
        <w:rPr>
          <w:strike/>
          <w:lang w:eastAsia="de-DE"/>
        </w:rPr>
        <w:t>A.1.4.2.1.1.</w:t>
      </w:r>
      <w:r w:rsidRPr="003109B3">
        <w:rPr>
          <w:strike/>
          <w:lang w:eastAsia="de-DE"/>
        </w:rPr>
        <w:tab/>
        <w:t>Calculation of the specific emissions for a declared market fuel</w:t>
      </w:r>
    </w:p>
    <w:p w14:paraId="59718763" w14:textId="3FC9B269" w:rsidR="00771B1E" w:rsidRPr="003109B3" w:rsidRDefault="00771B1E" w:rsidP="009412C7">
      <w:pPr>
        <w:pStyle w:val="SingleTxtG"/>
        <w:ind w:left="2268"/>
        <w:rPr>
          <w:strike/>
          <w:lang w:eastAsia="de-DE"/>
        </w:rPr>
      </w:pPr>
      <w:r w:rsidRPr="003109B3">
        <w:rPr>
          <w:strike/>
          <w:lang w:eastAsia="de-DE"/>
        </w:rPr>
        <w:tab/>
        <w:t xml:space="preserve">If a test according to this Annex was performed with a market fuel declared in paragraph 3.2.2.2.1. of Part 1 of Annex 1 to this Regulation and a power correction factor in accordance with paragraph 3.2.2.2.2. of Part 1 of Annex 1 to this Regulation was documented for the market fuel used for the test, the specific emissions </w:t>
      </w:r>
      <w:proofErr w:type="spellStart"/>
      <w:r w:rsidRPr="003109B3">
        <w:rPr>
          <w:i/>
          <w:strike/>
          <w:lang w:eastAsia="de-DE"/>
        </w:rPr>
        <w:t>e</w:t>
      </w:r>
      <w:r w:rsidRPr="003109B3">
        <w:rPr>
          <w:strike/>
          <w:vertAlign w:val="subscript"/>
          <w:lang w:eastAsia="de-DE"/>
        </w:rPr>
        <w:t>gas</w:t>
      </w:r>
      <w:proofErr w:type="spellEnd"/>
      <w:r w:rsidRPr="003109B3">
        <w:rPr>
          <w:strike/>
          <w:lang w:eastAsia="de-DE"/>
        </w:rPr>
        <w:t xml:space="preserve"> (mg/kWh) shall be calculated for each window and each pollutant by multiplication of the specific emissions with the declared power correction factor. </w:t>
      </w:r>
    </w:p>
    <w:p w14:paraId="604136CD" w14:textId="7B337491" w:rsidR="00771B1E" w:rsidRPr="00A55E98" w:rsidRDefault="00EC3AD4" w:rsidP="009412C7">
      <w:pPr>
        <w:pStyle w:val="SingleTxtG"/>
        <w:ind w:left="2268" w:hanging="1134"/>
        <w:rPr>
          <w:b/>
          <w:bCs/>
          <w:lang w:val="x-none" w:eastAsia="de-DE"/>
        </w:rPr>
      </w:pPr>
      <w:r w:rsidRPr="00A55E98">
        <w:rPr>
          <w:b/>
          <w:bCs/>
          <w:lang w:eastAsia="de-DE"/>
        </w:rPr>
        <w:t>A.1.</w:t>
      </w:r>
      <w:r w:rsidR="00771B1E" w:rsidRPr="00A55E98">
        <w:rPr>
          <w:b/>
          <w:bCs/>
          <w:lang w:val="x-none" w:eastAsia="de-DE"/>
        </w:rPr>
        <w:t>4.2.1.</w:t>
      </w:r>
      <w:r w:rsidR="00771B1E" w:rsidRPr="00A55E98">
        <w:rPr>
          <w:b/>
          <w:bCs/>
          <w:lang w:val="x-none" w:eastAsia="de-DE"/>
        </w:rPr>
        <w:tab/>
        <w:t xml:space="preserve">Calculation of the specific emissions </w:t>
      </w:r>
    </w:p>
    <w:p w14:paraId="40E04E6F" w14:textId="1B1A6B48" w:rsidR="00771B1E" w:rsidRPr="00A55E98" w:rsidRDefault="00771B1E" w:rsidP="007952FC">
      <w:pPr>
        <w:pStyle w:val="SingleTxtG"/>
        <w:ind w:left="2268"/>
        <w:rPr>
          <w:b/>
          <w:bCs/>
          <w:lang w:val="x-none" w:eastAsia="de-DE"/>
        </w:rPr>
      </w:pPr>
      <w:r w:rsidRPr="00A55E98">
        <w:rPr>
          <w:b/>
          <w:bCs/>
          <w:lang w:val="x-none" w:eastAsia="de-DE"/>
        </w:rPr>
        <w:t>The specific emissions e (mg/kWh or #/kWh) shall be calculated for each window and each pollutant in the following way:</w:t>
      </w:r>
    </w:p>
    <w:p w14:paraId="782DCABE" w14:textId="1A1FF94B" w:rsidR="00771B1E" w:rsidRPr="00A55E98" w:rsidRDefault="009412C7" w:rsidP="007952FC">
      <w:pPr>
        <w:pStyle w:val="SingleTxtG"/>
        <w:ind w:left="2268"/>
        <w:rPr>
          <w:b/>
          <w:bCs/>
          <w:lang w:val="x-none" w:eastAsia="de-DE"/>
        </w:rPr>
      </w:pPr>
      <w:r w:rsidRPr="00A55E98">
        <w:rPr>
          <w:b/>
          <w:bCs/>
          <w:noProof/>
          <w:lang w:eastAsia="en-GB"/>
        </w:rPr>
        <w:drawing>
          <wp:inline distT="0" distB="0" distL="0" distR="0" wp14:anchorId="57AB7D8C" wp14:editId="68FC52C0">
            <wp:extent cx="1333616" cy="41913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333616" cy="419136"/>
                    </a:xfrm>
                    <a:prstGeom prst="rect">
                      <a:avLst/>
                    </a:prstGeom>
                  </pic:spPr>
                </pic:pic>
              </a:graphicData>
            </a:graphic>
          </wp:inline>
        </w:drawing>
      </w:r>
    </w:p>
    <w:p w14:paraId="0FC7D3BC" w14:textId="77777777" w:rsidR="00771B1E" w:rsidRPr="00A55E98" w:rsidRDefault="00771B1E" w:rsidP="007952FC">
      <w:pPr>
        <w:pStyle w:val="SingleTxtG"/>
        <w:ind w:left="2268"/>
        <w:rPr>
          <w:b/>
          <w:bCs/>
          <w:lang w:val="x-none" w:eastAsia="de-DE"/>
        </w:rPr>
      </w:pPr>
      <w:r w:rsidRPr="00A55E98">
        <w:rPr>
          <w:b/>
          <w:bCs/>
          <w:lang w:val="x-none" w:eastAsia="de-DE"/>
        </w:rPr>
        <w:t xml:space="preserve">where: </w:t>
      </w:r>
    </w:p>
    <w:p w14:paraId="65610237" w14:textId="11EDAC69" w:rsidR="00771B1E" w:rsidRPr="00A55E98" w:rsidRDefault="00771B1E" w:rsidP="009412C7">
      <w:pPr>
        <w:pStyle w:val="SingleTxtG"/>
        <w:ind w:left="3969" w:hanging="1701"/>
        <w:rPr>
          <w:b/>
          <w:bCs/>
          <w:lang w:val="x-none" w:eastAsia="de-DE"/>
        </w:rPr>
      </w:pPr>
      <w:r w:rsidRPr="00A55E98">
        <w:rPr>
          <w:b/>
          <w:bCs/>
          <w:lang w:val="x-none" w:eastAsia="de-DE"/>
        </w:rPr>
        <w:t>m</w:t>
      </w:r>
      <w:r w:rsidR="009412C7" w:rsidRPr="00A55E98">
        <w:rPr>
          <w:b/>
          <w:bCs/>
          <w:lang w:val="x-none" w:eastAsia="de-DE"/>
        </w:rPr>
        <w:tab/>
      </w:r>
      <w:r w:rsidRPr="00A55E98">
        <w:rPr>
          <w:b/>
          <w:bCs/>
          <w:lang w:val="x-none" w:eastAsia="de-DE"/>
        </w:rPr>
        <w:t>is the mass emission of the pollutant</w:t>
      </w:r>
      <w:r w:rsidR="009C0086" w:rsidRPr="00A55E98">
        <w:rPr>
          <w:b/>
          <w:bCs/>
          <w:lang w:eastAsia="de-DE"/>
        </w:rPr>
        <w:t>,</w:t>
      </w:r>
      <w:r w:rsidRPr="00A55E98">
        <w:rPr>
          <w:b/>
          <w:bCs/>
          <w:lang w:val="x-none" w:eastAsia="de-DE"/>
        </w:rPr>
        <w:t xml:space="preserve"> mg/window</w:t>
      </w:r>
      <w:r w:rsidR="009C0086" w:rsidRPr="00A55E98">
        <w:rPr>
          <w:b/>
          <w:bCs/>
          <w:lang w:eastAsia="de-DE"/>
        </w:rPr>
        <w:t>,</w:t>
      </w:r>
      <w:r w:rsidRPr="00A55E98">
        <w:rPr>
          <w:b/>
          <w:bCs/>
          <w:lang w:val="x-none" w:eastAsia="de-DE"/>
        </w:rPr>
        <w:t xml:space="preserve"> or the PM number</w:t>
      </w:r>
      <w:r w:rsidR="00BE560A" w:rsidRPr="00A55E98">
        <w:rPr>
          <w:b/>
          <w:bCs/>
          <w:lang w:eastAsia="de-DE"/>
        </w:rPr>
        <w:t>,</w:t>
      </w:r>
      <w:r w:rsidR="009600E1" w:rsidRPr="00A55E98">
        <w:rPr>
          <w:b/>
          <w:bCs/>
          <w:lang w:eastAsia="de-DE"/>
        </w:rPr>
        <w:t xml:space="preserve"> </w:t>
      </w:r>
      <w:r w:rsidRPr="00A55E98">
        <w:rPr>
          <w:b/>
          <w:bCs/>
          <w:lang w:val="x-none" w:eastAsia="de-DE"/>
        </w:rPr>
        <w:t xml:space="preserve">#/window </w:t>
      </w:r>
    </w:p>
    <w:p w14:paraId="559EE959" w14:textId="66FE68BB" w:rsidR="00771B1E" w:rsidRPr="00A55E98" w:rsidRDefault="00771B1E" w:rsidP="009412C7">
      <w:pPr>
        <w:pStyle w:val="SingleTxtG"/>
        <w:ind w:left="3969" w:hanging="1701"/>
        <w:rPr>
          <w:b/>
          <w:bCs/>
          <w:lang w:val="x-none" w:eastAsia="de-DE"/>
        </w:rPr>
      </w:pPr>
      <w:r w:rsidRPr="00A55E98">
        <w:rPr>
          <w:b/>
          <w:bCs/>
          <w:lang w:val="x-none" w:eastAsia="de-DE"/>
        </w:rPr>
        <w:t>W(t</w:t>
      </w:r>
      <w:r w:rsidRPr="00A55E98">
        <w:rPr>
          <w:b/>
          <w:bCs/>
          <w:vertAlign w:val="subscript"/>
          <w:lang w:val="x-none" w:eastAsia="de-DE"/>
        </w:rPr>
        <w:t>2,i</w:t>
      </w:r>
      <w:r w:rsidRPr="00A55E98">
        <w:rPr>
          <w:b/>
          <w:bCs/>
          <w:lang w:val="x-none" w:eastAsia="de-DE"/>
        </w:rPr>
        <w:t>) – W(t</w:t>
      </w:r>
      <w:r w:rsidRPr="00A55E98">
        <w:rPr>
          <w:b/>
          <w:bCs/>
          <w:vertAlign w:val="subscript"/>
          <w:lang w:val="x-none" w:eastAsia="de-DE"/>
        </w:rPr>
        <w:t>1,i</w:t>
      </w:r>
      <w:r w:rsidRPr="00A55E98">
        <w:rPr>
          <w:b/>
          <w:bCs/>
          <w:lang w:val="x-none" w:eastAsia="de-DE"/>
        </w:rPr>
        <w:t>)</w:t>
      </w:r>
      <w:r w:rsidR="009412C7" w:rsidRPr="00A55E98">
        <w:rPr>
          <w:b/>
          <w:bCs/>
          <w:lang w:val="x-none" w:eastAsia="de-DE"/>
        </w:rPr>
        <w:tab/>
      </w:r>
      <w:r w:rsidRPr="00A55E98">
        <w:rPr>
          <w:b/>
          <w:bCs/>
          <w:lang w:val="x-none" w:eastAsia="de-DE"/>
        </w:rPr>
        <w:t xml:space="preserve">is the engine work during the </w:t>
      </w:r>
      <w:proofErr w:type="spellStart"/>
      <w:r w:rsidRPr="00A55E98">
        <w:rPr>
          <w:b/>
          <w:bCs/>
          <w:lang w:val="x-none" w:eastAsia="de-DE"/>
        </w:rPr>
        <w:t>i</w:t>
      </w:r>
      <w:r w:rsidRPr="00A55E98">
        <w:rPr>
          <w:b/>
          <w:bCs/>
          <w:vertAlign w:val="superscript"/>
          <w:lang w:val="x-none" w:eastAsia="de-DE"/>
        </w:rPr>
        <w:t>th</w:t>
      </w:r>
      <w:proofErr w:type="spellEnd"/>
      <w:r w:rsidRPr="00A55E98">
        <w:rPr>
          <w:b/>
          <w:bCs/>
          <w:lang w:val="x-none" w:eastAsia="de-DE"/>
        </w:rPr>
        <w:t xml:space="preserve"> averaging window</w:t>
      </w:r>
      <w:r w:rsidR="00BE560A" w:rsidRPr="00A55E98">
        <w:rPr>
          <w:b/>
          <w:bCs/>
          <w:lang w:eastAsia="de-DE"/>
        </w:rPr>
        <w:t>,</w:t>
      </w:r>
      <w:r w:rsidRPr="00A55E98">
        <w:rPr>
          <w:b/>
          <w:bCs/>
          <w:lang w:val="x-none" w:eastAsia="de-DE"/>
        </w:rPr>
        <w:t xml:space="preserve"> kWh. </w:t>
      </w:r>
    </w:p>
    <w:p w14:paraId="3A865EE3" w14:textId="0BF3257F" w:rsidR="00771B1E" w:rsidRPr="00A453D4" w:rsidRDefault="00EC3AD4" w:rsidP="00771B1E">
      <w:pPr>
        <w:pStyle w:val="SingleTxtG"/>
        <w:ind w:left="2268" w:hanging="1134"/>
        <w:rPr>
          <w:b/>
          <w:bCs/>
          <w:lang w:eastAsia="de-DE"/>
        </w:rPr>
      </w:pPr>
      <w:r w:rsidRPr="00A55E98">
        <w:rPr>
          <w:b/>
          <w:bCs/>
          <w:lang w:eastAsia="de-DE"/>
        </w:rPr>
        <w:t>A.1.</w:t>
      </w:r>
      <w:r w:rsidR="00771B1E" w:rsidRPr="00A55E98">
        <w:rPr>
          <w:b/>
          <w:bCs/>
          <w:lang w:val="x-none" w:eastAsia="de-DE"/>
        </w:rPr>
        <w:t>4.2.1.1.</w:t>
      </w:r>
      <w:r w:rsidR="007952FC" w:rsidRPr="00A55E98">
        <w:rPr>
          <w:b/>
          <w:bCs/>
          <w:lang w:val="x-none" w:eastAsia="de-DE"/>
        </w:rPr>
        <w:tab/>
      </w:r>
      <w:r w:rsidR="00771B1E" w:rsidRPr="00A55E98">
        <w:rPr>
          <w:b/>
          <w:bCs/>
          <w:lang w:val="x-none" w:eastAsia="de-DE"/>
        </w:rPr>
        <w:t xml:space="preserve">Calculation of the specific emissions for a declared market fuel </w:t>
      </w:r>
    </w:p>
    <w:p w14:paraId="6A18531C" w14:textId="62A04C81" w:rsidR="00245908" w:rsidRPr="002C7499" w:rsidRDefault="00771B1E" w:rsidP="00EC3AD4">
      <w:pPr>
        <w:pStyle w:val="SingleTxtG"/>
        <w:ind w:left="2268"/>
        <w:rPr>
          <w:lang w:eastAsia="de-DE"/>
        </w:rPr>
      </w:pPr>
      <w:r w:rsidRPr="00A55E98">
        <w:rPr>
          <w:b/>
          <w:bCs/>
          <w:lang w:eastAsia="de-DE"/>
        </w:rPr>
        <w:t xml:space="preserve">If a test pursuant to this </w:t>
      </w:r>
      <w:r w:rsidR="00843130" w:rsidRPr="00A55E98">
        <w:rPr>
          <w:b/>
          <w:bCs/>
          <w:lang w:eastAsia="de-DE"/>
        </w:rPr>
        <w:t>a</w:t>
      </w:r>
      <w:r w:rsidRPr="00A55E98">
        <w:rPr>
          <w:b/>
          <w:bCs/>
          <w:lang w:eastAsia="de-DE"/>
        </w:rPr>
        <w:t xml:space="preserve">nnex was performed with a market fuel declared in </w:t>
      </w:r>
      <w:r w:rsidR="00843130" w:rsidRPr="00A55E98">
        <w:rPr>
          <w:b/>
          <w:bCs/>
          <w:lang w:eastAsia="de-DE"/>
        </w:rPr>
        <w:t>paragraph</w:t>
      </w:r>
      <w:r w:rsidRPr="00A55E98">
        <w:rPr>
          <w:b/>
          <w:bCs/>
          <w:lang w:eastAsia="de-DE"/>
        </w:rPr>
        <w:t xml:space="preserve"> 3.2.2.2.1</w:t>
      </w:r>
      <w:r w:rsidR="00BA1297">
        <w:rPr>
          <w:b/>
          <w:bCs/>
          <w:lang w:eastAsia="de-DE"/>
        </w:rPr>
        <w:t>.</w:t>
      </w:r>
      <w:r w:rsidRPr="00A55E98">
        <w:rPr>
          <w:b/>
          <w:bCs/>
          <w:lang w:eastAsia="de-DE"/>
        </w:rPr>
        <w:t xml:space="preserve"> of Part 1 </w:t>
      </w:r>
      <w:r w:rsidR="00843130" w:rsidRPr="00A55E98">
        <w:rPr>
          <w:b/>
          <w:bCs/>
          <w:lang w:eastAsia="de-DE"/>
        </w:rPr>
        <w:t>of Annex 1</w:t>
      </w:r>
      <w:r w:rsidRPr="00A55E98">
        <w:rPr>
          <w:b/>
          <w:bCs/>
          <w:lang w:eastAsia="de-DE"/>
        </w:rPr>
        <w:t xml:space="preserve">, the specific emissions e (mg/kWh or #/kWh) shall be calculated for each window and each pollutant by multiplying the specific emissions determined in accordance with </w:t>
      </w:r>
      <w:r w:rsidR="00843130" w:rsidRPr="00A55E98">
        <w:rPr>
          <w:b/>
          <w:bCs/>
          <w:lang w:eastAsia="de-DE"/>
        </w:rPr>
        <w:t>paragraph</w:t>
      </w:r>
      <w:r w:rsidR="00201AF0" w:rsidRPr="00A55E98">
        <w:rPr>
          <w:b/>
          <w:bCs/>
          <w:lang w:eastAsia="de-DE"/>
        </w:rPr>
        <w:t> </w:t>
      </w:r>
      <w:r w:rsidR="002E1928" w:rsidRPr="00A55E98">
        <w:rPr>
          <w:b/>
          <w:bCs/>
          <w:lang w:eastAsia="de-DE"/>
        </w:rPr>
        <w:t>A.1.</w:t>
      </w:r>
      <w:r w:rsidRPr="00A55E98">
        <w:rPr>
          <w:b/>
          <w:bCs/>
          <w:lang w:eastAsia="de-DE"/>
        </w:rPr>
        <w:t xml:space="preserve">4.2.1. with the power correction factor determined pursuant to </w:t>
      </w:r>
      <w:r w:rsidR="002E1928" w:rsidRPr="00A55E98">
        <w:rPr>
          <w:b/>
          <w:bCs/>
          <w:lang w:eastAsia="de-DE"/>
        </w:rPr>
        <w:t>paragraph</w:t>
      </w:r>
      <w:r w:rsidR="00201AF0" w:rsidRPr="00A55E98">
        <w:rPr>
          <w:b/>
          <w:bCs/>
          <w:lang w:eastAsia="de-DE"/>
        </w:rPr>
        <w:t> </w:t>
      </w:r>
      <w:r w:rsidR="002E1928" w:rsidRPr="00A55E98">
        <w:rPr>
          <w:b/>
          <w:bCs/>
          <w:lang w:eastAsia="de-DE"/>
        </w:rPr>
        <w:t>4.6.2.(b) of this Regulation</w:t>
      </w:r>
      <w:r w:rsidRPr="00A55E98">
        <w:rPr>
          <w:b/>
          <w:bCs/>
          <w:lang w:eastAsia="de-DE"/>
        </w:rPr>
        <w:t>.</w:t>
      </w:r>
      <w:r w:rsidR="00966E1D" w:rsidRPr="002C7499">
        <w:rPr>
          <w:lang w:eastAsia="de-DE"/>
        </w:rPr>
        <w:t>"</w:t>
      </w:r>
    </w:p>
    <w:p w14:paraId="48A4EB5D" w14:textId="68250DA6" w:rsidR="00966E1D" w:rsidRPr="002C7499" w:rsidRDefault="00966E1D" w:rsidP="00105C76">
      <w:pPr>
        <w:pStyle w:val="SingleTxtG"/>
        <w:keepNext/>
        <w:rPr>
          <w:lang w:eastAsia="de-DE"/>
        </w:rPr>
      </w:pPr>
      <w:r w:rsidRPr="002C7499">
        <w:rPr>
          <w:i/>
          <w:iCs/>
          <w:lang w:eastAsia="de-DE"/>
        </w:rPr>
        <w:lastRenderedPageBreak/>
        <w:t>Paragraph A.1.4.2.</w:t>
      </w:r>
      <w:r w:rsidR="005C5B93" w:rsidRPr="002C7499">
        <w:rPr>
          <w:i/>
          <w:iCs/>
          <w:lang w:eastAsia="de-DE"/>
        </w:rPr>
        <w:t>3.</w:t>
      </w:r>
      <w:r w:rsidRPr="002C7499">
        <w:rPr>
          <w:lang w:eastAsia="de-DE"/>
        </w:rPr>
        <w:t>, amend to read:</w:t>
      </w:r>
    </w:p>
    <w:p w14:paraId="539508D7" w14:textId="0A8D2859" w:rsidR="003F0DBA" w:rsidRPr="002C7499" w:rsidRDefault="00966E1D" w:rsidP="00C15BEB">
      <w:pPr>
        <w:pStyle w:val="ManualNumPar2"/>
        <w:keepNext/>
        <w:ind w:left="2268" w:right="1134" w:hanging="1134"/>
        <w:rPr>
          <w:noProof/>
          <w:kern w:val="32"/>
          <w:sz w:val="20"/>
          <w:szCs w:val="20"/>
        </w:rPr>
      </w:pPr>
      <w:r w:rsidRPr="002C7499">
        <w:t>"</w:t>
      </w:r>
      <w:r w:rsidR="003F0DBA" w:rsidRPr="002C7499">
        <w:rPr>
          <w:noProof/>
          <w:kern w:val="32"/>
          <w:sz w:val="20"/>
          <w:szCs w:val="20"/>
        </w:rPr>
        <w:t>A</w:t>
      </w:r>
      <w:r w:rsidR="001B6598" w:rsidRPr="002C7499">
        <w:rPr>
          <w:noProof/>
          <w:kern w:val="32"/>
          <w:sz w:val="20"/>
          <w:szCs w:val="20"/>
        </w:rPr>
        <w:t>.1.4.2.3.</w:t>
      </w:r>
      <w:r w:rsidR="001B6598" w:rsidRPr="002C7499">
        <w:rPr>
          <w:noProof/>
          <w:kern w:val="32"/>
          <w:sz w:val="20"/>
          <w:szCs w:val="20"/>
        </w:rPr>
        <w:tab/>
        <w:t>C</w:t>
      </w:r>
      <w:r w:rsidR="003F0DBA" w:rsidRPr="002C7499">
        <w:rPr>
          <w:noProof/>
          <w:kern w:val="32"/>
          <w:sz w:val="20"/>
          <w:szCs w:val="20"/>
        </w:rPr>
        <w:t>alculation of the conformity factors</w:t>
      </w:r>
    </w:p>
    <w:p w14:paraId="1781009E" w14:textId="2C4E9C59" w:rsidR="003F0DBA" w:rsidRPr="002C7499" w:rsidRDefault="003F0DBA" w:rsidP="00C15BEB">
      <w:pPr>
        <w:pStyle w:val="ManualNumPar2"/>
        <w:keepNext/>
        <w:ind w:left="2268" w:right="1134" w:firstLine="0"/>
        <w:rPr>
          <w:noProof/>
          <w:sz w:val="20"/>
          <w:szCs w:val="20"/>
        </w:rPr>
      </w:pPr>
      <w:r w:rsidRPr="002C7499">
        <w:rPr>
          <w:noProof/>
          <w:sz w:val="20"/>
        </w:rPr>
        <w:t>The conformity factors shall be calculated for each individual valid window and each individual pollutant in the following way:</w:t>
      </w:r>
    </w:p>
    <w:p w14:paraId="4B015F13" w14:textId="73B154CC" w:rsidR="003F0DBA" w:rsidRPr="002C7499" w:rsidRDefault="003F0DBA" w:rsidP="00C15BEB">
      <w:pPr>
        <w:pStyle w:val="ManualNumPar2"/>
        <w:keepNext/>
        <w:ind w:left="2268" w:right="1134" w:firstLine="0"/>
        <w:rPr>
          <w:noProof/>
          <w:sz w:val="20"/>
          <w:lang w:val="fi-FI"/>
        </w:rPr>
      </w:pPr>
      <w:r w:rsidRPr="002C7499">
        <w:rPr>
          <w:noProof/>
          <w:position w:val="-24"/>
          <w:sz w:val="20"/>
          <w:lang w:eastAsia="en-GB"/>
        </w:rPr>
        <w:drawing>
          <wp:inline distT="0" distB="0" distL="0" distR="0" wp14:anchorId="3DED4C4D" wp14:editId="398CB04C">
            <wp:extent cx="526415" cy="387985"/>
            <wp:effectExtent l="0" t="0" r="698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26415" cy="387985"/>
                    </a:xfrm>
                    <a:prstGeom prst="rect">
                      <a:avLst/>
                    </a:prstGeom>
                    <a:noFill/>
                    <a:ln>
                      <a:noFill/>
                    </a:ln>
                  </pic:spPr>
                </pic:pic>
              </a:graphicData>
            </a:graphic>
          </wp:inline>
        </w:drawing>
      </w:r>
    </w:p>
    <w:p w14:paraId="0EA94627" w14:textId="5EAF8E9E" w:rsidR="003F0DBA" w:rsidRPr="002C7499" w:rsidRDefault="003F0DBA" w:rsidP="00C15BEB">
      <w:pPr>
        <w:pStyle w:val="ManualNumPar2"/>
        <w:keepNext/>
        <w:ind w:left="2268" w:right="1134" w:firstLine="0"/>
        <w:rPr>
          <w:noProof/>
          <w:sz w:val="20"/>
        </w:rPr>
      </w:pPr>
      <w:r w:rsidRPr="002C7499">
        <w:rPr>
          <w:noProof/>
          <w:sz w:val="20"/>
        </w:rPr>
        <w:t>Where:</w:t>
      </w:r>
    </w:p>
    <w:p w14:paraId="0EF50F60" w14:textId="1197B401" w:rsidR="003F0DBA" w:rsidRPr="00A55E98" w:rsidRDefault="003F0DBA" w:rsidP="00C15BEB">
      <w:pPr>
        <w:pStyle w:val="ManualNumPar2"/>
        <w:keepNext/>
        <w:ind w:left="2268" w:right="1134" w:firstLine="0"/>
        <w:rPr>
          <w:strike/>
          <w:noProof/>
          <w:sz w:val="20"/>
        </w:rPr>
      </w:pPr>
      <w:r w:rsidRPr="00A55E98">
        <w:rPr>
          <w:i/>
          <w:strike/>
          <w:noProof/>
          <w:sz w:val="20"/>
        </w:rPr>
        <w:t>e</w:t>
      </w:r>
      <w:r w:rsidR="001B6598" w:rsidRPr="00A55E98">
        <w:rPr>
          <w:strike/>
          <w:noProof/>
          <w:sz w:val="20"/>
        </w:rPr>
        <w:tab/>
      </w:r>
      <w:r w:rsidRPr="00A55E98">
        <w:rPr>
          <w:strike/>
          <w:noProof/>
          <w:sz w:val="20"/>
        </w:rPr>
        <w:t>is the brake-specific emission of the component, mg/kWh;</w:t>
      </w:r>
    </w:p>
    <w:p w14:paraId="6A5B9B1B" w14:textId="533EC69B" w:rsidR="003F0DBA" w:rsidRPr="00A55E98" w:rsidRDefault="003F0DBA" w:rsidP="00C15BEB">
      <w:pPr>
        <w:pStyle w:val="ManualNumPar2"/>
        <w:keepNext/>
        <w:ind w:left="2268" w:right="1134" w:firstLine="0"/>
        <w:rPr>
          <w:strike/>
          <w:sz w:val="20"/>
          <w:szCs w:val="20"/>
          <w:lang w:eastAsia="en-GB"/>
        </w:rPr>
      </w:pPr>
      <w:r w:rsidRPr="00A55E98">
        <w:rPr>
          <w:strike/>
          <w:noProof/>
        </w:rPr>
        <w:t>L</w:t>
      </w:r>
      <w:r w:rsidR="001B6598" w:rsidRPr="00A55E98">
        <w:rPr>
          <w:strike/>
          <w:noProof/>
        </w:rPr>
        <w:tab/>
      </w:r>
      <w:r w:rsidRPr="00A55E98">
        <w:rPr>
          <w:strike/>
          <w:noProof/>
          <w:sz w:val="20"/>
          <w:szCs w:val="20"/>
        </w:rPr>
        <w:t>is the applicable limit, mg/kWh.</w:t>
      </w:r>
      <w:r w:rsidRPr="00A55E98">
        <w:rPr>
          <w:strike/>
          <w:sz w:val="20"/>
          <w:szCs w:val="20"/>
          <w:lang w:eastAsia="en-GB"/>
        </w:rPr>
        <w:t xml:space="preserve"> </w:t>
      </w:r>
    </w:p>
    <w:p w14:paraId="4E1015CB" w14:textId="45B3A56E" w:rsidR="003F0DBA" w:rsidRPr="00A55E98" w:rsidRDefault="00E37F41" w:rsidP="00E37F41">
      <w:pPr>
        <w:pStyle w:val="SingleTxtG"/>
        <w:ind w:left="2835" w:hanging="567"/>
        <w:rPr>
          <w:b/>
          <w:bCs/>
          <w:lang w:val="x-none" w:eastAsia="de-DE"/>
        </w:rPr>
      </w:pPr>
      <w:r w:rsidRPr="00A55E98">
        <w:rPr>
          <w:b/>
          <w:bCs/>
          <w:i/>
          <w:noProof/>
        </w:rPr>
        <w:t>e</w:t>
      </w:r>
      <w:r w:rsidRPr="00A55E98">
        <w:rPr>
          <w:b/>
          <w:bCs/>
          <w:lang w:val="x-none" w:eastAsia="de-DE"/>
        </w:rPr>
        <w:tab/>
      </w:r>
      <w:r w:rsidR="003F0DBA" w:rsidRPr="00A55E98">
        <w:rPr>
          <w:b/>
          <w:bCs/>
          <w:lang w:val="x-none" w:eastAsia="de-DE"/>
        </w:rPr>
        <w:t>is the brake-specific emission of the gaseous pollutant</w:t>
      </w:r>
      <w:r w:rsidR="0040037F" w:rsidRPr="00A55E98">
        <w:rPr>
          <w:b/>
          <w:bCs/>
          <w:lang w:eastAsia="de-DE"/>
        </w:rPr>
        <w:t>,</w:t>
      </w:r>
      <w:r w:rsidR="003F0DBA" w:rsidRPr="00A55E98">
        <w:rPr>
          <w:b/>
          <w:bCs/>
          <w:lang w:val="x-none" w:eastAsia="de-DE"/>
        </w:rPr>
        <w:t xml:space="preserve"> mg/kWh or #/kWh; </w:t>
      </w:r>
    </w:p>
    <w:p w14:paraId="7443320E" w14:textId="29FF3617" w:rsidR="00EC3AD4" w:rsidRPr="002C7499" w:rsidRDefault="003F0DBA" w:rsidP="00E37F41">
      <w:pPr>
        <w:pStyle w:val="SingleTxtG"/>
        <w:ind w:left="2835" w:hanging="567"/>
        <w:rPr>
          <w:lang w:eastAsia="de-DE"/>
        </w:rPr>
      </w:pPr>
      <w:r w:rsidRPr="00A55E98">
        <w:rPr>
          <w:b/>
          <w:bCs/>
          <w:i/>
          <w:iCs/>
          <w:lang w:eastAsia="de-DE"/>
        </w:rPr>
        <w:t>L</w:t>
      </w:r>
      <w:r w:rsidR="00E37F41" w:rsidRPr="00A55E98">
        <w:rPr>
          <w:b/>
          <w:bCs/>
          <w:lang w:eastAsia="de-DE"/>
        </w:rPr>
        <w:tab/>
      </w:r>
      <w:r w:rsidRPr="00A55E98">
        <w:rPr>
          <w:b/>
          <w:bCs/>
          <w:lang w:eastAsia="de-DE"/>
        </w:rPr>
        <w:t>is the applicable limit</w:t>
      </w:r>
      <w:r w:rsidR="0040037F" w:rsidRPr="00A55E98">
        <w:rPr>
          <w:b/>
          <w:bCs/>
          <w:lang w:eastAsia="de-DE"/>
        </w:rPr>
        <w:t>,</w:t>
      </w:r>
      <w:r w:rsidRPr="00A55E98">
        <w:rPr>
          <w:b/>
          <w:bCs/>
          <w:lang w:eastAsia="de-DE"/>
        </w:rPr>
        <w:t xml:space="preserve"> mg/kWh or #/kWh.</w:t>
      </w:r>
    </w:p>
    <w:p w14:paraId="487978AC" w14:textId="7CAD0919" w:rsidR="00175DC0" w:rsidRPr="002C7499" w:rsidRDefault="00175DC0" w:rsidP="00175DC0">
      <w:pPr>
        <w:pStyle w:val="SingleTxtG"/>
        <w:keepNext/>
        <w:rPr>
          <w:lang w:eastAsia="de-DE"/>
        </w:rPr>
      </w:pPr>
      <w:r w:rsidRPr="002C7499">
        <w:rPr>
          <w:i/>
          <w:iCs/>
          <w:lang w:eastAsia="de-DE"/>
        </w:rPr>
        <w:t>Paragraph A.1.4.3.2.</w:t>
      </w:r>
      <w:r w:rsidRPr="002C7499">
        <w:rPr>
          <w:lang w:eastAsia="de-DE"/>
        </w:rPr>
        <w:t>, amend to read:</w:t>
      </w:r>
    </w:p>
    <w:p w14:paraId="05BC9C1D" w14:textId="2DE548AB" w:rsidR="00830D81" w:rsidRPr="002C7499" w:rsidRDefault="00175DC0" w:rsidP="00830D81">
      <w:pPr>
        <w:pStyle w:val="ManualNumPar2"/>
        <w:ind w:left="2268" w:right="1134" w:hanging="1134"/>
        <w:rPr>
          <w:noProof/>
          <w:kern w:val="32"/>
          <w:sz w:val="20"/>
          <w:szCs w:val="20"/>
        </w:rPr>
      </w:pPr>
      <w:r w:rsidRPr="002C7499">
        <w:t>"</w:t>
      </w:r>
      <w:r w:rsidR="00830D81" w:rsidRPr="002C7499">
        <w:rPr>
          <w:noProof/>
          <w:kern w:val="32"/>
          <w:sz w:val="20"/>
          <w:szCs w:val="20"/>
        </w:rPr>
        <w:t>A.1.4.3.2.</w:t>
      </w:r>
      <w:r w:rsidR="00830D81" w:rsidRPr="002C7499">
        <w:rPr>
          <w:noProof/>
          <w:kern w:val="32"/>
          <w:sz w:val="20"/>
          <w:szCs w:val="20"/>
        </w:rPr>
        <w:tab/>
        <w:t>Calculation of the conformity factors</w:t>
      </w:r>
    </w:p>
    <w:p w14:paraId="2FBDBEE8" w14:textId="77777777" w:rsidR="00830D81" w:rsidRPr="002C7499" w:rsidRDefault="00830D81" w:rsidP="00830D81">
      <w:pPr>
        <w:pStyle w:val="Text1"/>
        <w:ind w:left="2268" w:right="1134"/>
        <w:rPr>
          <w:noProof/>
          <w:sz w:val="20"/>
        </w:rPr>
      </w:pPr>
      <w:r w:rsidRPr="002C7499">
        <w:rPr>
          <w:noProof/>
          <w:sz w:val="20"/>
        </w:rPr>
        <w:t>The conformity factors shall be calculated for each individual window and each individual pollutant in the following way:</w:t>
      </w:r>
    </w:p>
    <w:p w14:paraId="1D5190DE" w14:textId="16978282" w:rsidR="00830D81" w:rsidRPr="00A55E98" w:rsidRDefault="00830D81" w:rsidP="00830D81">
      <w:pPr>
        <w:pStyle w:val="Text1"/>
        <w:ind w:left="2268" w:right="1134"/>
        <w:rPr>
          <w:b/>
          <w:bCs/>
          <w:noProof/>
          <w:sz w:val="20"/>
          <w:lang w:val="fi-FI"/>
        </w:rPr>
      </w:pPr>
      <w:r w:rsidRPr="002C7499">
        <w:rPr>
          <w:noProof/>
          <w:sz w:val="20"/>
          <w:lang w:eastAsia="en-GB"/>
        </w:rPr>
        <w:drawing>
          <wp:inline distT="0" distB="0" distL="0" distR="0" wp14:anchorId="722DD308" wp14:editId="34066B30">
            <wp:extent cx="702310" cy="446405"/>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02310" cy="446405"/>
                    </a:xfrm>
                    <a:prstGeom prst="rect">
                      <a:avLst/>
                    </a:prstGeom>
                    <a:noFill/>
                    <a:ln>
                      <a:noFill/>
                    </a:ln>
                  </pic:spPr>
                </pic:pic>
              </a:graphicData>
            </a:graphic>
          </wp:inline>
        </w:drawing>
      </w:r>
    </w:p>
    <w:p w14:paraId="4D76803B" w14:textId="34AAE403" w:rsidR="00302B53" w:rsidRPr="002C7499" w:rsidRDefault="00302B53" w:rsidP="00830D81">
      <w:pPr>
        <w:pStyle w:val="Text1"/>
        <w:ind w:left="2268" w:right="1134"/>
        <w:rPr>
          <w:noProof/>
          <w:sz w:val="20"/>
          <w:lang w:val="fi-FI"/>
        </w:rPr>
      </w:pPr>
      <w:r w:rsidRPr="00A55E98">
        <w:rPr>
          <w:b/>
          <w:bCs/>
          <w:noProof/>
          <w:sz w:val="20"/>
          <w:lang w:val="fi-FI"/>
        </w:rPr>
        <w:t>Where</w:t>
      </w:r>
    </w:p>
    <w:p w14:paraId="5D2F4C2B" w14:textId="1AFA0642" w:rsidR="00830D81" w:rsidRPr="002C7499" w:rsidRDefault="00302B53" w:rsidP="00830D81">
      <w:pPr>
        <w:pStyle w:val="Text1"/>
        <w:ind w:left="2268" w:right="1134"/>
        <w:rPr>
          <w:noProof/>
          <w:sz w:val="20"/>
        </w:rPr>
      </w:pPr>
      <w:r w:rsidRPr="00A55E98">
        <w:rPr>
          <w:strike/>
          <w:noProof/>
          <w:sz w:val="20"/>
        </w:rPr>
        <w:t>With</w:t>
      </w:r>
      <w:r w:rsidR="00830D81" w:rsidRPr="002C7499">
        <w:rPr>
          <w:noProof/>
          <w:sz w:val="20"/>
          <w:lang w:eastAsia="en-GB"/>
        </w:rPr>
        <w:drawing>
          <wp:inline distT="0" distB="0" distL="0" distR="0" wp14:anchorId="6305DD67" wp14:editId="2C353A91">
            <wp:extent cx="1770380" cy="446405"/>
            <wp:effectExtent l="0" t="0" r="127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70380" cy="446405"/>
                    </a:xfrm>
                    <a:prstGeom prst="rect">
                      <a:avLst/>
                    </a:prstGeom>
                    <a:noFill/>
                    <a:ln>
                      <a:noFill/>
                    </a:ln>
                  </pic:spPr>
                </pic:pic>
              </a:graphicData>
            </a:graphic>
          </wp:inline>
        </w:drawing>
      </w:r>
      <w:r w:rsidR="00830D81" w:rsidRPr="002C7499">
        <w:rPr>
          <w:noProof/>
          <w:sz w:val="20"/>
        </w:rPr>
        <w:t xml:space="preserve"> (in service ratio) and </w:t>
      </w:r>
    </w:p>
    <w:p w14:paraId="7A89FE4F" w14:textId="7C8C2BF4" w:rsidR="00830D81" w:rsidRPr="002C7499" w:rsidRDefault="00830D81" w:rsidP="00830D81">
      <w:pPr>
        <w:pStyle w:val="Text1"/>
        <w:ind w:left="2268" w:right="1134"/>
        <w:rPr>
          <w:noProof/>
          <w:sz w:val="20"/>
        </w:rPr>
      </w:pPr>
      <w:r w:rsidRPr="002C7499">
        <w:rPr>
          <w:noProof/>
          <w:sz w:val="20"/>
          <w:lang w:eastAsia="en-GB"/>
        </w:rPr>
        <w:drawing>
          <wp:inline distT="0" distB="0" distL="0" distR="0" wp14:anchorId="730BB03A" wp14:editId="32A1998B">
            <wp:extent cx="972820" cy="467995"/>
            <wp:effectExtent l="0" t="0" r="0" b="825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72820" cy="467995"/>
                    </a:xfrm>
                    <a:prstGeom prst="rect">
                      <a:avLst/>
                    </a:prstGeom>
                    <a:noFill/>
                    <a:ln>
                      <a:noFill/>
                    </a:ln>
                  </pic:spPr>
                </pic:pic>
              </a:graphicData>
            </a:graphic>
          </wp:inline>
        </w:drawing>
      </w:r>
      <w:r w:rsidRPr="002C7499">
        <w:rPr>
          <w:noProof/>
          <w:sz w:val="20"/>
        </w:rPr>
        <w:t xml:space="preserve"> (certification ratio)</w:t>
      </w:r>
    </w:p>
    <w:p w14:paraId="1AEE2419" w14:textId="77777777" w:rsidR="00830D81" w:rsidRPr="002C7499" w:rsidRDefault="00830D81" w:rsidP="00830D81">
      <w:pPr>
        <w:pStyle w:val="Text1"/>
        <w:ind w:left="2268" w:right="1134"/>
        <w:rPr>
          <w:noProof/>
          <w:sz w:val="20"/>
        </w:rPr>
      </w:pPr>
      <w:r w:rsidRPr="002C7499">
        <w:rPr>
          <w:noProof/>
          <w:sz w:val="20"/>
        </w:rPr>
        <w:t>Where:</w:t>
      </w:r>
    </w:p>
    <w:p w14:paraId="3CEB8F40" w14:textId="456D9C70" w:rsidR="00830D81" w:rsidRPr="002C7499" w:rsidRDefault="00830D81" w:rsidP="008C3F0A">
      <w:pPr>
        <w:pStyle w:val="Tiret1"/>
        <w:tabs>
          <w:tab w:val="num" w:pos="1417"/>
        </w:tabs>
        <w:ind w:left="4395" w:right="1134" w:hanging="2127"/>
        <w:rPr>
          <w:noProof/>
          <w:sz w:val="20"/>
        </w:rPr>
      </w:pPr>
      <w:r w:rsidRPr="002C7499">
        <w:rPr>
          <w:i/>
          <w:noProof/>
          <w:sz w:val="20"/>
        </w:rPr>
        <w:t>m</w:t>
      </w:r>
      <w:r w:rsidRPr="002C7499">
        <w:rPr>
          <w:noProof/>
          <w:sz w:val="20"/>
        </w:rPr>
        <w:t xml:space="preserve"> </w:t>
      </w:r>
      <w:r w:rsidRPr="002C7499">
        <w:rPr>
          <w:noProof/>
          <w:sz w:val="20"/>
        </w:rPr>
        <w:tab/>
        <w:t xml:space="preserve">is the mass emission of the </w:t>
      </w:r>
      <w:r w:rsidRPr="00A55E98">
        <w:rPr>
          <w:strike/>
          <w:noProof/>
          <w:sz w:val="20"/>
        </w:rPr>
        <w:t>component, mg/window</w:t>
      </w:r>
      <w:r w:rsidR="00EE4E37" w:rsidRPr="00A55E98">
        <w:rPr>
          <w:b/>
          <w:bCs/>
          <w:noProof/>
          <w:sz w:val="20"/>
        </w:rPr>
        <w:t xml:space="preserve"> gaseous pollutant</w:t>
      </w:r>
      <w:r w:rsidR="000D6D57" w:rsidRPr="00A55E98">
        <w:rPr>
          <w:b/>
          <w:bCs/>
          <w:noProof/>
          <w:sz w:val="20"/>
        </w:rPr>
        <w:t>,</w:t>
      </w:r>
      <w:r w:rsidR="00EE4E37" w:rsidRPr="00A55E98">
        <w:rPr>
          <w:b/>
          <w:bCs/>
          <w:noProof/>
          <w:sz w:val="20"/>
        </w:rPr>
        <w:t xml:space="preserve"> mg/window</w:t>
      </w:r>
      <w:r w:rsidR="008C3F0A" w:rsidRPr="00A55E98">
        <w:rPr>
          <w:b/>
          <w:bCs/>
          <w:noProof/>
          <w:sz w:val="20"/>
        </w:rPr>
        <w:t>, or the PM number</w:t>
      </w:r>
      <w:r w:rsidR="00257850" w:rsidRPr="00A55E98">
        <w:rPr>
          <w:b/>
          <w:bCs/>
          <w:noProof/>
          <w:sz w:val="20"/>
        </w:rPr>
        <w:t>,</w:t>
      </w:r>
      <w:r w:rsidR="008C3F0A" w:rsidRPr="00A55E98">
        <w:rPr>
          <w:b/>
          <w:bCs/>
          <w:noProof/>
          <w:sz w:val="20"/>
        </w:rPr>
        <w:t xml:space="preserve"> #/window</w:t>
      </w:r>
      <w:r w:rsidRPr="002C7499">
        <w:rPr>
          <w:noProof/>
          <w:sz w:val="20"/>
        </w:rPr>
        <w:t>;</w:t>
      </w:r>
    </w:p>
    <w:p w14:paraId="33E35E9F" w14:textId="41DDCB3E" w:rsidR="00830D81" w:rsidRPr="002C7499" w:rsidRDefault="00830D81" w:rsidP="00830D81">
      <w:pPr>
        <w:pStyle w:val="Tiret1"/>
        <w:tabs>
          <w:tab w:val="clear" w:pos="709"/>
          <w:tab w:val="num" w:pos="1417"/>
        </w:tabs>
        <w:ind w:left="4395" w:right="1134" w:hanging="2127"/>
        <w:rPr>
          <w:noProof/>
          <w:sz w:val="20"/>
        </w:rPr>
      </w:pPr>
      <w:r w:rsidRPr="002C7499">
        <w:rPr>
          <w:noProof/>
          <w:position w:val="-14"/>
          <w:sz w:val="20"/>
        </w:rPr>
        <w:drawing>
          <wp:inline distT="0" distB="0" distL="0" distR="0" wp14:anchorId="22748BEC" wp14:editId="4810A6DA">
            <wp:extent cx="1287780" cy="248920"/>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87780" cy="248920"/>
                    </a:xfrm>
                    <a:prstGeom prst="rect">
                      <a:avLst/>
                    </a:prstGeom>
                    <a:noFill/>
                    <a:ln>
                      <a:noFill/>
                    </a:ln>
                  </pic:spPr>
                </pic:pic>
              </a:graphicData>
            </a:graphic>
          </wp:inline>
        </w:drawing>
      </w:r>
      <w:r w:rsidRPr="002C7499">
        <w:rPr>
          <w:noProof/>
          <w:sz w:val="20"/>
        </w:rPr>
        <w:tab/>
        <w:t>is the CO</w:t>
      </w:r>
      <w:r w:rsidRPr="002C7499">
        <w:rPr>
          <w:noProof/>
          <w:sz w:val="20"/>
          <w:vertAlign w:val="subscript"/>
        </w:rPr>
        <w:t>2</w:t>
      </w:r>
      <w:r w:rsidRPr="002C7499">
        <w:rPr>
          <w:noProof/>
          <w:sz w:val="20"/>
        </w:rPr>
        <w:t xml:space="preserve"> mass during the i</w:t>
      </w:r>
      <w:r w:rsidRPr="002C7499">
        <w:rPr>
          <w:noProof/>
          <w:sz w:val="20"/>
          <w:vertAlign w:val="superscript"/>
        </w:rPr>
        <w:t>th</w:t>
      </w:r>
      <w:r w:rsidRPr="002C7499">
        <w:rPr>
          <w:noProof/>
          <w:sz w:val="20"/>
        </w:rPr>
        <w:t xml:space="preserve"> averaging window, kg;</w:t>
      </w:r>
    </w:p>
    <w:p w14:paraId="34B1C178" w14:textId="370F3CCF" w:rsidR="00830D81" w:rsidRPr="002C7499" w:rsidRDefault="00830D81" w:rsidP="00830D81">
      <w:pPr>
        <w:pStyle w:val="Tiret1"/>
        <w:tabs>
          <w:tab w:val="clear" w:pos="709"/>
          <w:tab w:val="num" w:pos="1417"/>
        </w:tabs>
        <w:ind w:left="4395" w:right="1134" w:hanging="2127"/>
        <w:rPr>
          <w:noProof/>
          <w:sz w:val="20"/>
        </w:rPr>
      </w:pPr>
      <w:r w:rsidRPr="002C7499">
        <w:rPr>
          <w:noProof/>
          <w:position w:val="-14"/>
          <w:sz w:val="20"/>
        </w:rPr>
        <w:drawing>
          <wp:inline distT="0" distB="0" distL="0" distR="0" wp14:anchorId="6C28911B" wp14:editId="79D337C3">
            <wp:extent cx="475615" cy="248920"/>
            <wp:effectExtent l="0" t="0" r="63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75615" cy="248920"/>
                    </a:xfrm>
                    <a:prstGeom prst="rect">
                      <a:avLst/>
                    </a:prstGeom>
                    <a:noFill/>
                    <a:ln>
                      <a:noFill/>
                    </a:ln>
                  </pic:spPr>
                </pic:pic>
              </a:graphicData>
            </a:graphic>
          </wp:inline>
        </w:drawing>
      </w:r>
      <w:r w:rsidRPr="002C7499">
        <w:rPr>
          <w:noProof/>
          <w:sz w:val="20"/>
        </w:rPr>
        <w:t xml:space="preserve"> </w:t>
      </w:r>
      <w:r w:rsidRPr="002C7499">
        <w:rPr>
          <w:noProof/>
          <w:sz w:val="20"/>
        </w:rPr>
        <w:tab/>
        <w:t>is the engine CO</w:t>
      </w:r>
      <w:r w:rsidRPr="002C7499">
        <w:rPr>
          <w:noProof/>
          <w:sz w:val="20"/>
          <w:vertAlign w:val="subscript"/>
        </w:rPr>
        <w:t>2</w:t>
      </w:r>
      <w:r w:rsidRPr="002C7499">
        <w:rPr>
          <w:noProof/>
          <w:sz w:val="20"/>
        </w:rPr>
        <w:t xml:space="preserve"> mass determined for the WHTC, kg;</w:t>
      </w:r>
    </w:p>
    <w:p w14:paraId="2257EBEB" w14:textId="574FE485" w:rsidR="00830D81" w:rsidRPr="0018281E" w:rsidRDefault="00830D81" w:rsidP="00FA3B2A">
      <w:pPr>
        <w:pStyle w:val="Tiret1"/>
        <w:tabs>
          <w:tab w:val="num" w:pos="1417"/>
        </w:tabs>
        <w:ind w:left="4395" w:right="1134" w:hanging="2127"/>
        <w:rPr>
          <w:noProof/>
          <w:sz w:val="20"/>
        </w:rPr>
      </w:pPr>
      <w:r w:rsidRPr="002C7499">
        <w:rPr>
          <w:noProof/>
          <w:sz w:val="20"/>
        </w:rPr>
        <w:drawing>
          <wp:inline distT="0" distB="0" distL="0" distR="0" wp14:anchorId="6B53B7BC" wp14:editId="11D789FA">
            <wp:extent cx="219710" cy="219710"/>
            <wp:effectExtent l="0" t="0" r="889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19710" cy="219710"/>
                    </a:xfrm>
                    <a:prstGeom prst="rect">
                      <a:avLst/>
                    </a:prstGeom>
                    <a:noFill/>
                    <a:ln>
                      <a:noFill/>
                    </a:ln>
                  </pic:spPr>
                </pic:pic>
              </a:graphicData>
            </a:graphic>
          </wp:inline>
        </w:drawing>
      </w:r>
      <w:r w:rsidRPr="002C7499">
        <w:rPr>
          <w:noProof/>
          <w:sz w:val="20"/>
        </w:rPr>
        <w:t xml:space="preserve"> </w:t>
      </w:r>
      <w:r w:rsidRPr="002C7499">
        <w:rPr>
          <w:noProof/>
          <w:sz w:val="20"/>
        </w:rPr>
        <w:tab/>
      </w:r>
      <w:r w:rsidRPr="00A55E98">
        <w:rPr>
          <w:strike/>
          <w:noProof/>
          <w:sz w:val="20"/>
        </w:rPr>
        <w:t>is the mass emission of the component corresponding to the applicable limit on the WHTC, mg.</w:t>
      </w:r>
      <w:r w:rsidR="00FA3B2A" w:rsidRPr="00A55E98">
        <w:rPr>
          <w:b/>
          <w:bCs/>
          <w:noProof/>
          <w:sz w:val="20"/>
        </w:rPr>
        <w:t>is the mass emission of the gaseous pollutant or the PM number corresponding to the applicable limit on the WHTC</w:t>
      </w:r>
      <w:r w:rsidR="0040037F" w:rsidRPr="00A55E98">
        <w:rPr>
          <w:b/>
          <w:bCs/>
          <w:noProof/>
          <w:sz w:val="20"/>
        </w:rPr>
        <w:t>,</w:t>
      </w:r>
      <w:r w:rsidR="00FA3B2A" w:rsidRPr="00A55E98">
        <w:rPr>
          <w:b/>
          <w:bCs/>
          <w:noProof/>
          <w:sz w:val="20"/>
        </w:rPr>
        <w:t xml:space="preserve"> mg or # respectively.</w:t>
      </w:r>
    </w:p>
    <w:p w14:paraId="4F6D7C7B" w14:textId="233CE80D" w:rsidR="0086722D" w:rsidRPr="0018281E" w:rsidRDefault="0086722D" w:rsidP="00753CC5">
      <w:pPr>
        <w:pStyle w:val="SingleTxtG"/>
        <w:keepNext/>
        <w:ind w:left="2268" w:hanging="1134"/>
        <w:rPr>
          <w:lang w:eastAsia="de-DE"/>
        </w:rPr>
      </w:pPr>
      <w:r w:rsidRPr="0018281E">
        <w:rPr>
          <w:i/>
          <w:iCs/>
          <w:lang w:eastAsia="de-DE"/>
        </w:rPr>
        <w:t>Add new paragraphs A.1.4.</w:t>
      </w:r>
      <w:r w:rsidR="00E44AB3" w:rsidRPr="0018281E">
        <w:rPr>
          <w:i/>
          <w:iCs/>
          <w:lang w:eastAsia="de-DE"/>
        </w:rPr>
        <w:t>4</w:t>
      </w:r>
      <w:r w:rsidRPr="0018281E">
        <w:rPr>
          <w:i/>
          <w:iCs/>
          <w:lang w:eastAsia="de-DE"/>
        </w:rPr>
        <w:t>.</w:t>
      </w:r>
      <w:r w:rsidR="00E44AB3" w:rsidRPr="0018281E">
        <w:rPr>
          <w:i/>
          <w:iCs/>
          <w:lang w:eastAsia="de-DE"/>
        </w:rPr>
        <w:t xml:space="preserve"> and A.1.4.</w:t>
      </w:r>
      <w:r w:rsidR="000407FE" w:rsidRPr="0018281E">
        <w:rPr>
          <w:i/>
          <w:iCs/>
          <w:lang w:eastAsia="de-DE"/>
        </w:rPr>
        <w:t>4</w:t>
      </w:r>
      <w:r w:rsidR="00E44AB3" w:rsidRPr="0018281E">
        <w:rPr>
          <w:i/>
          <w:iCs/>
          <w:lang w:eastAsia="de-DE"/>
        </w:rPr>
        <w:t>.</w:t>
      </w:r>
      <w:r w:rsidR="000407FE" w:rsidRPr="0018281E">
        <w:rPr>
          <w:i/>
          <w:iCs/>
          <w:lang w:eastAsia="de-DE"/>
        </w:rPr>
        <w:t>1.</w:t>
      </w:r>
      <w:r w:rsidRPr="0018281E">
        <w:rPr>
          <w:lang w:eastAsia="de-DE"/>
        </w:rPr>
        <w:t>, to read:</w:t>
      </w:r>
    </w:p>
    <w:p w14:paraId="37AF1779" w14:textId="2A05362E" w:rsidR="00197583" w:rsidRPr="00A55E98" w:rsidRDefault="0086722D" w:rsidP="00B8278F">
      <w:pPr>
        <w:pStyle w:val="CommentText"/>
        <w:keepNext/>
        <w:spacing w:after="120"/>
        <w:ind w:left="2268" w:hanging="1134"/>
        <w:rPr>
          <w:b/>
          <w:bCs/>
          <w:lang w:eastAsia="fi-FI"/>
        </w:rPr>
      </w:pPr>
      <w:r w:rsidRPr="0018281E">
        <w:rPr>
          <w:lang w:eastAsia="de-DE"/>
        </w:rPr>
        <w:t>"</w:t>
      </w:r>
      <w:r w:rsidR="00197583" w:rsidRPr="00A55E98">
        <w:rPr>
          <w:b/>
          <w:bCs/>
          <w:lang w:val="en-GB"/>
        </w:rPr>
        <w:t>A.1.</w:t>
      </w:r>
      <w:r w:rsidR="00197583" w:rsidRPr="00A55E98">
        <w:rPr>
          <w:b/>
          <w:bCs/>
        </w:rPr>
        <w:t>4.4.</w:t>
      </w:r>
      <w:r w:rsidR="00197583" w:rsidRPr="00A55E98">
        <w:rPr>
          <w:b/>
          <w:bCs/>
        </w:rPr>
        <w:tab/>
        <w:t xml:space="preserve">Calculation of the final conformity factor for the test </w:t>
      </w:r>
    </w:p>
    <w:p w14:paraId="34AF7B72" w14:textId="68054D47" w:rsidR="00197583" w:rsidRPr="00A55E98" w:rsidRDefault="003046DE" w:rsidP="00B8278F">
      <w:pPr>
        <w:pStyle w:val="CommentText"/>
        <w:spacing w:after="120"/>
        <w:ind w:left="2268" w:right="1134" w:hanging="1134"/>
        <w:jc w:val="both"/>
        <w:rPr>
          <w:b/>
          <w:bCs/>
        </w:rPr>
      </w:pPr>
      <w:r w:rsidRPr="00A55E98">
        <w:rPr>
          <w:b/>
          <w:bCs/>
          <w:lang w:val="en-GB"/>
        </w:rPr>
        <w:t>A.1.</w:t>
      </w:r>
      <w:r w:rsidR="00197583" w:rsidRPr="00A55E98">
        <w:rPr>
          <w:b/>
          <w:bCs/>
        </w:rPr>
        <w:t>4.4.1.</w:t>
      </w:r>
      <w:r w:rsidRPr="00A55E98">
        <w:rPr>
          <w:b/>
          <w:bCs/>
        </w:rPr>
        <w:tab/>
      </w:r>
      <w:r w:rsidR="00197583" w:rsidRPr="00A55E98">
        <w:rPr>
          <w:b/>
          <w:bCs/>
        </w:rPr>
        <w:t>The final conformity factor for the test (</w:t>
      </w:r>
      <w:proofErr w:type="spellStart"/>
      <w:r w:rsidR="00197583" w:rsidRPr="00A55E98">
        <w:rPr>
          <w:b/>
          <w:bCs/>
        </w:rPr>
        <w:t>CF</w:t>
      </w:r>
      <w:r w:rsidR="00197583" w:rsidRPr="00A55E98">
        <w:rPr>
          <w:b/>
          <w:bCs/>
          <w:vertAlign w:val="subscript"/>
        </w:rPr>
        <w:t>final</w:t>
      </w:r>
      <w:proofErr w:type="spellEnd"/>
      <w:r w:rsidR="00197583" w:rsidRPr="00A55E98">
        <w:rPr>
          <w:b/>
          <w:bCs/>
        </w:rPr>
        <w:t xml:space="preserve">) for each pollutant shall be calculated as follows: </w:t>
      </w:r>
    </w:p>
    <w:p w14:paraId="2E7278E2" w14:textId="4F7CF01F" w:rsidR="00D002A3" w:rsidRPr="00A55E98" w:rsidRDefault="00A37FE4" w:rsidP="00B8278F">
      <w:pPr>
        <w:pStyle w:val="CommentText"/>
        <w:spacing w:after="120"/>
        <w:ind w:left="3402" w:right="1134"/>
        <w:jc w:val="both"/>
        <w:rPr>
          <w:b/>
          <w:bCs/>
        </w:rPr>
      </w:pPr>
      <m:oMathPara>
        <m:oMath>
          <m:sSub>
            <m:sSubPr>
              <m:ctrlPr>
                <w:rPr>
                  <w:rFonts w:ascii="Cambria Math" w:hAnsi="Cambria Math"/>
                  <w:b/>
                  <w:bCs/>
                  <w:i/>
                </w:rPr>
              </m:ctrlPr>
            </m:sSubPr>
            <m:e>
              <m:r>
                <m:rPr>
                  <m:sty m:val="bi"/>
                </m:rPr>
                <w:rPr>
                  <w:rFonts w:ascii="Cambria Math" w:hAnsi="Cambria Math"/>
                </w:rPr>
                <m:t>CF</m:t>
              </m:r>
            </m:e>
            <m:sub>
              <m:r>
                <m:rPr>
                  <m:sty m:val="bi"/>
                </m:rPr>
                <w:rPr>
                  <w:rFonts w:ascii="Cambria Math" w:hAnsi="Cambria Math"/>
                </w:rPr>
                <m:t>final</m:t>
              </m:r>
            </m:sub>
          </m:sSub>
          <m:r>
            <m:rPr>
              <m:sty m:val="bi"/>
            </m:rPr>
            <w:rPr>
              <w:rFonts w:ascii="Cambria Math" w:hAnsi="Cambria Math"/>
            </w:rPr>
            <m:t>=0.14×</m:t>
          </m:r>
          <m:sSub>
            <m:sSubPr>
              <m:ctrlPr>
                <w:rPr>
                  <w:rFonts w:ascii="Cambria Math" w:hAnsi="Cambria Math"/>
                  <w:b/>
                  <w:bCs/>
                  <w:i/>
                </w:rPr>
              </m:ctrlPr>
            </m:sSubPr>
            <m:e>
              <m:r>
                <m:rPr>
                  <m:sty m:val="bi"/>
                </m:rPr>
                <w:rPr>
                  <w:rFonts w:ascii="Cambria Math" w:hAnsi="Cambria Math"/>
                </w:rPr>
                <m:t>CF</m:t>
              </m:r>
            </m:e>
            <m:sub>
              <m:r>
                <m:rPr>
                  <m:sty m:val="bi"/>
                </m:rPr>
                <w:rPr>
                  <w:rFonts w:ascii="Cambria Math" w:hAnsi="Cambria Math"/>
                </w:rPr>
                <m:t>cold</m:t>
              </m:r>
            </m:sub>
          </m:sSub>
          <m:r>
            <m:rPr>
              <m:sty m:val="bi"/>
            </m:rPr>
            <w:rPr>
              <w:rFonts w:ascii="Cambria Math" w:hAnsi="Cambria Math"/>
            </w:rPr>
            <m:t>+0.86×</m:t>
          </m:r>
          <m:sSub>
            <m:sSubPr>
              <m:ctrlPr>
                <w:rPr>
                  <w:rFonts w:ascii="Cambria Math" w:hAnsi="Cambria Math"/>
                  <w:b/>
                  <w:bCs/>
                  <w:i/>
                </w:rPr>
              </m:ctrlPr>
            </m:sSubPr>
            <m:e>
              <m:r>
                <m:rPr>
                  <m:sty m:val="bi"/>
                </m:rPr>
                <w:rPr>
                  <w:rFonts w:ascii="Cambria Math" w:hAnsi="Cambria Math"/>
                </w:rPr>
                <m:t>CF</m:t>
              </m:r>
            </m:e>
            <m:sub>
              <m:r>
                <m:rPr>
                  <m:sty m:val="bi"/>
                </m:rPr>
                <w:rPr>
                  <w:rFonts w:ascii="Cambria Math" w:hAnsi="Cambria Math"/>
                </w:rPr>
                <m:t>warm</m:t>
              </m:r>
            </m:sub>
          </m:sSub>
        </m:oMath>
      </m:oMathPara>
    </w:p>
    <w:p w14:paraId="1571A786" w14:textId="77777777" w:rsidR="00197583" w:rsidRPr="00A55E98" w:rsidRDefault="00197583" w:rsidP="00B8278F">
      <w:pPr>
        <w:pStyle w:val="CommentText"/>
        <w:spacing w:after="120"/>
        <w:ind w:left="2268" w:right="1134"/>
        <w:jc w:val="both"/>
        <w:rPr>
          <w:b/>
          <w:bCs/>
        </w:rPr>
      </w:pPr>
      <w:r w:rsidRPr="00A55E98">
        <w:rPr>
          <w:b/>
          <w:bCs/>
        </w:rPr>
        <w:t xml:space="preserve">where: </w:t>
      </w:r>
    </w:p>
    <w:p w14:paraId="2BF8EE48" w14:textId="228BBD0D" w:rsidR="00197583" w:rsidRPr="00A55E98" w:rsidRDefault="00197583" w:rsidP="00B8278F">
      <w:pPr>
        <w:pStyle w:val="CommentText"/>
        <w:spacing w:after="120"/>
        <w:ind w:left="3402" w:right="1134" w:hanging="1134"/>
        <w:jc w:val="both"/>
        <w:rPr>
          <w:b/>
          <w:bCs/>
        </w:rPr>
      </w:pPr>
      <w:r w:rsidRPr="00A55E98">
        <w:rPr>
          <w:b/>
          <w:bCs/>
          <w:i/>
          <w:iCs/>
        </w:rPr>
        <w:t>C</w:t>
      </w:r>
      <w:r w:rsidR="0015660C" w:rsidRPr="00A55E98">
        <w:rPr>
          <w:b/>
          <w:bCs/>
          <w:i/>
          <w:iCs/>
          <w:lang w:val="en-GB"/>
        </w:rPr>
        <w:t>F</w:t>
      </w:r>
      <w:r w:rsidRPr="00A55E98">
        <w:rPr>
          <w:b/>
          <w:bCs/>
          <w:i/>
          <w:iCs/>
          <w:vertAlign w:val="subscript"/>
        </w:rPr>
        <w:t>cold</w:t>
      </w:r>
      <w:r w:rsidR="003046DE" w:rsidRPr="00A55E98">
        <w:rPr>
          <w:b/>
          <w:bCs/>
        </w:rPr>
        <w:tab/>
      </w:r>
      <w:r w:rsidRPr="00A55E98">
        <w:rPr>
          <w:b/>
          <w:bCs/>
        </w:rPr>
        <w:t xml:space="preserve">is the conformity factor of the period of cold operation of the test, which shall be equal to the highest conformity factor of the moving averaging windows starting below 343 K (70 °C) coolant temperature, determined for that pollutant in accordance with the calculation procedures specified in </w:t>
      </w:r>
      <w:r w:rsidR="00FC3C11" w:rsidRPr="00A55E98">
        <w:rPr>
          <w:b/>
          <w:bCs/>
          <w:lang w:val="en-GB"/>
        </w:rPr>
        <w:t>paragraphs</w:t>
      </w:r>
      <w:r w:rsidRPr="00A55E98">
        <w:rPr>
          <w:b/>
          <w:bCs/>
        </w:rPr>
        <w:t xml:space="preserve"> </w:t>
      </w:r>
      <w:r w:rsidR="00FC3C11" w:rsidRPr="00A55E98">
        <w:rPr>
          <w:b/>
          <w:bCs/>
          <w:lang w:val="en-GB"/>
        </w:rPr>
        <w:t>A.1.</w:t>
      </w:r>
      <w:r w:rsidRPr="00A55E98">
        <w:rPr>
          <w:b/>
          <w:bCs/>
        </w:rPr>
        <w:t xml:space="preserve">4.1. and either </w:t>
      </w:r>
      <w:r w:rsidR="00FC3C11" w:rsidRPr="00A55E98">
        <w:rPr>
          <w:b/>
          <w:bCs/>
          <w:lang w:val="en-GB"/>
        </w:rPr>
        <w:t>A.1.</w:t>
      </w:r>
      <w:r w:rsidRPr="00A55E98">
        <w:rPr>
          <w:b/>
          <w:bCs/>
        </w:rPr>
        <w:t xml:space="preserve">4.2. or, as applicable, </w:t>
      </w:r>
      <w:r w:rsidR="00FC3C11" w:rsidRPr="00A55E98">
        <w:rPr>
          <w:b/>
          <w:bCs/>
          <w:lang w:val="en-GB"/>
        </w:rPr>
        <w:t>A.1.</w:t>
      </w:r>
      <w:r w:rsidRPr="00A55E98">
        <w:rPr>
          <w:b/>
          <w:bCs/>
        </w:rPr>
        <w:t xml:space="preserve">4.3.; </w:t>
      </w:r>
    </w:p>
    <w:p w14:paraId="3D30A088" w14:textId="7496CF51" w:rsidR="00EC3AD4" w:rsidRPr="0018281E" w:rsidRDefault="00197583" w:rsidP="008B08BC">
      <w:pPr>
        <w:pStyle w:val="SingleTxtG"/>
        <w:ind w:left="3402" w:hanging="1134"/>
        <w:rPr>
          <w:lang w:eastAsia="de-DE"/>
        </w:rPr>
      </w:pPr>
      <w:proofErr w:type="spellStart"/>
      <w:r w:rsidRPr="00A55E98">
        <w:rPr>
          <w:b/>
          <w:bCs/>
          <w:i/>
          <w:iCs/>
        </w:rPr>
        <w:t>CF</w:t>
      </w:r>
      <w:r w:rsidRPr="00A55E98">
        <w:rPr>
          <w:b/>
          <w:bCs/>
          <w:i/>
          <w:iCs/>
          <w:vertAlign w:val="subscript"/>
        </w:rPr>
        <w:t>warm</w:t>
      </w:r>
      <w:proofErr w:type="spellEnd"/>
      <w:r w:rsidR="003046DE" w:rsidRPr="00A55E98">
        <w:rPr>
          <w:b/>
          <w:bCs/>
        </w:rPr>
        <w:tab/>
      </w:r>
      <w:r w:rsidRPr="00A55E98">
        <w:rPr>
          <w:b/>
          <w:bCs/>
        </w:rPr>
        <w:t xml:space="preserve">is the conformity factor of the period of warm operation of the test, which shall be equal to the 90th cumulative percentile of the conformity factors determined for that pollutant in accordance with the calculation procedures specified in </w:t>
      </w:r>
      <w:r w:rsidR="00FC3C11" w:rsidRPr="00A55E98">
        <w:rPr>
          <w:b/>
          <w:bCs/>
        </w:rPr>
        <w:t>paragraphs A.1.</w:t>
      </w:r>
      <w:r w:rsidRPr="00A55E98">
        <w:rPr>
          <w:b/>
          <w:bCs/>
        </w:rPr>
        <w:t xml:space="preserve">4.1 and either </w:t>
      </w:r>
      <w:r w:rsidR="00FC3C11" w:rsidRPr="00A55E98">
        <w:rPr>
          <w:b/>
          <w:bCs/>
        </w:rPr>
        <w:t>A.1.</w:t>
      </w:r>
      <w:r w:rsidRPr="00A55E98">
        <w:rPr>
          <w:b/>
          <w:bCs/>
        </w:rPr>
        <w:t xml:space="preserve">4.2. or, as applicable, </w:t>
      </w:r>
      <w:r w:rsidR="00FC3C11" w:rsidRPr="00A55E98">
        <w:rPr>
          <w:b/>
          <w:bCs/>
        </w:rPr>
        <w:t>A.1.</w:t>
      </w:r>
      <w:r w:rsidRPr="00A55E98">
        <w:rPr>
          <w:b/>
          <w:bCs/>
        </w:rPr>
        <w:t>4.3., when the data evaluation is started after the coolant temperature has reached 343 K (70 °C) for the first time.</w:t>
      </w:r>
    </w:p>
    <w:p w14:paraId="392C11AF" w14:textId="666C01A8" w:rsidR="00004B4A" w:rsidRPr="002C7499" w:rsidRDefault="00004B4A" w:rsidP="00004B4A">
      <w:pPr>
        <w:pStyle w:val="SingleTxtG"/>
        <w:ind w:left="2268" w:hanging="1134"/>
        <w:rPr>
          <w:i/>
          <w:iCs/>
          <w:lang w:eastAsia="de-DE"/>
        </w:rPr>
      </w:pPr>
      <w:r w:rsidRPr="002C7499">
        <w:rPr>
          <w:i/>
          <w:iCs/>
          <w:lang w:eastAsia="de-DE"/>
        </w:rPr>
        <w:t>Annex 8, Appendix 2</w:t>
      </w:r>
    </w:p>
    <w:p w14:paraId="6AAF426F" w14:textId="086E3A02" w:rsidR="00004B4A" w:rsidRPr="002C7499" w:rsidRDefault="00004B4A" w:rsidP="00004B4A">
      <w:pPr>
        <w:pStyle w:val="SingleTxtG"/>
        <w:ind w:left="2268" w:hanging="1134"/>
        <w:rPr>
          <w:lang w:eastAsia="de-DE"/>
        </w:rPr>
      </w:pPr>
      <w:r w:rsidRPr="002C7499">
        <w:rPr>
          <w:i/>
          <w:iCs/>
          <w:lang w:eastAsia="de-DE"/>
        </w:rPr>
        <w:t>Paragraph A.2.1.</w:t>
      </w:r>
      <w:r w:rsidRPr="002C7499">
        <w:rPr>
          <w:lang w:eastAsia="de-DE"/>
        </w:rPr>
        <w:t>, amend to read:</w:t>
      </w:r>
    </w:p>
    <w:p w14:paraId="3905896D" w14:textId="07C9321A" w:rsidR="00FA7887" w:rsidRPr="002C7499" w:rsidRDefault="00004B4A" w:rsidP="00004B4A">
      <w:pPr>
        <w:pStyle w:val="SingleTxtG"/>
        <w:ind w:left="2268" w:hanging="1134"/>
        <w:rPr>
          <w:lang w:eastAsia="de-DE"/>
        </w:rPr>
      </w:pPr>
      <w:r w:rsidRPr="002C7499">
        <w:rPr>
          <w:lang w:eastAsia="de-DE"/>
        </w:rPr>
        <w:t>"A.2.1.</w:t>
      </w:r>
      <w:r w:rsidRPr="002C7499">
        <w:rPr>
          <w:lang w:eastAsia="de-DE"/>
        </w:rPr>
        <w:tab/>
        <w:t>General</w:t>
      </w:r>
    </w:p>
    <w:p w14:paraId="4C93D534" w14:textId="52AE9951" w:rsidR="00004B4A" w:rsidRPr="002C7499" w:rsidRDefault="00C929B0" w:rsidP="00004B4A">
      <w:pPr>
        <w:pStyle w:val="SingleTxtG"/>
        <w:ind w:left="2268"/>
        <w:rPr>
          <w:lang w:eastAsia="de-DE"/>
        </w:rPr>
      </w:pPr>
      <w:r w:rsidRPr="00A55E98">
        <w:rPr>
          <w:strike/>
          <w:lang w:eastAsia="de-DE"/>
        </w:rPr>
        <w:t xml:space="preserve">The gaseous emissions shall be measured according to the procedure set out in Appendix 1 to this annex. The present appendix describes the characteristics of the portable measurement equipment that shall be used to perform such </w:t>
      </w:r>
      <w:proofErr w:type="spellStart"/>
      <w:r w:rsidRPr="00A55E98">
        <w:rPr>
          <w:strike/>
          <w:lang w:eastAsia="de-DE"/>
        </w:rPr>
        <w:t>tests.</w:t>
      </w:r>
      <w:r w:rsidR="00274DDC" w:rsidRPr="00A55E98">
        <w:rPr>
          <w:b/>
          <w:bCs/>
          <w:lang w:eastAsia="de-DE"/>
        </w:rPr>
        <w:t>The</w:t>
      </w:r>
      <w:proofErr w:type="spellEnd"/>
      <w:r w:rsidR="00274DDC" w:rsidRPr="00A55E98">
        <w:rPr>
          <w:b/>
          <w:bCs/>
          <w:lang w:eastAsia="de-DE"/>
        </w:rPr>
        <w:t xml:space="preserve"> gaseous emissions and the PM number shall be measured according to the procedure set out in Appendix 1. </w:t>
      </w:r>
      <w:r w:rsidR="0091414B" w:rsidRPr="00A55E98">
        <w:rPr>
          <w:b/>
          <w:bCs/>
          <w:lang w:eastAsia="de-DE"/>
        </w:rPr>
        <w:t xml:space="preserve">The present appendix </w:t>
      </w:r>
      <w:r w:rsidR="00274DDC" w:rsidRPr="00A55E98">
        <w:rPr>
          <w:b/>
          <w:bCs/>
          <w:lang w:eastAsia="de-DE"/>
        </w:rPr>
        <w:t>describes the characteristics of the portable measurement equipment that shall be used to perform such measurement tests.</w:t>
      </w:r>
      <w:r w:rsidR="007B7F12" w:rsidRPr="002C7499">
        <w:rPr>
          <w:lang w:eastAsia="de-DE"/>
        </w:rPr>
        <w:t>"</w:t>
      </w:r>
    </w:p>
    <w:p w14:paraId="07C3398B" w14:textId="782C4C3B" w:rsidR="00C14D7C" w:rsidRPr="002C7499" w:rsidRDefault="00C14D7C" w:rsidP="00C14D7C">
      <w:pPr>
        <w:pStyle w:val="SingleTxtG"/>
        <w:ind w:left="2268" w:hanging="1134"/>
        <w:rPr>
          <w:lang w:eastAsia="de-DE"/>
        </w:rPr>
      </w:pPr>
      <w:r w:rsidRPr="002C7499">
        <w:rPr>
          <w:i/>
          <w:iCs/>
          <w:lang w:eastAsia="de-DE"/>
        </w:rPr>
        <w:t xml:space="preserve">Add </w:t>
      </w:r>
      <w:r w:rsidR="008542CB">
        <w:rPr>
          <w:i/>
          <w:iCs/>
          <w:lang w:eastAsia="de-DE"/>
        </w:rPr>
        <w:t xml:space="preserve">a </w:t>
      </w:r>
      <w:r w:rsidRPr="002C7499">
        <w:rPr>
          <w:i/>
          <w:iCs/>
          <w:lang w:eastAsia="de-DE"/>
        </w:rPr>
        <w:t>new paragraph A.</w:t>
      </w:r>
      <w:r w:rsidR="00897D46" w:rsidRPr="002C7499">
        <w:rPr>
          <w:i/>
          <w:iCs/>
          <w:lang w:eastAsia="de-DE"/>
        </w:rPr>
        <w:t>2.2.5.</w:t>
      </w:r>
      <w:r w:rsidRPr="002C7499">
        <w:rPr>
          <w:lang w:eastAsia="de-DE"/>
        </w:rPr>
        <w:t>, to read:</w:t>
      </w:r>
    </w:p>
    <w:p w14:paraId="71841F2D" w14:textId="0F246ACB" w:rsidR="00282D64" w:rsidRPr="00A55E98" w:rsidRDefault="00C14D7C" w:rsidP="00282D64">
      <w:pPr>
        <w:pStyle w:val="SingleTxtG"/>
        <w:ind w:left="2268" w:hanging="1134"/>
        <w:rPr>
          <w:b/>
          <w:bCs/>
          <w:lang w:eastAsia="de-DE"/>
        </w:rPr>
      </w:pPr>
      <w:r w:rsidRPr="002C7499">
        <w:rPr>
          <w:lang w:eastAsia="de-DE"/>
        </w:rPr>
        <w:t>"</w:t>
      </w:r>
      <w:r w:rsidR="000C7842" w:rsidRPr="00A55E98">
        <w:rPr>
          <w:b/>
          <w:bCs/>
        </w:rPr>
        <w:t>A.</w:t>
      </w:r>
      <w:r w:rsidR="008F1067" w:rsidRPr="00A55E98">
        <w:rPr>
          <w:b/>
          <w:bCs/>
        </w:rPr>
        <w:t>2.</w:t>
      </w:r>
      <w:r w:rsidR="00282D64" w:rsidRPr="00A55E98">
        <w:rPr>
          <w:b/>
          <w:bCs/>
          <w:lang w:eastAsia="de-DE"/>
        </w:rPr>
        <w:t>2.5</w:t>
      </w:r>
      <w:r w:rsidR="008F1067" w:rsidRPr="00A55E98">
        <w:rPr>
          <w:b/>
          <w:bCs/>
          <w:lang w:eastAsia="de-DE"/>
        </w:rPr>
        <w:t>.</w:t>
      </w:r>
      <w:r w:rsidR="008F1067" w:rsidRPr="00A55E98">
        <w:rPr>
          <w:b/>
          <w:bCs/>
          <w:lang w:eastAsia="de-DE"/>
        </w:rPr>
        <w:tab/>
      </w:r>
      <w:r w:rsidR="00282D64" w:rsidRPr="00A55E98">
        <w:rPr>
          <w:b/>
          <w:bCs/>
          <w:lang w:eastAsia="de-DE"/>
        </w:rPr>
        <w:t xml:space="preserve">PM number analysers </w:t>
      </w:r>
    </w:p>
    <w:p w14:paraId="2B273B26" w14:textId="30800F1A" w:rsidR="00282D64" w:rsidRPr="00A55E98" w:rsidRDefault="008F1067" w:rsidP="00282D64">
      <w:pPr>
        <w:pStyle w:val="SingleTxtG"/>
        <w:ind w:left="2268" w:hanging="1134"/>
        <w:rPr>
          <w:b/>
          <w:bCs/>
          <w:lang w:eastAsia="de-DE"/>
        </w:rPr>
      </w:pPr>
      <w:r w:rsidRPr="00A55E98">
        <w:rPr>
          <w:b/>
          <w:bCs/>
          <w:lang w:eastAsia="de-DE"/>
        </w:rPr>
        <w:t>A.2.</w:t>
      </w:r>
      <w:r w:rsidR="00282D64" w:rsidRPr="00A55E98">
        <w:rPr>
          <w:b/>
          <w:bCs/>
          <w:lang w:eastAsia="de-DE"/>
        </w:rPr>
        <w:t>2.5.1</w:t>
      </w:r>
      <w:r w:rsidRPr="00A55E98">
        <w:rPr>
          <w:b/>
          <w:bCs/>
          <w:lang w:eastAsia="de-DE"/>
        </w:rPr>
        <w:t>.</w:t>
      </w:r>
      <w:r w:rsidRPr="00A55E98">
        <w:rPr>
          <w:b/>
          <w:bCs/>
          <w:lang w:eastAsia="de-DE"/>
        </w:rPr>
        <w:tab/>
      </w:r>
      <w:r w:rsidR="00282D64" w:rsidRPr="00A55E98">
        <w:rPr>
          <w:b/>
          <w:bCs/>
          <w:lang w:eastAsia="de-DE"/>
        </w:rPr>
        <w:t xml:space="preserve">General </w:t>
      </w:r>
    </w:p>
    <w:p w14:paraId="5915E20D" w14:textId="5C80CC86" w:rsidR="00FA7887" w:rsidRPr="00A55E98" w:rsidRDefault="008F1067" w:rsidP="00282D64">
      <w:pPr>
        <w:pStyle w:val="SingleTxtG"/>
        <w:ind w:left="2268" w:hanging="1134"/>
        <w:rPr>
          <w:b/>
          <w:bCs/>
          <w:lang w:eastAsia="de-DE"/>
        </w:rPr>
      </w:pPr>
      <w:r w:rsidRPr="00A55E98">
        <w:rPr>
          <w:b/>
          <w:bCs/>
          <w:lang w:eastAsia="de-DE"/>
        </w:rPr>
        <w:t>A.2.</w:t>
      </w:r>
      <w:r w:rsidR="00282D64" w:rsidRPr="00A55E98">
        <w:rPr>
          <w:b/>
          <w:bCs/>
          <w:lang w:eastAsia="de-DE"/>
        </w:rPr>
        <w:t>2.5.1.1.</w:t>
      </w:r>
      <w:r w:rsidR="003A04FB" w:rsidRPr="00A55E98">
        <w:rPr>
          <w:b/>
          <w:bCs/>
          <w:lang w:eastAsia="de-DE"/>
        </w:rPr>
        <w:tab/>
      </w:r>
      <w:r w:rsidR="00282D64" w:rsidRPr="00A55E98">
        <w:rPr>
          <w:b/>
          <w:bCs/>
          <w:lang w:eastAsia="de-DE"/>
        </w:rPr>
        <w:t>The PM number analyser shall consist of a pre-conditioning unit and a particle detector (see Figure</w:t>
      </w:r>
      <w:r w:rsidR="00231107" w:rsidRPr="00A55E98">
        <w:rPr>
          <w:b/>
          <w:bCs/>
          <w:lang w:eastAsia="de-DE"/>
        </w:rPr>
        <w:t> </w:t>
      </w:r>
      <w:r w:rsidR="00282D64" w:rsidRPr="00A55E98">
        <w:rPr>
          <w:b/>
          <w:bCs/>
          <w:lang w:eastAsia="de-DE"/>
        </w:rPr>
        <w:t>1). The particle detector may also pre-condition the aerosol. The analyser’s sensitivity to shocks, vibrations, aging, variations in temperature and air pressure, electromagnetic interferences and other things that could affect the operation of the vehicle or the analyser shall be kept to a minimum as far as possible and shall be clearly stated in the supporting documentation produced by the instrument manufacturer. The PM number analyser shall fulfil the requirements of this Regulation and the specifications of the instrument manufacturer.</w:t>
      </w:r>
    </w:p>
    <w:p w14:paraId="329C0E80" w14:textId="77777777" w:rsidR="003D4FB5" w:rsidRDefault="003D4FB5">
      <w:pPr>
        <w:suppressAutoHyphens w:val="0"/>
        <w:spacing w:line="240" w:lineRule="auto"/>
        <w:rPr>
          <w:lang w:eastAsia="de-DE"/>
        </w:rPr>
      </w:pPr>
      <w:r>
        <w:rPr>
          <w:lang w:eastAsia="de-DE"/>
        </w:rPr>
        <w:br w:type="page"/>
      </w:r>
    </w:p>
    <w:p w14:paraId="0362F3BB" w14:textId="29A17897" w:rsidR="004F7F41" w:rsidRPr="00A34A40" w:rsidRDefault="004F7F41" w:rsidP="00FE2F4B">
      <w:pPr>
        <w:pStyle w:val="SingleTxtG"/>
        <w:spacing w:after="0"/>
        <w:jc w:val="left"/>
        <w:rPr>
          <w:b/>
          <w:bCs/>
          <w:lang w:eastAsia="de-DE"/>
        </w:rPr>
      </w:pPr>
      <w:r w:rsidRPr="00A34A40">
        <w:rPr>
          <w:b/>
          <w:bCs/>
          <w:lang w:eastAsia="de-DE"/>
        </w:rPr>
        <w:lastRenderedPageBreak/>
        <w:t>Figure 1</w:t>
      </w:r>
    </w:p>
    <w:p w14:paraId="062D1132" w14:textId="190EB6D0" w:rsidR="004F7F41" w:rsidRPr="00A34A40" w:rsidRDefault="004F7F41" w:rsidP="00FE2F4B">
      <w:pPr>
        <w:pStyle w:val="SingleTxtG"/>
        <w:jc w:val="left"/>
        <w:rPr>
          <w:b/>
          <w:bCs/>
          <w:lang w:eastAsia="de-DE"/>
        </w:rPr>
      </w:pPr>
      <w:r w:rsidRPr="00A34A40">
        <w:rPr>
          <w:b/>
          <w:bCs/>
          <w:lang w:eastAsia="de-DE"/>
        </w:rPr>
        <w:t>Example of a PM number analyser setup</w:t>
      </w:r>
    </w:p>
    <w:p w14:paraId="6B428518" w14:textId="7909F432" w:rsidR="004F7F41" w:rsidRDefault="004F7F41" w:rsidP="004F7F41">
      <w:pPr>
        <w:pStyle w:val="SingleTxtG"/>
        <w:ind w:left="2268" w:hanging="1134"/>
        <w:rPr>
          <w:lang w:eastAsia="de-DE"/>
        </w:rPr>
      </w:pPr>
      <w:r w:rsidRPr="00A34A40">
        <w:rPr>
          <w:b/>
          <w:bCs/>
          <w:noProof/>
          <w:lang w:eastAsia="en-GB"/>
        </w:rPr>
        <w:drawing>
          <wp:inline distT="0" distB="0" distL="0" distR="0" wp14:anchorId="328AEC66" wp14:editId="169BDFF2">
            <wp:extent cx="5082980" cy="3261643"/>
            <wp:effectExtent l="0" t="0" r="381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082980" cy="3261643"/>
                    </a:xfrm>
                    <a:prstGeom prst="rect">
                      <a:avLst/>
                    </a:prstGeom>
                  </pic:spPr>
                </pic:pic>
              </a:graphicData>
            </a:graphic>
          </wp:inline>
        </w:drawing>
      </w:r>
    </w:p>
    <w:p w14:paraId="0DEA1495" w14:textId="1D4D70B8" w:rsidR="001E444F" w:rsidRPr="00A34A40" w:rsidRDefault="001E444F" w:rsidP="0088577B">
      <w:pPr>
        <w:pStyle w:val="SingleTxtG"/>
        <w:rPr>
          <w:b/>
          <w:bCs/>
          <w:lang w:eastAsia="de-DE"/>
        </w:rPr>
      </w:pPr>
      <w:r w:rsidRPr="00A34A40">
        <w:rPr>
          <w:b/>
          <w:bCs/>
          <w:i/>
          <w:iCs/>
          <w:lang w:eastAsia="de-DE"/>
        </w:rPr>
        <w:t xml:space="preserve">Notes: </w:t>
      </w:r>
      <w:r w:rsidRPr="00A34A40">
        <w:rPr>
          <w:b/>
          <w:bCs/>
          <w:lang w:eastAsia="de-DE"/>
        </w:rPr>
        <w:t>dotted lines depict optional parts</w:t>
      </w:r>
      <w:r w:rsidR="0088577B" w:rsidRPr="00A34A40">
        <w:rPr>
          <w:b/>
          <w:bCs/>
          <w:lang w:eastAsia="de-DE"/>
        </w:rPr>
        <w:t xml:space="preserve">; </w:t>
      </w:r>
      <w:r w:rsidRPr="00A34A40">
        <w:rPr>
          <w:b/>
          <w:bCs/>
          <w:lang w:eastAsia="de-DE"/>
        </w:rPr>
        <w:t>EFM</w:t>
      </w:r>
      <w:r w:rsidR="000E79FD" w:rsidRPr="00A34A40">
        <w:rPr>
          <w:b/>
          <w:bCs/>
          <w:lang w:eastAsia="de-DE"/>
        </w:rPr>
        <w:t xml:space="preserve"> means</w:t>
      </w:r>
      <w:r w:rsidRPr="00A34A40">
        <w:rPr>
          <w:b/>
          <w:bCs/>
          <w:lang w:eastAsia="de-DE"/>
        </w:rPr>
        <w:t xml:space="preserve"> Exhaust mass Flow Meter</w:t>
      </w:r>
      <w:r w:rsidR="0088577B" w:rsidRPr="00A34A40">
        <w:rPr>
          <w:b/>
          <w:bCs/>
          <w:lang w:eastAsia="de-DE"/>
        </w:rPr>
        <w:t>;</w:t>
      </w:r>
      <w:r w:rsidRPr="00A34A40">
        <w:rPr>
          <w:b/>
          <w:bCs/>
          <w:lang w:eastAsia="de-DE"/>
        </w:rPr>
        <w:t xml:space="preserve"> d</w:t>
      </w:r>
      <w:r w:rsidR="000E79FD" w:rsidRPr="00A34A40">
        <w:rPr>
          <w:b/>
          <w:bCs/>
          <w:lang w:eastAsia="de-DE"/>
        </w:rPr>
        <w:t xml:space="preserve"> means</w:t>
      </w:r>
      <w:r w:rsidRPr="00A34A40">
        <w:rPr>
          <w:b/>
          <w:bCs/>
          <w:lang w:eastAsia="de-DE"/>
        </w:rPr>
        <w:t xml:space="preserve"> inner diameter</w:t>
      </w:r>
      <w:r w:rsidR="0088577B" w:rsidRPr="00A34A40">
        <w:rPr>
          <w:b/>
          <w:bCs/>
          <w:lang w:eastAsia="de-DE"/>
        </w:rPr>
        <w:t xml:space="preserve"> ;</w:t>
      </w:r>
      <w:r w:rsidRPr="00A34A40">
        <w:rPr>
          <w:b/>
          <w:bCs/>
          <w:lang w:eastAsia="de-DE"/>
        </w:rPr>
        <w:t xml:space="preserve"> PND</w:t>
      </w:r>
      <w:r w:rsidR="000E79FD" w:rsidRPr="00A34A40">
        <w:rPr>
          <w:b/>
          <w:bCs/>
          <w:lang w:eastAsia="de-DE"/>
        </w:rPr>
        <w:t xml:space="preserve"> means</w:t>
      </w:r>
      <w:r w:rsidRPr="00A34A40">
        <w:rPr>
          <w:b/>
          <w:bCs/>
          <w:lang w:eastAsia="de-DE"/>
        </w:rPr>
        <w:t xml:space="preserve"> PM Number Diluter</w:t>
      </w:r>
    </w:p>
    <w:p w14:paraId="12436EBA" w14:textId="3C2BC44A" w:rsidR="0053602B" w:rsidRPr="002C7499" w:rsidRDefault="00B43B6A" w:rsidP="0053602B">
      <w:pPr>
        <w:pStyle w:val="SingleTxtG"/>
        <w:ind w:left="2268" w:hanging="1134"/>
        <w:rPr>
          <w:lang w:eastAsia="de-DE"/>
        </w:rPr>
      </w:pPr>
      <w:r w:rsidRPr="002C7499">
        <w:rPr>
          <w:lang w:eastAsia="de-DE"/>
        </w:rPr>
        <w:t>A.2.</w:t>
      </w:r>
      <w:r w:rsidR="0053602B" w:rsidRPr="002C7499">
        <w:rPr>
          <w:lang w:eastAsia="de-DE"/>
        </w:rPr>
        <w:t>2.5.1.2.</w:t>
      </w:r>
      <w:r w:rsidRPr="002C7499">
        <w:rPr>
          <w:lang w:eastAsia="de-DE"/>
        </w:rPr>
        <w:tab/>
      </w:r>
      <w:r w:rsidR="0053602B" w:rsidRPr="002C7499">
        <w:rPr>
          <w:lang w:eastAsia="de-DE"/>
        </w:rPr>
        <w:t>The PM number analyser shall be connected to the sampling point via a sampling probe which extracts a sample from the centreline of the tailpipe tube. If particles are not diluted at the tailpipe, the sampling line shall be heated to a minimum temperature of 373</w:t>
      </w:r>
      <w:r w:rsidR="0039793D" w:rsidRPr="002C7499">
        <w:rPr>
          <w:lang w:eastAsia="de-DE"/>
        </w:rPr>
        <w:t> </w:t>
      </w:r>
      <w:r w:rsidR="0053602B" w:rsidRPr="002C7499">
        <w:rPr>
          <w:lang w:eastAsia="de-DE"/>
        </w:rPr>
        <w:t>K (100</w:t>
      </w:r>
      <w:r w:rsidR="0039793D" w:rsidRPr="002C7499">
        <w:rPr>
          <w:lang w:eastAsia="de-DE"/>
        </w:rPr>
        <w:t> </w:t>
      </w:r>
      <w:r w:rsidR="0053602B" w:rsidRPr="002C7499">
        <w:rPr>
          <w:lang w:eastAsia="de-DE"/>
        </w:rPr>
        <w:t>°C) until the point of first dilution of the PM number analyser or the particle detector of the analyser. The residence time of the sample in the particle sampling line shall be less than 3</w:t>
      </w:r>
      <w:r w:rsidR="0039793D" w:rsidRPr="002C7499">
        <w:rPr>
          <w:lang w:eastAsia="de-DE"/>
        </w:rPr>
        <w:t> </w:t>
      </w:r>
      <w:r w:rsidR="0053602B" w:rsidRPr="002C7499">
        <w:rPr>
          <w:lang w:eastAsia="de-DE"/>
        </w:rPr>
        <w:t xml:space="preserve">seconds to the point of first dilution or to the particle detector. </w:t>
      </w:r>
    </w:p>
    <w:p w14:paraId="04BEFE5E" w14:textId="5B00218C" w:rsidR="0053602B" w:rsidRPr="002C7499" w:rsidRDefault="009A50E0" w:rsidP="0053602B">
      <w:pPr>
        <w:pStyle w:val="SingleTxtG"/>
        <w:ind w:left="2268" w:hanging="1134"/>
        <w:rPr>
          <w:lang w:eastAsia="de-DE"/>
        </w:rPr>
      </w:pPr>
      <w:r w:rsidRPr="002C7499">
        <w:rPr>
          <w:lang w:eastAsia="de-DE"/>
        </w:rPr>
        <w:t>A.2.</w:t>
      </w:r>
      <w:r w:rsidR="0053602B" w:rsidRPr="002C7499">
        <w:rPr>
          <w:lang w:eastAsia="de-DE"/>
        </w:rPr>
        <w:t>2.5.1.3.</w:t>
      </w:r>
      <w:r w:rsidRPr="002C7499">
        <w:rPr>
          <w:lang w:eastAsia="de-DE"/>
        </w:rPr>
        <w:tab/>
      </w:r>
      <w:r w:rsidR="0053602B" w:rsidRPr="002C7499">
        <w:rPr>
          <w:lang w:eastAsia="de-DE"/>
        </w:rPr>
        <w:t xml:space="preserve">All parts in contact with the sampled exhaust gas shall be always kept at a temperature that avoids condensation of any compound in the device. That may be achieved e.g. by heating to a higher temperature and diluting the sample or oxidising the (semi)volatile species. </w:t>
      </w:r>
    </w:p>
    <w:p w14:paraId="1FD70F9A" w14:textId="557093B9" w:rsidR="0053602B" w:rsidRPr="002C7499" w:rsidRDefault="009A50E0" w:rsidP="0053602B">
      <w:pPr>
        <w:pStyle w:val="SingleTxtG"/>
        <w:ind w:left="2268" w:hanging="1134"/>
        <w:rPr>
          <w:lang w:eastAsia="de-DE"/>
        </w:rPr>
      </w:pPr>
      <w:r w:rsidRPr="002C7499">
        <w:rPr>
          <w:lang w:eastAsia="de-DE"/>
        </w:rPr>
        <w:t>A.2.</w:t>
      </w:r>
      <w:r w:rsidR="0053602B" w:rsidRPr="002C7499">
        <w:rPr>
          <w:lang w:eastAsia="de-DE"/>
        </w:rPr>
        <w:t>2.5.1.4.</w:t>
      </w:r>
      <w:r w:rsidRPr="002C7499">
        <w:rPr>
          <w:lang w:eastAsia="de-DE"/>
        </w:rPr>
        <w:tab/>
      </w:r>
      <w:r w:rsidR="0053602B" w:rsidRPr="002C7499">
        <w:rPr>
          <w:lang w:eastAsia="de-DE"/>
        </w:rPr>
        <w:t>The PM number analyser shall include a heated section at wall temperature ≥</w:t>
      </w:r>
      <w:r w:rsidR="002E5A5A" w:rsidRPr="002C7499">
        <w:rPr>
          <w:lang w:eastAsia="de-DE"/>
        </w:rPr>
        <w:t> </w:t>
      </w:r>
      <w:r w:rsidR="0053602B" w:rsidRPr="002C7499">
        <w:rPr>
          <w:lang w:eastAsia="de-DE"/>
        </w:rPr>
        <w:t>573K (300</w:t>
      </w:r>
      <w:r w:rsidR="0039793D" w:rsidRPr="002C7499">
        <w:rPr>
          <w:lang w:eastAsia="de-DE"/>
        </w:rPr>
        <w:t> </w:t>
      </w:r>
      <w:r w:rsidR="0053602B" w:rsidRPr="002C7499">
        <w:rPr>
          <w:lang w:eastAsia="de-DE"/>
        </w:rPr>
        <w:t>°C). The pre-conditioning unit shall control the heated stages to constant nominal operating temperatures, within a tolerance of ±</w:t>
      </w:r>
      <w:r w:rsidR="0039793D" w:rsidRPr="002C7499">
        <w:rPr>
          <w:lang w:eastAsia="de-DE"/>
        </w:rPr>
        <w:t> </w:t>
      </w:r>
      <w:r w:rsidR="0053602B" w:rsidRPr="002C7499">
        <w:rPr>
          <w:lang w:eastAsia="de-DE"/>
        </w:rPr>
        <w:t>10</w:t>
      </w:r>
      <w:r w:rsidR="0039793D" w:rsidRPr="002C7499">
        <w:rPr>
          <w:lang w:eastAsia="de-DE"/>
        </w:rPr>
        <w:t> </w:t>
      </w:r>
      <w:r w:rsidR="0053602B" w:rsidRPr="002C7499">
        <w:rPr>
          <w:lang w:eastAsia="de-DE"/>
        </w:rPr>
        <w:t xml:space="preserve">K and provide an indication of whether or not heated parts are at their correct operating temperatures. Lower temperatures are acceptable as long as the volatile particle removal efficiency meets the specifications set out in </w:t>
      </w:r>
      <w:r w:rsidR="00FC3C11" w:rsidRPr="002C7499">
        <w:rPr>
          <w:lang w:eastAsia="de-DE"/>
        </w:rPr>
        <w:t>paragraph</w:t>
      </w:r>
      <w:r w:rsidR="0053602B" w:rsidRPr="002C7499">
        <w:rPr>
          <w:lang w:eastAsia="de-DE"/>
        </w:rPr>
        <w:t xml:space="preserve"> </w:t>
      </w:r>
      <w:r w:rsidR="00FC3C11" w:rsidRPr="002C7499">
        <w:rPr>
          <w:lang w:eastAsia="de-DE"/>
        </w:rPr>
        <w:t>A.2.</w:t>
      </w:r>
      <w:r w:rsidR="0053602B" w:rsidRPr="002C7499">
        <w:rPr>
          <w:lang w:eastAsia="de-DE"/>
        </w:rPr>
        <w:t xml:space="preserve">2.5.4. </w:t>
      </w:r>
    </w:p>
    <w:p w14:paraId="18BBB6CF" w14:textId="40EE42CB" w:rsidR="0053602B" w:rsidRPr="002C7499" w:rsidRDefault="002E5A5A" w:rsidP="0053602B">
      <w:pPr>
        <w:pStyle w:val="SingleTxtG"/>
        <w:ind w:left="2268" w:hanging="1134"/>
        <w:rPr>
          <w:lang w:eastAsia="de-DE"/>
        </w:rPr>
      </w:pPr>
      <w:r w:rsidRPr="002C7499">
        <w:rPr>
          <w:lang w:eastAsia="de-DE"/>
        </w:rPr>
        <w:t>A.2.</w:t>
      </w:r>
      <w:r w:rsidR="0053602B" w:rsidRPr="002C7499">
        <w:rPr>
          <w:lang w:eastAsia="de-DE"/>
        </w:rPr>
        <w:t>2.5.1.5.</w:t>
      </w:r>
      <w:r w:rsidRPr="002C7499">
        <w:rPr>
          <w:lang w:eastAsia="de-DE"/>
        </w:rPr>
        <w:tab/>
      </w:r>
      <w:r w:rsidR="0053602B" w:rsidRPr="002C7499">
        <w:rPr>
          <w:lang w:eastAsia="de-DE"/>
        </w:rPr>
        <w:t xml:space="preserve">Pressure, temperature and other sensors shall monitor the operation of the instrument during its operation and shall trigger a warning or message in case of malfunction. </w:t>
      </w:r>
    </w:p>
    <w:p w14:paraId="1579D073" w14:textId="0A81B66F" w:rsidR="0053602B" w:rsidRPr="002C7499" w:rsidRDefault="002E5A5A" w:rsidP="0053602B">
      <w:pPr>
        <w:pStyle w:val="SingleTxtG"/>
        <w:ind w:left="2268" w:hanging="1134"/>
        <w:rPr>
          <w:lang w:eastAsia="de-DE"/>
        </w:rPr>
      </w:pPr>
      <w:r w:rsidRPr="002C7499">
        <w:rPr>
          <w:lang w:eastAsia="de-DE"/>
        </w:rPr>
        <w:t>A.2.</w:t>
      </w:r>
      <w:r w:rsidR="0053602B" w:rsidRPr="002C7499">
        <w:rPr>
          <w:lang w:eastAsia="de-DE"/>
        </w:rPr>
        <w:t>2.5.1.6.</w:t>
      </w:r>
      <w:r w:rsidRPr="002C7499">
        <w:rPr>
          <w:lang w:eastAsia="de-DE"/>
        </w:rPr>
        <w:tab/>
      </w:r>
      <w:r w:rsidR="0053602B" w:rsidRPr="002C7499">
        <w:rPr>
          <w:lang w:eastAsia="de-DE"/>
        </w:rPr>
        <w:t>The delay time inside the PM number analyser shall be &lt;</w:t>
      </w:r>
      <w:r w:rsidR="0039793D" w:rsidRPr="002C7499">
        <w:rPr>
          <w:lang w:eastAsia="de-DE"/>
        </w:rPr>
        <w:t> </w:t>
      </w:r>
      <w:r w:rsidR="0053602B" w:rsidRPr="002C7499">
        <w:rPr>
          <w:lang w:eastAsia="de-DE"/>
        </w:rPr>
        <w:t>5</w:t>
      </w:r>
      <w:r w:rsidR="0039793D" w:rsidRPr="002C7499">
        <w:rPr>
          <w:lang w:eastAsia="de-DE"/>
        </w:rPr>
        <w:t> </w:t>
      </w:r>
      <w:r w:rsidR="0053602B" w:rsidRPr="002C7499">
        <w:rPr>
          <w:lang w:eastAsia="de-DE"/>
        </w:rPr>
        <w:t>s. Delay time means the time difference between a change of concentration at the reference point and a system response of 10</w:t>
      </w:r>
      <w:r w:rsidR="00625086" w:rsidRPr="002C7499">
        <w:rPr>
          <w:lang w:eastAsia="de-DE"/>
        </w:rPr>
        <w:t> </w:t>
      </w:r>
      <w:r w:rsidR="00107CAD" w:rsidRPr="002C7499">
        <w:rPr>
          <w:lang w:eastAsia="de-DE"/>
        </w:rPr>
        <w:t>per</w:t>
      </w:r>
      <w:r w:rsidR="00625086" w:rsidRPr="002C7499">
        <w:rPr>
          <w:lang w:eastAsia="de-DE"/>
        </w:rPr>
        <w:t> </w:t>
      </w:r>
      <w:r w:rsidR="00107CAD" w:rsidRPr="002C7499">
        <w:rPr>
          <w:lang w:eastAsia="de-DE"/>
        </w:rPr>
        <w:t>cent</w:t>
      </w:r>
      <w:r w:rsidR="0053602B" w:rsidRPr="002C7499">
        <w:rPr>
          <w:lang w:eastAsia="de-DE"/>
        </w:rPr>
        <w:t xml:space="preserve"> of the final reading.</w:t>
      </w:r>
    </w:p>
    <w:p w14:paraId="7D3E7728" w14:textId="1E7BDC11" w:rsidR="0053602B" w:rsidRPr="002C7499" w:rsidRDefault="002D2F95" w:rsidP="0053602B">
      <w:pPr>
        <w:pStyle w:val="SingleTxtG"/>
        <w:ind w:left="2268" w:hanging="1134"/>
        <w:rPr>
          <w:lang w:eastAsia="de-DE"/>
        </w:rPr>
      </w:pPr>
      <w:r w:rsidRPr="002C7499">
        <w:rPr>
          <w:lang w:eastAsia="de-DE"/>
        </w:rPr>
        <w:t>A.2.</w:t>
      </w:r>
      <w:r w:rsidR="0053602B" w:rsidRPr="002C7499">
        <w:rPr>
          <w:lang w:eastAsia="de-DE"/>
        </w:rPr>
        <w:t>2.5.1.7.</w:t>
      </w:r>
      <w:r w:rsidRPr="002C7499">
        <w:rPr>
          <w:lang w:eastAsia="de-DE"/>
        </w:rPr>
        <w:tab/>
      </w:r>
      <w:r w:rsidR="0053602B" w:rsidRPr="002C7499">
        <w:rPr>
          <w:lang w:eastAsia="de-DE"/>
        </w:rPr>
        <w:t>The PM number analyser (and/or particle detector) shall have a rise time of &lt;</w:t>
      </w:r>
      <w:r w:rsidRPr="002C7499">
        <w:rPr>
          <w:lang w:eastAsia="de-DE"/>
        </w:rPr>
        <w:t> </w:t>
      </w:r>
      <w:r w:rsidR="0053602B" w:rsidRPr="002C7499">
        <w:rPr>
          <w:lang w:eastAsia="de-DE"/>
        </w:rPr>
        <w:t>3</w:t>
      </w:r>
      <w:r w:rsidRPr="002C7499">
        <w:rPr>
          <w:lang w:eastAsia="de-DE"/>
        </w:rPr>
        <w:t>.</w:t>
      </w:r>
      <w:r w:rsidR="0053602B" w:rsidRPr="002C7499">
        <w:rPr>
          <w:lang w:eastAsia="de-DE"/>
        </w:rPr>
        <w:t>5</w:t>
      </w:r>
      <w:r w:rsidR="0039793D" w:rsidRPr="002C7499">
        <w:rPr>
          <w:lang w:eastAsia="de-DE"/>
        </w:rPr>
        <w:t> </w:t>
      </w:r>
      <w:r w:rsidR="0053602B" w:rsidRPr="002C7499">
        <w:rPr>
          <w:lang w:eastAsia="de-DE"/>
        </w:rPr>
        <w:t xml:space="preserve">s. </w:t>
      </w:r>
    </w:p>
    <w:p w14:paraId="703211C4" w14:textId="72844F89" w:rsidR="004F7F41" w:rsidRPr="002C7499" w:rsidRDefault="00B93409" w:rsidP="0053602B">
      <w:pPr>
        <w:pStyle w:val="SingleTxtG"/>
        <w:ind w:left="2268" w:hanging="1134"/>
        <w:rPr>
          <w:lang w:eastAsia="de-DE"/>
        </w:rPr>
      </w:pPr>
      <w:r w:rsidRPr="002C7499">
        <w:rPr>
          <w:lang w:eastAsia="de-DE"/>
        </w:rPr>
        <w:t>A.2.</w:t>
      </w:r>
      <w:r w:rsidR="0053602B" w:rsidRPr="002C7499">
        <w:rPr>
          <w:lang w:eastAsia="de-DE"/>
        </w:rPr>
        <w:t>2.5.1.8.</w:t>
      </w:r>
      <w:r w:rsidRPr="002C7499">
        <w:rPr>
          <w:lang w:eastAsia="de-DE"/>
        </w:rPr>
        <w:tab/>
      </w:r>
      <w:r w:rsidR="0053602B" w:rsidRPr="002C7499">
        <w:rPr>
          <w:lang w:eastAsia="de-DE"/>
        </w:rPr>
        <w:t>Particle concentration measurements shall be reported normalised to 273</w:t>
      </w:r>
      <w:r w:rsidR="0039793D" w:rsidRPr="002C7499">
        <w:rPr>
          <w:lang w:eastAsia="de-DE"/>
        </w:rPr>
        <w:t> </w:t>
      </w:r>
      <w:r w:rsidR="0053602B" w:rsidRPr="002C7499">
        <w:rPr>
          <w:lang w:eastAsia="de-DE"/>
        </w:rPr>
        <w:t>K (0</w:t>
      </w:r>
      <w:r w:rsidRPr="002C7499">
        <w:rPr>
          <w:lang w:eastAsia="de-DE"/>
        </w:rPr>
        <w:t> </w:t>
      </w:r>
      <w:r w:rsidR="0053602B" w:rsidRPr="002C7499">
        <w:rPr>
          <w:lang w:eastAsia="de-DE"/>
        </w:rPr>
        <w:t>°C) and 101</w:t>
      </w:r>
      <w:r w:rsidRPr="002C7499">
        <w:rPr>
          <w:lang w:eastAsia="de-DE"/>
        </w:rPr>
        <w:t>.</w:t>
      </w:r>
      <w:r w:rsidR="0053602B" w:rsidRPr="002C7499">
        <w:rPr>
          <w:lang w:eastAsia="de-DE"/>
        </w:rPr>
        <w:t>3</w:t>
      </w:r>
      <w:r w:rsidR="0039793D" w:rsidRPr="002C7499">
        <w:rPr>
          <w:lang w:eastAsia="de-DE"/>
        </w:rPr>
        <w:t> </w:t>
      </w:r>
      <w:r w:rsidR="0053602B" w:rsidRPr="002C7499">
        <w:rPr>
          <w:lang w:eastAsia="de-DE"/>
        </w:rPr>
        <w:t xml:space="preserve">kPa. If considered necessary using best engineering judgement, the pressure and/or temperature at the inlet of the detector shall be </w:t>
      </w:r>
      <w:r w:rsidR="0053602B" w:rsidRPr="002C7499">
        <w:rPr>
          <w:lang w:eastAsia="de-DE"/>
        </w:rPr>
        <w:lastRenderedPageBreak/>
        <w:t>measured and reported for the purposes of normalising the particle concentration.</w:t>
      </w:r>
    </w:p>
    <w:p w14:paraId="30018B39" w14:textId="19127DB0" w:rsidR="003B6825" w:rsidRPr="00A34A40" w:rsidRDefault="00107CAD" w:rsidP="003B6825">
      <w:pPr>
        <w:pStyle w:val="SingleTxtG"/>
        <w:ind w:left="2268" w:hanging="1134"/>
        <w:rPr>
          <w:b/>
          <w:bCs/>
          <w:lang w:eastAsia="de-DE"/>
        </w:rPr>
      </w:pPr>
      <w:r w:rsidRPr="002C7499">
        <w:rPr>
          <w:lang w:eastAsia="de-DE"/>
        </w:rPr>
        <w:t>A.2.</w:t>
      </w:r>
      <w:r w:rsidR="003B6825" w:rsidRPr="002C7499">
        <w:rPr>
          <w:lang w:eastAsia="de-DE"/>
        </w:rPr>
        <w:t>2.5.1.9.</w:t>
      </w:r>
      <w:r w:rsidRPr="002C7499">
        <w:rPr>
          <w:lang w:eastAsia="de-DE"/>
        </w:rPr>
        <w:tab/>
      </w:r>
      <w:r w:rsidR="003B6825" w:rsidRPr="002C7499">
        <w:rPr>
          <w:lang w:eastAsia="de-DE"/>
        </w:rPr>
        <w:t>PM number analysers that comply with the calibration requirements of UN Regulation No</w:t>
      </w:r>
      <w:r w:rsidR="005B02A5">
        <w:rPr>
          <w:lang w:eastAsia="de-DE"/>
        </w:rPr>
        <w:t>.</w:t>
      </w:r>
      <w:r w:rsidR="003B6825" w:rsidRPr="002C7499">
        <w:rPr>
          <w:lang w:eastAsia="de-DE"/>
        </w:rPr>
        <w:t xml:space="preserve"> 83 </w:t>
      </w:r>
      <w:r w:rsidR="00992219" w:rsidRPr="002C7499">
        <w:rPr>
          <w:lang w:eastAsia="de-DE"/>
        </w:rPr>
        <w:t>or UN Regulation No</w:t>
      </w:r>
      <w:r w:rsidR="00DF4F0B">
        <w:rPr>
          <w:lang w:eastAsia="de-DE"/>
        </w:rPr>
        <w:t>.</w:t>
      </w:r>
      <w:r w:rsidR="00992219" w:rsidRPr="002C7499">
        <w:rPr>
          <w:lang w:eastAsia="de-DE"/>
        </w:rPr>
        <w:t xml:space="preserve"> </w:t>
      </w:r>
      <w:r w:rsidR="00226924" w:rsidRPr="00A34A40">
        <w:rPr>
          <w:b/>
          <w:bCs/>
          <w:lang w:eastAsia="de-DE"/>
        </w:rPr>
        <w:t>[154]</w:t>
      </w:r>
      <w:r w:rsidR="003B6825" w:rsidRPr="00A34A40">
        <w:rPr>
          <w:b/>
          <w:bCs/>
          <w:lang w:eastAsia="de-DE"/>
        </w:rPr>
        <w:t xml:space="preserve"> shall be deemed to comply with the calibration requirements of this </w:t>
      </w:r>
      <w:r w:rsidR="00657DEA" w:rsidRPr="00A34A40">
        <w:rPr>
          <w:b/>
          <w:bCs/>
          <w:lang w:eastAsia="de-DE"/>
        </w:rPr>
        <w:t>a</w:t>
      </w:r>
      <w:r w:rsidR="003B6825" w:rsidRPr="00A34A40">
        <w:rPr>
          <w:b/>
          <w:bCs/>
          <w:lang w:eastAsia="de-DE"/>
        </w:rPr>
        <w:t xml:space="preserve">nnex. </w:t>
      </w:r>
    </w:p>
    <w:p w14:paraId="4646E9C4" w14:textId="6436B787" w:rsidR="003B6825" w:rsidRPr="00A34A40" w:rsidRDefault="001721A7" w:rsidP="003B6825">
      <w:pPr>
        <w:pStyle w:val="SingleTxtG"/>
        <w:ind w:left="2268" w:hanging="1134"/>
        <w:rPr>
          <w:b/>
          <w:bCs/>
          <w:lang w:eastAsia="de-DE"/>
        </w:rPr>
      </w:pPr>
      <w:r w:rsidRPr="00A34A40">
        <w:rPr>
          <w:b/>
          <w:bCs/>
          <w:lang w:eastAsia="de-DE"/>
        </w:rPr>
        <w:t>A.2.</w:t>
      </w:r>
      <w:r w:rsidR="003B6825" w:rsidRPr="00A34A40">
        <w:rPr>
          <w:b/>
          <w:bCs/>
          <w:lang w:eastAsia="de-DE"/>
        </w:rPr>
        <w:t>2.5.2.</w:t>
      </w:r>
      <w:r w:rsidRPr="00A34A40">
        <w:rPr>
          <w:b/>
          <w:bCs/>
          <w:lang w:eastAsia="de-DE"/>
        </w:rPr>
        <w:tab/>
      </w:r>
      <w:r w:rsidR="003B6825" w:rsidRPr="00A34A40">
        <w:rPr>
          <w:b/>
          <w:bCs/>
          <w:lang w:eastAsia="de-DE"/>
        </w:rPr>
        <w:t xml:space="preserve">Efficiency requirements </w:t>
      </w:r>
    </w:p>
    <w:p w14:paraId="45770E2A" w14:textId="3267890D" w:rsidR="003B6825" w:rsidRPr="00A34A40" w:rsidRDefault="001721A7" w:rsidP="003B6825">
      <w:pPr>
        <w:pStyle w:val="SingleTxtG"/>
        <w:ind w:left="2268" w:hanging="1134"/>
        <w:rPr>
          <w:b/>
          <w:bCs/>
          <w:lang w:eastAsia="de-DE"/>
        </w:rPr>
      </w:pPr>
      <w:r w:rsidRPr="00A34A40">
        <w:rPr>
          <w:b/>
          <w:bCs/>
          <w:lang w:eastAsia="de-DE"/>
        </w:rPr>
        <w:t>A.2.</w:t>
      </w:r>
      <w:r w:rsidR="003B6825" w:rsidRPr="00A34A40">
        <w:rPr>
          <w:b/>
          <w:bCs/>
          <w:lang w:eastAsia="de-DE"/>
        </w:rPr>
        <w:t>2.5.2.1.</w:t>
      </w:r>
      <w:r w:rsidRPr="00A34A40">
        <w:rPr>
          <w:b/>
          <w:bCs/>
          <w:lang w:eastAsia="de-DE"/>
        </w:rPr>
        <w:tab/>
      </w:r>
      <w:r w:rsidR="003B6825" w:rsidRPr="00A34A40">
        <w:rPr>
          <w:b/>
          <w:bCs/>
          <w:lang w:eastAsia="de-DE"/>
        </w:rPr>
        <w:t xml:space="preserve">The complete PM number analyser system and the sampling line, shall meet the efficiency requirements of Table 1: </w:t>
      </w:r>
    </w:p>
    <w:p w14:paraId="6FC75BA7" w14:textId="666880B0" w:rsidR="003B6825" w:rsidRPr="00A34A40" w:rsidRDefault="003B6825" w:rsidP="000E79FD">
      <w:pPr>
        <w:pStyle w:val="SingleTxtG"/>
        <w:spacing w:after="0"/>
        <w:ind w:left="2268" w:hanging="1134"/>
        <w:rPr>
          <w:b/>
          <w:bCs/>
          <w:lang w:eastAsia="de-DE"/>
        </w:rPr>
      </w:pPr>
      <w:r w:rsidRPr="00A34A40">
        <w:rPr>
          <w:b/>
          <w:bCs/>
          <w:lang w:eastAsia="de-DE"/>
        </w:rPr>
        <w:t>Table 1</w:t>
      </w:r>
    </w:p>
    <w:p w14:paraId="521DDB7E" w14:textId="20D8E4A7" w:rsidR="003B6825" w:rsidRPr="00A34A40" w:rsidRDefault="003B6825" w:rsidP="003B6825">
      <w:pPr>
        <w:pStyle w:val="SingleTxtG"/>
        <w:ind w:left="2268" w:hanging="1134"/>
        <w:rPr>
          <w:b/>
          <w:bCs/>
          <w:lang w:eastAsia="de-DE"/>
        </w:rPr>
      </w:pPr>
      <w:r w:rsidRPr="00A34A40">
        <w:rPr>
          <w:b/>
          <w:bCs/>
          <w:lang w:eastAsia="de-DE"/>
        </w:rPr>
        <w:t>PM number analyser system (and sampling line) efficiency requirements</w:t>
      </w:r>
    </w:p>
    <w:tbl>
      <w:tblPr>
        <w:tblStyle w:val="TableGrid"/>
        <w:tblW w:w="0" w:type="auto"/>
        <w:tblInd w:w="1085" w:type="dxa"/>
        <w:tblLook w:val="04A0" w:firstRow="1" w:lastRow="0" w:firstColumn="1" w:lastColumn="0" w:noHBand="0" w:noVBand="1"/>
      </w:tblPr>
      <w:tblGrid>
        <w:gridCol w:w="1267"/>
        <w:gridCol w:w="920"/>
        <w:gridCol w:w="920"/>
        <w:gridCol w:w="920"/>
        <w:gridCol w:w="920"/>
        <w:gridCol w:w="920"/>
        <w:gridCol w:w="920"/>
        <w:gridCol w:w="920"/>
      </w:tblGrid>
      <w:tr w:rsidR="00EF352A" w:rsidRPr="00A34A40" w14:paraId="0E863A2F" w14:textId="54D9B7ED" w:rsidTr="00750564">
        <w:tc>
          <w:tcPr>
            <w:tcW w:w="1267" w:type="dxa"/>
            <w:vAlign w:val="center"/>
          </w:tcPr>
          <w:p w14:paraId="330BF01E" w14:textId="114D1EA7" w:rsidR="00EF352A" w:rsidRPr="00A34A40" w:rsidRDefault="00B00681" w:rsidP="00750564">
            <w:pPr>
              <w:pStyle w:val="SingleTxtG"/>
              <w:ind w:left="0" w:right="67"/>
              <w:jc w:val="center"/>
              <w:rPr>
                <w:b/>
                <w:bCs/>
                <w:lang w:eastAsia="de-DE"/>
              </w:rPr>
            </w:pPr>
            <w:proofErr w:type="spellStart"/>
            <w:r w:rsidRPr="00A34A40">
              <w:rPr>
                <w:b/>
                <w:bCs/>
                <w:lang w:eastAsia="de-DE"/>
              </w:rPr>
              <w:t>d</w:t>
            </w:r>
            <w:r w:rsidR="00EF352A" w:rsidRPr="00A34A40">
              <w:rPr>
                <w:b/>
                <w:bCs/>
                <w:lang w:eastAsia="de-DE"/>
              </w:rPr>
              <w:t>p</w:t>
            </w:r>
            <w:proofErr w:type="spellEnd"/>
            <w:r w:rsidR="00EF352A" w:rsidRPr="00A34A40">
              <w:rPr>
                <w:b/>
                <w:bCs/>
                <w:lang w:eastAsia="de-DE"/>
              </w:rPr>
              <w:t xml:space="preserve"> [nm]</w:t>
            </w:r>
          </w:p>
        </w:tc>
        <w:tc>
          <w:tcPr>
            <w:tcW w:w="920" w:type="dxa"/>
            <w:vAlign w:val="center"/>
          </w:tcPr>
          <w:p w14:paraId="6C077E05" w14:textId="5990EA1E" w:rsidR="00EF352A" w:rsidRPr="00A34A40" w:rsidRDefault="00EF352A" w:rsidP="00750564">
            <w:pPr>
              <w:pStyle w:val="SingleTxtG"/>
              <w:ind w:left="0" w:right="43"/>
              <w:jc w:val="center"/>
              <w:rPr>
                <w:b/>
                <w:bCs/>
                <w:lang w:eastAsia="de-DE"/>
              </w:rPr>
            </w:pPr>
            <w:r w:rsidRPr="00A34A40">
              <w:rPr>
                <w:b/>
                <w:bCs/>
                <w:lang w:eastAsia="de-DE"/>
              </w:rPr>
              <w:t>sub-23</w:t>
            </w:r>
          </w:p>
        </w:tc>
        <w:tc>
          <w:tcPr>
            <w:tcW w:w="920" w:type="dxa"/>
            <w:vAlign w:val="center"/>
          </w:tcPr>
          <w:p w14:paraId="0968322D" w14:textId="574FC74E" w:rsidR="00EF352A" w:rsidRPr="00A34A40" w:rsidRDefault="00EF352A" w:rsidP="00750564">
            <w:pPr>
              <w:pStyle w:val="SingleTxtG"/>
              <w:ind w:left="0" w:right="43"/>
              <w:jc w:val="center"/>
              <w:rPr>
                <w:b/>
                <w:bCs/>
                <w:lang w:eastAsia="de-DE"/>
              </w:rPr>
            </w:pPr>
            <w:r w:rsidRPr="00A34A40">
              <w:rPr>
                <w:b/>
                <w:bCs/>
                <w:lang w:eastAsia="de-DE"/>
              </w:rPr>
              <w:t>23</w:t>
            </w:r>
          </w:p>
        </w:tc>
        <w:tc>
          <w:tcPr>
            <w:tcW w:w="920" w:type="dxa"/>
            <w:vAlign w:val="center"/>
          </w:tcPr>
          <w:p w14:paraId="70B040DD" w14:textId="430B1233" w:rsidR="00EF352A" w:rsidRPr="00A34A40" w:rsidRDefault="00EF352A" w:rsidP="00750564">
            <w:pPr>
              <w:pStyle w:val="SingleTxtG"/>
              <w:ind w:left="0" w:right="43"/>
              <w:jc w:val="center"/>
              <w:rPr>
                <w:b/>
                <w:bCs/>
                <w:lang w:eastAsia="de-DE"/>
              </w:rPr>
            </w:pPr>
            <w:r w:rsidRPr="00A34A40">
              <w:rPr>
                <w:b/>
                <w:bCs/>
                <w:lang w:eastAsia="de-DE"/>
              </w:rPr>
              <w:t>30</w:t>
            </w:r>
          </w:p>
        </w:tc>
        <w:tc>
          <w:tcPr>
            <w:tcW w:w="920" w:type="dxa"/>
            <w:vAlign w:val="center"/>
          </w:tcPr>
          <w:p w14:paraId="0971C458" w14:textId="64218128" w:rsidR="00EF352A" w:rsidRPr="00A34A40" w:rsidRDefault="00EF352A" w:rsidP="00750564">
            <w:pPr>
              <w:pStyle w:val="SingleTxtG"/>
              <w:ind w:left="0" w:right="43"/>
              <w:jc w:val="center"/>
              <w:rPr>
                <w:b/>
                <w:bCs/>
                <w:lang w:eastAsia="de-DE"/>
              </w:rPr>
            </w:pPr>
            <w:r w:rsidRPr="00A34A40">
              <w:rPr>
                <w:b/>
                <w:bCs/>
                <w:lang w:eastAsia="de-DE"/>
              </w:rPr>
              <w:t>50</w:t>
            </w:r>
          </w:p>
        </w:tc>
        <w:tc>
          <w:tcPr>
            <w:tcW w:w="920" w:type="dxa"/>
            <w:vAlign w:val="center"/>
          </w:tcPr>
          <w:p w14:paraId="433DB404" w14:textId="2F3C11BA" w:rsidR="00EF352A" w:rsidRPr="00A34A40" w:rsidRDefault="00EF352A" w:rsidP="00750564">
            <w:pPr>
              <w:pStyle w:val="SingleTxtG"/>
              <w:ind w:left="0" w:right="43"/>
              <w:jc w:val="center"/>
              <w:rPr>
                <w:b/>
                <w:bCs/>
                <w:lang w:eastAsia="de-DE"/>
              </w:rPr>
            </w:pPr>
            <w:r w:rsidRPr="00A34A40">
              <w:rPr>
                <w:b/>
                <w:bCs/>
                <w:lang w:eastAsia="de-DE"/>
              </w:rPr>
              <w:t>70</w:t>
            </w:r>
          </w:p>
        </w:tc>
        <w:tc>
          <w:tcPr>
            <w:tcW w:w="920" w:type="dxa"/>
            <w:vAlign w:val="center"/>
          </w:tcPr>
          <w:p w14:paraId="7BADECE2" w14:textId="243B7CC6" w:rsidR="00EF352A" w:rsidRPr="00A34A40" w:rsidRDefault="00EF352A" w:rsidP="00750564">
            <w:pPr>
              <w:pStyle w:val="SingleTxtG"/>
              <w:ind w:left="0" w:right="43"/>
              <w:jc w:val="center"/>
              <w:rPr>
                <w:b/>
                <w:bCs/>
                <w:lang w:eastAsia="de-DE"/>
              </w:rPr>
            </w:pPr>
            <w:r w:rsidRPr="00A34A40">
              <w:rPr>
                <w:b/>
                <w:bCs/>
                <w:lang w:eastAsia="de-DE"/>
              </w:rPr>
              <w:t>100</w:t>
            </w:r>
          </w:p>
        </w:tc>
        <w:tc>
          <w:tcPr>
            <w:tcW w:w="920" w:type="dxa"/>
            <w:vAlign w:val="center"/>
          </w:tcPr>
          <w:p w14:paraId="3F71D199" w14:textId="53EEB4A4" w:rsidR="00EF352A" w:rsidRPr="00A34A40" w:rsidRDefault="00EF352A" w:rsidP="00750564">
            <w:pPr>
              <w:pStyle w:val="SingleTxtG"/>
              <w:ind w:left="0" w:right="43"/>
              <w:jc w:val="center"/>
              <w:rPr>
                <w:b/>
                <w:bCs/>
                <w:lang w:eastAsia="de-DE"/>
              </w:rPr>
            </w:pPr>
            <w:r w:rsidRPr="00A34A40">
              <w:rPr>
                <w:b/>
                <w:bCs/>
                <w:lang w:eastAsia="de-DE"/>
              </w:rPr>
              <w:t>200</w:t>
            </w:r>
          </w:p>
        </w:tc>
      </w:tr>
      <w:tr w:rsidR="00EF352A" w:rsidRPr="00A34A40" w14:paraId="4B5BB445" w14:textId="77777777" w:rsidTr="00750564">
        <w:tc>
          <w:tcPr>
            <w:tcW w:w="1267" w:type="dxa"/>
            <w:vAlign w:val="center"/>
          </w:tcPr>
          <w:p w14:paraId="2C843E5B" w14:textId="1A2E2094" w:rsidR="00EF352A" w:rsidRPr="00A34A40" w:rsidRDefault="00EF352A" w:rsidP="00750564">
            <w:pPr>
              <w:pStyle w:val="SingleTxtG"/>
              <w:ind w:left="0" w:right="67"/>
              <w:jc w:val="center"/>
              <w:rPr>
                <w:b/>
                <w:bCs/>
                <w:lang w:eastAsia="de-DE"/>
              </w:rPr>
            </w:pPr>
            <w:r w:rsidRPr="00A34A40">
              <w:rPr>
                <w:b/>
                <w:bCs/>
                <w:lang w:eastAsia="de-DE"/>
              </w:rPr>
              <w:t>E</w:t>
            </w:r>
            <w:r w:rsidR="00C043BD" w:rsidRPr="00A34A40">
              <w:rPr>
                <w:b/>
                <w:bCs/>
                <w:lang w:eastAsia="de-DE"/>
              </w:rPr>
              <w:t>(</w:t>
            </w:r>
            <w:proofErr w:type="spellStart"/>
            <w:r w:rsidR="00C043BD" w:rsidRPr="00A34A40">
              <w:rPr>
                <w:b/>
                <w:bCs/>
                <w:lang w:eastAsia="de-DE"/>
              </w:rPr>
              <w:t>dp</w:t>
            </w:r>
            <w:proofErr w:type="spellEnd"/>
            <w:r w:rsidR="00C043BD" w:rsidRPr="00A34A40">
              <w:rPr>
                <w:b/>
                <w:bCs/>
                <w:lang w:eastAsia="de-DE"/>
              </w:rPr>
              <w:t>)</w:t>
            </w:r>
          </w:p>
        </w:tc>
        <w:tc>
          <w:tcPr>
            <w:tcW w:w="920" w:type="dxa"/>
            <w:vAlign w:val="center"/>
          </w:tcPr>
          <w:p w14:paraId="6858FD0D" w14:textId="758FD07B" w:rsidR="00EF352A" w:rsidRPr="00A34A40" w:rsidRDefault="00C043BD" w:rsidP="00750564">
            <w:pPr>
              <w:pStyle w:val="SingleTxtG"/>
              <w:ind w:left="0" w:right="43"/>
              <w:jc w:val="center"/>
              <w:rPr>
                <w:b/>
                <w:bCs/>
                <w:lang w:eastAsia="de-DE"/>
              </w:rPr>
            </w:pPr>
            <w:r w:rsidRPr="00A34A40">
              <w:rPr>
                <w:b/>
                <w:bCs/>
                <w:lang w:eastAsia="de-DE"/>
              </w:rPr>
              <w:t xml:space="preserve">- </w:t>
            </w:r>
            <w:bookmarkStart w:id="23" w:name="_Hlk52800742"/>
            <w:r w:rsidRPr="00A34A40">
              <w:rPr>
                <w:b/>
                <w:bCs/>
                <w:lang w:eastAsia="de-DE"/>
              </w:rPr>
              <w:t>(</w:t>
            </w:r>
            <w:r w:rsidRPr="00A34A40">
              <w:rPr>
                <w:b/>
                <w:bCs/>
                <w:vertAlign w:val="superscript"/>
                <w:lang w:eastAsia="de-DE"/>
              </w:rPr>
              <w:t>*</w:t>
            </w:r>
            <w:r w:rsidRPr="00A34A40">
              <w:rPr>
                <w:b/>
                <w:bCs/>
                <w:lang w:eastAsia="de-DE"/>
              </w:rPr>
              <w:t>)</w:t>
            </w:r>
            <w:bookmarkEnd w:id="23"/>
          </w:p>
        </w:tc>
        <w:tc>
          <w:tcPr>
            <w:tcW w:w="920" w:type="dxa"/>
            <w:vAlign w:val="center"/>
          </w:tcPr>
          <w:p w14:paraId="38F0CD51" w14:textId="79BFFF9A" w:rsidR="00EF352A" w:rsidRPr="00A34A40" w:rsidRDefault="00C043BD" w:rsidP="00750564">
            <w:pPr>
              <w:pStyle w:val="SingleTxtG"/>
              <w:ind w:left="0" w:right="43"/>
              <w:jc w:val="center"/>
              <w:rPr>
                <w:b/>
                <w:bCs/>
                <w:lang w:eastAsia="de-DE"/>
              </w:rPr>
            </w:pPr>
            <w:r w:rsidRPr="00A34A40">
              <w:rPr>
                <w:b/>
                <w:bCs/>
                <w:lang w:eastAsia="de-DE"/>
              </w:rPr>
              <w:t>0.2-0.6</w:t>
            </w:r>
          </w:p>
        </w:tc>
        <w:tc>
          <w:tcPr>
            <w:tcW w:w="920" w:type="dxa"/>
            <w:vAlign w:val="center"/>
          </w:tcPr>
          <w:p w14:paraId="09015DFE" w14:textId="6F6E86BA" w:rsidR="00EF352A" w:rsidRPr="00A34A40" w:rsidRDefault="00C043BD" w:rsidP="00750564">
            <w:pPr>
              <w:pStyle w:val="SingleTxtG"/>
              <w:ind w:left="0" w:right="43"/>
              <w:jc w:val="center"/>
              <w:rPr>
                <w:b/>
                <w:bCs/>
                <w:lang w:eastAsia="de-DE"/>
              </w:rPr>
            </w:pPr>
            <w:r w:rsidRPr="00A34A40">
              <w:rPr>
                <w:b/>
                <w:bCs/>
                <w:lang w:eastAsia="de-DE"/>
              </w:rPr>
              <w:t>0.3-1.2</w:t>
            </w:r>
          </w:p>
        </w:tc>
        <w:tc>
          <w:tcPr>
            <w:tcW w:w="920" w:type="dxa"/>
            <w:vAlign w:val="center"/>
          </w:tcPr>
          <w:p w14:paraId="147F8A48" w14:textId="2A5A4A7C" w:rsidR="00EF352A" w:rsidRPr="00A34A40" w:rsidRDefault="00C043BD" w:rsidP="00750564">
            <w:pPr>
              <w:pStyle w:val="SingleTxtG"/>
              <w:ind w:left="0" w:right="43"/>
              <w:jc w:val="center"/>
              <w:rPr>
                <w:b/>
                <w:bCs/>
                <w:lang w:eastAsia="de-DE"/>
              </w:rPr>
            </w:pPr>
            <w:r w:rsidRPr="00A34A40">
              <w:rPr>
                <w:b/>
                <w:bCs/>
                <w:lang w:eastAsia="de-DE"/>
              </w:rPr>
              <w:t>0.6-1.3</w:t>
            </w:r>
          </w:p>
        </w:tc>
        <w:tc>
          <w:tcPr>
            <w:tcW w:w="920" w:type="dxa"/>
            <w:vAlign w:val="center"/>
          </w:tcPr>
          <w:p w14:paraId="7BE897B0" w14:textId="05E9F4AA" w:rsidR="00EF352A" w:rsidRPr="00A34A40" w:rsidRDefault="00750564" w:rsidP="00750564">
            <w:pPr>
              <w:pStyle w:val="SingleTxtG"/>
              <w:ind w:left="0" w:right="43"/>
              <w:jc w:val="center"/>
              <w:rPr>
                <w:b/>
                <w:bCs/>
                <w:lang w:eastAsia="de-DE"/>
              </w:rPr>
            </w:pPr>
            <w:r w:rsidRPr="00A34A40">
              <w:rPr>
                <w:b/>
                <w:bCs/>
                <w:lang w:eastAsia="de-DE"/>
              </w:rPr>
              <w:t>0.7-1.3</w:t>
            </w:r>
          </w:p>
        </w:tc>
        <w:tc>
          <w:tcPr>
            <w:tcW w:w="920" w:type="dxa"/>
            <w:vAlign w:val="center"/>
          </w:tcPr>
          <w:p w14:paraId="2510293C" w14:textId="77A9F7F4" w:rsidR="00EF352A" w:rsidRPr="00A34A40" w:rsidRDefault="00750564" w:rsidP="00750564">
            <w:pPr>
              <w:pStyle w:val="SingleTxtG"/>
              <w:ind w:left="0" w:right="43"/>
              <w:jc w:val="center"/>
              <w:rPr>
                <w:b/>
                <w:bCs/>
                <w:lang w:eastAsia="de-DE"/>
              </w:rPr>
            </w:pPr>
            <w:r w:rsidRPr="00A34A40">
              <w:rPr>
                <w:b/>
                <w:bCs/>
                <w:lang w:eastAsia="de-DE"/>
              </w:rPr>
              <w:t>0.7-1.3</w:t>
            </w:r>
          </w:p>
        </w:tc>
        <w:tc>
          <w:tcPr>
            <w:tcW w:w="920" w:type="dxa"/>
            <w:vAlign w:val="center"/>
          </w:tcPr>
          <w:p w14:paraId="780AA4A8" w14:textId="637ACF94" w:rsidR="00EF352A" w:rsidRPr="00A34A40" w:rsidRDefault="00750564" w:rsidP="00750564">
            <w:pPr>
              <w:pStyle w:val="SingleTxtG"/>
              <w:ind w:left="0" w:right="43"/>
              <w:jc w:val="center"/>
              <w:rPr>
                <w:b/>
                <w:bCs/>
                <w:lang w:eastAsia="de-DE"/>
              </w:rPr>
            </w:pPr>
            <w:r w:rsidRPr="00A34A40">
              <w:rPr>
                <w:b/>
                <w:bCs/>
                <w:lang w:eastAsia="de-DE"/>
              </w:rPr>
              <w:t>0.5-2.0</w:t>
            </w:r>
          </w:p>
        </w:tc>
      </w:tr>
    </w:tbl>
    <w:p w14:paraId="3BC8956A" w14:textId="5ECAAEE1" w:rsidR="00121A49" w:rsidRPr="00A34A40" w:rsidRDefault="00750564" w:rsidP="00E54AA5">
      <w:pPr>
        <w:pStyle w:val="SingleTxtG"/>
        <w:spacing w:before="120" w:after="240"/>
        <w:ind w:left="2268" w:hanging="1134"/>
        <w:rPr>
          <w:b/>
          <w:bCs/>
          <w:lang w:eastAsia="de-DE"/>
        </w:rPr>
      </w:pPr>
      <w:r w:rsidRPr="00A34A40">
        <w:rPr>
          <w:b/>
          <w:bCs/>
          <w:lang w:eastAsia="de-DE"/>
        </w:rPr>
        <w:t>(</w:t>
      </w:r>
      <w:r w:rsidRPr="00A34A40">
        <w:rPr>
          <w:b/>
          <w:bCs/>
          <w:vertAlign w:val="superscript"/>
          <w:lang w:eastAsia="de-DE"/>
        </w:rPr>
        <w:t>*</w:t>
      </w:r>
      <w:r w:rsidRPr="00A34A40">
        <w:rPr>
          <w:b/>
          <w:bCs/>
          <w:lang w:eastAsia="de-DE"/>
        </w:rPr>
        <w:t>)</w:t>
      </w:r>
      <w:r w:rsidR="00B00681" w:rsidRPr="00A34A40">
        <w:rPr>
          <w:b/>
          <w:bCs/>
          <w:lang w:eastAsia="de-DE"/>
        </w:rPr>
        <w:t xml:space="preserve"> Will be defined at a later stage</w:t>
      </w:r>
    </w:p>
    <w:p w14:paraId="7ECA7F5A" w14:textId="2338A759" w:rsidR="004938F9" w:rsidRPr="00A34A40" w:rsidRDefault="004A5F56" w:rsidP="004938F9">
      <w:pPr>
        <w:pStyle w:val="SingleTxtG"/>
        <w:ind w:left="2268" w:hanging="1134"/>
        <w:rPr>
          <w:b/>
          <w:bCs/>
          <w:lang w:eastAsia="de-DE"/>
        </w:rPr>
      </w:pPr>
      <w:r w:rsidRPr="00A34A40">
        <w:rPr>
          <w:b/>
          <w:bCs/>
          <w:lang w:eastAsia="de-DE"/>
        </w:rPr>
        <w:t>A.2.</w:t>
      </w:r>
      <w:r w:rsidR="004938F9" w:rsidRPr="00A34A40">
        <w:rPr>
          <w:b/>
          <w:bCs/>
          <w:lang w:eastAsia="de-DE"/>
        </w:rPr>
        <w:t>2.5.2.2.</w:t>
      </w:r>
      <w:r w:rsidRPr="00A34A40">
        <w:rPr>
          <w:b/>
          <w:bCs/>
          <w:lang w:eastAsia="de-DE"/>
        </w:rPr>
        <w:tab/>
      </w:r>
      <w:r w:rsidR="004938F9" w:rsidRPr="00A34A40">
        <w:rPr>
          <w:b/>
          <w:bCs/>
          <w:lang w:eastAsia="de-DE"/>
        </w:rPr>
        <w:t>Efficiency E(</w:t>
      </w:r>
      <w:proofErr w:type="spellStart"/>
      <w:r w:rsidR="004938F9" w:rsidRPr="00A34A40">
        <w:rPr>
          <w:b/>
          <w:bCs/>
          <w:lang w:eastAsia="de-DE"/>
        </w:rPr>
        <w:t>dp</w:t>
      </w:r>
      <w:proofErr w:type="spellEnd"/>
      <w:r w:rsidR="004938F9" w:rsidRPr="00A34A40">
        <w:rPr>
          <w:b/>
          <w:bCs/>
          <w:lang w:eastAsia="de-DE"/>
        </w:rPr>
        <w:t>) is the ratio in the readings of the PM number analyser system to a reference Condensation Particle Counter (CPC)’s (d50</w:t>
      </w:r>
      <w:r w:rsidR="00657DEA" w:rsidRPr="00A34A40">
        <w:rPr>
          <w:b/>
          <w:bCs/>
          <w:lang w:eastAsia="de-DE"/>
        </w:rPr>
        <w:t> </w:t>
      </w:r>
      <w:r w:rsidR="004938F9" w:rsidRPr="00A34A40">
        <w:rPr>
          <w:b/>
          <w:bCs/>
          <w:lang w:eastAsia="de-DE"/>
        </w:rPr>
        <w:t>=</w:t>
      </w:r>
      <w:r w:rsidR="00657DEA" w:rsidRPr="00A34A40">
        <w:rPr>
          <w:b/>
          <w:bCs/>
          <w:lang w:eastAsia="de-DE"/>
        </w:rPr>
        <w:t> </w:t>
      </w:r>
      <w:r w:rsidR="004938F9" w:rsidRPr="00A34A40">
        <w:rPr>
          <w:b/>
          <w:bCs/>
          <w:lang w:eastAsia="de-DE"/>
        </w:rPr>
        <w:t xml:space="preserve">10 nm or lower, checked for linearity and calibrated with an electrometer) or an Electrometer’s number concentration measuring in parallel monodisperse aerosol of mobility diameter </w:t>
      </w:r>
      <w:proofErr w:type="spellStart"/>
      <w:r w:rsidR="004938F9" w:rsidRPr="00A34A40">
        <w:rPr>
          <w:b/>
          <w:bCs/>
          <w:lang w:eastAsia="de-DE"/>
        </w:rPr>
        <w:t>dp</w:t>
      </w:r>
      <w:proofErr w:type="spellEnd"/>
      <w:r w:rsidR="004938F9" w:rsidRPr="00A34A40">
        <w:rPr>
          <w:b/>
          <w:bCs/>
          <w:lang w:eastAsia="de-DE"/>
        </w:rPr>
        <w:t xml:space="preserve"> and normalised at the same temperature and pressure conditions. The material shall be thermally stable and soot-like (e.g. spark discharged graphite or diffusion flame soot with thermal pre-treatment). If the efficiency curve is measured with a different aerosol (e.g. NaCl), the correlation to the soot-like curve shall be provided in the form of a chart which compares the efficiencies obtained using both test aerosols. The differences in the counting efficiencies shall be taken into account by adjusting the measured efficiencies based on that comparison chart to give soot-like aerosol efficiencies. Any correction for multiple charged particles shall be applied and documented, but it shall not exceed 10</w:t>
      </w:r>
      <w:r w:rsidR="00625086" w:rsidRPr="00A34A40">
        <w:rPr>
          <w:b/>
          <w:bCs/>
          <w:lang w:eastAsia="de-DE"/>
        </w:rPr>
        <w:t> per cent</w:t>
      </w:r>
      <w:r w:rsidR="004938F9" w:rsidRPr="00A34A40">
        <w:rPr>
          <w:b/>
          <w:bCs/>
          <w:lang w:eastAsia="de-DE"/>
        </w:rPr>
        <w:t>. The final efficiencies (e.g. adjusted for the different material and multiple charged particles) shall cover the PM number analyser and sampling line. The PM number analyser may alternatively be calibrated in parts (i.e. the pre-conditioning unit separately from the particle detector) provided that the PM number analyser and the sampling line together meet the requirements of Table 1. The signal measured from the detector shall be &gt;</w:t>
      </w:r>
      <w:r w:rsidR="00FB0BF2" w:rsidRPr="00A34A40">
        <w:rPr>
          <w:b/>
          <w:bCs/>
          <w:lang w:eastAsia="de-DE"/>
        </w:rPr>
        <w:t> </w:t>
      </w:r>
      <w:r w:rsidR="004938F9" w:rsidRPr="00A34A40">
        <w:rPr>
          <w:b/>
          <w:bCs/>
          <w:lang w:eastAsia="de-DE"/>
        </w:rPr>
        <w:t>2 times the limit of detection (here defined as the zero level plus 3</w:t>
      </w:r>
      <w:r w:rsidR="00FB0BF2" w:rsidRPr="00A34A40">
        <w:rPr>
          <w:b/>
          <w:bCs/>
          <w:lang w:eastAsia="de-DE"/>
        </w:rPr>
        <w:t> </w:t>
      </w:r>
      <w:r w:rsidR="004938F9" w:rsidRPr="00A34A40">
        <w:rPr>
          <w:b/>
          <w:bCs/>
          <w:lang w:eastAsia="de-DE"/>
        </w:rPr>
        <w:t xml:space="preserve">standard deviations). </w:t>
      </w:r>
    </w:p>
    <w:p w14:paraId="2FDA4D99" w14:textId="58D55AD3" w:rsidR="004938F9" w:rsidRPr="00A34A40" w:rsidRDefault="006E716A" w:rsidP="004938F9">
      <w:pPr>
        <w:pStyle w:val="SingleTxtG"/>
        <w:ind w:left="2268" w:hanging="1134"/>
        <w:rPr>
          <w:b/>
          <w:bCs/>
          <w:lang w:eastAsia="de-DE"/>
        </w:rPr>
      </w:pPr>
      <w:r w:rsidRPr="00A34A40">
        <w:rPr>
          <w:b/>
          <w:bCs/>
          <w:lang w:eastAsia="de-DE"/>
        </w:rPr>
        <w:t>A.2.</w:t>
      </w:r>
      <w:r w:rsidR="004938F9" w:rsidRPr="00A34A40">
        <w:rPr>
          <w:b/>
          <w:bCs/>
          <w:lang w:eastAsia="de-DE"/>
        </w:rPr>
        <w:t>2.5.3.</w:t>
      </w:r>
      <w:r w:rsidRPr="00A34A40">
        <w:rPr>
          <w:b/>
          <w:bCs/>
          <w:lang w:eastAsia="de-DE"/>
        </w:rPr>
        <w:tab/>
      </w:r>
      <w:r w:rsidR="004938F9" w:rsidRPr="00A34A40">
        <w:rPr>
          <w:b/>
          <w:bCs/>
          <w:lang w:eastAsia="de-DE"/>
        </w:rPr>
        <w:t xml:space="preserve">Linearity requirements </w:t>
      </w:r>
    </w:p>
    <w:p w14:paraId="32B449FC" w14:textId="3B1EE380" w:rsidR="004938F9" w:rsidRPr="00A34A40" w:rsidRDefault="002635C2" w:rsidP="004938F9">
      <w:pPr>
        <w:pStyle w:val="SingleTxtG"/>
        <w:ind w:left="2268" w:hanging="1134"/>
        <w:rPr>
          <w:b/>
          <w:bCs/>
          <w:lang w:eastAsia="de-DE"/>
        </w:rPr>
      </w:pPr>
      <w:r w:rsidRPr="00A34A40">
        <w:rPr>
          <w:b/>
          <w:bCs/>
          <w:lang w:eastAsia="de-DE"/>
        </w:rPr>
        <w:t>A.2.</w:t>
      </w:r>
      <w:r w:rsidR="004938F9" w:rsidRPr="00A34A40">
        <w:rPr>
          <w:b/>
          <w:bCs/>
          <w:lang w:eastAsia="de-DE"/>
        </w:rPr>
        <w:t>2.5.3.1.</w:t>
      </w:r>
      <w:r w:rsidRPr="00A34A40">
        <w:rPr>
          <w:b/>
          <w:bCs/>
          <w:lang w:eastAsia="de-DE"/>
        </w:rPr>
        <w:tab/>
      </w:r>
      <w:r w:rsidR="004938F9" w:rsidRPr="00A34A40">
        <w:rPr>
          <w:b/>
          <w:bCs/>
          <w:lang w:eastAsia="de-DE"/>
        </w:rPr>
        <w:t xml:space="preserve">The linearity requirements shall be verified whenever damage is observed, as required by internal audit procedures or by the instrument manufacturer, at least once within the 12-month period leading up to a test. </w:t>
      </w:r>
    </w:p>
    <w:p w14:paraId="5FCC06CF" w14:textId="0BB804DB" w:rsidR="004938F9" w:rsidRPr="00A34A40" w:rsidRDefault="002635C2" w:rsidP="004938F9">
      <w:pPr>
        <w:pStyle w:val="SingleTxtG"/>
        <w:ind w:left="2268" w:hanging="1134"/>
        <w:rPr>
          <w:b/>
          <w:bCs/>
          <w:lang w:eastAsia="de-DE"/>
        </w:rPr>
      </w:pPr>
      <w:r w:rsidRPr="00A34A40">
        <w:rPr>
          <w:b/>
          <w:bCs/>
          <w:lang w:eastAsia="de-DE"/>
        </w:rPr>
        <w:t>A.2.</w:t>
      </w:r>
      <w:r w:rsidR="004938F9" w:rsidRPr="00A34A40">
        <w:rPr>
          <w:b/>
          <w:bCs/>
          <w:lang w:eastAsia="de-DE"/>
        </w:rPr>
        <w:t>2.5.3.2.</w:t>
      </w:r>
      <w:r w:rsidRPr="00A34A40">
        <w:rPr>
          <w:b/>
          <w:bCs/>
          <w:lang w:eastAsia="de-DE"/>
        </w:rPr>
        <w:tab/>
      </w:r>
      <w:r w:rsidR="004938F9" w:rsidRPr="00A34A40">
        <w:rPr>
          <w:b/>
          <w:bCs/>
          <w:lang w:eastAsia="de-DE"/>
        </w:rPr>
        <w:t xml:space="preserve">The PM number analyser, and the sampling line, shall meet the linearity requirements set out in Table 2. </w:t>
      </w:r>
    </w:p>
    <w:p w14:paraId="505AB76C" w14:textId="77777777" w:rsidR="004938F9" w:rsidRPr="00A34A40" w:rsidRDefault="004938F9" w:rsidP="00474F4D">
      <w:pPr>
        <w:pStyle w:val="SingleTxtG"/>
        <w:keepNext/>
        <w:spacing w:after="0"/>
        <w:ind w:left="2268" w:hanging="1134"/>
        <w:rPr>
          <w:b/>
          <w:bCs/>
          <w:lang w:eastAsia="de-DE"/>
        </w:rPr>
      </w:pPr>
      <w:r w:rsidRPr="00A34A40">
        <w:rPr>
          <w:b/>
          <w:bCs/>
          <w:lang w:eastAsia="de-DE"/>
        </w:rPr>
        <w:t xml:space="preserve">Table 2 </w:t>
      </w:r>
    </w:p>
    <w:p w14:paraId="3409529E" w14:textId="6C8972FA" w:rsidR="004938F9" w:rsidRPr="002C7499" w:rsidRDefault="004938F9" w:rsidP="002635C2">
      <w:pPr>
        <w:pStyle w:val="SingleTxtG"/>
        <w:keepNext/>
        <w:ind w:left="2268" w:hanging="1134"/>
        <w:rPr>
          <w:b/>
          <w:bCs/>
          <w:lang w:eastAsia="de-DE"/>
        </w:rPr>
      </w:pPr>
      <w:r w:rsidRPr="00A34A40">
        <w:rPr>
          <w:b/>
          <w:bCs/>
          <w:lang w:eastAsia="de-DE"/>
        </w:rPr>
        <w:t>Linearity requirements of PM number analyser (and the sampling line)</w:t>
      </w:r>
    </w:p>
    <w:tbl>
      <w:tblPr>
        <w:tblStyle w:val="TableGrid"/>
        <w:tblW w:w="8505" w:type="dxa"/>
        <w:tblInd w:w="1176" w:type="dxa"/>
        <w:tblLook w:val="04A0" w:firstRow="1" w:lastRow="0" w:firstColumn="1" w:lastColumn="0" w:noHBand="0" w:noVBand="1"/>
      </w:tblPr>
      <w:tblGrid>
        <w:gridCol w:w="1928"/>
        <w:gridCol w:w="1876"/>
        <w:gridCol w:w="1387"/>
        <w:gridCol w:w="1735"/>
        <w:gridCol w:w="1579"/>
      </w:tblGrid>
      <w:tr w:rsidR="00EF440C" w:rsidRPr="00A34A40" w14:paraId="4D00F3D4" w14:textId="49708604" w:rsidTr="00BA1297">
        <w:tc>
          <w:tcPr>
            <w:tcW w:w="1916" w:type="dxa"/>
          </w:tcPr>
          <w:p w14:paraId="14356C39" w14:textId="284F7C40" w:rsidR="00EF440C" w:rsidRPr="00A34A40" w:rsidRDefault="00EF440C" w:rsidP="00913932">
            <w:pPr>
              <w:pStyle w:val="SingleTxtG"/>
              <w:keepNext/>
              <w:ind w:left="0" w:right="183"/>
              <w:jc w:val="center"/>
              <w:rPr>
                <w:b/>
                <w:bCs/>
                <w:sz w:val="18"/>
                <w:szCs w:val="18"/>
                <w:lang w:eastAsia="de-DE"/>
              </w:rPr>
            </w:pPr>
            <w:r w:rsidRPr="00A34A40">
              <w:rPr>
                <w:b/>
                <w:bCs/>
                <w:sz w:val="18"/>
                <w:szCs w:val="18"/>
                <w:lang w:eastAsia="de-DE"/>
              </w:rPr>
              <w:t>Measurement parameter/instrument</w:t>
            </w:r>
          </w:p>
        </w:tc>
        <w:tc>
          <w:tcPr>
            <w:tcW w:w="1865" w:type="dxa"/>
          </w:tcPr>
          <w:p w14:paraId="31D34EEA" w14:textId="24E7629C" w:rsidR="00EF440C" w:rsidRPr="00A34A40" w:rsidRDefault="00A37FE4" w:rsidP="00913932">
            <w:pPr>
              <w:pStyle w:val="SingleTxtG"/>
              <w:keepNext/>
              <w:ind w:left="0" w:right="183"/>
              <w:jc w:val="center"/>
              <w:rPr>
                <w:b/>
                <w:bCs/>
                <w:lang w:eastAsia="de-DE"/>
              </w:rPr>
            </w:pPr>
            <m:oMathPara>
              <m:oMath>
                <m:sSub>
                  <m:sSubPr>
                    <m:ctrlPr>
                      <w:rPr>
                        <w:rFonts w:ascii="Cambria Math" w:hAnsi="Cambria Math"/>
                        <w:b/>
                        <w:bCs/>
                        <w:i/>
                        <w:sz w:val="16"/>
                        <w:szCs w:val="16"/>
                        <w:lang w:eastAsia="de-DE"/>
                      </w:rPr>
                    </m:ctrlPr>
                  </m:sSubPr>
                  <m:e>
                    <m:r>
                      <m:rPr>
                        <m:sty m:val="b"/>
                      </m:rPr>
                      <w:rPr>
                        <w:rFonts w:ascii="Cambria Math" w:hAnsi="Cambria Math"/>
                        <w:sz w:val="16"/>
                        <w:szCs w:val="16"/>
                        <w:lang w:eastAsia="de-DE"/>
                      </w:rPr>
                      <m:t>∣</m:t>
                    </m:r>
                    <m:r>
                      <m:rPr>
                        <m:sty m:val="bi"/>
                      </m:rPr>
                      <w:rPr>
                        <w:rFonts w:ascii="Cambria Math" w:hAnsi="Cambria Math"/>
                        <w:sz w:val="16"/>
                        <w:szCs w:val="16"/>
                        <w:lang w:eastAsia="de-DE"/>
                      </w:rPr>
                      <m:t>χ</m:t>
                    </m:r>
                  </m:e>
                  <m:sub>
                    <m:r>
                      <m:rPr>
                        <m:sty m:val="bi"/>
                      </m:rPr>
                      <w:rPr>
                        <w:rFonts w:ascii="Cambria Math" w:hAnsi="Cambria Math"/>
                        <w:sz w:val="16"/>
                        <w:szCs w:val="16"/>
                        <w:lang w:eastAsia="de-DE"/>
                      </w:rPr>
                      <m:t>min</m:t>
                    </m:r>
                  </m:sub>
                </m:sSub>
                <m:r>
                  <m:rPr>
                    <m:sty m:val="bi"/>
                  </m:rPr>
                  <w:rPr>
                    <w:rFonts w:ascii="Cambria Math" w:hAnsi="Cambria Math"/>
                    <w:sz w:val="16"/>
                    <w:szCs w:val="16"/>
                    <w:lang w:eastAsia="de-DE"/>
                  </w:rPr>
                  <m:t>×</m:t>
                </m:r>
                <m:d>
                  <m:dPr>
                    <m:ctrlPr>
                      <w:rPr>
                        <w:rFonts w:ascii="Cambria Math" w:hAnsi="Cambria Math"/>
                        <w:b/>
                        <w:bCs/>
                        <w:i/>
                        <w:sz w:val="16"/>
                        <w:szCs w:val="16"/>
                        <w:lang w:eastAsia="de-DE"/>
                      </w:rPr>
                    </m:ctrlPr>
                  </m:dPr>
                  <m:e>
                    <m:sSub>
                      <m:sSubPr>
                        <m:ctrlPr>
                          <w:rPr>
                            <w:rFonts w:ascii="Cambria Math" w:hAnsi="Cambria Math"/>
                            <w:b/>
                            <w:bCs/>
                            <w:i/>
                            <w:sz w:val="16"/>
                            <w:szCs w:val="16"/>
                            <w:lang w:eastAsia="de-DE"/>
                          </w:rPr>
                        </m:ctrlPr>
                      </m:sSubPr>
                      <m:e>
                        <m:r>
                          <m:rPr>
                            <m:sty m:val="b"/>
                          </m:rPr>
                          <w:rPr>
                            <w:rFonts w:ascii="Cambria Math" w:hAnsi="Cambria Math"/>
                            <w:sz w:val="16"/>
                            <w:szCs w:val="16"/>
                            <w:lang w:eastAsia="de-DE"/>
                          </w:rPr>
                          <m:t>a</m:t>
                        </m:r>
                      </m:e>
                      <m:sub>
                        <m:r>
                          <m:rPr>
                            <m:sty m:val="bi"/>
                          </m:rPr>
                          <w:rPr>
                            <w:rFonts w:ascii="Cambria Math" w:hAnsi="Cambria Math"/>
                            <w:sz w:val="16"/>
                            <w:szCs w:val="16"/>
                            <w:lang w:eastAsia="de-DE"/>
                          </w:rPr>
                          <m:t>1</m:t>
                        </m:r>
                      </m:sub>
                    </m:sSub>
                    <m:r>
                      <m:rPr>
                        <m:sty m:val="b"/>
                      </m:rPr>
                      <w:rPr>
                        <w:rFonts w:ascii="Cambria Math" w:hAnsi="Cambria Math"/>
                        <w:sz w:val="16"/>
                        <w:szCs w:val="16"/>
                        <w:lang w:eastAsia="de-DE"/>
                      </w:rPr>
                      <m:t>-1</m:t>
                    </m:r>
                  </m:e>
                </m:d>
                <m:r>
                  <m:rPr>
                    <m:sty m:val="bi"/>
                  </m:rPr>
                  <w:rPr>
                    <w:rFonts w:ascii="Cambria Math" w:hAnsi="Cambria Math"/>
                    <w:sz w:val="16"/>
                    <w:szCs w:val="16"/>
                    <w:lang w:eastAsia="de-DE"/>
                  </w:rPr>
                  <m:t>+</m:t>
                </m:r>
                <m:sSub>
                  <m:sSubPr>
                    <m:ctrlPr>
                      <w:rPr>
                        <w:rFonts w:ascii="Cambria Math" w:hAnsi="Cambria Math"/>
                        <w:b/>
                        <w:bCs/>
                        <w:i/>
                        <w:sz w:val="16"/>
                        <w:szCs w:val="16"/>
                        <w:lang w:eastAsia="de-DE"/>
                      </w:rPr>
                    </m:ctrlPr>
                  </m:sSubPr>
                  <m:e>
                    <m:r>
                      <m:rPr>
                        <m:sty m:val="b"/>
                      </m:rPr>
                      <w:rPr>
                        <w:rFonts w:ascii="Cambria Math" w:hAnsi="Cambria Math"/>
                        <w:sz w:val="16"/>
                        <w:szCs w:val="16"/>
                        <w:lang w:eastAsia="de-DE"/>
                      </w:rPr>
                      <m:t>a</m:t>
                    </m:r>
                  </m:e>
                  <m:sub>
                    <m:r>
                      <m:rPr>
                        <m:sty m:val="bi"/>
                      </m:rPr>
                      <w:rPr>
                        <w:rFonts w:ascii="Cambria Math" w:hAnsi="Cambria Math"/>
                        <w:sz w:val="16"/>
                        <w:szCs w:val="16"/>
                        <w:lang w:eastAsia="de-DE"/>
                      </w:rPr>
                      <m:t>0</m:t>
                    </m:r>
                  </m:sub>
                </m:sSub>
                <m:r>
                  <m:rPr>
                    <m:sty m:val="b"/>
                  </m:rPr>
                  <w:rPr>
                    <w:rFonts w:ascii="Cambria Math" w:hAnsi="Cambria Math"/>
                    <w:sz w:val="16"/>
                    <w:szCs w:val="16"/>
                    <w:lang w:eastAsia="de-DE"/>
                  </w:rPr>
                  <m:t>∣</m:t>
                </m:r>
              </m:oMath>
            </m:oMathPara>
          </w:p>
        </w:tc>
        <w:tc>
          <w:tcPr>
            <w:tcW w:w="1379" w:type="dxa"/>
          </w:tcPr>
          <w:p w14:paraId="1ED9F00E" w14:textId="4177D357" w:rsidR="00EF440C" w:rsidRPr="00A34A40" w:rsidRDefault="00EF440C" w:rsidP="00913932">
            <w:pPr>
              <w:pStyle w:val="SingleTxtG"/>
              <w:keepNext/>
              <w:ind w:left="0" w:right="183"/>
              <w:jc w:val="center"/>
              <w:rPr>
                <w:b/>
                <w:bCs/>
                <w:lang w:eastAsia="de-DE"/>
              </w:rPr>
            </w:pPr>
            <w:r w:rsidRPr="00A34A40">
              <w:rPr>
                <w:b/>
                <w:bCs/>
                <w:sz w:val="18"/>
                <w:szCs w:val="18"/>
                <w:lang w:eastAsia="de-DE"/>
              </w:rPr>
              <w:t>Slope a</w:t>
            </w:r>
            <w:r w:rsidRPr="00A34A40">
              <w:rPr>
                <w:b/>
                <w:bCs/>
                <w:vertAlign w:val="subscript"/>
                <w:lang w:eastAsia="de-DE"/>
              </w:rPr>
              <w:t>1</w:t>
            </w:r>
          </w:p>
        </w:tc>
        <w:tc>
          <w:tcPr>
            <w:tcW w:w="1724" w:type="dxa"/>
          </w:tcPr>
          <w:p w14:paraId="5DE2952B" w14:textId="046C931F" w:rsidR="00EF440C" w:rsidRPr="00A34A40" w:rsidRDefault="00EF440C" w:rsidP="00913932">
            <w:pPr>
              <w:pStyle w:val="SingleTxtG"/>
              <w:keepNext/>
              <w:ind w:left="0" w:right="183"/>
              <w:jc w:val="center"/>
              <w:rPr>
                <w:b/>
                <w:bCs/>
                <w:sz w:val="18"/>
                <w:szCs w:val="18"/>
                <w:lang w:eastAsia="de-DE"/>
              </w:rPr>
            </w:pPr>
            <w:r w:rsidRPr="00A34A40">
              <w:rPr>
                <w:b/>
                <w:bCs/>
                <w:sz w:val="18"/>
                <w:szCs w:val="18"/>
                <w:lang w:eastAsia="de-DE"/>
              </w:rPr>
              <w:t>Standard error SEE</w:t>
            </w:r>
          </w:p>
        </w:tc>
        <w:tc>
          <w:tcPr>
            <w:tcW w:w="1569" w:type="dxa"/>
          </w:tcPr>
          <w:p w14:paraId="7CD2258F" w14:textId="07FE045E" w:rsidR="00EF440C" w:rsidRPr="00A34A40" w:rsidRDefault="00EF440C" w:rsidP="00913932">
            <w:pPr>
              <w:pStyle w:val="SingleTxtG"/>
              <w:keepNext/>
              <w:ind w:left="0" w:right="183"/>
              <w:jc w:val="center"/>
              <w:rPr>
                <w:b/>
                <w:bCs/>
                <w:sz w:val="18"/>
                <w:szCs w:val="18"/>
                <w:lang w:eastAsia="de-DE"/>
              </w:rPr>
            </w:pPr>
            <w:r w:rsidRPr="00A34A40">
              <w:rPr>
                <w:b/>
                <w:bCs/>
                <w:sz w:val="18"/>
                <w:szCs w:val="18"/>
                <w:lang w:eastAsia="de-DE"/>
              </w:rPr>
              <w:t xml:space="preserve">Coefficient of </w:t>
            </w:r>
            <w:r w:rsidR="00DC016E" w:rsidRPr="00A34A40">
              <w:rPr>
                <w:b/>
                <w:bCs/>
                <w:sz w:val="18"/>
                <w:szCs w:val="18"/>
                <w:lang w:eastAsia="de-DE"/>
              </w:rPr>
              <w:t>determination r</w:t>
            </w:r>
            <w:r w:rsidR="00DC016E" w:rsidRPr="00A34A40">
              <w:rPr>
                <w:b/>
                <w:bCs/>
                <w:sz w:val="18"/>
                <w:szCs w:val="18"/>
                <w:vertAlign w:val="superscript"/>
                <w:lang w:eastAsia="de-DE"/>
              </w:rPr>
              <w:t>2</w:t>
            </w:r>
          </w:p>
        </w:tc>
      </w:tr>
      <w:tr w:rsidR="000454E3" w:rsidRPr="00A34A40" w14:paraId="5AFADDC3" w14:textId="77777777" w:rsidTr="00BA1297">
        <w:tc>
          <w:tcPr>
            <w:tcW w:w="1916" w:type="dxa"/>
          </w:tcPr>
          <w:p w14:paraId="0F195CBA" w14:textId="6721D214" w:rsidR="000454E3" w:rsidRPr="00A34A40" w:rsidRDefault="009314A6" w:rsidP="00913932">
            <w:pPr>
              <w:pStyle w:val="SingleTxtG"/>
              <w:keepNext/>
              <w:ind w:left="0" w:right="183"/>
              <w:jc w:val="center"/>
              <w:rPr>
                <w:b/>
                <w:bCs/>
                <w:sz w:val="18"/>
                <w:szCs w:val="18"/>
                <w:lang w:eastAsia="de-DE"/>
              </w:rPr>
            </w:pPr>
            <w:r w:rsidRPr="00A34A40">
              <w:rPr>
                <w:b/>
                <w:bCs/>
                <w:sz w:val="18"/>
                <w:szCs w:val="18"/>
                <w:lang w:eastAsia="de-DE"/>
              </w:rPr>
              <w:t>PM number analyser</w:t>
            </w:r>
          </w:p>
        </w:tc>
        <w:tc>
          <w:tcPr>
            <w:tcW w:w="1865" w:type="dxa"/>
          </w:tcPr>
          <w:p w14:paraId="5B0700B1" w14:textId="79692C9F" w:rsidR="000454E3" w:rsidRPr="00A34A40" w:rsidRDefault="00C70130" w:rsidP="00913932">
            <w:pPr>
              <w:pStyle w:val="SingleTxtG"/>
              <w:keepNext/>
              <w:ind w:left="0" w:right="183"/>
              <w:jc w:val="center"/>
              <w:rPr>
                <w:b/>
                <w:bCs/>
                <w:sz w:val="16"/>
                <w:szCs w:val="16"/>
                <w:lang w:eastAsia="de-DE"/>
              </w:rPr>
            </w:pPr>
            <w:r w:rsidRPr="00A34A40">
              <w:rPr>
                <w:b/>
                <w:bCs/>
                <w:sz w:val="16"/>
                <w:szCs w:val="16"/>
                <w:lang w:eastAsia="de-DE"/>
              </w:rPr>
              <w:t>≤ 5 per cent max</w:t>
            </w:r>
          </w:p>
        </w:tc>
        <w:tc>
          <w:tcPr>
            <w:tcW w:w="1379" w:type="dxa"/>
          </w:tcPr>
          <w:p w14:paraId="36B27E30" w14:textId="084384E0" w:rsidR="000454E3" w:rsidRPr="00A34A40" w:rsidRDefault="00C70130" w:rsidP="00913932">
            <w:pPr>
              <w:pStyle w:val="SingleTxtG"/>
              <w:keepNext/>
              <w:ind w:left="0" w:right="183"/>
              <w:jc w:val="center"/>
              <w:rPr>
                <w:b/>
                <w:bCs/>
                <w:sz w:val="18"/>
                <w:szCs w:val="18"/>
                <w:lang w:eastAsia="de-DE"/>
              </w:rPr>
            </w:pPr>
            <w:r w:rsidRPr="00A34A40">
              <w:rPr>
                <w:b/>
                <w:bCs/>
                <w:sz w:val="18"/>
                <w:szCs w:val="18"/>
                <w:lang w:eastAsia="de-DE"/>
              </w:rPr>
              <w:t>0.85-1.15</w:t>
            </w:r>
          </w:p>
        </w:tc>
        <w:tc>
          <w:tcPr>
            <w:tcW w:w="1724" w:type="dxa"/>
          </w:tcPr>
          <w:p w14:paraId="789FC2E3" w14:textId="4D8F5910" w:rsidR="000454E3" w:rsidRPr="00A34A40" w:rsidRDefault="00F56C81" w:rsidP="00913932">
            <w:pPr>
              <w:pStyle w:val="SingleTxtG"/>
              <w:keepNext/>
              <w:ind w:left="0" w:right="183"/>
              <w:jc w:val="center"/>
              <w:rPr>
                <w:b/>
                <w:bCs/>
                <w:sz w:val="18"/>
                <w:szCs w:val="18"/>
                <w:lang w:eastAsia="de-DE"/>
              </w:rPr>
            </w:pPr>
            <w:r w:rsidRPr="00A34A40">
              <w:rPr>
                <w:b/>
                <w:bCs/>
                <w:sz w:val="18"/>
                <w:szCs w:val="18"/>
                <w:lang w:eastAsia="de-DE"/>
              </w:rPr>
              <w:t>≤ 10 per cent max</w:t>
            </w:r>
          </w:p>
        </w:tc>
        <w:tc>
          <w:tcPr>
            <w:tcW w:w="1569" w:type="dxa"/>
          </w:tcPr>
          <w:p w14:paraId="24047B4C" w14:textId="5FFC5544" w:rsidR="000454E3" w:rsidRPr="00A34A40" w:rsidRDefault="00F56C81" w:rsidP="00913932">
            <w:pPr>
              <w:pStyle w:val="SingleTxtG"/>
              <w:keepNext/>
              <w:ind w:left="0" w:right="183"/>
              <w:jc w:val="center"/>
              <w:rPr>
                <w:b/>
                <w:bCs/>
                <w:sz w:val="18"/>
                <w:szCs w:val="18"/>
                <w:lang w:eastAsia="de-DE"/>
              </w:rPr>
            </w:pPr>
            <w:r w:rsidRPr="00A34A40">
              <w:rPr>
                <w:b/>
                <w:bCs/>
                <w:sz w:val="18"/>
                <w:szCs w:val="18"/>
                <w:lang w:eastAsia="de-DE"/>
              </w:rPr>
              <w:t>≥ 0.950</w:t>
            </w:r>
          </w:p>
        </w:tc>
      </w:tr>
    </w:tbl>
    <w:p w14:paraId="5C3DD1A8" w14:textId="77777777" w:rsidR="00E54AA5" w:rsidRDefault="00E54AA5" w:rsidP="00474F4D">
      <w:pPr>
        <w:pStyle w:val="SingleTxtG"/>
        <w:spacing w:before="120"/>
        <w:ind w:left="2268" w:hanging="1134"/>
        <w:rPr>
          <w:b/>
          <w:bCs/>
          <w:lang w:eastAsia="de-DE"/>
        </w:rPr>
      </w:pPr>
    </w:p>
    <w:p w14:paraId="1B3A0960" w14:textId="77777777" w:rsidR="00E54AA5" w:rsidRDefault="00E54AA5">
      <w:pPr>
        <w:suppressAutoHyphens w:val="0"/>
        <w:spacing w:line="240" w:lineRule="auto"/>
        <w:rPr>
          <w:b/>
          <w:bCs/>
          <w:lang w:eastAsia="de-DE"/>
        </w:rPr>
      </w:pPr>
      <w:r>
        <w:rPr>
          <w:b/>
          <w:bCs/>
          <w:lang w:eastAsia="de-DE"/>
        </w:rPr>
        <w:br w:type="page"/>
      </w:r>
    </w:p>
    <w:p w14:paraId="310C06DB" w14:textId="4AA0F093" w:rsidR="004938F9" w:rsidRPr="00A34A40" w:rsidRDefault="009432E1" w:rsidP="00474F4D">
      <w:pPr>
        <w:pStyle w:val="SingleTxtG"/>
        <w:spacing w:before="120"/>
        <w:ind w:left="2268" w:hanging="1134"/>
        <w:rPr>
          <w:b/>
          <w:bCs/>
          <w:lang w:eastAsia="de-DE"/>
        </w:rPr>
      </w:pPr>
      <w:r w:rsidRPr="00A34A40">
        <w:rPr>
          <w:b/>
          <w:bCs/>
          <w:lang w:eastAsia="de-DE"/>
        </w:rPr>
        <w:lastRenderedPageBreak/>
        <w:t>A.2.</w:t>
      </w:r>
      <w:r w:rsidR="000C7842" w:rsidRPr="00A34A40">
        <w:rPr>
          <w:b/>
          <w:bCs/>
          <w:lang w:eastAsia="de-DE"/>
        </w:rPr>
        <w:t>2.5.3.3.</w:t>
      </w:r>
      <w:r w:rsidRPr="00A34A40">
        <w:rPr>
          <w:b/>
          <w:bCs/>
          <w:lang w:eastAsia="de-DE"/>
        </w:rPr>
        <w:tab/>
      </w:r>
      <w:r w:rsidR="000C7842" w:rsidRPr="00A34A40">
        <w:rPr>
          <w:b/>
          <w:bCs/>
          <w:lang w:eastAsia="de-DE"/>
        </w:rPr>
        <w:t>The PM number analyser system and the sampling line, shall meet the linearity requirements of Table</w:t>
      </w:r>
      <w:r w:rsidR="00FB0BF2" w:rsidRPr="00A34A40">
        <w:rPr>
          <w:b/>
          <w:bCs/>
          <w:lang w:eastAsia="de-DE"/>
        </w:rPr>
        <w:t> </w:t>
      </w:r>
      <w:r w:rsidR="000C7842" w:rsidRPr="00A34A40">
        <w:rPr>
          <w:b/>
          <w:bCs/>
          <w:lang w:eastAsia="de-DE"/>
        </w:rPr>
        <w:t>2 using monodisperse or polydisperse soot-like particles. The particle size (mobility diameter or count median diameter) shall be larger than 45</w:t>
      </w:r>
      <w:r w:rsidR="00FB0BF2" w:rsidRPr="00A34A40">
        <w:rPr>
          <w:b/>
          <w:bCs/>
          <w:lang w:eastAsia="de-DE"/>
        </w:rPr>
        <w:t> </w:t>
      </w:r>
      <w:r w:rsidR="000C7842" w:rsidRPr="00A34A40">
        <w:rPr>
          <w:b/>
          <w:bCs/>
          <w:lang w:eastAsia="de-DE"/>
        </w:rPr>
        <w:t>nm. The reference instrument shall be an Electrometer or a Condensation Particle Counter (CPC) with d50</w:t>
      </w:r>
      <w:r w:rsidR="00FB0BF2" w:rsidRPr="00A34A40">
        <w:rPr>
          <w:b/>
          <w:bCs/>
          <w:lang w:eastAsia="de-DE"/>
        </w:rPr>
        <w:t> </w:t>
      </w:r>
      <w:r w:rsidR="000C7842" w:rsidRPr="00A34A40">
        <w:rPr>
          <w:b/>
          <w:bCs/>
          <w:lang w:eastAsia="de-DE"/>
        </w:rPr>
        <w:t>=</w:t>
      </w:r>
      <w:r w:rsidR="00FB0BF2" w:rsidRPr="00A34A40">
        <w:rPr>
          <w:b/>
          <w:bCs/>
          <w:lang w:eastAsia="de-DE"/>
        </w:rPr>
        <w:t> </w:t>
      </w:r>
      <w:r w:rsidR="000C7842" w:rsidRPr="00A34A40">
        <w:rPr>
          <w:b/>
          <w:bCs/>
          <w:lang w:eastAsia="de-DE"/>
        </w:rPr>
        <w:t xml:space="preserve">10 nm or lower, verified for linearity. Alternatively, the reference instrument may be a particle number system that complies with the requirements of </w:t>
      </w:r>
      <w:r w:rsidR="00217BCD" w:rsidRPr="00A34A40">
        <w:rPr>
          <w:b/>
          <w:bCs/>
          <w:lang w:eastAsia="de-DE"/>
        </w:rPr>
        <w:t>paragraph 10. of Annex 4.</w:t>
      </w:r>
    </w:p>
    <w:p w14:paraId="4852A319" w14:textId="6EA38CA2" w:rsidR="000C7842" w:rsidRPr="00A34A40" w:rsidRDefault="009432E1" w:rsidP="000C7842">
      <w:pPr>
        <w:pStyle w:val="SingleTxtG"/>
        <w:ind w:left="2268" w:hanging="1134"/>
        <w:rPr>
          <w:b/>
          <w:bCs/>
          <w:lang w:eastAsia="de-DE"/>
        </w:rPr>
      </w:pPr>
      <w:r w:rsidRPr="00A34A40">
        <w:rPr>
          <w:b/>
          <w:bCs/>
          <w:lang w:eastAsia="de-DE"/>
        </w:rPr>
        <w:t>A.2.</w:t>
      </w:r>
      <w:r w:rsidR="000C7842" w:rsidRPr="00A34A40">
        <w:rPr>
          <w:b/>
          <w:bCs/>
          <w:lang w:eastAsia="de-DE"/>
        </w:rPr>
        <w:t>2.5.3.4.</w:t>
      </w:r>
      <w:r w:rsidRPr="00A34A40">
        <w:rPr>
          <w:b/>
          <w:bCs/>
          <w:lang w:eastAsia="de-DE"/>
        </w:rPr>
        <w:tab/>
      </w:r>
      <w:r w:rsidR="000C7842" w:rsidRPr="00A34A40">
        <w:rPr>
          <w:b/>
          <w:bCs/>
          <w:lang w:eastAsia="de-DE"/>
        </w:rPr>
        <w:t>In addition, the differences between the PM number analyser and the reference instrument at each of the points that are checked (except the zero point) shall be within 15</w:t>
      </w:r>
      <w:r w:rsidRPr="00A34A40">
        <w:rPr>
          <w:b/>
          <w:bCs/>
          <w:lang w:eastAsia="de-DE"/>
        </w:rPr>
        <w:t xml:space="preserve"> per cent </w:t>
      </w:r>
      <w:r w:rsidR="000C7842" w:rsidRPr="00A34A40">
        <w:rPr>
          <w:b/>
          <w:bCs/>
          <w:lang w:eastAsia="de-DE"/>
        </w:rPr>
        <w:t>of their mean value. At least 5</w:t>
      </w:r>
      <w:r w:rsidR="00FB0BF2" w:rsidRPr="00A34A40">
        <w:rPr>
          <w:b/>
          <w:bCs/>
          <w:lang w:eastAsia="de-DE"/>
        </w:rPr>
        <w:t> </w:t>
      </w:r>
      <w:r w:rsidR="000C7842" w:rsidRPr="00A34A40">
        <w:rPr>
          <w:b/>
          <w:bCs/>
          <w:lang w:eastAsia="de-DE"/>
        </w:rPr>
        <w:t xml:space="preserve">points equally distributed (plus the zero point) shall be checked. The maximum checked concentration shall be the maximum allowed concentration of the PM number analyser. If the PM number analyser is calibrated in parts, the linearity may be checked only for the detector, but the efficiencies of the other parts and the sampling line shall be taken into account in the slope calculation. </w:t>
      </w:r>
    </w:p>
    <w:p w14:paraId="2547CF8C" w14:textId="1FDA7DFB" w:rsidR="000C7842" w:rsidRPr="00A34A40" w:rsidRDefault="00EE3393" w:rsidP="000C7842">
      <w:pPr>
        <w:pStyle w:val="SingleTxtG"/>
        <w:ind w:left="2268" w:hanging="1134"/>
        <w:rPr>
          <w:b/>
          <w:bCs/>
          <w:lang w:eastAsia="de-DE"/>
        </w:rPr>
      </w:pPr>
      <w:r w:rsidRPr="00A34A40">
        <w:rPr>
          <w:b/>
          <w:bCs/>
          <w:lang w:eastAsia="de-DE"/>
        </w:rPr>
        <w:t>A.2.</w:t>
      </w:r>
      <w:r w:rsidR="000C7842" w:rsidRPr="00A34A40">
        <w:rPr>
          <w:b/>
          <w:bCs/>
          <w:lang w:eastAsia="de-DE"/>
        </w:rPr>
        <w:t>2.5.4.</w:t>
      </w:r>
      <w:r w:rsidRPr="00A34A40">
        <w:rPr>
          <w:b/>
          <w:bCs/>
          <w:lang w:eastAsia="de-DE"/>
        </w:rPr>
        <w:tab/>
      </w:r>
      <w:r w:rsidR="000C7842" w:rsidRPr="00A34A40">
        <w:rPr>
          <w:b/>
          <w:bCs/>
          <w:lang w:eastAsia="de-DE"/>
        </w:rPr>
        <w:t xml:space="preserve">Volatile removal efficiency </w:t>
      </w:r>
    </w:p>
    <w:p w14:paraId="0A0B1A33" w14:textId="02826462" w:rsidR="000C7842" w:rsidRPr="00A34A40" w:rsidRDefault="00EE3393" w:rsidP="000C7842">
      <w:pPr>
        <w:pStyle w:val="SingleTxtG"/>
        <w:ind w:left="2268" w:hanging="1134"/>
        <w:rPr>
          <w:b/>
          <w:bCs/>
          <w:lang w:eastAsia="de-DE"/>
        </w:rPr>
      </w:pPr>
      <w:r w:rsidRPr="00A34A40">
        <w:rPr>
          <w:b/>
          <w:bCs/>
          <w:lang w:eastAsia="de-DE"/>
        </w:rPr>
        <w:t>A.2.</w:t>
      </w:r>
      <w:r w:rsidR="000C7842" w:rsidRPr="00A34A40">
        <w:rPr>
          <w:b/>
          <w:bCs/>
          <w:lang w:eastAsia="de-DE"/>
        </w:rPr>
        <w:t>2.5.4.1.</w:t>
      </w:r>
      <w:r w:rsidRPr="00A34A40">
        <w:rPr>
          <w:b/>
          <w:bCs/>
          <w:lang w:eastAsia="de-DE"/>
        </w:rPr>
        <w:tab/>
      </w:r>
      <w:r w:rsidR="000C7842" w:rsidRPr="00A34A40">
        <w:rPr>
          <w:b/>
          <w:bCs/>
          <w:lang w:eastAsia="de-DE"/>
        </w:rPr>
        <w:t>The PM number analyser system shall achieve &gt;</w:t>
      </w:r>
      <w:r w:rsidRPr="00A34A40">
        <w:rPr>
          <w:b/>
          <w:bCs/>
          <w:lang w:eastAsia="de-DE"/>
        </w:rPr>
        <w:t> </w:t>
      </w:r>
      <w:r w:rsidR="000C7842" w:rsidRPr="00A34A40">
        <w:rPr>
          <w:b/>
          <w:bCs/>
          <w:lang w:eastAsia="de-DE"/>
        </w:rPr>
        <w:t>99</w:t>
      </w:r>
      <w:r w:rsidRPr="00A34A40">
        <w:rPr>
          <w:b/>
          <w:bCs/>
          <w:lang w:eastAsia="de-DE"/>
        </w:rPr>
        <w:t xml:space="preserve"> per cent </w:t>
      </w:r>
      <w:r w:rsidR="000C7842" w:rsidRPr="00A34A40">
        <w:rPr>
          <w:b/>
          <w:bCs/>
          <w:lang w:eastAsia="de-DE"/>
        </w:rPr>
        <w:t>removal of ≥</w:t>
      </w:r>
      <w:r w:rsidR="00407BC5" w:rsidRPr="00A34A40">
        <w:rPr>
          <w:b/>
          <w:bCs/>
          <w:lang w:eastAsia="de-DE"/>
        </w:rPr>
        <w:t> </w:t>
      </w:r>
      <w:r w:rsidR="000C7842" w:rsidRPr="00A34A40">
        <w:rPr>
          <w:b/>
          <w:bCs/>
          <w:lang w:eastAsia="de-DE"/>
        </w:rPr>
        <w:t>30</w:t>
      </w:r>
      <w:r w:rsidR="00407BC5" w:rsidRPr="00A34A40">
        <w:rPr>
          <w:b/>
          <w:bCs/>
          <w:lang w:eastAsia="de-DE"/>
        </w:rPr>
        <w:t> </w:t>
      </w:r>
      <w:r w:rsidR="000C7842" w:rsidRPr="00A34A40">
        <w:rPr>
          <w:b/>
          <w:bCs/>
          <w:lang w:eastAsia="de-DE"/>
        </w:rPr>
        <w:t>nm tetracontane (CH</w:t>
      </w:r>
      <w:r w:rsidR="000C7842" w:rsidRPr="00A34A40">
        <w:rPr>
          <w:b/>
          <w:bCs/>
          <w:vertAlign w:val="subscript"/>
          <w:lang w:eastAsia="de-DE"/>
        </w:rPr>
        <w:t>3</w:t>
      </w:r>
      <w:r w:rsidR="000C7842" w:rsidRPr="00A34A40">
        <w:rPr>
          <w:b/>
          <w:bCs/>
          <w:lang w:eastAsia="de-DE"/>
        </w:rPr>
        <w:t>(CH</w:t>
      </w:r>
      <w:r w:rsidR="000C7842" w:rsidRPr="00A34A40">
        <w:rPr>
          <w:b/>
          <w:bCs/>
          <w:vertAlign w:val="subscript"/>
          <w:lang w:eastAsia="de-DE"/>
        </w:rPr>
        <w:t>2</w:t>
      </w:r>
      <w:r w:rsidR="000C7842" w:rsidRPr="00A34A40">
        <w:rPr>
          <w:b/>
          <w:bCs/>
          <w:lang w:eastAsia="de-DE"/>
        </w:rPr>
        <w:t>)</w:t>
      </w:r>
      <w:r w:rsidR="000C7842" w:rsidRPr="00A34A40">
        <w:rPr>
          <w:b/>
          <w:bCs/>
          <w:vertAlign w:val="subscript"/>
          <w:lang w:eastAsia="de-DE"/>
        </w:rPr>
        <w:t>38</w:t>
      </w:r>
      <w:r w:rsidR="000C7842" w:rsidRPr="00A34A40">
        <w:rPr>
          <w:b/>
          <w:bCs/>
          <w:lang w:eastAsia="de-DE"/>
        </w:rPr>
        <w:t>CH</w:t>
      </w:r>
      <w:r w:rsidR="000C7842" w:rsidRPr="00A34A40">
        <w:rPr>
          <w:b/>
          <w:bCs/>
          <w:vertAlign w:val="subscript"/>
          <w:lang w:eastAsia="de-DE"/>
        </w:rPr>
        <w:t>3</w:t>
      </w:r>
      <w:r w:rsidR="000C7842" w:rsidRPr="00A34A40">
        <w:rPr>
          <w:b/>
          <w:bCs/>
          <w:lang w:eastAsia="de-DE"/>
        </w:rPr>
        <w:t>) particles with an inlet concentration of ≥</w:t>
      </w:r>
      <w:r w:rsidR="00F02D06" w:rsidRPr="00A34A40">
        <w:rPr>
          <w:b/>
          <w:bCs/>
          <w:lang w:eastAsia="de-DE"/>
        </w:rPr>
        <w:t> </w:t>
      </w:r>
      <w:r w:rsidR="000C7842" w:rsidRPr="00A34A40">
        <w:rPr>
          <w:b/>
          <w:bCs/>
          <w:lang w:eastAsia="de-DE"/>
        </w:rPr>
        <w:t>10</w:t>
      </w:r>
      <w:r w:rsidR="00F02D06" w:rsidRPr="00A34A40">
        <w:rPr>
          <w:b/>
          <w:bCs/>
          <w:lang w:eastAsia="de-DE"/>
        </w:rPr>
        <w:t>,</w:t>
      </w:r>
      <w:r w:rsidR="000C7842" w:rsidRPr="00A34A40">
        <w:rPr>
          <w:b/>
          <w:bCs/>
          <w:lang w:eastAsia="de-DE"/>
        </w:rPr>
        <w:t xml:space="preserve">000 particles per cubic centimetre at the minimum dilution. </w:t>
      </w:r>
    </w:p>
    <w:p w14:paraId="5CAFAF26" w14:textId="4109AFA9" w:rsidR="000C7842" w:rsidRPr="00A34A40" w:rsidRDefault="000F4170" w:rsidP="000C7842">
      <w:pPr>
        <w:pStyle w:val="SingleTxtG"/>
        <w:ind w:left="2268" w:hanging="1134"/>
        <w:rPr>
          <w:b/>
          <w:bCs/>
          <w:lang w:eastAsia="de-DE"/>
        </w:rPr>
      </w:pPr>
      <w:r w:rsidRPr="00A34A40">
        <w:rPr>
          <w:b/>
          <w:bCs/>
          <w:lang w:eastAsia="de-DE"/>
        </w:rPr>
        <w:t>A.2.</w:t>
      </w:r>
      <w:r w:rsidR="000C7842" w:rsidRPr="00A34A40">
        <w:rPr>
          <w:b/>
          <w:bCs/>
          <w:lang w:eastAsia="de-DE"/>
        </w:rPr>
        <w:t>2.5.4.2.</w:t>
      </w:r>
      <w:r w:rsidRPr="00A34A40">
        <w:rPr>
          <w:b/>
          <w:bCs/>
          <w:lang w:eastAsia="de-DE"/>
        </w:rPr>
        <w:tab/>
      </w:r>
      <w:r w:rsidR="000C7842" w:rsidRPr="00A34A40">
        <w:rPr>
          <w:b/>
          <w:bCs/>
          <w:lang w:eastAsia="de-DE"/>
        </w:rPr>
        <w:t>Additionally, the PM number analyser system shall also achieve a &gt;</w:t>
      </w:r>
      <w:r w:rsidRPr="00A34A40">
        <w:rPr>
          <w:b/>
          <w:bCs/>
          <w:lang w:eastAsia="de-DE"/>
        </w:rPr>
        <w:t> </w:t>
      </w:r>
      <w:r w:rsidR="000C7842" w:rsidRPr="00A34A40">
        <w:rPr>
          <w:b/>
          <w:bCs/>
          <w:lang w:eastAsia="de-DE"/>
        </w:rPr>
        <w:t>99</w:t>
      </w:r>
      <w:r w:rsidR="0075676D" w:rsidRPr="00A34A40">
        <w:rPr>
          <w:b/>
          <w:bCs/>
          <w:lang w:eastAsia="de-DE"/>
        </w:rPr>
        <w:t> per cent</w:t>
      </w:r>
      <w:r w:rsidR="000C7842" w:rsidRPr="00A34A40">
        <w:rPr>
          <w:b/>
          <w:bCs/>
          <w:lang w:eastAsia="de-DE"/>
        </w:rPr>
        <w:t xml:space="preserve"> removal efficiency of polydisperse </w:t>
      </w:r>
      <w:proofErr w:type="spellStart"/>
      <w:r w:rsidR="000C7842" w:rsidRPr="00A34A40">
        <w:rPr>
          <w:b/>
          <w:bCs/>
          <w:lang w:eastAsia="de-DE"/>
        </w:rPr>
        <w:t>alcane</w:t>
      </w:r>
      <w:proofErr w:type="spellEnd"/>
      <w:r w:rsidR="000C7842" w:rsidRPr="00A34A40">
        <w:rPr>
          <w:b/>
          <w:bCs/>
          <w:lang w:eastAsia="de-DE"/>
        </w:rPr>
        <w:t xml:space="preserve"> (</w:t>
      </w:r>
      <w:proofErr w:type="spellStart"/>
      <w:r w:rsidR="000C7842" w:rsidRPr="00A34A40">
        <w:rPr>
          <w:b/>
          <w:bCs/>
          <w:lang w:eastAsia="de-DE"/>
        </w:rPr>
        <w:t>decane</w:t>
      </w:r>
      <w:proofErr w:type="spellEnd"/>
      <w:r w:rsidR="000C7842" w:rsidRPr="00A34A40">
        <w:rPr>
          <w:b/>
          <w:bCs/>
          <w:lang w:eastAsia="de-DE"/>
        </w:rPr>
        <w:t xml:space="preserve"> or higher) or emery oil with count median diameter &gt;</w:t>
      </w:r>
      <w:r w:rsidR="0075676D" w:rsidRPr="00A34A40">
        <w:rPr>
          <w:b/>
          <w:bCs/>
          <w:lang w:eastAsia="de-DE"/>
        </w:rPr>
        <w:t> </w:t>
      </w:r>
      <w:r w:rsidR="000C7842" w:rsidRPr="00A34A40">
        <w:rPr>
          <w:b/>
          <w:bCs/>
          <w:lang w:eastAsia="de-DE"/>
        </w:rPr>
        <w:t>50</w:t>
      </w:r>
      <w:r w:rsidR="0075676D" w:rsidRPr="00A34A40">
        <w:rPr>
          <w:b/>
          <w:bCs/>
          <w:lang w:eastAsia="de-DE"/>
        </w:rPr>
        <w:t> </w:t>
      </w:r>
      <w:r w:rsidR="000C7842" w:rsidRPr="00A34A40">
        <w:rPr>
          <w:b/>
          <w:bCs/>
          <w:lang w:eastAsia="de-DE"/>
        </w:rPr>
        <w:t>nm and an inlet concentration of ≥</w:t>
      </w:r>
      <w:r w:rsidR="0075676D" w:rsidRPr="00A34A40">
        <w:rPr>
          <w:b/>
          <w:bCs/>
          <w:lang w:eastAsia="de-DE"/>
        </w:rPr>
        <w:t> </w:t>
      </w:r>
      <w:r w:rsidR="000C7842" w:rsidRPr="00A34A40">
        <w:rPr>
          <w:b/>
          <w:bCs/>
          <w:lang w:eastAsia="de-DE"/>
        </w:rPr>
        <w:t>5</w:t>
      </w:r>
      <w:r w:rsidR="0075676D" w:rsidRPr="00A34A40">
        <w:rPr>
          <w:b/>
          <w:bCs/>
          <w:lang w:eastAsia="de-DE"/>
        </w:rPr>
        <w:t> </w:t>
      </w:r>
      <w:r w:rsidR="000C7842" w:rsidRPr="00A34A40">
        <w:rPr>
          <w:b/>
          <w:bCs/>
          <w:lang w:eastAsia="de-DE"/>
        </w:rPr>
        <w:t>×</w:t>
      </w:r>
      <w:r w:rsidR="0075676D" w:rsidRPr="00A34A40">
        <w:rPr>
          <w:b/>
          <w:bCs/>
          <w:lang w:eastAsia="de-DE"/>
        </w:rPr>
        <w:t> </w:t>
      </w:r>
      <w:r w:rsidR="000C7842" w:rsidRPr="00A34A40">
        <w:rPr>
          <w:b/>
          <w:bCs/>
          <w:lang w:eastAsia="de-DE"/>
        </w:rPr>
        <w:t>10</w:t>
      </w:r>
      <w:r w:rsidR="000C7842" w:rsidRPr="00A34A40">
        <w:rPr>
          <w:b/>
          <w:bCs/>
          <w:vertAlign w:val="superscript"/>
          <w:lang w:eastAsia="de-DE"/>
        </w:rPr>
        <w:t>6</w:t>
      </w:r>
      <w:r w:rsidR="000C7842" w:rsidRPr="00A34A40">
        <w:rPr>
          <w:b/>
          <w:bCs/>
          <w:lang w:eastAsia="de-DE"/>
        </w:rPr>
        <w:t xml:space="preserve"> particles per cubic centimetre at the minimum dilution (equivalent mass &gt;</w:t>
      </w:r>
      <w:r w:rsidR="00495031" w:rsidRPr="00A34A40">
        <w:rPr>
          <w:b/>
          <w:bCs/>
          <w:lang w:eastAsia="de-DE"/>
        </w:rPr>
        <w:t> </w:t>
      </w:r>
      <w:r w:rsidR="000C7842" w:rsidRPr="00A34A40">
        <w:rPr>
          <w:b/>
          <w:bCs/>
          <w:lang w:eastAsia="de-DE"/>
        </w:rPr>
        <w:t>1</w:t>
      </w:r>
      <w:r w:rsidR="00495031" w:rsidRPr="00A34A40">
        <w:rPr>
          <w:b/>
          <w:bCs/>
          <w:lang w:eastAsia="de-DE"/>
        </w:rPr>
        <w:t> </w:t>
      </w:r>
      <w:r w:rsidR="000C7842" w:rsidRPr="00A34A40">
        <w:rPr>
          <w:b/>
          <w:bCs/>
          <w:lang w:eastAsia="de-DE"/>
        </w:rPr>
        <w:t>mg/m</w:t>
      </w:r>
      <w:r w:rsidR="000C7842" w:rsidRPr="00A34A40">
        <w:rPr>
          <w:b/>
          <w:bCs/>
          <w:vertAlign w:val="superscript"/>
          <w:lang w:eastAsia="de-DE"/>
        </w:rPr>
        <w:t>3</w:t>
      </w:r>
      <w:r w:rsidR="000C7842" w:rsidRPr="00A34A40">
        <w:rPr>
          <w:b/>
          <w:bCs/>
          <w:lang w:eastAsia="de-DE"/>
        </w:rPr>
        <w:t xml:space="preserve">). </w:t>
      </w:r>
    </w:p>
    <w:p w14:paraId="67AA67DD" w14:textId="6B22FB96" w:rsidR="000C7842" w:rsidRPr="002C7499" w:rsidRDefault="00495031" w:rsidP="000C7842">
      <w:pPr>
        <w:pStyle w:val="SingleTxtG"/>
        <w:ind w:left="2268" w:hanging="1134"/>
        <w:rPr>
          <w:lang w:eastAsia="de-DE"/>
        </w:rPr>
      </w:pPr>
      <w:r w:rsidRPr="00A34A40">
        <w:rPr>
          <w:b/>
          <w:bCs/>
          <w:lang w:eastAsia="de-DE"/>
        </w:rPr>
        <w:t>A.2.</w:t>
      </w:r>
      <w:r w:rsidR="000C7842" w:rsidRPr="00A34A40">
        <w:rPr>
          <w:b/>
          <w:bCs/>
          <w:lang w:eastAsia="de-DE"/>
        </w:rPr>
        <w:t>2.5.4.3.</w:t>
      </w:r>
      <w:r w:rsidRPr="00A34A40">
        <w:rPr>
          <w:b/>
          <w:bCs/>
          <w:lang w:eastAsia="de-DE"/>
        </w:rPr>
        <w:tab/>
      </w:r>
      <w:r w:rsidR="000C7842" w:rsidRPr="00A34A40">
        <w:rPr>
          <w:b/>
          <w:bCs/>
          <w:lang w:eastAsia="de-DE"/>
        </w:rPr>
        <w:t xml:space="preserve">The volatile removal efficiency with tetracontane and/or polydisperse </w:t>
      </w:r>
      <w:proofErr w:type="spellStart"/>
      <w:r w:rsidR="000C7842" w:rsidRPr="00A34A40">
        <w:rPr>
          <w:b/>
          <w:bCs/>
          <w:lang w:eastAsia="de-DE"/>
        </w:rPr>
        <w:t>alcane</w:t>
      </w:r>
      <w:proofErr w:type="spellEnd"/>
      <w:r w:rsidR="000C7842" w:rsidRPr="00A34A40">
        <w:rPr>
          <w:b/>
          <w:bCs/>
          <w:lang w:eastAsia="de-DE"/>
        </w:rPr>
        <w:t xml:space="preserve"> or oil need to be proven only once for the PEMS family. A PEMS family is considered to be a group of instruments with the same analysers, sample and thermal conditioning and software compensation algorithms. The instrument manufacturer shall provide the maintenance or replacement interval that ensures that the removal efficiency does not drop below the technical requirements. If such information is not provided by the instrument manufacturer, the volatile removal efficiency shall be checked yearly for each instrument.</w:t>
      </w:r>
      <w:r w:rsidR="004B0D3C" w:rsidRPr="002C7499">
        <w:rPr>
          <w:lang w:eastAsia="de-DE"/>
        </w:rPr>
        <w:t>"</w:t>
      </w:r>
    </w:p>
    <w:p w14:paraId="7623D8C0" w14:textId="3971C0E6" w:rsidR="002323F0" w:rsidRPr="002C7499" w:rsidRDefault="002323F0" w:rsidP="002323F0">
      <w:pPr>
        <w:pStyle w:val="SingleTxtG"/>
        <w:ind w:left="2268" w:hanging="1134"/>
        <w:rPr>
          <w:i/>
          <w:iCs/>
          <w:lang w:eastAsia="de-DE"/>
        </w:rPr>
      </w:pPr>
      <w:r w:rsidRPr="002C7499">
        <w:rPr>
          <w:i/>
          <w:iCs/>
          <w:lang w:eastAsia="de-DE"/>
        </w:rPr>
        <w:t>Annex 8, Appendix 3</w:t>
      </w:r>
    </w:p>
    <w:p w14:paraId="583F3436" w14:textId="7C346223" w:rsidR="002323F0" w:rsidRPr="002C7499" w:rsidRDefault="002323F0" w:rsidP="002323F0">
      <w:pPr>
        <w:pStyle w:val="SingleTxtG"/>
        <w:ind w:left="2268" w:hanging="1134"/>
        <w:rPr>
          <w:lang w:eastAsia="de-DE"/>
        </w:rPr>
      </w:pPr>
      <w:r w:rsidRPr="002C7499">
        <w:rPr>
          <w:i/>
          <w:iCs/>
          <w:lang w:eastAsia="de-DE"/>
        </w:rPr>
        <w:t xml:space="preserve">Add </w:t>
      </w:r>
      <w:r w:rsidR="00A5174F">
        <w:rPr>
          <w:i/>
          <w:iCs/>
          <w:lang w:eastAsia="de-DE"/>
        </w:rPr>
        <w:t xml:space="preserve">a </w:t>
      </w:r>
      <w:r w:rsidRPr="002C7499">
        <w:rPr>
          <w:i/>
          <w:iCs/>
          <w:lang w:eastAsia="de-DE"/>
        </w:rPr>
        <w:t xml:space="preserve">new </w:t>
      </w:r>
      <w:r w:rsidR="00354BE7" w:rsidRPr="002C7499">
        <w:rPr>
          <w:i/>
          <w:iCs/>
          <w:lang w:eastAsia="de-DE"/>
        </w:rPr>
        <w:t>p</w:t>
      </w:r>
      <w:r w:rsidRPr="002C7499">
        <w:rPr>
          <w:i/>
          <w:iCs/>
          <w:lang w:eastAsia="de-DE"/>
        </w:rPr>
        <w:t>aragraph A.</w:t>
      </w:r>
      <w:r w:rsidR="00354BE7" w:rsidRPr="002C7499">
        <w:rPr>
          <w:i/>
          <w:iCs/>
          <w:lang w:eastAsia="de-DE"/>
        </w:rPr>
        <w:t>3</w:t>
      </w:r>
      <w:r w:rsidRPr="002C7499">
        <w:rPr>
          <w:i/>
          <w:iCs/>
          <w:lang w:eastAsia="de-DE"/>
        </w:rPr>
        <w:t>.1.</w:t>
      </w:r>
      <w:r w:rsidR="00354BE7" w:rsidRPr="002C7499">
        <w:rPr>
          <w:i/>
          <w:iCs/>
          <w:lang w:eastAsia="de-DE"/>
        </w:rPr>
        <w:t>4.</w:t>
      </w:r>
      <w:r w:rsidRPr="002C7499">
        <w:rPr>
          <w:lang w:eastAsia="de-DE"/>
        </w:rPr>
        <w:t xml:space="preserve"> to read:</w:t>
      </w:r>
    </w:p>
    <w:p w14:paraId="7994D8BC" w14:textId="2C17B096" w:rsidR="00347AC5" w:rsidRPr="00A34A40" w:rsidRDefault="002323F0" w:rsidP="00347AC5">
      <w:pPr>
        <w:pStyle w:val="SingleTxtG"/>
        <w:ind w:left="2268" w:hanging="1134"/>
        <w:rPr>
          <w:b/>
          <w:bCs/>
          <w:lang w:val="fi-FI" w:eastAsia="de-DE"/>
        </w:rPr>
      </w:pPr>
      <w:r w:rsidRPr="002C7499">
        <w:rPr>
          <w:lang w:eastAsia="de-DE"/>
        </w:rPr>
        <w:t>"</w:t>
      </w:r>
      <w:r w:rsidR="00223AC7" w:rsidRPr="00A34A40">
        <w:rPr>
          <w:b/>
          <w:bCs/>
          <w:lang w:eastAsia="de-DE"/>
        </w:rPr>
        <w:t>A.3.1.4.</w:t>
      </w:r>
      <w:r w:rsidR="00223AC7" w:rsidRPr="00A34A40">
        <w:rPr>
          <w:b/>
          <w:bCs/>
          <w:lang w:eastAsia="de-DE"/>
        </w:rPr>
        <w:tab/>
      </w:r>
      <w:r w:rsidR="00347AC5" w:rsidRPr="00A34A40">
        <w:rPr>
          <w:b/>
          <w:bCs/>
          <w:lang w:val="fi-FI" w:eastAsia="de-DE"/>
        </w:rPr>
        <w:t xml:space="preserve">PM number analyser calibration and verification </w:t>
      </w:r>
    </w:p>
    <w:p w14:paraId="5E4B9523" w14:textId="2B6D1711" w:rsidR="00347AC5" w:rsidRPr="00A34A40" w:rsidRDefault="00347AC5" w:rsidP="00347AC5">
      <w:pPr>
        <w:pStyle w:val="SingleTxtG"/>
        <w:ind w:left="2268" w:hanging="1134"/>
        <w:rPr>
          <w:b/>
          <w:bCs/>
          <w:lang w:val="fi-FI" w:eastAsia="de-DE"/>
        </w:rPr>
      </w:pPr>
      <w:r w:rsidRPr="00A34A40">
        <w:rPr>
          <w:b/>
          <w:bCs/>
          <w:lang w:val="fi-FI" w:eastAsia="de-DE"/>
        </w:rPr>
        <w:t>A.3.1.4.1.</w:t>
      </w:r>
      <w:r w:rsidRPr="00A34A40">
        <w:rPr>
          <w:b/>
          <w:bCs/>
          <w:lang w:val="fi-FI" w:eastAsia="de-DE"/>
        </w:rPr>
        <w:tab/>
        <w:t>The PEMS leakage test shall be conducted either in accordance with the requirements set out in paragraph 9.3.4</w:t>
      </w:r>
      <w:r w:rsidR="009E132A" w:rsidRPr="00A34A40">
        <w:rPr>
          <w:b/>
          <w:bCs/>
          <w:lang w:val="fi-FI" w:eastAsia="de-DE"/>
        </w:rPr>
        <w:t>.</w:t>
      </w:r>
      <w:r w:rsidRPr="00A34A40">
        <w:rPr>
          <w:b/>
          <w:bCs/>
          <w:lang w:val="fi-FI" w:eastAsia="de-DE"/>
        </w:rPr>
        <w:t xml:space="preserve"> of Annex 4 or in accordance with the instrument manufacturer’s instructions. </w:t>
      </w:r>
    </w:p>
    <w:p w14:paraId="14A54ED6" w14:textId="1EC3965B" w:rsidR="00347AC5" w:rsidRPr="00A34A40" w:rsidRDefault="00347AC5" w:rsidP="00347AC5">
      <w:pPr>
        <w:pStyle w:val="SingleTxtG"/>
        <w:ind w:left="2268" w:hanging="1134"/>
        <w:rPr>
          <w:b/>
          <w:bCs/>
          <w:lang w:val="fi-FI" w:eastAsia="de-DE"/>
        </w:rPr>
      </w:pPr>
      <w:r w:rsidRPr="00A34A40">
        <w:rPr>
          <w:b/>
          <w:bCs/>
          <w:lang w:val="fi-FI" w:eastAsia="de-DE"/>
        </w:rPr>
        <w:t>A.3.1.4.2.</w:t>
      </w:r>
      <w:r w:rsidRPr="00A34A40">
        <w:rPr>
          <w:b/>
          <w:bCs/>
          <w:lang w:val="fi-FI" w:eastAsia="de-DE"/>
        </w:rPr>
        <w:tab/>
        <w:t>The response time check of the PM number analyser shall be conducted in accordance with the requirements set out in paragraph 9.3.5</w:t>
      </w:r>
      <w:r w:rsidR="009E132A" w:rsidRPr="00A34A40">
        <w:rPr>
          <w:b/>
          <w:bCs/>
          <w:lang w:val="fi-FI" w:eastAsia="de-DE"/>
        </w:rPr>
        <w:t>.</w:t>
      </w:r>
      <w:r w:rsidRPr="00A34A40">
        <w:rPr>
          <w:b/>
          <w:bCs/>
          <w:lang w:val="fi-FI" w:eastAsia="de-DE"/>
        </w:rPr>
        <w:t xml:space="preserve"> of Annex 4 using particles if gases cannot be used. </w:t>
      </w:r>
    </w:p>
    <w:p w14:paraId="060E1C83" w14:textId="250B5BEA" w:rsidR="003B6825" w:rsidRDefault="00347AC5" w:rsidP="00347AC5">
      <w:pPr>
        <w:pStyle w:val="SingleTxtG"/>
        <w:ind w:left="2268" w:hanging="1134"/>
        <w:rPr>
          <w:lang w:eastAsia="de-DE"/>
        </w:rPr>
      </w:pPr>
      <w:r w:rsidRPr="00A34A40">
        <w:rPr>
          <w:b/>
          <w:bCs/>
          <w:lang w:val="fi-FI" w:eastAsia="de-DE"/>
        </w:rPr>
        <w:t>A.3.1.4.3.</w:t>
      </w:r>
      <w:r w:rsidRPr="00A34A40">
        <w:rPr>
          <w:b/>
          <w:bCs/>
          <w:lang w:val="fi-FI" w:eastAsia="de-DE"/>
        </w:rPr>
        <w:tab/>
        <w:t>The transformation time of the PM number analyser system and its sampling line, shall be determined in accordance with paragraph A.8.1.3.7. of Appendix 8 to Annex 4. “Transformation time” means the time difference between a change of concentration at the reference point and a system response of 50 per</w:t>
      </w:r>
      <w:r w:rsidR="00012711" w:rsidRPr="00A34A40">
        <w:rPr>
          <w:b/>
          <w:bCs/>
          <w:lang w:val="fi-FI" w:eastAsia="de-DE"/>
        </w:rPr>
        <w:t> cent</w:t>
      </w:r>
      <w:r w:rsidRPr="00A34A40">
        <w:rPr>
          <w:b/>
          <w:bCs/>
          <w:lang w:val="fi-FI" w:eastAsia="de-DE"/>
        </w:rPr>
        <w:t xml:space="preserve"> of the final reading.</w:t>
      </w:r>
      <w:r w:rsidR="00223AC7">
        <w:rPr>
          <w:lang w:eastAsia="de-DE"/>
        </w:rPr>
        <w:t xml:space="preserve"> </w:t>
      </w:r>
    </w:p>
    <w:p w14:paraId="5671209D" w14:textId="6D839EEF" w:rsidR="00175DC0" w:rsidRDefault="006C7E97" w:rsidP="00EC3AD4">
      <w:pPr>
        <w:pStyle w:val="SingleTxtG"/>
        <w:ind w:left="2268" w:hanging="1134"/>
        <w:rPr>
          <w:i/>
          <w:iCs/>
          <w:lang w:eastAsia="de-DE"/>
        </w:rPr>
      </w:pPr>
      <w:r w:rsidRPr="00004B4A">
        <w:rPr>
          <w:i/>
          <w:iCs/>
          <w:lang w:eastAsia="de-DE"/>
        </w:rPr>
        <w:t xml:space="preserve">Annex </w:t>
      </w:r>
      <w:r w:rsidR="000F4265">
        <w:rPr>
          <w:i/>
          <w:iCs/>
          <w:lang w:eastAsia="de-DE"/>
        </w:rPr>
        <w:t>9A</w:t>
      </w:r>
    </w:p>
    <w:p w14:paraId="6D752CD5" w14:textId="121A2EC8" w:rsidR="00185B89" w:rsidRPr="000975FA" w:rsidRDefault="00185B89" w:rsidP="00EC3AD4">
      <w:pPr>
        <w:pStyle w:val="SingleTxtG"/>
        <w:ind w:left="2268" w:hanging="1134"/>
        <w:rPr>
          <w:i/>
          <w:iCs/>
          <w:lang w:eastAsia="de-DE"/>
        </w:rPr>
      </w:pPr>
      <w:r w:rsidRPr="000975FA">
        <w:rPr>
          <w:i/>
          <w:iCs/>
          <w:lang w:eastAsia="de-DE"/>
        </w:rPr>
        <w:t xml:space="preserve">Paragraph 2.4.1., </w:t>
      </w:r>
      <w:r w:rsidRPr="000975FA">
        <w:rPr>
          <w:lang w:eastAsia="de-DE"/>
        </w:rPr>
        <w:t>amend to read</w:t>
      </w:r>
      <w:r w:rsidR="001535E6" w:rsidRPr="000975FA">
        <w:rPr>
          <w:lang w:eastAsia="de-DE"/>
        </w:rPr>
        <w:t>:</w:t>
      </w:r>
    </w:p>
    <w:p w14:paraId="7A32448E" w14:textId="47D75083" w:rsidR="001535E6" w:rsidRDefault="001535E6" w:rsidP="00EC3AD4">
      <w:pPr>
        <w:pStyle w:val="SingleTxtG"/>
        <w:ind w:left="2268" w:hanging="1134"/>
        <w:rPr>
          <w:lang w:eastAsia="de-DE"/>
        </w:rPr>
      </w:pPr>
      <w:r w:rsidRPr="000975FA">
        <w:rPr>
          <w:lang w:eastAsia="de-DE"/>
        </w:rPr>
        <w:lastRenderedPageBreak/>
        <w:t>"2.4.1.</w:t>
      </w:r>
      <w:r w:rsidRPr="000975FA">
        <w:rPr>
          <w:lang w:eastAsia="de-DE"/>
        </w:rPr>
        <w:tab/>
        <w:t>If requested by the manufacturer, for vehicles of categories M</w:t>
      </w:r>
      <w:r w:rsidRPr="000975FA">
        <w:rPr>
          <w:vertAlign w:val="subscript"/>
          <w:lang w:eastAsia="de-DE"/>
        </w:rPr>
        <w:t>2</w:t>
      </w:r>
      <w:r w:rsidRPr="000975FA">
        <w:rPr>
          <w:lang w:eastAsia="de-DE"/>
        </w:rPr>
        <w:t xml:space="preserve"> and N</w:t>
      </w:r>
      <w:r w:rsidRPr="000975FA">
        <w:rPr>
          <w:vertAlign w:val="subscript"/>
          <w:lang w:eastAsia="de-DE"/>
        </w:rPr>
        <w:t>1</w:t>
      </w:r>
      <w:r w:rsidRPr="000975FA">
        <w:rPr>
          <w:lang w:eastAsia="de-DE"/>
        </w:rPr>
        <w:t>, for vehicles of categories M</w:t>
      </w:r>
      <w:r w:rsidRPr="000975FA">
        <w:rPr>
          <w:vertAlign w:val="subscript"/>
          <w:lang w:eastAsia="de-DE"/>
        </w:rPr>
        <w:t>1</w:t>
      </w:r>
      <w:r w:rsidRPr="000975FA">
        <w:rPr>
          <w:lang w:eastAsia="de-DE"/>
        </w:rPr>
        <w:t xml:space="preserve"> and N</w:t>
      </w:r>
      <w:r w:rsidRPr="000975FA">
        <w:rPr>
          <w:vertAlign w:val="subscript"/>
          <w:lang w:eastAsia="de-DE"/>
        </w:rPr>
        <w:t>2</w:t>
      </w:r>
      <w:r w:rsidRPr="000975FA">
        <w:rPr>
          <w:lang w:eastAsia="de-DE"/>
        </w:rPr>
        <w:t xml:space="preserve"> with a technically permissible maximum laden mass not exceeding 7.5 tonnes, and for vehicles of category M</w:t>
      </w:r>
      <w:r w:rsidRPr="000975FA">
        <w:rPr>
          <w:vertAlign w:val="subscript"/>
          <w:lang w:eastAsia="de-DE"/>
        </w:rPr>
        <w:t>3</w:t>
      </w:r>
      <w:r w:rsidRPr="000975FA">
        <w:rPr>
          <w:lang w:eastAsia="de-DE"/>
        </w:rPr>
        <w:t xml:space="preserve"> Class I, Class II and Classes A and B</w:t>
      </w:r>
      <w:r w:rsidRPr="000975FA">
        <w:rPr>
          <w:vertAlign w:val="superscript"/>
          <w:lang w:eastAsia="de-DE"/>
        </w:rPr>
        <w:footnoteReference w:id="4"/>
      </w:r>
      <w:r w:rsidRPr="000975FA">
        <w:rPr>
          <w:lang w:eastAsia="de-DE"/>
        </w:rPr>
        <w:t xml:space="preserve"> with a permissible mass not exceeding 7.5 tonnes, compliance with the requirements of Annex 11 to the 07 series of amendments to </w:t>
      </w:r>
      <w:r w:rsidR="00016836">
        <w:rPr>
          <w:lang w:eastAsia="de-DE"/>
        </w:rPr>
        <w:t xml:space="preserve">UN </w:t>
      </w:r>
      <w:r w:rsidRPr="000975FA">
        <w:rPr>
          <w:lang w:eastAsia="de-DE"/>
        </w:rPr>
        <w:t xml:space="preserve">Regulation No. 83 </w:t>
      </w:r>
      <w:r w:rsidRPr="00053332">
        <w:rPr>
          <w:b/>
          <w:bCs/>
          <w:lang w:eastAsia="de-DE"/>
        </w:rPr>
        <w:t xml:space="preserve">or compliance with the requirements of Annex C5 of </w:t>
      </w:r>
      <w:r w:rsidR="00144CC5" w:rsidRPr="00053332">
        <w:rPr>
          <w:b/>
          <w:bCs/>
          <w:lang w:eastAsia="de-DE"/>
        </w:rPr>
        <w:t xml:space="preserve">UN </w:t>
      </w:r>
      <w:r w:rsidRPr="00053332">
        <w:rPr>
          <w:b/>
          <w:bCs/>
          <w:lang w:eastAsia="de-DE"/>
        </w:rPr>
        <w:t xml:space="preserve">Regulation No. </w:t>
      </w:r>
      <w:r w:rsidR="00226924" w:rsidRPr="00053332">
        <w:rPr>
          <w:b/>
          <w:bCs/>
          <w:lang w:eastAsia="de-DE"/>
        </w:rPr>
        <w:t>[154]</w:t>
      </w:r>
      <w:r w:rsidRPr="000975FA">
        <w:rPr>
          <w:lang w:eastAsia="de-DE"/>
        </w:rPr>
        <w:t xml:space="preserve"> shall be considered equivalent to the compliance with this annex, according to the following equivalences."</w:t>
      </w:r>
    </w:p>
    <w:p w14:paraId="5BBC7CF9" w14:textId="4F0D9F58" w:rsidR="009A066F" w:rsidRPr="002A0338" w:rsidRDefault="009A066F" w:rsidP="009A066F">
      <w:pPr>
        <w:pStyle w:val="SingleTxtG"/>
        <w:ind w:left="2268" w:hanging="1134"/>
        <w:rPr>
          <w:lang w:eastAsia="de-DE"/>
        </w:rPr>
      </w:pPr>
      <w:r>
        <w:rPr>
          <w:i/>
          <w:iCs/>
          <w:lang w:eastAsia="de-DE"/>
        </w:rPr>
        <w:t xml:space="preserve">Add </w:t>
      </w:r>
      <w:r w:rsidR="008542CB">
        <w:rPr>
          <w:i/>
          <w:iCs/>
          <w:lang w:eastAsia="de-DE"/>
        </w:rPr>
        <w:t xml:space="preserve">a </w:t>
      </w:r>
      <w:r w:rsidRPr="002A0338">
        <w:rPr>
          <w:i/>
          <w:iCs/>
          <w:lang w:eastAsia="de-DE"/>
        </w:rPr>
        <w:t>new paragraph 2.4.1.4.</w:t>
      </w:r>
      <w:r w:rsidRPr="002A0338">
        <w:rPr>
          <w:lang w:eastAsia="de-DE"/>
        </w:rPr>
        <w:t>, to read:</w:t>
      </w:r>
    </w:p>
    <w:p w14:paraId="69133AA4" w14:textId="5FC541F9" w:rsidR="009A066F" w:rsidRDefault="009A066F" w:rsidP="009A066F">
      <w:pPr>
        <w:pStyle w:val="SingleTxtG"/>
        <w:ind w:left="2268" w:hanging="1134"/>
        <w:rPr>
          <w:lang w:eastAsia="de-DE"/>
        </w:rPr>
      </w:pPr>
      <w:r w:rsidRPr="002A0338">
        <w:rPr>
          <w:lang w:eastAsia="de-DE"/>
        </w:rPr>
        <w:t>"</w:t>
      </w:r>
      <w:r w:rsidRPr="00053332">
        <w:rPr>
          <w:b/>
          <w:bCs/>
          <w:lang w:eastAsia="de-DE"/>
        </w:rPr>
        <w:t>2.4.1.4.</w:t>
      </w:r>
      <w:r w:rsidRPr="00053332">
        <w:rPr>
          <w:b/>
          <w:bCs/>
          <w:lang w:eastAsia="de-DE"/>
        </w:rPr>
        <w:tab/>
        <w:t xml:space="preserve">The OBD standard "Final OBD threshold limits" in Table 4A of UN Regulation No. </w:t>
      </w:r>
      <w:r w:rsidR="00226924" w:rsidRPr="00053332">
        <w:rPr>
          <w:b/>
          <w:bCs/>
          <w:lang w:eastAsia="de-DE"/>
        </w:rPr>
        <w:t>[154]</w:t>
      </w:r>
      <w:r w:rsidRPr="00053332">
        <w:rPr>
          <w:b/>
          <w:bCs/>
          <w:lang w:eastAsia="de-DE"/>
        </w:rPr>
        <w:t xml:space="preserve"> shall be considered as equivalent to the character E of the Table 1 of Annex 3 to this Regulation.</w:t>
      </w:r>
      <w:r w:rsidRPr="001535E6">
        <w:rPr>
          <w:lang w:eastAsia="de-DE"/>
        </w:rPr>
        <w:t>"</w:t>
      </w:r>
    </w:p>
    <w:p w14:paraId="5492EC0C" w14:textId="7CC83710" w:rsidR="001E6170" w:rsidRDefault="005D64A0" w:rsidP="00796C29">
      <w:pPr>
        <w:pStyle w:val="SingleTxtG"/>
        <w:keepNext/>
        <w:rPr>
          <w:i/>
          <w:iCs/>
          <w:lang w:eastAsia="de-DE"/>
        </w:rPr>
      </w:pPr>
      <w:r w:rsidRPr="002A0338">
        <w:rPr>
          <w:i/>
          <w:iCs/>
          <w:lang w:eastAsia="de-DE"/>
        </w:rPr>
        <w:t>Insert a new paragraph 2.</w:t>
      </w:r>
      <w:r w:rsidR="001825D6" w:rsidRPr="002A0338">
        <w:rPr>
          <w:i/>
          <w:iCs/>
          <w:lang w:eastAsia="de-DE"/>
        </w:rPr>
        <w:t>4.1.</w:t>
      </w:r>
      <w:r w:rsidRPr="002A0338">
        <w:rPr>
          <w:i/>
          <w:iCs/>
          <w:lang w:eastAsia="de-DE"/>
        </w:rPr>
        <w:t>5. and r</w:t>
      </w:r>
      <w:r w:rsidR="001E6170" w:rsidRPr="002A0338">
        <w:rPr>
          <w:i/>
          <w:iCs/>
          <w:lang w:eastAsia="de-DE"/>
        </w:rPr>
        <w:t xml:space="preserve">enumber </w:t>
      </w:r>
      <w:r w:rsidR="001941B9">
        <w:rPr>
          <w:i/>
          <w:iCs/>
          <w:lang w:eastAsia="de-DE"/>
        </w:rPr>
        <w:t xml:space="preserve">and amend </w:t>
      </w:r>
      <w:r w:rsidR="00E447AE" w:rsidRPr="002A0338">
        <w:rPr>
          <w:i/>
          <w:iCs/>
          <w:lang w:eastAsia="de-DE"/>
        </w:rPr>
        <w:t>paragraphs 2</w:t>
      </w:r>
      <w:r w:rsidR="00E447AE">
        <w:rPr>
          <w:i/>
          <w:iCs/>
          <w:lang w:eastAsia="de-DE"/>
        </w:rPr>
        <w:t>.4.1.3.1. to 2.4.1.3.2.2.</w:t>
      </w:r>
      <w:r w:rsidR="002A0338">
        <w:rPr>
          <w:i/>
          <w:iCs/>
          <w:lang w:eastAsia="de-DE"/>
        </w:rPr>
        <w:t>,</w:t>
      </w:r>
      <w:r w:rsidR="00E447AE" w:rsidRPr="002A0338">
        <w:rPr>
          <w:lang w:eastAsia="de-DE"/>
        </w:rPr>
        <w:t xml:space="preserve"> to read:</w:t>
      </w:r>
    </w:p>
    <w:p w14:paraId="76E7BB3E" w14:textId="4A8AB6DD" w:rsidR="00692609" w:rsidRDefault="00AC4790" w:rsidP="00E447AE">
      <w:pPr>
        <w:pStyle w:val="SingleTxtG"/>
        <w:rPr>
          <w:lang w:eastAsia="de-DE"/>
        </w:rPr>
      </w:pPr>
      <w:r>
        <w:rPr>
          <w:lang w:eastAsia="de-DE"/>
        </w:rPr>
        <w:t>2.4.</w:t>
      </w:r>
      <w:r w:rsidR="00692609">
        <w:rPr>
          <w:lang w:eastAsia="de-DE"/>
        </w:rPr>
        <w:t>1.5.</w:t>
      </w:r>
      <w:r w:rsidR="00692609">
        <w:rPr>
          <w:lang w:eastAsia="de-DE"/>
        </w:rPr>
        <w:tab/>
      </w:r>
      <w:r w:rsidR="00F0586C">
        <w:rPr>
          <w:lang w:eastAsia="de-DE"/>
        </w:rPr>
        <w:t>Special r</w:t>
      </w:r>
      <w:r w:rsidR="000A0AE1">
        <w:rPr>
          <w:lang w:eastAsia="de-DE"/>
        </w:rPr>
        <w:t>equire</w:t>
      </w:r>
      <w:r w:rsidR="00F0586C">
        <w:rPr>
          <w:lang w:eastAsia="de-DE"/>
        </w:rPr>
        <w:t>ments for alternative approvals</w:t>
      </w:r>
    </w:p>
    <w:p w14:paraId="43FBB693" w14:textId="6806918D" w:rsidR="00E447AE" w:rsidRPr="00E447AE" w:rsidRDefault="00E447AE" w:rsidP="005614F1">
      <w:pPr>
        <w:pStyle w:val="SingleTxtG"/>
        <w:ind w:left="2268" w:hanging="1134"/>
        <w:rPr>
          <w:lang w:eastAsia="de-DE"/>
        </w:rPr>
      </w:pPr>
      <w:r w:rsidRPr="00053332">
        <w:rPr>
          <w:strike/>
          <w:lang w:eastAsia="de-DE"/>
        </w:rPr>
        <w:t>2.4.1.3.1.</w:t>
      </w:r>
      <w:r w:rsidR="00692609" w:rsidRPr="00053332">
        <w:rPr>
          <w:b/>
          <w:bCs/>
          <w:lang w:eastAsia="de-DE"/>
        </w:rPr>
        <w:t>2.4.1.5.1.</w:t>
      </w:r>
      <w:r w:rsidRPr="00E447AE">
        <w:rPr>
          <w:lang w:eastAsia="de-DE"/>
        </w:rPr>
        <w:tab/>
        <w:t xml:space="preserve">If such alternative approval is used, the information related to OBD systems in paragraph 3.2.12.2.7. of Part 2 of Annex 1 is replaced by the information of paragraph 3.2.12.2.7. of Annex 1 to the 07 series of amendments to </w:t>
      </w:r>
      <w:r w:rsidR="007732B6">
        <w:rPr>
          <w:lang w:eastAsia="de-DE"/>
        </w:rPr>
        <w:t xml:space="preserve">UN </w:t>
      </w:r>
      <w:r w:rsidRPr="00E447AE">
        <w:rPr>
          <w:lang w:eastAsia="de-DE"/>
        </w:rPr>
        <w:t>Regulation No. 83</w:t>
      </w:r>
      <w:r w:rsidR="00A43611" w:rsidRPr="00053332">
        <w:rPr>
          <w:b/>
          <w:bCs/>
          <w:lang w:eastAsia="de-DE"/>
        </w:rPr>
        <w:t xml:space="preserve"> or by the information of paragraph 3.2.12.2.7. of Annex A1 to Regulation No. </w:t>
      </w:r>
      <w:r w:rsidR="00226924" w:rsidRPr="00053332">
        <w:rPr>
          <w:b/>
          <w:bCs/>
          <w:lang w:eastAsia="de-DE"/>
        </w:rPr>
        <w:t>[154]</w:t>
      </w:r>
      <w:r w:rsidRPr="00E447AE">
        <w:rPr>
          <w:lang w:eastAsia="de-DE"/>
        </w:rPr>
        <w:t>.</w:t>
      </w:r>
    </w:p>
    <w:p w14:paraId="2A97EE89" w14:textId="77D07B1E" w:rsidR="00E447AE" w:rsidRPr="00E447AE" w:rsidRDefault="00E447AE" w:rsidP="005614F1">
      <w:pPr>
        <w:pStyle w:val="SingleTxtG"/>
        <w:ind w:left="2268" w:hanging="1134"/>
        <w:rPr>
          <w:lang w:eastAsia="de-DE"/>
        </w:rPr>
      </w:pPr>
      <w:r w:rsidRPr="00053332">
        <w:rPr>
          <w:strike/>
          <w:lang w:eastAsia="de-DE"/>
        </w:rPr>
        <w:t>2.4.1.3.2.</w:t>
      </w:r>
      <w:r w:rsidR="00692609" w:rsidRPr="00053332">
        <w:rPr>
          <w:b/>
          <w:bCs/>
          <w:lang w:eastAsia="de-DE"/>
        </w:rPr>
        <w:t>2.4.1.5.2.</w:t>
      </w:r>
      <w:r w:rsidRPr="00E447AE">
        <w:rPr>
          <w:lang w:eastAsia="de-DE"/>
        </w:rPr>
        <w:tab/>
        <w:t>The equivalences set out in paragraph 2.4.1. shall apply in the following manner:</w:t>
      </w:r>
    </w:p>
    <w:p w14:paraId="21A6BC0A" w14:textId="4C1F9AC6" w:rsidR="00E447AE" w:rsidRPr="00E447AE" w:rsidRDefault="00E447AE" w:rsidP="005614F1">
      <w:pPr>
        <w:pStyle w:val="SingleTxtG"/>
        <w:ind w:left="2268" w:hanging="1134"/>
        <w:rPr>
          <w:lang w:eastAsia="de-DE"/>
        </w:rPr>
      </w:pPr>
      <w:r w:rsidRPr="00053332">
        <w:rPr>
          <w:strike/>
          <w:lang w:eastAsia="de-DE"/>
        </w:rPr>
        <w:t>2.4.1.3.2.1.</w:t>
      </w:r>
      <w:r w:rsidR="00692609" w:rsidRPr="00053332">
        <w:rPr>
          <w:b/>
          <w:bCs/>
          <w:lang w:eastAsia="de-DE"/>
        </w:rPr>
        <w:t>2.4.1.5.2.1.</w:t>
      </w:r>
      <w:r w:rsidRPr="00E447AE">
        <w:rPr>
          <w:lang w:eastAsia="de-DE"/>
        </w:rPr>
        <w:tab/>
        <w:t>The OTL's and dates referred to in Table 1 of Annex 3 to this Regulation and relevant to the assigned character for which the type-approval is sought shall apply;</w:t>
      </w:r>
    </w:p>
    <w:p w14:paraId="14887CF0" w14:textId="34CDA6F5" w:rsidR="00E447AE" w:rsidRPr="00E447AE" w:rsidRDefault="00E447AE" w:rsidP="005614F1">
      <w:pPr>
        <w:pStyle w:val="SingleTxtG"/>
        <w:ind w:left="2268" w:hanging="1134"/>
        <w:rPr>
          <w:lang w:eastAsia="de-DE"/>
        </w:rPr>
      </w:pPr>
      <w:r w:rsidRPr="00053332">
        <w:rPr>
          <w:strike/>
          <w:lang w:eastAsia="de-DE"/>
        </w:rPr>
        <w:t>2.4.1.3.2.2.</w:t>
      </w:r>
      <w:r w:rsidR="00692609" w:rsidRPr="00053332">
        <w:rPr>
          <w:b/>
          <w:bCs/>
          <w:lang w:eastAsia="de-DE"/>
        </w:rPr>
        <w:t>2.4.1.5.2.2.</w:t>
      </w:r>
      <w:r w:rsidRPr="00E447AE">
        <w:rPr>
          <w:lang w:eastAsia="de-DE"/>
        </w:rPr>
        <w:tab/>
        <w:t>The requirements on NO</w:t>
      </w:r>
      <w:r w:rsidRPr="00E447AE">
        <w:rPr>
          <w:vertAlign w:val="subscript"/>
          <w:lang w:eastAsia="de-DE"/>
        </w:rPr>
        <w:t>x</w:t>
      </w:r>
      <w:r w:rsidRPr="00E447AE">
        <w:rPr>
          <w:lang w:eastAsia="de-DE"/>
        </w:rPr>
        <w:t xml:space="preserve"> control measures described in paragraphs 2.1.2.2.1. to 2.1.2.2.4. of Annex 11 shall apply.</w:t>
      </w:r>
    </w:p>
    <w:p w14:paraId="3AD17617" w14:textId="516594F4" w:rsidR="00BB7B40" w:rsidRPr="002C7499" w:rsidRDefault="00BB7B40" w:rsidP="00F6088D">
      <w:pPr>
        <w:pStyle w:val="SingleTxtG"/>
        <w:keepNext/>
        <w:ind w:left="2268" w:hanging="1134"/>
        <w:rPr>
          <w:lang w:eastAsia="de-DE"/>
        </w:rPr>
      </w:pPr>
      <w:r w:rsidRPr="002C7499">
        <w:rPr>
          <w:i/>
          <w:iCs/>
          <w:lang w:eastAsia="de-DE"/>
        </w:rPr>
        <w:t>Annex 10</w:t>
      </w:r>
    </w:p>
    <w:p w14:paraId="10AC1F42" w14:textId="6CAA0920" w:rsidR="00BB7B40" w:rsidRPr="002C7499" w:rsidRDefault="00D47E22" w:rsidP="00BB7B40">
      <w:pPr>
        <w:pStyle w:val="SingleTxtG"/>
        <w:ind w:left="2268" w:hanging="1134"/>
        <w:rPr>
          <w:lang w:eastAsia="de-DE"/>
        </w:rPr>
      </w:pPr>
      <w:r w:rsidRPr="002C7499">
        <w:rPr>
          <w:i/>
          <w:iCs/>
          <w:lang w:eastAsia="de-DE"/>
        </w:rPr>
        <w:t>Paragraph 11., add</w:t>
      </w:r>
      <w:r w:rsidR="00BB7B40" w:rsidRPr="002C7499">
        <w:rPr>
          <w:i/>
          <w:iCs/>
          <w:lang w:eastAsia="de-DE"/>
        </w:rPr>
        <w:t xml:space="preserve"> </w:t>
      </w:r>
      <w:r w:rsidRPr="002C7499">
        <w:rPr>
          <w:i/>
          <w:iCs/>
          <w:lang w:eastAsia="de-DE"/>
        </w:rPr>
        <w:t xml:space="preserve">a </w:t>
      </w:r>
      <w:r w:rsidR="00BB7B40" w:rsidRPr="002C7499">
        <w:rPr>
          <w:i/>
          <w:iCs/>
          <w:lang w:eastAsia="de-DE"/>
        </w:rPr>
        <w:t xml:space="preserve">new </w:t>
      </w:r>
      <w:r w:rsidRPr="002C7499">
        <w:rPr>
          <w:i/>
          <w:iCs/>
          <w:lang w:eastAsia="de-DE"/>
        </w:rPr>
        <w:t>sub-</w:t>
      </w:r>
      <w:r w:rsidR="00BB7B40" w:rsidRPr="002C7499">
        <w:rPr>
          <w:i/>
          <w:iCs/>
          <w:lang w:eastAsia="de-DE"/>
        </w:rPr>
        <w:t xml:space="preserve">paragraph </w:t>
      </w:r>
      <w:r w:rsidR="001057FB" w:rsidRPr="002C7499">
        <w:rPr>
          <w:i/>
          <w:iCs/>
          <w:lang w:eastAsia="de-DE"/>
        </w:rPr>
        <w:t>at the end</w:t>
      </w:r>
      <w:r w:rsidR="00BB7B40" w:rsidRPr="002C7499">
        <w:rPr>
          <w:lang w:eastAsia="de-DE"/>
        </w:rPr>
        <w:t>, to read:</w:t>
      </w:r>
    </w:p>
    <w:p w14:paraId="179270AA" w14:textId="14A31F73" w:rsidR="000F4265" w:rsidRPr="002C7499" w:rsidRDefault="00BB7B40" w:rsidP="00BB7B40">
      <w:pPr>
        <w:pStyle w:val="SingleTxtG"/>
        <w:ind w:left="2268" w:hanging="1134"/>
        <w:rPr>
          <w:lang w:eastAsia="de-DE"/>
        </w:rPr>
      </w:pPr>
      <w:r w:rsidRPr="002C7499">
        <w:rPr>
          <w:lang w:eastAsia="de-DE"/>
        </w:rPr>
        <w:t>"</w:t>
      </w:r>
      <w:r w:rsidR="00421557" w:rsidRPr="00053332">
        <w:rPr>
          <w:b/>
          <w:bCs/>
          <w:lang w:eastAsia="de-DE"/>
        </w:rPr>
        <w:t xml:space="preserve">The methodology for the assessment of AES is described in Appendix 2 to this </w:t>
      </w:r>
      <w:r w:rsidR="005E28B4" w:rsidRPr="00053332">
        <w:rPr>
          <w:b/>
          <w:bCs/>
          <w:lang w:eastAsia="de-DE"/>
        </w:rPr>
        <w:t>a</w:t>
      </w:r>
      <w:r w:rsidR="00421557" w:rsidRPr="00053332">
        <w:rPr>
          <w:b/>
          <w:bCs/>
          <w:lang w:eastAsia="de-DE"/>
        </w:rPr>
        <w:t>nnex</w:t>
      </w:r>
      <w:r w:rsidR="005E28B4" w:rsidRPr="00053332">
        <w:rPr>
          <w:b/>
          <w:bCs/>
          <w:lang w:eastAsia="de-DE"/>
        </w:rPr>
        <w:t>.</w:t>
      </w:r>
      <w:r w:rsidR="005E28B4" w:rsidRPr="002C7499">
        <w:rPr>
          <w:lang w:eastAsia="de-DE"/>
        </w:rPr>
        <w:t>"</w:t>
      </w:r>
    </w:p>
    <w:p w14:paraId="68A6291A" w14:textId="609D3152" w:rsidR="009656EC" w:rsidRPr="002C7499" w:rsidRDefault="009656EC" w:rsidP="009656EC">
      <w:pPr>
        <w:pStyle w:val="SingleTxtG"/>
        <w:ind w:left="2268" w:hanging="1134"/>
        <w:rPr>
          <w:lang w:eastAsia="de-DE"/>
        </w:rPr>
      </w:pPr>
      <w:r w:rsidRPr="002C7499">
        <w:rPr>
          <w:i/>
          <w:iCs/>
          <w:lang w:eastAsia="de-DE"/>
        </w:rPr>
        <w:t>Annex 10, Ap</w:t>
      </w:r>
      <w:r w:rsidR="00C82220" w:rsidRPr="002C7499">
        <w:rPr>
          <w:i/>
          <w:iCs/>
          <w:lang w:eastAsia="de-DE"/>
        </w:rPr>
        <w:t>p</w:t>
      </w:r>
      <w:r w:rsidRPr="002C7499">
        <w:rPr>
          <w:i/>
          <w:iCs/>
          <w:lang w:eastAsia="de-DE"/>
        </w:rPr>
        <w:t>endix 1</w:t>
      </w:r>
    </w:p>
    <w:p w14:paraId="4983A87B" w14:textId="6B657207" w:rsidR="009656EC" w:rsidRPr="002C7499" w:rsidRDefault="009656EC" w:rsidP="009656EC">
      <w:pPr>
        <w:pStyle w:val="SingleTxtG"/>
        <w:ind w:left="2268" w:hanging="1134"/>
        <w:rPr>
          <w:lang w:eastAsia="de-DE"/>
        </w:rPr>
      </w:pPr>
      <w:r w:rsidRPr="002C7499">
        <w:rPr>
          <w:i/>
          <w:iCs/>
          <w:lang w:eastAsia="de-DE"/>
        </w:rPr>
        <w:t xml:space="preserve">Paragraph </w:t>
      </w:r>
      <w:r w:rsidR="00C82220" w:rsidRPr="002C7499">
        <w:rPr>
          <w:i/>
          <w:iCs/>
          <w:lang w:eastAsia="de-DE"/>
        </w:rPr>
        <w:t>A.1.3.1.</w:t>
      </w:r>
      <w:r w:rsidRPr="002C7499">
        <w:rPr>
          <w:lang w:eastAsia="de-DE"/>
        </w:rPr>
        <w:t xml:space="preserve">, </w:t>
      </w:r>
      <w:r w:rsidR="00C82220" w:rsidRPr="002C7499">
        <w:rPr>
          <w:lang w:eastAsia="de-DE"/>
        </w:rPr>
        <w:t xml:space="preserve">amend </w:t>
      </w:r>
      <w:r w:rsidRPr="002C7499">
        <w:rPr>
          <w:lang w:eastAsia="de-DE"/>
        </w:rPr>
        <w:t>to read:</w:t>
      </w:r>
    </w:p>
    <w:p w14:paraId="538BBB2C" w14:textId="6AD6A459" w:rsidR="007F1AA4" w:rsidRPr="002C7499" w:rsidRDefault="009656EC" w:rsidP="007F1AA4">
      <w:pPr>
        <w:pStyle w:val="SingleTxtG"/>
        <w:ind w:left="2268" w:hanging="1134"/>
        <w:rPr>
          <w:lang w:eastAsia="de-DE"/>
        </w:rPr>
      </w:pPr>
      <w:r w:rsidRPr="002C7499">
        <w:rPr>
          <w:lang w:eastAsia="de-DE"/>
        </w:rPr>
        <w:t>"</w:t>
      </w:r>
      <w:r w:rsidR="007F1AA4" w:rsidRPr="002C7499">
        <w:rPr>
          <w:lang w:eastAsia="de-DE"/>
        </w:rPr>
        <w:t>A.1.3.1.</w:t>
      </w:r>
      <w:r w:rsidR="007F1AA4" w:rsidRPr="002C7499">
        <w:rPr>
          <w:lang w:eastAsia="de-DE"/>
        </w:rPr>
        <w:tab/>
        <w:t>Vehicle payload</w:t>
      </w:r>
    </w:p>
    <w:p w14:paraId="3298773A" w14:textId="77777777" w:rsidR="007F1AA4" w:rsidRPr="002C7499" w:rsidRDefault="007F1AA4" w:rsidP="007F1AA4">
      <w:pPr>
        <w:pStyle w:val="SingleTxtG"/>
        <w:ind w:left="2268" w:hanging="1134"/>
        <w:rPr>
          <w:lang w:eastAsia="de-DE"/>
        </w:rPr>
      </w:pPr>
      <w:r w:rsidRPr="002C7499">
        <w:rPr>
          <w:lang w:eastAsia="de-DE"/>
        </w:rPr>
        <w:tab/>
        <w:t>For the purpose of the PEMS demonstration test, the payload may be reproduced and an artificial load may be used.</w:t>
      </w:r>
    </w:p>
    <w:p w14:paraId="35359D33" w14:textId="0A7542AC" w:rsidR="00EC3AD4" w:rsidRPr="002C7499" w:rsidRDefault="007F1AA4" w:rsidP="007F1AA4">
      <w:pPr>
        <w:pStyle w:val="SingleTxtG"/>
        <w:ind w:left="2268" w:hanging="1134"/>
        <w:rPr>
          <w:lang w:eastAsia="de-DE"/>
        </w:rPr>
      </w:pPr>
      <w:r w:rsidRPr="002C7499">
        <w:rPr>
          <w:lang w:eastAsia="de-DE"/>
        </w:rPr>
        <w:tab/>
      </w:r>
      <w:r w:rsidRPr="00053332">
        <w:rPr>
          <w:strike/>
          <w:lang w:eastAsia="de-DE"/>
        </w:rPr>
        <w:t xml:space="preserve">The vehicle payload shall be 50-60 per cent of the maximum vehicle payload. The additional requirements set out in Annex 8 shall </w:t>
      </w:r>
      <w:proofErr w:type="spellStart"/>
      <w:r w:rsidRPr="00053332">
        <w:rPr>
          <w:strike/>
          <w:lang w:eastAsia="de-DE"/>
        </w:rPr>
        <w:t>apply.</w:t>
      </w:r>
      <w:r w:rsidR="003E1A2C" w:rsidRPr="00053332">
        <w:rPr>
          <w:b/>
          <w:bCs/>
          <w:lang w:eastAsia="de-DE"/>
        </w:rPr>
        <w:t>The</w:t>
      </w:r>
      <w:proofErr w:type="spellEnd"/>
      <w:r w:rsidR="003E1A2C" w:rsidRPr="00053332">
        <w:rPr>
          <w:b/>
          <w:bCs/>
          <w:lang w:eastAsia="de-DE"/>
        </w:rPr>
        <w:t xml:space="preserve"> vehicle payload shall be 50-60 per cent of the maximum vehicle payload. A deviation from that range may be agreed with the approval authority. The reason for such a deviation shall be indicated in the test report. The additional requirements set out in Annex</w:t>
      </w:r>
      <w:r w:rsidR="00642E3A" w:rsidRPr="00053332">
        <w:rPr>
          <w:b/>
          <w:bCs/>
          <w:lang w:eastAsia="de-DE"/>
        </w:rPr>
        <w:t> </w:t>
      </w:r>
      <w:r w:rsidR="003E1A2C" w:rsidRPr="00053332">
        <w:rPr>
          <w:b/>
          <w:bCs/>
          <w:lang w:eastAsia="de-DE"/>
        </w:rPr>
        <w:t>8 shall apply.</w:t>
      </w:r>
      <w:r w:rsidR="007670C2" w:rsidRPr="002C7499">
        <w:rPr>
          <w:lang w:eastAsia="de-DE"/>
        </w:rPr>
        <w:t>"</w:t>
      </w:r>
    </w:p>
    <w:p w14:paraId="5190126C" w14:textId="70D3091F" w:rsidR="00A43699" w:rsidRPr="002C7499" w:rsidRDefault="00A43699" w:rsidP="00A43699">
      <w:pPr>
        <w:pStyle w:val="SingleTxtG"/>
        <w:rPr>
          <w:lang w:eastAsia="de-DE"/>
        </w:rPr>
      </w:pPr>
      <w:r w:rsidRPr="002C7499">
        <w:rPr>
          <w:i/>
          <w:iCs/>
          <w:lang w:eastAsia="de-DE"/>
        </w:rPr>
        <w:t>Annex 10</w:t>
      </w:r>
    </w:p>
    <w:p w14:paraId="1F1FA37C" w14:textId="5ADDFEAE" w:rsidR="00A43699" w:rsidRDefault="00633E79" w:rsidP="00A43699">
      <w:pPr>
        <w:pStyle w:val="SingleTxtG"/>
        <w:rPr>
          <w:lang w:eastAsia="de-DE"/>
        </w:rPr>
      </w:pPr>
      <w:r>
        <w:rPr>
          <w:i/>
          <w:iCs/>
          <w:lang w:eastAsia="de-DE"/>
        </w:rPr>
        <w:t>Insert a</w:t>
      </w:r>
      <w:r w:rsidR="00A43699" w:rsidRPr="002C7499">
        <w:rPr>
          <w:i/>
          <w:iCs/>
          <w:lang w:eastAsia="de-DE"/>
        </w:rPr>
        <w:t xml:space="preserve"> new Appendix 2</w:t>
      </w:r>
      <w:r w:rsidR="00A43699" w:rsidRPr="002C7499">
        <w:rPr>
          <w:lang w:eastAsia="de-DE"/>
        </w:rPr>
        <w:t>, to read:</w:t>
      </w:r>
    </w:p>
    <w:p w14:paraId="1180506D" w14:textId="029A18B4" w:rsidR="00EF39C5" w:rsidRDefault="00EF39C5">
      <w:pPr>
        <w:suppressAutoHyphens w:val="0"/>
        <w:spacing w:line="240" w:lineRule="auto"/>
        <w:rPr>
          <w:i/>
          <w:iCs/>
          <w:lang w:eastAsia="de-DE"/>
        </w:rPr>
      </w:pPr>
      <w:r>
        <w:rPr>
          <w:i/>
          <w:iCs/>
          <w:lang w:eastAsia="de-DE"/>
        </w:rPr>
        <w:br w:type="page"/>
      </w:r>
    </w:p>
    <w:p w14:paraId="232AFA88" w14:textId="18BFD366" w:rsidR="0030318A" w:rsidRPr="00053332" w:rsidRDefault="00A43699" w:rsidP="008D3989">
      <w:pPr>
        <w:pStyle w:val="SingleTxtG"/>
        <w:spacing w:before="240" w:after="360"/>
        <w:ind w:left="2268" w:hanging="2268"/>
        <w:rPr>
          <w:b/>
          <w:bCs/>
          <w:sz w:val="28"/>
          <w:szCs w:val="28"/>
          <w:lang w:val="fi-FI" w:eastAsia="de-DE"/>
        </w:rPr>
      </w:pPr>
      <w:r w:rsidRPr="002C7499">
        <w:rPr>
          <w:lang w:eastAsia="de-DE"/>
        </w:rPr>
        <w:lastRenderedPageBreak/>
        <w:t>"</w:t>
      </w:r>
      <w:r w:rsidR="0030318A" w:rsidRPr="00053332">
        <w:rPr>
          <w:b/>
          <w:bCs/>
          <w:sz w:val="28"/>
          <w:szCs w:val="28"/>
          <w:lang w:val="fi-FI" w:eastAsia="de-DE"/>
        </w:rPr>
        <w:t xml:space="preserve">Appendix 2 </w:t>
      </w:r>
    </w:p>
    <w:p w14:paraId="42D9F99D" w14:textId="77777777" w:rsidR="0030318A" w:rsidRPr="00053332" w:rsidRDefault="0030318A" w:rsidP="00601DFA">
      <w:pPr>
        <w:pStyle w:val="SingleTxtG"/>
        <w:spacing w:after="240"/>
        <w:ind w:left="2268" w:hanging="1134"/>
        <w:rPr>
          <w:b/>
          <w:bCs/>
          <w:sz w:val="28"/>
          <w:szCs w:val="28"/>
          <w:lang w:val="fi-FI" w:eastAsia="de-DE"/>
        </w:rPr>
      </w:pPr>
      <w:r w:rsidRPr="00053332">
        <w:rPr>
          <w:b/>
          <w:bCs/>
          <w:sz w:val="28"/>
          <w:szCs w:val="28"/>
          <w:lang w:val="fi-FI" w:eastAsia="de-DE"/>
        </w:rPr>
        <w:t xml:space="preserve">Methodology for the assessment of AES </w:t>
      </w:r>
    </w:p>
    <w:p w14:paraId="3F49DD71" w14:textId="77777777" w:rsidR="0030318A" w:rsidRPr="00053332" w:rsidRDefault="0030318A" w:rsidP="00601DFA">
      <w:pPr>
        <w:pStyle w:val="SingleTxtG"/>
        <w:ind w:left="2268"/>
        <w:rPr>
          <w:b/>
          <w:bCs/>
          <w:lang w:val="fi-FI" w:eastAsia="de-DE"/>
        </w:rPr>
      </w:pPr>
      <w:r w:rsidRPr="00053332">
        <w:rPr>
          <w:b/>
          <w:bCs/>
          <w:lang w:val="fi-FI" w:eastAsia="de-DE"/>
        </w:rPr>
        <w:t xml:space="preserve">For the purposes of assessing the AES, the approval authority shall verify at least whether the requirement laid down in this Appendix are fulfilled. </w:t>
      </w:r>
    </w:p>
    <w:p w14:paraId="0FC116FD" w14:textId="1694DF50" w:rsidR="0030318A" w:rsidRPr="008500F1" w:rsidRDefault="0030318A" w:rsidP="0030318A">
      <w:pPr>
        <w:pStyle w:val="SingleTxtG"/>
        <w:ind w:left="2268" w:hanging="1134"/>
        <w:rPr>
          <w:b/>
          <w:bCs/>
          <w:lang w:val="fi-FI" w:eastAsia="de-DE"/>
        </w:rPr>
      </w:pPr>
      <w:r w:rsidRPr="00053332">
        <w:rPr>
          <w:b/>
          <w:bCs/>
          <w:lang w:val="fi-FI" w:eastAsia="de-DE"/>
        </w:rPr>
        <w:t>1</w:t>
      </w:r>
      <w:r w:rsidR="002F348B" w:rsidRPr="008500F1">
        <w:rPr>
          <w:b/>
          <w:bCs/>
          <w:lang w:val="fi-FI" w:eastAsia="de-DE"/>
        </w:rPr>
        <w:t>.</w:t>
      </w:r>
      <w:r w:rsidR="004E2C11" w:rsidRPr="008500F1">
        <w:rPr>
          <w:b/>
          <w:bCs/>
          <w:lang w:val="fi-FI" w:eastAsia="de-DE"/>
        </w:rPr>
        <w:tab/>
      </w:r>
      <w:r w:rsidRPr="008500F1">
        <w:rPr>
          <w:b/>
          <w:bCs/>
          <w:lang w:val="fi-FI" w:eastAsia="de-DE"/>
        </w:rPr>
        <w:t xml:space="preserve">The increase of emissions induced by the AES shall be kept at the lowest possible level: </w:t>
      </w:r>
    </w:p>
    <w:p w14:paraId="7D9BA0B4" w14:textId="20F77842" w:rsidR="0030318A" w:rsidRPr="008500F1" w:rsidRDefault="0030318A" w:rsidP="004E2C11">
      <w:pPr>
        <w:pStyle w:val="SingleTxtG"/>
        <w:ind w:left="2835" w:hanging="567"/>
        <w:rPr>
          <w:b/>
          <w:bCs/>
          <w:lang w:val="fi-FI" w:eastAsia="de-DE"/>
        </w:rPr>
      </w:pPr>
      <w:r w:rsidRPr="008500F1">
        <w:rPr>
          <w:b/>
          <w:bCs/>
          <w:lang w:val="fi-FI" w:eastAsia="de-DE"/>
        </w:rPr>
        <w:t>(a)</w:t>
      </w:r>
      <w:r w:rsidR="004E2C11" w:rsidRPr="008500F1">
        <w:rPr>
          <w:b/>
          <w:bCs/>
          <w:lang w:val="fi-FI" w:eastAsia="de-DE"/>
        </w:rPr>
        <w:tab/>
      </w:r>
      <w:r w:rsidRPr="008500F1">
        <w:rPr>
          <w:b/>
          <w:bCs/>
          <w:lang w:val="fi-FI" w:eastAsia="de-DE"/>
        </w:rPr>
        <w:t xml:space="preserve">The increase of total emissions when using an AES shall be kept at the lowest possible level throughout the normal use and life of the vehicles; </w:t>
      </w:r>
    </w:p>
    <w:p w14:paraId="56710D74" w14:textId="6A8E27B7" w:rsidR="0030318A" w:rsidRPr="008500F1" w:rsidRDefault="0030318A" w:rsidP="004E2C11">
      <w:pPr>
        <w:pStyle w:val="SingleTxtG"/>
        <w:ind w:left="2835" w:hanging="567"/>
        <w:rPr>
          <w:b/>
          <w:bCs/>
          <w:lang w:val="fi-FI" w:eastAsia="de-DE"/>
        </w:rPr>
      </w:pPr>
      <w:r w:rsidRPr="008500F1">
        <w:rPr>
          <w:b/>
          <w:bCs/>
          <w:lang w:val="fi-FI" w:eastAsia="de-DE"/>
        </w:rPr>
        <w:t>(b)</w:t>
      </w:r>
      <w:r w:rsidR="004E2C11" w:rsidRPr="008500F1">
        <w:rPr>
          <w:b/>
          <w:bCs/>
          <w:lang w:val="fi-FI" w:eastAsia="de-DE"/>
        </w:rPr>
        <w:tab/>
      </w:r>
      <w:r w:rsidRPr="008500F1">
        <w:rPr>
          <w:b/>
          <w:bCs/>
          <w:lang w:val="fi-FI" w:eastAsia="de-DE"/>
        </w:rPr>
        <w:t xml:space="preserve">Whenever a technology or design that would allow for improved emission control is available on the market at the time of the AES preliminary assessment it shall be used with no unjustified modulation. </w:t>
      </w:r>
    </w:p>
    <w:p w14:paraId="4A1E02EB" w14:textId="0B2B1E05" w:rsidR="0030318A" w:rsidRPr="008500F1" w:rsidRDefault="0030318A" w:rsidP="0030318A">
      <w:pPr>
        <w:pStyle w:val="SingleTxtG"/>
        <w:ind w:left="2268" w:hanging="1134"/>
        <w:rPr>
          <w:b/>
          <w:bCs/>
          <w:lang w:val="fi-FI" w:eastAsia="de-DE"/>
        </w:rPr>
      </w:pPr>
      <w:r w:rsidRPr="008500F1">
        <w:rPr>
          <w:b/>
          <w:bCs/>
          <w:lang w:val="fi-FI" w:eastAsia="de-DE"/>
        </w:rPr>
        <w:t>2</w:t>
      </w:r>
      <w:r w:rsidR="002F348B" w:rsidRPr="008500F1">
        <w:rPr>
          <w:b/>
          <w:bCs/>
          <w:lang w:val="fi-FI" w:eastAsia="de-DE"/>
        </w:rPr>
        <w:t>.</w:t>
      </w:r>
      <w:r w:rsidR="004E2C11" w:rsidRPr="008500F1">
        <w:rPr>
          <w:b/>
          <w:bCs/>
          <w:lang w:val="fi-FI" w:eastAsia="de-DE"/>
        </w:rPr>
        <w:tab/>
      </w:r>
      <w:r w:rsidRPr="008500F1">
        <w:rPr>
          <w:b/>
          <w:bCs/>
          <w:lang w:val="fi-FI" w:eastAsia="de-DE"/>
        </w:rPr>
        <w:t xml:space="preserve">When used to justify an AES, the risk of sudden and irreparable damage to the engine, shall be appropriately demonstrated and documented, including the following information: </w:t>
      </w:r>
    </w:p>
    <w:p w14:paraId="7C62BACC" w14:textId="6DBB0100" w:rsidR="0030318A" w:rsidRPr="008500F1" w:rsidRDefault="0030318A" w:rsidP="004E2C11">
      <w:pPr>
        <w:pStyle w:val="SingleTxtG"/>
        <w:ind w:left="2835" w:hanging="567"/>
        <w:rPr>
          <w:b/>
          <w:bCs/>
          <w:lang w:val="fi-FI" w:eastAsia="de-DE"/>
        </w:rPr>
      </w:pPr>
      <w:r w:rsidRPr="008500F1">
        <w:rPr>
          <w:b/>
          <w:bCs/>
          <w:lang w:val="fi-FI" w:eastAsia="de-DE"/>
        </w:rPr>
        <w:t>(a)</w:t>
      </w:r>
      <w:r w:rsidR="004E2C11" w:rsidRPr="008500F1">
        <w:rPr>
          <w:b/>
          <w:bCs/>
          <w:lang w:val="fi-FI" w:eastAsia="de-DE"/>
        </w:rPr>
        <w:tab/>
      </w:r>
      <w:r w:rsidRPr="008500F1">
        <w:rPr>
          <w:b/>
          <w:bCs/>
          <w:lang w:val="fi-FI" w:eastAsia="de-DE"/>
        </w:rPr>
        <w:t xml:space="preserve">Proof of catastrophic (i.e. sudden and irreparable) engine damage shall be provided by the manufacturer, along with a risk assessment which includes an evaluation of the likelihood of the risk occurring and severity of the possible consequences, including results of tests carried out to this effect; </w:t>
      </w:r>
    </w:p>
    <w:p w14:paraId="72A5249C" w14:textId="51813B1B" w:rsidR="0030318A" w:rsidRPr="008500F1" w:rsidRDefault="0030318A" w:rsidP="004E2C11">
      <w:pPr>
        <w:pStyle w:val="SingleTxtG"/>
        <w:ind w:left="2835" w:hanging="567"/>
        <w:rPr>
          <w:b/>
          <w:bCs/>
          <w:lang w:val="fi-FI" w:eastAsia="de-DE"/>
        </w:rPr>
      </w:pPr>
      <w:r w:rsidRPr="008500F1">
        <w:rPr>
          <w:b/>
          <w:bCs/>
          <w:lang w:val="fi-FI" w:eastAsia="de-DE"/>
        </w:rPr>
        <w:t>(b)</w:t>
      </w:r>
      <w:r w:rsidR="004E2C11" w:rsidRPr="008500F1">
        <w:rPr>
          <w:b/>
          <w:bCs/>
          <w:lang w:val="fi-FI" w:eastAsia="de-DE"/>
        </w:rPr>
        <w:tab/>
      </w:r>
      <w:r w:rsidRPr="008500F1">
        <w:rPr>
          <w:b/>
          <w:bCs/>
          <w:lang w:val="fi-FI" w:eastAsia="de-DE"/>
        </w:rPr>
        <w:t xml:space="preserve">When a technology or design is available on the market at the time of the AES application that eliminates or reduces that risk, it shall be used to the largest extent technically possible (i.e. with no unjustified modulation); </w:t>
      </w:r>
    </w:p>
    <w:p w14:paraId="447A624B" w14:textId="5E5015D8" w:rsidR="0030318A" w:rsidRPr="008500F1" w:rsidRDefault="0030318A" w:rsidP="004E2C11">
      <w:pPr>
        <w:pStyle w:val="SingleTxtG"/>
        <w:ind w:left="2835" w:hanging="567"/>
        <w:rPr>
          <w:b/>
          <w:bCs/>
          <w:lang w:val="fi-FI" w:eastAsia="de-DE"/>
        </w:rPr>
      </w:pPr>
      <w:r w:rsidRPr="008500F1">
        <w:rPr>
          <w:b/>
          <w:bCs/>
          <w:lang w:val="fi-FI" w:eastAsia="de-DE"/>
        </w:rPr>
        <w:t>(c)</w:t>
      </w:r>
      <w:r w:rsidR="004E2C11" w:rsidRPr="008500F1">
        <w:rPr>
          <w:b/>
          <w:bCs/>
          <w:lang w:val="fi-FI" w:eastAsia="de-DE"/>
        </w:rPr>
        <w:tab/>
      </w:r>
      <w:r w:rsidRPr="008500F1">
        <w:rPr>
          <w:b/>
          <w:bCs/>
          <w:lang w:val="fi-FI" w:eastAsia="de-DE"/>
        </w:rPr>
        <w:t xml:space="preserve">Durability and the long-term protection of the engine or components of the emission control system from wear and malfunctioning shall not be considered an acceptable reason to accept an AES. </w:t>
      </w:r>
    </w:p>
    <w:p w14:paraId="2619A732" w14:textId="102B679B" w:rsidR="0030318A" w:rsidRPr="008500F1" w:rsidRDefault="0030318A" w:rsidP="0030318A">
      <w:pPr>
        <w:pStyle w:val="SingleTxtG"/>
        <w:ind w:left="2268" w:hanging="1134"/>
        <w:rPr>
          <w:b/>
          <w:bCs/>
          <w:lang w:val="fi-FI" w:eastAsia="de-DE"/>
        </w:rPr>
      </w:pPr>
      <w:r w:rsidRPr="008500F1">
        <w:rPr>
          <w:b/>
          <w:bCs/>
          <w:lang w:val="fi-FI" w:eastAsia="de-DE"/>
        </w:rPr>
        <w:t>3</w:t>
      </w:r>
      <w:r w:rsidR="002F348B" w:rsidRPr="008500F1">
        <w:rPr>
          <w:b/>
          <w:bCs/>
          <w:lang w:val="fi-FI" w:eastAsia="de-DE"/>
        </w:rPr>
        <w:t>.</w:t>
      </w:r>
      <w:r w:rsidR="004E2C11" w:rsidRPr="008500F1">
        <w:rPr>
          <w:b/>
          <w:bCs/>
          <w:lang w:val="fi-FI" w:eastAsia="de-DE"/>
        </w:rPr>
        <w:tab/>
      </w:r>
      <w:r w:rsidRPr="008500F1">
        <w:rPr>
          <w:b/>
          <w:bCs/>
          <w:lang w:val="fi-FI" w:eastAsia="de-DE"/>
        </w:rPr>
        <w:t xml:space="preserve">An adequate technical description shall document why it is necessary to use an AES for the safe operation of the vehicle: </w:t>
      </w:r>
    </w:p>
    <w:p w14:paraId="412FFBBC" w14:textId="7B139473" w:rsidR="0030318A" w:rsidRPr="008500F1" w:rsidRDefault="0030318A" w:rsidP="004E2C11">
      <w:pPr>
        <w:pStyle w:val="SingleTxtG"/>
        <w:ind w:left="2835" w:hanging="567"/>
        <w:rPr>
          <w:b/>
          <w:bCs/>
          <w:lang w:val="fi-FI" w:eastAsia="de-DE"/>
        </w:rPr>
      </w:pPr>
      <w:r w:rsidRPr="008500F1">
        <w:rPr>
          <w:b/>
          <w:bCs/>
          <w:lang w:val="fi-FI" w:eastAsia="de-DE"/>
        </w:rPr>
        <w:t>(a)</w:t>
      </w:r>
      <w:r w:rsidR="004E2C11" w:rsidRPr="008500F1">
        <w:rPr>
          <w:b/>
          <w:bCs/>
          <w:lang w:val="fi-FI" w:eastAsia="de-DE"/>
        </w:rPr>
        <w:tab/>
      </w:r>
      <w:r w:rsidRPr="008500F1">
        <w:rPr>
          <w:b/>
          <w:bCs/>
          <w:lang w:val="fi-FI" w:eastAsia="de-DE"/>
        </w:rPr>
        <w:t xml:space="preserve">Proof of an increased risk to the safe operation of the vehicle should be provided by the manufacturer along with a risk assessment which includes an evaluation of the likelihood of the risk occurring and severity of the possible consequences, including results of tests carried out to this effect; </w:t>
      </w:r>
    </w:p>
    <w:p w14:paraId="68D93B94" w14:textId="7217CE95" w:rsidR="0030318A" w:rsidRPr="008500F1" w:rsidRDefault="0030318A" w:rsidP="004E2C11">
      <w:pPr>
        <w:pStyle w:val="SingleTxtG"/>
        <w:ind w:left="2835" w:hanging="567"/>
        <w:rPr>
          <w:b/>
          <w:bCs/>
          <w:lang w:val="fi-FI" w:eastAsia="de-DE"/>
        </w:rPr>
      </w:pPr>
      <w:r w:rsidRPr="008500F1">
        <w:rPr>
          <w:b/>
          <w:bCs/>
          <w:lang w:val="fi-FI" w:eastAsia="de-DE"/>
        </w:rPr>
        <w:t>(b)</w:t>
      </w:r>
      <w:r w:rsidR="004E2C11" w:rsidRPr="008500F1">
        <w:rPr>
          <w:b/>
          <w:bCs/>
          <w:lang w:val="fi-FI" w:eastAsia="de-DE"/>
        </w:rPr>
        <w:tab/>
      </w:r>
      <w:r w:rsidRPr="008500F1">
        <w:rPr>
          <w:b/>
          <w:bCs/>
          <w:lang w:val="fi-FI" w:eastAsia="de-DE"/>
        </w:rPr>
        <w:t xml:space="preserve">When a different technology or design is available on the market at the time of the AES application that would allow for lowering the safety risk, it shall be used to the largest extent technically possible (i.e. with no unjustified modulation). </w:t>
      </w:r>
    </w:p>
    <w:p w14:paraId="70CF8643" w14:textId="6C326B37" w:rsidR="0030318A" w:rsidRPr="008500F1" w:rsidRDefault="0030318A" w:rsidP="0030318A">
      <w:pPr>
        <w:pStyle w:val="SingleTxtG"/>
        <w:ind w:left="2268" w:hanging="1134"/>
        <w:rPr>
          <w:b/>
          <w:bCs/>
          <w:lang w:val="fi-FI" w:eastAsia="de-DE"/>
        </w:rPr>
      </w:pPr>
      <w:r w:rsidRPr="008500F1">
        <w:rPr>
          <w:b/>
          <w:bCs/>
          <w:lang w:val="fi-FI" w:eastAsia="de-DE"/>
        </w:rPr>
        <w:t>4</w:t>
      </w:r>
      <w:r w:rsidR="002F348B" w:rsidRPr="008500F1">
        <w:rPr>
          <w:b/>
          <w:bCs/>
          <w:lang w:val="fi-FI" w:eastAsia="de-DE"/>
        </w:rPr>
        <w:t>.</w:t>
      </w:r>
      <w:r w:rsidR="004E2C11" w:rsidRPr="008500F1">
        <w:rPr>
          <w:b/>
          <w:bCs/>
          <w:lang w:val="fi-FI" w:eastAsia="de-DE"/>
        </w:rPr>
        <w:tab/>
      </w:r>
      <w:r w:rsidRPr="008500F1">
        <w:rPr>
          <w:b/>
          <w:bCs/>
          <w:lang w:val="fi-FI" w:eastAsia="de-DE"/>
        </w:rPr>
        <w:t xml:space="preserve">An adequate technical description shall document why it is necessary to use an AES during engine start or warm up: </w:t>
      </w:r>
    </w:p>
    <w:p w14:paraId="645EAEF3" w14:textId="66B00492" w:rsidR="0030318A" w:rsidRPr="008500F1" w:rsidRDefault="0030318A" w:rsidP="004E2C11">
      <w:pPr>
        <w:pStyle w:val="SingleTxtG"/>
        <w:ind w:left="2835" w:hanging="567"/>
        <w:rPr>
          <w:b/>
          <w:bCs/>
          <w:lang w:val="fi-FI" w:eastAsia="de-DE"/>
        </w:rPr>
      </w:pPr>
      <w:r w:rsidRPr="008500F1">
        <w:rPr>
          <w:b/>
          <w:bCs/>
          <w:lang w:val="fi-FI" w:eastAsia="de-DE"/>
        </w:rPr>
        <w:t>(a)</w:t>
      </w:r>
      <w:r w:rsidR="004E2C11" w:rsidRPr="008500F1">
        <w:rPr>
          <w:b/>
          <w:bCs/>
          <w:lang w:val="fi-FI" w:eastAsia="de-DE"/>
        </w:rPr>
        <w:tab/>
      </w:r>
      <w:r w:rsidRPr="008500F1">
        <w:rPr>
          <w:b/>
          <w:bCs/>
          <w:lang w:val="fi-FI" w:eastAsia="de-DE"/>
        </w:rPr>
        <w:t xml:space="preserve">Proof of the need to use an AES during engine start shall be provided by the manufacturer along with a risk assessment which includes an evaluation of the likelihood of the risk occurring and severity of the possible consequences, including results of tests carried out to this effect; </w:t>
      </w:r>
    </w:p>
    <w:p w14:paraId="1EE189E9" w14:textId="615396F7" w:rsidR="007D1EAD" w:rsidRDefault="0030318A" w:rsidP="00066051">
      <w:pPr>
        <w:pStyle w:val="SingleTxtG"/>
        <w:ind w:left="2835" w:hanging="567"/>
        <w:rPr>
          <w:lang w:eastAsia="de-DE"/>
        </w:rPr>
      </w:pPr>
      <w:r w:rsidRPr="008500F1">
        <w:rPr>
          <w:b/>
          <w:bCs/>
          <w:lang w:val="fi-FI" w:eastAsia="de-DE"/>
        </w:rPr>
        <w:t>(b)</w:t>
      </w:r>
      <w:r w:rsidR="004E2C11" w:rsidRPr="008500F1">
        <w:rPr>
          <w:b/>
          <w:bCs/>
          <w:lang w:val="fi-FI" w:eastAsia="de-DE"/>
        </w:rPr>
        <w:tab/>
      </w:r>
      <w:r w:rsidRPr="008500F1">
        <w:rPr>
          <w:b/>
          <w:bCs/>
          <w:lang w:val="fi-FI" w:eastAsia="de-DE"/>
        </w:rPr>
        <w:t xml:space="preserve">Where a different technology or design is available on the market at the time of the AES application that would allow for improved </w:t>
      </w:r>
      <w:r w:rsidRPr="008500F1">
        <w:rPr>
          <w:b/>
          <w:bCs/>
          <w:lang w:val="fi-FI" w:eastAsia="de-DE"/>
        </w:rPr>
        <w:lastRenderedPageBreak/>
        <w:t>emission control upon engine start, it shall be used to the largest extent technically possible.</w:t>
      </w:r>
      <w:r w:rsidR="007D1EAD" w:rsidRPr="002C7499">
        <w:rPr>
          <w:lang w:eastAsia="de-DE"/>
        </w:rPr>
        <w:t>"</w:t>
      </w:r>
    </w:p>
    <w:p w14:paraId="6C828DC8" w14:textId="58E8F7B9" w:rsidR="007D1EAD" w:rsidRDefault="007D1EAD" w:rsidP="007D1EAD">
      <w:pPr>
        <w:pStyle w:val="SingleTxtG"/>
        <w:ind w:left="2268" w:hanging="1134"/>
        <w:rPr>
          <w:lang w:eastAsia="de-DE"/>
        </w:rPr>
      </w:pPr>
      <w:r w:rsidRPr="00004B4A">
        <w:rPr>
          <w:i/>
          <w:iCs/>
          <w:lang w:eastAsia="de-DE"/>
        </w:rPr>
        <w:t xml:space="preserve">Annex </w:t>
      </w:r>
      <w:r>
        <w:rPr>
          <w:i/>
          <w:iCs/>
          <w:lang w:eastAsia="de-DE"/>
        </w:rPr>
        <w:t>12, Appendix 1</w:t>
      </w:r>
    </w:p>
    <w:p w14:paraId="67861529" w14:textId="13DA7FEF" w:rsidR="007D1EAD" w:rsidRPr="002C7499" w:rsidRDefault="007D1EAD" w:rsidP="007D1EAD">
      <w:pPr>
        <w:pStyle w:val="SingleTxtG"/>
        <w:ind w:left="2268" w:hanging="1134"/>
        <w:rPr>
          <w:lang w:eastAsia="de-DE"/>
        </w:rPr>
      </w:pPr>
      <w:r w:rsidRPr="002C7499">
        <w:rPr>
          <w:i/>
          <w:iCs/>
          <w:lang w:eastAsia="de-DE"/>
        </w:rPr>
        <w:t>Paragraph A.1.2.1.</w:t>
      </w:r>
      <w:r w:rsidRPr="002C7499">
        <w:rPr>
          <w:lang w:eastAsia="de-DE"/>
        </w:rPr>
        <w:t>, amend to read:</w:t>
      </w:r>
    </w:p>
    <w:p w14:paraId="652E1737" w14:textId="59D7CE4A" w:rsidR="009656EC" w:rsidRPr="008500F1" w:rsidRDefault="007D1EAD" w:rsidP="007D1EAD">
      <w:pPr>
        <w:pStyle w:val="SingleTxtG"/>
        <w:ind w:left="2268" w:hanging="1134"/>
        <w:rPr>
          <w:b/>
          <w:bCs/>
          <w:lang w:eastAsia="de-DE"/>
        </w:rPr>
      </w:pPr>
      <w:r w:rsidRPr="002C7499">
        <w:rPr>
          <w:lang w:eastAsia="de-DE"/>
        </w:rPr>
        <w:t>"</w:t>
      </w:r>
      <w:r w:rsidR="00624517" w:rsidRPr="002C7499">
        <w:rPr>
          <w:lang w:eastAsia="de-DE"/>
        </w:rPr>
        <w:t>A.1.2.1.</w:t>
      </w:r>
      <w:r w:rsidR="00624517" w:rsidRPr="002C7499">
        <w:rPr>
          <w:lang w:eastAsia="de-DE"/>
        </w:rPr>
        <w:tab/>
      </w:r>
      <w:r w:rsidR="00624517" w:rsidRPr="008500F1">
        <w:rPr>
          <w:strike/>
          <w:lang w:eastAsia="de-DE"/>
        </w:rPr>
        <w:t>In order to receive an extension of a type approval for a vehicle in respect of its engine type-approved under this Regulation to a vehicle with a reference mass exceeding 2,380 kg but not exceeding 2,610 kg the manufacturer shall meet the requirements of Regulation No.101 with the exceptions specified below.</w:t>
      </w:r>
    </w:p>
    <w:p w14:paraId="105A94DF" w14:textId="780917E4" w:rsidR="002245B4" w:rsidRPr="008500F1" w:rsidRDefault="002245B4" w:rsidP="002245B4">
      <w:pPr>
        <w:pStyle w:val="SingleTxtG"/>
        <w:ind w:left="2268"/>
        <w:rPr>
          <w:b/>
          <w:bCs/>
          <w:lang w:eastAsia="de-DE"/>
        </w:rPr>
      </w:pPr>
      <w:r w:rsidRPr="008500F1">
        <w:rPr>
          <w:b/>
          <w:bCs/>
          <w:lang w:eastAsia="de-DE"/>
        </w:rPr>
        <w:t>In order to receive an extension of a type-approval for a vehicle in respect of its engine type-approved under this Regulation to a vehicle with a reference mass exceeding 2,380 kg but not exceeding 2,610 kg, the manufacturer shall meet the requirements relating to the measurement of CO</w:t>
      </w:r>
      <w:r w:rsidRPr="008500F1">
        <w:rPr>
          <w:b/>
          <w:bCs/>
          <w:vertAlign w:val="subscript"/>
          <w:lang w:eastAsia="de-DE"/>
        </w:rPr>
        <w:t>2</w:t>
      </w:r>
      <w:r w:rsidRPr="008500F1">
        <w:rPr>
          <w:b/>
          <w:bCs/>
          <w:lang w:eastAsia="de-DE"/>
        </w:rPr>
        <w:t xml:space="preserve"> emissions and fuel consumption established by the type 1 emissions test procedures set out in Annex B6 to UN Regulation </w:t>
      </w:r>
      <w:r w:rsidR="00501171" w:rsidRPr="008500F1">
        <w:rPr>
          <w:b/>
          <w:bCs/>
          <w:lang w:eastAsia="de-DE"/>
        </w:rPr>
        <w:t>No</w:t>
      </w:r>
      <w:r w:rsidR="00DF4F0B" w:rsidRPr="008500F1">
        <w:rPr>
          <w:b/>
          <w:bCs/>
          <w:lang w:eastAsia="de-DE"/>
        </w:rPr>
        <w:t>.</w:t>
      </w:r>
      <w:r w:rsidR="00501171" w:rsidRPr="008500F1">
        <w:rPr>
          <w:b/>
          <w:bCs/>
          <w:lang w:eastAsia="de-DE"/>
        </w:rPr>
        <w:t xml:space="preserve"> </w:t>
      </w:r>
      <w:r w:rsidR="00226924" w:rsidRPr="008500F1">
        <w:rPr>
          <w:b/>
          <w:bCs/>
          <w:lang w:eastAsia="de-DE"/>
        </w:rPr>
        <w:t>[154]</w:t>
      </w:r>
      <w:r w:rsidRPr="008500F1">
        <w:rPr>
          <w:b/>
          <w:bCs/>
          <w:lang w:eastAsia="de-DE"/>
        </w:rPr>
        <w:t xml:space="preserve"> with only speed trace and RCB corrections. The CO</w:t>
      </w:r>
      <w:r w:rsidRPr="008500F1">
        <w:rPr>
          <w:b/>
          <w:bCs/>
          <w:vertAlign w:val="subscript"/>
          <w:lang w:eastAsia="de-DE"/>
        </w:rPr>
        <w:t>2</w:t>
      </w:r>
      <w:r w:rsidRPr="008500F1">
        <w:rPr>
          <w:b/>
          <w:bCs/>
          <w:lang w:eastAsia="de-DE"/>
        </w:rPr>
        <w:t xml:space="preserve"> emissions shall be determined in accordance with table A6/2 of that annex not taking into account the criteria emission test results, where the vehicle during testing shall apply no AES and be considered as VH. The test reports specified in Appendix 1, Part I until paragraph 2.1. inclusive, and Appendix 2 to Annex A1 of UN Regulation </w:t>
      </w:r>
      <w:r w:rsidR="00501171" w:rsidRPr="008500F1">
        <w:rPr>
          <w:b/>
          <w:bCs/>
          <w:lang w:eastAsia="de-DE"/>
        </w:rPr>
        <w:t>No</w:t>
      </w:r>
      <w:r w:rsidR="00DF4F0B" w:rsidRPr="008500F1">
        <w:rPr>
          <w:b/>
          <w:bCs/>
          <w:lang w:eastAsia="de-DE"/>
        </w:rPr>
        <w:t>.</w:t>
      </w:r>
      <w:r w:rsidR="00501171" w:rsidRPr="008500F1">
        <w:rPr>
          <w:b/>
          <w:bCs/>
          <w:lang w:eastAsia="de-DE"/>
        </w:rPr>
        <w:t xml:space="preserve"> </w:t>
      </w:r>
      <w:r w:rsidR="00226924" w:rsidRPr="008500F1">
        <w:rPr>
          <w:b/>
          <w:bCs/>
          <w:lang w:eastAsia="de-DE"/>
        </w:rPr>
        <w:t>[154]</w:t>
      </w:r>
      <w:r w:rsidRPr="008500F1">
        <w:rPr>
          <w:b/>
          <w:bCs/>
          <w:lang w:eastAsia="de-DE"/>
        </w:rPr>
        <w:t xml:space="preserve">, shall be submitted to the type approval authorities including the results of pollutant emissions. </w:t>
      </w:r>
    </w:p>
    <w:p w14:paraId="7E0DFBBC" w14:textId="77777777" w:rsidR="002245B4" w:rsidRPr="008500F1" w:rsidRDefault="002245B4" w:rsidP="002245B4">
      <w:pPr>
        <w:pStyle w:val="SingleTxtG"/>
        <w:ind w:left="2268"/>
        <w:rPr>
          <w:b/>
          <w:bCs/>
          <w:lang w:eastAsia="de-DE"/>
        </w:rPr>
      </w:pPr>
      <w:r w:rsidRPr="008500F1">
        <w:rPr>
          <w:b/>
          <w:bCs/>
          <w:lang w:eastAsia="de-DE"/>
        </w:rPr>
        <w:t>The manufacturer shall provide the type approval authority with a signed declaration that all variants and versions for which this extension is requested are in conformity with the type-approval emission requirements in this Regulation and that the type 1 test was performed in compliance with the previous paragraph.</w:t>
      </w:r>
    </w:p>
    <w:p w14:paraId="797F5B7F" w14:textId="4B195ECE" w:rsidR="002245B4" w:rsidRPr="008500F1" w:rsidRDefault="002245B4" w:rsidP="002245B4">
      <w:pPr>
        <w:pStyle w:val="SingleTxtG"/>
        <w:ind w:left="2268"/>
        <w:rPr>
          <w:b/>
          <w:bCs/>
          <w:lang w:eastAsia="de-DE"/>
        </w:rPr>
      </w:pPr>
      <w:r w:rsidRPr="008500F1">
        <w:rPr>
          <w:b/>
          <w:bCs/>
          <w:lang w:eastAsia="de-DE"/>
        </w:rPr>
        <w:t>For dedicated compression ignition engines fuelled with ethanol (ED95), a fixed carbon-hydrogen-oxygen ratio shall be used for the purposes of calculating fuel consumption values, which shall be C</w:t>
      </w:r>
      <w:r w:rsidRPr="008500F1">
        <w:rPr>
          <w:b/>
          <w:bCs/>
          <w:vertAlign w:val="subscript"/>
          <w:lang w:eastAsia="de-DE"/>
        </w:rPr>
        <w:t>1</w:t>
      </w:r>
      <w:r w:rsidRPr="008500F1">
        <w:rPr>
          <w:b/>
          <w:bCs/>
          <w:lang w:eastAsia="de-DE"/>
        </w:rPr>
        <w:t>H</w:t>
      </w:r>
      <w:r w:rsidRPr="008500F1">
        <w:rPr>
          <w:b/>
          <w:bCs/>
          <w:vertAlign w:val="subscript"/>
          <w:lang w:eastAsia="de-DE"/>
        </w:rPr>
        <w:t>2.92</w:t>
      </w:r>
      <w:r w:rsidRPr="008500F1">
        <w:rPr>
          <w:b/>
          <w:bCs/>
          <w:lang w:eastAsia="de-DE"/>
        </w:rPr>
        <w:t>O</w:t>
      </w:r>
      <w:r w:rsidRPr="008500F1">
        <w:rPr>
          <w:b/>
          <w:bCs/>
          <w:vertAlign w:val="subscript"/>
          <w:lang w:eastAsia="de-DE"/>
        </w:rPr>
        <w:t>0.46</w:t>
      </w:r>
      <w:r w:rsidRPr="008500F1">
        <w:rPr>
          <w:b/>
          <w:bCs/>
          <w:lang w:eastAsia="de-DE"/>
        </w:rPr>
        <w:t>.</w:t>
      </w:r>
    </w:p>
    <w:p w14:paraId="47F32D17" w14:textId="77777777" w:rsidR="00890FB0" w:rsidRPr="00697A82" w:rsidRDefault="00890FB0" w:rsidP="00697A82">
      <w:pPr>
        <w:pStyle w:val="HChG"/>
        <w:tabs>
          <w:tab w:val="clear" w:pos="851"/>
        </w:tabs>
        <w:ind w:left="567" w:firstLine="0"/>
        <w:rPr>
          <w:szCs w:val="28"/>
        </w:rPr>
      </w:pPr>
      <w:r w:rsidRPr="00697A82">
        <w:rPr>
          <w:szCs w:val="28"/>
          <w:lang w:val="en-US"/>
        </w:rPr>
        <w:t>II.</w:t>
      </w:r>
      <w:r w:rsidRPr="00697A82">
        <w:rPr>
          <w:szCs w:val="28"/>
          <w:lang w:val="en-US"/>
        </w:rPr>
        <w:tab/>
        <w:t>Justification</w:t>
      </w:r>
    </w:p>
    <w:p w14:paraId="69D97FFC" w14:textId="77777777" w:rsidR="00F841EA" w:rsidRPr="006865CB" w:rsidRDefault="00F841EA" w:rsidP="00E566C4">
      <w:pPr>
        <w:pStyle w:val="SingleTxtG"/>
      </w:pPr>
      <w:r w:rsidRPr="006865CB">
        <w:t>1.</w:t>
      </w:r>
      <w:r w:rsidRPr="006865CB">
        <w:tab/>
        <w:t xml:space="preserve">The emissions performance of heavy duty vehicles in the period following a cold engine start is currently not assessed as part of the type-approval demonstration test or the in-service conformity test. In order to represent real world emissions better, the measurement procedure should be revised to include measurement of pollutant emissions during the cold engine start period. </w:t>
      </w:r>
    </w:p>
    <w:p w14:paraId="0CB9D09C" w14:textId="77777777" w:rsidR="00E566C4" w:rsidRDefault="00F841EA" w:rsidP="00E566C4">
      <w:pPr>
        <w:pStyle w:val="SingleTxtG"/>
      </w:pPr>
      <w:r w:rsidRPr="006865CB">
        <w:t>2.</w:t>
      </w:r>
      <w:r w:rsidRPr="006865CB">
        <w:tab/>
        <w:t xml:space="preserve">Particle number measurements using PEMS have been successfully implemented under the emissions type-approval rules for light passenger and commercial vehicles. It is considered appropriate to introduce a similar requirement in the emissions type-approval rules for heavy duty vehicles. </w:t>
      </w:r>
    </w:p>
    <w:p w14:paraId="591207BB" w14:textId="00AB9D75" w:rsidR="00922544" w:rsidRPr="006865CB" w:rsidRDefault="00F841EA" w:rsidP="00E566C4">
      <w:pPr>
        <w:pStyle w:val="SingleTxtG"/>
        <w:spacing w:after="240" w:line="240" w:lineRule="auto"/>
      </w:pPr>
      <w:r w:rsidRPr="00E566C4">
        <w:t>3.</w:t>
      </w:r>
      <w:r w:rsidRPr="00E566C4">
        <w:tab/>
        <w:t xml:space="preserve">The rules for declaring and assessing Auxiliary Emission Strategies (AES) have been changed for light passenger and commercial vehicles and should be aligned with those for heavy duty vehicles for the sake of consistency. </w:t>
      </w:r>
      <w:r w:rsidRPr="00E566C4">
        <w:cr/>
      </w:r>
      <w:r w:rsidR="00E566C4">
        <w:br/>
      </w:r>
      <w:r w:rsidRPr="006865CB">
        <w:t>4.</w:t>
      </w:r>
      <w:r w:rsidRPr="006865CB">
        <w:tab/>
        <w:t xml:space="preserve">The rules on access to vehicle OBD information shall not be limited to the emissions legislation and it is deemed appropriate to omit the provisions relating to access to such information from this Regulation. It is suggested to incorporate the rules on access to vehicle OBD information and vehicle repair and maintenance information into UN Regulation </w:t>
      </w:r>
      <w:r w:rsidR="00D6175C">
        <w:t xml:space="preserve">No. </w:t>
      </w:r>
      <w:r w:rsidRPr="006865CB">
        <w:t>0, to make these applicable at whole vehicle level.</w:t>
      </w:r>
    </w:p>
    <w:p w14:paraId="47F32D1E" w14:textId="6541F3D9" w:rsidR="005C7411" w:rsidRPr="00633E79" w:rsidRDefault="00633E79" w:rsidP="00633E79">
      <w:pPr>
        <w:spacing w:before="240"/>
        <w:jc w:val="center"/>
        <w:rPr>
          <w:u w:val="single"/>
        </w:rPr>
      </w:pPr>
      <w:r>
        <w:rPr>
          <w:u w:val="single"/>
        </w:rPr>
        <w:tab/>
      </w:r>
      <w:r>
        <w:rPr>
          <w:u w:val="single"/>
        </w:rPr>
        <w:tab/>
      </w:r>
      <w:r>
        <w:rPr>
          <w:u w:val="single"/>
        </w:rPr>
        <w:tab/>
      </w:r>
      <w:bookmarkStart w:id="24" w:name="_GoBack"/>
      <w:bookmarkEnd w:id="24"/>
    </w:p>
    <w:sectPr w:rsidR="005C7411" w:rsidRPr="00633E79" w:rsidSect="0088228F">
      <w:headerReference w:type="even" r:id="rId23"/>
      <w:headerReference w:type="default" r:id="rId24"/>
      <w:footerReference w:type="even" r:id="rId25"/>
      <w:footerReference w:type="default" r:id="rId26"/>
      <w:headerReference w:type="first" r:id="rId27"/>
      <w:footerReference w:type="first" r:id="rId28"/>
      <w:footnotePr>
        <w:numFmt w:val="chicago"/>
        <w:numRestart w:val="eachSect"/>
      </w:footnotePr>
      <w:endnotePr>
        <w:numFmt w:val="decimal"/>
      </w:endnotePr>
      <w:type w:val="continuous"/>
      <w:pgSz w:w="11907" w:h="16840" w:code="9"/>
      <w:pgMar w:top="1418" w:right="1134" w:bottom="1134" w:left="1134" w:header="851" w:footer="567"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981E93" w14:textId="77777777" w:rsidR="00E85F77" w:rsidRDefault="00E85F77"/>
  </w:endnote>
  <w:endnote w:type="continuationSeparator" w:id="0">
    <w:p w14:paraId="45EE44FF" w14:textId="77777777" w:rsidR="00E85F77" w:rsidRDefault="00E85F77"/>
  </w:endnote>
  <w:endnote w:type="continuationNotice" w:id="1">
    <w:p w14:paraId="1E41E343" w14:textId="77777777" w:rsidR="00E85F77" w:rsidRDefault="00E85F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JLOIP+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tiliser une police de caractè">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39T30Lfz">
    <w:panose1 w:val="000004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F32D29" w14:textId="7316F2EE" w:rsidR="0088228F" w:rsidRDefault="0088228F" w:rsidP="003E02FC">
    <w:pPr>
      <w:pStyle w:val="Footer"/>
    </w:pPr>
    <w:r w:rsidRPr="00D45CC9">
      <w:rPr>
        <w:b/>
        <w:sz w:val="18"/>
      </w:rPr>
      <w:fldChar w:fldCharType="begin"/>
    </w:r>
    <w:r w:rsidRPr="00D45CC9">
      <w:rPr>
        <w:b/>
        <w:sz w:val="18"/>
      </w:rPr>
      <w:instrText xml:space="preserve"> PAGE  \* MERGEFORMAT </w:instrText>
    </w:r>
    <w:r w:rsidRPr="00D45CC9">
      <w:rPr>
        <w:b/>
        <w:sz w:val="18"/>
      </w:rPr>
      <w:fldChar w:fldCharType="separate"/>
    </w:r>
    <w:r>
      <w:rPr>
        <w:b/>
        <w:noProof/>
        <w:sz w:val="18"/>
      </w:rPr>
      <w:t>2</w:t>
    </w:r>
    <w:r w:rsidRPr="00D45CC9">
      <w:rPr>
        <w:b/>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F32D2A" w14:textId="00EA050B" w:rsidR="0088228F" w:rsidRDefault="0088228F" w:rsidP="003E02FC">
    <w:pPr>
      <w:pStyle w:val="Footer"/>
      <w:jc w:val="right"/>
    </w:pPr>
    <w:r w:rsidRPr="00D45CC9">
      <w:rPr>
        <w:b/>
        <w:sz w:val="18"/>
      </w:rPr>
      <w:fldChar w:fldCharType="begin"/>
    </w:r>
    <w:r w:rsidRPr="00D45CC9">
      <w:rPr>
        <w:b/>
        <w:sz w:val="18"/>
      </w:rPr>
      <w:instrText xml:space="preserve"> PAGE  \* MERGEFORMAT </w:instrText>
    </w:r>
    <w:r w:rsidRPr="00D45CC9">
      <w:rPr>
        <w:b/>
        <w:sz w:val="18"/>
      </w:rPr>
      <w:fldChar w:fldCharType="separate"/>
    </w:r>
    <w:r>
      <w:rPr>
        <w:b/>
        <w:noProof/>
        <w:sz w:val="18"/>
      </w:rPr>
      <w:t>3</w:t>
    </w:r>
    <w:r w:rsidRPr="00D45CC9">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7EC1C" w14:textId="7561F7DC" w:rsidR="00A37FE4" w:rsidRDefault="00A37FE4" w:rsidP="00A37FE4">
    <w:pPr>
      <w:pStyle w:val="Footer"/>
    </w:pPr>
    <w:r w:rsidRPr="000A3DF8">
      <w:rPr>
        <w:rStyle w:val="Hyperlink"/>
        <w:noProof/>
        <w:lang w:val="fr-CH"/>
      </w:rPr>
      <w:drawing>
        <wp:anchor distT="0" distB="0" distL="114300" distR="114300" simplePos="0" relativeHeight="251659264" behindDoc="1" locked="1" layoutInCell="1" allowOverlap="1" wp14:anchorId="43E4194E" wp14:editId="20ABAEEA">
          <wp:simplePos x="0" y="0"/>
          <wp:positionH relativeFrom="margin">
            <wp:posOffset>4320540</wp:posOffset>
          </wp:positionH>
          <wp:positionV relativeFrom="margin">
            <wp:posOffset>9196070</wp:posOffset>
          </wp:positionV>
          <wp:extent cx="932180" cy="229870"/>
          <wp:effectExtent l="0" t="0" r="1270" b="0"/>
          <wp:wrapTight wrapText="bothSides">
            <wp:wrapPolygon edited="0">
              <wp:start x="16332" y="0"/>
              <wp:lineTo x="0" y="8950"/>
              <wp:lineTo x="0" y="19691"/>
              <wp:lineTo x="10153" y="19691"/>
              <wp:lineTo x="20747" y="19691"/>
              <wp:lineTo x="21188" y="16110"/>
              <wp:lineTo x="21188" y="0"/>
              <wp:lineTo x="16332" y="0"/>
            </wp:wrapPolygon>
          </wp:wrapTight>
          <wp:docPr id="12" name="Picture 12" descr="Please recycl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180" cy="229870"/>
                  </a:xfrm>
                  <a:prstGeom prst="rect">
                    <a:avLst/>
                  </a:prstGeom>
                  <a:noFill/>
                </pic:spPr>
              </pic:pic>
            </a:graphicData>
          </a:graphic>
          <wp14:sizeRelH relativeFrom="margin">
            <wp14:pctWidth>0</wp14:pctWidth>
          </wp14:sizeRelH>
          <wp14:sizeRelV relativeFrom="margin">
            <wp14:pctHeight>0</wp14:pctHeight>
          </wp14:sizeRelV>
        </wp:anchor>
      </w:drawing>
    </w:r>
  </w:p>
  <w:p w14:paraId="4A6E9D3F" w14:textId="52A6D2E0" w:rsidR="00A37FE4" w:rsidRDefault="00A37FE4" w:rsidP="00A37FE4">
    <w:pPr>
      <w:pStyle w:val="Footer"/>
      <w:ind w:right="1134"/>
      <w:rPr>
        <w:sz w:val="20"/>
      </w:rPr>
    </w:pPr>
    <w:r>
      <w:rPr>
        <w:sz w:val="20"/>
      </w:rPr>
      <w:t>GE.20-14567(E)</w:t>
    </w:r>
  </w:p>
  <w:p w14:paraId="64F4B92F" w14:textId="144E40B9" w:rsidR="00A37FE4" w:rsidRPr="00A37FE4" w:rsidRDefault="00A37FE4" w:rsidP="00A37FE4">
    <w:pPr>
      <w:pStyle w:val="Footer"/>
      <w:ind w:right="1134"/>
      <w:rPr>
        <w:rFonts w:ascii="C39T30Lfz" w:hAnsi="C39T30Lfz"/>
        <w:sz w:val="56"/>
      </w:rPr>
    </w:pPr>
    <w:r>
      <w:rPr>
        <w:rFonts w:ascii="C39T30Lfz" w:hAnsi="C39T30Lfz"/>
        <w:sz w:val="56"/>
      </w:rPr>
      <w:t>*2014567*</w:t>
    </w:r>
    <w:r>
      <w:rPr>
        <w:rFonts w:ascii="C39T30Lfz" w:hAnsi="C39T30Lfz"/>
        <w:noProof/>
        <w:sz w:val="56"/>
      </w:rPr>
      <w:drawing>
        <wp:anchor distT="0" distB="0" distL="114300" distR="114300" simplePos="0" relativeHeight="251660288" behindDoc="0" locked="0" layoutInCell="1" allowOverlap="1" wp14:anchorId="2889F6F7" wp14:editId="761464F8">
          <wp:simplePos x="0" y="0"/>
          <wp:positionH relativeFrom="margin">
            <wp:posOffset>5478780</wp:posOffset>
          </wp:positionH>
          <wp:positionV relativeFrom="margin">
            <wp:posOffset>8794750</wp:posOffset>
          </wp:positionV>
          <wp:extent cx="638175" cy="638175"/>
          <wp:effectExtent l="0" t="0" r="9525" b="9525"/>
          <wp:wrapNone/>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FBCB8B" w14:textId="77777777" w:rsidR="00E85F77" w:rsidRPr="000B175B" w:rsidRDefault="00E85F77" w:rsidP="000B175B">
      <w:pPr>
        <w:tabs>
          <w:tab w:val="right" w:pos="2155"/>
        </w:tabs>
        <w:spacing w:after="80"/>
        <w:ind w:left="680"/>
        <w:rPr>
          <w:u w:val="single"/>
        </w:rPr>
      </w:pPr>
      <w:r>
        <w:rPr>
          <w:u w:val="single"/>
        </w:rPr>
        <w:tab/>
      </w:r>
    </w:p>
  </w:footnote>
  <w:footnote w:type="continuationSeparator" w:id="0">
    <w:p w14:paraId="58C6F8E8" w14:textId="77777777" w:rsidR="00E85F77" w:rsidRPr="00FC68B7" w:rsidRDefault="00E85F77" w:rsidP="00FC68B7">
      <w:pPr>
        <w:tabs>
          <w:tab w:val="left" w:pos="2155"/>
        </w:tabs>
        <w:spacing w:after="80"/>
        <w:ind w:left="680"/>
        <w:rPr>
          <w:u w:val="single"/>
        </w:rPr>
      </w:pPr>
      <w:r>
        <w:rPr>
          <w:u w:val="single"/>
        </w:rPr>
        <w:tab/>
      </w:r>
    </w:p>
  </w:footnote>
  <w:footnote w:type="continuationNotice" w:id="1">
    <w:p w14:paraId="2ED1ED0C" w14:textId="77777777" w:rsidR="00E85F77" w:rsidRDefault="00E85F77"/>
  </w:footnote>
  <w:footnote w:id="2">
    <w:p w14:paraId="47F32D33" w14:textId="26200881" w:rsidR="0088228F" w:rsidRPr="007E5C8F" w:rsidRDefault="0088228F" w:rsidP="00735EE3">
      <w:pPr>
        <w:pStyle w:val="FootnoteText"/>
      </w:pPr>
      <w:r>
        <w:tab/>
      </w:r>
      <w:r w:rsidRPr="002232AF">
        <w:rPr>
          <w:rStyle w:val="FootnoteReference"/>
          <w:sz w:val="20"/>
          <w:vertAlign w:val="baseline"/>
          <w:lang w:val="en-US"/>
        </w:rPr>
        <w:t>*</w:t>
      </w:r>
      <w:r w:rsidRPr="002232AF">
        <w:rPr>
          <w:sz w:val="20"/>
          <w:lang w:val="en-US"/>
        </w:rPr>
        <w:tab/>
      </w:r>
      <w:r w:rsidRPr="00AB708F">
        <w:rPr>
          <w:szCs w:val="18"/>
          <w:lang w:val="en-US"/>
        </w:rPr>
        <w:t>In accordance with the programme of work of</w:t>
      </w:r>
      <w:r>
        <w:rPr>
          <w:szCs w:val="18"/>
          <w:lang w:val="en-US"/>
        </w:rPr>
        <w:t xml:space="preserve"> the</w:t>
      </w:r>
      <w:r w:rsidRPr="00AB708F">
        <w:rPr>
          <w:szCs w:val="18"/>
          <w:lang w:val="en-US"/>
        </w:rPr>
        <w:t xml:space="preserve"> </w:t>
      </w:r>
      <w:r w:rsidRPr="00C14763">
        <w:rPr>
          <w:szCs w:val="18"/>
          <w:lang w:val="en-US"/>
        </w:rPr>
        <w:t xml:space="preserve">Inland Transport Committee for 2021 as outlined in proposed programme budget for 2021 (A/75/6 (Sect.20), para 20.51), </w:t>
      </w:r>
      <w:r w:rsidRPr="00AB708F">
        <w:rPr>
          <w:szCs w:val="18"/>
          <w:lang w:val="en-US"/>
        </w:rPr>
        <w:t>the World Forum will develop, harmonize and update UN Regulations in order to enhance the performance of vehicles. The present document is submitted in conformity with that mandate.</w:t>
      </w:r>
    </w:p>
  </w:footnote>
  <w:footnote w:id="3">
    <w:p w14:paraId="1D4D6253" w14:textId="28D02401" w:rsidR="0088228F" w:rsidRPr="008500F1" w:rsidRDefault="0088228F">
      <w:pPr>
        <w:pStyle w:val="FootnoteText"/>
        <w:rPr>
          <w:b/>
          <w:bCs/>
        </w:rPr>
      </w:pPr>
      <w:r>
        <w:rPr>
          <w:b/>
          <w:bCs/>
        </w:rPr>
        <w:tab/>
      </w:r>
      <w:r w:rsidRPr="008500F1">
        <w:rPr>
          <w:rStyle w:val="FootnoteReference"/>
          <w:b/>
          <w:bCs/>
        </w:rPr>
        <w:footnoteRef/>
      </w:r>
      <w:r>
        <w:rPr>
          <w:b/>
          <w:bCs/>
        </w:rPr>
        <w:tab/>
      </w:r>
      <w:r w:rsidRPr="008500F1">
        <w:rPr>
          <w:b/>
          <w:bCs/>
        </w:rPr>
        <w:t>To be replaced by actual date of entry into force when known</w:t>
      </w:r>
    </w:p>
  </w:footnote>
  <w:footnote w:id="4">
    <w:p w14:paraId="597B8CA4" w14:textId="155F30EA" w:rsidR="0088228F" w:rsidRPr="008500F1" w:rsidRDefault="0088228F" w:rsidP="001535E6">
      <w:pPr>
        <w:pStyle w:val="FootnoteText"/>
        <w:rPr>
          <w:b/>
          <w:bCs/>
        </w:rPr>
      </w:pPr>
      <w:r>
        <w:tab/>
      </w:r>
      <w:r w:rsidRPr="008500F1">
        <w:rPr>
          <w:rStyle w:val="FootnoteReference"/>
          <w:b/>
          <w:bCs/>
        </w:rPr>
        <w:footnoteRef/>
      </w:r>
      <w:r>
        <w:tab/>
      </w:r>
      <w:r w:rsidRPr="008500F1">
        <w:rPr>
          <w:b/>
          <w:bCs/>
          <w:szCs w:val="18"/>
          <w:lang w:val="en-US"/>
        </w:rPr>
        <w:t xml:space="preserve">As defined in the Consolidated Resolution on the Construction of Vehicles (R.E.3.), document ECE/TRANS/WP.29/78/Rev.3, para. 2. </w:t>
      </w:r>
      <w:r w:rsidRPr="008500F1">
        <w:rPr>
          <w:b/>
          <w:bCs/>
          <w:szCs w:val="18"/>
        </w:rPr>
        <w:t xml:space="preserve">- </w:t>
      </w:r>
      <w:hyperlink r:id="rId1" w:history="1">
        <w:r w:rsidRPr="008500F1">
          <w:rPr>
            <w:b/>
            <w:bCs/>
            <w:szCs w:val="18"/>
          </w:rPr>
          <w:t>www.unece.org/trans/main/wp29/wp29wgs/wp29gen/wp29resolutions.html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F32D27" w14:textId="41D62CDC" w:rsidR="0088228F" w:rsidRPr="003E02FC" w:rsidRDefault="0088228F">
    <w:pPr>
      <w:pStyle w:val="Header"/>
      <w:rPr>
        <w:lang w:val="fr-CH"/>
      </w:rPr>
    </w:pPr>
    <w:r>
      <w:rPr>
        <w:lang w:val="fr-CH"/>
      </w:rPr>
      <w:t>ECE/TRANS/WP.29/GRPE/2021/6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F32D28" w14:textId="4E57765F" w:rsidR="0088228F" w:rsidRPr="003E02FC" w:rsidRDefault="0088228F" w:rsidP="003E02FC">
    <w:pPr>
      <w:pStyle w:val="Header"/>
      <w:jc w:val="right"/>
      <w:rPr>
        <w:lang w:val="fr-CH"/>
      </w:rPr>
    </w:pPr>
    <w:r w:rsidRPr="00137811">
      <w:rPr>
        <w:lang w:val="fr-CH"/>
      </w:rPr>
      <w:t>ECE/TRANS/WP.29/GRPE/2021/6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F32D2B" w14:textId="77777777" w:rsidR="0088228F" w:rsidRPr="0047514E" w:rsidRDefault="0088228F" w:rsidP="0047514E">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AFEC36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267B62"/>
    <w:multiLevelType w:val="hybridMultilevel"/>
    <w:tmpl w:val="5C406A3C"/>
    <w:lvl w:ilvl="0" w:tplc="A2120718">
      <w:start w:val="2"/>
      <w:numFmt w:val="bullet"/>
      <w:lvlText w:val="-"/>
      <w:lvlJc w:val="left"/>
      <w:pPr>
        <w:ind w:left="720" w:hanging="360"/>
      </w:pPr>
      <w:rPr>
        <w:rFonts w:ascii="Calibri" w:eastAsia="Calibri"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073F3903"/>
    <w:multiLevelType w:val="hybridMultilevel"/>
    <w:tmpl w:val="7FE26C9A"/>
    <w:lvl w:ilvl="0" w:tplc="D158BC5A">
      <w:start w:val="1"/>
      <w:numFmt w:val="bullet"/>
      <w:lvlText w:val="-"/>
      <w:lvlJc w:val="left"/>
      <w:pPr>
        <w:ind w:left="2232" w:hanging="360"/>
      </w:pPr>
      <w:rPr>
        <w:rFonts w:ascii="Times New Roman" w:eastAsia="Times New Roman" w:hAnsi="Times New Roman" w:cs="Times New Roman" w:hint="default"/>
      </w:rPr>
    </w:lvl>
    <w:lvl w:ilvl="1" w:tplc="08090003" w:tentative="1">
      <w:start w:val="1"/>
      <w:numFmt w:val="bullet"/>
      <w:lvlText w:val="o"/>
      <w:lvlJc w:val="left"/>
      <w:pPr>
        <w:ind w:left="2952" w:hanging="360"/>
      </w:pPr>
      <w:rPr>
        <w:rFonts w:ascii="Courier New" w:hAnsi="Courier New" w:cs="Courier New" w:hint="default"/>
      </w:rPr>
    </w:lvl>
    <w:lvl w:ilvl="2" w:tplc="08090005" w:tentative="1">
      <w:start w:val="1"/>
      <w:numFmt w:val="bullet"/>
      <w:lvlText w:val=""/>
      <w:lvlJc w:val="left"/>
      <w:pPr>
        <w:ind w:left="3672" w:hanging="360"/>
      </w:pPr>
      <w:rPr>
        <w:rFonts w:ascii="Wingdings" w:hAnsi="Wingdings" w:hint="default"/>
      </w:rPr>
    </w:lvl>
    <w:lvl w:ilvl="3" w:tplc="08090001" w:tentative="1">
      <w:start w:val="1"/>
      <w:numFmt w:val="bullet"/>
      <w:lvlText w:val=""/>
      <w:lvlJc w:val="left"/>
      <w:pPr>
        <w:ind w:left="4392" w:hanging="360"/>
      </w:pPr>
      <w:rPr>
        <w:rFonts w:ascii="Symbol" w:hAnsi="Symbol" w:hint="default"/>
      </w:rPr>
    </w:lvl>
    <w:lvl w:ilvl="4" w:tplc="08090003" w:tentative="1">
      <w:start w:val="1"/>
      <w:numFmt w:val="bullet"/>
      <w:lvlText w:val="o"/>
      <w:lvlJc w:val="left"/>
      <w:pPr>
        <w:ind w:left="5112" w:hanging="360"/>
      </w:pPr>
      <w:rPr>
        <w:rFonts w:ascii="Courier New" w:hAnsi="Courier New" w:cs="Courier New" w:hint="default"/>
      </w:rPr>
    </w:lvl>
    <w:lvl w:ilvl="5" w:tplc="08090005" w:tentative="1">
      <w:start w:val="1"/>
      <w:numFmt w:val="bullet"/>
      <w:lvlText w:val=""/>
      <w:lvlJc w:val="left"/>
      <w:pPr>
        <w:ind w:left="5832" w:hanging="360"/>
      </w:pPr>
      <w:rPr>
        <w:rFonts w:ascii="Wingdings" w:hAnsi="Wingdings" w:hint="default"/>
      </w:rPr>
    </w:lvl>
    <w:lvl w:ilvl="6" w:tplc="08090001" w:tentative="1">
      <w:start w:val="1"/>
      <w:numFmt w:val="bullet"/>
      <w:lvlText w:val=""/>
      <w:lvlJc w:val="left"/>
      <w:pPr>
        <w:ind w:left="6552" w:hanging="360"/>
      </w:pPr>
      <w:rPr>
        <w:rFonts w:ascii="Symbol" w:hAnsi="Symbol" w:hint="default"/>
      </w:rPr>
    </w:lvl>
    <w:lvl w:ilvl="7" w:tplc="08090003" w:tentative="1">
      <w:start w:val="1"/>
      <w:numFmt w:val="bullet"/>
      <w:lvlText w:val="o"/>
      <w:lvlJc w:val="left"/>
      <w:pPr>
        <w:ind w:left="7272" w:hanging="360"/>
      </w:pPr>
      <w:rPr>
        <w:rFonts w:ascii="Courier New" w:hAnsi="Courier New" w:cs="Courier New" w:hint="default"/>
      </w:rPr>
    </w:lvl>
    <w:lvl w:ilvl="8" w:tplc="08090005" w:tentative="1">
      <w:start w:val="1"/>
      <w:numFmt w:val="bullet"/>
      <w:lvlText w:val=""/>
      <w:lvlJc w:val="left"/>
      <w:pPr>
        <w:ind w:left="7992" w:hanging="360"/>
      </w:pPr>
      <w:rPr>
        <w:rFonts w:ascii="Wingdings" w:hAnsi="Wingdings" w:hint="default"/>
      </w:rPr>
    </w:lvl>
  </w:abstractNum>
  <w:abstractNum w:abstractNumId="12" w15:restartNumberingAfterBreak="0">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07FA2A69"/>
    <w:multiLevelType w:val="multilevel"/>
    <w:tmpl w:val="41F4BAA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7739" w:hanging="792"/>
      </w:pPr>
      <w:rPr>
        <w:strike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0CCE74DB"/>
    <w:multiLevelType w:val="hybridMultilevel"/>
    <w:tmpl w:val="13002F3E"/>
    <w:lvl w:ilvl="0" w:tplc="040C000F">
      <w:start w:val="1"/>
      <w:numFmt w:val="decimal"/>
      <w:lvlText w:val="%1."/>
      <w:lvlJc w:val="left"/>
      <w:pPr>
        <w:ind w:left="1854" w:hanging="360"/>
      </w:pPr>
    </w:lvl>
    <w:lvl w:ilvl="1" w:tplc="040C0019" w:tentative="1">
      <w:start w:val="1"/>
      <w:numFmt w:val="lowerLetter"/>
      <w:lvlText w:val="%2."/>
      <w:lvlJc w:val="left"/>
      <w:pPr>
        <w:ind w:left="2574" w:hanging="360"/>
      </w:pPr>
    </w:lvl>
    <w:lvl w:ilvl="2" w:tplc="040C001B" w:tentative="1">
      <w:start w:val="1"/>
      <w:numFmt w:val="lowerRoman"/>
      <w:lvlText w:val="%3."/>
      <w:lvlJc w:val="right"/>
      <w:pPr>
        <w:ind w:left="3294" w:hanging="180"/>
      </w:pPr>
    </w:lvl>
    <w:lvl w:ilvl="3" w:tplc="040C000F" w:tentative="1">
      <w:start w:val="1"/>
      <w:numFmt w:val="decimal"/>
      <w:lvlText w:val="%4."/>
      <w:lvlJc w:val="left"/>
      <w:pPr>
        <w:ind w:left="4014" w:hanging="360"/>
      </w:pPr>
    </w:lvl>
    <w:lvl w:ilvl="4" w:tplc="040C0019" w:tentative="1">
      <w:start w:val="1"/>
      <w:numFmt w:val="lowerLetter"/>
      <w:lvlText w:val="%5."/>
      <w:lvlJc w:val="left"/>
      <w:pPr>
        <w:ind w:left="4734" w:hanging="360"/>
      </w:pPr>
    </w:lvl>
    <w:lvl w:ilvl="5" w:tplc="040C001B" w:tentative="1">
      <w:start w:val="1"/>
      <w:numFmt w:val="lowerRoman"/>
      <w:lvlText w:val="%6."/>
      <w:lvlJc w:val="right"/>
      <w:pPr>
        <w:ind w:left="5454" w:hanging="180"/>
      </w:pPr>
    </w:lvl>
    <w:lvl w:ilvl="6" w:tplc="040C000F" w:tentative="1">
      <w:start w:val="1"/>
      <w:numFmt w:val="decimal"/>
      <w:lvlText w:val="%7."/>
      <w:lvlJc w:val="left"/>
      <w:pPr>
        <w:ind w:left="6174" w:hanging="360"/>
      </w:pPr>
    </w:lvl>
    <w:lvl w:ilvl="7" w:tplc="040C0019" w:tentative="1">
      <w:start w:val="1"/>
      <w:numFmt w:val="lowerLetter"/>
      <w:lvlText w:val="%8."/>
      <w:lvlJc w:val="left"/>
      <w:pPr>
        <w:ind w:left="6894" w:hanging="360"/>
      </w:pPr>
    </w:lvl>
    <w:lvl w:ilvl="8" w:tplc="040C001B" w:tentative="1">
      <w:start w:val="1"/>
      <w:numFmt w:val="lowerRoman"/>
      <w:lvlText w:val="%9."/>
      <w:lvlJc w:val="right"/>
      <w:pPr>
        <w:ind w:left="7614" w:hanging="180"/>
      </w:pPr>
    </w:lvl>
  </w:abstractNum>
  <w:abstractNum w:abstractNumId="15" w15:restartNumberingAfterBreak="0">
    <w:nsid w:val="13461E68"/>
    <w:multiLevelType w:val="hybridMultilevel"/>
    <w:tmpl w:val="A2005F08"/>
    <w:lvl w:ilvl="0" w:tplc="83E2E5A6">
      <w:start w:val="6"/>
      <w:numFmt w:val="decimal"/>
      <w:lvlText w:val="%1."/>
      <w:lvlJc w:val="left"/>
      <w:pPr>
        <w:ind w:left="1494" w:hanging="360"/>
      </w:pPr>
      <w:rPr>
        <w:rFonts w:hint="default"/>
      </w:rPr>
    </w:lvl>
    <w:lvl w:ilvl="1" w:tplc="04070019" w:tentative="1">
      <w:start w:val="1"/>
      <w:numFmt w:val="lowerLetter"/>
      <w:lvlText w:val="%2."/>
      <w:lvlJc w:val="left"/>
      <w:pPr>
        <w:ind w:left="2214" w:hanging="360"/>
      </w:pPr>
    </w:lvl>
    <w:lvl w:ilvl="2" w:tplc="0407001B" w:tentative="1">
      <w:start w:val="1"/>
      <w:numFmt w:val="lowerRoman"/>
      <w:lvlText w:val="%3."/>
      <w:lvlJc w:val="right"/>
      <w:pPr>
        <w:ind w:left="2934" w:hanging="180"/>
      </w:pPr>
    </w:lvl>
    <w:lvl w:ilvl="3" w:tplc="0407000F" w:tentative="1">
      <w:start w:val="1"/>
      <w:numFmt w:val="decimal"/>
      <w:lvlText w:val="%4."/>
      <w:lvlJc w:val="left"/>
      <w:pPr>
        <w:ind w:left="3654" w:hanging="360"/>
      </w:pPr>
    </w:lvl>
    <w:lvl w:ilvl="4" w:tplc="04070019" w:tentative="1">
      <w:start w:val="1"/>
      <w:numFmt w:val="lowerLetter"/>
      <w:lvlText w:val="%5."/>
      <w:lvlJc w:val="left"/>
      <w:pPr>
        <w:ind w:left="4374" w:hanging="360"/>
      </w:pPr>
    </w:lvl>
    <w:lvl w:ilvl="5" w:tplc="0407001B" w:tentative="1">
      <w:start w:val="1"/>
      <w:numFmt w:val="lowerRoman"/>
      <w:lvlText w:val="%6."/>
      <w:lvlJc w:val="right"/>
      <w:pPr>
        <w:ind w:left="5094" w:hanging="180"/>
      </w:pPr>
    </w:lvl>
    <w:lvl w:ilvl="6" w:tplc="0407000F" w:tentative="1">
      <w:start w:val="1"/>
      <w:numFmt w:val="decimal"/>
      <w:lvlText w:val="%7."/>
      <w:lvlJc w:val="left"/>
      <w:pPr>
        <w:ind w:left="5814" w:hanging="360"/>
      </w:pPr>
    </w:lvl>
    <w:lvl w:ilvl="7" w:tplc="04070019" w:tentative="1">
      <w:start w:val="1"/>
      <w:numFmt w:val="lowerLetter"/>
      <w:lvlText w:val="%8."/>
      <w:lvlJc w:val="left"/>
      <w:pPr>
        <w:ind w:left="6534" w:hanging="360"/>
      </w:pPr>
    </w:lvl>
    <w:lvl w:ilvl="8" w:tplc="0407001B" w:tentative="1">
      <w:start w:val="1"/>
      <w:numFmt w:val="lowerRoman"/>
      <w:lvlText w:val="%9."/>
      <w:lvlJc w:val="right"/>
      <w:pPr>
        <w:ind w:left="7254" w:hanging="180"/>
      </w:pPr>
    </w:lvl>
  </w:abstractNum>
  <w:abstractNum w:abstractNumId="16"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8720479"/>
    <w:multiLevelType w:val="hybridMultilevel"/>
    <w:tmpl w:val="20FA98A2"/>
    <w:lvl w:ilvl="0" w:tplc="C248B818">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8" w15:restartNumberingAfterBreak="0">
    <w:nsid w:val="27CA1EAF"/>
    <w:multiLevelType w:val="hybridMultilevel"/>
    <w:tmpl w:val="A3D00DEE"/>
    <w:lvl w:ilvl="0" w:tplc="5C62B40C">
      <w:start w:val="1"/>
      <w:numFmt w:val="lowerLetter"/>
      <w:lvlText w:val="(%1)"/>
      <w:lvlJc w:val="left"/>
      <w:pPr>
        <w:ind w:left="2912" w:hanging="360"/>
      </w:pPr>
      <w:rPr>
        <w:rFonts w:hint="default"/>
      </w:rPr>
    </w:lvl>
    <w:lvl w:ilvl="1" w:tplc="08090019" w:tentative="1">
      <w:start w:val="1"/>
      <w:numFmt w:val="lowerLetter"/>
      <w:lvlText w:val="%2."/>
      <w:lvlJc w:val="left"/>
      <w:pPr>
        <w:ind w:left="3632" w:hanging="360"/>
      </w:pPr>
    </w:lvl>
    <w:lvl w:ilvl="2" w:tplc="0809001B" w:tentative="1">
      <w:start w:val="1"/>
      <w:numFmt w:val="lowerRoman"/>
      <w:lvlText w:val="%3."/>
      <w:lvlJc w:val="right"/>
      <w:pPr>
        <w:ind w:left="4352" w:hanging="180"/>
      </w:pPr>
    </w:lvl>
    <w:lvl w:ilvl="3" w:tplc="0809000F" w:tentative="1">
      <w:start w:val="1"/>
      <w:numFmt w:val="decimal"/>
      <w:lvlText w:val="%4."/>
      <w:lvlJc w:val="left"/>
      <w:pPr>
        <w:ind w:left="5072" w:hanging="360"/>
      </w:pPr>
    </w:lvl>
    <w:lvl w:ilvl="4" w:tplc="08090019" w:tentative="1">
      <w:start w:val="1"/>
      <w:numFmt w:val="lowerLetter"/>
      <w:lvlText w:val="%5."/>
      <w:lvlJc w:val="left"/>
      <w:pPr>
        <w:ind w:left="5792" w:hanging="360"/>
      </w:pPr>
    </w:lvl>
    <w:lvl w:ilvl="5" w:tplc="0809001B" w:tentative="1">
      <w:start w:val="1"/>
      <w:numFmt w:val="lowerRoman"/>
      <w:lvlText w:val="%6."/>
      <w:lvlJc w:val="right"/>
      <w:pPr>
        <w:ind w:left="6512" w:hanging="180"/>
      </w:pPr>
    </w:lvl>
    <w:lvl w:ilvl="6" w:tplc="0809000F" w:tentative="1">
      <w:start w:val="1"/>
      <w:numFmt w:val="decimal"/>
      <w:lvlText w:val="%7."/>
      <w:lvlJc w:val="left"/>
      <w:pPr>
        <w:ind w:left="7232" w:hanging="360"/>
      </w:pPr>
    </w:lvl>
    <w:lvl w:ilvl="7" w:tplc="08090019" w:tentative="1">
      <w:start w:val="1"/>
      <w:numFmt w:val="lowerLetter"/>
      <w:lvlText w:val="%8."/>
      <w:lvlJc w:val="left"/>
      <w:pPr>
        <w:ind w:left="7952" w:hanging="360"/>
      </w:pPr>
    </w:lvl>
    <w:lvl w:ilvl="8" w:tplc="0809001B" w:tentative="1">
      <w:start w:val="1"/>
      <w:numFmt w:val="lowerRoman"/>
      <w:lvlText w:val="%9."/>
      <w:lvlJc w:val="right"/>
      <w:pPr>
        <w:ind w:left="8672" w:hanging="180"/>
      </w:pPr>
    </w:lvl>
  </w:abstractNum>
  <w:abstractNum w:abstractNumId="19" w15:restartNumberingAfterBreak="0">
    <w:nsid w:val="2B3F49C6"/>
    <w:multiLevelType w:val="singleLevel"/>
    <w:tmpl w:val="E94C9216"/>
    <w:lvl w:ilvl="0">
      <w:start w:val="1"/>
      <w:numFmt w:val="lowerRoman"/>
      <w:pStyle w:val="Rom2"/>
      <w:lvlText w:val="(%1)"/>
      <w:lvlJc w:val="right"/>
      <w:pPr>
        <w:tabs>
          <w:tab w:val="num" w:pos="2160"/>
        </w:tabs>
        <w:ind w:left="2160" w:hanging="516"/>
      </w:pPr>
    </w:lvl>
  </w:abstractNum>
  <w:abstractNum w:abstractNumId="20" w15:restartNumberingAfterBreak="0">
    <w:nsid w:val="2DAF3F86"/>
    <w:multiLevelType w:val="hybridMultilevel"/>
    <w:tmpl w:val="C5060F4E"/>
    <w:lvl w:ilvl="0" w:tplc="F582481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3C53947"/>
    <w:multiLevelType w:val="multilevel"/>
    <w:tmpl w:val="7DD25F42"/>
    <w:lvl w:ilvl="0">
      <w:start w:val="1"/>
      <w:numFmt w:val="decimal"/>
      <w:lvlText w:val="%1."/>
      <w:lvlJc w:val="left"/>
      <w:pPr>
        <w:ind w:left="3762" w:hanging="360"/>
      </w:pPr>
      <w:rPr>
        <w:rFonts w:hint="default"/>
      </w:rPr>
    </w:lvl>
    <w:lvl w:ilvl="1">
      <w:start w:val="1"/>
      <w:numFmt w:val="decimal"/>
      <w:lvlText w:val="%1.%2."/>
      <w:lvlJc w:val="left"/>
      <w:pPr>
        <w:ind w:left="4194" w:hanging="432"/>
      </w:pPr>
      <w:rPr>
        <w:rFonts w:hint="default"/>
        <w:color w:val="auto"/>
      </w:rPr>
    </w:lvl>
    <w:lvl w:ilvl="2">
      <w:start w:val="1"/>
      <w:numFmt w:val="decimal"/>
      <w:lvlText w:val="%1.%2.%3."/>
      <w:lvlJc w:val="left"/>
      <w:pPr>
        <w:ind w:left="4626" w:hanging="504"/>
      </w:pPr>
      <w:rPr>
        <w:rFonts w:hint="default"/>
        <w:color w:val="auto"/>
      </w:rPr>
    </w:lvl>
    <w:lvl w:ilvl="3">
      <w:start w:val="1"/>
      <w:numFmt w:val="decimal"/>
      <w:lvlText w:val="%1.%2.%3.%4."/>
      <w:lvlJc w:val="left"/>
      <w:pPr>
        <w:ind w:left="5130" w:hanging="648"/>
      </w:pPr>
      <w:rPr>
        <w:rFonts w:hint="default"/>
        <w:color w:val="auto"/>
      </w:rPr>
    </w:lvl>
    <w:lvl w:ilvl="4">
      <w:start w:val="1"/>
      <w:numFmt w:val="decimal"/>
      <w:lvlText w:val="%1.%2.%3.%4.%5."/>
      <w:lvlJc w:val="left"/>
      <w:pPr>
        <w:ind w:left="5634" w:hanging="792"/>
      </w:pPr>
      <w:rPr>
        <w:rFonts w:hint="default"/>
      </w:rPr>
    </w:lvl>
    <w:lvl w:ilvl="5">
      <w:start w:val="1"/>
      <w:numFmt w:val="decimal"/>
      <w:lvlText w:val="%1.%2.%3.%4.%5.%6."/>
      <w:lvlJc w:val="left"/>
      <w:pPr>
        <w:ind w:left="6138" w:hanging="936"/>
      </w:pPr>
      <w:rPr>
        <w:rFonts w:hint="default"/>
      </w:rPr>
    </w:lvl>
    <w:lvl w:ilvl="6">
      <w:start w:val="1"/>
      <w:numFmt w:val="decimal"/>
      <w:lvlText w:val="%1.%2.%3.%4.%5.%6.%7."/>
      <w:lvlJc w:val="left"/>
      <w:pPr>
        <w:ind w:left="6642" w:hanging="1080"/>
      </w:pPr>
      <w:rPr>
        <w:rFonts w:hint="default"/>
      </w:rPr>
    </w:lvl>
    <w:lvl w:ilvl="7">
      <w:start w:val="1"/>
      <w:numFmt w:val="decimal"/>
      <w:lvlText w:val="%1.%2.%3.%4.%5.%6.%7.%8."/>
      <w:lvlJc w:val="left"/>
      <w:pPr>
        <w:ind w:left="7146" w:hanging="1224"/>
      </w:pPr>
      <w:rPr>
        <w:rFonts w:hint="default"/>
      </w:rPr>
    </w:lvl>
    <w:lvl w:ilvl="8">
      <w:start w:val="1"/>
      <w:numFmt w:val="decimal"/>
      <w:lvlText w:val="%1.%2.%3.%4.%5.%6.%7.%8.%9."/>
      <w:lvlJc w:val="left"/>
      <w:pPr>
        <w:ind w:left="7722" w:hanging="1440"/>
      </w:pPr>
      <w:rPr>
        <w:rFonts w:hint="default"/>
      </w:rPr>
    </w:lvl>
  </w:abstractNum>
  <w:abstractNum w:abstractNumId="22" w15:restartNumberingAfterBreak="0">
    <w:nsid w:val="37C429A7"/>
    <w:multiLevelType w:val="hybridMultilevel"/>
    <w:tmpl w:val="DE1A3F62"/>
    <w:lvl w:ilvl="0" w:tplc="145A348A">
      <w:start w:val="1"/>
      <w:numFmt w:val="lowerLetter"/>
      <w:lvlText w:val="%1)"/>
      <w:lvlJc w:val="left"/>
      <w:pPr>
        <w:ind w:left="3054" w:hanging="360"/>
      </w:pPr>
      <w:rPr>
        <w:b w:val="0"/>
      </w:rPr>
    </w:lvl>
    <w:lvl w:ilvl="1" w:tplc="08090019" w:tentative="1">
      <w:start w:val="1"/>
      <w:numFmt w:val="lowerLetter"/>
      <w:lvlText w:val="%2."/>
      <w:lvlJc w:val="left"/>
      <w:pPr>
        <w:ind w:left="3774" w:hanging="360"/>
      </w:pPr>
    </w:lvl>
    <w:lvl w:ilvl="2" w:tplc="0809001B" w:tentative="1">
      <w:start w:val="1"/>
      <w:numFmt w:val="lowerRoman"/>
      <w:lvlText w:val="%3."/>
      <w:lvlJc w:val="right"/>
      <w:pPr>
        <w:ind w:left="4494" w:hanging="180"/>
      </w:pPr>
    </w:lvl>
    <w:lvl w:ilvl="3" w:tplc="0809000F" w:tentative="1">
      <w:start w:val="1"/>
      <w:numFmt w:val="decimal"/>
      <w:lvlText w:val="%4."/>
      <w:lvlJc w:val="left"/>
      <w:pPr>
        <w:ind w:left="5214" w:hanging="360"/>
      </w:pPr>
    </w:lvl>
    <w:lvl w:ilvl="4" w:tplc="08090019" w:tentative="1">
      <w:start w:val="1"/>
      <w:numFmt w:val="lowerLetter"/>
      <w:lvlText w:val="%5."/>
      <w:lvlJc w:val="left"/>
      <w:pPr>
        <w:ind w:left="5934" w:hanging="360"/>
      </w:pPr>
    </w:lvl>
    <w:lvl w:ilvl="5" w:tplc="0809001B" w:tentative="1">
      <w:start w:val="1"/>
      <w:numFmt w:val="lowerRoman"/>
      <w:lvlText w:val="%6."/>
      <w:lvlJc w:val="right"/>
      <w:pPr>
        <w:ind w:left="6654" w:hanging="180"/>
      </w:pPr>
    </w:lvl>
    <w:lvl w:ilvl="6" w:tplc="0809000F" w:tentative="1">
      <w:start w:val="1"/>
      <w:numFmt w:val="decimal"/>
      <w:lvlText w:val="%7."/>
      <w:lvlJc w:val="left"/>
      <w:pPr>
        <w:ind w:left="7374" w:hanging="360"/>
      </w:pPr>
    </w:lvl>
    <w:lvl w:ilvl="7" w:tplc="08090019" w:tentative="1">
      <w:start w:val="1"/>
      <w:numFmt w:val="lowerLetter"/>
      <w:lvlText w:val="%8."/>
      <w:lvlJc w:val="left"/>
      <w:pPr>
        <w:ind w:left="8094" w:hanging="360"/>
      </w:pPr>
    </w:lvl>
    <w:lvl w:ilvl="8" w:tplc="0809001B" w:tentative="1">
      <w:start w:val="1"/>
      <w:numFmt w:val="lowerRoman"/>
      <w:lvlText w:val="%9."/>
      <w:lvlJc w:val="right"/>
      <w:pPr>
        <w:ind w:left="8814" w:hanging="180"/>
      </w:pPr>
    </w:lvl>
  </w:abstractNum>
  <w:abstractNum w:abstractNumId="23" w15:restartNumberingAfterBreak="0">
    <w:nsid w:val="39330E41"/>
    <w:multiLevelType w:val="hybridMultilevel"/>
    <w:tmpl w:val="14DA3BC0"/>
    <w:lvl w:ilvl="0" w:tplc="A1C8E4A4">
      <w:start w:val="2"/>
      <w:numFmt w:val="lowerLetter"/>
      <w:lvlText w:val="(%1)"/>
      <w:lvlJc w:val="left"/>
      <w:pPr>
        <w:ind w:left="2628" w:hanging="360"/>
      </w:pPr>
      <w:rPr>
        <w:rFonts w:hint="default"/>
        <w:b w:val="0"/>
      </w:rPr>
    </w:lvl>
    <w:lvl w:ilvl="1" w:tplc="04070019">
      <w:start w:val="1"/>
      <w:numFmt w:val="lowerLetter"/>
      <w:lvlText w:val="%2."/>
      <w:lvlJc w:val="left"/>
      <w:pPr>
        <w:ind w:left="3348" w:hanging="360"/>
      </w:pPr>
    </w:lvl>
    <w:lvl w:ilvl="2" w:tplc="0407001B" w:tentative="1">
      <w:start w:val="1"/>
      <w:numFmt w:val="lowerRoman"/>
      <w:lvlText w:val="%3."/>
      <w:lvlJc w:val="right"/>
      <w:pPr>
        <w:ind w:left="4068" w:hanging="180"/>
      </w:pPr>
    </w:lvl>
    <w:lvl w:ilvl="3" w:tplc="0407000F" w:tentative="1">
      <w:start w:val="1"/>
      <w:numFmt w:val="decimal"/>
      <w:lvlText w:val="%4."/>
      <w:lvlJc w:val="left"/>
      <w:pPr>
        <w:ind w:left="4788" w:hanging="360"/>
      </w:pPr>
    </w:lvl>
    <w:lvl w:ilvl="4" w:tplc="04070019" w:tentative="1">
      <w:start w:val="1"/>
      <w:numFmt w:val="lowerLetter"/>
      <w:lvlText w:val="%5."/>
      <w:lvlJc w:val="left"/>
      <w:pPr>
        <w:ind w:left="5508" w:hanging="360"/>
      </w:pPr>
    </w:lvl>
    <w:lvl w:ilvl="5" w:tplc="0407001B" w:tentative="1">
      <w:start w:val="1"/>
      <w:numFmt w:val="lowerRoman"/>
      <w:lvlText w:val="%6."/>
      <w:lvlJc w:val="right"/>
      <w:pPr>
        <w:ind w:left="6228" w:hanging="180"/>
      </w:pPr>
    </w:lvl>
    <w:lvl w:ilvl="6" w:tplc="0407000F" w:tentative="1">
      <w:start w:val="1"/>
      <w:numFmt w:val="decimal"/>
      <w:lvlText w:val="%7."/>
      <w:lvlJc w:val="left"/>
      <w:pPr>
        <w:ind w:left="6948" w:hanging="360"/>
      </w:pPr>
    </w:lvl>
    <w:lvl w:ilvl="7" w:tplc="04070019" w:tentative="1">
      <w:start w:val="1"/>
      <w:numFmt w:val="lowerLetter"/>
      <w:lvlText w:val="%8."/>
      <w:lvlJc w:val="left"/>
      <w:pPr>
        <w:ind w:left="7668" w:hanging="360"/>
      </w:pPr>
    </w:lvl>
    <w:lvl w:ilvl="8" w:tplc="0407001B" w:tentative="1">
      <w:start w:val="1"/>
      <w:numFmt w:val="lowerRoman"/>
      <w:lvlText w:val="%9."/>
      <w:lvlJc w:val="right"/>
      <w:pPr>
        <w:ind w:left="8388" w:hanging="180"/>
      </w:pPr>
    </w:lvl>
  </w:abstractNum>
  <w:abstractNum w:abstractNumId="24" w15:restartNumberingAfterBreak="0">
    <w:nsid w:val="3CB061AB"/>
    <w:multiLevelType w:val="singleLevel"/>
    <w:tmpl w:val="1C1E1026"/>
    <w:lvl w:ilvl="0">
      <w:start w:val="1"/>
      <w:numFmt w:val="decimal"/>
      <w:pStyle w:val="ParaNo"/>
      <w:lvlText w:val="%1."/>
      <w:lvlJc w:val="left"/>
      <w:pPr>
        <w:tabs>
          <w:tab w:val="num" w:pos="360"/>
        </w:tabs>
        <w:ind w:left="-1" w:firstLine="1"/>
      </w:pPr>
      <w:rPr>
        <w:rFonts w:hint="default"/>
      </w:rPr>
    </w:lvl>
  </w:abstractNum>
  <w:abstractNum w:abstractNumId="25" w15:restartNumberingAfterBreak="0">
    <w:nsid w:val="3D1515BC"/>
    <w:multiLevelType w:val="hybridMultilevel"/>
    <w:tmpl w:val="55228028"/>
    <w:lvl w:ilvl="0" w:tplc="B6BE0A80">
      <w:start w:val="4"/>
      <w:numFmt w:val="bullet"/>
      <w:lvlText w:val="-"/>
      <w:lvlJc w:val="left"/>
      <w:pPr>
        <w:ind w:left="2628" w:hanging="360"/>
      </w:pPr>
      <w:rPr>
        <w:rFonts w:ascii="Times New Roman" w:eastAsia="Times New Roman" w:hAnsi="Times New Roman" w:cs="Times New Roman" w:hint="default"/>
      </w:rPr>
    </w:lvl>
    <w:lvl w:ilvl="1" w:tplc="08090003" w:tentative="1">
      <w:start w:val="1"/>
      <w:numFmt w:val="bullet"/>
      <w:lvlText w:val="o"/>
      <w:lvlJc w:val="left"/>
      <w:pPr>
        <w:ind w:left="3348" w:hanging="360"/>
      </w:pPr>
      <w:rPr>
        <w:rFonts w:ascii="Courier New" w:hAnsi="Courier New" w:cs="Courier New" w:hint="default"/>
      </w:rPr>
    </w:lvl>
    <w:lvl w:ilvl="2" w:tplc="08090005" w:tentative="1">
      <w:start w:val="1"/>
      <w:numFmt w:val="bullet"/>
      <w:lvlText w:val=""/>
      <w:lvlJc w:val="left"/>
      <w:pPr>
        <w:ind w:left="4068" w:hanging="360"/>
      </w:pPr>
      <w:rPr>
        <w:rFonts w:ascii="Wingdings" w:hAnsi="Wingdings" w:hint="default"/>
      </w:rPr>
    </w:lvl>
    <w:lvl w:ilvl="3" w:tplc="08090001" w:tentative="1">
      <w:start w:val="1"/>
      <w:numFmt w:val="bullet"/>
      <w:lvlText w:val=""/>
      <w:lvlJc w:val="left"/>
      <w:pPr>
        <w:ind w:left="4788" w:hanging="360"/>
      </w:pPr>
      <w:rPr>
        <w:rFonts w:ascii="Symbol" w:hAnsi="Symbol" w:hint="default"/>
      </w:rPr>
    </w:lvl>
    <w:lvl w:ilvl="4" w:tplc="08090003" w:tentative="1">
      <w:start w:val="1"/>
      <w:numFmt w:val="bullet"/>
      <w:lvlText w:val="o"/>
      <w:lvlJc w:val="left"/>
      <w:pPr>
        <w:ind w:left="5508" w:hanging="360"/>
      </w:pPr>
      <w:rPr>
        <w:rFonts w:ascii="Courier New" w:hAnsi="Courier New" w:cs="Courier New" w:hint="default"/>
      </w:rPr>
    </w:lvl>
    <w:lvl w:ilvl="5" w:tplc="08090005" w:tentative="1">
      <w:start w:val="1"/>
      <w:numFmt w:val="bullet"/>
      <w:lvlText w:val=""/>
      <w:lvlJc w:val="left"/>
      <w:pPr>
        <w:ind w:left="6228" w:hanging="360"/>
      </w:pPr>
      <w:rPr>
        <w:rFonts w:ascii="Wingdings" w:hAnsi="Wingdings" w:hint="default"/>
      </w:rPr>
    </w:lvl>
    <w:lvl w:ilvl="6" w:tplc="08090001" w:tentative="1">
      <w:start w:val="1"/>
      <w:numFmt w:val="bullet"/>
      <w:lvlText w:val=""/>
      <w:lvlJc w:val="left"/>
      <w:pPr>
        <w:ind w:left="6948" w:hanging="360"/>
      </w:pPr>
      <w:rPr>
        <w:rFonts w:ascii="Symbol" w:hAnsi="Symbol" w:hint="default"/>
      </w:rPr>
    </w:lvl>
    <w:lvl w:ilvl="7" w:tplc="08090003" w:tentative="1">
      <w:start w:val="1"/>
      <w:numFmt w:val="bullet"/>
      <w:lvlText w:val="o"/>
      <w:lvlJc w:val="left"/>
      <w:pPr>
        <w:ind w:left="7668" w:hanging="360"/>
      </w:pPr>
      <w:rPr>
        <w:rFonts w:ascii="Courier New" w:hAnsi="Courier New" w:cs="Courier New" w:hint="default"/>
      </w:rPr>
    </w:lvl>
    <w:lvl w:ilvl="8" w:tplc="08090005" w:tentative="1">
      <w:start w:val="1"/>
      <w:numFmt w:val="bullet"/>
      <w:lvlText w:val=""/>
      <w:lvlJc w:val="left"/>
      <w:pPr>
        <w:ind w:left="8388" w:hanging="360"/>
      </w:pPr>
      <w:rPr>
        <w:rFonts w:ascii="Wingdings" w:hAnsi="Wingdings" w:hint="default"/>
      </w:rPr>
    </w:lvl>
  </w:abstractNum>
  <w:abstractNum w:abstractNumId="26" w15:restartNumberingAfterBreak="0">
    <w:nsid w:val="423D543E"/>
    <w:multiLevelType w:val="hybridMultilevel"/>
    <w:tmpl w:val="81DC4930"/>
    <w:lvl w:ilvl="0" w:tplc="C50CFA00">
      <w:start w:val="1"/>
      <w:numFmt w:val="decimal"/>
      <w:lvlText w:val="%1."/>
      <w:lvlJc w:val="left"/>
      <w:pPr>
        <w:ind w:left="1689" w:hanging="555"/>
      </w:pPr>
      <w:rPr>
        <w:rFonts w:hint="default"/>
      </w:rPr>
    </w:lvl>
    <w:lvl w:ilvl="1" w:tplc="04070019" w:tentative="1">
      <w:start w:val="1"/>
      <w:numFmt w:val="lowerLetter"/>
      <w:lvlText w:val="%2."/>
      <w:lvlJc w:val="left"/>
      <w:pPr>
        <w:ind w:left="2214" w:hanging="360"/>
      </w:pPr>
    </w:lvl>
    <w:lvl w:ilvl="2" w:tplc="0407001B" w:tentative="1">
      <w:start w:val="1"/>
      <w:numFmt w:val="lowerRoman"/>
      <w:lvlText w:val="%3."/>
      <w:lvlJc w:val="right"/>
      <w:pPr>
        <w:ind w:left="2934" w:hanging="180"/>
      </w:pPr>
    </w:lvl>
    <w:lvl w:ilvl="3" w:tplc="0407000F" w:tentative="1">
      <w:start w:val="1"/>
      <w:numFmt w:val="decimal"/>
      <w:lvlText w:val="%4."/>
      <w:lvlJc w:val="left"/>
      <w:pPr>
        <w:ind w:left="3654" w:hanging="360"/>
      </w:pPr>
    </w:lvl>
    <w:lvl w:ilvl="4" w:tplc="04070019" w:tentative="1">
      <w:start w:val="1"/>
      <w:numFmt w:val="lowerLetter"/>
      <w:lvlText w:val="%5."/>
      <w:lvlJc w:val="left"/>
      <w:pPr>
        <w:ind w:left="4374" w:hanging="360"/>
      </w:pPr>
    </w:lvl>
    <w:lvl w:ilvl="5" w:tplc="0407001B" w:tentative="1">
      <w:start w:val="1"/>
      <w:numFmt w:val="lowerRoman"/>
      <w:lvlText w:val="%6."/>
      <w:lvlJc w:val="right"/>
      <w:pPr>
        <w:ind w:left="5094" w:hanging="180"/>
      </w:pPr>
    </w:lvl>
    <w:lvl w:ilvl="6" w:tplc="0407000F" w:tentative="1">
      <w:start w:val="1"/>
      <w:numFmt w:val="decimal"/>
      <w:lvlText w:val="%7."/>
      <w:lvlJc w:val="left"/>
      <w:pPr>
        <w:ind w:left="5814" w:hanging="360"/>
      </w:pPr>
    </w:lvl>
    <w:lvl w:ilvl="7" w:tplc="04070019" w:tentative="1">
      <w:start w:val="1"/>
      <w:numFmt w:val="lowerLetter"/>
      <w:lvlText w:val="%8."/>
      <w:lvlJc w:val="left"/>
      <w:pPr>
        <w:ind w:left="6534" w:hanging="360"/>
      </w:pPr>
    </w:lvl>
    <w:lvl w:ilvl="8" w:tplc="0407001B" w:tentative="1">
      <w:start w:val="1"/>
      <w:numFmt w:val="lowerRoman"/>
      <w:lvlText w:val="%9."/>
      <w:lvlJc w:val="right"/>
      <w:pPr>
        <w:ind w:left="7254" w:hanging="180"/>
      </w:pPr>
    </w:lvl>
  </w:abstractNum>
  <w:abstractNum w:abstractNumId="27" w15:restartNumberingAfterBreak="0">
    <w:nsid w:val="466C7300"/>
    <w:multiLevelType w:val="hybridMultilevel"/>
    <w:tmpl w:val="2CF2A1A4"/>
    <w:lvl w:ilvl="0" w:tplc="04100017">
      <w:start w:val="1"/>
      <w:numFmt w:val="lowerLetter"/>
      <w:lvlText w:val="%1)"/>
      <w:lvlJc w:val="left"/>
      <w:pPr>
        <w:tabs>
          <w:tab w:val="num" w:pos="2061"/>
        </w:tabs>
        <w:ind w:left="2061" w:hanging="360"/>
      </w:pPr>
      <w:rPr>
        <w:rFonts w:hint="default"/>
      </w:rPr>
    </w:lvl>
    <w:lvl w:ilvl="1" w:tplc="A46EBE24" w:tentative="1">
      <w:start w:val="1"/>
      <w:numFmt w:val="bullet"/>
      <w:lvlText w:val=""/>
      <w:lvlJc w:val="left"/>
      <w:pPr>
        <w:tabs>
          <w:tab w:val="num" w:pos="2781"/>
        </w:tabs>
        <w:ind w:left="2781" w:hanging="360"/>
      </w:pPr>
      <w:rPr>
        <w:rFonts w:ascii="Wingdings" w:hAnsi="Wingdings" w:hint="default"/>
      </w:rPr>
    </w:lvl>
    <w:lvl w:ilvl="2" w:tplc="031EFAEA" w:tentative="1">
      <w:start w:val="1"/>
      <w:numFmt w:val="bullet"/>
      <w:lvlText w:val=""/>
      <w:lvlJc w:val="left"/>
      <w:pPr>
        <w:tabs>
          <w:tab w:val="num" w:pos="3501"/>
        </w:tabs>
        <w:ind w:left="3501" w:hanging="360"/>
      </w:pPr>
      <w:rPr>
        <w:rFonts w:ascii="Wingdings" w:hAnsi="Wingdings" w:hint="default"/>
      </w:rPr>
    </w:lvl>
    <w:lvl w:ilvl="3" w:tplc="A76C74CC" w:tentative="1">
      <w:start w:val="1"/>
      <w:numFmt w:val="bullet"/>
      <w:lvlText w:val=""/>
      <w:lvlJc w:val="left"/>
      <w:pPr>
        <w:tabs>
          <w:tab w:val="num" w:pos="4221"/>
        </w:tabs>
        <w:ind w:left="4221" w:hanging="360"/>
      </w:pPr>
      <w:rPr>
        <w:rFonts w:ascii="Wingdings" w:hAnsi="Wingdings" w:hint="default"/>
      </w:rPr>
    </w:lvl>
    <w:lvl w:ilvl="4" w:tplc="28FE01E8" w:tentative="1">
      <w:start w:val="1"/>
      <w:numFmt w:val="bullet"/>
      <w:lvlText w:val=""/>
      <w:lvlJc w:val="left"/>
      <w:pPr>
        <w:tabs>
          <w:tab w:val="num" w:pos="4941"/>
        </w:tabs>
        <w:ind w:left="4941" w:hanging="360"/>
      </w:pPr>
      <w:rPr>
        <w:rFonts w:ascii="Wingdings" w:hAnsi="Wingdings" w:hint="default"/>
      </w:rPr>
    </w:lvl>
    <w:lvl w:ilvl="5" w:tplc="97703A34" w:tentative="1">
      <w:start w:val="1"/>
      <w:numFmt w:val="bullet"/>
      <w:lvlText w:val=""/>
      <w:lvlJc w:val="left"/>
      <w:pPr>
        <w:tabs>
          <w:tab w:val="num" w:pos="5661"/>
        </w:tabs>
        <w:ind w:left="5661" w:hanging="360"/>
      </w:pPr>
      <w:rPr>
        <w:rFonts w:ascii="Wingdings" w:hAnsi="Wingdings" w:hint="default"/>
      </w:rPr>
    </w:lvl>
    <w:lvl w:ilvl="6" w:tplc="30663AF2" w:tentative="1">
      <w:start w:val="1"/>
      <w:numFmt w:val="bullet"/>
      <w:lvlText w:val=""/>
      <w:lvlJc w:val="left"/>
      <w:pPr>
        <w:tabs>
          <w:tab w:val="num" w:pos="6381"/>
        </w:tabs>
        <w:ind w:left="6381" w:hanging="360"/>
      </w:pPr>
      <w:rPr>
        <w:rFonts w:ascii="Wingdings" w:hAnsi="Wingdings" w:hint="default"/>
      </w:rPr>
    </w:lvl>
    <w:lvl w:ilvl="7" w:tplc="A0149ADC" w:tentative="1">
      <w:start w:val="1"/>
      <w:numFmt w:val="bullet"/>
      <w:lvlText w:val=""/>
      <w:lvlJc w:val="left"/>
      <w:pPr>
        <w:tabs>
          <w:tab w:val="num" w:pos="7101"/>
        </w:tabs>
        <w:ind w:left="7101" w:hanging="360"/>
      </w:pPr>
      <w:rPr>
        <w:rFonts w:ascii="Wingdings" w:hAnsi="Wingdings" w:hint="default"/>
      </w:rPr>
    </w:lvl>
    <w:lvl w:ilvl="8" w:tplc="8EC4663E" w:tentative="1">
      <w:start w:val="1"/>
      <w:numFmt w:val="bullet"/>
      <w:lvlText w:val=""/>
      <w:lvlJc w:val="left"/>
      <w:pPr>
        <w:tabs>
          <w:tab w:val="num" w:pos="7821"/>
        </w:tabs>
        <w:ind w:left="7821" w:hanging="360"/>
      </w:pPr>
      <w:rPr>
        <w:rFonts w:ascii="Wingdings" w:hAnsi="Wingdings" w:hint="default"/>
      </w:rPr>
    </w:lvl>
  </w:abstractNum>
  <w:abstractNum w:abstractNumId="28" w15:restartNumberingAfterBreak="0">
    <w:nsid w:val="46E336F0"/>
    <w:multiLevelType w:val="hybridMultilevel"/>
    <w:tmpl w:val="48347386"/>
    <w:lvl w:ilvl="0" w:tplc="636A3D5C">
      <w:start w:val="1"/>
      <w:numFmt w:val="decimal"/>
      <w:lvlText w:val="%1."/>
      <w:lvlJc w:val="left"/>
      <w:pPr>
        <w:ind w:left="1689" w:hanging="555"/>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9" w15:restartNumberingAfterBreak="0">
    <w:nsid w:val="4AC34EF2"/>
    <w:multiLevelType w:val="hybridMultilevel"/>
    <w:tmpl w:val="54BAF034"/>
    <w:lvl w:ilvl="0" w:tplc="42DEC502">
      <w:start w:val="1"/>
      <w:numFmt w:val="decimal"/>
      <w:lvlText w:val="%1."/>
      <w:lvlJc w:val="left"/>
      <w:pPr>
        <w:ind w:left="1689" w:hanging="555"/>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0" w15:restartNumberingAfterBreak="0">
    <w:nsid w:val="5EF52729"/>
    <w:multiLevelType w:val="hybridMultilevel"/>
    <w:tmpl w:val="21029E2A"/>
    <w:lvl w:ilvl="0" w:tplc="08090017">
      <w:start w:val="1"/>
      <w:numFmt w:val="lowerLetter"/>
      <w:lvlText w:val="%1)"/>
      <w:lvlJc w:val="left"/>
      <w:pPr>
        <w:ind w:left="2988" w:hanging="360"/>
      </w:pPr>
    </w:lvl>
    <w:lvl w:ilvl="1" w:tplc="08090019">
      <w:start w:val="1"/>
      <w:numFmt w:val="lowerLetter"/>
      <w:lvlText w:val="%2."/>
      <w:lvlJc w:val="left"/>
      <w:pPr>
        <w:ind w:left="3708" w:hanging="360"/>
      </w:pPr>
    </w:lvl>
    <w:lvl w:ilvl="2" w:tplc="0809001B" w:tentative="1">
      <w:start w:val="1"/>
      <w:numFmt w:val="lowerRoman"/>
      <w:lvlText w:val="%3."/>
      <w:lvlJc w:val="right"/>
      <w:pPr>
        <w:ind w:left="4428" w:hanging="180"/>
      </w:pPr>
    </w:lvl>
    <w:lvl w:ilvl="3" w:tplc="0809000F" w:tentative="1">
      <w:start w:val="1"/>
      <w:numFmt w:val="decimal"/>
      <w:lvlText w:val="%4."/>
      <w:lvlJc w:val="left"/>
      <w:pPr>
        <w:ind w:left="5148" w:hanging="360"/>
      </w:pPr>
    </w:lvl>
    <w:lvl w:ilvl="4" w:tplc="08090019" w:tentative="1">
      <w:start w:val="1"/>
      <w:numFmt w:val="lowerLetter"/>
      <w:lvlText w:val="%5."/>
      <w:lvlJc w:val="left"/>
      <w:pPr>
        <w:ind w:left="5868" w:hanging="360"/>
      </w:pPr>
    </w:lvl>
    <w:lvl w:ilvl="5" w:tplc="0809001B" w:tentative="1">
      <w:start w:val="1"/>
      <w:numFmt w:val="lowerRoman"/>
      <w:lvlText w:val="%6."/>
      <w:lvlJc w:val="right"/>
      <w:pPr>
        <w:ind w:left="6588" w:hanging="180"/>
      </w:pPr>
    </w:lvl>
    <w:lvl w:ilvl="6" w:tplc="0809000F" w:tentative="1">
      <w:start w:val="1"/>
      <w:numFmt w:val="decimal"/>
      <w:lvlText w:val="%7."/>
      <w:lvlJc w:val="left"/>
      <w:pPr>
        <w:ind w:left="7308" w:hanging="360"/>
      </w:pPr>
    </w:lvl>
    <w:lvl w:ilvl="7" w:tplc="08090019" w:tentative="1">
      <w:start w:val="1"/>
      <w:numFmt w:val="lowerLetter"/>
      <w:lvlText w:val="%8."/>
      <w:lvlJc w:val="left"/>
      <w:pPr>
        <w:ind w:left="8028" w:hanging="360"/>
      </w:pPr>
    </w:lvl>
    <w:lvl w:ilvl="8" w:tplc="0809001B" w:tentative="1">
      <w:start w:val="1"/>
      <w:numFmt w:val="lowerRoman"/>
      <w:lvlText w:val="%9."/>
      <w:lvlJc w:val="right"/>
      <w:pPr>
        <w:ind w:left="8748" w:hanging="180"/>
      </w:pPr>
    </w:lvl>
  </w:abstractNum>
  <w:abstractNum w:abstractNumId="31"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2" w15:restartNumberingAfterBreak="0">
    <w:nsid w:val="64FC7479"/>
    <w:multiLevelType w:val="hybridMultilevel"/>
    <w:tmpl w:val="67E08B7E"/>
    <w:lvl w:ilvl="0" w:tplc="E5F82218">
      <w:start w:val="1"/>
      <w:numFmt w:val="decimal"/>
      <w:lvlText w:val="%1."/>
      <w:lvlJc w:val="left"/>
      <w:pPr>
        <w:ind w:left="1689" w:hanging="555"/>
      </w:pPr>
      <w:rPr>
        <w:rFonts w:hint="default"/>
      </w:rPr>
    </w:lvl>
    <w:lvl w:ilvl="1" w:tplc="C1FEDBBE">
      <w:start w:val="1"/>
      <w:numFmt w:val="decimal"/>
      <w:lvlText w:val="1.%2."/>
      <w:lvlJc w:val="left"/>
      <w:pPr>
        <w:ind w:left="2214" w:hanging="360"/>
      </w:pPr>
      <w:rPr>
        <w:rFonts w:hint="default"/>
      </w:rPr>
    </w:lvl>
    <w:lvl w:ilvl="2" w:tplc="0410001B" w:tentative="1">
      <w:start w:val="1"/>
      <w:numFmt w:val="lowerRoman"/>
      <w:lvlText w:val="%3."/>
      <w:lvlJc w:val="right"/>
      <w:pPr>
        <w:ind w:left="2934" w:hanging="180"/>
      </w:pPr>
    </w:lvl>
    <w:lvl w:ilvl="3" w:tplc="0410000F" w:tentative="1">
      <w:start w:val="1"/>
      <w:numFmt w:val="decimal"/>
      <w:lvlText w:val="%4."/>
      <w:lvlJc w:val="left"/>
      <w:pPr>
        <w:ind w:left="3654" w:hanging="360"/>
      </w:pPr>
    </w:lvl>
    <w:lvl w:ilvl="4" w:tplc="04100019" w:tentative="1">
      <w:start w:val="1"/>
      <w:numFmt w:val="lowerLetter"/>
      <w:lvlText w:val="%5."/>
      <w:lvlJc w:val="left"/>
      <w:pPr>
        <w:ind w:left="4374" w:hanging="360"/>
      </w:pPr>
    </w:lvl>
    <w:lvl w:ilvl="5" w:tplc="0410001B" w:tentative="1">
      <w:start w:val="1"/>
      <w:numFmt w:val="lowerRoman"/>
      <w:lvlText w:val="%6."/>
      <w:lvlJc w:val="right"/>
      <w:pPr>
        <w:ind w:left="5094" w:hanging="180"/>
      </w:pPr>
    </w:lvl>
    <w:lvl w:ilvl="6" w:tplc="0410000F" w:tentative="1">
      <w:start w:val="1"/>
      <w:numFmt w:val="decimal"/>
      <w:lvlText w:val="%7."/>
      <w:lvlJc w:val="left"/>
      <w:pPr>
        <w:ind w:left="5814" w:hanging="360"/>
      </w:pPr>
    </w:lvl>
    <w:lvl w:ilvl="7" w:tplc="04100019" w:tentative="1">
      <w:start w:val="1"/>
      <w:numFmt w:val="lowerLetter"/>
      <w:lvlText w:val="%8."/>
      <w:lvlJc w:val="left"/>
      <w:pPr>
        <w:ind w:left="6534" w:hanging="360"/>
      </w:pPr>
    </w:lvl>
    <w:lvl w:ilvl="8" w:tplc="0410001B" w:tentative="1">
      <w:start w:val="1"/>
      <w:numFmt w:val="lowerRoman"/>
      <w:lvlText w:val="%9."/>
      <w:lvlJc w:val="right"/>
      <w:pPr>
        <w:ind w:left="7254" w:hanging="180"/>
      </w:pPr>
    </w:lvl>
  </w:abstractNum>
  <w:abstractNum w:abstractNumId="33"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9582047"/>
    <w:multiLevelType w:val="multilevel"/>
    <w:tmpl w:val="7DE658DA"/>
    <w:lvl w:ilvl="0">
      <w:start w:val="1"/>
      <w:numFmt w:val="decimal"/>
      <w:lvlText w:val="%1."/>
      <w:lvlJc w:val="left"/>
      <w:pPr>
        <w:ind w:left="2265" w:hanging="1125"/>
      </w:pPr>
      <w:rPr>
        <w:rFonts w:hint="default"/>
      </w:rPr>
    </w:lvl>
    <w:lvl w:ilvl="1">
      <w:start w:val="4"/>
      <w:numFmt w:val="decimal"/>
      <w:isLgl/>
      <w:lvlText w:val="%1.%2."/>
      <w:lvlJc w:val="left"/>
      <w:pPr>
        <w:ind w:left="2265" w:hanging="1125"/>
      </w:pPr>
      <w:rPr>
        <w:rFonts w:hint="default"/>
      </w:rPr>
    </w:lvl>
    <w:lvl w:ilvl="2">
      <w:start w:val="4"/>
      <w:numFmt w:val="decimal"/>
      <w:isLgl/>
      <w:lvlText w:val="%1.%2.%3."/>
      <w:lvlJc w:val="left"/>
      <w:pPr>
        <w:ind w:left="2265" w:hanging="1125"/>
      </w:pPr>
      <w:rPr>
        <w:rFonts w:hint="default"/>
      </w:rPr>
    </w:lvl>
    <w:lvl w:ilvl="3">
      <w:start w:val="1"/>
      <w:numFmt w:val="decimal"/>
      <w:isLgl/>
      <w:lvlText w:val="%1.%2.%3.%4."/>
      <w:lvlJc w:val="left"/>
      <w:pPr>
        <w:ind w:left="2265" w:hanging="1125"/>
      </w:pPr>
      <w:rPr>
        <w:rFonts w:hint="default"/>
      </w:rPr>
    </w:lvl>
    <w:lvl w:ilvl="4">
      <w:start w:val="1"/>
      <w:numFmt w:val="decimal"/>
      <w:isLgl/>
      <w:lvlText w:val="%1.%2.%3.%4.%5."/>
      <w:lvlJc w:val="left"/>
      <w:pPr>
        <w:ind w:left="2265" w:hanging="1125"/>
      </w:pPr>
      <w:rPr>
        <w:rFonts w:hint="default"/>
      </w:rPr>
    </w:lvl>
    <w:lvl w:ilvl="5">
      <w:start w:val="1"/>
      <w:numFmt w:val="decimal"/>
      <w:isLgl/>
      <w:lvlText w:val="%1.%2.%3.%4.%5.%6."/>
      <w:lvlJc w:val="left"/>
      <w:pPr>
        <w:ind w:left="2265" w:hanging="1125"/>
      </w:pPr>
      <w:rPr>
        <w:rFonts w:hint="default"/>
      </w:rPr>
    </w:lvl>
    <w:lvl w:ilvl="6">
      <w:start w:val="1"/>
      <w:numFmt w:val="decimal"/>
      <w:isLgl/>
      <w:lvlText w:val="%1.%2.%3.%4.%5.%6.%7."/>
      <w:lvlJc w:val="left"/>
      <w:pPr>
        <w:ind w:left="2265" w:hanging="1125"/>
      </w:pPr>
      <w:rPr>
        <w:rFonts w:hint="default"/>
      </w:rPr>
    </w:lvl>
    <w:lvl w:ilvl="7">
      <w:start w:val="1"/>
      <w:numFmt w:val="decimal"/>
      <w:isLgl/>
      <w:lvlText w:val="%1.%2.%3.%4.%5.%6.%7.%8."/>
      <w:lvlJc w:val="left"/>
      <w:pPr>
        <w:ind w:left="2580" w:hanging="1440"/>
      </w:pPr>
      <w:rPr>
        <w:rFonts w:hint="default"/>
      </w:rPr>
    </w:lvl>
    <w:lvl w:ilvl="8">
      <w:start w:val="1"/>
      <w:numFmt w:val="decimal"/>
      <w:isLgl/>
      <w:lvlText w:val="%1.%2.%3.%4.%5.%6.%7.%8.%9."/>
      <w:lvlJc w:val="left"/>
      <w:pPr>
        <w:ind w:left="2580" w:hanging="1440"/>
      </w:pPr>
      <w:rPr>
        <w:rFonts w:hint="default"/>
      </w:rPr>
    </w:lvl>
  </w:abstractNum>
  <w:abstractNum w:abstractNumId="35" w15:restartNumberingAfterBreak="0">
    <w:nsid w:val="69E9648D"/>
    <w:multiLevelType w:val="hybridMultilevel"/>
    <w:tmpl w:val="8CCE2778"/>
    <w:lvl w:ilvl="0" w:tplc="04070019">
      <w:start w:val="1"/>
      <w:numFmt w:val="lowerLetter"/>
      <w:lvlText w:val="%1."/>
      <w:lvlJc w:val="left"/>
      <w:pPr>
        <w:ind w:left="1854" w:hanging="360"/>
      </w:pPr>
    </w:lvl>
    <w:lvl w:ilvl="1" w:tplc="04070019" w:tentative="1">
      <w:start w:val="1"/>
      <w:numFmt w:val="lowerLetter"/>
      <w:lvlText w:val="%2."/>
      <w:lvlJc w:val="left"/>
      <w:pPr>
        <w:ind w:left="2574" w:hanging="360"/>
      </w:pPr>
    </w:lvl>
    <w:lvl w:ilvl="2" w:tplc="0407001B" w:tentative="1">
      <w:start w:val="1"/>
      <w:numFmt w:val="lowerRoman"/>
      <w:lvlText w:val="%3."/>
      <w:lvlJc w:val="right"/>
      <w:pPr>
        <w:ind w:left="3294" w:hanging="180"/>
      </w:pPr>
    </w:lvl>
    <w:lvl w:ilvl="3" w:tplc="0407000F" w:tentative="1">
      <w:start w:val="1"/>
      <w:numFmt w:val="decimal"/>
      <w:lvlText w:val="%4."/>
      <w:lvlJc w:val="left"/>
      <w:pPr>
        <w:ind w:left="4014" w:hanging="360"/>
      </w:pPr>
    </w:lvl>
    <w:lvl w:ilvl="4" w:tplc="04070019" w:tentative="1">
      <w:start w:val="1"/>
      <w:numFmt w:val="lowerLetter"/>
      <w:lvlText w:val="%5."/>
      <w:lvlJc w:val="left"/>
      <w:pPr>
        <w:ind w:left="4734" w:hanging="360"/>
      </w:pPr>
    </w:lvl>
    <w:lvl w:ilvl="5" w:tplc="0407001B" w:tentative="1">
      <w:start w:val="1"/>
      <w:numFmt w:val="lowerRoman"/>
      <w:lvlText w:val="%6."/>
      <w:lvlJc w:val="right"/>
      <w:pPr>
        <w:ind w:left="5454" w:hanging="180"/>
      </w:pPr>
    </w:lvl>
    <w:lvl w:ilvl="6" w:tplc="0407000F" w:tentative="1">
      <w:start w:val="1"/>
      <w:numFmt w:val="decimal"/>
      <w:lvlText w:val="%7."/>
      <w:lvlJc w:val="left"/>
      <w:pPr>
        <w:ind w:left="6174" w:hanging="360"/>
      </w:pPr>
    </w:lvl>
    <w:lvl w:ilvl="7" w:tplc="04070019" w:tentative="1">
      <w:start w:val="1"/>
      <w:numFmt w:val="lowerLetter"/>
      <w:lvlText w:val="%8."/>
      <w:lvlJc w:val="left"/>
      <w:pPr>
        <w:ind w:left="6894" w:hanging="360"/>
      </w:pPr>
    </w:lvl>
    <w:lvl w:ilvl="8" w:tplc="0407001B" w:tentative="1">
      <w:start w:val="1"/>
      <w:numFmt w:val="lowerRoman"/>
      <w:lvlText w:val="%9."/>
      <w:lvlJc w:val="right"/>
      <w:pPr>
        <w:ind w:left="7614" w:hanging="180"/>
      </w:pPr>
    </w:lvl>
  </w:abstractNum>
  <w:abstractNum w:abstractNumId="36" w15:restartNumberingAfterBreak="0">
    <w:nsid w:val="715647C7"/>
    <w:multiLevelType w:val="hybridMultilevel"/>
    <w:tmpl w:val="E92CF836"/>
    <w:lvl w:ilvl="0" w:tplc="B0CAAFAC">
      <w:start w:val="1"/>
      <w:numFmt w:val="upperRoman"/>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73A468C"/>
    <w:multiLevelType w:val="hybridMultilevel"/>
    <w:tmpl w:val="28C4711A"/>
    <w:lvl w:ilvl="0" w:tplc="416407EC">
      <w:start w:val="1"/>
      <w:numFmt w:val="lowerLetter"/>
      <w:lvlText w:val="(%1)"/>
      <w:lvlJc w:val="left"/>
      <w:pPr>
        <w:ind w:left="2520" w:hanging="360"/>
      </w:pPr>
      <w:rPr>
        <w:rFonts w:hint="default"/>
      </w:rPr>
    </w:lvl>
    <w:lvl w:ilvl="1" w:tplc="040C0019" w:tentative="1">
      <w:start w:val="1"/>
      <w:numFmt w:val="lowerLetter"/>
      <w:lvlText w:val="%2."/>
      <w:lvlJc w:val="left"/>
      <w:pPr>
        <w:ind w:left="3240" w:hanging="360"/>
      </w:pPr>
    </w:lvl>
    <w:lvl w:ilvl="2" w:tplc="040C001B" w:tentative="1">
      <w:start w:val="1"/>
      <w:numFmt w:val="lowerRoman"/>
      <w:lvlText w:val="%3."/>
      <w:lvlJc w:val="right"/>
      <w:pPr>
        <w:ind w:left="3960" w:hanging="180"/>
      </w:pPr>
    </w:lvl>
    <w:lvl w:ilvl="3" w:tplc="040C000F" w:tentative="1">
      <w:start w:val="1"/>
      <w:numFmt w:val="decimal"/>
      <w:lvlText w:val="%4."/>
      <w:lvlJc w:val="left"/>
      <w:pPr>
        <w:ind w:left="4680" w:hanging="360"/>
      </w:pPr>
    </w:lvl>
    <w:lvl w:ilvl="4" w:tplc="040C0019" w:tentative="1">
      <w:start w:val="1"/>
      <w:numFmt w:val="lowerLetter"/>
      <w:lvlText w:val="%5."/>
      <w:lvlJc w:val="left"/>
      <w:pPr>
        <w:ind w:left="5400" w:hanging="360"/>
      </w:pPr>
    </w:lvl>
    <w:lvl w:ilvl="5" w:tplc="040C001B" w:tentative="1">
      <w:start w:val="1"/>
      <w:numFmt w:val="lowerRoman"/>
      <w:lvlText w:val="%6."/>
      <w:lvlJc w:val="right"/>
      <w:pPr>
        <w:ind w:left="6120" w:hanging="180"/>
      </w:pPr>
    </w:lvl>
    <w:lvl w:ilvl="6" w:tplc="040C000F" w:tentative="1">
      <w:start w:val="1"/>
      <w:numFmt w:val="decimal"/>
      <w:lvlText w:val="%7."/>
      <w:lvlJc w:val="left"/>
      <w:pPr>
        <w:ind w:left="6840" w:hanging="360"/>
      </w:pPr>
    </w:lvl>
    <w:lvl w:ilvl="7" w:tplc="040C0019" w:tentative="1">
      <w:start w:val="1"/>
      <w:numFmt w:val="lowerLetter"/>
      <w:lvlText w:val="%8."/>
      <w:lvlJc w:val="left"/>
      <w:pPr>
        <w:ind w:left="7560" w:hanging="360"/>
      </w:pPr>
    </w:lvl>
    <w:lvl w:ilvl="8" w:tplc="040C001B" w:tentative="1">
      <w:start w:val="1"/>
      <w:numFmt w:val="lowerRoman"/>
      <w:lvlText w:val="%9."/>
      <w:lvlJc w:val="right"/>
      <w:pPr>
        <w:ind w:left="8280" w:hanging="180"/>
      </w:pPr>
    </w:lvl>
  </w:abstractNum>
  <w:abstractNum w:abstractNumId="39" w15:restartNumberingAfterBreak="0">
    <w:nsid w:val="79214B2C"/>
    <w:multiLevelType w:val="hybridMultilevel"/>
    <w:tmpl w:val="07302068"/>
    <w:lvl w:ilvl="0" w:tplc="2A3EF4FC">
      <w:start w:val="1"/>
      <w:numFmt w:val="upperRoman"/>
      <w:lvlText w:val="%1."/>
      <w:lvlJc w:val="left"/>
      <w:pPr>
        <w:ind w:left="1215" w:hanging="85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C6212EA"/>
    <w:multiLevelType w:val="hybridMultilevel"/>
    <w:tmpl w:val="0916DD60"/>
    <w:lvl w:ilvl="0" w:tplc="BC32786A">
      <w:start w:val="1"/>
      <w:numFmt w:val="lowerLetter"/>
      <w:lvlText w:val="(%1)"/>
      <w:lvlJc w:val="left"/>
      <w:pPr>
        <w:ind w:left="2838" w:hanging="570"/>
      </w:pPr>
      <w:rPr>
        <w:rFonts w:hint="default"/>
      </w:rPr>
    </w:lvl>
    <w:lvl w:ilvl="1" w:tplc="08090019" w:tentative="1">
      <w:start w:val="1"/>
      <w:numFmt w:val="lowerLetter"/>
      <w:lvlText w:val="%2."/>
      <w:lvlJc w:val="left"/>
      <w:pPr>
        <w:ind w:left="3348" w:hanging="360"/>
      </w:pPr>
    </w:lvl>
    <w:lvl w:ilvl="2" w:tplc="0809001B" w:tentative="1">
      <w:start w:val="1"/>
      <w:numFmt w:val="lowerRoman"/>
      <w:lvlText w:val="%3."/>
      <w:lvlJc w:val="right"/>
      <w:pPr>
        <w:ind w:left="4068" w:hanging="180"/>
      </w:pPr>
    </w:lvl>
    <w:lvl w:ilvl="3" w:tplc="0809000F" w:tentative="1">
      <w:start w:val="1"/>
      <w:numFmt w:val="decimal"/>
      <w:lvlText w:val="%4."/>
      <w:lvlJc w:val="left"/>
      <w:pPr>
        <w:ind w:left="4788" w:hanging="360"/>
      </w:pPr>
    </w:lvl>
    <w:lvl w:ilvl="4" w:tplc="08090019" w:tentative="1">
      <w:start w:val="1"/>
      <w:numFmt w:val="lowerLetter"/>
      <w:lvlText w:val="%5."/>
      <w:lvlJc w:val="left"/>
      <w:pPr>
        <w:ind w:left="5508" w:hanging="360"/>
      </w:pPr>
    </w:lvl>
    <w:lvl w:ilvl="5" w:tplc="0809001B" w:tentative="1">
      <w:start w:val="1"/>
      <w:numFmt w:val="lowerRoman"/>
      <w:lvlText w:val="%6."/>
      <w:lvlJc w:val="right"/>
      <w:pPr>
        <w:ind w:left="6228" w:hanging="180"/>
      </w:pPr>
    </w:lvl>
    <w:lvl w:ilvl="6" w:tplc="0809000F" w:tentative="1">
      <w:start w:val="1"/>
      <w:numFmt w:val="decimal"/>
      <w:lvlText w:val="%7."/>
      <w:lvlJc w:val="left"/>
      <w:pPr>
        <w:ind w:left="6948" w:hanging="360"/>
      </w:pPr>
    </w:lvl>
    <w:lvl w:ilvl="7" w:tplc="08090019" w:tentative="1">
      <w:start w:val="1"/>
      <w:numFmt w:val="lowerLetter"/>
      <w:lvlText w:val="%8."/>
      <w:lvlJc w:val="left"/>
      <w:pPr>
        <w:ind w:left="7668" w:hanging="360"/>
      </w:pPr>
    </w:lvl>
    <w:lvl w:ilvl="8" w:tplc="0809001B" w:tentative="1">
      <w:start w:val="1"/>
      <w:numFmt w:val="lowerRoman"/>
      <w:lvlText w:val="%9."/>
      <w:lvlJc w:val="right"/>
      <w:pPr>
        <w:ind w:left="8388" w:hanging="180"/>
      </w:pPr>
    </w:lvl>
  </w:abstractNum>
  <w:abstractNum w:abstractNumId="41" w15:restartNumberingAfterBreak="0">
    <w:nsid w:val="7D143985"/>
    <w:multiLevelType w:val="hybridMultilevel"/>
    <w:tmpl w:val="1EB6969C"/>
    <w:lvl w:ilvl="0" w:tplc="4E323DC6">
      <w:start w:val="2"/>
      <w:numFmt w:val="lowerLetter"/>
      <w:lvlText w:val="%1."/>
      <w:lvlJc w:val="left"/>
      <w:pPr>
        <w:ind w:left="1854" w:hanging="360"/>
      </w:pPr>
      <w:rPr>
        <w:rFonts w:hint="default"/>
      </w:rPr>
    </w:lvl>
    <w:lvl w:ilvl="1" w:tplc="040C0019" w:tentative="1">
      <w:start w:val="1"/>
      <w:numFmt w:val="lowerLetter"/>
      <w:lvlText w:val="%2."/>
      <w:lvlJc w:val="left"/>
      <w:pPr>
        <w:ind w:left="2574" w:hanging="360"/>
      </w:pPr>
    </w:lvl>
    <w:lvl w:ilvl="2" w:tplc="040C001B" w:tentative="1">
      <w:start w:val="1"/>
      <w:numFmt w:val="lowerRoman"/>
      <w:lvlText w:val="%3."/>
      <w:lvlJc w:val="right"/>
      <w:pPr>
        <w:ind w:left="3294" w:hanging="180"/>
      </w:pPr>
    </w:lvl>
    <w:lvl w:ilvl="3" w:tplc="040C000F" w:tentative="1">
      <w:start w:val="1"/>
      <w:numFmt w:val="decimal"/>
      <w:lvlText w:val="%4."/>
      <w:lvlJc w:val="left"/>
      <w:pPr>
        <w:ind w:left="4014" w:hanging="360"/>
      </w:pPr>
    </w:lvl>
    <w:lvl w:ilvl="4" w:tplc="040C0019" w:tentative="1">
      <w:start w:val="1"/>
      <w:numFmt w:val="lowerLetter"/>
      <w:lvlText w:val="%5."/>
      <w:lvlJc w:val="left"/>
      <w:pPr>
        <w:ind w:left="4734" w:hanging="360"/>
      </w:pPr>
    </w:lvl>
    <w:lvl w:ilvl="5" w:tplc="040C001B" w:tentative="1">
      <w:start w:val="1"/>
      <w:numFmt w:val="lowerRoman"/>
      <w:lvlText w:val="%6."/>
      <w:lvlJc w:val="right"/>
      <w:pPr>
        <w:ind w:left="5454" w:hanging="180"/>
      </w:pPr>
    </w:lvl>
    <w:lvl w:ilvl="6" w:tplc="040C000F" w:tentative="1">
      <w:start w:val="1"/>
      <w:numFmt w:val="decimal"/>
      <w:lvlText w:val="%7."/>
      <w:lvlJc w:val="left"/>
      <w:pPr>
        <w:ind w:left="6174" w:hanging="360"/>
      </w:pPr>
    </w:lvl>
    <w:lvl w:ilvl="7" w:tplc="040C0019" w:tentative="1">
      <w:start w:val="1"/>
      <w:numFmt w:val="lowerLetter"/>
      <w:lvlText w:val="%8."/>
      <w:lvlJc w:val="left"/>
      <w:pPr>
        <w:ind w:left="6894" w:hanging="360"/>
      </w:pPr>
    </w:lvl>
    <w:lvl w:ilvl="8" w:tplc="040C001B" w:tentative="1">
      <w:start w:val="1"/>
      <w:numFmt w:val="lowerRoman"/>
      <w:lvlText w:val="%9."/>
      <w:lvlJc w:val="right"/>
      <w:pPr>
        <w:ind w:left="7614" w:hanging="180"/>
      </w:p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31"/>
  </w:num>
  <w:num w:numId="12">
    <w:abstractNumId w:val="16"/>
  </w:num>
  <w:num w:numId="13">
    <w:abstractNumId w:val="12"/>
  </w:num>
  <w:num w:numId="14">
    <w:abstractNumId w:val="33"/>
  </w:num>
  <w:num w:numId="15">
    <w:abstractNumId w:val="37"/>
  </w:num>
  <w:num w:numId="16">
    <w:abstractNumId w:val="19"/>
  </w:num>
  <w:num w:numId="17">
    <w:abstractNumId w:val="39"/>
  </w:num>
  <w:num w:numId="18">
    <w:abstractNumId w:val="34"/>
  </w:num>
  <w:num w:numId="19">
    <w:abstractNumId w:val="25"/>
  </w:num>
  <w:num w:numId="20">
    <w:abstractNumId w:val="24"/>
  </w:num>
  <w:num w:numId="21">
    <w:abstractNumId w:val="20"/>
  </w:num>
  <w:num w:numId="22">
    <w:abstractNumId w:val="36"/>
  </w:num>
  <w:num w:numId="23">
    <w:abstractNumId w:val="40"/>
  </w:num>
  <w:num w:numId="24">
    <w:abstractNumId w:val="10"/>
  </w:num>
  <w:num w:numId="25">
    <w:abstractNumId w:val="38"/>
  </w:num>
  <w:num w:numId="26">
    <w:abstractNumId w:val="17"/>
  </w:num>
  <w:num w:numId="27">
    <w:abstractNumId w:val="11"/>
  </w:num>
  <w:num w:numId="28">
    <w:abstractNumId w:val="26"/>
  </w:num>
  <w:num w:numId="29">
    <w:abstractNumId w:val="15"/>
  </w:num>
  <w:num w:numId="30">
    <w:abstractNumId w:val="28"/>
  </w:num>
  <w:num w:numId="31">
    <w:abstractNumId w:val="30"/>
  </w:num>
  <w:num w:numId="32">
    <w:abstractNumId w:val="22"/>
  </w:num>
  <w:num w:numId="33">
    <w:abstractNumId w:val="13"/>
  </w:num>
  <w:num w:numId="34">
    <w:abstractNumId w:val="21"/>
  </w:num>
  <w:num w:numId="35">
    <w:abstractNumId w:val="32"/>
  </w:num>
  <w:num w:numId="36">
    <w:abstractNumId w:val="27"/>
  </w:num>
  <w:num w:numId="37">
    <w:abstractNumId w:val="29"/>
  </w:num>
  <w:num w:numId="38">
    <w:abstractNumId w:val="23"/>
  </w:num>
  <w:num w:numId="39">
    <w:abstractNumId w:val="35"/>
  </w:num>
  <w:num w:numId="40">
    <w:abstractNumId w:val="41"/>
  </w:num>
  <w:num w:numId="41">
    <w:abstractNumId w:val="14"/>
  </w:num>
  <w:num w:numId="42">
    <w:abstractNumId w:val="1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s-ES" w:vendorID="64" w:dllVersion="6" w:nlCheck="1" w:checkStyle="1"/>
  <w:activeWritingStyle w:appName="MSWord" w:lang="fr-FR" w:vendorID="64" w:dllVersion="6" w:nlCheck="1" w:checkStyle="1"/>
  <w:activeWritingStyle w:appName="MSWord" w:lang="fr-CH"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fi-FI" w:vendorID="64" w:dllVersion="6" w:nlCheck="1" w:checkStyle="0"/>
  <w:activeWritingStyle w:appName="MSWord" w:lang="fr-FR" w:vendorID="64" w:dllVersion="0" w:nlCheck="1" w:checkStyle="0"/>
  <w:activeWritingStyle w:appName="MSWord" w:lang="de-CH"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4098"/>
  </w:hdrShapeDefaults>
  <w:footnotePr>
    <w:numFmt w:val="chicago"/>
    <w:numRestart w:val="eachSect"/>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TRANS_WP29_2009_E"/>
  </w:docVars>
  <w:rsids>
    <w:rsidRoot w:val="00D45CC9"/>
    <w:rsid w:val="00000377"/>
    <w:rsid w:val="00001EE5"/>
    <w:rsid w:val="00002EAF"/>
    <w:rsid w:val="000030A6"/>
    <w:rsid w:val="000042F5"/>
    <w:rsid w:val="00004B4A"/>
    <w:rsid w:val="00006048"/>
    <w:rsid w:val="000060FD"/>
    <w:rsid w:val="00007A79"/>
    <w:rsid w:val="0001163B"/>
    <w:rsid w:val="0001188F"/>
    <w:rsid w:val="00012209"/>
    <w:rsid w:val="00012662"/>
    <w:rsid w:val="00012711"/>
    <w:rsid w:val="00012908"/>
    <w:rsid w:val="00015498"/>
    <w:rsid w:val="00016836"/>
    <w:rsid w:val="00016894"/>
    <w:rsid w:val="00021D3E"/>
    <w:rsid w:val="000223C7"/>
    <w:rsid w:val="00022B30"/>
    <w:rsid w:val="000236A2"/>
    <w:rsid w:val="00023BEA"/>
    <w:rsid w:val="000246CC"/>
    <w:rsid w:val="00025146"/>
    <w:rsid w:val="00025AFC"/>
    <w:rsid w:val="00026F7F"/>
    <w:rsid w:val="00027783"/>
    <w:rsid w:val="00027A69"/>
    <w:rsid w:val="00030584"/>
    <w:rsid w:val="00030DEF"/>
    <w:rsid w:val="00031B3A"/>
    <w:rsid w:val="00032075"/>
    <w:rsid w:val="00032173"/>
    <w:rsid w:val="000327CE"/>
    <w:rsid w:val="00033010"/>
    <w:rsid w:val="00033466"/>
    <w:rsid w:val="00033A4F"/>
    <w:rsid w:val="00033AB0"/>
    <w:rsid w:val="00035003"/>
    <w:rsid w:val="00037858"/>
    <w:rsid w:val="00037872"/>
    <w:rsid w:val="00040591"/>
    <w:rsid w:val="000405D9"/>
    <w:rsid w:val="000407FE"/>
    <w:rsid w:val="000420C8"/>
    <w:rsid w:val="00042D24"/>
    <w:rsid w:val="00043203"/>
    <w:rsid w:val="00043CCE"/>
    <w:rsid w:val="00043D2E"/>
    <w:rsid w:val="000448C1"/>
    <w:rsid w:val="000454E3"/>
    <w:rsid w:val="00045C21"/>
    <w:rsid w:val="00045D28"/>
    <w:rsid w:val="00045DFD"/>
    <w:rsid w:val="00046B1F"/>
    <w:rsid w:val="00047EED"/>
    <w:rsid w:val="0005081A"/>
    <w:rsid w:val="00050F6B"/>
    <w:rsid w:val="00051E9E"/>
    <w:rsid w:val="0005211C"/>
    <w:rsid w:val="00052635"/>
    <w:rsid w:val="00052643"/>
    <w:rsid w:val="00052F85"/>
    <w:rsid w:val="00053332"/>
    <w:rsid w:val="00054104"/>
    <w:rsid w:val="00054B69"/>
    <w:rsid w:val="00054D92"/>
    <w:rsid w:val="00055260"/>
    <w:rsid w:val="00055345"/>
    <w:rsid w:val="000554E7"/>
    <w:rsid w:val="000558D9"/>
    <w:rsid w:val="000577B6"/>
    <w:rsid w:val="00057E97"/>
    <w:rsid w:val="00060EE4"/>
    <w:rsid w:val="00062839"/>
    <w:rsid w:val="00063185"/>
    <w:rsid w:val="000646F4"/>
    <w:rsid w:val="00065469"/>
    <w:rsid w:val="0006569B"/>
    <w:rsid w:val="00065CA7"/>
    <w:rsid w:val="00066051"/>
    <w:rsid w:val="00066761"/>
    <w:rsid w:val="00066C2B"/>
    <w:rsid w:val="00066D3B"/>
    <w:rsid w:val="000675FD"/>
    <w:rsid w:val="00070947"/>
    <w:rsid w:val="00070A26"/>
    <w:rsid w:val="00070F1B"/>
    <w:rsid w:val="0007134E"/>
    <w:rsid w:val="00071A73"/>
    <w:rsid w:val="00071B01"/>
    <w:rsid w:val="0007210D"/>
    <w:rsid w:val="00072C8C"/>
    <w:rsid w:val="00072FCD"/>
    <w:rsid w:val="00073042"/>
    <w:rsid w:val="00073399"/>
    <w:rsid w:val="000733B5"/>
    <w:rsid w:val="00073C2B"/>
    <w:rsid w:val="00073E4C"/>
    <w:rsid w:val="00074498"/>
    <w:rsid w:val="00074527"/>
    <w:rsid w:val="00075781"/>
    <w:rsid w:val="00076185"/>
    <w:rsid w:val="0007716C"/>
    <w:rsid w:val="0007777D"/>
    <w:rsid w:val="0007792A"/>
    <w:rsid w:val="000779A3"/>
    <w:rsid w:val="00081815"/>
    <w:rsid w:val="00082D9D"/>
    <w:rsid w:val="000840B6"/>
    <w:rsid w:val="00084CD7"/>
    <w:rsid w:val="00084EC7"/>
    <w:rsid w:val="000859C1"/>
    <w:rsid w:val="00085E67"/>
    <w:rsid w:val="00086456"/>
    <w:rsid w:val="00087B2E"/>
    <w:rsid w:val="00087B79"/>
    <w:rsid w:val="0009000C"/>
    <w:rsid w:val="000912F0"/>
    <w:rsid w:val="000915C8"/>
    <w:rsid w:val="00091C16"/>
    <w:rsid w:val="0009252F"/>
    <w:rsid w:val="0009284D"/>
    <w:rsid w:val="00092922"/>
    <w:rsid w:val="00093107"/>
    <w:rsid w:val="000931C0"/>
    <w:rsid w:val="00094636"/>
    <w:rsid w:val="0009663E"/>
    <w:rsid w:val="000975FA"/>
    <w:rsid w:val="00097EF2"/>
    <w:rsid w:val="000A0AE1"/>
    <w:rsid w:val="000A27AC"/>
    <w:rsid w:val="000A2A1D"/>
    <w:rsid w:val="000A2FB0"/>
    <w:rsid w:val="000A34BB"/>
    <w:rsid w:val="000A3650"/>
    <w:rsid w:val="000A39F1"/>
    <w:rsid w:val="000A3C46"/>
    <w:rsid w:val="000A5252"/>
    <w:rsid w:val="000A5A7C"/>
    <w:rsid w:val="000A716D"/>
    <w:rsid w:val="000B0595"/>
    <w:rsid w:val="000B0B82"/>
    <w:rsid w:val="000B175B"/>
    <w:rsid w:val="000B17E2"/>
    <w:rsid w:val="000B263D"/>
    <w:rsid w:val="000B2D67"/>
    <w:rsid w:val="000B2F02"/>
    <w:rsid w:val="000B3A0F"/>
    <w:rsid w:val="000B4D21"/>
    <w:rsid w:val="000B4EF7"/>
    <w:rsid w:val="000B58E2"/>
    <w:rsid w:val="000B7455"/>
    <w:rsid w:val="000B7A47"/>
    <w:rsid w:val="000C09C7"/>
    <w:rsid w:val="000C09F4"/>
    <w:rsid w:val="000C1495"/>
    <w:rsid w:val="000C1A31"/>
    <w:rsid w:val="000C1AB3"/>
    <w:rsid w:val="000C1ACC"/>
    <w:rsid w:val="000C22A5"/>
    <w:rsid w:val="000C235B"/>
    <w:rsid w:val="000C28DE"/>
    <w:rsid w:val="000C2C03"/>
    <w:rsid w:val="000C2D2E"/>
    <w:rsid w:val="000C3F7F"/>
    <w:rsid w:val="000C3F89"/>
    <w:rsid w:val="000C4A38"/>
    <w:rsid w:val="000C5647"/>
    <w:rsid w:val="000C5D79"/>
    <w:rsid w:val="000C629C"/>
    <w:rsid w:val="000C66C8"/>
    <w:rsid w:val="000C7842"/>
    <w:rsid w:val="000D0038"/>
    <w:rsid w:val="000D0486"/>
    <w:rsid w:val="000D071F"/>
    <w:rsid w:val="000D1059"/>
    <w:rsid w:val="000D1DE5"/>
    <w:rsid w:val="000D21FE"/>
    <w:rsid w:val="000D245A"/>
    <w:rsid w:val="000D3C51"/>
    <w:rsid w:val="000D3E5C"/>
    <w:rsid w:val="000D4B33"/>
    <w:rsid w:val="000D64F9"/>
    <w:rsid w:val="000D6D57"/>
    <w:rsid w:val="000D7F00"/>
    <w:rsid w:val="000E0415"/>
    <w:rsid w:val="000E060F"/>
    <w:rsid w:val="000E0854"/>
    <w:rsid w:val="000E1D94"/>
    <w:rsid w:val="000E3283"/>
    <w:rsid w:val="000E3905"/>
    <w:rsid w:val="000E48B0"/>
    <w:rsid w:val="000E4D42"/>
    <w:rsid w:val="000E4F4A"/>
    <w:rsid w:val="000E5276"/>
    <w:rsid w:val="000E70B3"/>
    <w:rsid w:val="000E72C1"/>
    <w:rsid w:val="000E73A7"/>
    <w:rsid w:val="000E79FD"/>
    <w:rsid w:val="000E7CC6"/>
    <w:rsid w:val="000E7E02"/>
    <w:rsid w:val="000F1142"/>
    <w:rsid w:val="000F1275"/>
    <w:rsid w:val="000F1E65"/>
    <w:rsid w:val="000F28B3"/>
    <w:rsid w:val="000F3975"/>
    <w:rsid w:val="000F39F3"/>
    <w:rsid w:val="000F4170"/>
    <w:rsid w:val="000F4265"/>
    <w:rsid w:val="000F47F4"/>
    <w:rsid w:val="000F56BA"/>
    <w:rsid w:val="000F5C3B"/>
    <w:rsid w:val="000F6BFF"/>
    <w:rsid w:val="000F7EF2"/>
    <w:rsid w:val="000F7F91"/>
    <w:rsid w:val="00100059"/>
    <w:rsid w:val="00100CA3"/>
    <w:rsid w:val="00102277"/>
    <w:rsid w:val="00102531"/>
    <w:rsid w:val="0010362C"/>
    <w:rsid w:val="001039D1"/>
    <w:rsid w:val="001052FD"/>
    <w:rsid w:val="00105750"/>
    <w:rsid w:val="001057FB"/>
    <w:rsid w:val="00105C76"/>
    <w:rsid w:val="001067C8"/>
    <w:rsid w:val="001067FA"/>
    <w:rsid w:val="00106F05"/>
    <w:rsid w:val="00107257"/>
    <w:rsid w:val="00107694"/>
    <w:rsid w:val="001076F0"/>
    <w:rsid w:val="00107CAD"/>
    <w:rsid w:val="001103AA"/>
    <w:rsid w:val="00111254"/>
    <w:rsid w:val="00111CAA"/>
    <w:rsid w:val="0011202E"/>
    <w:rsid w:val="001126E4"/>
    <w:rsid w:val="00112F1C"/>
    <w:rsid w:val="00113EA6"/>
    <w:rsid w:val="00113F8C"/>
    <w:rsid w:val="0011505B"/>
    <w:rsid w:val="0011616E"/>
    <w:rsid w:val="0011666B"/>
    <w:rsid w:val="00120A59"/>
    <w:rsid w:val="001212D8"/>
    <w:rsid w:val="00121A49"/>
    <w:rsid w:val="00122970"/>
    <w:rsid w:val="001234B3"/>
    <w:rsid w:val="001243AB"/>
    <w:rsid w:val="0012498C"/>
    <w:rsid w:val="00124B1B"/>
    <w:rsid w:val="001250C1"/>
    <w:rsid w:val="00125BC2"/>
    <w:rsid w:val="0012624F"/>
    <w:rsid w:val="00131483"/>
    <w:rsid w:val="00131EAA"/>
    <w:rsid w:val="0013235E"/>
    <w:rsid w:val="0013419D"/>
    <w:rsid w:val="001345AF"/>
    <w:rsid w:val="00134642"/>
    <w:rsid w:val="00135337"/>
    <w:rsid w:val="0013546E"/>
    <w:rsid w:val="001357F9"/>
    <w:rsid w:val="001363FA"/>
    <w:rsid w:val="00136C8D"/>
    <w:rsid w:val="00136FC3"/>
    <w:rsid w:val="00137254"/>
    <w:rsid w:val="00137811"/>
    <w:rsid w:val="00137F6B"/>
    <w:rsid w:val="00140460"/>
    <w:rsid w:val="001410FB"/>
    <w:rsid w:val="00141612"/>
    <w:rsid w:val="001418F0"/>
    <w:rsid w:val="00142CFA"/>
    <w:rsid w:val="00142E1A"/>
    <w:rsid w:val="001443BA"/>
    <w:rsid w:val="001447A6"/>
    <w:rsid w:val="00144CC5"/>
    <w:rsid w:val="00145974"/>
    <w:rsid w:val="00145E75"/>
    <w:rsid w:val="00145F18"/>
    <w:rsid w:val="001476A6"/>
    <w:rsid w:val="001502B1"/>
    <w:rsid w:val="00151A8D"/>
    <w:rsid w:val="00151C46"/>
    <w:rsid w:val="00151CCC"/>
    <w:rsid w:val="00152AA1"/>
    <w:rsid w:val="001535E6"/>
    <w:rsid w:val="0015361B"/>
    <w:rsid w:val="00153747"/>
    <w:rsid w:val="001545A5"/>
    <w:rsid w:val="00154A21"/>
    <w:rsid w:val="001554FE"/>
    <w:rsid w:val="001556FF"/>
    <w:rsid w:val="00155892"/>
    <w:rsid w:val="0015660C"/>
    <w:rsid w:val="00156683"/>
    <w:rsid w:val="00157968"/>
    <w:rsid w:val="00157C7E"/>
    <w:rsid w:val="001603C3"/>
    <w:rsid w:val="001617DC"/>
    <w:rsid w:val="00161D77"/>
    <w:rsid w:val="00164FDA"/>
    <w:rsid w:val="00165210"/>
    <w:rsid w:val="001659C2"/>
    <w:rsid w:val="00165D77"/>
    <w:rsid w:val="00165F3A"/>
    <w:rsid w:val="00166148"/>
    <w:rsid w:val="00167525"/>
    <w:rsid w:val="00167C57"/>
    <w:rsid w:val="0017009D"/>
    <w:rsid w:val="00171426"/>
    <w:rsid w:val="001717CE"/>
    <w:rsid w:val="0017214B"/>
    <w:rsid w:val="001721A7"/>
    <w:rsid w:val="001726D8"/>
    <w:rsid w:val="00174F20"/>
    <w:rsid w:val="001754B0"/>
    <w:rsid w:val="00175DC0"/>
    <w:rsid w:val="001760B5"/>
    <w:rsid w:val="00177336"/>
    <w:rsid w:val="0018046F"/>
    <w:rsid w:val="0018112A"/>
    <w:rsid w:val="001813B7"/>
    <w:rsid w:val="00181F5D"/>
    <w:rsid w:val="00182131"/>
    <w:rsid w:val="00182290"/>
    <w:rsid w:val="001825D6"/>
    <w:rsid w:val="001826D3"/>
    <w:rsid w:val="0018281E"/>
    <w:rsid w:val="00182D78"/>
    <w:rsid w:val="00183591"/>
    <w:rsid w:val="001849BC"/>
    <w:rsid w:val="00185B89"/>
    <w:rsid w:val="001868AE"/>
    <w:rsid w:val="00186F9D"/>
    <w:rsid w:val="00190059"/>
    <w:rsid w:val="001910A7"/>
    <w:rsid w:val="001911FF"/>
    <w:rsid w:val="00193FAC"/>
    <w:rsid w:val="001941B9"/>
    <w:rsid w:val="001949CC"/>
    <w:rsid w:val="00195D6F"/>
    <w:rsid w:val="00196A21"/>
    <w:rsid w:val="00197024"/>
    <w:rsid w:val="00197583"/>
    <w:rsid w:val="00197992"/>
    <w:rsid w:val="001A0D3B"/>
    <w:rsid w:val="001A0D98"/>
    <w:rsid w:val="001A1D30"/>
    <w:rsid w:val="001A207D"/>
    <w:rsid w:val="001A3521"/>
    <w:rsid w:val="001A3955"/>
    <w:rsid w:val="001A4FE3"/>
    <w:rsid w:val="001A5E0D"/>
    <w:rsid w:val="001A666E"/>
    <w:rsid w:val="001A671B"/>
    <w:rsid w:val="001A6C57"/>
    <w:rsid w:val="001A6EDB"/>
    <w:rsid w:val="001A7CE2"/>
    <w:rsid w:val="001B0543"/>
    <w:rsid w:val="001B1F55"/>
    <w:rsid w:val="001B2F77"/>
    <w:rsid w:val="001B333D"/>
    <w:rsid w:val="001B334F"/>
    <w:rsid w:val="001B3821"/>
    <w:rsid w:val="001B3A28"/>
    <w:rsid w:val="001B439B"/>
    <w:rsid w:val="001B46EA"/>
    <w:rsid w:val="001B4B04"/>
    <w:rsid w:val="001B5436"/>
    <w:rsid w:val="001B598F"/>
    <w:rsid w:val="001B6148"/>
    <w:rsid w:val="001B62A4"/>
    <w:rsid w:val="001B6598"/>
    <w:rsid w:val="001B673D"/>
    <w:rsid w:val="001B6A8B"/>
    <w:rsid w:val="001B7473"/>
    <w:rsid w:val="001B7D29"/>
    <w:rsid w:val="001C130B"/>
    <w:rsid w:val="001C3457"/>
    <w:rsid w:val="001C5165"/>
    <w:rsid w:val="001C53DC"/>
    <w:rsid w:val="001C5B58"/>
    <w:rsid w:val="001C6663"/>
    <w:rsid w:val="001C73CA"/>
    <w:rsid w:val="001C73FF"/>
    <w:rsid w:val="001C7419"/>
    <w:rsid w:val="001C7895"/>
    <w:rsid w:val="001C7B02"/>
    <w:rsid w:val="001D06AD"/>
    <w:rsid w:val="001D0C8C"/>
    <w:rsid w:val="001D1419"/>
    <w:rsid w:val="001D1E9E"/>
    <w:rsid w:val="001D2398"/>
    <w:rsid w:val="001D2486"/>
    <w:rsid w:val="001D26DF"/>
    <w:rsid w:val="001D2E31"/>
    <w:rsid w:val="001D2EB9"/>
    <w:rsid w:val="001D3233"/>
    <w:rsid w:val="001D3A03"/>
    <w:rsid w:val="001D3DD7"/>
    <w:rsid w:val="001D4790"/>
    <w:rsid w:val="001D47C7"/>
    <w:rsid w:val="001D4C3B"/>
    <w:rsid w:val="001D5B8D"/>
    <w:rsid w:val="001D6001"/>
    <w:rsid w:val="001D65A2"/>
    <w:rsid w:val="001D79DE"/>
    <w:rsid w:val="001E091A"/>
    <w:rsid w:val="001E1685"/>
    <w:rsid w:val="001E1B68"/>
    <w:rsid w:val="001E241A"/>
    <w:rsid w:val="001E3759"/>
    <w:rsid w:val="001E3B0D"/>
    <w:rsid w:val="001E444F"/>
    <w:rsid w:val="001E44EA"/>
    <w:rsid w:val="001E4B36"/>
    <w:rsid w:val="001E6170"/>
    <w:rsid w:val="001E678C"/>
    <w:rsid w:val="001E6BCB"/>
    <w:rsid w:val="001E70A4"/>
    <w:rsid w:val="001E7B67"/>
    <w:rsid w:val="001F05D7"/>
    <w:rsid w:val="001F0A89"/>
    <w:rsid w:val="001F12DC"/>
    <w:rsid w:val="001F1561"/>
    <w:rsid w:val="001F1DCE"/>
    <w:rsid w:val="001F1DF5"/>
    <w:rsid w:val="001F2477"/>
    <w:rsid w:val="001F2678"/>
    <w:rsid w:val="001F2E15"/>
    <w:rsid w:val="001F3A08"/>
    <w:rsid w:val="001F3AA8"/>
    <w:rsid w:val="001F3AAD"/>
    <w:rsid w:val="001F4360"/>
    <w:rsid w:val="001F4AD7"/>
    <w:rsid w:val="001F5F29"/>
    <w:rsid w:val="001F61A2"/>
    <w:rsid w:val="001F64D1"/>
    <w:rsid w:val="001F66E3"/>
    <w:rsid w:val="001F71AA"/>
    <w:rsid w:val="001F76C7"/>
    <w:rsid w:val="001F7EB8"/>
    <w:rsid w:val="002007E0"/>
    <w:rsid w:val="00200979"/>
    <w:rsid w:val="002013A7"/>
    <w:rsid w:val="002013DA"/>
    <w:rsid w:val="00201AF0"/>
    <w:rsid w:val="00202DA8"/>
    <w:rsid w:val="0020452E"/>
    <w:rsid w:val="00205171"/>
    <w:rsid w:val="0020549D"/>
    <w:rsid w:val="00205D07"/>
    <w:rsid w:val="00205F4D"/>
    <w:rsid w:val="00206073"/>
    <w:rsid w:val="002060D3"/>
    <w:rsid w:val="00206EF7"/>
    <w:rsid w:val="002077C3"/>
    <w:rsid w:val="00207C22"/>
    <w:rsid w:val="00207F53"/>
    <w:rsid w:val="00210443"/>
    <w:rsid w:val="0021059A"/>
    <w:rsid w:val="00210CE8"/>
    <w:rsid w:val="00211E0B"/>
    <w:rsid w:val="00212021"/>
    <w:rsid w:val="00212BB8"/>
    <w:rsid w:val="00212C29"/>
    <w:rsid w:val="00213F4B"/>
    <w:rsid w:val="0021442B"/>
    <w:rsid w:val="00214974"/>
    <w:rsid w:val="00214A53"/>
    <w:rsid w:val="00214EDB"/>
    <w:rsid w:val="00215213"/>
    <w:rsid w:val="0021530F"/>
    <w:rsid w:val="002157DE"/>
    <w:rsid w:val="00216B2B"/>
    <w:rsid w:val="00217411"/>
    <w:rsid w:val="00217BCD"/>
    <w:rsid w:val="00223AC7"/>
    <w:rsid w:val="00223E57"/>
    <w:rsid w:val="002245B4"/>
    <w:rsid w:val="00225ED7"/>
    <w:rsid w:val="0022609C"/>
    <w:rsid w:val="0022630B"/>
    <w:rsid w:val="00226924"/>
    <w:rsid w:val="002275E7"/>
    <w:rsid w:val="00227715"/>
    <w:rsid w:val="002277F1"/>
    <w:rsid w:val="00227EAC"/>
    <w:rsid w:val="00231107"/>
    <w:rsid w:val="0023123D"/>
    <w:rsid w:val="002323F0"/>
    <w:rsid w:val="00232F5A"/>
    <w:rsid w:val="0023449F"/>
    <w:rsid w:val="0023493D"/>
    <w:rsid w:val="002351C9"/>
    <w:rsid w:val="0023522E"/>
    <w:rsid w:val="00236DAB"/>
    <w:rsid w:val="00236EA9"/>
    <w:rsid w:val="00240C92"/>
    <w:rsid w:val="00241B9A"/>
    <w:rsid w:val="002423A6"/>
    <w:rsid w:val="00243547"/>
    <w:rsid w:val="0024407F"/>
    <w:rsid w:val="002450A2"/>
    <w:rsid w:val="0024536B"/>
    <w:rsid w:val="0024560C"/>
    <w:rsid w:val="00245908"/>
    <w:rsid w:val="00245D4A"/>
    <w:rsid w:val="00245FD8"/>
    <w:rsid w:val="00246A4B"/>
    <w:rsid w:val="0024715F"/>
    <w:rsid w:val="0024772E"/>
    <w:rsid w:val="00247BF7"/>
    <w:rsid w:val="00250CC8"/>
    <w:rsid w:val="00252825"/>
    <w:rsid w:val="00253A44"/>
    <w:rsid w:val="00254036"/>
    <w:rsid w:val="00254F7D"/>
    <w:rsid w:val="002577D6"/>
    <w:rsid w:val="00257850"/>
    <w:rsid w:val="00257A0D"/>
    <w:rsid w:val="00257FE5"/>
    <w:rsid w:val="00260039"/>
    <w:rsid w:val="002609CE"/>
    <w:rsid w:val="00260D08"/>
    <w:rsid w:val="002635C2"/>
    <w:rsid w:val="00263E13"/>
    <w:rsid w:val="00264558"/>
    <w:rsid w:val="00264FD3"/>
    <w:rsid w:val="002656E0"/>
    <w:rsid w:val="00266195"/>
    <w:rsid w:val="0026637B"/>
    <w:rsid w:val="00266AFB"/>
    <w:rsid w:val="00267A8E"/>
    <w:rsid w:val="00267F2B"/>
    <w:rsid w:val="00267F5F"/>
    <w:rsid w:val="0027021D"/>
    <w:rsid w:val="00270C6F"/>
    <w:rsid w:val="002717CB"/>
    <w:rsid w:val="002728AB"/>
    <w:rsid w:val="00272E7B"/>
    <w:rsid w:val="0027386A"/>
    <w:rsid w:val="00273D06"/>
    <w:rsid w:val="00274767"/>
    <w:rsid w:val="00274DDC"/>
    <w:rsid w:val="0027635E"/>
    <w:rsid w:val="002806CE"/>
    <w:rsid w:val="00281C66"/>
    <w:rsid w:val="00282D64"/>
    <w:rsid w:val="00282FBC"/>
    <w:rsid w:val="00283180"/>
    <w:rsid w:val="002836E6"/>
    <w:rsid w:val="00283882"/>
    <w:rsid w:val="00283ED6"/>
    <w:rsid w:val="00285BA9"/>
    <w:rsid w:val="00285E0D"/>
    <w:rsid w:val="00286A18"/>
    <w:rsid w:val="00286B4D"/>
    <w:rsid w:val="00287234"/>
    <w:rsid w:val="00287B01"/>
    <w:rsid w:val="002939BB"/>
    <w:rsid w:val="002945AE"/>
    <w:rsid w:val="0029703F"/>
    <w:rsid w:val="0029709B"/>
    <w:rsid w:val="00297C3F"/>
    <w:rsid w:val="002A0338"/>
    <w:rsid w:val="002A0FFD"/>
    <w:rsid w:val="002A18A5"/>
    <w:rsid w:val="002A1CB8"/>
    <w:rsid w:val="002A27C3"/>
    <w:rsid w:val="002A3019"/>
    <w:rsid w:val="002A390E"/>
    <w:rsid w:val="002A3D07"/>
    <w:rsid w:val="002A4724"/>
    <w:rsid w:val="002A4914"/>
    <w:rsid w:val="002A4CDC"/>
    <w:rsid w:val="002A616C"/>
    <w:rsid w:val="002A61A4"/>
    <w:rsid w:val="002A6964"/>
    <w:rsid w:val="002A7381"/>
    <w:rsid w:val="002A77EE"/>
    <w:rsid w:val="002A795C"/>
    <w:rsid w:val="002B14B0"/>
    <w:rsid w:val="002B181C"/>
    <w:rsid w:val="002B4850"/>
    <w:rsid w:val="002B53DC"/>
    <w:rsid w:val="002B5A65"/>
    <w:rsid w:val="002B66AC"/>
    <w:rsid w:val="002B6D65"/>
    <w:rsid w:val="002B7C94"/>
    <w:rsid w:val="002C0600"/>
    <w:rsid w:val="002C1557"/>
    <w:rsid w:val="002C30EA"/>
    <w:rsid w:val="002C38E8"/>
    <w:rsid w:val="002C3E6E"/>
    <w:rsid w:val="002C5723"/>
    <w:rsid w:val="002C5A0A"/>
    <w:rsid w:val="002C6107"/>
    <w:rsid w:val="002C68C3"/>
    <w:rsid w:val="002C7499"/>
    <w:rsid w:val="002D0576"/>
    <w:rsid w:val="002D0832"/>
    <w:rsid w:val="002D1526"/>
    <w:rsid w:val="002D16CF"/>
    <w:rsid w:val="002D174D"/>
    <w:rsid w:val="002D2433"/>
    <w:rsid w:val="002D2F95"/>
    <w:rsid w:val="002D39DA"/>
    <w:rsid w:val="002D3D4F"/>
    <w:rsid w:val="002D4643"/>
    <w:rsid w:val="002D621E"/>
    <w:rsid w:val="002D6691"/>
    <w:rsid w:val="002D759B"/>
    <w:rsid w:val="002D78FC"/>
    <w:rsid w:val="002E08D3"/>
    <w:rsid w:val="002E14E8"/>
    <w:rsid w:val="002E15DE"/>
    <w:rsid w:val="002E16E0"/>
    <w:rsid w:val="002E1928"/>
    <w:rsid w:val="002E1C6A"/>
    <w:rsid w:val="002E2A65"/>
    <w:rsid w:val="002E30C8"/>
    <w:rsid w:val="002E33A0"/>
    <w:rsid w:val="002E3724"/>
    <w:rsid w:val="002E5076"/>
    <w:rsid w:val="002E5A5A"/>
    <w:rsid w:val="002E5B1F"/>
    <w:rsid w:val="002E6E2E"/>
    <w:rsid w:val="002E7702"/>
    <w:rsid w:val="002E7B27"/>
    <w:rsid w:val="002F00CE"/>
    <w:rsid w:val="002F076A"/>
    <w:rsid w:val="002F0DA4"/>
    <w:rsid w:val="002F106F"/>
    <w:rsid w:val="002F175C"/>
    <w:rsid w:val="002F1A9B"/>
    <w:rsid w:val="002F1D71"/>
    <w:rsid w:val="002F333C"/>
    <w:rsid w:val="002F348B"/>
    <w:rsid w:val="002F5062"/>
    <w:rsid w:val="002F50B2"/>
    <w:rsid w:val="002F590C"/>
    <w:rsid w:val="002F63F0"/>
    <w:rsid w:val="002F6B3B"/>
    <w:rsid w:val="002F6E7B"/>
    <w:rsid w:val="002F77D1"/>
    <w:rsid w:val="002F7C7C"/>
    <w:rsid w:val="002F7DE0"/>
    <w:rsid w:val="00300244"/>
    <w:rsid w:val="003007CC"/>
    <w:rsid w:val="003007E4"/>
    <w:rsid w:val="00300B08"/>
    <w:rsid w:val="0030194B"/>
    <w:rsid w:val="00302B53"/>
    <w:rsid w:val="00302DA5"/>
    <w:rsid w:val="00302E18"/>
    <w:rsid w:val="0030318A"/>
    <w:rsid w:val="003032FB"/>
    <w:rsid w:val="00303AF8"/>
    <w:rsid w:val="00304321"/>
    <w:rsid w:val="003046AF"/>
    <w:rsid w:val="003046DE"/>
    <w:rsid w:val="00304B5B"/>
    <w:rsid w:val="00304BEF"/>
    <w:rsid w:val="0030555B"/>
    <w:rsid w:val="00307123"/>
    <w:rsid w:val="00307164"/>
    <w:rsid w:val="003072DF"/>
    <w:rsid w:val="00310831"/>
    <w:rsid w:val="0031092C"/>
    <w:rsid w:val="003109B3"/>
    <w:rsid w:val="003109CF"/>
    <w:rsid w:val="003119FC"/>
    <w:rsid w:val="003122B3"/>
    <w:rsid w:val="003123CE"/>
    <w:rsid w:val="003124DF"/>
    <w:rsid w:val="0031298E"/>
    <w:rsid w:val="00312AF5"/>
    <w:rsid w:val="00312CFC"/>
    <w:rsid w:val="00313911"/>
    <w:rsid w:val="00314805"/>
    <w:rsid w:val="00315F24"/>
    <w:rsid w:val="003163F9"/>
    <w:rsid w:val="0031721F"/>
    <w:rsid w:val="00317BC7"/>
    <w:rsid w:val="00320865"/>
    <w:rsid w:val="00322068"/>
    <w:rsid w:val="00322193"/>
    <w:rsid w:val="0032289D"/>
    <w:rsid w:val="003229D8"/>
    <w:rsid w:val="00323143"/>
    <w:rsid w:val="0032381B"/>
    <w:rsid w:val="00324864"/>
    <w:rsid w:val="0032589A"/>
    <w:rsid w:val="00325E75"/>
    <w:rsid w:val="003265CB"/>
    <w:rsid w:val="00326B9C"/>
    <w:rsid w:val="00326D74"/>
    <w:rsid w:val="0032711B"/>
    <w:rsid w:val="0032769F"/>
    <w:rsid w:val="00330FD2"/>
    <w:rsid w:val="0033148A"/>
    <w:rsid w:val="00331ACF"/>
    <w:rsid w:val="00331E36"/>
    <w:rsid w:val="00332D76"/>
    <w:rsid w:val="00332E17"/>
    <w:rsid w:val="00333790"/>
    <w:rsid w:val="00334573"/>
    <w:rsid w:val="00334FE9"/>
    <w:rsid w:val="003350B7"/>
    <w:rsid w:val="0033630B"/>
    <w:rsid w:val="0033646C"/>
    <w:rsid w:val="00336586"/>
    <w:rsid w:val="0033759D"/>
    <w:rsid w:val="00337C05"/>
    <w:rsid w:val="003400B3"/>
    <w:rsid w:val="003403C3"/>
    <w:rsid w:val="0034058B"/>
    <w:rsid w:val="00340C2B"/>
    <w:rsid w:val="00340E25"/>
    <w:rsid w:val="00341859"/>
    <w:rsid w:val="00341D85"/>
    <w:rsid w:val="0034256C"/>
    <w:rsid w:val="00342F9D"/>
    <w:rsid w:val="00343DB0"/>
    <w:rsid w:val="00344B69"/>
    <w:rsid w:val="00344CED"/>
    <w:rsid w:val="00344E5D"/>
    <w:rsid w:val="003454F1"/>
    <w:rsid w:val="00345AF1"/>
    <w:rsid w:val="00345FA4"/>
    <w:rsid w:val="003460FC"/>
    <w:rsid w:val="00346DD6"/>
    <w:rsid w:val="003478AD"/>
    <w:rsid w:val="00347AC5"/>
    <w:rsid w:val="00350352"/>
    <w:rsid w:val="00350BB4"/>
    <w:rsid w:val="003511B6"/>
    <w:rsid w:val="0035140A"/>
    <w:rsid w:val="00351C7D"/>
    <w:rsid w:val="003526C8"/>
    <w:rsid w:val="00352709"/>
    <w:rsid w:val="00352957"/>
    <w:rsid w:val="00352EE2"/>
    <w:rsid w:val="003531E9"/>
    <w:rsid w:val="00354125"/>
    <w:rsid w:val="0035491B"/>
    <w:rsid w:val="00354A14"/>
    <w:rsid w:val="00354BE7"/>
    <w:rsid w:val="003553E9"/>
    <w:rsid w:val="003569B6"/>
    <w:rsid w:val="00356FE3"/>
    <w:rsid w:val="003579F5"/>
    <w:rsid w:val="00357B91"/>
    <w:rsid w:val="00357F0F"/>
    <w:rsid w:val="00360867"/>
    <w:rsid w:val="003619B5"/>
    <w:rsid w:val="00361AC3"/>
    <w:rsid w:val="00361D3B"/>
    <w:rsid w:val="0036215C"/>
    <w:rsid w:val="0036281A"/>
    <w:rsid w:val="00363496"/>
    <w:rsid w:val="00363CDE"/>
    <w:rsid w:val="00363F91"/>
    <w:rsid w:val="00365763"/>
    <w:rsid w:val="00365A07"/>
    <w:rsid w:val="00366336"/>
    <w:rsid w:val="00371178"/>
    <w:rsid w:val="0037169B"/>
    <w:rsid w:val="003720A4"/>
    <w:rsid w:val="003740D8"/>
    <w:rsid w:val="00374A06"/>
    <w:rsid w:val="00374A1A"/>
    <w:rsid w:val="00375546"/>
    <w:rsid w:val="00375D0F"/>
    <w:rsid w:val="0037672D"/>
    <w:rsid w:val="0037784E"/>
    <w:rsid w:val="00380740"/>
    <w:rsid w:val="003815AF"/>
    <w:rsid w:val="003821A5"/>
    <w:rsid w:val="003828B0"/>
    <w:rsid w:val="003831BA"/>
    <w:rsid w:val="003833C3"/>
    <w:rsid w:val="00384B64"/>
    <w:rsid w:val="003857A5"/>
    <w:rsid w:val="00385D5E"/>
    <w:rsid w:val="00386431"/>
    <w:rsid w:val="00386A4B"/>
    <w:rsid w:val="0038705A"/>
    <w:rsid w:val="00387384"/>
    <w:rsid w:val="0038794A"/>
    <w:rsid w:val="00387C06"/>
    <w:rsid w:val="003900DB"/>
    <w:rsid w:val="003914CE"/>
    <w:rsid w:val="00391CDB"/>
    <w:rsid w:val="00391D3F"/>
    <w:rsid w:val="00392206"/>
    <w:rsid w:val="00392E47"/>
    <w:rsid w:val="003933EA"/>
    <w:rsid w:val="0039433D"/>
    <w:rsid w:val="003963F8"/>
    <w:rsid w:val="0039793D"/>
    <w:rsid w:val="003A04FB"/>
    <w:rsid w:val="003A0726"/>
    <w:rsid w:val="003A0D28"/>
    <w:rsid w:val="003A1CDC"/>
    <w:rsid w:val="003A1FB6"/>
    <w:rsid w:val="003A28F1"/>
    <w:rsid w:val="003A2D24"/>
    <w:rsid w:val="003A3A5E"/>
    <w:rsid w:val="003A4744"/>
    <w:rsid w:val="003A4C25"/>
    <w:rsid w:val="003A4D67"/>
    <w:rsid w:val="003A5196"/>
    <w:rsid w:val="003A524C"/>
    <w:rsid w:val="003A5B22"/>
    <w:rsid w:val="003A6810"/>
    <w:rsid w:val="003A6BBC"/>
    <w:rsid w:val="003A6D2C"/>
    <w:rsid w:val="003A7494"/>
    <w:rsid w:val="003B1A87"/>
    <w:rsid w:val="003B1BC5"/>
    <w:rsid w:val="003B1C58"/>
    <w:rsid w:val="003B36F2"/>
    <w:rsid w:val="003B45E6"/>
    <w:rsid w:val="003B48BA"/>
    <w:rsid w:val="003B5254"/>
    <w:rsid w:val="003B5CEC"/>
    <w:rsid w:val="003B5DFC"/>
    <w:rsid w:val="003B6787"/>
    <w:rsid w:val="003B6825"/>
    <w:rsid w:val="003B7F9A"/>
    <w:rsid w:val="003C01C3"/>
    <w:rsid w:val="003C021A"/>
    <w:rsid w:val="003C0A7B"/>
    <w:rsid w:val="003C0B18"/>
    <w:rsid w:val="003C104B"/>
    <w:rsid w:val="003C1A3B"/>
    <w:rsid w:val="003C2CC4"/>
    <w:rsid w:val="003C533C"/>
    <w:rsid w:val="003C534D"/>
    <w:rsid w:val="003C54CA"/>
    <w:rsid w:val="003C57E6"/>
    <w:rsid w:val="003C5F72"/>
    <w:rsid w:val="003C6667"/>
    <w:rsid w:val="003C681D"/>
    <w:rsid w:val="003C6943"/>
    <w:rsid w:val="003C6A00"/>
    <w:rsid w:val="003C6E98"/>
    <w:rsid w:val="003C6F87"/>
    <w:rsid w:val="003C746A"/>
    <w:rsid w:val="003C7926"/>
    <w:rsid w:val="003C7C8A"/>
    <w:rsid w:val="003D0191"/>
    <w:rsid w:val="003D041D"/>
    <w:rsid w:val="003D0AC1"/>
    <w:rsid w:val="003D0C0F"/>
    <w:rsid w:val="003D2B16"/>
    <w:rsid w:val="003D2D9B"/>
    <w:rsid w:val="003D301C"/>
    <w:rsid w:val="003D317A"/>
    <w:rsid w:val="003D369E"/>
    <w:rsid w:val="003D427B"/>
    <w:rsid w:val="003D4784"/>
    <w:rsid w:val="003D4B23"/>
    <w:rsid w:val="003D4E5E"/>
    <w:rsid w:val="003D4FB5"/>
    <w:rsid w:val="003D5469"/>
    <w:rsid w:val="003D66B8"/>
    <w:rsid w:val="003D6B33"/>
    <w:rsid w:val="003D6DA9"/>
    <w:rsid w:val="003D6E3C"/>
    <w:rsid w:val="003D7D56"/>
    <w:rsid w:val="003D7F40"/>
    <w:rsid w:val="003E00E3"/>
    <w:rsid w:val="003E02FC"/>
    <w:rsid w:val="003E10CF"/>
    <w:rsid w:val="003E130E"/>
    <w:rsid w:val="003E1A2C"/>
    <w:rsid w:val="003E1A41"/>
    <w:rsid w:val="003E1EE1"/>
    <w:rsid w:val="003E1FF8"/>
    <w:rsid w:val="003E23A3"/>
    <w:rsid w:val="003E355F"/>
    <w:rsid w:val="003E37E2"/>
    <w:rsid w:val="003E43C7"/>
    <w:rsid w:val="003E4BB1"/>
    <w:rsid w:val="003E4F0F"/>
    <w:rsid w:val="003E588C"/>
    <w:rsid w:val="003E58EA"/>
    <w:rsid w:val="003E5CBF"/>
    <w:rsid w:val="003E5CE7"/>
    <w:rsid w:val="003E60D2"/>
    <w:rsid w:val="003E630F"/>
    <w:rsid w:val="003E63C4"/>
    <w:rsid w:val="003E682E"/>
    <w:rsid w:val="003E75FD"/>
    <w:rsid w:val="003E79E6"/>
    <w:rsid w:val="003E79FF"/>
    <w:rsid w:val="003E7B4B"/>
    <w:rsid w:val="003E7D83"/>
    <w:rsid w:val="003F0DBA"/>
    <w:rsid w:val="003F3AA4"/>
    <w:rsid w:val="003F3EC3"/>
    <w:rsid w:val="003F5021"/>
    <w:rsid w:val="003F613F"/>
    <w:rsid w:val="003F66FA"/>
    <w:rsid w:val="003F798C"/>
    <w:rsid w:val="003F7CBF"/>
    <w:rsid w:val="004000DE"/>
    <w:rsid w:val="0040013F"/>
    <w:rsid w:val="0040037F"/>
    <w:rsid w:val="004009E3"/>
    <w:rsid w:val="00400A0E"/>
    <w:rsid w:val="00401E80"/>
    <w:rsid w:val="00402A8E"/>
    <w:rsid w:val="004030A7"/>
    <w:rsid w:val="00403443"/>
    <w:rsid w:val="004045DA"/>
    <w:rsid w:val="00405056"/>
    <w:rsid w:val="00405AFB"/>
    <w:rsid w:val="00405C64"/>
    <w:rsid w:val="00406E84"/>
    <w:rsid w:val="00407BC5"/>
    <w:rsid w:val="00407F84"/>
    <w:rsid w:val="00410462"/>
    <w:rsid w:val="00410767"/>
    <w:rsid w:val="00410C89"/>
    <w:rsid w:val="00410DE0"/>
    <w:rsid w:val="00411424"/>
    <w:rsid w:val="00411B4B"/>
    <w:rsid w:val="0041299D"/>
    <w:rsid w:val="0041347A"/>
    <w:rsid w:val="00413918"/>
    <w:rsid w:val="00413AF2"/>
    <w:rsid w:val="004142E9"/>
    <w:rsid w:val="00414B03"/>
    <w:rsid w:val="00414E1C"/>
    <w:rsid w:val="0042039F"/>
    <w:rsid w:val="00421557"/>
    <w:rsid w:val="00421A40"/>
    <w:rsid w:val="00421AB6"/>
    <w:rsid w:val="00421DAB"/>
    <w:rsid w:val="00422AF5"/>
    <w:rsid w:val="00422E03"/>
    <w:rsid w:val="00424BF6"/>
    <w:rsid w:val="00425DD1"/>
    <w:rsid w:val="0042614D"/>
    <w:rsid w:val="00426B9B"/>
    <w:rsid w:val="00427B7E"/>
    <w:rsid w:val="0043081A"/>
    <w:rsid w:val="00430988"/>
    <w:rsid w:val="004325CB"/>
    <w:rsid w:val="00433173"/>
    <w:rsid w:val="00433984"/>
    <w:rsid w:val="0043548E"/>
    <w:rsid w:val="00435F1D"/>
    <w:rsid w:val="00436073"/>
    <w:rsid w:val="0043660E"/>
    <w:rsid w:val="004375DF"/>
    <w:rsid w:val="00437992"/>
    <w:rsid w:val="004404A7"/>
    <w:rsid w:val="00440813"/>
    <w:rsid w:val="00441775"/>
    <w:rsid w:val="00441ACD"/>
    <w:rsid w:val="004428C2"/>
    <w:rsid w:val="0044291F"/>
    <w:rsid w:val="00442A83"/>
    <w:rsid w:val="00444661"/>
    <w:rsid w:val="004448AC"/>
    <w:rsid w:val="00447337"/>
    <w:rsid w:val="00447A4C"/>
    <w:rsid w:val="00450015"/>
    <w:rsid w:val="0045002C"/>
    <w:rsid w:val="0045013F"/>
    <w:rsid w:val="00450191"/>
    <w:rsid w:val="00450B28"/>
    <w:rsid w:val="004519D6"/>
    <w:rsid w:val="004522D1"/>
    <w:rsid w:val="004523B9"/>
    <w:rsid w:val="00452CEA"/>
    <w:rsid w:val="0045495B"/>
    <w:rsid w:val="00454EF0"/>
    <w:rsid w:val="004561E5"/>
    <w:rsid w:val="0045665B"/>
    <w:rsid w:val="00456AD6"/>
    <w:rsid w:val="00456F99"/>
    <w:rsid w:val="00460F7C"/>
    <w:rsid w:val="00462505"/>
    <w:rsid w:val="00462F69"/>
    <w:rsid w:val="004634B2"/>
    <w:rsid w:val="00463EB4"/>
    <w:rsid w:val="004648C8"/>
    <w:rsid w:val="004648CA"/>
    <w:rsid w:val="00465DA9"/>
    <w:rsid w:val="00470C61"/>
    <w:rsid w:val="00470C76"/>
    <w:rsid w:val="00470FBC"/>
    <w:rsid w:val="00471761"/>
    <w:rsid w:val="00471929"/>
    <w:rsid w:val="00471A76"/>
    <w:rsid w:val="0047221D"/>
    <w:rsid w:val="0047260C"/>
    <w:rsid w:val="00472948"/>
    <w:rsid w:val="00473EA1"/>
    <w:rsid w:val="00474F4D"/>
    <w:rsid w:val="0047514E"/>
    <w:rsid w:val="004778E7"/>
    <w:rsid w:val="0048107A"/>
    <w:rsid w:val="0048161D"/>
    <w:rsid w:val="00481FD3"/>
    <w:rsid w:val="004822DE"/>
    <w:rsid w:val="0048271F"/>
    <w:rsid w:val="00482E1A"/>
    <w:rsid w:val="004837F6"/>
    <w:rsid w:val="0048397A"/>
    <w:rsid w:val="004839E9"/>
    <w:rsid w:val="00483F31"/>
    <w:rsid w:val="00485712"/>
    <w:rsid w:val="004857F1"/>
    <w:rsid w:val="00485CBB"/>
    <w:rsid w:val="004865F9"/>
    <w:rsid w:val="00486617"/>
    <w:rsid w:val="004866B7"/>
    <w:rsid w:val="00486789"/>
    <w:rsid w:val="00486FFE"/>
    <w:rsid w:val="0048701E"/>
    <w:rsid w:val="00487123"/>
    <w:rsid w:val="00487A9E"/>
    <w:rsid w:val="00487C8E"/>
    <w:rsid w:val="00487D36"/>
    <w:rsid w:val="00487DB2"/>
    <w:rsid w:val="00487EE5"/>
    <w:rsid w:val="00490160"/>
    <w:rsid w:val="00490D99"/>
    <w:rsid w:val="00490DFA"/>
    <w:rsid w:val="004918DF"/>
    <w:rsid w:val="00491985"/>
    <w:rsid w:val="00493065"/>
    <w:rsid w:val="004931FE"/>
    <w:rsid w:val="004938F9"/>
    <w:rsid w:val="00495031"/>
    <w:rsid w:val="004968A5"/>
    <w:rsid w:val="004975EA"/>
    <w:rsid w:val="00497E06"/>
    <w:rsid w:val="004A037B"/>
    <w:rsid w:val="004A0AEA"/>
    <w:rsid w:val="004A2014"/>
    <w:rsid w:val="004A2257"/>
    <w:rsid w:val="004A249F"/>
    <w:rsid w:val="004A297B"/>
    <w:rsid w:val="004A346C"/>
    <w:rsid w:val="004A3CCB"/>
    <w:rsid w:val="004A41C6"/>
    <w:rsid w:val="004A4FFA"/>
    <w:rsid w:val="004A50F1"/>
    <w:rsid w:val="004A5737"/>
    <w:rsid w:val="004A5BDD"/>
    <w:rsid w:val="004A5F56"/>
    <w:rsid w:val="004A5FB0"/>
    <w:rsid w:val="004A6E8C"/>
    <w:rsid w:val="004A7983"/>
    <w:rsid w:val="004B088E"/>
    <w:rsid w:val="004B0C1F"/>
    <w:rsid w:val="004B0D3C"/>
    <w:rsid w:val="004B11AD"/>
    <w:rsid w:val="004B2461"/>
    <w:rsid w:val="004B31DB"/>
    <w:rsid w:val="004B3B72"/>
    <w:rsid w:val="004B3C44"/>
    <w:rsid w:val="004B4149"/>
    <w:rsid w:val="004B66F6"/>
    <w:rsid w:val="004B6E9B"/>
    <w:rsid w:val="004B752D"/>
    <w:rsid w:val="004C0F99"/>
    <w:rsid w:val="004C155E"/>
    <w:rsid w:val="004C2276"/>
    <w:rsid w:val="004C237C"/>
    <w:rsid w:val="004C2461"/>
    <w:rsid w:val="004C32BC"/>
    <w:rsid w:val="004C42B3"/>
    <w:rsid w:val="004C4363"/>
    <w:rsid w:val="004C46ED"/>
    <w:rsid w:val="004C4911"/>
    <w:rsid w:val="004C5E1F"/>
    <w:rsid w:val="004C6E9F"/>
    <w:rsid w:val="004C727E"/>
    <w:rsid w:val="004C7462"/>
    <w:rsid w:val="004C7A75"/>
    <w:rsid w:val="004D00E2"/>
    <w:rsid w:val="004D0E6A"/>
    <w:rsid w:val="004D0EE5"/>
    <w:rsid w:val="004D18A6"/>
    <w:rsid w:val="004D297C"/>
    <w:rsid w:val="004D31EB"/>
    <w:rsid w:val="004D33D1"/>
    <w:rsid w:val="004D33F3"/>
    <w:rsid w:val="004D51D1"/>
    <w:rsid w:val="004D5EA4"/>
    <w:rsid w:val="004D6FFE"/>
    <w:rsid w:val="004D7196"/>
    <w:rsid w:val="004D7F55"/>
    <w:rsid w:val="004E0F46"/>
    <w:rsid w:val="004E11CC"/>
    <w:rsid w:val="004E2C11"/>
    <w:rsid w:val="004E3269"/>
    <w:rsid w:val="004E4CFF"/>
    <w:rsid w:val="004E4D2D"/>
    <w:rsid w:val="004E4DAA"/>
    <w:rsid w:val="004E543F"/>
    <w:rsid w:val="004E54EE"/>
    <w:rsid w:val="004E74B1"/>
    <w:rsid w:val="004E77B2"/>
    <w:rsid w:val="004E7DCC"/>
    <w:rsid w:val="004F1546"/>
    <w:rsid w:val="004F1CE4"/>
    <w:rsid w:val="004F391E"/>
    <w:rsid w:val="004F391F"/>
    <w:rsid w:val="004F3CF2"/>
    <w:rsid w:val="004F401C"/>
    <w:rsid w:val="004F43A5"/>
    <w:rsid w:val="004F44D2"/>
    <w:rsid w:val="004F4A30"/>
    <w:rsid w:val="004F5667"/>
    <w:rsid w:val="004F56CE"/>
    <w:rsid w:val="004F6C66"/>
    <w:rsid w:val="004F7F41"/>
    <w:rsid w:val="0050094F"/>
    <w:rsid w:val="00501171"/>
    <w:rsid w:val="005025A2"/>
    <w:rsid w:val="005029B0"/>
    <w:rsid w:val="0050346B"/>
    <w:rsid w:val="005034A5"/>
    <w:rsid w:val="005041E6"/>
    <w:rsid w:val="00504B2D"/>
    <w:rsid w:val="00504DFE"/>
    <w:rsid w:val="00504F48"/>
    <w:rsid w:val="0050532A"/>
    <w:rsid w:val="00505AB0"/>
    <w:rsid w:val="005064C4"/>
    <w:rsid w:val="00507910"/>
    <w:rsid w:val="00507C09"/>
    <w:rsid w:val="00507D39"/>
    <w:rsid w:val="005103E1"/>
    <w:rsid w:val="00511B89"/>
    <w:rsid w:val="00512205"/>
    <w:rsid w:val="00513501"/>
    <w:rsid w:val="0051371E"/>
    <w:rsid w:val="00513D88"/>
    <w:rsid w:val="00515FB8"/>
    <w:rsid w:val="0051761A"/>
    <w:rsid w:val="00517B67"/>
    <w:rsid w:val="00520FC6"/>
    <w:rsid w:val="0052136D"/>
    <w:rsid w:val="00521558"/>
    <w:rsid w:val="00521E3E"/>
    <w:rsid w:val="00524E39"/>
    <w:rsid w:val="00526425"/>
    <w:rsid w:val="00526A2D"/>
    <w:rsid w:val="0052775E"/>
    <w:rsid w:val="00527E11"/>
    <w:rsid w:val="00527E80"/>
    <w:rsid w:val="00530340"/>
    <w:rsid w:val="00531AFB"/>
    <w:rsid w:val="00532326"/>
    <w:rsid w:val="00533277"/>
    <w:rsid w:val="005339F4"/>
    <w:rsid w:val="00533A5D"/>
    <w:rsid w:val="005348D8"/>
    <w:rsid w:val="00535458"/>
    <w:rsid w:val="005357C9"/>
    <w:rsid w:val="0053588E"/>
    <w:rsid w:val="00535B2E"/>
    <w:rsid w:val="0053602B"/>
    <w:rsid w:val="00536842"/>
    <w:rsid w:val="00536B24"/>
    <w:rsid w:val="00536F83"/>
    <w:rsid w:val="00540F14"/>
    <w:rsid w:val="0054145F"/>
    <w:rsid w:val="005420F2"/>
    <w:rsid w:val="00542742"/>
    <w:rsid w:val="0054278E"/>
    <w:rsid w:val="00543F29"/>
    <w:rsid w:val="005447D0"/>
    <w:rsid w:val="00544A6E"/>
    <w:rsid w:val="00545350"/>
    <w:rsid w:val="00546D35"/>
    <w:rsid w:val="00547AA2"/>
    <w:rsid w:val="0055039D"/>
    <w:rsid w:val="00551D91"/>
    <w:rsid w:val="00552597"/>
    <w:rsid w:val="00552E70"/>
    <w:rsid w:val="005543E8"/>
    <w:rsid w:val="00554BEE"/>
    <w:rsid w:val="005555AB"/>
    <w:rsid w:val="00555BFC"/>
    <w:rsid w:val="00555F33"/>
    <w:rsid w:val="005568D0"/>
    <w:rsid w:val="005569F5"/>
    <w:rsid w:val="0055748D"/>
    <w:rsid w:val="005578F7"/>
    <w:rsid w:val="00557BBB"/>
    <w:rsid w:val="005603C9"/>
    <w:rsid w:val="00560E6E"/>
    <w:rsid w:val="00561068"/>
    <w:rsid w:val="005614F1"/>
    <w:rsid w:val="00561EF2"/>
    <w:rsid w:val="0056209A"/>
    <w:rsid w:val="00562410"/>
    <w:rsid w:val="005628B6"/>
    <w:rsid w:val="0056329E"/>
    <w:rsid w:val="0056399C"/>
    <w:rsid w:val="00566B21"/>
    <w:rsid w:val="00566D10"/>
    <w:rsid w:val="00566F28"/>
    <w:rsid w:val="00567B99"/>
    <w:rsid w:val="005702DD"/>
    <w:rsid w:val="005702E1"/>
    <w:rsid w:val="00570606"/>
    <w:rsid w:val="0057157B"/>
    <w:rsid w:val="005720B8"/>
    <w:rsid w:val="00573248"/>
    <w:rsid w:val="00573AEB"/>
    <w:rsid w:val="005757A2"/>
    <w:rsid w:val="00575A62"/>
    <w:rsid w:val="005766C6"/>
    <w:rsid w:val="00576A0F"/>
    <w:rsid w:val="00580269"/>
    <w:rsid w:val="0058088F"/>
    <w:rsid w:val="005813AF"/>
    <w:rsid w:val="005814F8"/>
    <w:rsid w:val="005829DD"/>
    <w:rsid w:val="00583BEA"/>
    <w:rsid w:val="00584512"/>
    <w:rsid w:val="0058458C"/>
    <w:rsid w:val="005846EF"/>
    <w:rsid w:val="00584AA5"/>
    <w:rsid w:val="00584E9A"/>
    <w:rsid w:val="00586359"/>
    <w:rsid w:val="00586A6E"/>
    <w:rsid w:val="00586E7D"/>
    <w:rsid w:val="00587680"/>
    <w:rsid w:val="00590C1A"/>
    <w:rsid w:val="00592968"/>
    <w:rsid w:val="00592DA2"/>
    <w:rsid w:val="00593AE9"/>
    <w:rsid w:val="005941EC"/>
    <w:rsid w:val="00594A8B"/>
    <w:rsid w:val="0059595A"/>
    <w:rsid w:val="00595CD3"/>
    <w:rsid w:val="00595DEE"/>
    <w:rsid w:val="00595F66"/>
    <w:rsid w:val="00595FE8"/>
    <w:rsid w:val="00596C0C"/>
    <w:rsid w:val="00596C68"/>
    <w:rsid w:val="0059724D"/>
    <w:rsid w:val="00597470"/>
    <w:rsid w:val="00597621"/>
    <w:rsid w:val="00597B3A"/>
    <w:rsid w:val="00597E4A"/>
    <w:rsid w:val="005A0830"/>
    <w:rsid w:val="005A0C13"/>
    <w:rsid w:val="005A1B61"/>
    <w:rsid w:val="005A212D"/>
    <w:rsid w:val="005A3426"/>
    <w:rsid w:val="005A4322"/>
    <w:rsid w:val="005A5A0D"/>
    <w:rsid w:val="005A5A4A"/>
    <w:rsid w:val="005A7586"/>
    <w:rsid w:val="005B02A5"/>
    <w:rsid w:val="005B061E"/>
    <w:rsid w:val="005B08BE"/>
    <w:rsid w:val="005B0911"/>
    <w:rsid w:val="005B0CA7"/>
    <w:rsid w:val="005B1531"/>
    <w:rsid w:val="005B320C"/>
    <w:rsid w:val="005B347E"/>
    <w:rsid w:val="005B349C"/>
    <w:rsid w:val="005B3DB3"/>
    <w:rsid w:val="005B4E13"/>
    <w:rsid w:val="005B5BCD"/>
    <w:rsid w:val="005B5D73"/>
    <w:rsid w:val="005B71CB"/>
    <w:rsid w:val="005C342F"/>
    <w:rsid w:val="005C37C7"/>
    <w:rsid w:val="005C4EFD"/>
    <w:rsid w:val="005C5A37"/>
    <w:rsid w:val="005C5B93"/>
    <w:rsid w:val="005C5BE6"/>
    <w:rsid w:val="005C7008"/>
    <w:rsid w:val="005C7411"/>
    <w:rsid w:val="005C7745"/>
    <w:rsid w:val="005C7D1E"/>
    <w:rsid w:val="005C7D28"/>
    <w:rsid w:val="005D0C82"/>
    <w:rsid w:val="005D11EE"/>
    <w:rsid w:val="005D1450"/>
    <w:rsid w:val="005D1646"/>
    <w:rsid w:val="005D1C10"/>
    <w:rsid w:val="005D2011"/>
    <w:rsid w:val="005D23EB"/>
    <w:rsid w:val="005D2E09"/>
    <w:rsid w:val="005D2FCC"/>
    <w:rsid w:val="005D2FD1"/>
    <w:rsid w:val="005D405B"/>
    <w:rsid w:val="005D48B8"/>
    <w:rsid w:val="005D4FB4"/>
    <w:rsid w:val="005D60B3"/>
    <w:rsid w:val="005D64A0"/>
    <w:rsid w:val="005D67D9"/>
    <w:rsid w:val="005D7C88"/>
    <w:rsid w:val="005E018E"/>
    <w:rsid w:val="005E0567"/>
    <w:rsid w:val="005E0801"/>
    <w:rsid w:val="005E1B74"/>
    <w:rsid w:val="005E24A2"/>
    <w:rsid w:val="005E28B4"/>
    <w:rsid w:val="005E2DE2"/>
    <w:rsid w:val="005E37A4"/>
    <w:rsid w:val="005E40C4"/>
    <w:rsid w:val="005E4FF5"/>
    <w:rsid w:val="005E5241"/>
    <w:rsid w:val="005E5D89"/>
    <w:rsid w:val="005E6AB9"/>
    <w:rsid w:val="005E6FA0"/>
    <w:rsid w:val="005F139A"/>
    <w:rsid w:val="005F333C"/>
    <w:rsid w:val="005F3A2B"/>
    <w:rsid w:val="005F3A86"/>
    <w:rsid w:val="005F3B26"/>
    <w:rsid w:val="005F45FB"/>
    <w:rsid w:val="005F5F8A"/>
    <w:rsid w:val="005F649C"/>
    <w:rsid w:val="005F675D"/>
    <w:rsid w:val="005F6F34"/>
    <w:rsid w:val="005F7449"/>
    <w:rsid w:val="005F7920"/>
    <w:rsid w:val="005F79FF"/>
    <w:rsid w:val="005F7B75"/>
    <w:rsid w:val="006001EE"/>
    <w:rsid w:val="006004D5"/>
    <w:rsid w:val="00601DFA"/>
    <w:rsid w:val="006029D0"/>
    <w:rsid w:val="00604A29"/>
    <w:rsid w:val="00604D06"/>
    <w:rsid w:val="00605042"/>
    <w:rsid w:val="00605BD0"/>
    <w:rsid w:val="0060768C"/>
    <w:rsid w:val="00607C54"/>
    <w:rsid w:val="006103C9"/>
    <w:rsid w:val="0061154A"/>
    <w:rsid w:val="00611900"/>
    <w:rsid w:val="006119F7"/>
    <w:rsid w:val="00611FC4"/>
    <w:rsid w:val="006122BC"/>
    <w:rsid w:val="006123AA"/>
    <w:rsid w:val="00612600"/>
    <w:rsid w:val="00613932"/>
    <w:rsid w:val="006140A8"/>
    <w:rsid w:val="006149C0"/>
    <w:rsid w:val="00615214"/>
    <w:rsid w:val="00616015"/>
    <w:rsid w:val="006176FB"/>
    <w:rsid w:val="00617B6A"/>
    <w:rsid w:val="00617E99"/>
    <w:rsid w:val="0062106D"/>
    <w:rsid w:val="0062182D"/>
    <w:rsid w:val="00621CE7"/>
    <w:rsid w:val="00621DA0"/>
    <w:rsid w:val="00621E55"/>
    <w:rsid w:val="00622065"/>
    <w:rsid w:val="006242C0"/>
    <w:rsid w:val="00624517"/>
    <w:rsid w:val="00624C23"/>
    <w:rsid w:val="00625086"/>
    <w:rsid w:val="006252B5"/>
    <w:rsid w:val="006264BD"/>
    <w:rsid w:val="00627B27"/>
    <w:rsid w:val="00627DD8"/>
    <w:rsid w:val="00627EC1"/>
    <w:rsid w:val="00630501"/>
    <w:rsid w:val="00631103"/>
    <w:rsid w:val="00631C76"/>
    <w:rsid w:val="006335CD"/>
    <w:rsid w:val="0063370A"/>
    <w:rsid w:val="0063375D"/>
    <w:rsid w:val="00633E79"/>
    <w:rsid w:val="00633EEA"/>
    <w:rsid w:val="006341DF"/>
    <w:rsid w:val="006353EF"/>
    <w:rsid w:val="006368FE"/>
    <w:rsid w:val="00636B15"/>
    <w:rsid w:val="006370F9"/>
    <w:rsid w:val="00637D7D"/>
    <w:rsid w:val="00640B26"/>
    <w:rsid w:val="00641074"/>
    <w:rsid w:val="00641B1F"/>
    <w:rsid w:val="00642837"/>
    <w:rsid w:val="00642B77"/>
    <w:rsid w:val="00642E3A"/>
    <w:rsid w:val="00643823"/>
    <w:rsid w:val="00643EBD"/>
    <w:rsid w:val="006461C8"/>
    <w:rsid w:val="00646320"/>
    <w:rsid w:val="00646ABD"/>
    <w:rsid w:val="0064773A"/>
    <w:rsid w:val="0065024A"/>
    <w:rsid w:val="0065075C"/>
    <w:rsid w:val="00651D2B"/>
    <w:rsid w:val="00652D0A"/>
    <w:rsid w:val="006531B6"/>
    <w:rsid w:val="00653D09"/>
    <w:rsid w:val="00654026"/>
    <w:rsid w:val="006544BD"/>
    <w:rsid w:val="00655314"/>
    <w:rsid w:val="00655EA3"/>
    <w:rsid w:val="00656B47"/>
    <w:rsid w:val="00656DDC"/>
    <w:rsid w:val="00656F75"/>
    <w:rsid w:val="00657DEA"/>
    <w:rsid w:val="00660462"/>
    <w:rsid w:val="00660883"/>
    <w:rsid w:val="00660C48"/>
    <w:rsid w:val="006612F4"/>
    <w:rsid w:val="006615F1"/>
    <w:rsid w:val="00662BB6"/>
    <w:rsid w:val="006633C9"/>
    <w:rsid w:val="00664177"/>
    <w:rsid w:val="006641EB"/>
    <w:rsid w:val="006664F0"/>
    <w:rsid w:val="00667AED"/>
    <w:rsid w:val="00670044"/>
    <w:rsid w:val="00670B00"/>
    <w:rsid w:val="0067195A"/>
    <w:rsid w:val="00671B51"/>
    <w:rsid w:val="00671FED"/>
    <w:rsid w:val="006721A3"/>
    <w:rsid w:val="006724A6"/>
    <w:rsid w:val="00672546"/>
    <w:rsid w:val="00673283"/>
    <w:rsid w:val="00673573"/>
    <w:rsid w:val="0067362F"/>
    <w:rsid w:val="00674686"/>
    <w:rsid w:val="00674B6E"/>
    <w:rsid w:val="00674F38"/>
    <w:rsid w:val="0067520D"/>
    <w:rsid w:val="0067539B"/>
    <w:rsid w:val="00675455"/>
    <w:rsid w:val="0067550E"/>
    <w:rsid w:val="00675A46"/>
    <w:rsid w:val="00675D4F"/>
    <w:rsid w:val="00675E11"/>
    <w:rsid w:val="0067601B"/>
    <w:rsid w:val="0067646D"/>
    <w:rsid w:val="00676606"/>
    <w:rsid w:val="00677375"/>
    <w:rsid w:val="00680077"/>
    <w:rsid w:val="00680259"/>
    <w:rsid w:val="00680B0E"/>
    <w:rsid w:val="00681686"/>
    <w:rsid w:val="00681F8E"/>
    <w:rsid w:val="00683353"/>
    <w:rsid w:val="006836A4"/>
    <w:rsid w:val="00684C21"/>
    <w:rsid w:val="00685FC7"/>
    <w:rsid w:val="006865CB"/>
    <w:rsid w:val="00686D50"/>
    <w:rsid w:val="0068744D"/>
    <w:rsid w:val="00687B17"/>
    <w:rsid w:val="00687E75"/>
    <w:rsid w:val="00691568"/>
    <w:rsid w:val="00691A02"/>
    <w:rsid w:val="00691EB1"/>
    <w:rsid w:val="00692609"/>
    <w:rsid w:val="0069309E"/>
    <w:rsid w:val="00693741"/>
    <w:rsid w:val="006947B7"/>
    <w:rsid w:val="00695EDA"/>
    <w:rsid w:val="00696804"/>
    <w:rsid w:val="0069773D"/>
    <w:rsid w:val="00697884"/>
    <w:rsid w:val="00697A82"/>
    <w:rsid w:val="006A0162"/>
    <w:rsid w:val="006A0C09"/>
    <w:rsid w:val="006A15BE"/>
    <w:rsid w:val="006A1CEE"/>
    <w:rsid w:val="006A2530"/>
    <w:rsid w:val="006A3C33"/>
    <w:rsid w:val="006A42BC"/>
    <w:rsid w:val="006A4987"/>
    <w:rsid w:val="006A4F15"/>
    <w:rsid w:val="006A5ED7"/>
    <w:rsid w:val="006A65B8"/>
    <w:rsid w:val="006A6E99"/>
    <w:rsid w:val="006A78A1"/>
    <w:rsid w:val="006B05FA"/>
    <w:rsid w:val="006B13F1"/>
    <w:rsid w:val="006B1AD4"/>
    <w:rsid w:val="006B2E0F"/>
    <w:rsid w:val="006B3031"/>
    <w:rsid w:val="006B6E62"/>
    <w:rsid w:val="006B7D4A"/>
    <w:rsid w:val="006B7E43"/>
    <w:rsid w:val="006C14EA"/>
    <w:rsid w:val="006C2AA5"/>
    <w:rsid w:val="006C2EAC"/>
    <w:rsid w:val="006C3422"/>
    <w:rsid w:val="006C3589"/>
    <w:rsid w:val="006C52EA"/>
    <w:rsid w:val="006C5B17"/>
    <w:rsid w:val="006C6475"/>
    <w:rsid w:val="006C66A2"/>
    <w:rsid w:val="006C6EA7"/>
    <w:rsid w:val="006C7E97"/>
    <w:rsid w:val="006D0450"/>
    <w:rsid w:val="006D058A"/>
    <w:rsid w:val="006D166C"/>
    <w:rsid w:val="006D184B"/>
    <w:rsid w:val="006D37AF"/>
    <w:rsid w:val="006D51D0"/>
    <w:rsid w:val="006D5644"/>
    <w:rsid w:val="006D5FB9"/>
    <w:rsid w:val="006D63DF"/>
    <w:rsid w:val="006D658E"/>
    <w:rsid w:val="006E0E7E"/>
    <w:rsid w:val="006E142B"/>
    <w:rsid w:val="006E1DDE"/>
    <w:rsid w:val="006E218A"/>
    <w:rsid w:val="006E2233"/>
    <w:rsid w:val="006E2E46"/>
    <w:rsid w:val="006E43DD"/>
    <w:rsid w:val="006E44E6"/>
    <w:rsid w:val="006E4B45"/>
    <w:rsid w:val="006E564B"/>
    <w:rsid w:val="006E6C4C"/>
    <w:rsid w:val="006E716A"/>
    <w:rsid w:val="006E7191"/>
    <w:rsid w:val="006F0259"/>
    <w:rsid w:val="006F0EEE"/>
    <w:rsid w:val="006F17C2"/>
    <w:rsid w:val="006F37EB"/>
    <w:rsid w:val="006F4B9B"/>
    <w:rsid w:val="006F6406"/>
    <w:rsid w:val="006F6D38"/>
    <w:rsid w:val="007003FD"/>
    <w:rsid w:val="00701106"/>
    <w:rsid w:val="00701187"/>
    <w:rsid w:val="00701B07"/>
    <w:rsid w:val="00702601"/>
    <w:rsid w:val="00703577"/>
    <w:rsid w:val="007041FF"/>
    <w:rsid w:val="00704D9D"/>
    <w:rsid w:val="00704E32"/>
    <w:rsid w:val="0070512B"/>
    <w:rsid w:val="00705495"/>
    <w:rsid w:val="0070558D"/>
    <w:rsid w:val="00705894"/>
    <w:rsid w:val="00706058"/>
    <w:rsid w:val="007068EC"/>
    <w:rsid w:val="0070697A"/>
    <w:rsid w:val="00706EAC"/>
    <w:rsid w:val="0071008E"/>
    <w:rsid w:val="00710104"/>
    <w:rsid w:val="00711491"/>
    <w:rsid w:val="00711F2C"/>
    <w:rsid w:val="00714CF5"/>
    <w:rsid w:val="0071662F"/>
    <w:rsid w:val="00716EC0"/>
    <w:rsid w:val="00716F45"/>
    <w:rsid w:val="00720064"/>
    <w:rsid w:val="00720E47"/>
    <w:rsid w:val="00721617"/>
    <w:rsid w:val="007225CD"/>
    <w:rsid w:val="00722FF0"/>
    <w:rsid w:val="00723209"/>
    <w:rsid w:val="00723910"/>
    <w:rsid w:val="00724FED"/>
    <w:rsid w:val="007253BD"/>
    <w:rsid w:val="00725587"/>
    <w:rsid w:val="00725735"/>
    <w:rsid w:val="00726038"/>
    <w:rsid w:val="0072632A"/>
    <w:rsid w:val="00726AC1"/>
    <w:rsid w:val="0072799D"/>
    <w:rsid w:val="00730687"/>
    <w:rsid w:val="00730C56"/>
    <w:rsid w:val="00731147"/>
    <w:rsid w:val="007315FB"/>
    <w:rsid w:val="00732065"/>
    <w:rsid w:val="007326B7"/>
    <w:rsid w:val="007327D5"/>
    <w:rsid w:val="0073294D"/>
    <w:rsid w:val="00732DF7"/>
    <w:rsid w:val="00734FB5"/>
    <w:rsid w:val="00735008"/>
    <w:rsid w:val="007359E0"/>
    <w:rsid w:val="00735EE3"/>
    <w:rsid w:val="0073781B"/>
    <w:rsid w:val="007379B5"/>
    <w:rsid w:val="00737BE8"/>
    <w:rsid w:val="007407C6"/>
    <w:rsid w:val="00742590"/>
    <w:rsid w:val="0074385A"/>
    <w:rsid w:val="0074390C"/>
    <w:rsid w:val="00743C66"/>
    <w:rsid w:val="007440E0"/>
    <w:rsid w:val="00744612"/>
    <w:rsid w:val="007461D3"/>
    <w:rsid w:val="007467B4"/>
    <w:rsid w:val="00747037"/>
    <w:rsid w:val="00750564"/>
    <w:rsid w:val="00750BE3"/>
    <w:rsid w:val="00750D64"/>
    <w:rsid w:val="0075165B"/>
    <w:rsid w:val="00752A93"/>
    <w:rsid w:val="00753CC5"/>
    <w:rsid w:val="00754FBA"/>
    <w:rsid w:val="0075676D"/>
    <w:rsid w:val="0075713B"/>
    <w:rsid w:val="00757437"/>
    <w:rsid w:val="0075765E"/>
    <w:rsid w:val="00757BA0"/>
    <w:rsid w:val="00761C65"/>
    <w:rsid w:val="00761FBE"/>
    <w:rsid w:val="00762344"/>
    <w:rsid w:val="007629C8"/>
    <w:rsid w:val="00763BF6"/>
    <w:rsid w:val="007642EA"/>
    <w:rsid w:val="00764B2D"/>
    <w:rsid w:val="00764CCF"/>
    <w:rsid w:val="0076583E"/>
    <w:rsid w:val="0076666D"/>
    <w:rsid w:val="007670C2"/>
    <w:rsid w:val="00770145"/>
    <w:rsid w:val="00770226"/>
    <w:rsid w:val="0077047D"/>
    <w:rsid w:val="007710C6"/>
    <w:rsid w:val="007712B1"/>
    <w:rsid w:val="00771B1E"/>
    <w:rsid w:val="00771F33"/>
    <w:rsid w:val="00772221"/>
    <w:rsid w:val="007722F5"/>
    <w:rsid w:val="00772EAE"/>
    <w:rsid w:val="007732B6"/>
    <w:rsid w:val="007738C1"/>
    <w:rsid w:val="0077583F"/>
    <w:rsid w:val="00777AD5"/>
    <w:rsid w:val="007818BA"/>
    <w:rsid w:val="00781E22"/>
    <w:rsid w:val="007820AF"/>
    <w:rsid w:val="00782C00"/>
    <w:rsid w:val="007830C2"/>
    <w:rsid w:val="00783387"/>
    <w:rsid w:val="007838B2"/>
    <w:rsid w:val="00783CB3"/>
    <w:rsid w:val="0078451C"/>
    <w:rsid w:val="00784643"/>
    <w:rsid w:val="00784960"/>
    <w:rsid w:val="00785B64"/>
    <w:rsid w:val="00785B9E"/>
    <w:rsid w:val="00786137"/>
    <w:rsid w:val="00786597"/>
    <w:rsid w:val="00787A13"/>
    <w:rsid w:val="007903E8"/>
    <w:rsid w:val="007905F7"/>
    <w:rsid w:val="00790AED"/>
    <w:rsid w:val="00790CAC"/>
    <w:rsid w:val="00790D22"/>
    <w:rsid w:val="0079119F"/>
    <w:rsid w:val="00791833"/>
    <w:rsid w:val="00791E8D"/>
    <w:rsid w:val="00792696"/>
    <w:rsid w:val="007939FA"/>
    <w:rsid w:val="00795175"/>
    <w:rsid w:val="007952FC"/>
    <w:rsid w:val="007959E3"/>
    <w:rsid w:val="00795E30"/>
    <w:rsid w:val="00796C29"/>
    <w:rsid w:val="00796E9C"/>
    <w:rsid w:val="00797FF0"/>
    <w:rsid w:val="007A0B3C"/>
    <w:rsid w:val="007A167E"/>
    <w:rsid w:val="007A17C5"/>
    <w:rsid w:val="007A1D4A"/>
    <w:rsid w:val="007A233B"/>
    <w:rsid w:val="007A2490"/>
    <w:rsid w:val="007A2AA2"/>
    <w:rsid w:val="007A3BB0"/>
    <w:rsid w:val="007A3C74"/>
    <w:rsid w:val="007A4BBE"/>
    <w:rsid w:val="007A615A"/>
    <w:rsid w:val="007A7181"/>
    <w:rsid w:val="007B20A0"/>
    <w:rsid w:val="007B2682"/>
    <w:rsid w:val="007B29C8"/>
    <w:rsid w:val="007B372C"/>
    <w:rsid w:val="007B3D34"/>
    <w:rsid w:val="007B4089"/>
    <w:rsid w:val="007B47E9"/>
    <w:rsid w:val="007B530F"/>
    <w:rsid w:val="007B5A5B"/>
    <w:rsid w:val="007B611A"/>
    <w:rsid w:val="007B62FB"/>
    <w:rsid w:val="007B6BA5"/>
    <w:rsid w:val="007B7C35"/>
    <w:rsid w:val="007B7F12"/>
    <w:rsid w:val="007C0CBE"/>
    <w:rsid w:val="007C1DBA"/>
    <w:rsid w:val="007C277A"/>
    <w:rsid w:val="007C2E19"/>
    <w:rsid w:val="007C2F1D"/>
    <w:rsid w:val="007C3090"/>
    <w:rsid w:val="007C3390"/>
    <w:rsid w:val="007C4E68"/>
    <w:rsid w:val="007C4F4B"/>
    <w:rsid w:val="007C5301"/>
    <w:rsid w:val="007C559B"/>
    <w:rsid w:val="007C58AB"/>
    <w:rsid w:val="007C595C"/>
    <w:rsid w:val="007D0E78"/>
    <w:rsid w:val="007D0F16"/>
    <w:rsid w:val="007D1003"/>
    <w:rsid w:val="007D1438"/>
    <w:rsid w:val="007D1EAD"/>
    <w:rsid w:val="007D1F7E"/>
    <w:rsid w:val="007D2279"/>
    <w:rsid w:val="007D2E4D"/>
    <w:rsid w:val="007D32D4"/>
    <w:rsid w:val="007D36BC"/>
    <w:rsid w:val="007D36F9"/>
    <w:rsid w:val="007D43F2"/>
    <w:rsid w:val="007D5070"/>
    <w:rsid w:val="007D520E"/>
    <w:rsid w:val="007D6308"/>
    <w:rsid w:val="007D7E4A"/>
    <w:rsid w:val="007E01E9"/>
    <w:rsid w:val="007E04A5"/>
    <w:rsid w:val="007E1584"/>
    <w:rsid w:val="007E17E1"/>
    <w:rsid w:val="007E1C3D"/>
    <w:rsid w:val="007E2DD5"/>
    <w:rsid w:val="007E32D1"/>
    <w:rsid w:val="007E37A3"/>
    <w:rsid w:val="007E3FEA"/>
    <w:rsid w:val="007E5096"/>
    <w:rsid w:val="007E5318"/>
    <w:rsid w:val="007E5C8F"/>
    <w:rsid w:val="007E601B"/>
    <w:rsid w:val="007E63F3"/>
    <w:rsid w:val="007E685A"/>
    <w:rsid w:val="007E79D9"/>
    <w:rsid w:val="007E79DC"/>
    <w:rsid w:val="007F0305"/>
    <w:rsid w:val="007F06AD"/>
    <w:rsid w:val="007F131E"/>
    <w:rsid w:val="007F1AA4"/>
    <w:rsid w:val="007F1AC3"/>
    <w:rsid w:val="007F1ED1"/>
    <w:rsid w:val="007F2029"/>
    <w:rsid w:val="007F2383"/>
    <w:rsid w:val="007F26E5"/>
    <w:rsid w:val="007F28B8"/>
    <w:rsid w:val="007F3D76"/>
    <w:rsid w:val="007F40E6"/>
    <w:rsid w:val="007F42D4"/>
    <w:rsid w:val="007F42F3"/>
    <w:rsid w:val="007F44D2"/>
    <w:rsid w:val="007F50A1"/>
    <w:rsid w:val="007F6611"/>
    <w:rsid w:val="007F710A"/>
    <w:rsid w:val="007F75B9"/>
    <w:rsid w:val="007F789C"/>
    <w:rsid w:val="008007AB"/>
    <w:rsid w:val="00801FE6"/>
    <w:rsid w:val="00802462"/>
    <w:rsid w:val="00804E7D"/>
    <w:rsid w:val="0080543F"/>
    <w:rsid w:val="008062AC"/>
    <w:rsid w:val="008065ED"/>
    <w:rsid w:val="008068C6"/>
    <w:rsid w:val="00807814"/>
    <w:rsid w:val="0081080D"/>
    <w:rsid w:val="00811071"/>
    <w:rsid w:val="00811920"/>
    <w:rsid w:val="00811B14"/>
    <w:rsid w:val="00812D6F"/>
    <w:rsid w:val="00812ED5"/>
    <w:rsid w:val="00813148"/>
    <w:rsid w:val="00813318"/>
    <w:rsid w:val="00814F84"/>
    <w:rsid w:val="00815AD0"/>
    <w:rsid w:val="00815EDB"/>
    <w:rsid w:val="00816135"/>
    <w:rsid w:val="00816252"/>
    <w:rsid w:val="008164AE"/>
    <w:rsid w:val="00816D8A"/>
    <w:rsid w:val="008200B2"/>
    <w:rsid w:val="00821122"/>
    <w:rsid w:val="00821D46"/>
    <w:rsid w:val="008228ED"/>
    <w:rsid w:val="00822DEB"/>
    <w:rsid w:val="00822DF2"/>
    <w:rsid w:val="008242D7"/>
    <w:rsid w:val="00824DB0"/>
    <w:rsid w:val="008257B1"/>
    <w:rsid w:val="0082597F"/>
    <w:rsid w:val="008262AB"/>
    <w:rsid w:val="00826426"/>
    <w:rsid w:val="0082699A"/>
    <w:rsid w:val="0082710E"/>
    <w:rsid w:val="008305FB"/>
    <w:rsid w:val="0083074B"/>
    <w:rsid w:val="00830D81"/>
    <w:rsid w:val="008312C9"/>
    <w:rsid w:val="008315A4"/>
    <w:rsid w:val="00831C29"/>
    <w:rsid w:val="00832334"/>
    <w:rsid w:val="008327FD"/>
    <w:rsid w:val="008333DE"/>
    <w:rsid w:val="00833CAA"/>
    <w:rsid w:val="0083414D"/>
    <w:rsid w:val="008348B3"/>
    <w:rsid w:val="00835C31"/>
    <w:rsid w:val="00835EA0"/>
    <w:rsid w:val="00836829"/>
    <w:rsid w:val="00836F00"/>
    <w:rsid w:val="0083752D"/>
    <w:rsid w:val="00837651"/>
    <w:rsid w:val="0083784A"/>
    <w:rsid w:val="00837CC7"/>
    <w:rsid w:val="008408E8"/>
    <w:rsid w:val="00841C5D"/>
    <w:rsid w:val="0084251F"/>
    <w:rsid w:val="00842589"/>
    <w:rsid w:val="00842BAA"/>
    <w:rsid w:val="00843130"/>
    <w:rsid w:val="00843767"/>
    <w:rsid w:val="00844386"/>
    <w:rsid w:val="008458E7"/>
    <w:rsid w:val="00846A55"/>
    <w:rsid w:val="00847172"/>
    <w:rsid w:val="008500F1"/>
    <w:rsid w:val="0085246A"/>
    <w:rsid w:val="00853186"/>
    <w:rsid w:val="008542CB"/>
    <w:rsid w:val="00855558"/>
    <w:rsid w:val="00855987"/>
    <w:rsid w:val="00856B31"/>
    <w:rsid w:val="00857078"/>
    <w:rsid w:val="008570DA"/>
    <w:rsid w:val="00857885"/>
    <w:rsid w:val="0086017F"/>
    <w:rsid w:val="008605F7"/>
    <w:rsid w:val="0086079A"/>
    <w:rsid w:val="00860DEE"/>
    <w:rsid w:val="00861989"/>
    <w:rsid w:val="00862170"/>
    <w:rsid w:val="008628A7"/>
    <w:rsid w:val="008631E3"/>
    <w:rsid w:val="008637C1"/>
    <w:rsid w:val="00863A5B"/>
    <w:rsid w:val="00863D93"/>
    <w:rsid w:val="0086478A"/>
    <w:rsid w:val="00864A4B"/>
    <w:rsid w:val="0086544D"/>
    <w:rsid w:val="008655E4"/>
    <w:rsid w:val="00865751"/>
    <w:rsid w:val="00865EFF"/>
    <w:rsid w:val="0086633D"/>
    <w:rsid w:val="00866F13"/>
    <w:rsid w:val="00867023"/>
    <w:rsid w:val="008670CE"/>
    <w:rsid w:val="0086722D"/>
    <w:rsid w:val="008679D9"/>
    <w:rsid w:val="00870260"/>
    <w:rsid w:val="00870FE5"/>
    <w:rsid w:val="00871566"/>
    <w:rsid w:val="00871BCA"/>
    <w:rsid w:val="00871D37"/>
    <w:rsid w:val="00872D06"/>
    <w:rsid w:val="00872DAF"/>
    <w:rsid w:val="00872F35"/>
    <w:rsid w:val="00875D94"/>
    <w:rsid w:val="00875ECD"/>
    <w:rsid w:val="00876615"/>
    <w:rsid w:val="008769EA"/>
    <w:rsid w:val="00876C7E"/>
    <w:rsid w:val="00877BEC"/>
    <w:rsid w:val="00877FD3"/>
    <w:rsid w:val="008800C6"/>
    <w:rsid w:val="008803F7"/>
    <w:rsid w:val="00881BF6"/>
    <w:rsid w:val="0088228F"/>
    <w:rsid w:val="00882FF2"/>
    <w:rsid w:val="008840DF"/>
    <w:rsid w:val="00884731"/>
    <w:rsid w:val="00885057"/>
    <w:rsid w:val="0088577B"/>
    <w:rsid w:val="008863EE"/>
    <w:rsid w:val="008873A0"/>
    <w:rsid w:val="008878DE"/>
    <w:rsid w:val="00890C38"/>
    <w:rsid w:val="00890FB0"/>
    <w:rsid w:val="0089127D"/>
    <w:rsid w:val="00891C10"/>
    <w:rsid w:val="00892101"/>
    <w:rsid w:val="00893672"/>
    <w:rsid w:val="00893D64"/>
    <w:rsid w:val="00894876"/>
    <w:rsid w:val="00895179"/>
    <w:rsid w:val="0089555D"/>
    <w:rsid w:val="00895681"/>
    <w:rsid w:val="00895AF3"/>
    <w:rsid w:val="008979B1"/>
    <w:rsid w:val="00897D46"/>
    <w:rsid w:val="008A1CBB"/>
    <w:rsid w:val="008A1ED5"/>
    <w:rsid w:val="008A2882"/>
    <w:rsid w:val="008A2C30"/>
    <w:rsid w:val="008A314D"/>
    <w:rsid w:val="008A358E"/>
    <w:rsid w:val="008A3AA2"/>
    <w:rsid w:val="008A4930"/>
    <w:rsid w:val="008A518B"/>
    <w:rsid w:val="008A5593"/>
    <w:rsid w:val="008A5E67"/>
    <w:rsid w:val="008A6587"/>
    <w:rsid w:val="008A6A2F"/>
    <w:rsid w:val="008A6B25"/>
    <w:rsid w:val="008A6C4F"/>
    <w:rsid w:val="008A703A"/>
    <w:rsid w:val="008A774F"/>
    <w:rsid w:val="008B002F"/>
    <w:rsid w:val="008B08BC"/>
    <w:rsid w:val="008B12EF"/>
    <w:rsid w:val="008B14B7"/>
    <w:rsid w:val="008B1FE5"/>
    <w:rsid w:val="008B2335"/>
    <w:rsid w:val="008B2E36"/>
    <w:rsid w:val="008B5CF0"/>
    <w:rsid w:val="008B6D38"/>
    <w:rsid w:val="008C03D8"/>
    <w:rsid w:val="008C05F1"/>
    <w:rsid w:val="008C104F"/>
    <w:rsid w:val="008C1B44"/>
    <w:rsid w:val="008C1B8D"/>
    <w:rsid w:val="008C2C6C"/>
    <w:rsid w:val="008C3964"/>
    <w:rsid w:val="008C3A11"/>
    <w:rsid w:val="008C3F0A"/>
    <w:rsid w:val="008C400C"/>
    <w:rsid w:val="008C4247"/>
    <w:rsid w:val="008C6E4E"/>
    <w:rsid w:val="008C7313"/>
    <w:rsid w:val="008C791A"/>
    <w:rsid w:val="008D18BD"/>
    <w:rsid w:val="008D3588"/>
    <w:rsid w:val="008D3989"/>
    <w:rsid w:val="008D3AB4"/>
    <w:rsid w:val="008D3C27"/>
    <w:rsid w:val="008D492C"/>
    <w:rsid w:val="008D594C"/>
    <w:rsid w:val="008D6C4B"/>
    <w:rsid w:val="008D78C5"/>
    <w:rsid w:val="008D7DB6"/>
    <w:rsid w:val="008D7DDE"/>
    <w:rsid w:val="008E05D2"/>
    <w:rsid w:val="008E0678"/>
    <w:rsid w:val="008E2FF2"/>
    <w:rsid w:val="008E37C2"/>
    <w:rsid w:val="008F03ED"/>
    <w:rsid w:val="008F07F7"/>
    <w:rsid w:val="008F1067"/>
    <w:rsid w:val="008F1775"/>
    <w:rsid w:val="008F1A93"/>
    <w:rsid w:val="008F2266"/>
    <w:rsid w:val="008F31D2"/>
    <w:rsid w:val="008F32AC"/>
    <w:rsid w:val="008F374D"/>
    <w:rsid w:val="008F395A"/>
    <w:rsid w:val="008F4531"/>
    <w:rsid w:val="008F4D34"/>
    <w:rsid w:val="008F63DA"/>
    <w:rsid w:val="008F646C"/>
    <w:rsid w:val="008F686E"/>
    <w:rsid w:val="008F795B"/>
    <w:rsid w:val="0090004D"/>
    <w:rsid w:val="00900FB0"/>
    <w:rsid w:val="009010E1"/>
    <w:rsid w:val="009040C5"/>
    <w:rsid w:val="00904749"/>
    <w:rsid w:val="009052BA"/>
    <w:rsid w:val="009052C7"/>
    <w:rsid w:val="009057DD"/>
    <w:rsid w:val="00906166"/>
    <w:rsid w:val="00906DEB"/>
    <w:rsid w:val="00907D84"/>
    <w:rsid w:val="00911F33"/>
    <w:rsid w:val="009126F0"/>
    <w:rsid w:val="0091351E"/>
    <w:rsid w:val="00913611"/>
    <w:rsid w:val="0091366D"/>
    <w:rsid w:val="00913932"/>
    <w:rsid w:val="00914131"/>
    <w:rsid w:val="0091414B"/>
    <w:rsid w:val="00914294"/>
    <w:rsid w:val="00914DCC"/>
    <w:rsid w:val="00915241"/>
    <w:rsid w:val="00915D16"/>
    <w:rsid w:val="00915EF6"/>
    <w:rsid w:val="0091617E"/>
    <w:rsid w:val="00916624"/>
    <w:rsid w:val="0091697A"/>
    <w:rsid w:val="00921D90"/>
    <w:rsid w:val="009223CA"/>
    <w:rsid w:val="00922544"/>
    <w:rsid w:val="009228D6"/>
    <w:rsid w:val="0092351C"/>
    <w:rsid w:val="0092376D"/>
    <w:rsid w:val="00923980"/>
    <w:rsid w:val="00923AD4"/>
    <w:rsid w:val="00924897"/>
    <w:rsid w:val="009259B6"/>
    <w:rsid w:val="009261DA"/>
    <w:rsid w:val="00926CEE"/>
    <w:rsid w:val="00927013"/>
    <w:rsid w:val="009314A6"/>
    <w:rsid w:val="00931791"/>
    <w:rsid w:val="009321B7"/>
    <w:rsid w:val="009323CA"/>
    <w:rsid w:val="009330C2"/>
    <w:rsid w:val="00934864"/>
    <w:rsid w:val="009349DC"/>
    <w:rsid w:val="00935104"/>
    <w:rsid w:val="00935C5A"/>
    <w:rsid w:val="00935E4E"/>
    <w:rsid w:val="00935EBD"/>
    <w:rsid w:val="009366B1"/>
    <w:rsid w:val="00936706"/>
    <w:rsid w:val="00936E5C"/>
    <w:rsid w:val="00936F42"/>
    <w:rsid w:val="00940020"/>
    <w:rsid w:val="00940601"/>
    <w:rsid w:val="00940C68"/>
    <w:rsid w:val="00940F84"/>
    <w:rsid w:val="00940F93"/>
    <w:rsid w:val="009412C7"/>
    <w:rsid w:val="00941363"/>
    <w:rsid w:val="0094245A"/>
    <w:rsid w:val="00942E5B"/>
    <w:rsid w:val="009432E1"/>
    <w:rsid w:val="00943D87"/>
    <w:rsid w:val="009440DF"/>
    <w:rsid w:val="0094468E"/>
    <w:rsid w:val="009448C3"/>
    <w:rsid w:val="00944ADC"/>
    <w:rsid w:val="00944D6C"/>
    <w:rsid w:val="00945281"/>
    <w:rsid w:val="0094763D"/>
    <w:rsid w:val="00947DE7"/>
    <w:rsid w:val="00950B06"/>
    <w:rsid w:val="00950FF1"/>
    <w:rsid w:val="0095168D"/>
    <w:rsid w:val="00951A74"/>
    <w:rsid w:val="00951D5B"/>
    <w:rsid w:val="00951F23"/>
    <w:rsid w:val="009524E9"/>
    <w:rsid w:val="009526F6"/>
    <w:rsid w:val="00953061"/>
    <w:rsid w:val="009539C1"/>
    <w:rsid w:val="00953D1D"/>
    <w:rsid w:val="009545E3"/>
    <w:rsid w:val="0095476E"/>
    <w:rsid w:val="00955497"/>
    <w:rsid w:val="00955A0D"/>
    <w:rsid w:val="00957A10"/>
    <w:rsid w:val="009600E1"/>
    <w:rsid w:val="00960106"/>
    <w:rsid w:val="00960D73"/>
    <w:rsid w:val="00961B39"/>
    <w:rsid w:val="00961E1D"/>
    <w:rsid w:val="00961F59"/>
    <w:rsid w:val="00962984"/>
    <w:rsid w:val="00962990"/>
    <w:rsid w:val="00962A33"/>
    <w:rsid w:val="009636DB"/>
    <w:rsid w:val="00963F45"/>
    <w:rsid w:val="00964618"/>
    <w:rsid w:val="009656EC"/>
    <w:rsid w:val="00965AE7"/>
    <w:rsid w:val="00966E1D"/>
    <w:rsid w:val="009673BE"/>
    <w:rsid w:val="00967B50"/>
    <w:rsid w:val="00967E9C"/>
    <w:rsid w:val="009706D7"/>
    <w:rsid w:val="0097084A"/>
    <w:rsid w:val="0097284C"/>
    <w:rsid w:val="00972E21"/>
    <w:rsid w:val="009760F3"/>
    <w:rsid w:val="00976BCB"/>
    <w:rsid w:val="00976CFB"/>
    <w:rsid w:val="00980594"/>
    <w:rsid w:val="00982292"/>
    <w:rsid w:val="009827DC"/>
    <w:rsid w:val="009832D3"/>
    <w:rsid w:val="00983B7A"/>
    <w:rsid w:val="00986229"/>
    <w:rsid w:val="009866AF"/>
    <w:rsid w:val="00986FB3"/>
    <w:rsid w:val="00986FBD"/>
    <w:rsid w:val="00990497"/>
    <w:rsid w:val="009910C7"/>
    <w:rsid w:val="009911AE"/>
    <w:rsid w:val="00991218"/>
    <w:rsid w:val="00992219"/>
    <w:rsid w:val="00992ABB"/>
    <w:rsid w:val="00992E61"/>
    <w:rsid w:val="00995084"/>
    <w:rsid w:val="00995CB3"/>
    <w:rsid w:val="009962A9"/>
    <w:rsid w:val="009964F8"/>
    <w:rsid w:val="00996A28"/>
    <w:rsid w:val="009A015C"/>
    <w:rsid w:val="009A0191"/>
    <w:rsid w:val="009A05F7"/>
    <w:rsid w:val="009A066F"/>
    <w:rsid w:val="009A0830"/>
    <w:rsid w:val="009A0E8D"/>
    <w:rsid w:val="009A1DA3"/>
    <w:rsid w:val="009A226B"/>
    <w:rsid w:val="009A24B2"/>
    <w:rsid w:val="009A2ECC"/>
    <w:rsid w:val="009A38BE"/>
    <w:rsid w:val="009A4BBE"/>
    <w:rsid w:val="009A50E0"/>
    <w:rsid w:val="009A5BAA"/>
    <w:rsid w:val="009A6734"/>
    <w:rsid w:val="009A7134"/>
    <w:rsid w:val="009B009A"/>
    <w:rsid w:val="009B0963"/>
    <w:rsid w:val="009B10F9"/>
    <w:rsid w:val="009B145A"/>
    <w:rsid w:val="009B2503"/>
    <w:rsid w:val="009B26E7"/>
    <w:rsid w:val="009B295B"/>
    <w:rsid w:val="009B36BC"/>
    <w:rsid w:val="009B3744"/>
    <w:rsid w:val="009B38DE"/>
    <w:rsid w:val="009B3C54"/>
    <w:rsid w:val="009B4070"/>
    <w:rsid w:val="009B4ED1"/>
    <w:rsid w:val="009B64BB"/>
    <w:rsid w:val="009B658D"/>
    <w:rsid w:val="009B7015"/>
    <w:rsid w:val="009B7CE9"/>
    <w:rsid w:val="009C0086"/>
    <w:rsid w:val="009C0258"/>
    <w:rsid w:val="009C0D2D"/>
    <w:rsid w:val="009C17CE"/>
    <w:rsid w:val="009C2402"/>
    <w:rsid w:val="009C2788"/>
    <w:rsid w:val="009C3E09"/>
    <w:rsid w:val="009C5193"/>
    <w:rsid w:val="009C555D"/>
    <w:rsid w:val="009C5C64"/>
    <w:rsid w:val="009C619D"/>
    <w:rsid w:val="009C6287"/>
    <w:rsid w:val="009C671A"/>
    <w:rsid w:val="009C6D6A"/>
    <w:rsid w:val="009C7801"/>
    <w:rsid w:val="009C7A60"/>
    <w:rsid w:val="009D0755"/>
    <w:rsid w:val="009D1C12"/>
    <w:rsid w:val="009D2630"/>
    <w:rsid w:val="009D2C05"/>
    <w:rsid w:val="009D3748"/>
    <w:rsid w:val="009D422F"/>
    <w:rsid w:val="009D59C7"/>
    <w:rsid w:val="009E132A"/>
    <w:rsid w:val="009E263B"/>
    <w:rsid w:val="009E2D1A"/>
    <w:rsid w:val="009E3266"/>
    <w:rsid w:val="009E3509"/>
    <w:rsid w:val="009E5350"/>
    <w:rsid w:val="009E5748"/>
    <w:rsid w:val="009F0529"/>
    <w:rsid w:val="009F0532"/>
    <w:rsid w:val="009F20FB"/>
    <w:rsid w:val="009F48C8"/>
    <w:rsid w:val="009F505F"/>
    <w:rsid w:val="009F56EA"/>
    <w:rsid w:val="009F7C2D"/>
    <w:rsid w:val="00A00103"/>
    <w:rsid w:val="00A0038D"/>
    <w:rsid w:val="00A00697"/>
    <w:rsid w:val="00A00A3F"/>
    <w:rsid w:val="00A0136F"/>
    <w:rsid w:val="00A01489"/>
    <w:rsid w:val="00A0151A"/>
    <w:rsid w:val="00A01CA1"/>
    <w:rsid w:val="00A02DE4"/>
    <w:rsid w:val="00A04133"/>
    <w:rsid w:val="00A04CA2"/>
    <w:rsid w:val="00A0500A"/>
    <w:rsid w:val="00A056DF"/>
    <w:rsid w:val="00A0644D"/>
    <w:rsid w:val="00A10A2D"/>
    <w:rsid w:val="00A112AA"/>
    <w:rsid w:val="00A1169F"/>
    <w:rsid w:val="00A11F0B"/>
    <w:rsid w:val="00A12653"/>
    <w:rsid w:val="00A1327B"/>
    <w:rsid w:val="00A1434F"/>
    <w:rsid w:val="00A14498"/>
    <w:rsid w:val="00A14A07"/>
    <w:rsid w:val="00A14AFF"/>
    <w:rsid w:val="00A1578E"/>
    <w:rsid w:val="00A16603"/>
    <w:rsid w:val="00A16A78"/>
    <w:rsid w:val="00A177C1"/>
    <w:rsid w:val="00A22145"/>
    <w:rsid w:val="00A223F9"/>
    <w:rsid w:val="00A22C69"/>
    <w:rsid w:val="00A25A60"/>
    <w:rsid w:val="00A25BAE"/>
    <w:rsid w:val="00A26389"/>
    <w:rsid w:val="00A26EAB"/>
    <w:rsid w:val="00A3026E"/>
    <w:rsid w:val="00A30ADF"/>
    <w:rsid w:val="00A338F1"/>
    <w:rsid w:val="00A34A40"/>
    <w:rsid w:val="00A35048"/>
    <w:rsid w:val="00A35135"/>
    <w:rsid w:val="00A35416"/>
    <w:rsid w:val="00A35BE0"/>
    <w:rsid w:val="00A36977"/>
    <w:rsid w:val="00A370E5"/>
    <w:rsid w:val="00A37FE4"/>
    <w:rsid w:val="00A43611"/>
    <w:rsid w:val="00A43699"/>
    <w:rsid w:val="00A43B78"/>
    <w:rsid w:val="00A449B9"/>
    <w:rsid w:val="00A44D4A"/>
    <w:rsid w:val="00A453D4"/>
    <w:rsid w:val="00A457DD"/>
    <w:rsid w:val="00A509FF"/>
    <w:rsid w:val="00A515E5"/>
    <w:rsid w:val="00A51625"/>
    <w:rsid w:val="00A5174F"/>
    <w:rsid w:val="00A51BD4"/>
    <w:rsid w:val="00A51C3F"/>
    <w:rsid w:val="00A53360"/>
    <w:rsid w:val="00A53569"/>
    <w:rsid w:val="00A53606"/>
    <w:rsid w:val="00A539F7"/>
    <w:rsid w:val="00A5486D"/>
    <w:rsid w:val="00A54EC2"/>
    <w:rsid w:val="00A55594"/>
    <w:rsid w:val="00A55C3D"/>
    <w:rsid w:val="00A55E98"/>
    <w:rsid w:val="00A567E2"/>
    <w:rsid w:val="00A56F66"/>
    <w:rsid w:val="00A6129C"/>
    <w:rsid w:val="00A62DDB"/>
    <w:rsid w:val="00A64EA7"/>
    <w:rsid w:val="00A65E55"/>
    <w:rsid w:val="00A66837"/>
    <w:rsid w:val="00A66F44"/>
    <w:rsid w:val="00A66F7F"/>
    <w:rsid w:val="00A67AE9"/>
    <w:rsid w:val="00A70098"/>
    <w:rsid w:val="00A7045E"/>
    <w:rsid w:val="00A70589"/>
    <w:rsid w:val="00A7181B"/>
    <w:rsid w:val="00A71AE7"/>
    <w:rsid w:val="00A72787"/>
    <w:rsid w:val="00A72F22"/>
    <w:rsid w:val="00A7360F"/>
    <w:rsid w:val="00A74489"/>
    <w:rsid w:val="00A748A6"/>
    <w:rsid w:val="00A749A3"/>
    <w:rsid w:val="00A74A5D"/>
    <w:rsid w:val="00A7621D"/>
    <w:rsid w:val="00A769F4"/>
    <w:rsid w:val="00A76B0F"/>
    <w:rsid w:val="00A776B4"/>
    <w:rsid w:val="00A8111F"/>
    <w:rsid w:val="00A81569"/>
    <w:rsid w:val="00A83BED"/>
    <w:rsid w:val="00A83FFC"/>
    <w:rsid w:val="00A84559"/>
    <w:rsid w:val="00A84569"/>
    <w:rsid w:val="00A846AA"/>
    <w:rsid w:val="00A85240"/>
    <w:rsid w:val="00A855EF"/>
    <w:rsid w:val="00A87C30"/>
    <w:rsid w:val="00A87CF3"/>
    <w:rsid w:val="00A87DA9"/>
    <w:rsid w:val="00A90376"/>
    <w:rsid w:val="00A90677"/>
    <w:rsid w:val="00A90A5C"/>
    <w:rsid w:val="00A90B8B"/>
    <w:rsid w:val="00A90F37"/>
    <w:rsid w:val="00A90F9F"/>
    <w:rsid w:val="00A90FA2"/>
    <w:rsid w:val="00A91395"/>
    <w:rsid w:val="00A91A39"/>
    <w:rsid w:val="00A921D4"/>
    <w:rsid w:val="00A933D3"/>
    <w:rsid w:val="00A93B22"/>
    <w:rsid w:val="00A9407C"/>
    <w:rsid w:val="00A94361"/>
    <w:rsid w:val="00A95A32"/>
    <w:rsid w:val="00A95C2E"/>
    <w:rsid w:val="00A96166"/>
    <w:rsid w:val="00A97B46"/>
    <w:rsid w:val="00A97CDA"/>
    <w:rsid w:val="00AA083A"/>
    <w:rsid w:val="00AA0D06"/>
    <w:rsid w:val="00AA26DA"/>
    <w:rsid w:val="00AA293C"/>
    <w:rsid w:val="00AA2CD9"/>
    <w:rsid w:val="00AA422E"/>
    <w:rsid w:val="00AA5714"/>
    <w:rsid w:val="00AA5A22"/>
    <w:rsid w:val="00AA63EF"/>
    <w:rsid w:val="00AB1B74"/>
    <w:rsid w:val="00AB2679"/>
    <w:rsid w:val="00AB3DA5"/>
    <w:rsid w:val="00AB3ED5"/>
    <w:rsid w:val="00AB5729"/>
    <w:rsid w:val="00AB5A13"/>
    <w:rsid w:val="00AB7440"/>
    <w:rsid w:val="00AC0F06"/>
    <w:rsid w:val="00AC1FE0"/>
    <w:rsid w:val="00AC28F1"/>
    <w:rsid w:val="00AC4790"/>
    <w:rsid w:val="00AC5259"/>
    <w:rsid w:val="00AC5823"/>
    <w:rsid w:val="00AC5B09"/>
    <w:rsid w:val="00AC6E56"/>
    <w:rsid w:val="00AD1236"/>
    <w:rsid w:val="00AD2EFF"/>
    <w:rsid w:val="00AD380A"/>
    <w:rsid w:val="00AD448B"/>
    <w:rsid w:val="00AD4E8F"/>
    <w:rsid w:val="00AD6799"/>
    <w:rsid w:val="00AD6EC9"/>
    <w:rsid w:val="00AD7842"/>
    <w:rsid w:val="00AD7EE1"/>
    <w:rsid w:val="00AE16F0"/>
    <w:rsid w:val="00AE1813"/>
    <w:rsid w:val="00AE25D8"/>
    <w:rsid w:val="00AE2A3C"/>
    <w:rsid w:val="00AE2E76"/>
    <w:rsid w:val="00AE3C95"/>
    <w:rsid w:val="00AE40E7"/>
    <w:rsid w:val="00AE5420"/>
    <w:rsid w:val="00AE55D2"/>
    <w:rsid w:val="00AE6A48"/>
    <w:rsid w:val="00AE6C18"/>
    <w:rsid w:val="00AF087C"/>
    <w:rsid w:val="00AF0D2A"/>
    <w:rsid w:val="00AF102D"/>
    <w:rsid w:val="00AF1296"/>
    <w:rsid w:val="00AF2209"/>
    <w:rsid w:val="00AF233B"/>
    <w:rsid w:val="00AF25D3"/>
    <w:rsid w:val="00AF25EC"/>
    <w:rsid w:val="00AF260C"/>
    <w:rsid w:val="00AF32AA"/>
    <w:rsid w:val="00AF3EAE"/>
    <w:rsid w:val="00AF3F70"/>
    <w:rsid w:val="00AF3FB9"/>
    <w:rsid w:val="00AF4B2C"/>
    <w:rsid w:val="00AF4CAD"/>
    <w:rsid w:val="00AF6F45"/>
    <w:rsid w:val="00AF7532"/>
    <w:rsid w:val="00AF7830"/>
    <w:rsid w:val="00AF7CAE"/>
    <w:rsid w:val="00B00681"/>
    <w:rsid w:val="00B0282F"/>
    <w:rsid w:val="00B03B99"/>
    <w:rsid w:val="00B072FA"/>
    <w:rsid w:val="00B074B2"/>
    <w:rsid w:val="00B07909"/>
    <w:rsid w:val="00B07E22"/>
    <w:rsid w:val="00B116A0"/>
    <w:rsid w:val="00B119A2"/>
    <w:rsid w:val="00B11A9B"/>
    <w:rsid w:val="00B11B30"/>
    <w:rsid w:val="00B123B2"/>
    <w:rsid w:val="00B12737"/>
    <w:rsid w:val="00B12BE7"/>
    <w:rsid w:val="00B135C9"/>
    <w:rsid w:val="00B14406"/>
    <w:rsid w:val="00B174F7"/>
    <w:rsid w:val="00B17B28"/>
    <w:rsid w:val="00B208BA"/>
    <w:rsid w:val="00B20EFF"/>
    <w:rsid w:val="00B21C06"/>
    <w:rsid w:val="00B24A88"/>
    <w:rsid w:val="00B24E1F"/>
    <w:rsid w:val="00B2530E"/>
    <w:rsid w:val="00B25AEF"/>
    <w:rsid w:val="00B25F97"/>
    <w:rsid w:val="00B26FCC"/>
    <w:rsid w:val="00B27423"/>
    <w:rsid w:val="00B30179"/>
    <w:rsid w:val="00B32B30"/>
    <w:rsid w:val="00B33D17"/>
    <w:rsid w:val="00B34CA7"/>
    <w:rsid w:val="00B34DEA"/>
    <w:rsid w:val="00B34ECE"/>
    <w:rsid w:val="00B36779"/>
    <w:rsid w:val="00B37E82"/>
    <w:rsid w:val="00B40550"/>
    <w:rsid w:val="00B40607"/>
    <w:rsid w:val="00B4114A"/>
    <w:rsid w:val="00B4123B"/>
    <w:rsid w:val="00B421C1"/>
    <w:rsid w:val="00B4246E"/>
    <w:rsid w:val="00B43B6A"/>
    <w:rsid w:val="00B44D51"/>
    <w:rsid w:val="00B457C7"/>
    <w:rsid w:val="00B46210"/>
    <w:rsid w:val="00B46BC4"/>
    <w:rsid w:val="00B47222"/>
    <w:rsid w:val="00B477B0"/>
    <w:rsid w:val="00B5134F"/>
    <w:rsid w:val="00B52701"/>
    <w:rsid w:val="00B53098"/>
    <w:rsid w:val="00B530EA"/>
    <w:rsid w:val="00B53379"/>
    <w:rsid w:val="00B537F9"/>
    <w:rsid w:val="00B53911"/>
    <w:rsid w:val="00B53C21"/>
    <w:rsid w:val="00B54A54"/>
    <w:rsid w:val="00B54D03"/>
    <w:rsid w:val="00B550B1"/>
    <w:rsid w:val="00B55208"/>
    <w:rsid w:val="00B5539D"/>
    <w:rsid w:val="00B55C71"/>
    <w:rsid w:val="00B56A6D"/>
    <w:rsid w:val="00B56E4A"/>
    <w:rsid w:val="00B56E9C"/>
    <w:rsid w:val="00B57291"/>
    <w:rsid w:val="00B575AC"/>
    <w:rsid w:val="00B57E52"/>
    <w:rsid w:val="00B61577"/>
    <w:rsid w:val="00B64B1F"/>
    <w:rsid w:val="00B64BE6"/>
    <w:rsid w:val="00B6553F"/>
    <w:rsid w:val="00B663B1"/>
    <w:rsid w:val="00B67061"/>
    <w:rsid w:val="00B7012F"/>
    <w:rsid w:val="00B702FA"/>
    <w:rsid w:val="00B70CFE"/>
    <w:rsid w:val="00B72084"/>
    <w:rsid w:val="00B728A8"/>
    <w:rsid w:val="00B72966"/>
    <w:rsid w:val="00B72B6C"/>
    <w:rsid w:val="00B72D13"/>
    <w:rsid w:val="00B743BC"/>
    <w:rsid w:val="00B74E4D"/>
    <w:rsid w:val="00B755B1"/>
    <w:rsid w:val="00B75899"/>
    <w:rsid w:val="00B7646A"/>
    <w:rsid w:val="00B76760"/>
    <w:rsid w:val="00B76BEA"/>
    <w:rsid w:val="00B77D05"/>
    <w:rsid w:val="00B802B3"/>
    <w:rsid w:val="00B805DC"/>
    <w:rsid w:val="00B80636"/>
    <w:rsid w:val="00B80FB5"/>
    <w:rsid w:val="00B81070"/>
    <w:rsid w:val="00B81206"/>
    <w:rsid w:val="00B8152C"/>
    <w:rsid w:val="00B81B69"/>
    <w:rsid w:val="00B81E12"/>
    <w:rsid w:val="00B8278F"/>
    <w:rsid w:val="00B830A5"/>
    <w:rsid w:val="00B83910"/>
    <w:rsid w:val="00B83EA8"/>
    <w:rsid w:val="00B841C7"/>
    <w:rsid w:val="00B8549E"/>
    <w:rsid w:val="00B8744E"/>
    <w:rsid w:val="00B9013D"/>
    <w:rsid w:val="00B90B8D"/>
    <w:rsid w:val="00B91050"/>
    <w:rsid w:val="00B91289"/>
    <w:rsid w:val="00B921D6"/>
    <w:rsid w:val="00B92416"/>
    <w:rsid w:val="00B92D2F"/>
    <w:rsid w:val="00B93409"/>
    <w:rsid w:val="00B94FEE"/>
    <w:rsid w:val="00B96D46"/>
    <w:rsid w:val="00BA1297"/>
    <w:rsid w:val="00BA138A"/>
    <w:rsid w:val="00BA1E08"/>
    <w:rsid w:val="00BA2F4C"/>
    <w:rsid w:val="00BA36C4"/>
    <w:rsid w:val="00BA372C"/>
    <w:rsid w:val="00BA57C2"/>
    <w:rsid w:val="00BA5945"/>
    <w:rsid w:val="00BA6C40"/>
    <w:rsid w:val="00BA6F45"/>
    <w:rsid w:val="00BA726B"/>
    <w:rsid w:val="00BA7D69"/>
    <w:rsid w:val="00BB06ED"/>
    <w:rsid w:val="00BB0FAB"/>
    <w:rsid w:val="00BB1727"/>
    <w:rsid w:val="00BB1F01"/>
    <w:rsid w:val="00BB2B0F"/>
    <w:rsid w:val="00BB35D8"/>
    <w:rsid w:val="00BB3E71"/>
    <w:rsid w:val="00BB410C"/>
    <w:rsid w:val="00BB4543"/>
    <w:rsid w:val="00BB481C"/>
    <w:rsid w:val="00BB532B"/>
    <w:rsid w:val="00BB6B1D"/>
    <w:rsid w:val="00BB6C56"/>
    <w:rsid w:val="00BB7ACE"/>
    <w:rsid w:val="00BB7B40"/>
    <w:rsid w:val="00BB7F8C"/>
    <w:rsid w:val="00BC13F4"/>
    <w:rsid w:val="00BC242A"/>
    <w:rsid w:val="00BC27EB"/>
    <w:rsid w:val="00BC31D4"/>
    <w:rsid w:val="00BC36B2"/>
    <w:rsid w:val="00BC3FA0"/>
    <w:rsid w:val="00BC49BF"/>
    <w:rsid w:val="00BC5B7C"/>
    <w:rsid w:val="00BC74E9"/>
    <w:rsid w:val="00BC7BF2"/>
    <w:rsid w:val="00BD00F1"/>
    <w:rsid w:val="00BD074F"/>
    <w:rsid w:val="00BD0C5A"/>
    <w:rsid w:val="00BD0DEF"/>
    <w:rsid w:val="00BD1A9B"/>
    <w:rsid w:val="00BD2371"/>
    <w:rsid w:val="00BD3E77"/>
    <w:rsid w:val="00BD4C4E"/>
    <w:rsid w:val="00BD553D"/>
    <w:rsid w:val="00BD578F"/>
    <w:rsid w:val="00BD5D9D"/>
    <w:rsid w:val="00BD5DAC"/>
    <w:rsid w:val="00BD7245"/>
    <w:rsid w:val="00BD788B"/>
    <w:rsid w:val="00BD7DF6"/>
    <w:rsid w:val="00BE0A47"/>
    <w:rsid w:val="00BE0D92"/>
    <w:rsid w:val="00BE1F86"/>
    <w:rsid w:val="00BE33EA"/>
    <w:rsid w:val="00BE560A"/>
    <w:rsid w:val="00BE5C4A"/>
    <w:rsid w:val="00BE5D3E"/>
    <w:rsid w:val="00BE6341"/>
    <w:rsid w:val="00BE63F8"/>
    <w:rsid w:val="00BE75B7"/>
    <w:rsid w:val="00BF03E9"/>
    <w:rsid w:val="00BF06EF"/>
    <w:rsid w:val="00BF0D69"/>
    <w:rsid w:val="00BF3EA2"/>
    <w:rsid w:val="00BF4AFF"/>
    <w:rsid w:val="00BF4D22"/>
    <w:rsid w:val="00BF4EC6"/>
    <w:rsid w:val="00BF4FBB"/>
    <w:rsid w:val="00BF52B3"/>
    <w:rsid w:val="00BF538C"/>
    <w:rsid w:val="00BF56EA"/>
    <w:rsid w:val="00BF6208"/>
    <w:rsid w:val="00BF6370"/>
    <w:rsid w:val="00BF68A8"/>
    <w:rsid w:val="00BF7855"/>
    <w:rsid w:val="00C00F5B"/>
    <w:rsid w:val="00C0151E"/>
    <w:rsid w:val="00C021B3"/>
    <w:rsid w:val="00C02471"/>
    <w:rsid w:val="00C02A34"/>
    <w:rsid w:val="00C03005"/>
    <w:rsid w:val="00C03412"/>
    <w:rsid w:val="00C03F4E"/>
    <w:rsid w:val="00C043BD"/>
    <w:rsid w:val="00C04C4A"/>
    <w:rsid w:val="00C0628C"/>
    <w:rsid w:val="00C0670B"/>
    <w:rsid w:val="00C06D0E"/>
    <w:rsid w:val="00C11A03"/>
    <w:rsid w:val="00C11C9F"/>
    <w:rsid w:val="00C120FA"/>
    <w:rsid w:val="00C12C6E"/>
    <w:rsid w:val="00C1318B"/>
    <w:rsid w:val="00C14093"/>
    <w:rsid w:val="00C1420F"/>
    <w:rsid w:val="00C1470C"/>
    <w:rsid w:val="00C14999"/>
    <w:rsid w:val="00C14A35"/>
    <w:rsid w:val="00C14AA6"/>
    <w:rsid w:val="00C14D7C"/>
    <w:rsid w:val="00C159B4"/>
    <w:rsid w:val="00C15BEB"/>
    <w:rsid w:val="00C165E7"/>
    <w:rsid w:val="00C16C6B"/>
    <w:rsid w:val="00C17010"/>
    <w:rsid w:val="00C17352"/>
    <w:rsid w:val="00C1786F"/>
    <w:rsid w:val="00C17A24"/>
    <w:rsid w:val="00C17F69"/>
    <w:rsid w:val="00C200E7"/>
    <w:rsid w:val="00C206FA"/>
    <w:rsid w:val="00C20E0F"/>
    <w:rsid w:val="00C2127B"/>
    <w:rsid w:val="00C228FE"/>
    <w:rsid w:val="00C22C0C"/>
    <w:rsid w:val="00C23513"/>
    <w:rsid w:val="00C23F80"/>
    <w:rsid w:val="00C277C6"/>
    <w:rsid w:val="00C30181"/>
    <w:rsid w:val="00C302C6"/>
    <w:rsid w:val="00C3084F"/>
    <w:rsid w:val="00C31425"/>
    <w:rsid w:val="00C3146E"/>
    <w:rsid w:val="00C324AC"/>
    <w:rsid w:val="00C32639"/>
    <w:rsid w:val="00C3298C"/>
    <w:rsid w:val="00C32CCB"/>
    <w:rsid w:val="00C3338B"/>
    <w:rsid w:val="00C33CBE"/>
    <w:rsid w:val="00C34736"/>
    <w:rsid w:val="00C34B10"/>
    <w:rsid w:val="00C35658"/>
    <w:rsid w:val="00C36DF7"/>
    <w:rsid w:val="00C3741F"/>
    <w:rsid w:val="00C4076B"/>
    <w:rsid w:val="00C40D9C"/>
    <w:rsid w:val="00C40F8F"/>
    <w:rsid w:val="00C41523"/>
    <w:rsid w:val="00C4197C"/>
    <w:rsid w:val="00C419CE"/>
    <w:rsid w:val="00C422CB"/>
    <w:rsid w:val="00C426A5"/>
    <w:rsid w:val="00C42F42"/>
    <w:rsid w:val="00C434B5"/>
    <w:rsid w:val="00C4527F"/>
    <w:rsid w:val="00C452C9"/>
    <w:rsid w:val="00C459B6"/>
    <w:rsid w:val="00C45D9D"/>
    <w:rsid w:val="00C463DD"/>
    <w:rsid w:val="00C4724C"/>
    <w:rsid w:val="00C47972"/>
    <w:rsid w:val="00C47A64"/>
    <w:rsid w:val="00C50151"/>
    <w:rsid w:val="00C50239"/>
    <w:rsid w:val="00C5077E"/>
    <w:rsid w:val="00C50B2E"/>
    <w:rsid w:val="00C50C34"/>
    <w:rsid w:val="00C52453"/>
    <w:rsid w:val="00C52DC3"/>
    <w:rsid w:val="00C53616"/>
    <w:rsid w:val="00C54EDA"/>
    <w:rsid w:val="00C5562E"/>
    <w:rsid w:val="00C55E64"/>
    <w:rsid w:val="00C55FF5"/>
    <w:rsid w:val="00C56FC6"/>
    <w:rsid w:val="00C5775D"/>
    <w:rsid w:val="00C57FC6"/>
    <w:rsid w:val="00C60B3E"/>
    <w:rsid w:val="00C60D55"/>
    <w:rsid w:val="00C61C0C"/>
    <w:rsid w:val="00C61D58"/>
    <w:rsid w:val="00C61E8A"/>
    <w:rsid w:val="00C627E7"/>
    <w:rsid w:val="00C629A0"/>
    <w:rsid w:val="00C638D6"/>
    <w:rsid w:val="00C63F86"/>
    <w:rsid w:val="00C64629"/>
    <w:rsid w:val="00C64A45"/>
    <w:rsid w:val="00C64CB3"/>
    <w:rsid w:val="00C65739"/>
    <w:rsid w:val="00C67D31"/>
    <w:rsid w:val="00C70130"/>
    <w:rsid w:val="00C70139"/>
    <w:rsid w:val="00C70180"/>
    <w:rsid w:val="00C7100A"/>
    <w:rsid w:val="00C7249D"/>
    <w:rsid w:val="00C72906"/>
    <w:rsid w:val="00C73CCF"/>
    <w:rsid w:val="00C74157"/>
    <w:rsid w:val="00C745C3"/>
    <w:rsid w:val="00C75076"/>
    <w:rsid w:val="00C7592E"/>
    <w:rsid w:val="00C759B7"/>
    <w:rsid w:val="00C75D61"/>
    <w:rsid w:val="00C76E29"/>
    <w:rsid w:val="00C77377"/>
    <w:rsid w:val="00C80243"/>
    <w:rsid w:val="00C80A5A"/>
    <w:rsid w:val="00C80D36"/>
    <w:rsid w:val="00C80DB6"/>
    <w:rsid w:val="00C81208"/>
    <w:rsid w:val="00C818BF"/>
    <w:rsid w:val="00C82220"/>
    <w:rsid w:val="00C82CCB"/>
    <w:rsid w:val="00C82FF9"/>
    <w:rsid w:val="00C83282"/>
    <w:rsid w:val="00C836EF"/>
    <w:rsid w:val="00C8661D"/>
    <w:rsid w:val="00C878DB"/>
    <w:rsid w:val="00C905A8"/>
    <w:rsid w:val="00C908CB"/>
    <w:rsid w:val="00C90AFA"/>
    <w:rsid w:val="00C91BED"/>
    <w:rsid w:val="00C91C84"/>
    <w:rsid w:val="00C91D63"/>
    <w:rsid w:val="00C929B0"/>
    <w:rsid w:val="00C944D7"/>
    <w:rsid w:val="00C94611"/>
    <w:rsid w:val="00C94667"/>
    <w:rsid w:val="00C9478E"/>
    <w:rsid w:val="00C9563B"/>
    <w:rsid w:val="00C9617F"/>
    <w:rsid w:val="00C9661A"/>
    <w:rsid w:val="00C96A67"/>
    <w:rsid w:val="00C96DF2"/>
    <w:rsid w:val="00C97374"/>
    <w:rsid w:val="00C973B2"/>
    <w:rsid w:val="00CA0D54"/>
    <w:rsid w:val="00CA0F2C"/>
    <w:rsid w:val="00CA0FAD"/>
    <w:rsid w:val="00CA1852"/>
    <w:rsid w:val="00CA20E6"/>
    <w:rsid w:val="00CA3C0F"/>
    <w:rsid w:val="00CA3E2B"/>
    <w:rsid w:val="00CA52B2"/>
    <w:rsid w:val="00CA54D7"/>
    <w:rsid w:val="00CA791A"/>
    <w:rsid w:val="00CB0576"/>
    <w:rsid w:val="00CB0F2B"/>
    <w:rsid w:val="00CB2786"/>
    <w:rsid w:val="00CB2EDA"/>
    <w:rsid w:val="00CB3B10"/>
    <w:rsid w:val="00CB3E03"/>
    <w:rsid w:val="00CB59EB"/>
    <w:rsid w:val="00CB5B01"/>
    <w:rsid w:val="00CB5D7B"/>
    <w:rsid w:val="00CB6208"/>
    <w:rsid w:val="00CB65DA"/>
    <w:rsid w:val="00CB6E8B"/>
    <w:rsid w:val="00CB73A1"/>
    <w:rsid w:val="00CB7907"/>
    <w:rsid w:val="00CB7D84"/>
    <w:rsid w:val="00CB7E97"/>
    <w:rsid w:val="00CC0FB6"/>
    <w:rsid w:val="00CC1072"/>
    <w:rsid w:val="00CC28BD"/>
    <w:rsid w:val="00CC3979"/>
    <w:rsid w:val="00CC4ADA"/>
    <w:rsid w:val="00CC4B0B"/>
    <w:rsid w:val="00CC5861"/>
    <w:rsid w:val="00CC5E16"/>
    <w:rsid w:val="00CC62DC"/>
    <w:rsid w:val="00CC63A0"/>
    <w:rsid w:val="00CD0EE4"/>
    <w:rsid w:val="00CD2AD0"/>
    <w:rsid w:val="00CD2B75"/>
    <w:rsid w:val="00CD336F"/>
    <w:rsid w:val="00CD4004"/>
    <w:rsid w:val="00CD490F"/>
    <w:rsid w:val="00CD4AA6"/>
    <w:rsid w:val="00CD5510"/>
    <w:rsid w:val="00CD5641"/>
    <w:rsid w:val="00CD67C2"/>
    <w:rsid w:val="00CD6D5C"/>
    <w:rsid w:val="00CD7E18"/>
    <w:rsid w:val="00CE0893"/>
    <w:rsid w:val="00CE163D"/>
    <w:rsid w:val="00CE16CC"/>
    <w:rsid w:val="00CE2420"/>
    <w:rsid w:val="00CE2F5B"/>
    <w:rsid w:val="00CE319C"/>
    <w:rsid w:val="00CE3B27"/>
    <w:rsid w:val="00CE40DC"/>
    <w:rsid w:val="00CE44C6"/>
    <w:rsid w:val="00CE4A8F"/>
    <w:rsid w:val="00CE5032"/>
    <w:rsid w:val="00CE581B"/>
    <w:rsid w:val="00CE5B4A"/>
    <w:rsid w:val="00CE5F4A"/>
    <w:rsid w:val="00CE622A"/>
    <w:rsid w:val="00CE67E2"/>
    <w:rsid w:val="00CE6A09"/>
    <w:rsid w:val="00CE72F0"/>
    <w:rsid w:val="00CE7364"/>
    <w:rsid w:val="00CE7D6C"/>
    <w:rsid w:val="00CF0641"/>
    <w:rsid w:val="00CF0940"/>
    <w:rsid w:val="00CF2DB6"/>
    <w:rsid w:val="00CF39A5"/>
    <w:rsid w:val="00CF41CD"/>
    <w:rsid w:val="00CF6B0A"/>
    <w:rsid w:val="00CF75DF"/>
    <w:rsid w:val="00D00284"/>
    <w:rsid w:val="00D002A3"/>
    <w:rsid w:val="00D005F3"/>
    <w:rsid w:val="00D020CD"/>
    <w:rsid w:val="00D0279F"/>
    <w:rsid w:val="00D02A78"/>
    <w:rsid w:val="00D030DA"/>
    <w:rsid w:val="00D031F6"/>
    <w:rsid w:val="00D0376C"/>
    <w:rsid w:val="00D038F2"/>
    <w:rsid w:val="00D03C6B"/>
    <w:rsid w:val="00D03D06"/>
    <w:rsid w:val="00D03FB2"/>
    <w:rsid w:val="00D0439F"/>
    <w:rsid w:val="00D04951"/>
    <w:rsid w:val="00D04C60"/>
    <w:rsid w:val="00D0505A"/>
    <w:rsid w:val="00D05663"/>
    <w:rsid w:val="00D061FE"/>
    <w:rsid w:val="00D074BE"/>
    <w:rsid w:val="00D07BF2"/>
    <w:rsid w:val="00D1082E"/>
    <w:rsid w:val="00D10E2C"/>
    <w:rsid w:val="00D114D3"/>
    <w:rsid w:val="00D11610"/>
    <w:rsid w:val="00D12468"/>
    <w:rsid w:val="00D12E78"/>
    <w:rsid w:val="00D136D2"/>
    <w:rsid w:val="00D13C34"/>
    <w:rsid w:val="00D14394"/>
    <w:rsid w:val="00D15FF4"/>
    <w:rsid w:val="00D161EB"/>
    <w:rsid w:val="00D16514"/>
    <w:rsid w:val="00D174AA"/>
    <w:rsid w:val="00D17D03"/>
    <w:rsid w:val="00D2031B"/>
    <w:rsid w:val="00D20B99"/>
    <w:rsid w:val="00D20EE5"/>
    <w:rsid w:val="00D21A54"/>
    <w:rsid w:val="00D21E1A"/>
    <w:rsid w:val="00D248B6"/>
    <w:rsid w:val="00D24AFC"/>
    <w:rsid w:val="00D2548F"/>
    <w:rsid w:val="00D25FE2"/>
    <w:rsid w:val="00D26E07"/>
    <w:rsid w:val="00D27004"/>
    <w:rsid w:val="00D270CB"/>
    <w:rsid w:val="00D272A9"/>
    <w:rsid w:val="00D27C69"/>
    <w:rsid w:val="00D30597"/>
    <w:rsid w:val="00D30EAF"/>
    <w:rsid w:val="00D31CBF"/>
    <w:rsid w:val="00D321E3"/>
    <w:rsid w:val="00D332C6"/>
    <w:rsid w:val="00D3338C"/>
    <w:rsid w:val="00D34E59"/>
    <w:rsid w:val="00D351B0"/>
    <w:rsid w:val="00D35F31"/>
    <w:rsid w:val="00D35F53"/>
    <w:rsid w:val="00D3710D"/>
    <w:rsid w:val="00D3742E"/>
    <w:rsid w:val="00D3764A"/>
    <w:rsid w:val="00D37CEA"/>
    <w:rsid w:val="00D4009D"/>
    <w:rsid w:val="00D401D9"/>
    <w:rsid w:val="00D4171B"/>
    <w:rsid w:val="00D4173B"/>
    <w:rsid w:val="00D418D8"/>
    <w:rsid w:val="00D42717"/>
    <w:rsid w:val="00D42741"/>
    <w:rsid w:val="00D42B28"/>
    <w:rsid w:val="00D42B92"/>
    <w:rsid w:val="00D42CD9"/>
    <w:rsid w:val="00D42FF9"/>
    <w:rsid w:val="00D4302F"/>
    <w:rsid w:val="00D430BF"/>
    <w:rsid w:val="00D43252"/>
    <w:rsid w:val="00D435DB"/>
    <w:rsid w:val="00D450E8"/>
    <w:rsid w:val="00D452C5"/>
    <w:rsid w:val="00D45CC9"/>
    <w:rsid w:val="00D46157"/>
    <w:rsid w:val="00D46407"/>
    <w:rsid w:val="00D46611"/>
    <w:rsid w:val="00D478F1"/>
    <w:rsid w:val="00D47E22"/>
    <w:rsid w:val="00D47EEA"/>
    <w:rsid w:val="00D514AD"/>
    <w:rsid w:val="00D52496"/>
    <w:rsid w:val="00D531BE"/>
    <w:rsid w:val="00D54489"/>
    <w:rsid w:val="00D54A3A"/>
    <w:rsid w:val="00D556AE"/>
    <w:rsid w:val="00D56030"/>
    <w:rsid w:val="00D60EE2"/>
    <w:rsid w:val="00D6175C"/>
    <w:rsid w:val="00D633A6"/>
    <w:rsid w:val="00D648E3"/>
    <w:rsid w:val="00D652A8"/>
    <w:rsid w:val="00D66709"/>
    <w:rsid w:val="00D66C43"/>
    <w:rsid w:val="00D678C9"/>
    <w:rsid w:val="00D70F4E"/>
    <w:rsid w:val="00D72839"/>
    <w:rsid w:val="00D7298F"/>
    <w:rsid w:val="00D73DDB"/>
    <w:rsid w:val="00D7493F"/>
    <w:rsid w:val="00D75D92"/>
    <w:rsid w:val="00D76408"/>
    <w:rsid w:val="00D76A2F"/>
    <w:rsid w:val="00D773DF"/>
    <w:rsid w:val="00D77717"/>
    <w:rsid w:val="00D77744"/>
    <w:rsid w:val="00D77A18"/>
    <w:rsid w:val="00D81399"/>
    <w:rsid w:val="00D81D89"/>
    <w:rsid w:val="00D828C9"/>
    <w:rsid w:val="00D829D4"/>
    <w:rsid w:val="00D834A3"/>
    <w:rsid w:val="00D83684"/>
    <w:rsid w:val="00D84234"/>
    <w:rsid w:val="00D85165"/>
    <w:rsid w:val="00D864A7"/>
    <w:rsid w:val="00D91784"/>
    <w:rsid w:val="00D91C6F"/>
    <w:rsid w:val="00D924B0"/>
    <w:rsid w:val="00D93719"/>
    <w:rsid w:val="00D93987"/>
    <w:rsid w:val="00D93E4C"/>
    <w:rsid w:val="00D9503E"/>
    <w:rsid w:val="00D95303"/>
    <w:rsid w:val="00D95A1A"/>
    <w:rsid w:val="00D95C8E"/>
    <w:rsid w:val="00D96CE0"/>
    <w:rsid w:val="00D973B6"/>
    <w:rsid w:val="00D978C6"/>
    <w:rsid w:val="00D97A50"/>
    <w:rsid w:val="00DA143C"/>
    <w:rsid w:val="00DA21D4"/>
    <w:rsid w:val="00DA2403"/>
    <w:rsid w:val="00DA2804"/>
    <w:rsid w:val="00DA3C1C"/>
    <w:rsid w:val="00DA4B8E"/>
    <w:rsid w:val="00DA5A85"/>
    <w:rsid w:val="00DA63CE"/>
    <w:rsid w:val="00DA75FC"/>
    <w:rsid w:val="00DA77C0"/>
    <w:rsid w:val="00DA7C9F"/>
    <w:rsid w:val="00DB00C5"/>
    <w:rsid w:val="00DB0701"/>
    <w:rsid w:val="00DB0EC7"/>
    <w:rsid w:val="00DB1EA9"/>
    <w:rsid w:val="00DB1FFB"/>
    <w:rsid w:val="00DB2094"/>
    <w:rsid w:val="00DB2EC4"/>
    <w:rsid w:val="00DB3311"/>
    <w:rsid w:val="00DB35FB"/>
    <w:rsid w:val="00DB3BDE"/>
    <w:rsid w:val="00DB3DC1"/>
    <w:rsid w:val="00DB3F6C"/>
    <w:rsid w:val="00DB4837"/>
    <w:rsid w:val="00DB5F48"/>
    <w:rsid w:val="00DB600A"/>
    <w:rsid w:val="00DB7C27"/>
    <w:rsid w:val="00DB7E31"/>
    <w:rsid w:val="00DC00B7"/>
    <w:rsid w:val="00DC016E"/>
    <w:rsid w:val="00DC0B3D"/>
    <w:rsid w:val="00DC0B7A"/>
    <w:rsid w:val="00DC2F72"/>
    <w:rsid w:val="00DC34D0"/>
    <w:rsid w:val="00DC38FA"/>
    <w:rsid w:val="00DC49FD"/>
    <w:rsid w:val="00DC57B4"/>
    <w:rsid w:val="00DC58CF"/>
    <w:rsid w:val="00DC6D39"/>
    <w:rsid w:val="00DC76B1"/>
    <w:rsid w:val="00DD17E2"/>
    <w:rsid w:val="00DD2398"/>
    <w:rsid w:val="00DD28F2"/>
    <w:rsid w:val="00DD3229"/>
    <w:rsid w:val="00DD58E1"/>
    <w:rsid w:val="00DD5E63"/>
    <w:rsid w:val="00DE1C02"/>
    <w:rsid w:val="00DE3C33"/>
    <w:rsid w:val="00DE40E9"/>
    <w:rsid w:val="00DE5756"/>
    <w:rsid w:val="00DE5EE2"/>
    <w:rsid w:val="00DE6573"/>
    <w:rsid w:val="00DE7A0E"/>
    <w:rsid w:val="00DF0C2D"/>
    <w:rsid w:val="00DF0C95"/>
    <w:rsid w:val="00DF0F92"/>
    <w:rsid w:val="00DF1CBE"/>
    <w:rsid w:val="00DF1DBF"/>
    <w:rsid w:val="00DF2151"/>
    <w:rsid w:val="00DF2962"/>
    <w:rsid w:val="00DF2B70"/>
    <w:rsid w:val="00DF32D0"/>
    <w:rsid w:val="00DF36C0"/>
    <w:rsid w:val="00DF3E3A"/>
    <w:rsid w:val="00DF4F0B"/>
    <w:rsid w:val="00DF55BE"/>
    <w:rsid w:val="00DF5A5B"/>
    <w:rsid w:val="00DF618D"/>
    <w:rsid w:val="00DF7001"/>
    <w:rsid w:val="00DF7D3D"/>
    <w:rsid w:val="00DF7DFE"/>
    <w:rsid w:val="00E019AB"/>
    <w:rsid w:val="00E02391"/>
    <w:rsid w:val="00E027C9"/>
    <w:rsid w:val="00E03782"/>
    <w:rsid w:val="00E03A50"/>
    <w:rsid w:val="00E0416D"/>
    <w:rsid w:val="00E046DF"/>
    <w:rsid w:val="00E0532C"/>
    <w:rsid w:val="00E06151"/>
    <w:rsid w:val="00E07251"/>
    <w:rsid w:val="00E10A8F"/>
    <w:rsid w:val="00E10F4C"/>
    <w:rsid w:val="00E1133B"/>
    <w:rsid w:val="00E11C0E"/>
    <w:rsid w:val="00E12394"/>
    <w:rsid w:val="00E12B12"/>
    <w:rsid w:val="00E12CED"/>
    <w:rsid w:val="00E160C0"/>
    <w:rsid w:val="00E16520"/>
    <w:rsid w:val="00E16640"/>
    <w:rsid w:val="00E22B0C"/>
    <w:rsid w:val="00E22B80"/>
    <w:rsid w:val="00E24F31"/>
    <w:rsid w:val="00E25A9C"/>
    <w:rsid w:val="00E25B71"/>
    <w:rsid w:val="00E2672F"/>
    <w:rsid w:val="00E26843"/>
    <w:rsid w:val="00E26872"/>
    <w:rsid w:val="00E27346"/>
    <w:rsid w:val="00E2788A"/>
    <w:rsid w:val="00E27A26"/>
    <w:rsid w:val="00E27CFA"/>
    <w:rsid w:val="00E27D5F"/>
    <w:rsid w:val="00E30C6D"/>
    <w:rsid w:val="00E30EC1"/>
    <w:rsid w:val="00E32F4E"/>
    <w:rsid w:val="00E32FAB"/>
    <w:rsid w:val="00E33588"/>
    <w:rsid w:val="00E335D1"/>
    <w:rsid w:val="00E34890"/>
    <w:rsid w:val="00E360E4"/>
    <w:rsid w:val="00E36779"/>
    <w:rsid w:val="00E37F22"/>
    <w:rsid w:val="00E37F41"/>
    <w:rsid w:val="00E40A45"/>
    <w:rsid w:val="00E40C16"/>
    <w:rsid w:val="00E41BA6"/>
    <w:rsid w:val="00E426D9"/>
    <w:rsid w:val="00E429EF"/>
    <w:rsid w:val="00E43AD4"/>
    <w:rsid w:val="00E44084"/>
    <w:rsid w:val="00E447AE"/>
    <w:rsid w:val="00E44AB3"/>
    <w:rsid w:val="00E44ECD"/>
    <w:rsid w:val="00E4556C"/>
    <w:rsid w:val="00E45B14"/>
    <w:rsid w:val="00E46953"/>
    <w:rsid w:val="00E47350"/>
    <w:rsid w:val="00E503D8"/>
    <w:rsid w:val="00E525CF"/>
    <w:rsid w:val="00E54547"/>
    <w:rsid w:val="00E5478E"/>
    <w:rsid w:val="00E54AA5"/>
    <w:rsid w:val="00E552B0"/>
    <w:rsid w:val="00E560CA"/>
    <w:rsid w:val="00E566C4"/>
    <w:rsid w:val="00E56A10"/>
    <w:rsid w:val="00E56A91"/>
    <w:rsid w:val="00E56A9E"/>
    <w:rsid w:val="00E56C82"/>
    <w:rsid w:val="00E60712"/>
    <w:rsid w:val="00E60B22"/>
    <w:rsid w:val="00E6123C"/>
    <w:rsid w:val="00E61B35"/>
    <w:rsid w:val="00E61E24"/>
    <w:rsid w:val="00E6252C"/>
    <w:rsid w:val="00E63FBC"/>
    <w:rsid w:val="00E6402B"/>
    <w:rsid w:val="00E649FF"/>
    <w:rsid w:val="00E65678"/>
    <w:rsid w:val="00E6609A"/>
    <w:rsid w:val="00E6620B"/>
    <w:rsid w:val="00E6676C"/>
    <w:rsid w:val="00E669CD"/>
    <w:rsid w:val="00E672F9"/>
    <w:rsid w:val="00E70AEB"/>
    <w:rsid w:val="00E71BC8"/>
    <w:rsid w:val="00E71FC9"/>
    <w:rsid w:val="00E72315"/>
    <w:rsid w:val="00E7260F"/>
    <w:rsid w:val="00E72AD4"/>
    <w:rsid w:val="00E72BB5"/>
    <w:rsid w:val="00E7386C"/>
    <w:rsid w:val="00E738FE"/>
    <w:rsid w:val="00E73ED4"/>
    <w:rsid w:val="00E73F5D"/>
    <w:rsid w:val="00E7416D"/>
    <w:rsid w:val="00E74546"/>
    <w:rsid w:val="00E75E9C"/>
    <w:rsid w:val="00E7683D"/>
    <w:rsid w:val="00E7727F"/>
    <w:rsid w:val="00E77E4E"/>
    <w:rsid w:val="00E8093D"/>
    <w:rsid w:val="00E80AB7"/>
    <w:rsid w:val="00E81046"/>
    <w:rsid w:val="00E814C0"/>
    <w:rsid w:val="00E81AB9"/>
    <w:rsid w:val="00E820FE"/>
    <w:rsid w:val="00E828ED"/>
    <w:rsid w:val="00E82ACA"/>
    <w:rsid w:val="00E82B5F"/>
    <w:rsid w:val="00E8321E"/>
    <w:rsid w:val="00E83F80"/>
    <w:rsid w:val="00E85F77"/>
    <w:rsid w:val="00E875A7"/>
    <w:rsid w:val="00E87F7C"/>
    <w:rsid w:val="00E90D97"/>
    <w:rsid w:val="00E90F82"/>
    <w:rsid w:val="00E91921"/>
    <w:rsid w:val="00E91BC8"/>
    <w:rsid w:val="00E91C42"/>
    <w:rsid w:val="00E92AA3"/>
    <w:rsid w:val="00E935A8"/>
    <w:rsid w:val="00E936FE"/>
    <w:rsid w:val="00E93C5B"/>
    <w:rsid w:val="00E93FA6"/>
    <w:rsid w:val="00E940E2"/>
    <w:rsid w:val="00E951C0"/>
    <w:rsid w:val="00E95B37"/>
    <w:rsid w:val="00E96630"/>
    <w:rsid w:val="00E970F0"/>
    <w:rsid w:val="00E9758E"/>
    <w:rsid w:val="00E976C0"/>
    <w:rsid w:val="00E977C2"/>
    <w:rsid w:val="00EA0D2A"/>
    <w:rsid w:val="00EA1443"/>
    <w:rsid w:val="00EA14C0"/>
    <w:rsid w:val="00EA14C7"/>
    <w:rsid w:val="00EA1765"/>
    <w:rsid w:val="00EA1DC3"/>
    <w:rsid w:val="00EA1E04"/>
    <w:rsid w:val="00EA2845"/>
    <w:rsid w:val="00EA29A4"/>
    <w:rsid w:val="00EA2A77"/>
    <w:rsid w:val="00EA31DB"/>
    <w:rsid w:val="00EA3B29"/>
    <w:rsid w:val="00EA4FEE"/>
    <w:rsid w:val="00EA53DC"/>
    <w:rsid w:val="00EA5A06"/>
    <w:rsid w:val="00EA6A01"/>
    <w:rsid w:val="00EA7542"/>
    <w:rsid w:val="00EA7AB1"/>
    <w:rsid w:val="00EB006E"/>
    <w:rsid w:val="00EB113F"/>
    <w:rsid w:val="00EB1A55"/>
    <w:rsid w:val="00EB1C9F"/>
    <w:rsid w:val="00EB1E55"/>
    <w:rsid w:val="00EB1EAD"/>
    <w:rsid w:val="00EB1F45"/>
    <w:rsid w:val="00EB228C"/>
    <w:rsid w:val="00EB2659"/>
    <w:rsid w:val="00EB383C"/>
    <w:rsid w:val="00EB3A6D"/>
    <w:rsid w:val="00EB7493"/>
    <w:rsid w:val="00EC0A94"/>
    <w:rsid w:val="00EC1649"/>
    <w:rsid w:val="00EC2BB2"/>
    <w:rsid w:val="00EC36FF"/>
    <w:rsid w:val="00EC3AD4"/>
    <w:rsid w:val="00EC6158"/>
    <w:rsid w:val="00EC64CF"/>
    <w:rsid w:val="00EC7408"/>
    <w:rsid w:val="00EC790C"/>
    <w:rsid w:val="00ED26FF"/>
    <w:rsid w:val="00ED30DE"/>
    <w:rsid w:val="00ED4C16"/>
    <w:rsid w:val="00ED4F69"/>
    <w:rsid w:val="00ED5696"/>
    <w:rsid w:val="00ED7241"/>
    <w:rsid w:val="00ED725F"/>
    <w:rsid w:val="00ED74D2"/>
    <w:rsid w:val="00ED7576"/>
    <w:rsid w:val="00ED7A2A"/>
    <w:rsid w:val="00ED7F3E"/>
    <w:rsid w:val="00EE0010"/>
    <w:rsid w:val="00EE029E"/>
    <w:rsid w:val="00EE0471"/>
    <w:rsid w:val="00EE16EE"/>
    <w:rsid w:val="00EE1DDB"/>
    <w:rsid w:val="00EE26B9"/>
    <w:rsid w:val="00EE3393"/>
    <w:rsid w:val="00EE4E37"/>
    <w:rsid w:val="00EE5173"/>
    <w:rsid w:val="00EE54C3"/>
    <w:rsid w:val="00EE55B6"/>
    <w:rsid w:val="00EE5C3C"/>
    <w:rsid w:val="00EE5D52"/>
    <w:rsid w:val="00EE6A8D"/>
    <w:rsid w:val="00EE7F70"/>
    <w:rsid w:val="00EF0848"/>
    <w:rsid w:val="00EF1171"/>
    <w:rsid w:val="00EF1B29"/>
    <w:rsid w:val="00EF1D7F"/>
    <w:rsid w:val="00EF352A"/>
    <w:rsid w:val="00EF39C5"/>
    <w:rsid w:val="00EF407C"/>
    <w:rsid w:val="00EF440C"/>
    <w:rsid w:val="00EF4CCE"/>
    <w:rsid w:val="00EF5360"/>
    <w:rsid w:val="00EF6315"/>
    <w:rsid w:val="00EF659D"/>
    <w:rsid w:val="00F0007E"/>
    <w:rsid w:val="00F006F3"/>
    <w:rsid w:val="00F01461"/>
    <w:rsid w:val="00F014EF"/>
    <w:rsid w:val="00F01B5B"/>
    <w:rsid w:val="00F02CD4"/>
    <w:rsid w:val="00F02D06"/>
    <w:rsid w:val="00F02D2A"/>
    <w:rsid w:val="00F03B32"/>
    <w:rsid w:val="00F03BB4"/>
    <w:rsid w:val="00F04438"/>
    <w:rsid w:val="00F04BE5"/>
    <w:rsid w:val="00F0586C"/>
    <w:rsid w:val="00F059D1"/>
    <w:rsid w:val="00F0676D"/>
    <w:rsid w:val="00F071DC"/>
    <w:rsid w:val="00F07504"/>
    <w:rsid w:val="00F07BCE"/>
    <w:rsid w:val="00F07F91"/>
    <w:rsid w:val="00F1066A"/>
    <w:rsid w:val="00F12BFE"/>
    <w:rsid w:val="00F159A9"/>
    <w:rsid w:val="00F16C36"/>
    <w:rsid w:val="00F179EB"/>
    <w:rsid w:val="00F17CD2"/>
    <w:rsid w:val="00F20389"/>
    <w:rsid w:val="00F211BC"/>
    <w:rsid w:val="00F21A2E"/>
    <w:rsid w:val="00F21AC2"/>
    <w:rsid w:val="00F22655"/>
    <w:rsid w:val="00F23204"/>
    <w:rsid w:val="00F2330B"/>
    <w:rsid w:val="00F236AE"/>
    <w:rsid w:val="00F25563"/>
    <w:rsid w:val="00F25612"/>
    <w:rsid w:val="00F261CC"/>
    <w:rsid w:val="00F26ACA"/>
    <w:rsid w:val="00F27BF4"/>
    <w:rsid w:val="00F3040D"/>
    <w:rsid w:val="00F3117A"/>
    <w:rsid w:val="00F31826"/>
    <w:rsid w:val="00F31CDF"/>
    <w:rsid w:val="00F31E5F"/>
    <w:rsid w:val="00F32F82"/>
    <w:rsid w:val="00F332B0"/>
    <w:rsid w:val="00F334D2"/>
    <w:rsid w:val="00F340BE"/>
    <w:rsid w:val="00F34538"/>
    <w:rsid w:val="00F34DB3"/>
    <w:rsid w:val="00F3516C"/>
    <w:rsid w:val="00F361B9"/>
    <w:rsid w:val="00F3760E"/>
    <w:rsid w:val="00F40FAC"/>
    <w:rsid w:val="00F4129E"/>
    <w:rsid w:val="00F41321"/>
    <w:rsid w:val="00F423C9"/>
    <w:rsid w:val="00F424DA"/>
    <w:rsid w:val="00F42E73"/>
    <w:rsid w:val="00F43391"/>
    <w:rsid w:val="00F43594"/>
    <w:rsid w:val="00F44358"/>
    <w:rsid w:val="00F45E51"/>
    <w:rsid w:val="00F46004"/>
    <w:rsid w:val="00F46155"/>
    <w:rsid w:val="00F4644F"/>
    <w:rsid w:val="00F4691F"/>
    <w:rsid w:val="00F52812"/>
    <w:rsid w:val="00F52D9C"/>
    <w:rsid w:val="00F534B8"/>
    <w:rsid w:val="00F56C81"/>
    <w:rsid w:val="00F56E27"/>
    <w:rsid w:val="00F5706A"/>
    <w:rsid w:val="00F573AA"/>
    <w:rsid w:val="00F57D67"/>
    <w:rsid w:val="00F6084F"/>
    <w:rsid w:val="00F6088D"/>
    <w:rsid w:val="00F60CD5"/>
    <w:rsid w:val="00F6100A"/>
    <w:rsid w:val="00F61DB4"/>
    <w:rsid w:val="00F62506"/>
    <w:rsid w:val="00F6314C"/>
    <w:rsid w:val="00F648DE"/>
    <w:rsid w:val="00F650B3"/>
    <w:rsid w:val="00F655DF"/>
    <w:rsid w:val="00F65AEA"/>
    <w:rsid w:val="00F66207"/>
    <w:rsid w:val="00F66570"/>
    <w:rsid w:val="00F665FD"/>
    <w:rsid w:val="00F671BC"/>
    <w:rsid w:val="00F679DE"/>
    <w:rsid w:val="00F70163"/>
    <w:rsid w:val="00F70626"/>
    <w:rsid w:val="00F70815"/>
    <w:rsid w:val="00F71803"/>
    <w:rsid w:val="00F71A3B"/>
    <w:rsid w:val="00F7343E"/>
    <w:rsid w:val="00F736AD"/>
    <w:rsid w:val="00F74DEE"/>
    <w:rsid w:val="00F7575C"/>
    <w:rsid w:val="00F76D60"/>
    <w:rsid w:val="00F802DC"/>
    <w:rsid w:val="00F81DEC"/>
    <w:rsid w:val="00F82112"/>
    <w:rsid w:val="00F83068"/>
    <w:rsid w:val="00F83739"/>
    <w:rsid w:val="00F83E15"/>
    <w:rsid w:val="00F83F5E"/>
    <w:rsid w:val="00F841EA"/>
    <w:rsid w:val="00F848CB"/>
    <w:rsid w:val="00F865C3"/>
    <w:rsid w:val="00F9008C"/>
    <w:rsid w:val="00F90175"/>
    <w:rsid w:val="00F90C8E"/>
    <w:rsid w:val="00F90F1F"/>
    <w:rsid w:val="00F93781"/>
    <w:rsid w:val="00F938AE"/>
    <w:rsid w:val="00F939AB"/>
    <w:rsid w:val="00F94019"/>
    <w:rsid w:val="00F9452E"/>
    <w:rsid w:val="00F95039"/>
    <w:rsid w:val="00F95BC6"/>
    <w:rsid w:val="00F96431"/>
    <w:rsid w:val="00F96537"/>
    <w:rsid w:val="00F966E4"/>
    <w:rsid w:val="00F9695C"/>
    <w:rsid w:val="00F975AF"/>
    <w:rsid w:val="00F97A28"/>
    <w:rsid w:val="00F97B9F"/>
    <w:rsid w:val="00FA048C"/>
    <w:rsid w:val="00FA06A4"/>
    <w:rsid w:val="00FA0EC1"/>
    <w:rsid w:val="00FA1AC3"/>
    <w:rsid w:val="00FA1FF9"/>
    <w:rsid w:val="00FA26B2"/>
    <w:rsid w:val="00FA2C2B"/>
    <w:rsid w:val="00FA2E13"/>
    <w:rsid w:val="00FA326D"/>
    <w:rsid w:val="00FA3678"/>
    <w:rsid w:val="00FA38D7"/>
    <w:rsid w:val="00FA3B2A"/>
    <w:rsid w:val="00FA3E70"/>
    <w:rsid w:val="00FA62F9"/>
    <w:rsid w:val="00FA636C"/>
    <w:rsid w:val="00FA6B49"/>
    <w:rsid w:val="00FA6B59"/>
    <w:rsid w:val="00FA7887"/>
    <w:rsid w:val="00FB03A9"/>
    <w:rsid w:val="00FB0BF2"/>
    <w:rsid w:val="00FB1925"/>
    <w:rsid w:val="00FB32CA"/>
    <w:rsid w:val="00FB4AFB"/>
    <w:rsid w:val="00FB5524"/>
    <w:rsid w:val="00FB613B"/>
    <w:rsid w:val="00FB6CFF"/>
    <w:rsid w:val="00FB7594"/>
    <w:rsid w:val="00FC120C"/>
    <w:rsid w:val="00FC28EE"/>
    <w:rsid w:val="00FC309D"/>
    <w:rsid w:val="00FC3146"/>
    <w:rsid w:val="00FC3C11"/>
    <w:rsid w:val="00FC4EE3"/>
    <w:rsid w:val="00FC55A5"/>
    <w:rsid w:val="00FC562D"/>
    <w:rsid w:val="00FC59E3"/>
    <w:rsid w:val="00FC5F7D"/>
    <w:rsid w:val="00FC65C8"/>
    <w:rsid w:val="00FC68B7"/>
    <w:rsid w:val="00FC6CC4"/>
    <w:rsid w:val="00FC6F80"/>
    <w:rsid w:val="00FC78E9"/>
    <w:rsid w:val="00FD01E6"/>
    <w:rsid w:val="00FD1524"/>
    <w:rsid w:val="00FD1A6B"/>
    <w:rsid w:val="00FD2352"/>
    <w:rsid w:val="00FD281D"/>
    <w:rsid w:val="00FD29EB"/>
    <w:rsid w:val="00FD2AE1"/>
    <w:rsid w:val="00FD3D1C"/>
    <w:rsid w:val="00FD3F98"/>
    <w:rsid w:val="00FD4196"/>
    <w:rsid w:val="00FD66C4"/>
    <w:rsid w:val="00FD673F"/>
    <w:rsid w:val="00FD6858"/>
    <w:rsid w:val="00FD76C4"/>
    <w:rsid w:val="00FE106A"/>
    <w:rsid w:val="00FE1A0E"/>
    <w:rsid w:val="00FE2599"/>
    <w:rsid w:val="00FE2B46"/>
    <w:rsid w:val="00FE2F4B"/>
    <w:rsid w:val="00FE3469"/>
    <w:rsid w:val="00FE3668"/>
    <w:rsid w:val="00FE4AAE"/>
    <w:rsid w:val="00FE4AD6"/>
    <w:rsid w:val="00FE5881"/>
    <w:rsid w:val="00FE646D"/>
    <w:rsid w:val="00FE71DB"/>
    <w:rsid w:val="00FE7450"/>
    <w:rsid w:val="00FF06E8"/>
    <w:rsid w:val="00FF145D"/>
    <w:rsid w:val="00FF1CEB"/>
    <w:rsid w:val="00FF3A20"/>
    <w:rsid w:val="00FF3C22"/>
    <w:rsid w:val="00FF548D"/>
    <w:rsid w:val="00FF554E"/>
    <w:rsid w:val="00FF5B93"/>
    <w:rsid w:val="00FF6015"/>
    <w:rsid w:val="00FF7158"/>
    <w:rsid w:val="00FF7D0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47F32CB1"/>
  <w15:docId w15:val="{4C6D2C56-7A98-4CD3-B29A-3317D33F5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722D"/>
    <w:pPr>
      <w:suppressAutoHyphens/>
      <w:spacing w:line="240" w:lineRule="atLeast"/>
    </w:pPr>
    <w:rPr>
      <w:lang w:eastAsia="en-US"/>
    </w:rPr>
  </w:style>
  <w:style w:type="paragraph" w:styleId="Heading1">
    <w:name w:val="heading 1"/>
    <w:aliases w:val="Table_G"/>
    <w:basedOn w:val="SingleTxtG"/>
    <w:next w:val="SingleTxtG"/>
    <w:link w:val="Heading1Char"/>
    <w:qFormat/>
    <w:rsid w:val="000646F4"/>
    <w:pPr>
      <w:spacing w:after="0" w:line="240" w:lineRule="auto"/>
      <w:ind w:right="0"/>
      <w:jc w:val="left"/>
      <w:outlineLvl w:val="0"/>
    </w:pPr>
  </w:style>
  <w:style w:type="paragraph" w:styleId="Heading2">
    <w:name w:val="heading 2"/>
    <w:basedOn w:val="Normal"/>
    <w:next w:val="Normal"/>
    <w:qFormat/>
    <w:rsid w:val="000646F4"/>
    <w:pPr>
      <w:spacing w:line="240" w:lineRule="auto"/>
      <w:outlineLvl w:val="1"/>
    </w:pPr>
  </w:style>
  <w:style w:type="paragraph" w:styleId="Heading3">
    <w:name w:val="heading 3"/>
    <w:basedOn w:val="Normal"/>
    <w:next w:val="Normal"/>
    <w:qFormat/>
    <w:rsid w:val="000646F4"/>
    <w:pPr>
      <w:spacing w:line="240" w:lineRule="auto"/>
      <w:outlineLvl w:val="2"/>
    </w:pPr>
  </w:style>
  <w:style w:type="paragraph" w:styleId="Heading4">
    <w:name w:val="heading 4"/>
    <w:basedOn w:val="Normal"/>
    <w:next w:val="Normal"/>
    <w:qFormat/>
    <w:rsid w:val="000646F4"/>
    <w:pPr>
      <w:spacing w:line="240" w:lineRule="auto"/>
      <w:outlineLvl w:val="3"/>
    </w:pPr>
  </w:style>
  <w:style w:type="paragraph" w:styleId="Heading5">
    <w:name w:val="heading 5"/>
    <w:basedOn w:val="Normal"/>
    <w:next w:val="Normal"/>
    <w:qFormat/>
    <w:rsid w:val="000646F4"/>
    <w:pPr>
      <w:spacing w:line="240" w:lineRule="auto"/>
      <w:outlineLvl w:val="4"/>
    </w:pPr>
  </w:style>
  <w:style w:type="paragraph" w:styleId="Heading6">
    <w:name w:val="heading 6"/>
    <w:basedOn w:val="Normal"/>
    <w:next w:val="Normal"/>
    <w:qFormat/>
    <w:rsid w:val="000646F4"/>
    <w:pPr>
      <w:spacing w:line="240" w:lineRule="auto"/>
      <w:outlineLvl w:val="5"/>
    </w:pPr>
  </w:style>
  <w:style w:type="paragraph" w:styleId="Heading7">
    <w:name w:val="heading 7"/>
    <w:basedOn w:val="Normal"/>
    <w:next w:val="Normal"/>
    <w:qFormat/>
    <w:rsid w:val="000646F4"/>
    <w:pPr>
      <w:spacing w:line="240" w:lineRule="auto"/>
      <w:outlineLvl w:val="6"/>
    </w:pPr>
  </w:style>
  <w:style w:type="paragraph" w:styleId="Heading8">
    <w:name w:val="heading 8"/>
    <w:basedOn w:val="Normal"/>
    <w:next w:val="Normal"/>
    <w:qFormat/>
    <w:rsid w:val="000646F4"/>
    <w:pPr>
      <w:spacing w:line="240" w:lineRule="auto"/>
      <w:outlineLvl w:val="7"/>
    </w:pPr>
  </w:style>
  <w:style w:type="paragraph" w:styleId="Heading9">
    <w:name w:val="heading 9"/>
    <w:basedOn w:val="Normal"/>
    <w:next w:val="Normal"/>
    <w:qFormat/>
    <w:rsid w:val="000646F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rsid w:val="000646F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0646F4"/>
    <w:pPr>
      <w:keepNext/>
      <w:keepLines/>
      <w:tabs>
        <w:tab w:val="right" w:pos="851"/>
      </w:tabs>
      <w:spacing w:before="360" w:after="240" w:line="300" w:lineRule="exact"/>
      <w:ind w:left="1134" w:right="1134" w:hanging="1134"/>
    </w:pPr>
    <w:rPr>
      <w:b/>
      <w:sz w:val="28"/>
    </w:rPr>
  </w:style>
  <w:style w:type="character" w:customStyle="1" w:styleId="SingleTxtGChar">
    <w:name w:val="_ Single Txt_G Char"/>
    <w:link w:val="SingleTxtG"/>
    <w:rsid w:val="005C7D1E"/>
    <w:rPr>
      <w:lang w:val="en-GB" w:eastAsia="en-US" w:bidi="ar-SA"/>
    </w:rPr>
  </w:style>
  <w:style w:type="paragraph" w:customStyle="1" w:styleId="SingleTxtG">
    <w:name w:val="_ Single Txt_G"/>
    <w:basedOn w:val="Normal"/>
    <w:link w:val="SingleTxtGChar"/>
    <w:qFormat/>
    <w:rsid w:val="000646F4"/>
    <w:pPr>
      <w:spacing w:after="120"/>
      <w:ind w:left="1134" w:right="1134"/>
      <w:jc w:val="both"/>
    </w:pPr>
  </w:style>
  <w:style w:type="character" w:styleId="PageNumber">
    <w:name w:val="page number"/>
    <w:aliases w:val="7_G"/>
    <w:rsid w:val="000646F4"/>
    <w:rPr>
      <w:rFonts w:ascii="Times New Roman" w:hAnsi="Times New Roman"/>
      <w:b/>
      <w:sz w:val="18"/>
    </w:rPr>
  </w:style>
  <w:style w:type="paragraph" w:styleId="PlainText">
    <w:name w:val="Plain Text"/>
    <w:basedOn w:val="Normal"/>
    <w:semiHidden/>
    <w:rsid w:val="00F60CD5"/>
    <w:rPr>
      <w:rFonts w:cs="Courier New"/>
    </w:rPr>
  </w:style>
  <w:style w:type="paragraph" w:styleId="BodyText">
    <w:name w:val="Body Text"/>
    <w:basedOn w:val="Normal"/>
    <w:next w:val="Normal"/>
    <w:semiHidden/>
    <w:rsid w:val="00F60CD5"/>
  </w:style>
  <w:style w:type="paragraph" w:styleId="BodyTextIndent">
    <w:name w:val="Body Text Indent"/>
    <w:basedOn w:val="Normal"/>
    <w:semiHidden/>
    <w:rsid w:val="00F60CD5"/>
    <w:pPr>
      <w:spacing w:after="120"/>
      <w:ind w:left="283"/>
    </w:pPr>
  </w:style>
  <w:style w:type="paragraph" w:styleId="BlockText">
    <w:name w:val="Block Text"/>
    <w:basedOn w:val="Normal"/>
    <w:semiHidden/>
    <w:rsid w:val="00F60CD5"/>
    <w:pPr>
      <w:ind w:left="1440" w:right="1440"/>
    </w:pPr>
  </w:style>
  <w:style w:type="paragraph" w:customStyle="1" w:styleId="SMG">
    <w:name w:val="__S_M_G"/>
    <w:basedOn w:val="Normal"/>
    <w:next w:val="Normal"/>
    <w:rsid w:val="000646F4"/>
    <w:pPr>
      <w:keepNext/>
      <w:keepLines/>
      <w:spacing w:before="240" w:after="240" w:line="420" w:lineRule="exact"/>
      <w:ind w:left="1134" w:right="1134"/>
    </w:pPr>
    <w:rPr>
      <w:b/>
      <w:sz w:val="40"/>
    </w:rPr>
  </w:style>
  <w:style w:type="paragraph" w:customStyle="1" w:styleId="SLG">
    <w:name w:val="__S_L_G"/>
    <w:basedOn w:val="Normal"/>
    <w:next w:val="Normal"/>
    <w:rsid w:val="000646F4"/>
    <w:pPr>
      <w:keepNext/>
      <w:keepLines/>
      <w:spacing w:before="240" w:after="240" w:line="580" w:lineRule="exact"/>
      <w:ind w:left="1134" w:right="1134"/>
    </w:pPr>
    <w:rPr>
      <w:b/>
      <w:sz w:val="56"/>
    </w:rPr>
  </w:style>
  <w:style w:type="paragraph" w:customStyle="1" w:styleId="SSG">
    <w:name w:val="__S_S_G"/>
    <w:basedOn w:val="Normal"/>
    <w:next w:val="Normal"/>
    <w:rsid w:val="000646F4"/>
    <w:pPr>
      <w:keepNext/>
      <w:keepLines/>
      <w:spacing w:before="240" w:after="240" w:line="300" w:lineRule="exact"/>
      <w:ind w:left="1134" w:right="1134"/>
    </w:pPr>
    <w:rPr>
      <w:b/>
      <w:sz w:val="28"/>
    </w:rPr>
  </w:style>
  <w:style w:type="character" w:styleId="EndnoteReference">
    <w:name w:val="endnote reference"/>
    <w:aliases w:val="1_G"/>
    <w:rsid w:val="000646F4"/>
    <w:rPr>
      <w:rFonts w:ascii="Times New Roman" w:hAnsi="Times New Roman"/>
      <w:sz w:val="18"/>
      <w:vertAlign w:val="superscript"/>
    </w:rPr>
  </w:style>
  <w:style w:type="character" w:styleId="FootnoteReference">
    <w:name w:val="footnote reference"/>
    <w:aliases w:val="4_G,(Footnote Reference),-E Fußnotenzeichen,BVI fnr, BVI fnr,Footnote symbol,Footnote,Footnote Reference Superscript,SUPERS"/>
    <w:rsid w:val="000646F4"/>
    <w:rPr>
      <w:rFonts w:ascii="Times New Roman" w:hAnsi="Times New Roman"/>
      <w:sz w:val="18"/>
      <w:vertAlign w:val="superscript"/>
    </w:rPr>
  </w:style>
  <w:style w:type="paragraph" w:styleId="FootnoteText">
    <w:name w:val="footnote text"/>
    <w:aliases w:val="5_G,PP,Footnote Text Char"/>
    <w:basedOn w:val="Normal"/>
    <w:link w:val="FootnoteTextChar1"/>
    <w:qFormat/>
    <w:rsid w:val="000646F4"/>
    <w:pPr>
      <w:tabs>
        <w:tab w:val="right" w:pos="1021"/>
      </w:tabs>
      <w:spacing w:line="220" w:lineRule="exact"/>
      <w:ind w:left="1134" w:right="1134" w:hanging="1134"/>
    </w:pPr>
    <w:rPr>
      <w:sz w:val="18"/>
    </w:rPr>
  </w:style>
  <w:style w:type="paragraph" w:customStyle="1" w:styleId="XLargeG">
    <w:name w:val="__XLarge_G"/>
    <w:basedOn w:val="Normal"/>
    <w:next w:val="Normal"/>
    <w:rsid w:val="000646F4"/>
    <w:pPr>
      <w:keepNext/>
      <w:keepLines/>
      <w:spacing w:before="240" w:after="240" w:line="420" w:lineRule="exact"/>
      <w:ind w:left="1134" w:right="1134"/>
    </w:pPr>
    <w:rPr>
      <w:b/>
      <w:sz w:val="40"/>
    </w:rPr>
  </w:style>
  <w:style w:type="paragraph" w:customStyle="1" w:styleId="Bullet1G">
    <w:name w:val="_Bullet 1_G"/>
    <w:basedOn w:val="Normal"/>
    <w:rsid w:val="000646F4"/>
    <w:pPr>
      <w:numPr>
        <w:numId w:val="14"/>
      </w:numPr>
      <w:spacing w:after="120"/>
      <w:ind w:right="1134"/>
      <w:jc w:val="both"/>
    </w:pPr>
  </w:style>
  <w:style w:type="paragraph" w:styleId="EndnoteText">
    <w:name w:val="endnote text"/>
    <w:aliases w:val="2_G"/>
    <w:basedOn w:val="FootnoteText"/>
    <w:rsid w:val="000646F4"/>
  </w:style>
  <w:style w:type="character" w:styleId="CommentReference">
    <w:name w:val="annotation reference"/>
    <w:rsid w:val="00F60CD5"/>
    <w:rPr>
      <w:sz w:val="6"/>
    </w:rPr>
  </w:style>
  <w:style w:type="paragraph" w:styleId="CommentText">
    <w:name w:val="annotation text"/>
    <w:basedOn w:val="Normal"/>
    <w:link w:val="CommentTextChar"/>
    <w:rsid w:val="00F60CD5"/>
    <w:rPr>
      <w:lang w:val="x-none"/>
    </w:rPr>
  </w:style>
  <w:style w:type="character" w:styleId="LineNumber">
    <w:name w:val="line number"/>
    <w:semiHidden/>
    <w:rsid w:val="00F60CD5"/>
    <w:rPr>
      <w:sz w:val="14"/>
    </w:rPr>
  </w:style>
  <w:style w:type="paragraph" w:customStyle="1" w:styleId="Bullet2G">
    <w:name w:val="_Bullet 2_G"/>
    <w:basedOn w:val="Normal"/>
    <w:rsid w:val="000646F4"/>
    <w:pPr>
      <w:numPr>
        <w:numId w:val="15"/>
      </w:numPr>
      <w:spacing w:after="120"/>
      <w:ind w:right="1134"/>
      <w:jc w:val="both"/>
    </w:pPr>
  </w:style>
  <w:style w:type="paragraph" w:customStyle="1" w:styleId="H1G">
    <w:name w:val="_ H_1_G"/>
    <w:basedOn w:val="Normal"/>
    <w:next w:val="Normal"/>
    <w:link w:val="H1GChar"/>
    <w:rsid w:val="000646F4"/>
    <w:pPr>
      <w:keepNext/>
      <w:keepLines/>
      <w:tabs>
        <w:tab w:val="right" w:pos="851"/>
      </w:tabs>
      <w:spacing w:before="360" w:after="240" w:line="270" w:lineRule="exact"/>
      <w:ind w:left="1134" w:right="1134" w:hanging="1134"/>
    </w:pPr>
    <w:rPr>
      <w:b/>
      <w:sz w:val="24"/>
      <w:lang w:val="x-none"/>
    </w:rPr>
  </w:style>
  <w:style w:type="paragraph" w:customStyle="1" w:styleId="H23G">
    <w:name w:val="_ H_2/3_G"/>
    <w:basedOn w:val="Normal"/>
    <w:next w:val="Normal"/>
    <w:link w:val="H23GChar"/>
    <w:rsid w:val="000646F4"/>
    <w:pPr>
      <w:keepNext/>
      <w:keepLines/>
      <w:tabs>
        <w:tab w:val="right" w:pos="851"/>
      </w:tabs>
      <w:spacing w:before="240" w:after="120" w:line="240" w:lineRule="exact"/>
      <w:ind w:left="1134" w:right="1134" w:hanging="1134"/>
    </w:pPr>
    <w:rPr>
      <w:b/>
      <w:lang w:val="x-none"/>
    </w:rPr>
  </w:style>
  <w:style w:type="paragraph" w:customStyle="1" w:styleId="H4G">
    <w:name w:val="_ H_4_G"/>
    <w:basedOn w:val="Normal"/>
    <w:next w:val="Normal"/>
    <w:rsid w:val="000646F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646F4"/>
    <w:pPr>
      <w:keepNext/>
      <w:keepLines/>
      <w:tabs>
        <w:tab w:val="right" w:pos="851"/>
      </w:tabs>
      <w:spacing w:before="240" w:after="120" w:line="240" w:lineRule="exact"/>
      <w:ind w:left="1134" w:right="1134" w:hanging="1134"/>
    </w:pPr>
  </w:style>
  <w:style w:type="numbering" w:styleId="111111">
    <w:name w:val="Outline List 2"/>
    <w:basedOn w:val="NoList"/>
    <w:semiHidden/>
    <w:rsid w:val="008A6C4F"/>
    <w:pPr>
      <w:numPr>
        <w:numId w:val="11"/>
      </w:numPr>
    </w:pPr>
  </w:style>
  <w:style w:type="numbering" w:styleId="1ai">
    <w:name w:val="Outline List 1"/>
    <w:basedOn w:val="NoList"/>
    <w:semiHidden/>
    <w:rsid w:val="008A6C4F"/>
    <w:pPr>
      <w:numPr>
        <w:numId w:val="12"/>
      </w:numPr>
    </w:pPr>
  </w:style>
  <w:style w:type="numbering" w:styleId="ArticleSection">
    <w:name w:val="Outline List 3"/>
    <w:basedOn w:val="NoList"/>
    <w:semiHidden/>
    <w:rsid w:val="008A6C4F"/>
    <w:pPr>
      <w:numPr>
        <w:numId w:val="13"/>
      </w:numPr>
    </w:pPr>
  </w:style>
  <w:style w:type="paragraph" w:styleId="BodyText2">
    <w:name w:val="Body Text 2"/>
    <w:basedOn w:val="Normal"/>
    <w:semiHidden/>
    <w:rsid w:val="008A6C4F"/>
    <w:pPr>
      <w:spacing w:after="120" w:line="480" w:lineRule="auto"/>
    </w:pPr>
  </w:style>
  <w:style w:type="paragraph" w:styleId="BodyText3">
    <w:name w:val="Body Text 3"/>
    <w:basedOn w:val="Normal"/>
    <w:semiHidden/>
    <w:rsid w:val="008A6C4F"/>
    <w:pPr>
      <w:spacing w:after="120"/>
    </w:pPr>
    <w:rPr>
      <w:sz w:val="16"/>
      <w:szCs w:val="16"/>
    </w:rPr>
  </w:style>
  <w:style w:type="paragraph" w:styleId="BodyTextFirstIndent">
    <w:name w:val="Body Text First Indent"/>
    <w:basedOn w:val="BodyText"/>
    <w:semiHidden/>
    <w:rsid w:val="008A6C4F"/>
    <w:pPr>
      <w:spacing w:after="120"/>
      <w:ind w:firstLine="210"/>
    </w:pPr>
  </w:style>
  <w:style w:type="paragraph" w:styleId="BodyTextFirstIndent2">
    <w:name w:val="Body Text First Indent 2"/>
    <w:basedOn w:val="BodyTextIndent"/>
    <w:semiHidden/>
    <w:rsid w:val="008A6C4F"/>
    <w:pPr>
      <w:ind w:firstLine="210"/>
    </w:pPr>
  </w:style>
  <w:style w:type="paragraph" w:styleId="BodyTextIndent2">
    <w:name w:val="Body Text Indent 2"/>
    <w:basedOn w:val="Normal"/>
    <w:semiHidden/>
    <w:rsid w:val="008A6C4F"/>
    <w:pPr>
      <w:spacing w:after="120" w:line="480" w:lineRule="auto"/>
      <w:ind w:left="283"/>
    </w:pPr>
  </w:style>
  <w:style w:type="paragraph" w:styleId="BodyTextIndent3">
    <w:name w:val="Body Text Indent 3"/>
    <w:basedOn w:val="Normal"/>
    <w:semiHidden/>
    <w:rsid w:val="008A6C4F"/>
    <w:pPr>
      <w:spacing w:after="120"/>
      <w:ind w:left="283"/>
    </w:pPr>
    <w:rPr>
      <w:sz w:val="16"/>
      <w:szCs w:val="16"/>
    </w:rPr>
  </w:style>
  <w:style w:type="paragraph" w:styleId="Closing">
    <w:name w:val="Closing"/>
    <w:basedOn w:val="Normal"/>
    <w:semiHidden/>
    <w:rsid w:val="008A6C4F"/>
    <w:pPr>
      <w:ind w:left="4252"/>
    </w:pPr>
  </w:style>
  <w:style w:type="paragraph" w:styleId="Date">
    <w:name w:val="Date"/>
    <w:basedOn w:val="Normal"/>
    <w:next w:val="Normal"/>
    <w:semiHidden/>
    <w:rsid w:val="008A6C4F"/>
  </w:style>
  <w:style w:type="paragraph" w:styleId="E-mailSignature">
    <w:name w:val="E-mail Signature"/>
    <w:basedOn w:val="Normal"/>
    <w:semiHidden/>
    <w:rsid w:val="008A6C4F"/>
  </w:style>
  <w:style w:type="character" w:styleId="Emphasis">
    <w:name w:val="Emphasis"/>
    <w:qFormat/>
    <w:rsid w:val="008A6C4F"/>
    <w:rPr>
      <w:i/>
      <w:iCs/>
    </w:rPr>
  </w:style>
  <w:style w:type="paragraph" w:styleId="EnvelopeReturn">
    <w:name w:val="envelope return"/>
    <w:basedOn w:val="Normal"/>
    <w:semiHidden/>
    <w:rsid w:val="008A6C4F"/>
    <w:rPr>
      <w:rFonts w:ascii="Arial" w:hAnsi="Arial" w:cs="Arial"/>
    </w:rPr>
  </w:style>
  <w:style w:type="character" w:styleId="FollowedHyperlink">
    <w:name w:val="FollowedHyperlink"/>
    <w:semiHidden/>
    <w:rsid w:val="000646F4"/>
    <w:rPr>
      <w:color w:val="auto"/>
      <w:u w:val="none"/>
    </w:rPr>
  </w:style>
  <w:style w:type="character" w:styleId="HTMLAcronym">
    <w:name w:val="HTML Acronym"/>
    <w:basedOn w:val="DefaultParagraphFont"/>
    <w:semiHidden/>
    <w:rsid w:val="008A6C4F"/>
  </w:style>
  <w:style w:type="paragraph" w:styleId="HTMLAddress">
    <w:name w:val="HTML Address"/>
    <w:basedOn w:val="Normal"/>
    <w:semiHidden/>
    <w:rsid w:val="008A6C4F"/>
    <w:rPr>
      <w:i/>
      <w:iCs/>
    </w:rPr>
  </w:style>
  <w:style w:type="character" w:styleId="HTMLCite">
    <w:name w:val="HTML Cite"/>
    <w:semiHidden/>
    <w:rsid w:val="008A6C4F"/>
    <w:rPr>
      <w:i/>
      <w:iCs/>
    </w:rPr>
  </w:style>
  <w:style w:type="character" w:styleId="HTMLCode">
    <w:name w:val="HTML Code"/>
    <w:semiHidden/>
    <w:rsid w:val="008A6C4F"/>
    <w:rPr>
      <w:rFonts w:ascii="Courier New" w:hAnsi="Courier New" w:cs="Courier New"/>
      <w:sz w:val="20"/>
      <w:szCs w:val="20"/>
    </w:rPr>
  </w:style>
  <w:style w:type="character" w:styleId="HTMLDefinition">
    <w:name w:val="HTML Definition"/>
    <w:semiHidden/>
    <w:rsid w:val="008A6C4F"/>
    <w:rPr>
      <w:i/>
      <w:iCs/>
    </w:rPr>
  </w:style>
  <w:style w:type="character" w:styleId="HTMLKeyboard">
    <w:name w:val="HTML Keyboard"/>
    <w:semiHidden/>
    <w:rsid w:val="008A6C4F"/>
    <w:rPr>
      <w:rFonts w:ascii="Courier New" w:hAnsi="Courier New" w:cs="Courier New"/>
      <w:sz w:val="20"/>
      <w:szCs w:val="20"/>
    </w:rPr>
  </w:style>
  <w:style w:type="paragraph" w:styleId="HTMLPreformatted">
    <w:name w:val="HTML Preformatted"/>
    <w:basedOn w:val="Normal"/>
    <w:semiHidden/>
    <w:rsid w:val="008A6C4F"/>
    <w:rPr>
      <w:rFonts w:ascii="Courier New" w:hAnsi="Courier New" w:cs="Courier New"/>
    </w:rPr>
  </w:style>
  <w:style w:type="character" w:styleId="HTMLSample">
    <w:name w:val="HTML Sample"/>
    <w:semiHidden/>
    <w:rsid w:val="008A6C4F"/>
    <w:rPr>
      <w:rFonts w:ascii="Courier New" w:hAnsi="Courier New" w:cs="Courier New"/>
    </w:rPr>
  </w:style>
  <w:style w:type="character" w:styleId="HTMLTypewriter">
    <w:name w:val="HTML Typewriter"/>
    <w:semiHidden/>
    <w:rsid w:val="008A6C4F"/>
    <w:rPr>
      <w:rFonts w:ascii="Courier New" w:hAnsi="Courier New" w:cs="Courier New"/>
      <w:sz w:val="20"/>
      <w:szCs w:val="20"/>
    </w:rPr>
  </w:style>
  <w:style w:type="character" w:styleId="HTMLVariable">
    <w:name w:val="HTML Variable"/>
    <w:semiHidden/>
    <w:rsid w:val="008A6C4F"/>
    <w:rPr>
      <w:i/>
      <w:iCs/>
    </w:rPr>
  </w:style>
  <w:style w:type="character" w:styleId="Hyperlink">
    <w:name w:val="Hyperlink"/>
    <w:rsid w:val="000646F4"/>
    <w:rPr>
      <w:color w:val="auto"/>
      <w:u w:val="none"/>
    </w:rPr>
  </w:style>
  <w:style w:type="paragraph" w:styleId="List">
    <w:name w:val="List"/>
    <w:basedOn w:val="Normal"/>
    <w:semiHidden/>
    <w:rsid w:val="008A6C4F"/>
    <w:pPr>
      <w:ind w:left="283" w:hanging="283"/>
    </w:pPr>
  </w:style>
  <w:style w:type="paragraph" w:styleId="List2">
    <w:name w:val="List 2"/>
    <w:basedOn w:val="Normal"/>
    <w:semiHidden/>
    <w:rsid w:val="008A6C4F"/>
    <w:pPr>
      <w:ind w:left="566" w:hanging="283"/>
    </w:pPr>
  </w:style>
  <w:style w:type="paragraph" w:styleId="List3">
    <w:name w:val="List 3"/>
    <w:basedOn w:val="Normal"/>
    <w:semiHidden/>
    <w:rsid w:val="008A6C4F"/>
    <w:pPr>
      <w:ind w:left="849" w:hanging="283"/>
    </w:pPr>
  </w:style>
  <w:style w:type="paragraph" w:styleId="List4">
    <w:name w:val="List 4"/>
    <w:basedOn w:val="Normal"/>
    <w:semiHidden/>
    <w:rsid w:val="008A6C4F"/>
    <w:pPr>
      <w:ind w:left="1132" w:hanging="283"/>
    </w:pPr>
  </w:style>
  <w:style w:type="paragraph" w:styleId="List5">
    <w:name w:val="List 5"/>
    <w:basedOn w:val="Normal"/>
    <w:semiHidden/>
    <w:rsid w:val="008A6C4F"/>
    <w:pPr>
      <w:ind w:left="1415" w:hanging="283"/>
    </w:pPr>
  </w:style>
  <w:style w:type="paragraph" w:styleId="ListBullet">
    <w:name w:val="List Bullet"/>
    <w:basedOn w:val="Normal"/>
    <w:rsid w:val="008A6C4F"/>
    <w:pPr>
      <w:numPr>
        <w:numId w:val="6"/>
      </w:numPr>
    </w:pPr>
  </w:style>
  <w:style w:type="paragraph" w:styleId="ListBullet2">
    <w:name w:val="List Bullet 2"/>
    <w:basedOn w:val="Normal"/>
    <w:semiHidden/>
    <w:rsid w:val="008A6C4F"/>
    <w:pPr>
      <w:numPr>
        <w:numId w:val="7"/>
      </w:numPr>
    </w:pPr>
  </w:style>
  <w:style w:type="paragraph" w:styleId="ListBullet3">
    <w:name w:val="List Bullet 3"/>
    <w:basedOn w:val="Normal"/>
    <w:semiHidden/>
    <w:rsid w:val="008A6C4F"/>
    <w:pPr>
      <w:numPr>
        <w:numId w:val="8"/>
      </w:numPr>
    </w:pPr>
  </w:style>
  <w:style w:type="paragraph" w:styleId="ListBullet4">
    <w:name w:val="List Bullet 4"/>
    <w:basedOn w:val="Normal"/>
    <w:semiHidden/>
    <w:rsid w:val="008A6C4F"/>
    <w:pPr>
      <w:numPr>
        <w:numId w:val="9"/>
      </w:numPr>
    </w:pPr>
  </w:style>
  <w:style w:type="paragraph" w:styleId="ListBullet5">
    <w:name w:val="List Bullet 5"/>
    <w:basedOn w:val="Normal"/>
    <w:semiHidden/>
    <w:rsid w:val="008A6C4F"/>
    <w:pPr>
      <w:numPr>
        <w:numId w:val="10"/>
      </w:numPr>
    </w:pPr>
  </w:style>
  <w:style w:type="paragraph" w:styleId="ListContinue">
    <w:name w:val="List Continue"/>
    <w:basedOn w:val="Normal"/>
    <w:semiHidden/>
    <w:rsid w:val="008A6C4F"/>
    <w:pPr>
      <w:spacing w:after="120"/>
      <w:ind w:left="283"/>
    </w:pPr>
  </w:style>
  <w:style w:type="paragraph" w:styleId="ListContinue2">
    <w:name w:val="List Continue 2"/>
    <w:basedOn w:val="Normal"/>
    <w:semiHidden/>
    <w:rsid w:val="008A6C4F"/>
    <w:pPr>
      <w:spacing w:after="120"/>
      <w:ind w:left="566"/>
    </w:pPr>
  </w:style>
  <w:style w:type="paragraph" w:styleId="ListContinue3">
    <w:name w:val="List Continue 3"/>
    <w:basedOn w:val="Normal"/>
    <w:semiHidden/>
    <w:rsid w:val="008A6C4F"/>
    <w:pPr>
      <w:spacing w:after="120"/>
      <w:ind w:left="849"/>
    </w:pPr>
  </w:style>
  <w:style w:type="paragraph" w:styleId="ListContinue4">
    <w:name w:val="List Continue 4"/>
    <w:basedOn w:val="Normal"/>
    <w:semiHidden/>
    <w:rsid w:val="008A6C4F"/>
    <w:pPr>
      <w:spacing w:after="120"/>
      <w:ind w:left="1132"/>
    </w:pPr>
  </w:style>
  <w:style w:type="paragraph" w:styleId="ListContinue5">
    <w:name w:val="List Continue 5"/>
    <w:basedOn w:val="Normal"/>
    <w:semiHidden/>
    <w:rsid w:val="008A6C4F"/>
    <w:pPr>
      <w:spacing w:after="120"/>
      <w:ind w:left="1415"/>
    </w:pPr>
  </w:style>
  <w:style w:type="paragraph" w:styleId="ListNumber">
    <w:name w:val="List Number"/>
    <w:basedOn w:val="Normal"/>
    <w:semiHidden/>
    <w:rsid w:val="008A6C4F"/>
    <w:pPr>
      <w:numPr>
        <w:numId w:val="5"/>
      </w:numPr>
    </w:pPr>
  </w:style>
  <w:style w:type="paragraph" w:styleId="ListNumber2">
    <w:name w:val="List Number 2"/>
    <w:basedOn w:val="Normal"/>
    <w:semiHidden/>
    <w:rsid w:val="008A6C4F"/>
    <w:pPr>
      <w:numPr>
        <w:numId w:val="4"/>
      </w:numPr>
    </w:pPr>
  </w:style>
  <w:style w:type="paragraph" w:styleId="ListNumber3">
    <w:name w:val="List Number 3"/>
    <w:basedOn w:val="Normal"/>
    <w:semiHidden/>
    <w:rsid w:val="008A6C4F"/>
    <w:pPr>
      <w:numPr>
        <w:numId w:val="3"/>
      </w:numPr>
    </w:pPr>
  </w:style>
  <w:style w:type="paragraph" w:styleId="ListNumber4">
    <w:name w:val="List Number 4"/>
    <w:basedOn w:val="Normal"/>
    <w:semiHidden/>
    <w:rsid w:val="008A6C4F"/>
    <w:pPr>
      <w:numPr>
        <w:numId w:val="1"/>
      </w:numPr>
    </w:pPr>
  </w:style>
  <w:style w:type="paragraph" w:styleId="ListNumber5">
    <w:name w:val="List Number 5"/>
    <w:basedOn w:val="Normal"/>
    <w:rsid w:val="008A6C4F"/>
    <w:pPr>
      <w:numPr>
        <w:numId w:val="2"/>
      </w:numPr>
    </w:pPr>
  </w:style>
  <w:style w:type="paragraph" w:styleId="MessageHeader">
    <w:name w:val="Message Header"/>
    <w:basedOn w:val="Normal"/>
    <w:semiHidden/>
    <w:rsid w:val="008A6C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link w:val="NormalWebChar"/>
    <w:rsid w:val="008A6C4F"/>
    <w:rPr>
      <w:sz w:val="24"/>
      <w:szCs w:val="24"/>
    </w:rPr>
  </w:style>
  <w:style w:type="paragraph" w:styleId="NormalIndent">
    <w:name w:val="Normal Indent"/>
    <w:basedOn w:val="Normal"/>
    <w:semiHidden/>
    <w:rsid w:val="008A6C4F"/>
    <w:pPr>
      <w:ind w:left="567"/>
    </w:pPr>
  </w:style>
  <w:style w:type="paragraph" w:styleId="NoteHeading">
    <w:name w:val="Note Heading"/>
    <w:basedOn w:val="Normal"/>
    <w:next w:val="Normal"/>
    <w:semiHidden/>
    <w:rsid w:val="008A6C4F"/>
  </w:style>
  <w:style w:type="paragraph" w:styleId="Salutation">
    <w:name w:val="Salutation"/>
    <w:basedOn w:val="Normal"/>
    <w:next w:val="Normal"/>
    <w:semiHidden/>
    <w:rsid w:val="008A6C4F"/>
  </w:style>
  <w:style w:type="paragraph" w:styleId="Signature">
    <w:name w:val="Signature"/>
    <w:basedOn w:val="Normal"/>
    <w:semiHidden/>
    <w:rsid w:val="008A6C4F"/>
    <w:pPr>
      <w:ind w:left="4252"/>
    </w:pPr>
  </w:style>
  <w:style w:type="character" w:styleId="Strong">
    <w:name w:val="Strong"/>
    <w:qFormat/>
    <w:rsid w:val="008A6C4F"/>
    <w:rPr>
      <w:b/>
      <w:bCs/>
    </w:rPr>
  </w:style>
  <w:style w:type="paragraph" w:styleId="Subtitle">
    <w:name w:val="Subtitle"/>
    <w:basedOn w:val="Normal"/>
    <w:qFormat/>
    <w:rsid w:val="008A6C4F"/>
    <w:pPr>
      <w:spacing w:after="60"/>
      <w:jc w:val="center"/>
      <w:outlineLvl w:val="1"/>
    </w:pPr>
    <w:rPr>
      <w:rFonts w:ascii="Arial" w:hAnsi="Arial" w:cs="Arial"/>
      <w:sz w:val="24"/>
      <w:szCs w:val="24"/>
    </w:rPr>
  </w:style>
  <w:style w:type="table" w:styleId="Table3Deffects1">
    <w:name w:val="Table 3D effects 1"/>
    <w:basedOn w:val="TableNormal"/>
    <w:semiHidden/>
    <w:rsid w:val="008A6C4F"/>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A6C4F"/>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A6C4F"/>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A6C4F"/>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A6C4F"/>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A6C4F"/>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A6C4F"/>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A6C4F"/>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A6C4F"/>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A6C4F"/>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A6C4F"/>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A6C4F"/>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A6C4F"/>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A6C4F"/>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A6C4F"/>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0646F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1">
    <w:name w:val="Table Grid 1"/>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A6C4F"/>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A6C4F"/>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A6C4F"/>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A6C4F"/>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A6C4F"/>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A6C4F"/>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A6C4F"/>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A6C4F"/>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A6C4F"/>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A6C4F"/>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A6C4F"/>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A6C4F"/>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A6C4F"/>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8A6C4F"/>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A6C4F"/>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A6C4F"/>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8A6C4F"/>
    <w:pPr>
      <w:spacing w:before="240" w:after="60"/>
      <w:jc w:val="center"/>
      <w:outlineLvl w:val="0"/>
    </w:pPr>
    <w:rPr>
      <w:rFonts w:ascii="Arial" w:hAnsi="Arial" w:cs="Arial"/>
      <w:b/>
      <w:bCs/>
      <w:kern w:val="28"/>
      <w:sz w:val="32"/>
      <w:szCs w:val="32"/>
    </w:rPr>
  </w:style>
  <w:style w:type="paragraph" w:styleId="EnvelopeAddress">
    <w:name w:val="envelope address"/>
    <w:basedOn w:val="Normal"/>
    <w:semiHidden/>
    <w:rsid w:val="008A6C4F"/>
    <w:pPr>
      <w:framePr w:w="7920" w:h="1980" w:hRule="exact" w:hSpace="180" w:wrap="auto" w:hAnchor="page" w:xAlign="center" w:yAlign="bottom"/>
      <w:ind w:left="2880"/>
    </w:pPr>
    <w:rPr>
      <w:rFonts w:ascii="Arial" w:hAnsi="Arial" w:cs="Arial"/>
      <w:sz w:val="24"/>
      <w:szCs w:val="24"/>
    </w:rPr>
  </w:style>
  <w:style w:type="paragraph" w:styleId="Footer">
    <w:name w:val="footer"/>
    <w:aliases w:val="3_G"/>
    <w:basedOn w:val="Normal"/>
    <w:link w:val="FooterChar"/>
    <w:uiPriority w:val="99"/>
    <w:rsid w:val="000646F4"/>
    <w:pPr>
      <w:spacing w:line="240" w:lineRule="auto"/>
    </w:pPr>
    <w:rPr>
      <w:sz w:val="16"/>
    </w:rPr>
  </w:style>
  <w:style w:type="paragraph" w:styleId="Header">
    <w:name w:val="header"/>
    <w:aliases w:val="6_G"/>
    <w:basedOn w:val="Normal"/>
    <w:link w:val="HeaderChar"/>
    <w:rsid w:val="000646F4"/>
    <w:pPr>
      <w:pBdr>
        <w:bottom w:val="single" w:sz="4" w:space="4" w:color="auto"/>
      </w:pBdr>
      <w:spacing w:line="240" w:lineRule="auto"/>
    </w:pPr>
    <w:rPr>
      <w:b/>
      <w:sz w:val="18"/>
    </w:rPr>
  </w:style>
  <w:style w:type="paragraph" w:customStyle="1" w:styleId="Rom2">
    <w:name w:val="Rom2"/>
    <w:basedOn w:val="Normal"/>
    <w:rsid w:val="00410462"/>
    <w:pPr>
      <w:numPr>
        <w:numId w:val="16"/>
      </w:numPr>
      <w:suppressAutoHyphens w:val="0"/>
      <w:spacing w:after="240" w:line="240" w:lineRule="auto"/>
    </w:pPr>
    <w:rPr>
      <w:sz w:val="24"/>
    </w:rPr>
  </w:style>
  <w:style w:type="paragraph" w:customStyle="1" w:styleId="NormalLeft">
    <w:name w:val="Normal Left"/>
    <w:basedOn w:val="Normal"/>
    <w:rsid w:val="00DF5A5B"/>
    <w:pPr>
      <w:suppressAutoHyphens w:val="0"/>
      <w:spacing w:before="120" w:after="120" w:line="240" w:lineRule="auto"/>
    </w:pPr>
    <w:rPr>
      <w:sz w:val="24"/>
      <w:lang w:eastAsia="ko-KR"/>
    </w:rPr>
  </w:style>
  <w:style w:type="character" w:customStyle="1" w:styleId="FooterChar">
    <w:name w:val="Footer Char"/>
    <w:aliases w:val="3_G Char"/>
    <w:link w:val="Footer"/>
    <w:uiPriority w:val="99"/>
    <w:rsid w:val="00DA77C0"/>
    <w:rPr>
      <w:sz w:val="16"/>
      <w:lang w:val="en-GB" w:eastAsia="en-US" w:bidi="ar-SA"/>
    </w:rPr>
  </w:style>
  <w:style w:type="paragraph" w:styleId="ListParagraph">
    <w:name w:val="List Paragraph"/>
    <w:basedOn w:val="Normal"/>
    <w:uiPriority w:val="34"/>
    <w:qFormat/>
    <w:rsid w:val="00DA77C0"/>
    <w:pPr>
      <w:widowControl w:val="0"/>
      <w:suppressAutoHyphens w:val="0"/>
      <w:spacing w:line="240" w:lineRule="auto"/>
      <w:ind w:left="720"/>
      <w:contextualSpacing/>
      <w:jc w:val="both"/>
    </w:pPr>
    <w:rPr>
      <w:rFonts w:eastAsia="MS Mincho"/>
      <w:kern w:val="2"/>
      <w:sz w:val="24"/>
      <w:szCs w:val="22"/>
      <w:lang w:eastAsia="ja-JP"/>
    </w:rPr>
  </w:style>
  <w:style w:type="character" w:customStyle="1" w:styleId="Heading1Char">
    <w:name w:val="Heading 1 Char"/>
    <w:aliases w:val="Table_G Char"/>
    <w:link w:val="Heading1"/>
    <w:rsid w:val="00790AED"/>
    <w:rPr>
      <w:lang w:val="en-GB" w:eastAsia="en-US" w:bidi="ar-SA"/>
    </w:rPr>
  </w:style>
  <w:style w:type="character" w:customStyle="1" w:styleId="NormalWebChar">
    <w:name w:val="Normal (Web) Char"/>
    <w:link w:val="NormalWeb"/>
    <w:rsid w:val="00653D09"/>
    <w:rPr>
      <w:sz w:val="24"/>
      <w:szCs w:val="24"/>
      <w:lang w:val="en-GB" w:eastAsia="en-US" w:bidi="ar-SA"/>
    </w:rPr>
  </w:style>
  <w:style w:type="character" w:customStyle="1" w:styleId="CharChar11">
    <w:name w:val="Char Char11"/>
    <w:rsid w:val="00EA5A06"/>
    <w:rPr>
      <w:sz w:val="24"/>
      <w:szCs w:val="24"/>
      <w:lang w:val="it-IT" w:eastAsia="it-IT" w:bidi="ar-SA"/>
    </w:rPr>
  </w:style>
  <w:style w:type="character" w:customStyle="1" w:styleId="FootnoteTextChar1">
    <w:name w:val="Footnote Text Char1"/>
    <w:aliases w:val="5_G Char,PP Char,Footnote Text Char Char"/>
    <w:link w:val="FootnoteText"/>
    <w:rsid w:val="00837CC7"/>
    <w:rPr>
      <w:sz w:val="18"/>
      <w:lang w:val="en-GB" w:eastAsia="en-US" w:bidi="ar-SA"/>
    </w:rPr>
  </w:style>
  <w:style w:type="character" w:customStyle="1" w:styleId="HeaderChar">
    <w:name w:val="Header Char"/>
    <w:aliases w:val="6_G Char"/>
    <w:link w:val="Header"/>
    <w:rsid w:val="00837CC7"/>
    <w:rPr>
      <w:b/>
      <w:sz w:val="18"/>
      <w:lang w:val="en-GB" w:eastAsia="en-US" w:bidi="ar-SA"/>
    </w:rPr>
  </w:style>
  <w:style w:type="paragraph" w:customStyle="1" w:styleId="NormalCentered">
    <w:name w:val="Normal Centered"/>
    <w:basedOn w:val="Normal"/>
    <w:rsid w:val="00FD29EB"/>
    <w:pPr>
      <w:suppressAutoHyphens w:val="0"/>
      <w:spacing w:before="120" w:after="120" w:line="288" w:lineRule="atLeast"/>
      <w:ind w:left="1134" w:hanging="1134"/>
      <w:jc w:val="center"/>
    </w:pPr>
    <w:rPr>
      <w:sz w:val="24"/>
    </w:rPr>
  </w:style>
  <w:style w:type="character" w:customStyle="1" w:styleId="FootnoteReference1">
    <w:name w:val="Footnote Reference1"/>
    <w:rsid w:val="00FD29EB"/>
    <w:rPr>
      <w:sz w:val="20"/>
      <w:vertAlign w:val="superscript"/>
    </w:rPr>
  </w:style>
  <w:style w:type="character" w:customStyle="1" w:styleId="HChGChar">
    <w:name w:val="_ H _Ch_G Char"/>
    <w:link w:val="HChG"/>
    <w:rsid w:val="00C91C84"/>
    <w:rPr>
      <w:b/>
      <w:sz w:val="28"/>
      <w:lang w:val="en-GB" w:eastAsia="en-US" w:bidi="ar-SA"/>
    </w:rPr>
  </w:style>
  <w:style w:type="paragraph" w:customStyle="1" w:styleId="Default">
    <w:name w:val="Default"/>
    <w:rsid w:val="0062106D"/>
    <w:pPr>
      <w:autoSpaceDE w:val="0"/>
      <w:autoSpaceDN w:val="0"/>
      <w:adjustRightInd w:val="0"/>
    </w:pPr>
    <w:rPr>
      <w:rFonts w:ascii="LJLOIP+TimesNewRoman" w:hAnsi="LJLOIP+TimesNewRoman" w:cs="LJLOIP+TimesNewRoman"/>
      <w:color w:val="000000"/>
      <w:sz w:val="24"/>
      <w:szCs w:val="24"/>
      <w:lang w:val="en-US" w:eastAsia="en-US"/>
    </w:rPr>
  </w:style>
  <w:style w:type="paragraph" w:styleId="BalloonText">
    <w:name w:val="Balloon Text"/>
    <w:basedOn w:val="Normal"/>
    <w:link w:val="BalloonTextChar"/>
    <w:rsid w:val="0083784A"/>
    <w:pPr>
      <w:spacing w:line="240" w:lineRule="auto"/>
    </w:pPr>
    <w:rPr>
      <w:rFonts w:ascii="Tahoma" w:hAnsi="Tahoma"/>
      <w:sz w:val="16"/>
      <w:szCs w:val="16"/>
      <w:lang w:val="x-none"/>
    </w:rPr>
  </w:style>
  <w:style w:type="character" w:customStyle="1" w:styleId="BalloonTextChar">
    <w:name w:val="Balloon Text Char"/>
    <w:link w:val="BalloonText"/>
    <w:rsid w:val="0083784A"/>
    <w:rPr>
      <w:rFonts w:ascii="Tahoma" w:hAnsi="Tahoma" w:cs="Tahoma"/>
      <w:sz w:val="16"/>
      <w:szCs w:val="16"/>
      <w:lang w:eastAsia="en-US"/>
    </w:rPr>
  </w:style>
  <w:style w:type="paragraph" w:customStyle="1" w:styleId="para">
    <w:name w:val="para"/>
    <w:basedOn w:val="SingleTxtG"/>
    <w:link w:val="paraChar"/>
    <w:qFormat/>
    <w:rsid w:val="00B8744E"/>
    <w:pPr>
      <w:ind w:left="2268" w:hanging="1134"/>
    </w:pPr>
    <w:rPr>
      <w:lang w:val="fr-CH"/>
    </w:rPr>
  </w:style>
  <w:style w:type="character" w:customStyle="1" w:styleId="paraChar">
    <w:name w:val="para Char"/>
    <w:link w:val="para"/>
    <w:rsid w:val="00B8744E"/>
    <w:rPr>
      <w:lang w:val="fr-CH" w:eastAsia="en-US"/>
    </w:rPr>
  </w:style>
  <w:style w:type="paragraph" w:customStyle="1" w:styleId="Text1">
    <w:name w:val="Text 1"/>
    <w:basedOn w:val="Normal"/>
    <w:rsid w:val="00AF102D"/>
    <w:pPr>
      <w:suppressAutoHyphens w:val="0"/>
      <w:spacing w:before="120" w:after="120" w:line="240" w:lineRule="auto"/>
      <w:ind w:left="851"/>
      <w:jc w:val="both"/>
    </w:pPr>
    <w:rPr>
      <w:sz w:val="24"/>
    </w:rPr>
  </w:style>
  <w:style w:type="paragraph" w:customStyle="1" w:styleId="ManualNumPar2">
    <w:name w:val="Manual NumPar 2"/>
    <w:basedOn w:val="Normal"/>
    <w:next w:val="Normal"/>
    <w:rsid w:val="00AF102D"/>
    <w:pPr>
      <w:suppressAutoHyphens w:val="0"/>
      <w:spacing w:before="120" w:after="120" w:line="240" w:lineRule="auto"/>
      <w:ind w:left="850" w:hanging="850"/>
      <w:jc w:val="both"/>
    </w:pPr>
    <w:rPr>
      <w:sz w:val="24"/>
      <w:szCs w:val="24"/>
      <w:lang w:eastAsia="de-DE"/>
    </w:rPr>
  </w:style>
  <w:style w:type="paragraph" w:customStyle="1" w:styleId="a">
    <w:name w:val="a)"/>
    <w:basedOn w:val="Normal"/>
    <w:qFormat/>
    <w:rsid w:val="00AE16F0"/>
    <w:pPr>
      <w:tabs>
        <w:tab w:val="decimal" w:pos="567"/>
      </w:tabs>
      <w:spacing w:after="120"/>
      <w:ind w:left="2835" w:right="1134" w:hanging="567"/>
      <w:jc w:val="both"/>
    </w:pPr>
    <w:rPr>
      <w:lang w:val="fr-CH"/>
    </w:rPr>
  </w:style>
  <w:style w:type="paragraph" w:customStyle="1" w:styleId="ParaNo">
    <w:name w:val="ParaNo."/>
    <w:basedOn w:val="Normal"/>
    <w:rsid w:val="00AE16F0"/>
    <w:pPr>
      <w:numPr>
        <w:numId w:val="20"/>
      </w:numPr>
      <w:tabs>
        <w:tab w:val="clear" w:pos="360"/>
      </w:tabs>
      <w:suppressAutoHyphens w:val="0"/>
      <w:spacing w:line="240" w:lineRule="auto"/>
    </w:pPr>
    <w:rPr>
      <w:sz w:val="24"/>
      <w:lang w:val="fr-FR"/>
    </w:rPr>
  </w:style>
  <w:style w:type="paragraph" w:styleId="CommentSubject">
    <w:name w:val="annotation subject"/>
    <w:basedOn w:val="CommentText"/>
    <w:next w:val="CommentText"/>
    <w:link w:val="CommentSubjectChar"/>
    <w:rsid w:val="007C4E68"/>
    <w:pPr>
      <w:spacing w:line="240" w:lineRule="auto"/>
    </w:pPr>
    <w:rPr>
      <w:b/>
      <w:bCs/>
    </w:rPr>
  </w:style>
  <w:style w:type="character" w:customStyle="1" w:styleId="CommentTextChar">
    <w:name w:val="Comment Text Char"/>
    <w:link w:val="CommentText"/>
    <w:rsid w:val="007C4E68"/>
    <w:rPr>
      <w:lang w:eastAsia="en-US"/>
    </w:rPr>
  </w:style>
  <w:style w:type="character" w:customStyle="1" w:styleId="CommentSubjectChar">
    <w:name w:val="Comment Subject Char"/>
    <w:link w:val="CommentSubject"/>
    <w:rsid w:val="007C4E68"/>
    <w:rPr>
      <w:b/>
      <w:bCs/>
      <w:lang w:eastAsia="en-US"/>
    </w:rPr>
  </w:style>
  <w:style w:type="paragraph" w:customStyle="1" w:styleId="Point2">
    <w:name w:val="Point 2"/>
    <w:basedOn w:val="Normal"/>
    <w:rsid w:val="001F05D7"/>
    <w:pPr>
      <w:suppressAutoHyphens w:val="0"/>
      <w:spacing w:before="120" w:after="120" w:line="240" w:lineRule="auto"/>
      <w:ind w:left="1984" w:hanging="567"/>
      <w:jc w:val="both"/>
    </w:pPr>
    <w:rPr>
      <w:sz w:val="24"/>
      <w:szCs w:val="24"/>
    </w:rPr>
  </w:style>
  <w:style w:type="paragraph" w:customStyle="1" w:styleId="StyleH23GLeft0781">
    <w:name w:val="Style _ H_2/3_G + Left:  0.78&quot;1"/>
    <w:basedOn w:val="H23G"/>
    <w:rsid w:val="00771F33"/>
    <w:pPr>
      <w:ind w:left="2304" w:right="1138" w:hanging="1166"/>
    </w:pPr>
    <w:rPr>
      <w:bCs/>
    </w:rPr>
  </w:style>
  <w:style w:type="paragraph" w:customStyle="1" w:styleId="t1jfr">
    <w:name w:val="t1_jfr"/>
    <w:basedOn w:val="Normal"/>
    <w:next w:val="Normal"/>
    <w:semiHidden/>
    <w:rsid w:val="0037169B"/>
    <w:pPr>
      <w:suppressAutoHyphens w:val="0"/>
      <w:spacing w:line="240" w:lineRule="auto"/>
      <w:ind w:left="567" w:right="731"/>
    </w:pPr>
    <w:rPr>
      <w:b/>
      <w:sz w:val="22"/>
      <w:u w:val="single"/>
      <w:lang w:val="fr-FR"/>
    </w:rPr>
  </w:style>
  <w:style w:type="paragraph" w:customStyle="1" w:styleId="Point0">
    <w:name w:val="Point 0"/>
    <w:basedOn w:val="Normal"/>
    <w:rsid w:val="0005211C"/>
    <w:pPr>
      <w:suppressAutoHyphens w:val="0"/>
      <w:spacing w:before="120" w:after="120" w:line="240" w:lineRule="auto"/>
      <w:ind w:left="850" w:hanging="850"/>
      <w:jc w:val="both"/>
    </w:pPr>
    <w:rPr>
      <w:sz w:val="24"/>
      <w:lang w:eastAsia="en-GB"/>
    </w:rPr>
  </w:style>
  <w:style w:type="character" w:customStyle="1" w:styleId="H23GChar">
    <w:name w:val="_ H_2/3_G Char"/>
    <w:link w:val="H23G"/>
    <w:rsid w:val="00552597"/>
    <w:rPr>
      <w:b/>
      <w:lang w:eastAsia="en-US"/>
    </w:rPr>
  </w:style>
  <w:style w:type="character" w:customStyle="1" w:styleId="SingleTxtGCar">
    <w:name w:val="_ Single Txt_G Car"/>
    <w:rsid w:val="00552597"/>
    <w:rPr>
      <w:lang w:val="en-GB" w:eastAsia="en-US" w:bidi="ar-SA"/>
    </w:rPr>
  </w:style>
  <w:style w:type="paragraph" w:customStyle="1" w:styleId="ManualNumPar1">
    <w:name w:val="Manual NumPar 1"/>
    <w:basedOn w:val="Normal"/>
    <w:next w:val="Text1"/>
    <w:rsid w:val="00427B7E"/>
    <w:pPr>
      <w:suppressAutoHyphens w:val="0"/>
      <w:spacing w:before="120" w:after="120" w:line="240" w:lineRule="auto"/>
      <w:ind w:left="851" w:hanging="851"/>
      <w:jc w:val="both"/>
    </w:pPr>
    <w:rPr>
      <w:sz w:val="24"/>
    </w:rPr>
  </w:style>
  <w:style w:type="paragraph" w:customStyle="1" w:styleId="Applicationdirecte">
    <w:name w:val="Application directe"/>
    <w:basedOn w:val="Normal"/>
    <w:next w:val="Normal"/>
    <w:semiHidden/>
    <w:rsid w:val="00D3710D"/>
    <w:pPr>
      <w:suppressAutoHyphens w:val="0"/>
      <w:spacing w:before="480" w:after="120" w:line="240" w:lineRule="auto"/>
      <w:jc w:val="both"/>
    </w:pPr>
    <w:rPr>
      <w:sz w:val="24"/>
      <w:lang w:eastAsia="en-GB"/>
    </w:rPr>
  </w:style>
  <w:style w:type="paragraph" w:customStyle="1" w:styleId="PointDouble0">
    <w:name w:val="PointDouble 0"/>
    <w:basedOn w:val="Normal"/>
    <w:semiHidden/>
    <w:rsid w:val="00895AF3"/>
    <w:pPr>
      <w:tabs>
        <w:tab w:val="left" w:pos="850"/>
      </w:tabs>
      <w:suppressAutoHyphens w:val="0"/>
      <w:spacing w:before="120" w:after="120" w:line="240" w:lineRule="auto"/>
      <w:ind w:left="1417" w:hanging="1417"/>
      <w:jc w:val="both"/>
    </w:pPr>
    <w:rPr>
      <w:sz w:val="24"/>
      <w:lang w:eastAsia="en-GB"/>
    </w:rPr>
  </w:style>
  <w:style w:type="character" w:customStyle="1" w:styleId="FooterChar1">
    <w:name w:val="Footer Char1"/>
    <w:aliases w:val="3_G Char1"/>
    <w:rsid w:val="00716F45"/>
    <w:rPr>
      <w:sz w:val="16"/>
      <w:lang w:val="en-GB" w:eastAsia="en-US" w:bidi="ar-SA"/>
    </w:rPr>
  </w:style>
  <w:style w:type="paragraph" w:customStyle="1" w:styleId="remjfr">
    <w:name w:val="rem_jfr"/>
    <w:basedOn w:val="Normal"/>
    <w:next w:val="Normal"/>
    <w:semiHidden/>
    <w:rsid w:val="007D6308"/>
    <w:pPr>
      <w:tabs>
        <w:tab w:val="left" w:pos="1701"/>
        <w:tab w:val="left" w:pos="3686"/>
      </w:tabs>
      <w:suppressAutoHyphens w:val="0"/>
      <w:spacing w:line="240" w:lineRule="auto"/>
      <w:ind w:left="1985" w:right="589" w:hanging="1134"/>
    </w:pPr>
    <w:rPr>
      <w:i/>
      <w:sz w:val="22"/>
      <w:lang w:val="fr-FR"/>
    </w:rPr>
  </w:style>
  <w:style w:type="paragraph" w:customStyle="1" w:styleId="GTRnormal2Car">
    <w:name w:val="GTR normal 2 Car"/>
    <w:basedOn w:val="Normal"/>
    <w:rsid w:val="007D6308"/>
    <w:pPr>
      <w:widowControl w:val="0"/>
      <w:tabs>
        <w:tab w:val="num" w:pos="595"/>
      </w:tabs>
      <w:suppressAutoHyphens w:val="0"/>
      <w:autoSpaceDE w:val="0"/>
      <w:autoSpaceDN w:val="0"/>
      <w:adjustRightInd w:val="0"/>
      <w:spacing w:after="240" w:line="240" w:lineRule="auto"/>
      <w:ind w:left="595" w:hanging="420"/>
    </w:pPr>
    <w:rPr>
      <w:rFonts w:ascii="Courier New" w:hAnsi="Courier New" w:cs="Courier New"/>
      <w:color w:val="000000"/>
    </w:rPr>
  </w:style>
  <w:style w:type="paragraph" w:customStyle="1" w:styleId="GRPEfauxtitre1">
    <w:name w:val="GRPE faux titre 1"/>
    <w:basedOn w:val="Normal"/>
    <w:next w:val="Normal"/>
    <w:rsid w:val="00E91BC8"/>
    <w:pPr>
      <w:tabs>
        <w:tab w:val="left" w:pos="1134"/>
      </w:tabs>
      <w:suppressAutoHyphens w:val="0"/>
      <w:spacing w:line="240" w:lineRule="auto"/>
      <w:ind w:left="1134" w:hanging="1134"/>
      <w:jc w:val="both"/>
      <w:outlineLvl w:val="0"/>
    </w:pPr>
    <w:rPr>
      <w:rFonts w:ascii="(Utiliser une police de caractè" w:eastAsia="MS Mincho" w:hAnsi="(Utiliser une police de caractè"/>
      <w:sz w:val="24"/>
      <w:szCs w:val="24"/>
      <w:lang w:eastAsia="ja-JP"/>
    </w:rPr>
  </w:style>
  <w:style w:type="character" w:customStyle="1" w:styleId="H1GChar">
    <w:name w:val="_ H_1_G Char"/>
    <w:link w:val="H1G"/>
    <w:rsid w:val="00735EE3"/>
    <w:rPr>
      <w:b/>
      <w:sz w:val="24"/>
      <w:lang w:eastAsia="en-US"/>
    </w:rPr>
  </w:style>
  <w:style w:type="table" w:customStyle="1" w:styleId="TableGrid20">
    <w:name w:val="Table Grid2"/>
    <w:basedOn w:val="TableNormal"/>
    <w:next w:val="TableGrid"/>
    <w:rsid w:val="000327CE"/>
    <w:pPr>
      <w:suppressAutoHyphens/>
      <w:spacing w:line="240" w:lineRule="atLeast"/>
    </w:pPr>
    <w:rPr>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914DCC"/>
    <w:pPr>
      <w:suppressAutoHyphens/>
      <w:spacing w:line="240" w:lineRule="atLeast"/>
    </w:pPr>
    <w:rPr>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AF7830"/>
    <w:pPr>
      <w:suppressAutoHyphens/>
      <w:spacing w:line="240" w:lineRule="atLeast"/>
    </w:pPr>
    <w:rPr>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
    <w:basedOn w:val="TableNormal"/>
    <w:next w:val="TableGrid"/>
    <w:rsid w:val="003740D8"/>
    <w:pPr>
      <w:suppressAutoHyphens/>
      <w:spacing w:line="240" w:lineRule="atLeast"/>
    </w:pPr>
    <w:rPr>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rsid w:val="00111254"/>
    <w:pPr>
      <w:suppressAutoHyphens/>
      <w:spacing w:line="240" w:lineRule="atLeast"/>
    </w:pPr>
    <w:rPr>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ret1">
    <w:name w:val="Tiret 1"/>
    <w:basedOn w:val="Normal"/>
    <w:semiHidden/>
    <w:rsid w:val="006242C0"/>
    <w:pPr>
      <w:tabs>
        <w:tab w:val="num" w:pos="709"/>
      </w:tabs>
      <w:suppressAutoHyphens w:val="0"/>
      <w:spacing w:before="120" w:after="120" w:line="240" w:lineRule="auto"/>
      <w:ind w:left="709" w:hanging="709"/>
      <w:jc w:val="both"/>
    </w:pPr>
    <w:rPr>
      <w:sz w:val="24"/>
      <w:lang w:eastAsia="en-GB"/>
    </w:rPr>
  </w:style>
  <w:style w:type="character" w:styleId="PlaceholderText">
    <w:name w:val="Placeholder Text"/>
    <w:basedOn w:val="DefaultParagraphFont"/>
    <w:uiPriority w:val="99"/>
    <w:semiHidden/>
    <w:rsid w:val="002D0576"/>
    <w:rPr>
      <w:color w:val="808080"/>
    </w:rPr>
  </w:style>
  <w:style w:type="paragraph" w:styleId="Revision">
    <w:name w:val="Revision"/>
    <w:hidden/>
    <w:uiPriority w:val="99"/>
    <w:semiHidden/>
    <w:rsid w:val="00720064"/>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815679">
      <w:bodyDiv w:val="1"/>
      <w:marLeft w:val="0"/>
      <w:marRight w:val="0"/>
      <w:marTop w:val="0"/>
      <w:marBottom w:val="0"/>
      <w:divBdr>
        <w:top w:val="none" w:sz="0" w:space="0" w:color="auto"/>
        <w:left w:val="none" w:sz="0" w:space="0" w:color="auto"/>
        <w:bottom w:val="none" w:sz="0" w:space="0" w:color="auto"/>
        <w:right w:val="none" w:sz="0" w:space="0" w:color="auto"/>
      </w:divBdr>
    </w:div>
    <w:div w:id="182864646">
      <w:bodyDiv w:val="1"/>
      <w:marLeft w:val="0"/>
      <w:marRight w:val="0"/>
      <w:marTop w:val="0"/>
      <w:marBottom w:val="0"/>
      <w:divBdr>
        <w:top w:val="none" w:sz="0" w:space="0" w:color="auto"/>
        <w:left w:val="none" w:sz="0" w:space="0" w:color="auto"/>
        <w:bottom w:val="none" w:sz="0" w:space="0" w:color="auto"/>
        <w:right w:val="none" w:sz="0" w:space="0" w:color="auto"/>
      </w:divBdr>
      <w:divsChild>
        <w:div w:id="759565761">
          <w:marLeft w:val="0"/>
          <w:marRight w:val="0"/>
          <w:marTop w:val="0"/>
          <w:marBottom w:val="0"/>
          <w:divBdr>
            <w:top w:val="none" w:sz="0" w:space="0" w:color="auto"/>
            <w:left w:val="none" w:sz="0" w:space="0" w:color="auto"/>
            <w:bottom w:val="none" w:sz="0" w:space="0" w:color="auto"/>
            <w:right w:val="none" w:sz="0" w:space="0" w:color="auto"/>
          </w:divBdr>
        </w:div>
        <w:div w:id="967050813">
          <w:marLeft w:val="0"/>
          <w:marRight w:val="0"/>
          <w:marTop w:val="0"/>
          <w:marBottom w:val="0"/>
          <w:divBdr>
            <w:top w:val="none" w:sz="0" w:space="0" w:color="auto"/>
            <w:left w:val="none" w:sz="0" w:space="0" w:color="auto"/>
            <w:bottom w:val="none" w:sz="0" w:space="0" w:color="auto"/>
            <w:right w:val="none" w:sz="0" w:space="0" w:color="auto"/>
          </w:divBdr>
        </w:div>
        <w:div w:id="1731148287">
          <w:marLeft w:val="0"/>
          <w:marRight w:val="0"/>
          <w:marTop w:val="0"/>
          <w:marBottom w:val="0"/>
          <w:divBdr>
            <w:top w:val="none" w:sz="0" w:space="0" w:color="auto"/>
            <w:left w:val="none" w:sz="0" w:space="0" w:color="auto"/>
            <w:bottom w:val="none" w:sz="0" w:space="0" w:color="auto"/>
            <w:right w:val="none" w:sz="0" w:space="0" w:color="auto"/>
          </w:divBdr>
        </w:div>
      </w:divsChild>
    </w:div>
    <w:div w:id="288248486">
      <w:bodyDiv w:val="1"/>
      <w:marLeft w:val="0"/>
      <w:marRight w:val="0"/>
      <w:marTop w:val="0"/>
      <w:marBottom w:val="0"/>
      <w:divBdr>
        <w:top w:val="none" w:sz="0" w:space="0" w:color="auto"/>
        <w:left w:val="none" w:sz="0" w:space="0" w:color="auto"/>
        <w:bottom w:val="none" w:sz="0" w:space="0" w:color="auto"/>
        <w:right w:val="none" w:sz="0" w:space="0" w:color="auto"/>
      </w:divBdr>
      <w:divsChild>
        <w:div w:id="1058357495">
          <w:marLeft w:val="0"/>
          <w:marRight w:val="0"/>
          <w:marTop w:val="0"/>
          <w:marBottom w:val="0"/>
          <w:divBdr>
            <w:top w:val="none" w:sz="0" w:space="0" w:color="auto"/>
            <w:left w:val="none" w:sz="0" w:space="0" w:color="auto"/>
            <w:bottom w:val="none" w:sz="0" w:space="0" w:color="auto"/>
            <w:right w:val="none" w:sz="0" w:space="0" w:color="auto"/>
          </w:divBdr>
        </w:div>
        <w:div w:id="1473447216">
          <w:marLeft w:val="0"/>
          <w:marRight w:val="0"/>
          <w:marTop w:val="0"/>
          <w:marBottom w:val="0"/>
          <w:divBdr>
            <w:top w:val="none" w:sz="0" w:space="0" w:color="auto"/>
            <w:left w:val="none" w:sz="0" w:space="0" w:color="auto"/>
            <w:bottom w:val="none" w:sz="0" w:space="0" w:color="auto"/>
            <w:right w:val="none" w:sz="0" w:space="0" w:color="auto"/>
          </w:divBdr>
        </w:div>
        <w:div w:id="2053193567">
          <w:marLeft w:val="0"/>
          <w:marRight w:val="0"/>
          <w:marTop w:val="0"/>
          <w:marBottom w:val="0"/>
          <w:divBdr>
            <w:top w:val="none" w:sz="0" w:space="0" w:color="auto"/>
            <w:left w:val="none" w:sz="0" w:space="0" w:color="auto"/>
            <w:bottom w:val="none" w:sz="0" w:space="0" w:color="auto"/>
            <w:right w:val="none" w:sz="0" w:space="0" w:color="auto"/>
          </w:divBdr>
        </w:div>
      </w:divsChild>
    </w:div>
    <w:div w:id="308873600">
      <w:bodyDiv w:val="1"/>
      <w:marLeft w:val="0"/>
      <w:marRight w:val="0"/>
      <w:marTop w:val="0"/>
      <w:marBottom w:val="0"/>
      <w:divBdr>
        <w:top w:val="none" w:sz="0" w:space="0" w:color="auto"/>
        <w:left w:val="none" w:sz="0" w:space="0" w:color="auto"/>
        <w:bottom w:val="none" w:sz="0" w:space="0" w:color="auto"/>
        <w:right w:val="none" w:sz="0" w:space="0" w:color="auto"/>
      </w:divBdr>
    </w:div>
    <w:div w:id="335156463">
      <w:bodyDiv w:val="1"/>
      <w:marLeft w:val="0"/>
      <w:marRight w:val="0"/>
      <w:marTop w:val="0"/>
      <w:marBottom w:val="0"/>
      <w:divBdr>
        <w:top w:val="none" w:sz="0" w:space="0" w:color="auto"/>
        <w:left w:val="none" w:sz="0" w:space="0" w:color="auto"/>
        <w:bottom w:val="none" w:sz="0" w:space="0" w:color="auto"/>
        <w:right w:val="none" w:sz="0" w:space="0" w:color="auto"/>
      </w:divBdr>
    </w:div>
    <w:div w:id="423460358">
      <w:bodyDiv w:val="1"/>
      <w:marLeft w:val="0"/>
      <w:marRight w:val="0"/>
      <w:marTop w:val="0"/>
      <w:marBottom w:val="0"/>
      <w:divBdr>
        <w:top w:val="none" w:sz="0" w:space="0" w:color="auto"/>
        <w:left w:val="none" w:sz="0" w:space="0" w:color="auto"/>
        <w:bottom w:val="none" w:sz="0" w:space="0" w:color="auto"/>
        <w:right w:val="none" w:sz="0" w:space="0" w:color="auto"/>
      </w:divBdr>
    </w:div>
    <w:div w:id="425228333">
      <w:bodyDiv w:val="1"/>
      <w:marLeft w:val="0"/>
      <w:marRight w:val="0"/>
      <w:marTop w:val="0"/>
      <w:marBottom w:val="0"/>
      <w:divBdr>
        <w:top w:val="none" w:sz="0" w:space="0" w:color="auto"/>
        <w:left w:val="none" w:sz="0" w:space="0" w:color="auto"/>
        <w:bottom w:val="none" w:sz="0" w:space="0" w:color="auto"/>
        <w:right w:val="none" w:sz="0" w:space="0" w:color="auto"/>
      </w:divBdr>
    </w:div>
    <w:div w:id="457072670">
      <w:bodyDiv w:val="1"/>
      <w:marLeft w:val="0"/>
      <w:marRight w:val="0"/>
      <w:marTop w:val="0"/>
      <w:marBottom w:val="0"/>
      <w:divBdr>
        <w:top w:val="none" w:sz="0" w:space="0" w:color="auto"/>
        <w:left w:val="none" w:sz="0" w:space="0" w:color="auto"/>
        <w:bottom w:val="none" w:sz="0" w:space="0" w:color="auto"/>
        <w:right w:val="none" w:sz="0" w:space="0" w:color="auto"/>
      </w:divBdr>
    </w:div>
    <w:div w:id="544872111">
      <w:bodyDiv w:val="1"/>
      <w:marLeft w:val="0"/>
      <w:marRight w:val="0"/>
      <w:marTop w:val="0"/>
      <w:marBottom w:val="0"/>
      <w:divBdr>
        <w:top w:val="none" w:sz="0" w:space="0" w:color="auto"/>
        <w:left w:val="none" w:sz="0" w:space="0" w:color="auto"/>
        <w:bottom w:val="none" w:sz="0" w:space="0" w:color="auto"/>
        <w:right w:val="none" w:sz="0" w:space="0" w:color="auto"/>
      </w:divBdr>
    </w:div>
    <w:div w:id="618532778">
      <w:bodyDiv w:val="1"/>
      <w:marLeft w:val="0"/>
      <w:marRight w:val="0"/>
      <w:marTop w:val="0"/>
      <w:marBottom w:val="0"/>
      <w:divBdr>
        <w:top w:val="none" w:sz="0" w:space="0" w:color="auto"/>
        <w:left w:val="none" w:sz="0" w:space="0" w:color="auto"/>
        <w:bottom w:val="none" w:sz="0" w:space="0" w:color="auto"/>
        <w:right w:val="none" w:sz="0" w:space="0" w:color="auto"/>
      </w:divBdr>
    </w:div>
    <w:div w:id="687605544">
      <w:bodyDiv w:val="1"/>
      <w:marLeft w:val="0"/>
      <w:marRight w:val="0"/>
      <w:marTop w:val="0"/>
      <w:marBottom w:val="0"/>
      <w:divBdr>
        <w:top w:val="none" w:sz="0" w:space="0" w:color="auto"/>
        <w:left w:val="none" w:sz="0" w:space="0" w:color="auto"/>
        <w:bottom w:val="none" w:sz="0" w:space="0" w:color="auto"/>
        <w:right w:val="none" w:sz="0" w:space="0" w:color="auto"/>
      </w:divBdr>
    </w:div>
    <w:div w:id="739836941">
      <w:bodyDiv w:val="1"/>
      <w:marLeft w:val="0"/>
      <w:marRight w:val="0"/>
      <w:marTop w:val="0"/>
      <w:marBottom w:val="0"/>
      <w:divBdr>
        <w:top w:val="none" w:sz="0" w:space="0" w:color="auto"/>
        <w:left w:val="none" w:sz="0" w:space="0" w:color="auto"/>
        <w:bottom w:val="none" w:sz="0" w:space="0" w:color="auto"/>
        <w:right w:val="none" w:sz="0" w:space="0" w:color="auto"/>
      </w:divBdr>
    </w:div>
    <w:div w:id="809640147">
      <w:bodyDiv w:val="1"/>
      <w:marLeft w:val="0"/>
      <w:marRight w:val="0"/>
      <w:marTop w:val="0"/>
      <w:marBottom w:val="0"/>
      <w:divBdr>
        <w:top w:val="none" w:sz="0" w:space="0" w:color="auto"/>
        <w:left w:val="none" w:sz="0" w:space="0" w:color="auto"/>
        <w:bottom w:val="none" w:sz="0" w:space="0" w:color="auto"/>
        <w:right w:val="none" w:sz="0" w:space="0" w:color="auto"/>
      </w:divBdr>
    </w:div>
    <w:div w:id="821387755">
      <w:bodyDiv w:val="1"/>
      <w:marLeft w:val="0"/>
      <w:marRight w:val="0"/>
      <w:marTop w:val="0"/>
      <w:marBottom w:val="0"/>
      <w:divBdr>
        <w:top w:val="none" w:sz="0" w:space="0" w:color="auto"/>
        <w:left w:val="none" w:sz="0" w:space="0" w:color="auto"/>
        <w:bottom w:val="none" w:sz="0" w:space="0" w:color="auto"/>
        <w:right w:val="none" w:sz="0" w:space="0" w:color="auto"/>
      </w:divBdr>
    </w:div>
    <w:div w:id="941650377">
      <w:bodyDiv w:val="1"/>
      <w:marLeft w:val="0"/>
      <w:marRight w:val="0"/>
      <w:marTop w:val="0"/>
      <w:marBottom w:val="0"/>
      <w:divBdr>
        <w:top w:val="none" w:sz="0" w:space="0" w:color="auto"/>
        <w:left w:val="none" w:sz="0" w:space="0" w:color="auto"/>
        <w:bottom w:val="none" w:sz="0" w:space="0" w:color="auto"/>
        <w:right w:val="none" w:sz="0" w:space="0" w:color="auto"/>
      </w:divBdr>
    </w:div>
    <w:div w:id="991375438">
      <w:bodyDiv w:val="1"/>
      <w:marLeft w:val="0"/>
      <w:marRight w:val="0"/>
      <w:marTop w:val="0"/>
      <w:marBottom w:val="0"/>
      <w:divBdr>
        <w:top w:val="none" w:sz="0" w:space="0" w:color="auto"/>
        <w:left w:val="none" w:sz="0" w:space="0" w:color="auto"/>
        <w:bottom w:val="none" w:sz="0" w:space="0" w:color="auto"/>
        <w:right w:val="none" w:sz="0" w:space="0" w:color="auto"/>
      </w:divBdr>
    </w:div>
    <w:div w:id="1078746269">
      <w:bodyDiv w:val="1"/>
      <w:marLeft w:val="0"/>
      <w:marRight w:val="0"/>
      <w:marTop w:val="0"/>
      <w:marBottom w:val="0"/>
      <w:divBdr>
        <w:top w:val="none" w:sz="0" w:space="0" w:color="auto"/>
        <w:left w:val="none" w:sz="0" w:space="0" w:color="auto"/>
        <w:bottom w:val="none" w:sz="0" w:space="0" w:color="auto"/>
        <w:right w:val="none" w:sz="0" w:space="0" w:color="auto"/>
      </w:divBdr>
    </w:div>
    <w:div w:id="1109856997">
      <w:bodyDiv w:val="1"/>
      <w:marLeft w:val="0"/>
      <w:marRight w:val="0"/>
      <w:marTop w:val="0"/>
      <w:marBottom w:val="0"/>
      <w:divBdr>
        <w:top w:val="none" w:sz="0" w:space="0" w:color="auto"/>
        <w:left w:val="none" w:sz="0" w:space="0" w:color="auto"/>
        <w:bottom w:val="none" w:sz="0" w:space="0" w:color="auto"/>
        <w:right w:val="none" w:sz="0" w:space="0" w:color="auto"/>
      </w:divBdr>
    </w:div>
    <w:div w:id="1316060814">
      <w:bodyDiv w:val="1"/>
      <w:marLeft w:val="0"/>
      <w:marRight w:val="0"/>
      <w:marTop w:val="0"/>
      <w:marBottom w:val="0"/>
      <w:divBdr>
        <w:top w:val="none" w:sz="0" w:space="0" w:color="auto"/>
        <w:left w:val="none" w:sz="0" w:space="0" w:color="auto"/>
        <w:bottom w:val="none" w:sz="0" w:space="0" w:color="auto"/>
        <w:right w:val="none" w:sz="0" w:space="0" w:color="auto"/>
      </w:divBdr>
    </w:div>
    <w:div w:id="1328822818">
      <w:bodyDiv w:val="1"/>
      <w:marLeft w:val="0"/>
      <w:marRight w:val="0"/>
      <w:marTop w:val="0"/>
      <w:marBottom w:val="0"/>
      <w:divBdr>
        <w:top w:val="none" w:sz="0" w:space="0" w:color="auto"/>
        <w:left w:val="none" w:sz="0" w:space="0" w:color="auto"/>
        <w:bottom w:val="none" w:sz="0" w:space="0" w:color="auto"/>
        <w:right w:val="none" w:sz="0" w:space="0" w:color="auto"/>
      </w:divBdr>
    </w:div>
    <w:div w:id="1385786224">
      <w:bodyDiv w:val="1"/>
      <w:marLeft w:val="0"/>
      <w:marRight w:val="0"/>
      <w:marTop w:val="0"/>
      <w:marBottom w:val="0"/>
      <w:divBdr>
        <w:top w:val="none" w:sz="0" w:space="0" w:color="auto"/>
        <w:left w:val="none" w:sz="0" w:space="0" w:color="auto"/>
        <w:bottom w:val="none" w:sz="0" w:space="0" w:color="auto"/>
        <w:right w:val="none" w:sz="0" w:space="0" w:color="auto"/>
      </w:divBdr>
    </w:div>
    <w:div w:id="1474717798">
      <w:bodyDiv w:val="1"/>
      <w:marLeft w:val="0"/>
      <w:marRight w:val="0"/>
      <w:marTop w:val="0"/>
      <w:marBottom w:val="0"/>
      <w:divBdr>
        <w:top w:val="none" w:sz="0" w:space="0" w:color="auto"/>
        <w:left w:val="none" w:sz="0" w:space="0" w:color="auto"/>
        <w:bottom w:val="none" w:sz="0" w:space="0" w:color="auto"/>
        <w:right w:val="none" w:sz="0" w:space="0" w:color="auto"/>
      </w:divBdr>
    </w:div>
    <w:div w:id="1477995372">
      <w:bodyDiv w:val="1"/>
      <w:marLeft w:val="0"/>
      <w:marRight w:val="0"/>
      <w:marTop w:val="0"/>
      <w:marBottom w:val="0"/>
      <w:divBdr>
        <w:top w:val="none" w:sz="0" w:space="0" w:color="auto"/>
        <w:left w:val="none" w:sz="0" w:space="0" w:color="auto"/>
        <w:bottom w:val="none" w:sz="0" w:space="0" w:color="auto"/>
        <w:right w:val="none" w:sz="0" w:space="0" w:color="auto"/>
      </w:divBdr>
    </w:div>
    <w:div w:id="1496994407">
      <w:bodyDiv w:val="1"/>
      <w:marLeft w:val="0"/>
      <w:marRight w:val="0"/>
      <w:marTop w:val="0"/>
      <w:marBottom w:val="0"/>
      <w:divBdr>
        <w:top w:val="none" w:sz="0" w:space="0" w:color="auto"/>
        <w:left w:val="none" w:sz="0" w:space="0" w:color="auto"/>
        <w:bottom w:val="none" w:sz="0" w:space="0" w:color="auto"/>
        <w:right w:val="none" w:sz="0" w:space="0" w:color="auto"/>
      </w:divBdr>
    </w:div>
    <w:div w:id="1504736447">
      <w:bodyDiv w:val="1"/>
      <w:marLeft w:val="0"/>
      <w:marRight w:val="0"/>
      <w:marTop w:val="0"/>
      <w:marBottom w:val="0"/>
      <w:divBdr>
        <w:top w:val="none" w:sz="0" w:space="0" w:color="auto"/>
        <w:left w:val="none" w:sz="0" w:space="0" w:color="auto"/>
        <w:bottom w:val="none" w:sz="0" w:space="0" w:color="auto"/>
        <w:right w:val="none" w:sz="0" w:space="0" w:color="auto"/>
      </w:divBdr>
    </w:div>
    <w:div w:id="1709985235">
      <w:bodyDiv w:val="1"/>
      <w:marLeft w:val="0"/>
      <w:marRight w:val="0"/>
      <w:marTop w:val="0"/>
      <w:marBottom w:val="0"/>
      <w:divBdr>
        <w:top w:val="none" w:sz="0" w:space="0" w:color="auto"/>
        <w:left w:val="none" w:sz="0" w:space="0" w:color="auto"/>
        <w:bottom w:val="none" w:sz="0" w:space="0" w:color="auto"/>
        <w:right w:val="none" w:sz="0" w:space="0" w:color="auto"/>
      </w:divBdr>
    </w:div>
    <w:div w:id="1746342576">
      <w:bodyDiv w:val="1"/>
      <w:marLeft w:val="0"/>
      <w:marRight w:val="0"/>
      <w:marTop w:val="0"/>
      <w:marBottom w:val="0"/>
      <w:divBdr>
        <w:top w:val="none" w:sz="0" w:space="0" w:color="auto"/>
        <w:left w:val="none" w:sz="0" w:space="0" w:color="auto"/>
        <w:bottom w:val="none" w:sz="0" w:space="0" w:color="auto"/>
        <w:right w:val="none" w:sz="0" w:space="0" w:color="auto"/>
      </w:divBdr>
    </w:div>
    <w:div w:id="1825468442">
      <w:bodyDiv w:val="1"/>
      <w:marLeft w:val="0"/>
      <w:marRight w:val="0"/>
      <w:marTop w:val="0"/>
      <w:marBottom w:val="0"/>
      <w:divBdr>
        <w:top w:val="none" w:sz="0" w:space="0" w:color="auto"/>
        <w:left w:val="none" w:sz="0" w:space="0" w:color="auto"/>
        <w:bottom w:val="none" w:sz="0" w:space="0" w:color="auto"/>
        <w:right w:val="none" w:sz="0" w:space="0" w:color="auto"/>
      </w:divBdr>
      <w:divsChild>
        <w:div w:id="220332237">
          <w:marLeft w:val="0"/>
          <w:marRight w:val="0"/>
          <w:marTop w:val="0"/>
          <w:marBottom w:val="0"/>
          <w:divBdr>
            <w:top w:val="none" w:sz="0" w:space="0" w:color="auto"/>
            <w:left w:val="none" w:sz="0" w:space="0" w:color="auto"/>
            <w:bottom w:val="none" w:sz="0" w:space="0" w:color="auto"/>
            <w:right w:val="none" w:sz="0" w:space="0" w:color="auto"/>
          </w:divBdr>
        </w:div>
        <w:div w:id="241960174">
          <w:marLeft w:val="0"/>
          <w:marRight w:val="0"/>
          <w:marTop w:val="0"/>
          <w:marBottom w:val="0"/>
          <w:divBdr>
            <w:top w:val="none" w:sz="0" w:space="0" w:color="auto"/>
            <w:left w:val="none" w:sz="0" w:space="0" w:color="auto"/>
            <w:bottom w:val="none" w:sz="0" w:space="0" w:color="auto"/>
            <w:right w:val="none" w:sz="0" w:space="0" w:color="auto"/>
          </w:divBdr>
        </w:div>
        <w:div w:id="260836908">
          <w:marLeft w:val="0"/>
          <w:marRight w:val="0"/>
          <w:marTop w:val="0"/>
          <w:marBottom w:val="0"/>
          <w:divBdr>
            <w:top w:val="none" w:sz="0" w:space="0" w:color="auto"/>
            <w:left w:val="none" w:sz="0" w:space="0" w:color="auto"/>
            <w:bottom w:val="none" w:sz="0" w:space="0" w:color="auto"/>
            <w:right w:val="none" w:sz="0" w:space="0" w:color="auto"/>
          </w:divBdr>
        </w:div>
        <w:div w:id="398015620">
          <w:marLeft w:val="0"/>
          <w:marRight w:val="0"/>
          <w:marTop w:val="0"/>
          <w:marBottom w:val="0"/>
          <w:divBdr>
            <w:top w:val="none" w:sz="0" w:space="0" w:color="auto"/>
            <w:left w:val="none" w:sz="0" w:space="0" w:color="auto"/>
            <w:bottom w:val="none" w:sz="0" w:space="0" w:color="auto"/>
            <w:right w:val="none" w:sz="0" w:space="0" w:color="auto"/>
          </w:divBdr>
        </w:div>
        <w:div w:id="495346470">
          <w:marLeft w:val="0"/>
          <w:marRight w:val="0"/>
          <w:marTop w:val="0"/>
          <w:marBottom w:val="0"/>
          <w:divBdr>
            <w:top w:val="none" w:sz="0" w:space="0" w:color="auto"/>
            <w:left w:val="none" w:sz="0" w:space="0" w:color="auto"/>
            <w:bottom w:val="none" w:sz="0" w:space="0" w:color="auto"/>
            <w:right w:val="none" w:sz="0" w:space="0" w:color="auto"/>
          </w:divBdr>
        </w:div>
        <w:div w:id="524562325">
          <w:marLeft w:val="0"/>
          <w:marRight w:val="0"/>
          <w:marTop w:val="0"/>
          <w:marBottom w:val="0"/>
          <w:divBdr>
            <w:top w:val="none" w:sz="0" w:space="0" w:color="auto"/>
            <w:left w:val="none" w:sz="0" w:space="0" w:color="auto"/>
            <w:bottom w:val="none" w:sz="0" w:space="0" w:color="auto"/>
            <w:right w:val="none" w:sz="0" w:space="0" w:color="auto"/>
          </w:divBdr>
        </w:div>
        <w:div w:id="655063886">
          <w:marLeft w:val="0"/>
          <w:marRight w:val="0"/>
          <w:marTop w:val="0"/>
          <w:marBottom w:val="0"/>
          <w:divBdr>
            <w:top w:val="none" w:sz="0" w:space="0" w:color="auto"/>
            <w:left w:val="none" w:sz="0" w:space="0" w:color="auto"/>
            <w:bottom w:val="none" w:sz="0" w:space="0" w:color="auto"/>
            <w:right w:val="none" w:sz="0" w:space="0" w:color="auto"/>
          </w:divBdr>
        </w:div>
        <w:div w:id="686559979">
          <w:marLeft w:val="0"/>
          <w:marRight w:val="0"/>
          <w:marTop w:val="0"/>
          <w:marBottom w:val="0"/>
          <w:divBdr>
            <w:top w:val="none" w:sz="0" w:space="0" w:color="auto"/>
            <w:left w:val="none" w:sz="0" w:space="0" w:color="auto"/>
            <w:bottom w:val="none" w:sz="0" w:space="0" w:color="auto"/>
            <w:right w:val="none" w:sz="0" w:space="0" w:color="auto"/>
          </w:divBdr>
        </w:div>
        <w:div w:id="697121065">
          <w:marLeft w:val="0"/>
          <w:marRight w:val="0"/>
          <w:marTop w:val="0"/>
          <w:marBottom w:val="0"/>
          <w:divBdr>
            <w:top w:val="none" w:sz="0" w:space="0" w:color="auto"/>
            <w:left w:val="none" w:sz="0" w:space="0" w:color="auto"/>
            <w:bottom w:val="none" w:sz="0" w:space="0" w:color="auto"/>
            <w:right w:val="none" w:sz="0" w:space="0" w:color="auto"/>
          </w:divBdr>
        </w:div>
        <w:div w:id="751699920">
          <w:marLeft w:val="0"/>
          <w:marRight w:val="0"/>
          <w:marTop w:val="0"/>
          <w:marBottom w:val="0"/>
          <w:divBdr>
            <w:top w:val="none" w:sz="0" w:space="0" w:color="auto"/>
            <w:left w:val="none" w:sz="0" w:space="0" w:color="auto"/>
            <w:bottom w:val="none" w:sz="0" w:space="0" w:color="auto"/>
            <w:right w:val="none" w:sz="0" w:space="0" w:color="auto"/>
          </w:divBdr>
        </w:div>
        <w:div w:id="757213314">
          <w:marLeft w:val="0"/>
          <w:marRight w:val="0"/>
          <w:marTop w:val="0"/>
          <w:marBottom w:val="0"/>
          <w:divBdr>
            <w:top w:val="none" w:sz="0" w:space="0" w:color="auto"/>
            <w:left w:val="none" w:sz="0" w:space="0" w:color="auto"/>
            <w:bottom w:val="none" w:sz="0" w:space="0" w:color="auto"/>
            <w:right w:val="none" w:sz="0" w:space="0" w:color="auto"/>
          </w:divBdr>
        </w:div>
        <w:div w:id="758603450">
          <w:marLeft w:val="0"/>
          <w:marRight w:val="0"/>
          <w:marTop w:val="0"/>
          <w:marBottom w:val="0"/>
          <w:divBdr>
            <w:top w:val="none" w:sz="0" w:space="0" w:color="auto"/>
            <w:left w:val="none" w:sz="0" w:space="0" w:color="auto"/>
            <w:bottom w:val="none" w:sz="0" w:space="0" w:color="auto"/>
            <w:right w:val="none" w:sz="0" w:space="0" w:color="auto"/>
          </w:divBdr>
        </w:div>
        <w:div w:id="764616568">
          <w:marLeft w:val="0"/>
          <w:marRight w:val="0"/>
          <w:marTop w:val="0"/>
          <w:marBottom w:val="0"/>
          <w:divBdr>
            <w:top w:val="none" w:sz="0" w:space="0" w:color="auto"/>
            <w:left w:val="none" w:sz="0" w:space="0" w:color="auto"/>
            <w:bottom w:val="none" w:sz="0" w:space="0" w:color="auto"/>
            <w:right w:val="none" w:sz="0" w:space="0" w:color="auto"/>
          </w:divBdr>
        </w:div>
        <w:div w:id="819347358">
          <w:marLeft w:val="0"/>
          <w:marRight w:val="0"/>
          <w:marTop w:val="0"/>
          <w:marBottom w:val="0"/>
          <w:divBdr>
            <w:top w:val="none" w:sz="0" w:space="0" w:color="auto"/>
            <w:left w:val="none" w:sz="0" w:space="0" w:color="auto"/>
            <w:bottom w:val="none" w:sz="0" w:space="0" w:color="auto"/>
            <w:right w:val="none" w:sz="0" w:space="0" w:color="auto"/>
          </w:divBdr>
        </w:div>
        <w:div w:id="878591938">
          <w:marLeft w:val="0"/>
          <w:marRight w:val="0"/>
          <w:marTop w:val="0"/>
          <w:marBottom w:val="0"/>
          <w:divBdr>
            <w:top w:val="none" w:sz="0" w:space="0" w:color="auto"/>
            <w:left w:val="none" w:sz="0" w:space="0" w:color="auto"/>
            <w:bottom w:val="none" w:sz="0" w:space="0" w:color="auto"/>
            <w:right w:val="none" w:sz="0" w:space="0" w:color="auto"/>
          </w:divBdr>
        </w:div>
        <w:div w:id="884681816">
          <w:marLeft w:val="0"/>
          <w:marRight w:val="0"/>
          <w:marTop w:val="0"/>
          <w:marBottom w:val="0"/>
          <w:divBdr>
            <w:top w:val="none" w:sz="0" w:space="0" w:color="auto"/>
            <w:left w:val="none" w:sz="0" w:space="0" w:color="auto"/>
            <w:bottom w:val="none" w:sz="0" w:space="0" w:color="auto"/>
            <w:right w:val="none" w:sz="0" w:space="0" w:color="auto"/>
          </w:divBdr>
        </w:div>
        <w:div w:id="964696748">
          <w:marLeft w:val="0"/>
          <w:marRight w:val="0"/>
          <w:marTop w:val="0"/>
          <w:marBottom w:val="0"/>
          <w:divBdr>
            <w:top w:val="none" w:sz="0" w:space="0" w:color="auto"/>
            <w:left w:val="none" w:sz="0" w:space="0" w:color="auto"/>
            <w:bottom w:val="none" w:sz="0" w:space="0" w:color="auto"/>
            <w:right w:val="none" w:sz="0" w:space="0" w:color="auto"/>
          </w:divBdr>
        </w:div>
        <w:div w:id="984047955">
          <w:marLeft w:val="0"/>
          <w:marRight w:val="0"/>
          <w:marTop w:val="0"/>
          <w:marBottom w:val="0"/>
          <w:divBdr>
            <w:top w:val="none" w:sz="0" w:space="0" w:color="auto"/>
            <w:left w:val="none" w:sz="0" w:space="0" w:color="auto"/>
            <w:bottom w:val="none" w:sz="0" w:space="0" w:color="auto"/>
            <w:right w:val="none" w:sz="0" w:space="0" w:color="auto"/>
          </w:divBdr>
        </w:div>
        <w:div w:id="986738466">
          <w:marLeft w:val="0"/>
          <w:marRight w:val="0"/>
          <w:marTop w:val="0"/>
          <w:marBottom w:val="0"/>
          <w:divBdr>
            <w:top w:val="none" w:sz="0" w:space="0" w:color="auto"/>
            <w:left w:val="none" w:sz="0" w:space="0" w:color="auto"/>
            <w:bottom w:val="none" w:sz="0" w:space="0" w:color="auto"/>
            <w:right w:val="none" w:sz="0" w:space="0" w:color="auto"/>
          </w:divBdr>
        </w:div>
        <w:div w:id="1094208529">
          <w:marLeft w:val="0"/>
          <w:marRight w:val="0"/>
          <w:marTop w:val="0"/>
          <w:marBottom w:val="0"/>
          <w:divBdr>
            <w:top w:val="none" w:sz="0" w:space="0" w:color="auto"/>
            <w:left w:val="none" w:sz="0" w:space="0" w:color="auto"/>
            <w:bottom w:val="none" w:sz="0" w:space="0" w:color="auto"/>
            <w:right w:val="none" w:sz="0" w:space="0" w:color="auto"/>
          </w:divBdr>
        </w:div>
        <w:div w:id="1159079490">
          <w:marLeft w:val="0"/>
          <w:marRight w:val="0"/>
          <w:marTop w:val="0"/>
          <w:marBottom w:val="0"/>
          <w:divBdr>
            <w:top w:val="none" w:sz="0" w:space="0" w:color="auto"/>
            <w:left w:val="none" w:sz="0" w:space="0" w:color="auto"/>
            <w:bottom w:val="none" w:sz="0" w:space="0" w:color="auto"/>
            <w:right w:val="none" w:sz="0" w:space="0" w:color="auto"/>
          </w:divBdr>
        </w:div>
        <w:div w:id="1175876430">
          <w:marLeft w:val="0"/>
          <w:marRight w:val="0"/>
          <w:marTop w:val="0"/>
          <w:marBottom w:val="0"/>
          <w:divBdr>
            <w:top w:val="none" w:sz="0" w:space="0" w:color="auto"/>
            <w:left w:val="none" w:sz="0" w:space="0" w:color="auto"/>
            <w:bottom w:val="none" w:sz="0" w:space="0" w:color="auto"/>
            <w:right w:val="none" w:sz="0" w:space="0" w:color="auto"/>
          </w:divBdr>
        </w:div>
        <w:div w:id="1202938693">
          <w:marLeft w:val="0"/>
          <w:marRight w:val="0"/>
          <w:marTop w:val="0"/>
          <w:marBottom w:val="0"/>
          <w:divBdr>
            <w:top w:val="none" w:sz="0" w:space="0" w:color="auto"/>
            <w:left w:val="none" w:sz="0" w:space="0" w:color="auto"/>
            <w:bottom w:val="none" w:sz="0" w:space="0" w:color="auto"/>
            <w:right w:val="none" w:sz="0" w:space="0" w:color="auto"/>
          </w:divBdr>
        </w:div>
        <w:div w:id="1213422462">
          <w:marLeft w:val="0"/>
          <w:marRight w:val="0"/>
          <w:marTop w:val="0"/>
          <w:marBottom w:val="0"/>
          <w:divBdr>
            <w:top w:val="none" w:sz="0" w:space="0" w:color="auto"/>
            <w:left w:val="none" w:sz="0" w:space="0" w:color="auto"/>
            <w:bottom w:val="none" w:sz="0" w:space="0" w:color="auto"/>
            <w:right w:val="none" w:sz="0" w:space="0" w:color="auto"/>
          </w:divBdr>
        </w:div>
        <w:div w:id="1252736590">
          <w:marLeft w:val="0"/>
          <w:marRight w:val="0"/>
          <w:marTop w:val="0"/>
          <w:marBottom w:val="0"/>
          <w:divBdr>
            <w:top w:val="none" w:sz="0" w:space="0" w:color="auto"/>
            <w:left w:val="none" w:sz="0" w:space="0" w:color="auto"/>
            <w:bottom w:val="none" w:sz="0" w:space="0" w:color="auto"/>
            <w:right w:val="none" w:sz="0" w:space="0" w:color="auto"/>
          </w:divBdr>
        </w:div>
        <w:div w:id="1260408699">
          <w:marLeft w:val="0"/>
          <w:marRight w:val="0"/>
          <w:marTop w:val="0"/>
          <w:marBottom w:val="0"/>
          <w:divBdr>
            <w:top w:val="none" w:sz="0" w:space="0" w:color="auto"/>
            <w:left w:val="none" w:sz="0" w:space="0" w:color="auto"/>
            <w:bottom w:val="none" w:sz="0" w:space="0" w:color="auto"/>
            <w:right w:val="none" w:sz="0" w:space="0" w:color="auto"/>
          </w:divBdr>
        </w:div>
        <w:div w:id="1308321546">
          <w:marLeft w:val="0"/>
          <w:marRight w:val="0"/>
          <w:marTop w:val="0"/>
          <w:marBottom w:val="0"/>
          <w:divBdr>
            <w:top w:val="none" w:sz="0" w:space="0" w:color="auto"/>
            <w:left w:val="none" w:sz="0" w:space="0" w:color="auto"/>
            <w:bottom w:val="none" w:sz="0" w:space="0" w:color="auto"/>
            <w:right w:val="none" w:sz="0" w:space="0" w:color="auto"/>
          </w:divBdr>
        </w:div>
        <w:div w:id="1383822964">
          <w:marLeft w:val="0"/>
          <w:marRight w:val="0"/>
          <w:marTop w:val="0"/>
          <w:marBottom w:val="0"/>
          <w:divBdr>
            <w:top w:val="none" w:sz="0" w:space="0" w:color="auto"/>
            <w:left w:val="none" w:sz="0" w:space="0" w:color="auto"/>
            <w:bottom w:val="none" w:sz="0" w:space="0" w:color="auto"/>
            <w:right w:val="none" w:sz="0" w:space="0" w:color="auto"/>
          </w:divBdr>
        </w:div>
        <w:div w:id="1389573199">
          <w:marLeft w:val="0"/>
          <w:marRight w:val="0"/>
          <w:marTop w:val="0"/>
          <w:marBottom w:val="0"/>
          <w:divBdr>
            <w:top w:val="none" w:sz="0" w:space="0" w:color="auto"/>
            <w:left w:val="none" w:sz="0" w:space="0" w:color="auto"/>
            <w:bottom w:val="none" w:sz="0" w:space="0" w:color="auto"/>
            <w:right w:val="none" w:sz="0" w:space="0" w:color="auto"/>
          </w:divBdr>
        </w:div>
        <w:div w:id="1395735933">
          <w:marLeft w:val="0"/>
          <w:marRight w:val="0"/>
          <w:marTop w:val="0"/>
          <w:marBottom w:val="0"/>
          <w:divBdr>
            <w:top w:val="none" w:sz="0" w:space="0" w:color="auto"/>
            <w:left w:val="none" w:sz="0" w:space="0" w:color="auto"/>
            <w:bottom w:val="none" w:sz="0" w:space="0" w:color="auto"/>
            <w:right w:val="none" w:sz="0" w:space="0" w:color="auto"/>
          </w:divBdr>
        </w:div>
        <w:div w:id="1524055686">
          <w:marLeft w:val="0"/>
          <w:marRight w:val="0"/>
          <w:marTop w:val="0"/>
          <w:marBottom w:val="0"/>
          <w:divBdr>
            <w:top w:val="none" w:sz="0" w:space="0" w:color="auto"/>
            <w:left w:val="none" w:sz="0" w:space="0" w:color="auto"/>
            <w:bottom w:val="none" w:sz="0" w:space="0" w:color="auto"/>
            <w:right w:val="none" w:sz="0" w:space="0" w:color="auto"/>
          </w:divBdr>
        </w:div>
        <w:div w:id="1534029956">
          <w:marLeft w:val="0"/>
          <w:marRight w:val="0"/>
          <w:marTop w:val="0"/>
          <w:marBottom w:val="0"/>
          <w:divBdr>
            <w:top w:val="none" w:sz="0" w:space="0" w:color="auto"/>
            <w:left w:val="none" w:sz="0" w:space="0" w:color="auto"/>
            <w:bottom w:val="none" w:sz="0" w:space="0" w:color="auto"/>
            <w:right w:val="none" w:sz="0" w:space="0" w:color="auto"/>
          </w:divBdr>
        </w:div>
        <w:div w:id="1577090816">
          <w:marLeft w:val="0"/>
          <w:marRight w:val="0"/>
          <w:marTop w:val="0"/>
          <w:marBottom w:val="0"/>
          <w:divBdr>
            <w:top w:val="none" w:sz="0" w:space="0" w:color="auto"/>
            <w:left w:val="none" w:sz="0" w:space="0" w:color="auto"/>
            <w:bottom w:val="none" w:sz="0" w:space="0" w:color="auto"/>
            <w:right w:val="none" w:sz="0" w:space="0" w:color="auto"/>
          </w:divBdr>
        </w:div>
        <w:div w:id="1679700120">
          <w:marLeft w:val="0"/>
          <w:marRight w:val="0"/>
          <w:marTop w:val="0"/>
          <w:marBottom w:val="0"/>
          <w:divBdr>
            <w:top w:val="none" w:sz="0" w:space="0" w:color="auto"/>
            <w:left w:val="none" w:sz="0" w:space="0" w:color="auto"/>
            <w:bottom w:val="none" w:sz="0" w:space="0" w:color="auto"/>
            <w:right w:val="none" w:sz="0" w:space="0" w:color="auto"/>
          </w:divBdr>
        </w:div>
        <w:div w:id="1743672008">
          <w:marLeft w:val="0"/>
          <w:marRight w:val="0"/>
          <w:marTop w:val="0"/>
          <w:marBottom w:val="0"/>
          <w:divBdr>
            <w:top w:val="none" w:sz="0" w:space="0" w:color="auto"/>
            <w:left w:val="none" w:sz="0" w:space="0" w:color="auto"/>
            <w:bottom w:val="none" w:sz="0" w:space="0" w:color="auto"/>
            <w:right w:val="none" w:sz="0" w:space="0" w:color="auto"/>
          </w:divBdr>
        </w:div>
        <w:div w:id="1994524260">
          <w:marLeft w:val="0"/>
          <w:marRight w:val="0"/>
          <w:marTop w:val="0"/>
          <w:marBottom w:val="0"/>
          <w:divBdr>
            <w:top w:val="none" w:sz="0" w:space="0" w:color="auto"/>
            <w:left w:val="none" w:sz="0" w:space="0" w:color="auto"/>
            <w:bottom w:val="none" w:sz="0" w:space="0" w:color="auto"/>
            <w:right w:val="none" w:sz="0" w:space="0" w:color="auto"/>
          </w:divBdr>
        </w:div>
        <w:div w:id="2080907738">
          <w:marLeft w:val="0"/>
          <w:marRight w:val="0"/>
          <w:marTop w:val="0"/>
          <w:marBottom w:val="0"/>
          <w:divBdr>
            <w:top w:val="none" w:sz="0" w:space="0" w:color="auto"/>
            <w:left w:val="none" w:sz="0" w:space="0" w:color="auto"/>
            <w:bottom w:val="none" w:sz="0" w:space="0" w:color="auto"/>
            <w:right w:val="none" w:sz="0" w:space="0" w:color="auto"/>
          </w:divBdr>
        </w:div>
        <w:div w:id="2128086270">
          <w:marLeft w:val="0"/>
          <w:marRight w:val="0"/>
          <w:marTop w:val="0"/>
          <w:marBottom w:val="0"/>
          <w:divBdr>
            <w:top w:val="none" w:sz="0" w:space="0" w:color="auto"/>
            <w:left w:val="none" w:sz="0" w:space="0" w:color="auto"/>
            <w:bottom w:val="none" w:sz="0" w:space="0" w:color="auto"/>
            <w:right w:val="none" w:sz="0" w:space="0" w:color="auto"/>
          </w:divBdr>
        </w:div>
        <w:div w:id="2147383268">
          <w:marLeft w:val="0"/>
          <w:marRight w:val="0"/>
          <w:marTop w:val="0"/>
          <w:marBottom w:val="0"/>
          <w:divBdr>
            <w:top w:val="none" w:sz="0" w:space="0" w:color="auto"/>
            <w:left w:val="none" w:sz="0" w:space="0" w:color="auto"/>
            <w:bottom w:val="none" w:sz="0" w:space="0" w:color="auto"/>
            <w:right w:val="none" w:sz="0" w:space="0" w:color="auto"/>
          </w:divBdr>
        </w:div>
      </w:divsChild>
    </w:div>
    <w:div w:id="1967660812">
      <w:bodyDiv w:val="1"/>
      <w:marLeft w:val="0"/>
      <w:marRight w:val="0"/>
      <w:marTop w:val="0"/>
      <w:marBottom w:val="0"/>
      <w:divBdr>
        <w:top w:val="none" w:sz="0" w:space="0" w:color="auto"/>
        <w:left w:val="none" w:sz="0" w:space="0" w:color="auto"/>
        <w:bottom w:val="none" w:sz="0" w:space="0" w:color="auto"/>
        <w:right w:val="none" w:sz="0" w:space="0" w:color="auto"/>
      </w:divBdr>
    </w:div>
    <w:div w:id="2033067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wmf"/><Relationship Id="rId18" Type="http://schemas.openxmlformats.org/officeDocument/2006/relationships/image" Target="media/image8.wmf"/><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11.wmf"/><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image" Target="media/image7.wmf"/><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6.wmf"/><Relationship Id="rId20" Type="http://schemas.openxmlformats.org/officeDocument/2006/relationships/image" Target="media/image10.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image" Target="media/image5.wmf"/><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image" Target="media/image9.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header" Target="header3.xml"/><Relationship Id="rId30"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14.gif"/><Relationship Id="rId1" Type="http://schemas.openxmlformats.org/officeDocument/2006/relationships/image" Target="media/image13.png"/></Relationships>
</file>

<file path=word/_rels/footnotes.xml.rels><?xml version="1.0" encoding="UTF-8" standalone="yes"?>
<Relationships xmlns="http://schemas.openxmlformats.org/package/2006/relationships"><Relationship Id="rId1" Type="http://schemas.openxmlformats.org/officeDocument/2006/relationships/hyperlink" Target="http://www.unece.org/trans/main/wp29/wp29wgs/wp29gen/wp29resolutions.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ubert\Templates\TRANS\TRANS_WP29_2009_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3" ma:contentTypeDescription="Create a new document." ma:contentTypeScope="" ma:versionID="89c13dde5d7aa6b1840a64c3c61e7101">
  <xsd:schema xmlns:xsd="http://www.w3.org/2001/XMLSchema" xmlns:xs="http://www.w3.org/2001/XMLSchema" xmlns:p="http://schemas.microsoft.com/office/2006/metadata/properties" xmlns:ns2="4b4a1c0d-4a69-4996-a84a-fc699b9f49de" xmlns:ns3="acccb6d4-dbe5-46d2-b4d3-5733603d8cc6" targetNamespace="http://schemas.microsoft.com/office/2006/metadata/properties" ma:root="true" ma:fieldsID="49ff99f9a570207563b6136515cf8a36" ns2:_="" ns3:_="">
    <xsd:import namespace="4b4a1c0d-4a69-4996-a84a-fc699b9f49de"/>
    <xsd:import namespace="acccb6d4-dbe5-46d2-b4d3-5733603d8cc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3DC9AF-F41C-4A2F-86D4-17D597600EA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FFC6C3E-629D-476B-A406-AFE11D85724C}"/>
</file>

<file path=customXml/itemProps3.xml><?xml version="1.0" encoding="utf-8"?>
<ds:datastoreItem xmlns:ds="http://schemas.openxmlformats.org/officeDocument/2006/customXml" ds:itemID="{78F4AEA0-BFC3-4FD2-8A4C-31928C1AED6A}">
  <ds:schemaRefs>
    <ds:schemaRef ds:uri="http://schemas.microsoft.com/sharepoint/v3/contenttype/forms"/>
  </ds:schemaRefs>
</ds:datastoreItem>
</file>

<file path=customXml/itemProps4.xml><?xml version="1.0" encoding="utf-8"?>
<ds:datastoreItem xmlns:ds="http://schemas.openxmlformats.org/officeDocument/2006/customXml" ds:itemID="{75A90D3B-F15E-405E-B33B-C12E3AC6920A}">
  <ds:schemaRefs>
    <ds:schemaRef ds:uri="http://schemas.openxmlformats.org/officeDocument/2006/bibliography"/>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TRANS_WP29_2009_E.dot</Template>
  <TotalTime>0</TotalTime>
  <Pages>25</Pages>
  <Words>10174</Words>
  <Characters>54303</Characters>
  <Application>Microsoft Office Word</Application>
  <DocSecurity>0</DocSecurity>
  <Lines>1521</Lines>
  <Paragraphs>639</Paragraphs>
  <ScaleCrop>false</ScaleCrop>
  <HeadingPairs>
    <vt:vector size="10" baseType="variant">
      <vt:variant>
        <vt:lpstr>Title</vt:lpstr>
      </vt:variant>
      <vt:variant>
        <vt:i4>1</vt:i4>
      </vt:variant>
      <vt:variant>
        <vt:lpstr>Titre</vt:lpstr>
      </vt:variant>
      <vt:variant>
        <vt:i4>1</vt:i4>
      </vt:variant>
      <vt:variant>
        <vt:lpstr>Titel</vt:lpstr>
      </vt:variant>
      <vt:variant>
        <vt:i4>1</vt:i4>
      </vt:variant>
      <vt:variant>
        <vt:lpstr>Название</vt:lpstr>
      </vt:variant>
      <vt:variant>
        <vt:i4>1</vt:i4>
      </vt:variant>
      <vt:variant>
        <vt:lpstr>Título</vt:lpstr>
      </vt:variant>
      <vt:variant>
        <vt:i4>1</vt:i4>
      </vt:variant>
    </vt:vector>
  </HeadingPairs>
  <TitlesOfParts>
    <vt:vector size="5" baseType="lpstr">
      <vt:lpstr>ECE/TRANS/WP.29/GRPE/2021/6</vt:lpstr>
      <vt:lpstr>1618575</vt:lpstr>
      <vt:lpstr>1618575</vt:lpstr>
      <vt:lpstr>United Nations</vt:lpstr>
      <vt:lpstr>United Nations</vt:lpstr>
    </vt:vector>
  </TitlesOfParts>
  <Company>RDW Voertuiginformatie en -toelating</Company>
  <LinksUpToDate>false</LinksUpToDate>
  <CharactersWithSpaces>63997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ECE/TRANS/WP.29/GRPE/2021/6</dc:title>
  <dc:subject>2014567</dc:subject>
  <dc:creator>R Gardner</dc:creator>
  <cp:keywords/>
  <dc:description/>
  <cp:lastModifiedBy>Don MARTIN</cp:lastModifiedBy>
  <cp:revision>2</cp:revision>
  <cp:lastPrinted>2014-11-04T09:14:00Z</cp:lastPrinted>
  <dcterms:created xsi:type="dcterms:W3CDTF">2020-11-19T10:20:00Z</dcterms:created>
  <dcterms:modified xsi:type="dcterms:W3CDTF">2020-11-19T10:20:00Z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0x0101003B8422D08C252547BB1CFA7F78E2CB83</vt:lpwstr>
  </property>
</Properties>
</file>