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50E16"/>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50E16" w:rsidP="00050E16">
            <w:pPr>
              <w:jc w:val="right"/>
            </w:pPr>
            <w:r w:rsidRPr="00050E16">
              <w:rPr>
                <w:sz w:val="40"/>
              </w:rPr>
              <w:t>ECE</w:t>
            </w:r>
            <w:r>
              <w:t>/TRANS/WP.29/GRPE/2021/5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50E16" w:rsidP="00C97039">
            <w:pPr>
              <w:spacing w:before="240"/>
            </w:pPr>
            <w:r>
              <w:t>Distr. générale</w:t>
            </w:r>
          </w:p>
          <w:p w:rsidR="00050E16" w:rsidRDefault="00050E16" w:rsidP="00050E16">
            <w:pPr>
              <w:spacing w:line="240" w:lineRule="exact"/>
            </w:pPr>
            <w:r>
              <w:t>3 novembre 2020</w:t>
            </w:r>
          </w:p>
          <w:p w:rsidR="00050E16" w:rsidRDefault="00050E16" w:rsidP="00050E16">
            <w:pPr>
              <w:spacing w:line="240" w:lineRule="exact"/>
            </w:pPr>
            <w:r>
              <w:t>Français</w:t>
            </w:r>
          </w:p>
          <w:p w:rsidR="00050E16" w:rsidRPr="00DB58B5" w:rsidRDefault="00050E16" w:rsidP="00050E1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50E16" w:rsidRDefault="00050E1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50E16" w:rsidRDefault="00050E16" w:rsidP="00257168">
      <w:pPr>
        <w:spacing w:before="120" w:after="120" w:line="240" w:lineRule="exact"/>
        <w:rPr>
          <w:b/>
        </w:rPr>
      </w:pPr>
      <w:r>
        <w:rPr>
          <w:b/>
        </w:rPr>
        <w:t>Groupe de travail de la pollution et de l’énergie</w:t>
      </w:r>
    </w:p>
    <w:p w:rsidR="00050E16" w:rsidRPr="001F2317" w:rsidRDefault="00050E16" w:rsidP="00050E16">
      <w:pPr>
        <w:rPr>
          <w:b/>
          <w:lang w:val="fr-FR"/>
        </w:rPr>
      </w:pPr>
      <w:r>
        <w:rPr>
          <w:b/>
          <w:bCs/>
          <w:lang w:val="fr-FR"/>
        </w:rPr>
        <w:t>Quatre-vingt-deuxième session</w:t>
      </w:r>
    </w:p>
    <w:p w:rsidR="00050E16" w:rsidRPr="001F2317" w:rsidRDefault="00050E16" w:rsidP="00050E16">
      <w:pPr>
        <w:rPr>
          <w:rFonts w:eastAsia="Times New Roman"/>
          <w:lang w:val="fr-FR"/>
        </w:rPr>
      </w:pPr>
      <w:r>
        <w:rPr>
          <w:lang w:val="fr-FR"/>
        </w:rPr>
        <w:t>Genève, 12-15 janvier 2021</w:t>
      </w:r>
    </w:p>
    <w:p w:rsidR="00050E16" w:rsidRPr="001F2317" w:rsidRDefault="00050E16" w:rsidP="00050E16">
      <w:pPr>
        <w:rPr>
          <w:rFonts w:eastAsia="Times New Roman"/>
          <w:lang w:val="fr-FR"/>
        </w:rPr>
      </w:pPr>
      <w:r>
        <w:rPr>
          <w:lang w:val="fr-FR"/>
        </w:rPr>
        <w:t>Point 3 a) de l’ordre du jour provisoire</w:t>
      </w:r>
    </w:p>
    <w:p w:rsidR="00050E16" w:rsidRDefault="00050E16" w:rsidP="00050E16">
      <w:pPr>
        <w:spacing w:line="240" w:lineRule="exact"/>
      </w:pPr>
      <w:r>
        <w:rPr>
          <w:b/>
          <w:bCs/>
          <w:lang w:val="fr-FR"/>
        </w:rPr>
        <w:t>Véhicules légers</w:t>
      </w:r>
      <w:r>
        <w:rPr>
          <w:b/>
          <w:bCs/>
          <w:lang w:val="fr-FR"/>
        </w:rPr>
        <w:t> </w:t>
      </w:r>
      <w:r>
        <w:rPr>
          <w:b/>
          <w:bCs/>
          <w:lang w:val="fr-FR"/>
        </w:rPr>
        <w:t>: Règlements ONU n</w:t>
      </w:r>
      <w:r>
        <w:rPr>
          <w:b/>
          <w:bCs/>
          <w:vertAlign w:val="superscript"/>
          <w:lang w:val="fr-FR"/>
        </w:rPr>
        <w:t>os</w:t>
      </w:r>
      <w:r>
        <w:rPr>
          <w:b/>
          <w:bCs/>
          <w:lang w:val="fr-FR"/>
        </w:rPr>
        <w:t xml:space="preserve"> 68 (Mesure de la vitesse maximale </w:t>
      </w:r>
      <w:r>
        <w:rPr>
          <w:b/>
          <w:bCs/>
          <w:lang w:val="fr-FR"/>
        </w:rPr>
        <w:br/>
      </w:r>
      <w:r>
        <w:rPr>
          <w:b/>
          <w:bCs/>
          <w:lang w:val="fr-FR"/>
        </w:rPr>
        <w:t xml:space="preserve">des véhicules à moteur, y compris les véhicules électriques purs), </w:t>
      </w:r>
      <w:r>
        <w:rPr>
          <w:b/>
          <w:bCs/>
          <w:lang w:val="fr-FR"/>
        </w:rPr>
        <w:br/>
      </w:r>
      <w:r>
        <w:rPr>
          <w:b/>
          <w:bCs/>
          <w:lang w:val="fr-FR"/>
        </w:rPr>
        <w:t>83 (Émissions polluantes des véhicules des catégories M</w:t>
      </w:r>
      <w:r>
        <w:rPr>
          <w:b/>
          <w:bCs/>
          <w:vertAlign w:val="subscript"/>
          <w:lang w:val="fr-FR"/>
        </w:rPr>
        <w:t>1</w:t>
      </w:r>
      <w:r>
        <w:rPr>
          <w:b/>
          <w:bCs/>
          <w:lang w:val="fr-FR"/>
        </w:rPr>
        <w:t xml:space="preserve"> et N</w:t>
      </w:r>
      <w:r>
        <w:rPr>
          <w:b/>
          <w:bCs/>
          <w:vertAlign w:val="subscript"/>
          <w:lang w:val="fr-FR"/>
        </w:rPr>
        <w:t>1</w:t>
      </w:r>
      <w:r>
        <w:rPr>
          <w:b/>
          <w:bCs/>
          <w:lang w:val="fr-FR"/>
        </w:rPr>
        <w:t xml:space="preserve">), </w:t>
      </w:r>
      <w:r>
        <w:rPr>
          <w:b/>
          <w:bCs/>
          <w:lang w:val="fr-FR"/>
        </w:rPr>
        <w:br/>
      </w:r>
      <w:r>
        <w:rPr>
          <w:b/>
          <w:bCs/>
          <w:lang w:val="fr-FR"/>
        </w:rPr>
        <w:t>101 (Émissions de CO</w:t>
      </w:r>
      <w:r>
        <w:rPr>
          <w:b/>
          <w:bCs/>
          <w:vertAlign w:val="subscript"/>
          <w:lang w:val="fr-FR"/>
        </w:rPr>
        <w:t>2</w:t>
      </w:r>
      <w:r>
        <w:rPr>
          <w:b/>
          <w:bCs/>
          <w:lang w:val="fr-FR"/>
        </w:rPr>
        <w:t xml:space="preserve">/consommation de carburant), </w:t>
      </w:r>
      <w:r>
        <w:rPr>
          <w:b/>
          <w:bCs/>
          <w:lang w:val="fr-FR"/>
        </w:rPr>
        <w:br/>
      </w:r>
      <w:r>
        <w:rPr>
          <w:b/>
          <w:bCs/>
          <w:lang w:val="fr-FR"/>
        </w:rPr>
        <w:t xml:space="preserve">103 (Dispositifs antipollution de remplacement) </w:t>
      </w:r>
      <w:r>
        <w:rPr>
          <w:b/>
          <w:bCs/>
          <w:lang w:val="fr-FR"/>
        </w:rPr>
        <w:br/>
      </w:r>
      <w:r>
        <w:rPr>
          <w:b/>
          <w:bCs/>
          <w:lang w:val="fr-FR"/>
        </w:rPr>
        <w:t xml:space="preserve">et [154] (Procédure d’essai mondiale harmonisée </w:t>
      </w:r>
      <w:r>
        <w:rPr>
          <w:b/>
          <w:bCs/>
          <w:lang w:val="fr-FR"/>
        </w:rPr>
        <w:br/>
      </w:r>
      <w:r>
        <w:rPr>
          <w:b/>
          <w:bCs/>
          <w:lang w:val="fr-FR"/>
        </w:rPr>
        <w:t xml:space="preserve">pour les voitures particulières et les véhicules </w:t>
      </w:r>
      <w:r>
        <w:rPr>
          <w:b/>
          <w:bCs/>
          <w:lang w:val="fr-FR"/>
        </w:rPr>
        <w:br/>
      </w:r>
      <w:r>
        <w:rPr>
          <w:b/>
          <w:bCs/>
          <w:lang w:val="fr-FR"/>
        </w:rPr>
        <w:t>utilitaires légers (WLTP))</w:t>
      </w:r>
    </w:p>
    <w:p w:rsidR="00050E16" w:rsidRPr="001F2317" w:rsidRDefault="00050E16" w:rsidP="00050E16">
      <w:pPr>
        <w:pStyle w:val="HChG"/>
        <w:rPr>
          <w:lang w:val="fr-FR"/>
        </w:rPr>
      </w:pPr>
      <w:r w:rsidRPr="00141C6B">
        <w:rPr>
          <w:lang w:val="fr-FR"/>
        </w:rPr>
        <w:tab/>
      </w:r>
      <w:r w:rsidRPr="00141C6B">
        <w:rPr>
          <w:lang w:val="fr-FR"/>
        </w:rPr>
        <w:tab/>
        <w:t>Proposition de nouveau complément à la série 07</w:t>
      </w:r>
      <w:r>
        <w:rPr>
          <w:lang w:val="fr-FR"/>
        </w:rPr>
        <w:t xml:space="preserve"> </w:t>
      </w:r>
      <w:r w:rsidRPr="00141C6B">
        <w:rPr>
          <w:lang w:val="fr-FR"/>
        </w:rPr>
        <w:t>d</w:t>
      </w:r>
      <w:r>
        <w:rPr>
          <w:lang w:val="fr-FR"/>
        </w:rPr>
        <w:t>’</w:t>
      </w:r>
      <w:r w:rsidRPr="00141C6B">
        <w:rPr>
          <w:lang w:val="fr-FR"/>
        </w:rPr>
        <w:t>amendements au Règlement n</w:t>
      </w:r>
      <w:r w:rsidRPr="00141C6B">
        <w:rPr>
          <w:vertAlign w:val="superscript"/>
          <w:lang w:val="fr-FR"/>
        </w:rPr>
        <w:t>o</w:t>
      </w:r>
      <w:r w:rsidRPr="00141C6B">
        <w:rPr>
          <w:lang w:val="fr-FR"/>
        </w:rPr>
        <w:t xml:space="preserve"> 83 </w:t>
      </w:r>
      <w:r>
        <w:rPr>
          <w:lang w:val="fr-FR"/>
        </w:rPr>
        <w:br/>
      </w:r>
      <w:r w:rsidRPr="00141C6B">
        <w:rPr>
          <w:lang w:val="fr-FR"/>
        </w:rPr>
        <w:t xml:space="preserve">(Émissions polluantes des véhicules </w:t>
      </w:r>
      <w:r>
        <w:rPr>
          <w:lang w:val="fr-FR"/>
        </w:rPr>
        <w:br/>
      </w:r>
      <w:r w:rsidRPr="00141C6B">
        <w:rPr>
          <w:lang w:val="fr-FR"/>
        </w:rPr>
        <w:t>des catégories M</w:t>
      </w:r>
      <w:r w:rsidRPr="00141C6B">
        <w:rPr>
          <w:vertAlign w:val="subscript"/>
          <w:lang w:val="fr-FR"/>
        </w:rPr>
        <w:t>1</w:t>
      </w:r>
      <w:r w:rsidRPr="00141C6B">
        <w:rPr>
          <w:lang w:val="fr-FR"/>
        </w:rPr>
        <w:t xml:space="preserve"> et N</w:t>
      </w:r>
      <w:r w:rsidRPr="00141C6B">
        <w:rPr>
          <w:vertAlign w:val="subscript"/>
          <w:lang w:val="fr-FR"/>
        </w:rPr>
        <w:t>1</w:t>
      </w:r>
      <w:r w:rsidRPr="00141C6B">
        <w:rPr>
          <w:lang w:val="fr-FR"/>
        </w:rPr>
        <w:t>)</w:t>
      </w:r>
    </w:p>
    <w:p w:rsidR="00050E16" w:rsidRPr="001F2317" w:rsidRDefault="00050E16" w:rsidP="00050E16">
      <w:pPr>
        <w:pStyle w:val="H1G"/>
        <w:rPr>
          <w:lang w:val="fr-FR"/>
        </w:rPr>
      </w:pPr>
      <w:r>
        <w:rPr>
          <w:lang w:val="fr-FR"/>
        </w:rPr>
        <w:tab/>
      </w:r>
      <w:r>
        <w:rPr>
          <w:lang w:val="fr-FR"/>
        </w:rPr>
        <w:tab/>
        <w:t xml:space="preserve">Communication de l’expert de l’Organisation internationale </w:t>
      </w:r>
      <w:r>
        <w:rPr>
          <w:lang w:val="fr-FR"/>
        </w:rPr>
        <w:br/>
        <w:t>des constructeurs d’automobiles</w:t>
      </w:r>
      <w:r w:rsidRPr="00050E16">
        <w:rPr>
          <w:b w:val="0"/>
          <w:bCs/>
          <w:sz w:val="20"/>
          <w:lang w:val="fr-FR"/>
        </w:rPr>
        <w:footnoteReference w:customMarkFollows="1" w:id="2"/>
        <w:t>*</w:t>
      </w:r>
    </w:p>
    <w:p w:rsidR="00050E16" w:rsidRPr="001F2317" w:rsidRDefault="00050E16" w:rsidP="00050E16">
      <w:pPr>
        <w:pStyle w:val="SingleTxtG"/>
        <w:rPr>
          <w:lang w:val="fr-FR"/>
        </w:rPr>
      </w:pPr>
      <w:r>
        <w:rPr>
          <w:lang w:val="fr-FR"/>
        </w:rPr>
        <w:tab/>
        <w:t>Le document ci-après, établi par l’expert de l’Organisation internationale des constructeurs d’automobiles (OICA), vise à corriger une erreur rédactionnelle concernant la prescription relative à la surveillance du système de traitement aval des gaz d’échappement. Les modifications qu’il est proposé d’apporter au texte actuel du Règlement figurent en caractères gras pour les ajouts et biffés pour les suppressions.</w:t>
      </w:r>
    </w:p>
    <w:p w:rsidR="00050E16" w:rsidRPr="001F2317" w:rsidRDefault="00050E16" w:rsidP="00050E16">
      <w:pPr>
        <w:pStyle w:val="HChG"/>
        <w:rPr>
          <w:lang w:val="fr-FR"/>
        </w:rPr>
      </w:pPr>
      <w:r>
        <w:rPr>
          <w:lang w:val="fr-FR"/>
        </w:rPr>
        <w:br w:type="page"/>
      </w:r>
      <w:r>
        <w:rPr>
          <w:lang w:val="fr-FR"/>
        </w:rPr>
        <w:lastRenderedPageBreak/>
        <w:tab/>
      </w:r>
      <w:r w:rsidRPr="004361F2">
        <w:rPr>
          <w:lang w:val="fr-FR"/>
        </w:rPr>
        <w:t>I.</w:t>
      </w:r>
      <w:r w:rsidRPr="004361F2">
        <w:rPr>
          <w:lang w:val="fr-FR"/>
        </w:rPr>
        <w:tab/>
        <w:t>Proposition</w:t>
      </w:r>
    </w:p>
    <w:p w:rsidR="00050E16" w:rsidRPr="001F2317" w:rsidRDefault="00050E16" w:rsidP="00050E16">
      <w:pPr>
        <w:pStyle w:val="SingleTxtG"/>
        <w:rPr>
          <w:iCs/>
          <w:lang w:val="fr-FR"/>
        </w:rPr>
      </w:pPr>
      <w:r>
        <w:rPr>
          <w:i/>
          <w:iCs/>
          <w:lang w:val="fr-FR"/>
        </w:rPr>
        <w:t>Appendice 6, paragraphe 6.2</w:t>
      </w:r>
      <w:r>
        <w:rPr>
          <w:lang w:val="fr-FR"/>
        </w:rPr>
        <w:t>, supprimer le deuxième alinéa et lire :</w:t>
      </w:r>
    </w:p>
    <w:p w:rsidR="00050E16" w:rsidRPr="001F2317" w:rsidRDefault="00050E16" w:rsidP="00050E16">
      <w:pPr>
        <w:pStyle w:val="SingleTxtG"/>
        <w:ind w:left="2268" w:hanging="1134"/>
        <w:rPr>
          <w:lang w:val="fr-FR"/>
        </w:rPr>
      </w:pPr>
      <w:r>
        <w:rPr>
          <w:lang w:val="fr-FR"/>
        </w:rPr>
        <w:t>« 6.2</w:t>
      </w:r>
      <w:r>
        <w:rPr>
          <w:lang w:val="fr-FR"/>
        </w:rPr>
        <w:tab/>
        <w:t>Le constructeur doit démontrer que l’utilisation des capteurs mentionnés au paragraphe 6.1 ci-dessus et de tout autre capteur présent sur le véhicule entraîne l’activation du système d’alerte du conducteur visé au paragraphe 3 ci-dessus, l’affichage d’un message donnant un avertissement approprié (signalant par exemple, des émissions excessives et demandant de contrôler le niveau d’urée, d’AdBlue ou de réactif) et l’activation du système d’incitation du cond</w:t>
      </w:r>
      <w:bookmarkStart w:id="0" w:name="_GoBack"/>
      <w:bookmarkEnd w:id="0"/>
      <w:r>
        <w:rPr>
          <w:lang w:val="fr-FR"/>
        </w:rPr>
        <w:t xml:space="preserve">ucteur visé au paragraphe 8.3 ci-dessous, lorsque les situations évoquées aux paragraphes 4.2, 5.4 ou 5.5 ci-dessus surviennent. </w:t>
      </w:r>
    </w:p>
    <w:p w:rsidR="00050E16" w:rsidRPr="001F2317" w:rsidRDefault="00050E16" w:rsidP="00050E16">
      <w:pPr>
        <w:pStyle w:val="SingleTxtG"/>
        <w:ind w:left="2268"/>
        <w:rPr>
          <w:strike/>
          <w:lang w:val="fr-FR"/>
        </w:rPr>
      </w:pPr>
      <w:r>
        <w:rPr>
          <w:strike/>
          <w:lang w:val="fr-FR"/>
        </w:rPr>
        <w:t>Aux fins du présent paragraphe, de telles situations sont réputées survenir si les valeurs limites pour les émissions d’oxydes d’azote (NO</w:t>
      </w:r>
      <w:r>
        <w:rPr>
          <w:strike/>
          <w:vertAlign w:val="subscript"/>
          <w:lang w:val="fr-FR"/>
        </w:rPr>
        <w:t>X</w:t>
      </w:r>
      <w:r>
        <w:rPr>
          <w:strike/>
          <w:lang w:val="fr-FR"/>
        </w:rPr>
        <w:t>) indiquées dans le paragraphe 5.3.1.4 du présent Règlement multipliées par un facteur de 1,5 sont dépassées.</w:t>
      </w:r>
      <w:r>
        <w:rPr>
          <w:lang w:val="fr-FR"/>
        </w:rPr>
        <w:t xml:space="preserve"> </w:t>
      </w:r>
      <w:r>
        <w:rPr>
          <w:strike/>
          <w:lang w:val="fr-FR"/>
        </w:rPr>
        <w:t>Les émissions d’oxydes d’azote relevées au cours de l’essai visant à démontrer la conformité à ces prescriptions ne doivent pas dépasser de plus de 20 % les valeurs limites ci-dessus.</w:t>
      </w:r>
    </w:p>
    <w:p w:rsidR="00050E16" w:rsidRPr="001F2317" w:rsidRDefault="00050E16" w:rsidP="00050E16">
      <w:pPr>
        <w:pStyle w:val="SingleTxtG"/>
        <w:ind w:left="2268"/>
        <w:rPr>
          <w:lang w:val="fr-FR"/>
        </w:rPr>
      </w:pPr>
      <w:r>
        <w:rPr>
          <w:lang w:val="fr-FR"/>
        </w:rPr>
        <w:t>Aux fins du présent paragraphe, de telles situations sont réputées survenir si les valeurs limites OBD pour les émissions d’oxydes d’azote (NO</w:t>
      </w:r>
      <w:r>
        <w:rPr>
          <w:vertAlign w:val="subscript"/>
          <w:lang w:val="fr-FR"/>
        </w:rPr>
        <w:t>x</w:t>
      </w:r>
      <w:r>
        <w:rPr>
          <w:lang w:val="fr-FR"/>
        </w:rPr>
        <w:t>) indiquées dans les tableaux du paragraphe 3.3.2 de l’annexe 11 du présent Règlement sont dépassées.</w:t>
      </w:r>
    </w:p>
    <w:p w:rsidR="00050E16" w:rsidRPr="001F2317" w:rsidRDefault="00050E16" w:rsidP="00050E16">
      <w:pPr>
        <w:pStyle w:val="SingleTxtG"/>
        <w:ind w:left="2268"/>
        <w:rPr>
          <w:lang w:val="fr-FR"/>
        </w:rPr>
      </w:pPr>
      <w:r>
        <w:rPr>
          <w:b/>
          <w:bCs/>
          <w:lang w:val="fr-FR"/>
        </w:rPr>
        <w:t>Les émissions d’oxydes d’azote relevées au cours de l’essai visant à démontrer la conformité à ces prescriptions ne doivent pas dépasser de plus de 20 % les valeurs limites ci-dessus.</w:t>
      </w:r>
      <w:r>
        <w:rPr>
          <w:lang w:val="fr-FR"/>
        </w:rPr>
        <w:t> ».</w:t>
      </w:r>
    </w:p>
    <w:p w:rsidR="00050E16" w:rsidRPr="002A1D9F" w:rsidRDefault="00050E16" w:rsidP="00050E16">
      <w:pPr>
        <w:pStyle w:val="HChG"/>
      </w:pPr>
      <w:r>
        <w:rPr>
          <w:lang w:val="fr-FR"/>
        </w:rPr>
        <w:tab/>
      </w:r>
      <w:r w:rsidRPr="004361F2">
        <w:rPr>
          <w:lang w:val="fr-FR"/>
        </w:rPr>
        <w:t>II.</w:t>
      </w:r>
      <w:r w:rsidRPr="004361F2">
        <w:rPr>
          <w:lang w:val="fr-FR"/>
        </w:rPr>
        <w:tab/>
        <w:t>Justification</w:t>
      </w:r>
    </w:p>
    <w:p w:rsidR="00050E16" w:rsidRPr="001F2317" w:rsidRDefault="00050E16" w:rsidP="00050E16">
      <w:pPr>
        <w:pStyle w:val="SingleTxtG"/>
        <w:rPr>
          <w:lang w:val="fr-FR"/>
        </w:rPr>
      </w:pPr>
      <w:r>
        <w:rPr>
          <w:lang w:val="fr-FR"/>
        </w:rPr>
        <w:t>1.</w:t>
      </w:r>
      <w:r>
        <w:rPr>
          <w:lang w:val="fr-FR"/>
        </w:rPr>
        <w:tab/>
        <w:t>L’alinéa concerné a été inséré à mauvais escient dans le document ECE/TRANS/WP.29/2018/148 puis adopté à la 176</w:t>
      </w:r>
      <w:r>
        <w:rPr>
          <w:vertAlign w:val="superscript"/>
          <w:lang w:val="fr-FR"/>
        </w:rPr>
        <w:t>e</w:t>
      </w:r>
      <w:r>
        <w:rPr>
          <w:lang w:val="fr-FR"/>
        </w:rPr>
        <w:t> session du WP.29, en contradiction avec l’amendement figurant dans le document ECE/TRANS/WP.29/GRPE/2018/7 adopté à la soixante-seizième session du GRPE.</w:t>
      </w:r>
    </w:p>
    <w:p w:rsidR="00050E16" w:rsidRPr="001F2317" w:rsidRDefault="00050E16" w:rsidP="00050E16">
      <w:pPr>
        <w:pStyle w:val="SingleTxtG"/>
        <w:rPr>
          <w:lang w:val="fr-FR"/>
        </w:rPr>
      </w:pPr>
      <w:r>
        <w:rPr>
          <w:lang w:val="fr-FR"/>
        </w:rPr>
        <w:t>2.</w:t>
      </w:r>
      <w:r>
        <w:rPr>
          <w:lang w:val="fr-FR"/>
        </w:rPr>
        <w:tab/>
        <w:t>La deuxième partie de l’alinéa est déplacée à la fin du paragraphe 6.2 de l’appendice 6.</w:t>
      </w:r>
    </w:p>
    <w:p w:rsidR="00F9573C" w:rsidRPr="00050E16" w:rsidRDefault="00050E16" w:rsidP="00050E1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050E16" w:rsidSect="00050E1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CA9" w:rsidRDefault="008E3CA9" w:rsidP="00F95C08">
      <w:pPr>
        <w:spacing w:line="240" w:lineRule="auto"/>
      </w:pPr>
    </w:p>
  </w:endnote>
  <w:endnote w:type="continuationSeparator" w:id="0">
    <w:p w:rsidR="008E3CA9" w:rsidRPr="00AC3823" w:rsidRDefault="008E3CA9" w:rsidP="00AC3823">
      <w:pPr>
        <w:pStyle w:val="Pieddepage"/>
      </w:pPr>
    </w:p>
  </w:endnote>
  <w:endnote w:type="continuationNotice" w:id="1">
    <w:p w:rsidR="008E3CA9" w:rsidRDefault="008E3C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6" w:rsidRPr="00050E16" w:rsidRDefault="00050E16" w:rsidP="00050E16">
    <w:pPr>
      <w:pStyle w:val="Pieddepage"/>
      <w:tabs>
        <w:tab w:val="right" w:pos="9638"/>
      </w:tabs>
    </w:pPr>
    <w:r w:rsidRPr="00050E16">
      <w:rPr>
        <w:b/>
        <w:sz w:val="18"/>
      </w:rPr>
      <w:fldChar w:fldCharType="begin"/>
    </w:r>
    <w:r w:rsidRPr="00050E16">
      <w:rPr>
        <w:b/>
        <w:sz w:val="18"/>
      </w:rPr>
      <w:instrText xml:space="preserve"> PAGE  \* MERGEFORMAT </w:instrText>
    </w:r>
    <w:r w:rsidRPr="00050E16">
      <w:rPr>
        <w:b/>
        <w:sz w:val="18"/>
      </w:rPr>
      <w:fldChar w:fldCharType="separate"/>
    </w:r>
    <w:r w:rsidRPr="00050E16">
      <w:rPr>
        <w:b/>
        <w:noProof/>
        <w:sz w:val="18"/>
      </w:rPr>
      <w:t>2</w:t>
    </w:r>
    <w:r w:rsidRPr="00050E16">
      <w:rPr>
        <w:b/>
        <w:sz w:val="18"/>
      </w:rPr>
      <w:fldChar w:fldCharType="end"/>
    </w:r>
    <w:r>
      <w:rPr>
        <w:b/>
        <w:sz w:val="18"/>
      </w:rPr>
      <w:tab/>
    </w:r>
    <w:r>
      <w:t>GE.20-14555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6" w:rsidRPr="00050E16" w:rsidRDefault="00050E16" w:rsidP="00050E16">
    <w:pPr>
      <w:pStyle w:val="Pieddepage"/>
      <w:tabs>
        <w:tab w:val="right" w:pos="9638"/>
      </w:tabs>
      <w:rPr>
        <w:b/>
        <w:sz w:val="18"/>
      </w:rPr>
    </w:pPr>
    <w:r>
      <w:t>GE.20-14555</w:t>
    </w:r>
    <w:r>
      <w:tab/>
    </w:r>
    <w:r w:rsidRPr="00050E16">
      <w:rPr>
        <w:b/>
        <w:sz w:val="18"/>
      </w:rPr>
      <w:fldChar w:fldCharType="begin"/>
    </w:r>
    <w:r w:rsidRPr="00050E16">
      <w:rPr>
        <w:b/>
        <w:sz w:val="18"/>
      </w:rPr>
      <w:instrText xml:space="preserve"> PAGE  \* MERGEFORMAT </w:instrText>
    </w:r>
    <w:r w:rsidRPr="00050E16">
      <w:rPr>
        <w:b/>
        <w:sz w:val="18"/>
      </w:rPr>
      <w:fldChar w:fldCharType="separate"/>
    </w:r>
    <w:r w:rsidRPr="00050E16">
      <w:rPr>
        <w:b/>
        <w:noProof/>
        <w:sz w:val="18"/>
      </w:rPr>
      <w:t>3</w:t>
    </w:r>
    <w:r w:rsidRPr="00050E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50E16" w:rsidRDefault="00050E16" w:rsidP="00050E16">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20-14555  (F)    111120    111120</w:t>
    </w:r>
    <w:r>
      <w:rPr>
        <w:sz w:val="20"/>
      </w:rPr>
      <w:br/>
    </w:r>
    <w:r w:rsidRPr="00050E16">
      <w:rPr>
        <w:rFonts w:ascii="C39T30Lfz" w:hAnsi="C39T30Lfz"/>
        <w:sz w:val="56"/>
      </w:rPr>
      <w:t>*2014555*</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CA9" w:rsidRPr="00AC3823" w:rsidRDefault="008E3CA9" w:rsidP="00AC3823">
      <w:pPr>
        <w:pStyle w:val="Pieddepage"/>
        <w:tabs>
          <w:tab w:val="right" w:pos="2155"/>
        </w:tabs>
        <w:spacing w:after="80" w:line="240" w:lineRule="atLeast"/>
        <w:ind w:left="680"/>
        <w:rPr>
          <w:u w:val="single"/>
        </w:rPr>
      </w:pPr>
      <w:r>
        <w:rPr>
          <w:u w:val="single"/>
        </w:rPr>
        <w:tab/>
      </w:r>
    </w:p>
  </w:footnote>
  <w:footnote w:type="continuationSeparator" w:id="0">
    <w:p w:rsidR="008E3CA9" w:rsidRPr="00AC3823" w:rsidRDefault="008E3CA9" w:rsidP="00AC3823">
      <w:pPr>
        <w:pStyle w:val="Pieddepage"/>
        <w:tabs>
          <w:tab w:val="right" w:pos="2155"/>
        </w:tabs>
        <w:spacing w:after="80" w:line="240" w:lineRule="atLeast"/>
        <w:ind w:left="680"/>
        <w:rPr>
          <w:u w:val="single"/>
        </w:rPr>
      </w:pPr>
      <w:r>
        <w:rPr>
          <w:u w:val="single"/>
        </w:rPr>
        <w:tab/>
      </w:r>
    </w:p>
  </w:footnote>
  <w:footnote w:type="continuationNotice" w:id="1">
    <w:p w:rsidR="008E3CA9" w:rsidRPr="00AC3823" w:rsidRDefault="008E3CA9">
      <w:pPr>
        <w:spacing w:line="240" w:lineRule="auto"/>
        <w:rPr>
          <w:sz w:val="2"/>
          <w:szCs w:val="2"/>
        </w:rPr>
      </w:pPr>
    </w:p>
  </w:footnote>
  <w:footnote w:id="2">
    <w:p w:rsidR="00050E16" w:rsidRPr="001F2317" w:rsidRDefault="00050E16" w:rsidP="00050E16">
      <w:pPr>
        <w:pStyle w:val="Notedebasdepage"/>
        <w:rPr>
          <w:lang w:val="fr-FR"/>
        </w:rPr>
      </w:pPr>
      <w:r>
        <w:rPr>
          <w:lang w:val="fr-FR"/>
        </w:rPr>
        <w:tab/>
      </w:r>
      <w:r w:rsidRPr="00050E16">
        <w:rPr>
          <w:sz w:val="20"/>
          <w:lang w:val="fr-FR"/>
        </w:rPr>
        <w:t>*</w:t>
      </w:r>
      <w:r>
        <w:rPr>
          <w:lang w:val="fr-FR"/>
        </w:rPr>
        <w:tab/>
      </w:r>
      <w:r w:rsidRPr="00050E16">
        <w:t>Conformément</w:t>
      </w:r>
      <w:r>
        <w:rPr>
          <w:lang w:val="fr-FR"/>
        </w:rPr>
        <w:t xml:space="preserve">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6" w:rsidRPr="00050E16" w:rsidRDefault="00050E16">
    <w:pPr>
      <w:pStyle w:val="En-tte"/>
    </w:pPr>
    <w:fldSimple w:instr=" TITLE  \* MERGEFORMAT ">
      <w:r>
        <w:t>ECE/TRANS/WP.29/GRPE/2021/5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6" w:rsidRPr="00050E16" w:rsidRDefault="00050E16" w:rsidP="00050E16">
    <w:pPr>
      <w:pStyle w:val="En-tte"/>
      <w:jc w:val="right"/>
    </w:pPr>
    <w:fldSimple w:instr=" TITLE  \* MERGEFORMAT ">
      <w:r>
        <w:t>ECE/TRANS/WP.29/GRPE/2021/5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3CA9"/>
    <w:rsid w:val="00017F94"/>
    <w:rsid w:val="00023842"/>
    <w:rsid w:val="000334F9"/>
    <w:rsid w:val="000426D8"/>
    <w:rsid w:val="00045FEB"/>
    <w:rsid w:val="00050E16"/>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71C75"/>
    <w:rsid w:val="008776DC"/>
    <w:rsid w:val="008E3CA9"/>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C4729"/>
  <w15:docId w15:val="{9EF586D5-6537-4CBE-AE04-B131FA01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050E1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FF7D7-4253-42B1-B4E8-BC6A45BA8B8F}"/>
</file>

<file path=customXml/itemProps2.xml><?xml version="1.0" encoding="utf-8"?>
<ds:datastoreItem xmlns:ds="http://schemas.openxmlformats.org/officeDocument/2006/customXml" ds:itemID="{B9E5D8A5-70A8-4C29-9E92-94B4322FEA9B}"/>
</file>

<file path=customXml/itemProps3.xml><?xml version="1.0" encoding="utf-8"?>
<ds:datastoreItem xmlns:ds="http://schemas.openxmlformats.org/officeDocument/2006/customXml" ds:itemID="{1B8CFD74-F201-4B1B-BE70-BEC126983647}"/>
</file>

<file path=docProps/app.xml><?xml version="1.0" encoding="utf-8"?>
<Properties xmlns="http://schemas.openxmlformats.org/officeDocument/2006/extended-properties" xmlns:vt="http://schemas.openxmlformats.org/officeDocument/2006/docPropsVTypes">
  <Template>ECE_TRANS.dotm</Template>
  <TotalTime>0</TotalTime>
  <Pages>2</Pages>
  <Words>495</Words>
  <Characters>2956</Characters>
  <Application>Microsoft Office Word</Application>
  <DocSecurity>0</DocSecurity>
  <Lines>68</Lines>
  <Paragraphs>31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ECE/TRANS/WP.29/GRPE/2021/5</dc:title>
  <dc:subject/>
  <dc:creator>Sandrine CLERE</dc:creator>
  <cp:keywords/>
  <cp:lastModifiedBy>Sandrine CLERE</cp:lastModifiedBy>
  <cp:revision>2</cp:revision>
  <cp:lastPrinted>2014-05-14T10:59:00Z</cp:lastPrinted>
  <dcterms:created xsi:type="dcterms:W3CDTF">2020-11-11T13:10:00Z</dcterms:created>
  <dcterms:modified xsi:type="dcterms:W3CDTF">2020-11-11T13:10:00Z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