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AC347CF" w14:textId="77777777" w:rsidTr="00B20551">
        <w:trPr>
          <w:cantSplit/>
          <w:trHeight w:hRule="exact" w:val="851"/>
        </w:trPr>
        <w:tc>
          <w:tcPr>
            <w:tcW w:w="1276" w:type="dxa"/>
            <w:tcBorders>
              <w:bottom w:val="single" w:sz="4" w:space="0" w:color="auto"/>
            </w:tcBorders>
            <w:vAlign w:val="bottom"/>
          </w:tcPr>
          <w:p w14:paraId="73A629B5" w14:textId="77777777" w:rsidR="009E6CB7" w:rsidRDefault="009E6CB7" w:rsidP="00B20551">
            <w:pPr>
              <w:spacing w:after="80"/>
            </w:pPr>
          </w:p>
        </w:tc>
        <w:tc>
          <w:tcPr>
            <w:tcW w:w="2268" w:type="dxa"/>
            <w:tcBorders>
              <w:bottom w:val="single" w:sz="4" w:space="0" w:color="auto"/>
            </w:tcBorders>
            <w:vAlign w:val="bottom"/>
          </w:tcPr>
          <w:p w14:paraId="489AF78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C1773D2" w14:textId="7CDC56D0" w:rsidR="009E6CB7" w:rsidRPr="00D47EEA" w:rsidRDefault="002944F2" w:rsidP="00BF7A6C">
            <w:pPr>
              <w:jc w:val="right"/>
            </w:pPr>
            <w:r w:rsidRPr="002944F2">
              <w:rPr>
                <w:sz w:val="40"/>
              </w:rPr>
              <w:t>ECE</w:t>
            </w:r>
            <w:r>
              <w:t>/TRANS/WP.29/GRPE/2021/5</w:t>
            </w:r>
          </w:p>
        </w:tc>
      </w:tr>
      <w:tr w:rsidR="009E6CB7" w14:paraId="0B849F77" w14:textId="77777777" w:rsidTr="00B20551">
        <w:trPr>
          <w:cantSplit/>
          <w:trHeight w:hRule="exact" w:val="2835"/>
        </w:trPr>
        <w:tc>
          <w:tcPr>
            <w:tcW w:w="1276" w:type="dxa"/>
            <w:tcBorders>
              <w:top w:val="single" w:sz="4" w:space="0" w:color="auto"/>
              <w:bottom w:val="single" w:sz="12" w:space="0" w:color="auto"/>
            </w:tcBorders>
          </w:tcPr>
          <w:p w14:paraId="20A6A83E" w14:textId="77777777" w:rsidR="009E6CB7" w:rsidRDefault="00686A48" w:rsidP="00B20551">
            <w:pPr>
              <w:spacing w:before="120"/>
            </w:pPr>
            <w:r>
              <w:rPr>
                <w:noProof/>
                <w:lang w:val="en-US" w:eastAsia="ja-JP"/>
              </w:rPr>
              <w:drawing>
                <wp:inline distT="0" distB="0" distL="0" distR="0" wp14:anchorId="25988C1A" wp14:editId="6843975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491166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D15835A" w14:textId="77777777" w:rsidR="009E6CB7" w:rsidRDefault="007E2877" w:rsidP="007E2877">
            <w:pPr>
              <w:spacing w:before="240" w:line="240" w:lineRule="exact"/>
            </w:pPr>
            <w:r>
              <w:t>Distr.: General</w:t>
            </w:r>
          </w:p>
          <w:p w14:paraId="7D5CD8ED" w14:textId="6F8D15F1" w:rsidR="007E2877" w:rsidRDefault="00F91242" w:rsidP="007E2877">
            <w:pPr>
              <w:spacing w:line="240" w:lineRule="exact"/>
            </w:pPr>
            <w:r>
              <w:t>3</w:t>
            </w:r>
            <w:r w:rsidR="00684987">
              <w:t xml:space="preserve"> November</w:t>
            </w:r>
            <w:r w:rsidR="007E2877">
              <w:t xml:space="preserve"> 2020</w:t>
            </w:r>
          </w:p>
          <w:p w14:paraId="6DFAF601" w14:textId="77777777" w:rsidR="007E2877" w:rsidRDefault="007E2877" w:rsidP="007E2877">
            <w:pPr>
              <w:spacing w:line="240" w:lineRule="exact"/>
            </w:pPr>
          </w:p>
          <w:p w14:paraId="4FBC7295" w14:textId="77777777" w:rsidR="007E2877" w:rsidRDefault="007E2877" w:rsidP="007E2877">
            <w:pPr>
              <w:spacing w:line="240" w:lineRule="exact"/>
            </w:pPr>
            <w:r>
              <w:t>Original: English</w:t>
            </w:r>
          </w:p>
        </w:tc>
      </w:tr>
    </w:tbl>
    <w:p w14:paraId="79E649D4" w14:textId="77777777" w:rsidR="007E2877" w:rsidRPr="007E2877" w:rsidRDefault="007E2877" w:rsidP="007E2877">
      <w:pPr>
        <w:tabs>
          <w:tab w:val="left" w:pos="567"/>
          <w:tab w:val="left" w:pos="1134"/>
        </w:tabs>
        <w:spacing w:before="120"/>
        <w:rPr>
          <w:sz w:val="22"/>
          <w:szCs w:val="22"/>
          <w:lang w:eastAsia="en-US"/>
        </w:rPr>
      </w:pPr>
      <w:r w:rsidRPr="007E2877">
        <w:rPr>
          <w:b/>
          <w:sz w:val="28"/>
          <w:szCs w:val="28"/>
          <w:lang w:eastAsia="en-US"/>
        </w:rPr>
        <w:t>Economic</w:t>
      </w:r>
      <w:r w:rsidRPr="007E2877">
        <w:rPr>
          <w:b/>
          <w:bCs/>
          <w:sz w:val="28"/>
          <w:szCs w:val="28"/>
          <w:lang w:eastAsia="en-US"/>
        </w:rPr>
        <w:t xml:space="preserve"> Commission for Europe </w:t>
      </w:r>
    </w:p>
    <w:p w14:paraId="12AB53A9" w14:textId="77777777" w:rsidR="007E2877" w:rsidRPr="007E2877" w:rsidRDefault="007E2877" w:rsidP="007E2877">
      <w:pPr>
        <w:tabs>
          <w:tab w:val="left" w:pos="567"/>
          <w:tab w:val="left" w:pos="1134"/>
        </w:tabs>
        <w:spacing w:before="120"/>
        <w:rPr>
          <w:sz w:val="22"/>
          <w:szCs w:val="22"/>
          <w:lang w:eastAsia="en-US"/>
        </w:rPr>
      </w:pPr>
      <w:r w:rsidRPr="007E2877">
        <w:rPr>
          <w:sz w:val="28"/>
          <w:szCs w:val="28"/>
          <w:lang w:eastAsia="en-US"/>
        </w:rPr>
        <w:t xml:space="preserve">Inland Transport Committee </w:t>
      </w:r>
    </w:p>
    <w:p w14:paraId="51B547CB" w14:textId="77777777" w:rsidR="007E2877" w:rsidRPr="007E2877" w:rsidRDefault="007E2877" w:rsidP="007E2877">
      <w:pPr>
        <w:tabs>
          <w:tab w:val="left" w:pos="567"/>
          <w:tab w:val="left" w:pos="1134"/>
        </w:tabs>
        <w:spacing w:before="120"/>
        <w:rPr>
          <w:sz w:val="22"/>
          <w:szCs w:val="22"/>
          <w:lang w:eastAsia="en-US"/>
        </w:rPr>
      </w:pPr>
      <w:r w:rsidRPr="007E2877">
        <w:rPr>
          <w:b/>
          <w:bCs/>
          <w:sz w:val="24"/>
          <w:szCs w:val="24"/>
          <w:lang w:eastAsia="en-US"/>
        </w:rPr>
        <w:t xml:space="preserve">World Forum for Harmonization of Vehicle Regulations </w:t>
      </w:r>
    </w:p>
    <w:p w14:paraId="329028F0" w14:textId="77777777" w:rsidR="007E2877" w:rsidRPr="007E2877" w:rsidRDefault="007E2877" w:rsidP="007E2877">
      <w:pPr>
        <w:tabs>
          <w:tab w:val="left" w:pos="567"/>
          <w:tab w:val="left" w:pos="1134"/>
        </w:tabs>
        <w:spacing w:before="120" w:after="120"/>
        <w:rPr>
          <w:b/>
          <w:bCs/>
          <w:lang w:eastAsia="en-US"/>
        </w:rPr>
      </w:pPr>
      <w:r w:rsidRPr="007E2877">
        <w:rPr>
          <w:b/>
          <w:bCs/>
          <w:lang w:eastAsia="en-US"/>
        </w:rPr>
        <w:t>Working Party on Pollution and Energy</w:t>
      </w:r>
    </w:p>
    <w:p w14:paraId="669A86A9" w14:textId="77777777" w:rsidR="0049176C" w:rsidRPr="0049176C" w:rsidRDefault="0049176C" w:rsidP="0049176C">
      <w:pPr>
        <w:rPr>
          <w:b/>
        </w:rPr>
      </w:pPr>
      <w:r w:rsidRPr="0049176C">
        <w:rPr>
          <w:b/>
        </w:rPr>
        <w:t>Eighty-second session</w:t>
      </w:r>
    </w:p>
    <w:p w14:paraId="512CE679" w14:textId="77777777" w:rsidR="0049176C" w:rsidRPr="0049176C" w:rsidRDefault="0049176C" w:rsidP="0049176C">
      <w:pPr>
        <w:rPr>
          <w:rFonts w:eastAsia="Times New Roman"/>
        </w:rPr>
      </w:pPr>
      <w:r w:rsidRPr="0049176C">
        <w:t>Geneva</w:t>
      </w:r>
      <w:r w:rsidRPr="0049176C">
        <w:rPr>
          <w:bCs/>
        </w:rPr>
        <w:t>, 12-15 January 2021</w:t>
      </w:r>
    </w:p>
    <w:p w14:paraId="42928B12" w14:textId="77777777" w:rsidR="0049176C" w:rsidRPr="0049176C" w:rsidRDefault="0049176C" w:rsidP="0049176C">
      <w:pPr>
        <w:rPr>
          <w:rFonts w:eastAsia="Times New Roman"/>
        </w:rPr>
      </w:pPr>
      <w:r w:rsidRPr="0049176C">
        <w:rPr>
          <w:rFonts w:eastAsia="Times New Roman"/>
        </w:rPr>
        <w:t xml:space="preserve">Item </w:t>
      </w:r>
      <w:r w:rsidRPr="0049176C">
        <w:rPr>
          <w:rFonts w:eastAsia="Times New Roman"/>
          <w:bCs/>
        </w:rPr>
        <w:t xml:space="preserve">3(a) </w:t>
      </w:r>
      <w:r w:rsidRPr="0049176C">
        <w:rPr>
          <w:rFonts w:eastAsia="Times New Roman"/>
        </w:rPr>
        <w:t>of the provisional agenda</w:t>
      </w:r>
    </w:p>
    <w:p w14:paraId="0AEE0696" w14:textId="77777777" w:rsidR="0049176C" w:rsidRPr="0049176C" w:rsidRDefault="0049176C" w:rsidP="0049176C">
      <w:pPr>
        <w:rPr>
          <w:rFonts w:eastAsia="Times New Roman"/>
          <w:b/>
          <w:bCs/>
        </w:rPr>
      </w:pPr>
      <w:r w:rsidRPr="0049176C">
        <w:rPr>
          <w:rFonts w:eastAsia="Times New Roman"/>
          <w:b/>
        </w:rPr>
        <w:t xml:space="preserve">Light vehicles: UN Regulations Nos. 68 (Measurement of the </w:t>
      </w:r>
      <w:r w:rsidRPr="0049176C">
        <w:rPr>
          <w:rFonts w:eastAsia="Times New Roman"/>
          <w:b/>
        </w:rPr>
        <w:br/>
        <w:t xml:space="preserve">maximum speed, including electric vehicles), 83 (Emissions of </w:t>
      </w:r>
      <w:r w:rsidRPr="0049176C">
        <w:rPr>
          <w:rFonts w:eastAsia="Times New Roman"/>
          <w:b/>
        </w:rPr>
        <w:br/>
        <w:t>M</w:t>
      </w:r>
      <w:r w:rsidRPr="0049176C">
        <w:rPr>
          <w:rFonts w:eastAsia="Times New Roman"/>
          <w:b/>
          <w:vertAlign w:val="subscript"/>
        </w:rPr>
        <w:t>1</w:t>
      </w:r>
      <w:r w:rsidRPr="0049176C">
        <w:rPr>
          <w:rFonts w:eastAsia="Times New Roman"/>
          <w:b/>
        </w:rPr>
        <w:t xml:space="preserve"> and N</w:t>
      </w:r>
      <w:r w:rsidRPr="0049176C">
        <w:rPr>
          <w:rFonts w:eastAsia="Times New Roman"/>
          <w:b/>
          <w:vertAlign w:val="subscript"/>
        </w:rPr>
        <w:t>1</w:t>
      </w:r>
      <w:r w:rsidRPr="0049176C">
        <w:rPr>
          <w:rFonts w:eastAsia="Times New Roman"/>
          <w:b/>
        </w:rPr>
        <w:t xml:space="preserve"> vehicles), 101 (CO</w:t>
      </w:r>
      <w:r w:rsidRPr="0049176C">
        <w:rPr>
          <w:rFonts w:eastAsia="Times New Roman"/>
          <w:b/>
          <w:vertAlign w:val="subscript"/>
        </w:rPr>
        <w:t>2</w:t>
      </w:r>
      <w:r w:rsidRPr="0049176C">
        <w:rPr>
          <w:rFonts w:eastAsia="Times New Roman"/>
          <w:b/>
        </w:rPr>
        <w:t xml:space="preserve"> emissions/fuel consumption) </w:t>
      </w:r>
      <w:r w:rsidRPr="0049176C">
        <w:rPr>
          <w:rFonts w:eastAsia="Times New Roman"/>
          <w:b/>
        </w:rPr>
        <w:br/>
        <w:t xml:space="preserve">103 (Replacement pollution control devices) and [154] </w:t>
      </w:r>
      <w:r w:rsidRPr="0049176C">
        <w:rPr>
          <w:rFonts w:eastAsia="Times New Roman"/>
          <w:b/>
        </w:rPr>
        <w:br/>
        <w:t>(Worldwide harmonized Light vehicles Test Procedures (WLTP))</w:t>
      </w:r>
    </w:p>
    <w:p w14:paraId="10C65BB9" w14:textId="77777777" w:rsidR="007E2877" w:rsidRPr="007E2877" w:rsidRDefault="007E2877" w:rsidP="007E2877">
      <w:pPr>
        <w:keepNext/>
        <w:keepLines/>
        <w:tabs>
          <w:tab w:val="right" w:pos="851"/>
        </w:tabs>
        <w:spacing w:before="360" w:after="240" w:line="300" w:lineRule="exact"/>
        <w:ind w:left="1134" w:right="1134" w:hanging="1134"/>
        <w:rPr>
          <w:b/>
          <w:sz w:val="28"/>
          <w:lang w:eastAsia="en-US"/>
        </w:rPr>
      </w:pPr>
      <w:r w:rsidRPr="007E2877">
        <w:rPr>
          <w:b/>
          <w:sz w:val="28"/>
          <w:lang w:eastAsia="en-US"/>
        </w:rPr>
        <w:tab/>
      </w:r>
      <w:r w:rsidRPr="007E2877">
        <w:rPr>
          <w:b/>
          <w:sz w:val="28"/>
          <w:lang w:eastAsia="en-US"/>
        </w:rPr>
        <w:tab/>
        <w:t>Proposal</w:t>
      </w:r>
      <w:r w:rsidRPr="007E2877">
        <w:rPr>
          <w:bCs/>
          <w:color w:val="000000"/>
          <w:sz w:val="28"/>
          <w:szCs w:val="28"/>
          <w:lang w:eastAsia="en-US"/>
        </w:rPr>
        <w:t xml:space="preserve"> </w:t>
      </w:r>
      <w:r w:rsidRPr="007E2877">
        <w:rPr>
          <w:b/>
          <w:bCs/>
          <w:color w:val="000000"/>
          <w:sz w:val="28"/>
          <w:szCs w:val="28"/>
          <w:lang w:eastAsia="en-US"/>
        </w:rPr>
        <w:t>for a n</w:t>
      </w:r>
      <w:r w:rsidR="00E66E87">
        <w:rPr>
          <w:b/>
          <w:bCs/>
          <w:color w:val="000000"/>
          <w:sz w:val="28"/>
          <w:szCs w:val="28"/>
          <w:lang w:eastAsia="en-US"/>
        </w:rPr>
        <w:t xml:space="preserve">ew Supplement to the </w:t>
      </w:r>
      <w:r w:rsidRPr="007E2877">
        <w:rPr>
          <w:b/>
          <w:bCs/>
          <w:color w:val="000000"/>
          <w:sz w:val="28"/>
          <w:szCs w:val="28"/>
          <w:lang w:eastAsia="en-US"/>
        </w:rPr>
        <w:t>07 series of</w:t>
      </w:r>
      <w:r w:rsidR="00E66E87">
        <w:rPr>
          <w:b/>
          <w:bCs/>
          <w:color w:val="000000"/>
          <w:sz w:val="28"/>
          <w:szCs w:val="28"/>
          <w:lang w:eastAsia="en-US"/>
        </w:rPr>
        <w:t xml:space="preserve"> </w:t>
      </w:r>
      <w:r w:rsidRPr="007E2877">
        <w:rPr>
          <w:b/>
          <w:bCs/>
          <w:color w:val="000000"/>
          <w:sz w:val="28"/>
          <w:szCs w:val="28"/>
          <w:lang w:eastAsia="en-US"/>
        </w:rPr>
        <w:t>amendments to Regulation No. 83 (Emissions of M</w:t>
      </w:r>
      <w:r w:rsidRPr="00BD4290">
        <w:rPr>
          <w:b/>
          <w:bCs/>
          <w:color w:val="000000"/>
          <w:sz w:val="28"/>
          <w:szCs w:val="28"/>
          <w:vertAlign w:val="subscript"/>
          <w:lang w:eastAsia="en-US"/>
        </w:rPr>
        <w:t>1</w:t>
      </w:r>
      <w:r w:rsidRPr="007E2877">
        <w:rPr>
          <w:b/>
          <w:bCs/>
          <w:color w:val="000000"/>
          <w:sz w:val="28"/>
          <w:szCs w:val="28"/>
          <w:lang w:eastAsia="en-US"/>
        </w:rPr>
        <w:t xml:space="preserve"> and N</w:t>
      </w:r>
      <w:r w:rsidRPr="00BD4290">
        <w:rPr>
          <w:b/>
          <w:bCs/>
          <w:color w:val="000000"/>
          <w:sz w:val="28"/>
          <w:szCs w:val="28"/>
          <w:vertAlign w:val="subscript"/>
          <w:lang w:eastAsia="en-US"/>
        </w:rPr>
        <w:t>1</w:t>
      </w:r>
      <w:r w:rsidRPr="007E2877">
        <w:rPr>
          <w:b/>
          <w:bCs/>
          <w:color w:val="000000"/>
          <w:sz w:val="28"/>
          <w:szCs w:val="28"/>
          <w:lang w:eastAsia="en-US"/>
        </w:rPr>
        <w:t xml:space="preserve"> vehicles</w:t>
      </w:r>
      <w:r w:rsidRPr="007E2877">
        <w:rPr>
          <w:b/>
          <w:sz w:val="28"/>
          <w:lang w:eastAsia="en-US"/>
        </w:rPr>
        <w:t>)</w:t>
      </w:r>
    </w:p>
    <w:p w14:paraId="24B97F0E" w14:textId="77777777" w:rsidR="007E2877" w:rsidRPr="007E2877" w:rsidRDefault="007E2877" w:rsidP="007E2877">
      <w:pPr>
        <w:keepNext/>
        <w:keepLines/>
        <w:tabs>
          <w:tab w:val="right" w:pos="851"/>
        </w:tabs>
        <w:spacing w:before="360" w:after="240" w:line="270" w:lineRule="exact"/>
        <w:ind w:left="1134" w:right="1134" w:hanging="1134"/>
        <w:rPr>
          <w:b/>
          <w:sz w:val="24"/>
          <w:lang w:eastAsia="en-US"/>
        </w:rPr>
      </w:pPr>
      <w:r w:rsidRPr="007E2877">
        <w:rPr>
          <w:b/>
          <w:sz w:val="24"/>
          <w:lang w:val="x-none" w:eastAsia="en-US"/>
        </w:rPr>
        <w:tab/>
      </w:r>
      <w:r w:rsidRPr="007E2877">
        <w:rPr>
          <w:b/>
          <w:sz w:val="24"/>
          <w:lang w:val="x-none" w:eastAsia="en-US"/>
        </w:rPr>
        <w:tab/>
        <w:t xml:space="preserve">Submitted by the </w:t>
      </w:r>
      <w:r w:rsidRPr="007E2877">
        <w:rPr>
          <w:b/>
          <w:sz w:val="24"/>
          <w:lang w:val="en-US" w:eastAsia="en-US"/>
        </w:rPr>
        <w:t xml:space="preserve">expert from the </w:t>
      </w:r>
      <w:r w:rsidRPr="007E2877">
        <w:rPr>
          <w:b/>
          <w:sz w:val="24"/>
          <w:lang w:val="x-none" w:eastAsia="en-US"/>
        </w:rPr>
        <w:t xml:space="preserve">International </w:t>
      </w:r>
      <w:proofErr w:type="spellStart"/>
      <w:r w:rsidRPr="007E2877">
        <w:rPr>
          <w:b/>
          <w:sz w:val="24"/>
          <w:lang w:eastAsia="en-US"/>
        </w:rPr>
        <w:t>Organiz</w:t>
      </w:r>
      <w:r w:rsidRPr="007E2877">
        <w:rPr>
          <w:b/>
          <w:sz w:val="24"/>
          <w:lang w:val="x-none" w:eastAsia="en-US"/>
        </w:rPr>
        <w:t>ation</w:t>
      </w:r>
      <w:proofErr w:type="spellEnd"/>
      <w:r w:rsidRPr="007E2877">
        <w:rPr>
          <w:b/>
          <w:sz w:val="24"/>
          <w:lang w:val="x-none" w:eastAsia="en-US"/>
        </w:rPr>
        <w:t xml:space="preserve"> of Motor Vehicle Manufacturers</w:t>
      </w:r>
      <w:r w:rsidRPr="007E2877">
        <w:rPr>
          <w:sz w:val="24"/>
          <w:lang w:eastAsia="en-US"/>
        </w:rPr>
        <w:footnoteReference w:customMarkFollows="1" w:id="2"/>
        <w:t>*</w:t>
      </w:r>
    </w:p>
    <w:p w14:paraId="7B4C146C" w14:textId="3FCCF250" w:rsidR="007E2877" w:rsidRPr="007E2877" w:rsidRDefault="007E2877" w:rsidP="007E2877">
      <w:pPr>
        <w:spacing w:after="120"/>
        <w:ind w:left="1134" w:right="1134" w:firstLine="567"/>
        <w:jc w:val="both"/>
        <w:rPr>
          <w:lang w:eastAsia="en-US"/>
        </w:rPr>
      </w:pPr>
      <w:r w:rsidRPr="007E2877">
        <w:rPr>
          <w:lang w:eastAsia="en-US"/>
        </w:rPr>
        <w:t xml:space="preserve">The text reproduced below was prepared by the expert from the International Organization of Motor Vehicle Manufacturers (OICA). </w:t>
      </w:r>
      <w:r w:rsidRPr="00940714">
        <w:rPr>
          <w:lang w:eastAsia="en-US"/>
        </w:rPr>
        <w:t xml:space="preserve">This document </w:t>
      </w:r>
      <w:r w:rsidRPr="00940714">
        <w:rPr>
          <w:bCs/>
          <w:lang w:eastAsia="en-US"/>
        </w:rPr>
        <w:t xml:space="preserve">proposes to </w:t>
      </w:r>
      <w:r w:rsidR="006F133A" w:rsidRPr="00940714">
        <w:rPr>
          <w:bCs/>
          <w:lang w:eastAsia="en-US"/>
        </w:rPr>
        <w:t xml:space="preserve">correct an editorial error of </w:t>
      </w:r>
      <w:r w:rsidR="00BF7A6C" w:rsidRPr="00940714">
        <w:rPr>
          <w:bCs/>
          <w:lang w:eastAsia="en-US"/>
        </w:rPr>
        <w:t>exhaust after-treatment system monitoring requirement.</w:t>
      </w:r>
      <w:r w:rsidR="00861F14">
        <w:rPr>
          <w:bCs/>
          <w:lang w:eastAsia="en-US"/>
        </w:rPr>
        <w:t xml:space="preserve"> </w:t>
      </w:r>
      <w:r w:rsidR="00AD22D1" w:rsidRPr="00AD22D1">
        <w:t>The modifications to the current text of the Regulation are marked in bold for new or strikethrough for deleted characters</w:t>
      </w:r>
      <w:r w:rsidR="00861F14">
        <w:t>.</w:t>
      </w:r>
    </w:p>
    <w:p w14:paraId="30B8795B" w14:textId="77777777" w:rsidR="007E2877" w:rsidRPr="007E2877" w:rsidRDefault="007E2877" w:rsidP="007E2877">
      <w:pPr>
        <w:keepNext/>
        <w:keepLines/>
        <w:spacing w:before="360" w:after="240" w:line="300" w:lineRule="exact"/>
        <w:ind w:left="567" w:right="1134" w:hanging="1134"/>
        <w:rPr>
          <w:b/>
          <w:sz w:val="28"/>
          <w:lang w:eastAsia="en-US"/>
        </w:rPr>
      </w:pPr>
      <w:r w:rsidRPr="007E2877">
        <w:rPr>
          <w:b/>
          <w:sz w:val="28"/>
          <w:lang w:eastAsia="en-US"/>
        </w:rPr>
        <w:br w:type="page"/>
      </w:r>
      <w:r w:rsidRPr="007E2877">
        <w:rPr>
          <w:b/>
          <w:sz w:val="28"/>
          <w:lang w:eastAsia="en-US"/>
        </w:rPr>
        <w:lastRenderedPageBreak/>
        <w:tab/>
        <w:t>I.</w:t>
      </w:r>
      <w:r w:rsidRPr="007E2877">
        <w:rPr>
          <w:b/>
          <w:sz w:val="28"/>
          <w:lang w:eastAsia="en-US"/>
        </w:rPr>
        <w:tab/>
        <w:t>Proposal</w:t>
      </w:r>
    </w:p>
    <w:p w14:paraId="3014774B" w14:textId="66566115" w:rsidR="007E2877" w:rsidRPr="00940714" w:rsidRDefault="007E2877" w:rsidP="002458BC">
      <w:pPr>
        <w:spacing w:after="120"/>
        <w:ind w:left="1134" w:right="1134"/>
        <w:jc w:val="both"/>
        <w:rPr>
          <w:iCs/>
          <w:lang w:eastAsia="ja-JP"/>
        </w:rPr>
      </w:pPr>
      <w:r w:rsidRPr="00940714">
        <w:rPr>
          <w:i/>
          <w:lang w:val="en-US" w:eastAsia="en-US"/>
        </w:rPr>
        <w:t xml:space="preserve">Appendix </w:t>
      </w:r>
      <w:r w:rsidR="00773359" w:rsidRPr="00940714">
        <w:rPr>
          <w:i/>
          <w:lang w:val="en-US" w:eastAsia="en-US"/>
        </w:rPr>
        <w:t>6</w:t>
      </w:r>
      <w:r w:rsidRPr="00940714">
        <w:rPr>
          <w:i/>
          <w:lang w:val="en-US" w:eastAsia="en-US"/>
        </w:rPr>
        <w:t xml:space="preserve">, </w:t>
      </w:r>
      <w:r w:rsidR="00F70537">
        <w:rPr>
          <w:i/>
          <w:lang w:val="en-US" w:eastAsia="en-US"/>
        </w:rPr>
        <w:t>p</w:t>
      </w:r>
      <w:r w:rsidR="00F70537" w:rsidRPr="00940714">
        <w:rPr>
          <w:i/>
          <w:lang w:val="en-US" w:eastAsia="en-US"/>
        </w:rPr>
        <w:t>aragraph</w:t>
      </w:r>
      <w:r w:rsidR="00F70537">
        <w:rPr>
          <w:i/>
          <w:lang w:val="en-US" w:eastAsia="en-US"/>
        </w:rPr>
        <w:t xml:space="preserve"> </w:t>
      </w:r>
      <w:r w:rsidR="00773359" w:rsidRPr="00940714">
        <w:rPr>
          <w:i/>
          <w:lang w:val="en-US" w:eastAsia="en-US"/>
        </w:rPr>
        <w:t>6.</w:t>
      </w:r>
      <w:r w:rsidRPr="00940714">
        <w:rPr>
          <w:i/>
          <w:lang w:val="en-US" w:eastAsia="en-US"/>
        </w:rPr>
        <w:t>2.</w:t>
      </w:r>
      <w:r w:rsidRPr="00940714">
        <w:rPr>
          <w:rFonts w:hint="eastAsia"/>
          <w:i/>
          <w:lang w:eastAsia="ja-JP"/>
        </w:rPr>
        <w:t>,</w:t>
      </w:r>
      <w:r w:rsidRPr="00940714">
        <w:rPr>
          <w:rFonts w:hint="eastAsia"/>
          <w:lang w:eastAsia="ja-JP"/>
        </w:rPr>
        <w:t xml:space="preserve"> </w:t>
      </w:r>
      <w:r w:rsidR="00F10C93" w:rsidRPr="00940714">
        <w:rPr>
          <w:iCs/>
          <w:lang w:eastAsia="ja-JP"/>
        </w:rPr>
        <w:t xml:space="preserve">delete second </w:t>
      </w:r>
      <w:r w:rsidR="001875BC" w:rsidRPr="00940714">
        <w:rPr>
          <w:iCs/>
          <w:lang w:eastAsia="ja-JP"/>
        </w:rPr>
        <w:t>sub</w:t>
      </w:r>
      <w:r w:rsidR="00F10C93" w:rsidRPr="00940714">
        <w:rPr>
          <w:iCs/>
          <w:lang w:eastAsia="ja-JP"/>
        </w:rPr>
        <w:t xml:space="preserve">paragraph and </w:t>
      </w:r>
      <w:r w:rsidRPr="00940714">
        <w:rPr>
          <w:rFonts w:hint="eastAsia"/>
          <w:iCs/>
          <w:lang w:eastAsia="ja-JP"/>
        </w:rPr>
        <w:t xml:space="preserve">amend </w:t>
      </w:r>
      <w:r w:rsidRPr="00940714">
        <w:rPr>
          <w:iCs/>
          <w:lang w:eastAsia="ja-JP"/>
        </w:rPr>
        <w:t>to read</w:t>
      </w:r>
      <w:r w:rsidRPr="00940714">
        <w:rPr>
          <w:rFonts w:hint="eastAsia"/>
          <w:iCs/>
          <w:lang w:eastAsia="ja-JP"/>
        </w:rPr>
        <w:t>:</w:t>
      </w:r>
    </w:p>
    <w:p w14:paraId="1C314CEB" w14:textId="35D96811" w:rsidR="001875BC" w:rsidRPr="00940714" w:rsidRDefault="00940714" w:rsidP="00BD4290">
      <w:pPr>
        <w:widowControl w:val="0"/>
        <w:suppressAutoHyphens w:val="0"/>
        <w:autoSpaceDE w:val="0"/>
        <w:autoSpaceDN w:val="0"/>
        <w:adjustRightInd w:val="0"/>
        <w:spacing w:after="120" w:line="240" w:lineRule="auto"/>
        <w:ind w:leftChars="567" w:left="2268" w:right="1134" w:hangingChars="567" w:hanging="1134"/>
        <w:jc w:val="both"/>
        <w:rPr>
          <w:lang w:val="en-US"/>
        </w:rPr>
      </w:pPr>
      <w:r w:rsidRPr="00940714">
        <w:rPr>
          <w:lang w:val="en-US"/>
        </w:rPr>
        <w:t>“</w:t>
      </w:r>
      <w:r w:rsidR="001875BC" w:rsidRPr="00940714">
        <w:rPr>
          <w:lang w:val="en-US"/>
        </w:rPr>
        <w:t xml:space="preserve">6.2. </w:t>
      </w:r>
      <w:r w:rsidR="001875BC" w:rsidRPr="00940714">
        <w:rPr>
          <w:lang w:val="en-US"/>
        </w:rPr>
        <w:tab/>
        <w:t>The manufacturer shall demonstrate that use of the sensors referred to in paragraph 6.1. above and any other sensors on the vehicle, results in the activation of the driver warning system as referred to in paragraph 3. above, the display of a message indicating an appropriate warning (e.g. "emissions too high - check urea", "emissions too high – check AdBlue", "emissions too high - check reagent"), and the activation of the driver inducement system as referred to in paragraph 8.3. below, when the situations referred to in paragraphs 4.2., 5.4. or 5.5. above occur.</w:t>
      </w:r>
    </w:p>
    <w:p w14:paraId="5597B3B1" w14:textId="08CD1E0D" w:rsidR="001875BC" w:rsidRPr="00FB4E8A" w:rsidRDefault="001875BC" w:rsidP="00BD4290">
      <w:pPr>
        <w:widowControl w:val="0"/>
        <w:suppressAutoHyphens w:val="0"/>
        <w:autoSpaceDE w:val="0"/>
        <w:autoSpaceDN w:val="0"/>
        <w:adjustRightInd w:val="0"/>
        <w:spacing w:after="120" w:line="240" w:lineRule="auto"/>
        <w:ind w:leftChars="1134" w:left="2268" w:right="1134"/>
        <w:jc w:val="both"/>
        <w:rPr>
          <w:strike/>
          <w:lang w:val="en-US"/>
        </w:rPr>
      </w:pPr>
      <w:r w:rsidRPr="00FB4E8A">
        <w:rPr>
          <w:strike/>
          <w:lang w:val="en-US"/>
        </w:rPr>
        <w:t xml:space="preserve">For the purposes of this paragraph these situations are presumed to occur if the applicable NOx limit of the table set out in paragraph 5.3.1.4. of this Regulation multiplied by a factor of 1.5 is exceeded. </w:t>
      </w:r>
      <w:r w:rsidR="00401964" w:rsidRPr="00FB4E8A">
        <w:rPr>
          <w:strike/>
          <w:lang w:val="en-US"/>
        </w:rPr>
        <w:t>The NOx emissions during the test to demonstrate compliance with these requirements shall be no more than 20 per cent higher than the above threshold.</w:t>
      </w:r>
    </w:p>
    <w:p w14:paraId="11052034" w14:textId="77777777" w:rsidR="001875BC" w:rsidRPr="002458BC" w:rsidRDefault="001875BC" w:rsidP="00BD4290">
      <w:pPr>
        <w:widowControl w:val="0"/>
        <w:suppressAutoHyphens w:val="0"/>
        <w:autoSpaceDE w:val="0"/>
        <w:autoSpaceDN w:val="0"/>
        <w:adjustRightInd w:val="0"/>
        <w:spacing w:after="120" w:line="240" w:lineRule="auto"/>
        <w:ind w:leftChars="1134" w:left="2268" w:right="1134"/>
        <w:jc w:val="both"/>
        <w:rPr>
          <w:lang w:val="en-US"/>
        </w:rPr>
      </w:pPr>
      <w:r w:rsidRPr="002458BC">
        <w:rPr>
          <w:lang w:val="en-US"/>
        </w:rPr>
        <w:t>For the purposes of this paragraph these situations are presumed to occur if the applicable NOx OBD threshold limit of the tables set out in paragraph 3.3.2. of Annex 11 to this Regulation is exceeded.</w:t>
      </w:r>
    </w:p>
    <w:p w14:paraId="38171784" w14:textId="36B0186A" w:rsidR="00501297" w:rsidRPr="002458BC" w:rsidRDefault="002458BC" w:rsidP="00BD4290">
      <w:pPr>
        <w:widowControl w:val="0"/>
        <w:suppressAutoHyphens w:val="0"/>
        <w:autoSpaceDE w:val="0"/>
        <w:autoSpaceDN w:val="0"/>
        <w:adjustRightInd w:val="0"/>
        <w:spacing w:after="120" w:line="240" w:lineRule="auto"/>
        <w:ind w:leftChars="1134" w:left="2268" w:right="1134"/>
        <w:jc w:val="both"/>
        <w:rPr>
          <w:lang w:val="en-US"/>
        </w:rPr>
      </w:pPr>
      <w:r w:rsidRPr="00FB4E8A">
        <w:rPr>
          <w:b/>
          <w:bCs/>
          <w:lang w:val="en-US"/>
        </w:rPr>
        <w:t>The NOx emissions during the test to demonstrate compliance with these requirements shall be no more than 20 per cent higher than the above threshold.</w:t>
      </w:r>
      <w:r w:rsidR="00940714" w:rsidRPr="002458BC">
        <w:rPr>
          <w:lang w:val="en-US"/>
        </w:rPr>
        <w:t>”</w:t>
      </w:r>
    </w:p>
    <w:p w14:paraId="0E246B01" w14:textId="77777777" w:rsidR="007E2877" w:rsidRPr="007E2877" w:rsidRDefault="007E2877" w:rsidP="00940714">
      <w:pPr>
        <w:keepNext/>
        <w:keepLines/>
        <w:spacing w:before="360" w:after="240" w:line="300" w:lineRule="exact"/>
        <w:ind w:left="1134" w:right="1134" w:hanging="567"/>
        <w:rPr>
          <w:b/>
          <w:sz w:val="28"/>
          <w:lang w:eastAsia="en-US"/>
        </w:rPr>
      </w:pPr>
      <w:r w:rsidRPr="007E2877">
        <w:rPr>
          <w:b/>
          <w:sz w:val="28"/>
          <w:lang w:val="en-US" w:eastAsia="en-US"/>
        </w:rPr>
        <w:t>II.</w:t>
      </w:r>
      <w:r w:rsidRPr="007E2877">
        <w:rPr>
          <w:b/>
          <w:sz w:val="28"/>
          <w:lang w:val="en-US" w:eastAsia="en-US"/>
        </w:rPr>
        <w:tab/>
        <w:t>Justification</w:t>
      </w:r>
    </w:p>
    <w:p w14:paraId="2629C19C" w14:textId="0828FD4C" w:rsidR="0017381D" w:rsidRDefault="001875BC" w:rsidP="00940714">
      <w:pPr>
        <w:pStyle w:val="ListParagraph"/>
        <w:numPr>
          <w:ilvl w:val="0"/>
          <w:numId w:val="22"/>
        </w:numPr>
        <w:spacing w:after="120"/>
        <w:ind w:leftChars="0" w:left="1134" w:right="1134" w:firstLine="0"/>
        <w:jc w:val="both"/>
        <w:rPr>
          <w:lang w:eastAsia="ja-JP"/>
        </w:rPr>
      </w:pPr>
      <w:r>
        <w:rPr>
          <w:lang w:eastAsia="ja-JP"/>
        </w:rPr>
        <w:t xml:space="preserve">This subparagraph was </w:t>
      </w:r>
      <w:r w:rsidR="007901D0">
        <w:rPr>
          <w:lang w:eastAsia="ja-JP"/>
        </w:rPr>
        <w:t>incorrectly</w:t>
      </w:r>
      <w:r>
        <w:rPr>
          <w:lang w:eastAsia="ja-JP"/>
        </w:rPr>
        <w:t xml:space="preserve"> inserted </w:t>
      </w:r>
      <w:r w:rsidR="006F133A">
        <w:rPr>
          <w:lang w:eastAsia="ja-JP"/>
        </w:rPr>
        <w:t>into the document of ECE/TRANS/WP.29/2018/148 and adopted at the 176th session of WP</w:t>
      </w:r>
      <w:r w:rsidR="003D2B08">
        <w:rPr>
          <w:lang w:eastAsia="ja-JP"/>
        </w:rPr>
        <w:t>.</w:t>
      </w:r>
      <w:r w:rsidR="006F133A">
        <w:rPr>
          <w:lang w:eastAsia="ja-JP"/>
        </w:rPr>
        <w:t xml:space="preserve">29 </w:t>
      </w:r>
      <w:r w:rsidR="007901D0">
        <w:rPr>
          <w:lang w:eastAsia="ja-JP"/>
        </w:rPr>
        <w:t xml:space="preserve">contrary to the amendment </w:t>
      </w:r>
      <w:r w:rsidR="0017381D">
        <w:rPr>
          <w:lang w:eastAsia="ja-JP"/>
        </w:rPr>
        <w:t xml:space="preserve">of ECE/TRANS/WP.29/GRPE/2018/7 </w:t>
      </w:r>
      <w:r w:rsidR="007901D0">
        <w:rPr>
          <w:lang w:eastAsia="ja-JP"/>
        </w:rPr>
        <w:t>adopted a</w:t>
      </w:r>
      <w:r w:rsidR="0017381D">
        <w:rPr>
          <w:lang w:eastAsia="ja-JP"/>
        </w:rPr>
        <w:t>t 76</w:t>
      </w:r>
      <w:r w:rsidR="0017381D" w:rsidRPr="00356418">
        <w:rPr>
          <w:lang w:eastAsia="ja-JP"/>
        </w:rPr>
        <w:t>th</w:t>
      </w:r>
      <w:r w:rsidR="0017381D">
        <w:rPr>
          <w:lang w:eastAsia="ja-JP"/>
        </w:rPr>
        <w:t xml:space="preserve"> GRPE.</w:t>
      </w:r>
    </w:p>
    <w:p w14:paraId="7FE948FA" w14:textId="085CB598" w:rsidR="00940714" w:rsidRDefault="00940714" w:rsidP="00940714">
      <w:pPr>
        <w:pStyle w:val="ListParagraph"/>
        <w:numPr>
          <w:ilvl w:val="0"/>
          <w:numId w:val="22"/>
        </w:numPr>
        <w:spacing w:after="120"/>
        <w:ind w:leftChars="0" w:left="1134" w:right="1134" w:firstLine="0"/>
        <w:jc w:val="both"/>
        <w:rPr>
          <w:lang w:eastAsia="ja-JP"/>
        </w:rPr>
      </w:pPr>
      <w:r>
        <w:rPr>
          <w:lang w:eastAsia="ja-JP"/>
        </w:rPr>
        <w:t xml:space="preserve">The second part of the subparagraph </w:t>
      </w:r>
      <w:r w:rsidR="00401964">
        <w:rPr>
          <w:lang w:eastAsia="ja-JP"/>
        </w:rPr>
        <w:t>is moved at the end of paragraph 6.2. of Appendix 6.</w:t>
      </w:r>
    </w:p>
    <w:p w14:paraId="1BA4CDE4" w14:textId="77777777" w:rsidR="007E2877" w:rsidRPr="00060FA9" w:rsidRDefault="003A66D3" w:rsidP="00060FA9">
      <w:pPr>
        <w:spacing w:before="240"/>
        <w:jc w:val="center"/>
        <w:rPr>
          <w:u w:val="single"/>
          <w:lang w:eastAsia="en-US"/>
        </w:rPr>
      </w:pPr>
      <w:r>
        <w:rPr>
          <w:u w:val="single"/>
          <w:lang w:eastAsia="en-US"/>
        </w:rPr>
        <w:tab/>
      </w:r>
      <w:r>
        <w:rPr>
          <w:u w:val="single"/>
          <w:lang w:eastAsia="en-US"/>
        </w:rPr>
        <w:tab/>
      </w:r>
      <w:r>
        <w:rPr>
          <w:u w:val="single"/>
          <w:lang w:eastAsia="en-US"/>
        </w:rPr>
        <w:tab/>
      </w:r>
    </w:p>
    <w:p w14:paraId="1C7B7787" w14:textId="77777777" w:rsidR="007E2877" w:rsidRPr="007E2877" w:rsidRDefault="007E2877" w:rsidP="007E2877">
      <w:pPr>
        <w:ind w:right="1134"/>
        <w:rPr>
          <w:u w:val="single"/>
          <w:lang w:eastAsia="en-US"/>
        </w:rPr>
      </w:pPr>
    </w:p>
    <w:p w14:paraId="47A52566" w14:textId="77777777" w:rsidR="001C6663" w:rsidRPr="007E2877" w:rsidRDefault="001C6663" w:rsidP="00595520">
      <w:bookmarkStart w:id="0" w:name="_GoBack"/>
      <w:bookmarkEnd w:id="0"/>
    </w:p>
    <w:sectPr w:rsidR="001C6663" w:rsidRPr="007E2877" w:rsidSect="007E2877">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8332" w14:textId="77777777" w:rsidR="003E52ED" w:rsidRDefault="003E52ED"/>
  </w:endnote>
  <w:endnote w:type="continuationSeparator" w:id="0">
    <w:p w14:paraId="08CFCE25" w14:textId="77777777" w:rsidR="003E52ED" w:rsidRDefault="003E52ED"/>
  </w:endnote>
  <w:endnote w:type="continuationNotice" w:id="1">
    <w:p w14:paraId="2BC53542" w14:textId="77777777" w:rsidR="003E52ED" w:rsidRDefault="003E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9B51" w14:textId="77777777" w:rsidR="007E2877" w:rsidRPr="007E2877" w:rsidRDefault="007E2877" w:rsidP="007E2877">
    <w:pPr>
      <w:pStyle w:val="Footer"/>
      <w:tabs>
        <w:tab w:val="right" w:pos="9638"/>
      </w:tabs>
      <w:rPr>
        <w:sz w:val="18"/>
      </w:rPr>
    </w:pPr>
    <w:r w:rsidRPr="007E2877">
      <w:rPr>
        <w:b/>
        <w:sz w:val="18"/>
      </w:rPr>
      <w:fldChar w:fldCharType="begin"/>
    </w:r>
    <w:r w:rsidRPr="007E2877">
      <w:rPr>
        <w:b/>
        <w:sz w:val="18"/>
      </w:rPr>
      <w:instrText xml:space="preserve"> PAGE  \* MERGEFORMAT </w:instrText>
    </w:r>
    <w:r w:rsidRPr="007E2877">
      <w:rPr>
        <w:b/>
        <w:sz w:val="18"/>
      </w:rPr>
      <w:fldChar w:fldCharType="separate"/>
    </w:r>
    <w:r w:rsidR="00BF7A6C">
      <w:rPr>
        <w:b/>
        <w:noProof/>
        <w:sz w:val="18"/>
      </w:rPr>
      <w:t>2</w:t>
    </w:r>
    <w:r w:rsidRPr="007E287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BD88" w14:textId="77777777" w:rsidR="007E2877" w:rsidRPr="007E2877" w:rsidRDefault="007E2877" w:rsidP="007E2877">
    <w:pPr>
      <w:pStyle w:val="Footer"/>
      <w:tabs>
        <w:tab w:val="right" w:pos="9638"/>
      </w:tabs>
      <w:rPr>
        <w:b/>
        <w:sz w:val="18"/>
      </w:rPr>
    </w:pPr>
    <w:r>
      <w:tab/>
    </w:r>
    <w:r w:rsidRPr="007E2877">
      <w:rPr>
        <w:b/>
        <w:sz w:val="18"/>
      </w:rPr>
      <w:fldChar w:fldCharType="begin"/>
    </w:r>
    <w:r w:rsidRPr="007E2877">
      <w:rPr>
        <w:b/>
        <w:sz w:val="18"/>
      </w:rPr>
      <w:instrText xml:space="preserve"> PAGE  \* MERGEFORMAT </w:instrText>
    </w:r>
    <w:r w:rsidRPr="007E2877">
      <w:rPr>
        <w:b/>
        <w:sz w:val="18"/>
      </w:rPr>
      <w:fldChar w:fldCharType="separate"/>
    </w:r>
    <w:r w:rsidRPr="007E2877">
      <w:rPr>
        <w:b/>
        <w:noProof/>
        <w:sz w:val="18"/>
      </w:rPr>
      <w:t>3</w:t>
    </w:r>
    <w:r w:rsidRPr="007E287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E231" w14:textId="48227884" w:rsidR="00485E1B" w:rsidRPr="00007D91" w:rsidRDefault="00007D91" w:rsidP="00007D91">
    <w:pPr>
      <w:pStyle w:val="Footer"/>
      <w:ind w:right="1134"/>
      <w:rPr>
        <w:rFonts w:asciiTheme="majorBidi" w:hAnsiTheme="majorBidi" w:cstheme="majorBidi"/>
        <w:sz w:val="20"/>
      </w:rPr>
    </w:pPr>
    <w:r w:rsidRPr="00007D91">
      <w:rPr>
        <w:rFonts w:asciiTheme="majorBidi" w:hAnsiTheme="majorBidi" w:cstheme="majorBidi"/>
        <w:noProof/>
        <w:sz w:val="20"/>
        <w:lang w:eastAsia="zh-CN"/>
      </w:rPr>
      <w:drawing>
        <wp:anchor distT="0" distB="0" distL="114300" distR="114300" simplePos="0" relativeHeight="251659264" behindDoc="1" locked="1" layoutInCell="1" allowOverlap="1" wp14:anchorId="7A5431A3" wp14:editId="0B01338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D763BD0" w14:textId="6D965281" w:rsidR="00007D91" w:rsidRPr="00007D91" w:rsidRDefault="00007D91" w:rsidP="00007D91">
    <w:pPr>
      <w:pStyle w:val="Footer"/>
      <w:ind w:right="1134"/>
      <w:rPr>
        <w:rFonts w:asciiTheme="majorBidi" w:hAnsiTheme="majorBidi" w:cstheme="majorBidi"/>
        <w:sz w:val="20"/>
      </w:rPr>
    </w:pPr>
    <w:r w:rsidRPr="00007D91">
      <w:rPr>
        <w:rFonts w:asciiTheme="majorBidi" w:hAnsiTheme="majorBidi" w:cstheme="majorBidi"/>
        <w:sz w:val="20"/>
      </w:rPr>
      <w:t>GE.20-14555(E)</w:t>
    </w:r>
  </w:p>
  <w:p w14:paraId="3AE808D0" w14:textId="61C4F4D5" w:rsidR="00007D91" w:rsidRPr="00007D91" w:rsidRDefault="00007D91" w:rsidP="00007D91">
    <w:pPr>
      <w:pStyle w:val="Footer"/>
      <w:ind w:right="1134"/>
      <w:rPr>
        <w:rFonts w:ascii="C39T30Lfz" w:hAnsi="C39T30Lfz" w:hint="eastAsia"/>
        <w:sz w:val="56"/>
      </w:rPr>
    </w:pPr>
    <w:r>
      <w:rPr>
        <w:rFonts w:ascii="C39T30Lfz" w:hAnsi="C39T30Lfz" w:hint="eastAsia"/>
        <w:sz w:val="56"/>
      </w:rPr>
      <w:t>*2014555*</w:t>
    </w:r>
    <w:r>
      <w:rPr>
        <w:rFonts w:ascii="C39T30Lfz" w:hAnsi="C39T30Lfz" w:hint="eastAsia"/>
        <w:noProof/>
        <w:sz w:val="56"/>
      </w:rPr>
      <w:drawing>
        <wp:anchor distT="0" distB="0" distL="114300" distR="114300" simplePos="0" relativeHeight="251660288" behindDoc="0" locked="0" layoutInCell="1" allowOverlap="1" wp14:anchorId="36CA170D" wp14:editId="2C2B0274">
          <wp:simplePos x="0" y="0"/>
          <wp:positionH relativeFrom="margin">
            <wp:posOffset>5478780</wp:posOffset>
          </wp:positionH>
          <wp:positionV relativeFrom="margin">
            <wp:posOffset>8794750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4FC9" w14:textId="77777777" w:rsidR="003E52ED" w:rsidRPr="000B175B" w:rsidRDefault="003E52ED" w:rsidP="000B175B">
      <w:pPr>
        <w:tabs>
          <w:tab w:val="right" w:pos="2155"/>
        </w:tabs>
        <w:spacing w:after="80"/>
        <w:ind w:left="680"/>
        <w:rPr>
          <w:u w:val="single"/>
        </w:rPr>
      </w:pPr>
      <w:r>
        <w:rPr>
          <w:u w:val="single"/>
        </w:rPr>
        <w:tab/>
      </w:r>
    </w:p>
  </w:footnote>
  <w:footnote w:type="continuationSeparator" w:id="0">
    <w:p w14:paraId="54C6C656" w14:textId="77777777" w:rsidR="003E52ED" w:rsidRPr="00FC68B7" w:rsidRDefault="003E52ED" w:rsidP="00FC68B7">
      <w:pPr>
        <w:tabs>
          <w:tab w:val="left" w:pos="2155"/>
        </w:tabs>
        <w:spacing w:after="80"/>
        <w:ind w:left="680"/>
        <w:rPr>
          <w:u w:val="single"/>
        </w:rPr>
      </w:pPr>
      <w:r>
        <w:rPr>
          <w:u w:val="single"/>
        </w:rPr>
        <w:tab/>
      </w:r>
    </w:p>
  </w:footnote>
  <w:footnote w:type="continuationNotice" w:id="1">
    <w:p w14:paraId="53B66843" w14:textId="77777777" w:rsidR="003E52ED" w:rsidRDefault="003E52ED"/>
  </w:footnote>
  <w:footnote w:id="2">
    <w:p w14:paraId="291DD649" w14:textId="5D3E5F14" w:rsidR="007E2877" w:rsidRPr="007E5C8F" w:rsidRDefault="007E2877" w:rsidP="007E2877">
      <w:pPr>
        <w:pStyle w:val="FootnoteText"/>
      </w:pPr>
      <w:r>
        <w:tab/>
      </w:r>
      <w:r w:rsidRPr="002232AF">
        <w:rPr>
          <w:rStyle w:val="FootnoteReference"/>
          <w:sz w:val="20"/>
          <w:lang w:val="en-US"/>
        </w:rPr>
        <w:t>*</w:t>
      </w:r>
      <w:r w:rsidRPr="002232AF">
        <w:rPr>
          <w:sz w:val="20"/>
          <w:lang w:val="en-US"/>
        </w:rPr>
        <w:tab/>
      </w:r>
      <w:r w:rsidR="009F4192" w:rsidRPr="009F4192">
        <w:rPr>
          <w:szCs w:val="18"/>
          <w:lang w:val="en-US"/>
        </w:rPr>
        <w:t xml:space="preserve">In accordance with the </w:t>
      </w:r>
      <w:proofErr w:type="spellStart"/>
      <w:r w:rsidR="009F4192" w:rsidRPr="009F4192">
        <w:rPr>
          <w:szCs w:val="18"/>
          <w:lang w:val="en-US"/>
        </w:rPr>
        <w:t>programme</w:t>
      </w:r>
      <w:proofErr w:type="spellEnd"/>
      <w:r w:rsidR="009F4192" w:rsidRPr="009F4192">
        <w:rPr>
          <w:szCs w:val="18"/>
          <w:lang w:val="en-US"/>
        </w:rPr>
        <w:t xml:space="preserve"> of work of the Inland Transport Committee for 2021 as outlined in proposed </w:t>
      </w:r>
      <w:proofErr w:type="spellStart"/>
      <w:r w:rsidR="009F4192" w:rsidRPr="009F4192">
        <w:rPr>
          <w:szCs w:val="18"/>
          <w:lang w:val="en-US"/>
        </w:rPr>
        <w:t>programme</w:t>
      </w:r>
      <w:proofErr w:type="spellEnd"/>
      <w:r w:rsidR="009F4192" w:rsidRPr="009F4192">
        <w:rPr>
          <w:szCs w:val="18"/>
          <w:lang w:val="en-US"/>
        </w:rPr>
        <w:t xml:space="preserve"> budget for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2E6" w14:textId="64F60E77" w:rsidR="007E2877" w:rsidRPr="007E2877" w:rsidRDefault="00007D91">
    <w:pPr>
      <w:pStyle w:val="Header"/>
    </w:pPr>
    <w:r>
      <w:fldChar w:fldCharType="begin"/>
    </w:r>
    <w:r>
      <w:instrText xml:space="preserve"> TITLE  \* MERGEFORMAT </w:instrText>
    </w:r>
    <w:r>
      <w:fldChar w:fldCharType="separate"/>
    </w:r>
    <w:r w:rsidR="002944F2">
      <w:t>ECE/TRANS/WP.29/GRPE/2021/5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014F" w14:textId="667909E2" w:rsidR="007E2877" w:rsidRPr="007E2877" w:rsidRDefault="00007D91" w:rsidP="007E2877">
    <w:pPr>
      <w:pStyle w:val="Header"/>
      <w:jc w:val="right"/>
    </w:pPr>
    <w:r>
      <w:fldChar w:fldCharType="begin"/>
    </w:r>
    <w:r>
      <w:instrText xml:space="preserve"> TITLE  \* MERGEFORMAT </w:instrText>
    </w:r>
    <w:r>
      <w:fldChar w:fldCharType="separate"/>
    </w:r>
    <w:r w:rsidR="002944F2">
      <w:t>ECE/TRANS/WP.29/GRPE/2021/5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F93E9B"/>
    <w:multiLevelType w:val="hybridMultilevel"/>
    <w:tmpl w:val="E8EC59C4"/>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75520C"/>
    <w:multiLevelType w:val="hybridMultilevel"/>
    <w:tmpl w:val="C82A691C"/>
    <w:lvl w:ilvl="0" w:tplc="0409000F">
      <w:start w:val="1"/>
      <w:numFmt w:val="decimal"/>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5C672212"/>
    <w:multiLevelType w:val="hybridMultilevel"/>
    <w:tmpl w:val="1116B954"/>
    <w:lvl w:ilvl="0" w:tplc="576058EE">
      <w:start w:val="1"/>
      <w:numFmt w:val="decimal"/>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20"/>
  </w:num>
  <w:num w:numId="18">
    <w:abstractNumId w:val="21"/>
  </w:num>
  <w:num w:numId="19">
    <w:abstractNumId w:val="11"/>
  </w:num>
  <w:num w:numId="20">
    <w:abstractNumId w:val="18"/>
  </w:num>
  <w:num w:numId="21">
    <w:abstractNumId w:val="19"/>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7"/>
    <w:rsid w:val="00002A7D"/>
    <w:rsid w:val="000038A8"/>
    <w:rsid w:val="00005DF3"/>
    <w:rsid w:val="00006790"/>
    <w:rsid w:val="00007D91"/>
    <w:rsid w:val="00027624"/>
    <w:rsid w:val="00050F6B"/>
    <w:rsid w:val="000549F2"/>
    <w:rsid w:val="00060FA9"/>
    <w:rsid w:val="000678CD"/>
    <w:rsid w:val="00072C8C"/>
    <w:rsid w:val="00081CE0"/>
    <w:rsid w:val="00084D30"/>
    <w:rsid w:val="00090320"/>
    <w:rsid w:val="000931C0"/>
    <w:rsid w:val="00097003"/>
    <w:rsid w:val="000A2E09"/>
    <w:rsid w:val="000A5400"/>
    <w:rsid w:val="000B175B"/>
    <w:rsid w:val="000B3A0F"/>
    <w:rsid w:val="000E0415"/>
    <w:rsid w:val="000F7715"/>
    <w:rsid w:val="00156B99"/>
    <w:rsid w:val="00166124"/>
    <w:rsid w:val="0017381D"/>
    <w:rsid w:val="00184DDA"/>
    <w:rsid w:val="001875BC"/>
    <w:rsid w:val="001900CD"/>
    <w:rsid w:val="001A0452"/>
    <w:rsid w:val="001B4B04"/>
    <w:rsid w:val="001B5875"/>
    <w:rsid w:val="001C4B9C"/>
    <w:rsid w:val="001C6663"/>
    <w:rsid w:val="001C7895"/>
    <w:rsid w:val="001D26DF"/>
    <w:rsid w:val="001F1599"/>
    <w:rsid w:val="001F19C4"/>
    <w:rsid w:val="002043F0"/>
    <w:rsid w:val="00211E0B"/>
    <w:rsid w:val="00232575"/>
    <w:rsid w:val="002458BC"/>
    <w:rsid w:val="00247258"/>
    <w:rsid w:val="00257CAC"/>
    <w:rsid w:val="0027237A"/>
    <w:rsid w:val="00291D9B"/>
    <w:rsid w:val="002944F2"/>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56418"/>
    <w:rsid w:val="00365DF4"/>
    <w:rsid w:val="00370220"/>
    <w:rsid w:val="003A46BB"/>
    <w:rsid w:val="003A4EC7"/>
    <w:rsid w:val="003A66D3"/>
    <w:rsid w:val="003A7295"/>
    <w:rsid w:val="003B1F60"/>
    <w:rsid w:val="003C2CC4"/>
    <w:rsid w:val="003D2B08"/>
    <w:rsid w:val="003D4B23"/>
    <w:rsid w:val="003E278A"/>
    <w:rsid w:val="003E52ED"/>
    <w:rsid w:val="00401964"/>
    <w:rsid w:val="00413520"/>
    <w:rsid w:val="004325CB"/>
    <w:rsid w:val="00440A07"/>
    <w:rsid w:val="00462880"/>
    <w:rsid w:val="00476F24"/>
    <w:rsid w:val="00485E1B"/>
    <w:rsid w:val="0049176C"/>
    <w:rsid w:val="004A5D33"/>
    <w:rsid w:val="004B1D2E"/>
    <w:rsid w:val="004C55B0"/>
    <w:rsid w:val="004F6BA0"/>
    <w:rsid w:val="00501297"/>
    <w:rsid w:val="00503BEA"/>
    <w:rsid w:val="005313AA"/>
    <w:rsid w:val="00533616"/>
    <w:rsid w:val="00535ABA"/>
    <w:rsid w:val="0053768B"/>
    <w:rsid w:val="005420F2"/>
    <w:rsid w:val="0054285C"/>
    <w:rsid w:val="00561505"/>
    <w:rsid w:val="00584173"/>
    <w:rsid w:val="005865C1"/>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610EC"/>
    <w:rsid w:val="006770B2"/>
    <w:rsid w:val="00684987"/>
    <w:rsid w:val="00686A48"/>
    <w:rsid w:val="0068763C"/>
    <w:rsid w:val="006940E1"/>
    <w:rsid w:val="006A3C72"/>
    <w:rsid w:val="006A7392"/>
    <w:rsid w:val="006B03A1"/>
    <w:rsid w:val="006B67D9"/>
    <w:rsid w:val="006C5535"/>
    <w:rsid w:val="006C6C6F"/>
    <w:rsid w:val="006D0589"/>
    <w:rsid w:val="006D6073"/>
    <w:rsid w:val="006E564B"/>
    <w:rsid w:val="006E7154"/>
    <w:rsid w:val="006F133A"/>
    <w:rsid w:val="007003CD"/>
    <w:rsid w:val="0070701E"/>
    <w:rsid w:val="0072632A"/>
    <w:rsid w:val="007358E8"/>
    <w:rsid w:val="00736ECE"/>
    <w:rsid w:val="0074533B"/>
    <w:rsid w:val="007643BC"/>
    <w:rsid w:val="00773359"/>
    <w:rsid w:val="00780C68"/>
    <w:rsid w:val="007901D0"/>
    <w:rsid w:val="007959FE"/>
    <w:rsid w:val="007A0CF1"/>
    <w:rsid w:val="007A11F0"/>
    <w:rsid w:val="007B6BA5"/>
    <w:rsid w:val="007C3390"/>
    <w:rsid w:val="007C42D8"/>
    <w:rsid w:val="007C4F4B"/>
    <w:rsid w:val="007D6F65"/>
    <w:rsid w:val="007D7362"/>
    <w:rsid w:val="007E2877"/>
    <w:rsid w:val="007F5CE2"/>
    <w:rsid w:val="007F6611"/>
    <w:rsid w:val="00810BAC"/>
    <w:rsid w:val="00816993"/>
    <w:rsid w:val="008175E9"/>
    <w:rsid w:val="008242D7"/>
    <w:rsid w:val="0082577B"/>
    <w:rsid w:val="00825CB5"/>
    <w:rsid w:val="00861F14"/>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0714"/>
    <w:rsid w:val="00947162"/>
    <w:rsid w:val="009610D0"/>
    <w:rsid w:val="0096375C"/>
    <w:rsid w:val="009662E6"/>
    <w:rsid w:val="0097095E"/>
    <w:rsid w:val="00972CBA"/>
    <w:rsid w:val="0098592B"/>
    <w:rsid w:val="00985FC4"/>
    <w:rsid w:val="00990766"/>
    <w:rsid w:val="00991261"/>
    <w:rsid w:val="009964C4"/>
    <w:rsid w:val="009A7B81"/>
    <w:rsid w:val="009B7EB7"/>
    <w:rsid w:val="009D01C0"/>
    <w:rsid w:val="009D3915"/>
    <w:rsid w:val="009D6A08"/>
    <w:rsid w:val="009E0A16"/>
    <w:rsid w:val="009E6CB7"/>
    <w:rsid w:val="009E7970"/>
    <w:rsid w:val="009F2EAC"/>
    <w:rsid w:val="009F4192"/>
    <w:rsid w:val="009F57E3"/>
    <w:rsid w:val="00A10F4F"/>
    <w:rsid w:val="00A11067"/>
    <w:rsid w:val="00A1704A"/>
    <w:rsid w:val="00A36AC2"/>
    <w:rsid w:val="00A425EB"/>
    <w:rsid w:val="00A53361"/>
    <w:rsid w:val="00A72F22"/>
    <w:rsid w:val="00A733BC"/>
    <w:rsid w:val="00A748A6"/>
    <w:rsid w:val="00A76A69"/>
    <w:rsid w:val="00A879A4"/>
    <w:rsid w:val="00AA0FF8"/>
    <w:rsid w:val="00AC0F2C"/>
    <w:rsid w:val="00AC502A"/>
    <w:rsid w:val="00AD22D1"/>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D4290"/>
    <w:rsid w:val="00BE36A9"/>
    <w:rsid w:val="00BE618E"/>
    <w:rsid w:val="00BE7BEC"/>
    <w:rsid w:val="00BF0A5A"/>
    <w:rsid w:val="00BF0E63"/>
    <w:rsid w:val="00BF12A3"/>
    <w:rsid w:val="00BF16D7"/>
    <w:rsid w:val="00BF2373"/>
    <w:rsid w:val="00BF279B"/>
    <w:rsid w:val="00BF7A6C"/>
    <w:rsid w:val="00C044E2"/>
    <w:rsid w:val="00C048CB"/>
    <w:rsid w:val="00C066F3"/>
    <w:rsid w:val="00C45656"/>
    <w:rsid w:val="00C463DD"/>
    <w:rsid w:val="00C745C3"/>
    <w:rsid w:val="00C978F5"/>
    <w:rsid w:val="00CA24A4"/>
    <w:rsid w:val="00CB348D"/>
    <w:rsid w:val="00CD46F5"/>
    <w:rsid w:val="00CE4A8F"/>
    <w:rsid w:val="00CF071D"/>
    <w:rsid w:val="00D0123D"/>
    <w:rsid w:val="00D15B04"/>
    <w:rsid w:val="00D2031B"/>
    <w:rsid w:val="00D250A0"/>
    <w:rsid w:val="00D25FE2"/>
    <w:rsid w:val="00D37DA9"/>
    <w:rsid w:val="00D406A7"/>
    <w:rsid w:val="00D43252"/>
    <w:rsid w:val="00D44D86"/>
    <w:rsid w:val="00D50B7D"/>
    <w:rsid w:val="00D52012"/>
    <w:rsid w:val="00D704E5"/>
    <w:rsid w:val="00D7153C"/>
    <w:rsid w:val="00D72727"/>
    <w:rsid w:val="00D978C6"/>
    <w:rsid w:val="00DA0956"/>
    <w:rsid w:val="00DA357F"/>
    <w:rsid w:val="00DA3E12"/>
    <w:rsid w:val="00DC18AD"/>
    <w:rsid w:val="00DD6B52"/>
    <w:rsid w:val="00DF7CAE"/>
    <w:rsid w:val="00E423C0"/>
    <w:rsid w:val="00E6414C"/>
    <w:rsid w:val="00E66E87"/>
    <w:rsid w:val="00E7260F"/>
    <w:rsid w:val="00E753BE"/>
    <w:rsid w:val="00E8702D"/>
    <w:rsid w:val="00E905F4"/>
    <w:rsid w:val="00E916A9"/>
    <w:rsid w:val="00E916DE"/>
    <w:rsid w:val="00E925AD"/>
    <w:rsid w:val="00E96630"/>
    <w:rsid w:val="00ED18DC"/>
    <w:rsid w:val="00ED6201"/>
    <w:rsid w:val="00ED7A2A"/>
    <w:rsid w:val="00EF1D7F"/>
    <w:rsid w:val="00F0137E"/>
    <w:rsid w:val="00F04E44"/>
    <w:rsid w:val="00F10C93"/>
    <w:rsid w:val="00F21786"/>
    <w:rsid w:val="00F25D06"/>
    <w:rsid w:val="00F31CFF"/>
    <w:rsid w:val="00F31E99"/>
    <w:rsid w:val="00F3742B"/>
    <w:rsid w:val="00F41FDB"/>
    <w:rsid w:val="00F50597"/>
    <w:rsid w:val="00F56D63"/>
    <w:rsid w:val="00F609A9"/>
    <w:rsid w:val="00F63B8B"/>
    <w:rsid w:val="00F70537"/>
    <w:rsid w:val="00F80C99"/>
    <w:rsid w:val="00F867EC"/>
    <w:rsid w:val="00F91242"/>
    <w:rsid w:val="00F91B2B"/>
    <w:rsid w:val="00FB4E8A"/>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14:docId w14:val="52289972"/>
  <w15:docId w15:val="{6258BC61-DA21-4528-8660-081E72BE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paragraph" w:styleId="ListParagraph">
    <w:name w:val="List Paragraph"/>
    <w:basedOn w:val="Normal"/>
    <w:uiPriority w:val="34"/>
    <w:semiHidden/>
    <w:qFormat/>
    <w:rsid w:val="001875BC"/>
    <w:pPr>
      <w:ind w:leftChars="400" w:left="840"/>
    </w:pPr>
  </w:style>
  <w:style w:type="character" w:customStyle="1" w:styleId="SingleTxtGChar">
    <w:name w:val="_ Single Txt_G Char"/>
    <w:link w:val="SingleTxtG"/>
    <w:qFormat/>
    <w:rsid w:val="009407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18fbfd49-c8e6-4618-a77f-5ef25245836c" origin="userSelected">
  <element uid="588104ae-2895-48f0-94e0-4417fcf0f7f0" value=""/>
  <element uid="1239ecc3-00e0-482b-a8a4-82e46943bfcc"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DE9D-666D-4845-BFD3-DA6A08D23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E2839-5BD9-4258-AFAF-04D8D8AF9B3D}">
  <ds:schemaRefs>
    <ds:schemaRef ds:uri="http://schemas.microsoft.com/sharepoint/v3/contenttype/forms"/>
  </ds:schemaRefs>
</ds:datastoreItem>
</file>

<file path=customXml/itemProps3.xml><?xml version="1.0" encoding="utf-8"?>
<ds:datastoreItem xmlns:ds="http://schemas.openxmlformats.org/officeDocument/2006/customXml" ds:itemID="{2BFB4BAF-C6E7-4399-B67E-850A2A5453A6}"/>
</file>

<file path=customXml/itemProps4.xml><?xml version="1.0" encoding="utf-8"?>
<ds:datastoreItem xmlns:ds="http://schemas.openxmlformats.org/officeDocument/2006/customXml" ds:itemID="{2F33AFDC-6110-437A-93E1-369C2F63720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4DE0DC0-33E6-48C0-A284-4CDE438C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2470</Characters>
  <Application>Microsoft Office Word</Application>
  <DocSecurity>0</DocSecurity>
  <Lines>61</Lines>
  <Paragraphs>26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ECE/TRANS/WP.29/GRPE/2020/10</vt:lpstr>
      <vt:lpstr>ECE/TRANS/WP.29/GRPE/2020/10</vt:lpstr>
      <vt:lpstr>ECE/TRANS/WP.29/GRPE/2020/10</vt:lpstr>
    </vt:vector>
  </TitlesOfParts>
  <Company>CSD</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ECE/TRANS/WP.29/GRPE/2021/5</dc:title>
  <dc:subject>2014555</dc:subject>
  <dc:creator>Una Philippa GILTSOFF</dc:creator>
  <cp:keywords/>
  <dc:description/>
  <cp:lastModifiedBy>Una Philippa GILTSOFF</cp:lastModifiedBy>
  <cp:revision>2</cp:revision>
  <cp:lastPrinted>2009-02-18T09:36:00Z</cp:lastPrinted>
  <dcterms:created xsi:type="dcterms:W3CDTF">2020-11-03T11:44:00Z</dcterms:created>
  <dcterms:modified xsi:type="dcterms:W3CDTF">2020-11-03T11:44:00Z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6332b35d-3e6f-4f71-b89b-5f849fa58655</vt:lpwstr>
  </property>
  <property fmtid="{D5CDD505-2E9C-101B-9397-08002B2CF9AE}" pid="3" name="bjSaver">
    <vt:lpwstr>IgKMk2R/R5QRTayr+ZAh/gNqQR8HKa9A</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uid="588104ae-2895-48f0-94e0-4417fcf0f7f0" value="" /&gt;&lt;element uid="1239ecc3-00e0-482b-a8a4-82e46943bfcc" value="" /&gt;&lt;/sisl&gt;</vt:lpwstr>
  </property>
  <property fmtid="{D5CDD505-2E9C-101B-9397-08002B2CF9AE}" pid="6" name="bjDocumentSecurityLabel">
    <vt:lpwstr>CNH Industrial: PUBLIC  Contains no personal data</vt:lpwstr>
  </property>
  <property fmtid="{D5CDD505-2E9C-101B-9397-08002B2CF9AE}" pid="7" name="CNH-LabelledBy:">
    <vt:lpwstr>F33872A,09/10/2020 09:35:12,PUBLIC</vt:lpwstr>
  </property>
  <property fmtid="{D5CDD505-2E9C-101B-9397-08002B2CF9AE}" pid="8" name="CNH-Classification">
    <vt:lpwstr>[PUBLIC - Contains no personal data]</vt:lpwstr>
  </property>
  <property fmtid="{D5CDD505-2E9C-101B-9397-08002B2CF9AE}" pid="9" name="ContentTypeId">
    <vt:lpwstr>0x0101003B8422D08C252547BB1CFA7F78E2CB83</vt:lpwstr>
  </property>
</Properties>
</file>