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4CEBAFB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ECDE898" w14:textId="77777777" w:rsidR="002D5AAC" w:rsidRDefault="002D5AAC" w:rsidP="00D312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C60D187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9531EBC" w14:textId="77777777" w:rsidR="002D5AAC" w:rsidRDefault="00D31201" w:rsidP="00D31201">
            <w:pPr>
              <w:jc w:val="right"/>
            </w:pPr>
            <w:r w:rsidRPr="00D31201">
              <w:rPr>
                <w:sz w:val="40"/>
              </w:rPr>
              <w:t>ECE</w:t>
            </w:r>
            <w:r>
              <w:t>/TRANS/WP.29/GRPE/2021/4</w:t>
            </w:r>
          </w:p>
        </w:tc>
      </w:tr>
      <w:tr w:rsidR="002D5AAC" w:rsidRPr="00D31201" w14:paraId="6C66857B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9E8213A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AD67161" wp14:editId="0FC898F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94F7313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7FEAB44" w14:textId="77777777" w:rsidR="002D5AAC" w:rsidRDefault="00D3120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FFD4A35" w14:textId="77777777" w:rsidR="00D31201" w:rsidRDefault="00D31201" w:rsidP="00D3120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3 November 2020</w:t>
            </w:r>
          </w:p>
          <w:p w14:paraId="3314D2DC" w14:textId="77777777" w:rsidR="00D31201" w:rsidRDefault="00D31201" w:rsidP="00D3120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0EA0249" w14:textId="77777777" w:rsidR="00D31201" w:rsidRPr="008D53B6" w:rsidRDefault="00D31201" w:rsidP="00D3120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41BAD28" w14:textId="77777777" w:rsidR="00D31201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4CE998C" w14:textId="77777777" w:rsidR="00B146F7" w:rsidRPr="00AD5980" w:rsidRDefault="00B146F7" w:rsidP="00B146F7">
      <w:pPr>
        <w:tabs>
          <w:tab w:val="left" w:pos="567"/>
          <w:tab w:val="left" w:pos="1134"/>
        </w:tabs>
        <w:spacing w:before="120"/>
        <w:rPr>
          <w:rFonts w:eastAsia="MS Mincho"/>
          <w:sz w:val="28"/>
          <w:szCs w:val="28"/>
        </w:rPr>
      </w:pPr>
      <w:r w:rsidRPr="00AD5980">
        <w:rPr>
          <w:sz w:val="28"/>
          <w:szCs w:val="28"/>
        </w:rPr>
        <w:t xml:space="preserve">Комитет по внутреннему транспорту </w:t>
      </w:r>
    </w:p>
    <w:p w14:paraId="24E54450" w14:textId="77777777" w:rsidR="00B146F7" w:rsidRPr="00AD5980" w:rsidRDefault="00B146F7" w:rsidP="00B146F7">
      <w:pPr>
        <w:tabs>
          <w:tab w:val="left" w:pos="567"/>
          <w:tab w:val="left" w:pos="1134"/>
        </w:tabs>
        <w:spacing w:before="120"/>
        <w:rPr>
          <w:rFonts w:eastAsia="MS Mincho"/>
          <w:sz w:val="24"/>
          <w:szCs w:val="24"/>
        </w:rPr>
      </w:pPr>
      <w:r w:rsidRPr="00AD5980">
        <w:rPr>
          <w:b/>
          <w:bCs/>
          <w:sz w:val="24"/>
          <w:szCs w:val="24"/>
        </w:rPr>
        <w:t xml:space="preserve">Всемирный форум для согласования правил </w:t>
      </w:r>
      <w:r w:rsidR="00AD5980">
        <w:rPr>
          <w:b/>
          <w:bCs/>
          <w:sz w:val="24"/>
          <w:szCs w:val="24"/>
        </w:rPr>
        <w:br/>
      </w:r>
      <w:r w:rsidRPr="00AD5980">
        <w:rPr>
          <w:b/>
          <w:bCs/>
          <w:sz w:val="24"/>
          <w:szCs w:val="24"/>
        </w:rPr>
        <w:t>в области транспортных средств</w:t>
      </w:r>
      <w:r w:rsidRPr="00AD5980">
        <w:rPr>
          <w:sz w:val="24"/>
          <w:szCs w:val="24"/>
        </w:rPr>
        <w:t xml:space="preserve"> </w:t>
      </w:r>
    </w:p>
    <w:p w14:paraId="0A7A6A3D" w14:textId="77777777" w:rsidR="00B146F7" w:rsidRPr="0090604C" w:rsidRDefault="00B146F7" w:rsidP="00B146F7">
      <w:pPr>
        <w:tabs>
          <w:tab w:val="left" w:pos="567"/>
          <w:tab w:val="left" w:pos="1134"/>
        </w:tabs>
        <w:spacing w:before="120" w:after="120"/>
        <w:rPr>
          <w:rFonts w:eastAsia="MS Mincho"/>
          <w:b/>
          <w:bCs/>
        </w:rPr>
      </w:pPr>
      <w:r>
        <w:rPr>
          <w:b/>
          <w:bCs/>
        </w:rPr>
        <w:t xml:space="preserve">Рабочая группа по проблемам энергии и загрязнения </w:t>
      </w:r>
      <w:r w:rsidR="00AD5980">
        <w:rPr>
          <w:b/>
          <w:bCs/>
        </w:rPr>
        <w:br/>
      </w:r>
      <w:r>
        <w:rPr>
          <w:b/>
          <w:bCs/>
        </w:rPr>
        <w:t>окружающей среды</w:t>
      </w:r>
    </w:p>
    <w:p w14:paraId="154A49FB" w14:textId="77777777" w:rsidR="00B146F7" w:rsidRPr="0090604C" w:rsidRDefault="00B146F7" w:rsidP="00B146F7">
      <w:pPr>
        <w:rPr>
          <w:rFonts w:eastAsia="MS Mincho"/>
          <w:b/>
        </w:rPr>
      </w:pPr>
      <w:r>
        <w:rPr>
          <w:b/>
          <w:bCs/>
        </w:rPr>
        <w:t>Восемьдесят вторая сессия</w:t>
      </w:r>
    </w:p>
    <w:p w14:paraId="5E04CEEA" w14:textId="77777777" w:rsidR="00B146F7" w:rsidRPr="0090604C" w:rsidRDefault="00B146F7" w:rsidP="00B146F7">
      <w:r>
        <w:t>Женева, 12–15 января 2021 года</w:t>
      </w:r>
    </w:p>
    <w:p w14:paraId="7982D1B4" w14:textId="77777777" w:rsidR="00B146F7" w:rsidRPr="0090604C" w:rsidRDefault="00B146F7" w:rsidP="00B146F7">
      <w:r>
        <w:t>Пункт 3 а) предварительной повестки дня</w:t>
      </w:r>
    </w:p>
    <w:p w14:paraId="2AB3D968" w14:textId="77777777" w:rsidR="00B146F7" w:rsidRDefault="00B146F7" w:rsidP="00B146F7">
      <w:pPr>
        <w:rPr>
          <w:b/>
          <w:bCs/>
        </w:rPr>
      </w:pPr>
      <w:r>
        <w:rPr>
          <w:b/>
          <w:bCs/>
        </w:rPr>
        <w:t xml:space="preserve">Легкие транспортные средства: </w:t>
      </w:r>
    </w:p>
    <w:p w14:paraId="50A83DBA" w14:textId="77777777" w:rsidR="00B146F7" w:rsidRPr="0090604C" w:rsidRDefault="00B146F7" w:rsidP="00B146F7">
      <w:pPr>
        <w:rPr>
          <w:b/>
          <w:bCs/>
        </w:rPr>
      </w:pPr>
      <w:r>
        <w:rPr>
          <w:b/>
          <w:bCs/>
        </w:rPr>
        <w:t xml:space="preserve">Правила ООН №№ 68 (измерение максимальной скорости, </w:t>
      </w:r>
      <w:r w:rsidR="00AD5980">
        <w:rPr>
          <w:b/>
          <w:bCs/>
        </w:rPr>
        <w:br/>
      </w:r>
      <w:r>
        <w:rPr>
          <w:b/>
          <w:bCs/>
        </w:rPr>
        <w:t xml:space="preserve">включая электромобили), 83 (выбросы загрязняющих </w:t>
      </w:r>
      <w:r w:rsidR="00AD5980">
        <w:rPr>
          <w:b/>
          <w:bCs/>
        </w:rPr>
        <w:br/>
      </w:r>
      <w:r>
        <w:rPr>
          <w:b/>
          <w:bCs/>
        </w:rPr>
        <w:t>веществ транспортными средствами категорий M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и N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), </w:t>
      </w:r>
      <w:r w:rsidR="00AD5980">
        <w:rPr>
          <w:b/>
          <w:bCs/>
        </w:rPr>
        <w:br/>
      </w:r>
      <w:r>
        <w:rPr>
          <w:b/>
          <w:bCs/>
        </w:rPr>
        <w:t>101 (выбросы СО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/расход топлива), 103 (сменные </w:t>
      </w:r>
      <w:r w:rsidR="00AD5980">
        <w:rPr>
          <w:b/>
          <w:bCs/>
        </w:rPr>
        <w:br/>
      </w:r>
      <w:r>
        <w:rPr>
          <w:b/>
          <w:bCs/>
        </w:rPr>
        <w:t xml:space="preserve">устройства для предотвращения загрязнения) </w:t>
      </w:r>
      <w:r w:rsidR="00AD5980">
        <w:rPr>
          <w:b/>
          <w:bCs/>
        </w:rPr>
        <w:br/>
      </w:r>
      <w:r>
        <w:rPr>
          <w:b/>
          <w:bCs/>
        </w:rPr>
        <w:t>и [154] (всемирные со</w:t>
      </w:r>
      <w:bookmarkStart w:id="0" w:name="_GoBack"/>
      <w:bookmarkEnd w:id="0"/>
      <w:r>
        <w:rPr>
          <w:b/>
          <w:bCs/>
        </w:rPr>
        <w:t xml:space="preserve">гласованные процедуры испытания </w:t>
      </w:r>
      <w:r w:rsidR="00AD5980">
        <w:rPr>
          <w:b/>
          <w:bCs/>
        </w:rPr>
        <w:br/>
      </w:r>
      <w:r>
        <w:rPr>
          <w:b/>
          <w:bCs/>
        </w:rPr>
        <w:t>транспортных средств малой грузоподъемности (ВПИМ))</w:t>
      </w:r>
    </w:p>
    <w:p w14:paraId="6154E554" w14:textId="77777777" w:rsidR="00B146F7" w:rsidRPr="0090604C" w:rsidRDefault="00B146F7" w:rsidP="00B146F7">
      <w:pPr>
        <w:pStyle w:val="HChG"/>
        <w:tabs>
          <w:tab w:val="clear" w:pos="851"/>
        </w:tabs>
        <w:ind w:firstLine="0"/>
      </w:pPr>
      <w:r>
        <w:tab/>
      </w:r>
      <w:r>
        <w:rPr>
          <w:bCs/>
        </w:rPr>
        <w:t>Предложение по новому дополнению к поправкам серии</w:t>
      </w:r>
      <w:r>
        <w:rPr>
          <w:bCs/>
          <w:lang w:val="en-US"/>
        </w:rPr>
        <w:t> </w:t>
      </w:r>
      <w:r>
        <w:rPr>
          <w:bCs/>
        </w:rPr>
        <w:t>01 к Правилам № 101 ООН (выбросы СО</w:t>
      </w:r>
      <w:r>
        <w:rPr>
          <w:bCs/>
          <w:vertAlign w:val="subscript"/>
        </w:rPr>
        <w:t>2</w:t>
      </w:r>
      <w:r>
        <w:rPr>
          <w:bCs/>
        </w:rPr>
        <w:t>/</w:t>
      </w:r>
      <w:r w:rsidR="00AD5980">
        <w:rPr>
          <w:bCs/>
        </w:rPr>
        <w:br/>
      </w:r>
      <w:r>
        <w:rPr>
          <w:bCs/>
        </w:rPr>
        <w:t>расход топлива)</w:t>
      </w:r>
    </w:p>
    <w:p w14:paraId="10EEC2C7" w14:textId="77777777" w:rsidR="00B146F7" w:rsidRPr="0090604C" w:rsidRDefault="00B146F7" w:rsidP="00B146F7">
      <w:pPr>
        <w:pStyle w:val="H1G"/>
      </w:pPr>
      <w:r>
        <w:tab/>
      </w:r>
      <w:r>
        <w:tab/>
      </w:r>
      <w:r>
        <w:rPr>
          <w:bCs/>
        </w:rPr>
        <w:t>Представлено экспертом от Международной организации предприятий автомобильной промышленности</w:t>
      </w:r>
      <w:r w:rsidRPr="00AD5980">
        <w:rPr>
          <w:rStyle w:val="H1GChar"/>
          <w:sz w:val="20"/>
        </w:rPr>
        <w:footnoteReference w:customMarkFollows="1" w:id="1"/>
        <w:t>*</w:t>
      </w:r>
    </w:p>
    <w:p w14:paraId="32B2F80D" w14:textId="77777777" w:rsidR="00B146F7" w:rsidRPr="0090604C" w:rsidRDefault="00B146F7" w:rsidP="00B146F7">
      <w:pPr>
        <w:pStyle w:val="SingleTxtG"/>
        <w:ind w:firstLine="567"/>
      </w:pPr>
      <w:r>
        <w:t>Воспроизведенный ниже текст был подготовлен экспертом от Международной организации предприятий автомобильной промышленности (МОПАП). Настоящий документ нацелен на исправление одной ошибки, обнаруженной в формулах, используемых для расчета значений дорожной нагрузки НЕЕЦ, на основе тех, которые определены в соответствии с ГТП № 15 ООН (ВПИМ), и одной ошибочной перекрестной ссылки в поправках серии 01 к Правилам № 101 ООН. Изменения к нынешнему тексту Правил выделены жирным шрифтом в случае новых положений или зачеркиванием в случае исключенных элементов.</w:t>
      </w:r>
    </w:p>
    <w:p w14:paraId="16E2E790" w14:textId="77777777" w:rsidR="00B146F7" w:rsidRPr="0090604C" w:rsidRDefault="00B146F7" w:rsidP="00B146F7">
      <w:pPr>
        <w:pStyle w:val="HChG"/>
        <w:tabs>
          <w:tab w:val="clear" w:pos="851"/>
        </w:tabs>
        <w:ind w:hanging="567"/>
        <w:rPr>
          <w:b w:val="0"/>
          <w:bCs/>
          <w:lang w:eastAsia="en-GB"/>
        </w:rPr>
      </w:pPr>
      <w:r w:rsidRPr="0090604C">
        <w:br w:type="page"/>
      </w:r>
    </w:p>
    <w:p w14:paraId="19DA34D0" w14:textId="77777777" w:rsidR="00B146F7" w:rsidRPr="00B146F7" w:rsidRDefault="00B146F7" w:rsidP="00B146F7">
      <w:pPr>
        <w:pStyle w:val="HChG"/>
      </w:pPr>
      <w:r>
        <w:rPr>
          <w:rFonts w:eastAsia="MS Mincho"/>
          <w:lang w:val="en-GB" w:eastAsia="ja-JP"/>
        </w:rPr>
        <w:lastRenderedPageBreak/>
        <w:tab/>
      </w:r>
      <w:r w:rsidRPr="00D12748">
        <w:rPr>
          <w:rFonts w:eastAsia="MS Mincho"/>
          <w:lang w:val="en-GB" w:eastAsia="ja-JP"/>
        </w:rPr>
        <w:t>I.</w:t>
      </w:r>
      <w:r w:rsidRPr="00D12748">
        <w:rPr>
          <w:rFonts w:eastAsia="MS Mincho"/>
          <w:lang w:val="en-GB" w:eastAsia="ja-JP"/>
        </w:rPr>
        <w:tab/>
      </w:r>
      <w:r w:rsidRPr="00B146F7">
        <w:t>Предложение</w:t>
      </w:r>
    </w:p>
    <w:p w14:paraId="6328DD90" w14:textId="77777777" w:rsidR="00B146F7" w:rsidRPr="0090604C" w:rsidRDefault="00B146F7" w:rsidP="00B146F7">
      <w:pPr>
        <w:spacing w:after="120"/>
        <w:ind w:left="1134" w:right="1134"/>
        <w:rPr>
          <w:rFonts w:eastAsia="MS Mincho"/>
          <w:iCs/>
        </w:rPr>
      </w:pPr>
      <w:r>
        <w:rPr>
          <w:i/>
          <w:iCs/>
        </w:rPr>
        <w:t>Приложение 7b — Добавление 2, пункт 2.1</w:t>
      </w:r>
      <w:r>
        <w:t xml:space="preserve"> изменить следующим образом:</w:t>
      </w:r>
    </w:p>
    <w:p w14:paraId="31C8BA86" w14:textId="77777777" w:rsidR="00B146F7" w:rsidRPr="0090604C" w:rsidRDefault="00B146F7" w:rsidP="00B146F7">
      <w:pPr>
        <w:spacing w:after="120"/>
        <w:ind w:left="2268" w:right="1134" w:hanging="1134"/>
        <w:jc w:val="both"/>
        <w:rPr>
          <w:rFonts w:eastAsia="MS Mincho"/>
          <w:bCs/>
        </w:rPr>
      </w:pPr>
      <w:r>
        <w:t>«</w:t>
      </w:r>
      <w:r>
        <w:t>2.1</w:t>
      </w:r>
      <w:r>
        <w:tab/>
        <w:t>Расчет дорожной нагрузки согласно ВПИМ</w:t>
      </w:r>
    </w:p>
    <w:p w14:paraId="7CA87F04" w14:textId="77777777" w:rsidR="00B146F7" w:rsidRPr="0090604C" w:rsidRDefault="00B146F7" w:rsidP="00B146F7">
      <w:pPr>
        <w:spacing w:after="120"/>
        <w:ind w:left="2268" w:right="1134"/>
        <w:jc w:val="both"/>
        <w:rPr>
          <w:rFonts w:eastAsia="MS Mincho"/>
          <w:bCs/>
        </w:rPr>
      </w:pPr>
      <w:r>
        <w:t xml:space="preserve">Дорожную нагрузку на транспортное средство согласно ВПИМ определяют в соответствии с приложением 4 к ГТП № 15 ООН либо, если транспортное средство принадлежит к интерполяционному семейству, — в соответствии с пунктом 3.2.3.2.2 приложения 7 </w:t>
      </w:r>
      <w:r w:rsidRPr="00B146F7">
        <w:t>“</w:t>
      </w:r>
      <w:r>
        <w:t>Определение общей дорожной нагрузки на транспортное средство</w:t>
      </w:r>
      <w:r w:rsidRPr="00B146F7">
        <w:t>”</w:t>
      </w:r>
      <w:r>
        <w:t xml:space="preserve"> с учетом входных параметров отдельного транспортного средства:</w:t>
      </w:r>
    </w:p>
    <w:p w14:paraId="671DC293" w14:textId="77777777" w:rsidR="00B146F7" w:rsidRPr="0090604C" w:rsidRDefault="00B146F7" w:rsidP="004E5D06">
      <w:pPr>
        <w:spacing w:after="120"/>
        <w:ind w:left="2832" w:right="1134" w:hanging="564"/>
        <w:jc w:val="both"/>
        <w:rPr>
          <w:rFonts w:eastAsia="MS Mincho"/>
          <w:bCs/>
        </w:rPr>
      </w:pPr>
      <w:r>
        <w:t>a)</w:t>
      </w:r>
      <w:r>
        <w:tab/>
        <w:t xml:space="preserve">испытательной массы транспортного </w:t>
      </w:r>
      <w:r w:rsidRPr="008E5DF2">
        <w:rPr>
          <w:color w:val="000000" w:themeColor="text1"/>
        </w:rPr>
        <w:t>средства</w:t>
      </w:r>
      <w:r w:rsidRPr="008E5DF2">
        <w:rPr>
          <w:rStyle w:val="aa"/>
          <w:rFonts w:eastAsia="MS Mincho"/>
          <w:bCs/>
          <w:color w:val="000000" w:themeColor="text1"/>
        </w:rPr>
        <w:footnoteReference w:id="2"/>
      </w:r>
      <w:r w:rsidRPr="008E5DF2">
        <w:rPr>
          <w:color w:val="000000" w:themeColor="text1"/>
        </w:rPr>
        <w:t>,</w:t>
      </w:r>
      <w:r>
        <w:t xml:space="preserve"> оснащенного стандартным оборудованием</w:t>
      </w:r>
      <w:r w:rsidR="008E5DF2" w:rsidRPr="008E5DF2">
        <w:rPr>
          <w:sz w:val="18"/>
          <w:szCs w:val="18"/>
          <w:vertAlign w:val="superscript"/>
        </w:rPr>
        <w:t>1</w:t>
      </w:r>
      <w:r>
        <w:t xml:space="preserve">; </w:t>
      </w:r>
    </w:p>
    <w:p w14:paraId="7BBE60A2" w14:textId="77777777" w:rsidR="00B146F7" w:rsidRDefault="00B146F7" w:rsidP="0084761B">
      <w:pPr>
        <w:pStyle w:val="Default"/>
        <w:suppressAutoHyphens/>
        <w:spacing w:after="120" w:line="240" w:lineRule="atLeast"/>
        <w:ind w:left="2835" w:right="1134" w:hanging="567"/>
        <w:jc w:val="both"/>
        <w:rPr>
          <w:color w:val="auto"/>
          <w:sz w:val="20"/>
          <w:szCs w:val="20"/>
          <w:lang w:val="ru-RU"/>
        </w:rPr>
      </w:pPr>
      <w:r w:rsidRPr="00C72E00">
        <w:rPr>
          <w:color w:val="auto"/>
          <w:sz w:val="20"/>
          <w:szCs w:val="20"/>
          <w:lang w:val="ru-RU"/>
        </w:rPr>
        <w:t>b)</w:t>
      </w:r>
      <w:r w:rsidRPr="00C72E00">
        <w:rPr>
          <w:color w:val="auto"/>
          <w:sz w:val="20"/>
          <w:szCs w:val="20"/>
          <w:lang w:val="ru-RU"/>
        </w:rPr>
        <w:tab/>
      </w:r>
      <w:r w:rsidRPr="00C72E00">
        <w:rPr>
          <w:color w:val="auto"/>
          <w:sz w:val="20"/>
          <w:szCs w:val="20"/>
          <w:lang w:val="ru-RU"/>
        </w:rPr>
        <w:tab/>
        <w:t xml:space="preserve">значения КСК, определенного для соответствующего класса энергоэффективности шин в соответствии с таблицей А4/2 приложения 4 к ГТП № 15 ООН, либо, если шины на передней и задней осях относятся к различным классам по энергоэффективности, то в соответствии со средневзвешенным значением, рассчитанным по уравнению, приведенному в пункте 3.2.3.2.2.2.3 </w:t>
      </w:r>
      <w:r w:rsidRPr="00C72E00">
        <w:rPr>
          <w:b/>
          <w:bCs/>
          <w:color w:val="auto"/>
          <w:sz w:val="20"/>
          <w:szCs w:val="20"/>
          <w:lang w:val="ru-RU"/>
        </w:rPr>
        <w:t>приложения 7</w:t>
      </w:r>
      <w:r w:rsidRPr="00C72E00">
        <w:rPr>
          <w:color w:val="auto"/>
          <w:sz w:val="20"/>
          <w:szCs w:val="20"/>
          <w:lang w:val="ru-RU"/>
        </w:rPr>
        <w:t xml:space="preserve"> </w:t>
      </w:r>
      <w:r w:rsidRPr="00C72E00">
        <w:rPr>
          <w:strike/>
          <w:color w:val="auto"/>
          <w:sz w:val="20"/>
          <w:szCs w:val="20"/>
          <w:lang w:val="ru-RU"/>
        </w:rPr>
        <w:t xml:space="preserve">приложения </w:t>
      </w:r>
      <w:r w:rsidRPr="00C72E00">
        <w:rPr>
          <w:color w:val="auto"/>
          <w:sz w:val="20"/>
          <w:szCs w:val="20"/>
          <w:lang w:val="ru-RU"/>
        </w:rPr>
        <w:t>4</w:t>
      </w:r>
      <w:r>
        <w:rPr>
          <w:color w:val="auto"/>
          <w:sz w:val="20"/>
          <w:szCs w:val="20"/>
          <w:lang w:val="ru-RU"/>
        </w:rPr>
        <w:t xml:space="preserve"> </w:t>
      </w:r>
      <w:r w:rsidRPr="00C72E00">
        <w:rPr>
          <w:color w:val="auto"/>
          <w:sz w:val="20"/>
          <w:szCs w:val="20"/>
          <w:lang w:val="ru-RU"/>
        </w:rPr>
        <w:t xml:space="preserve">к ГТП № 15 ООН; </w:t>
      </w:r>
    </w:p>
    <w:p w14:paraId="518E21E2" w14:textId="77777777" w:rsidR="00B146F7" w:rsidRPr="0090604C" w:rsidRDefault="00B146F7" w:rsidP="004E5D06">
      <w:pPr>
        <w:spacing w:after="120"/>
        <w:ind w:left="2835" w:right="1134" w:hanging="567"/>
        <w:jc w:val="both"/>
        <w:rPr>
          <w:rFonts w:eastAsia="MS Mincho"/>
          <w:iCs/>
        </w:rPr>
      </w:pPr>
      <w:r>
        <w:t>c)</w:t>
      </w:r>
      <w:r>
        <w:tab/>
        <w:t>аэродинамического сопротивления транспортного средства, оснащенного стандартным оборудованием</w:t>
      </w:r>
      <w:r w:rsidRPr="00094785">
        <w:rPr>
          <w:rStyle w:val="aa"/>
          <w:bCs/>
        </w:rPr>
        <w:footnoteRef/>
      </w:r>
      <w:r>
        <w:t>»</w:t>
      </w:r>
      <w:r>
        <w:t>.</w:t>
      </w:r>
    </w:p>
    <w:p w14:paraId="54B6BED5" w14:textId="77777777" w:rsidR="00B146F7" w:rsidRPr="0090604C" w:rsidRDefault="00B146F7" w:rsidP="00B146F7">
      <w:pPr>
        <w:spacing w:after="120"/>
        <w:ind w:left="1134" w:right="1134"/>
        <w:rPr>
          <w:rFonts w:eastAsia="MS Mincho"/>
          <w:i/>
        </w:rPr>
      </w:pPr>
      <w:r>
        <w:rPr>
          <w:i/>
          <w:iCs/>
        </w:rPr>
        <w:t xml:space="preserve">Приложение 7 </w:t>
      </w:r>
      <w:r w:rsidRPr="00340239">
        <w:rPr>
          <w:i/>
          <w:iCs/>
        </w:rPr>
        <w:t>—</w:t>
      </w:r>
      <w:r>
        <w:rPr>
          <w:i/>
          <w:iCs/>
        </w:rPr>
        <w:t xml:space="preserve"> Добавление 2, пункт 2.2.4 a) </w:t>
      </w:r>
      <w:proofErr w:type="spellStart"/>
      <w:r>
        <w:rPr>
          <w:i/>
          <w:iCs/>
        </w:rPr>
        <w:t>iv</w:t>
      </w:r>
      <w:proofErr w:type="spellEnd"/>
      <w:r>
        <w:rPr>
          <w:i/>
          <w:iCs/>
        </w:rPr>
        <w:t>)</w:t>
      </w:r>
      <w:r>
        <w:t xml:space="preserve"> изменить следующим образом:</w:t>
      </w:r>
    </w:p>
    <w:p w14:paraId="01C3C228" w14:textId="77777777" w:rsidR="00B146F7" w:rsidRPr="0090604C" w:rsidRDefault="004E5D06" w:rsidP="00B146F7">
      <w:pPr>
        <w:spacing w:after="120"/>
        <w:ind w:left="2835" w:right="1134"/>
        <w:rPr>
          <w:rFonts w:eastAsia="MS Mincho"/>
        </w:rPr>
      </w:pPr>
      <w:r>
        <w:t>«</w:t>
      </w:r>
      <w:proofErr w:type="spellStart"/>
      <w:r w:rsidR="00B146F7">
        <w:t>iv</w:t>
      </w:r>
      <w:proofErr w:type="spellEnd"/>
      <w:r w:rsidR="00B146F7">
        <w:t>)</w:t>
      </w:r>
      <w:r w:rsidR="00B146F7">
        <w:tab/>
        <w:t>влияние различной глубины протектора шин:</w:t>
      </w:r>
    </w:p>
    <w:p w14:paraId="4DFC24AA" w14:textId="77777777" w:rsidR="00B146F7" w:rsidRPr="00D12748" w:rsidRDefault="00B146F7" w:rsidP="00B146F7">
      <w:pPr>
        <w:spacing w:after="120"/>
        <w:ind w:left="1985" w:right="1134" w:hanging="284"/>
        <w:jc w:val="center"/>
        <w:rPr>
          <w:rFonts w:eastAsia="MS Mincho"/>
        </w:rPr>
      </w:pPr>
      <m:oMath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F</m:t>
            </m:r>
          </m:e>
          <m:sub>
            <m:r>
              <w:rPr>
                <w:rFonts w:ascii="Cambria Math" w:eastAsia="MS Mincho" w:hAnsi="Cambria Math"/>
              </w:rPr>
              <m:t>0n</m:t>
            </m:r>
          </m:sub>
        </m:sSub>
        <m:r>
          <w:rPr>
            <w:rFonts w:ascii="Cambria Math" w:eastAsia="MS Mincho" w:hAnsi="Cambria Math"/>
          </w:rPr>
          <m:t>=</m:t>
        </m:r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F</m:t>
            </m:r>
          </m:e>
          <m:sub>
            <m:r>
              <w:rPr>
                <w:rFonts w:ascii="Cambria Math" w:eastAsia="MS Mincho" w:hAnsi="Cambria Math"/>
              </w:rPr>
              <m:t>0n</m:t>
            </m:r>
          </m:sub>
          <m:sup>
            <m:r>
              <w:rPr>
                <w:rFonts w:ascii="Cambria Math" w:eastAsia="MS Mincho" w:hAnsi="Cambria Math"/>
              </w:rPr>
              <m:t>3</m:t>
            </m:r>
          </m:sup>
        </m:sSubSup>
        <m:r>
          <m:rPr>
            <m:sty m:val="bi"/>
          </m:rPr>
          <w:rPr>
            <w:rFonts w:ascii="Cambria Math" w:eastAsia="MS Mincho" w:hAnsi="Cambria Math"/>
            <w:highlight w:val="yellow"/>
          </w:rPr>
          <m:t>-</m:t>
        </m:r>
        <m:r>
          <w:rPr>
            <w:rFonts w:ascii="Cambria Math" w:eastAsia="MS Mincho" w:hAnsi="Cambria Math"/>
            <w:strike/>
            <w:highlight w:val="yellow"/>
          </w:rPr>
          <m:t>.</m:t>
        </m:r>
        <m:r>
          <w:rPr>
            <w:rFonts w:ascii="Cambria Math" w:eastAsia="MS Mincho" w:hAnsi="Cambria Math"/>
          </w:rPr>
          <m:t>TTD</m:t>
        </m:r>
      </m:oMath>
      <w:r>
        <w:rPr>
          <w:rFonts w:eastAsia="MS Mincho"/>
        </w:rPr>
        <w:t>,</w:t>
      </w:r>
    </w:p>
    <w:p w14:paraId="5D176713" w14:textId="77777777" w:rsidR="00B146F7" w:rsidRPr="0090604C" w:rsidRDefault="00B146F7" w:rsidP="00B146F7">
      <w:pPr>
        <w:autoSpaceDE w:val="0"/>
        <w:autoSpaceDN w:val="0"/>
        <w:adjustRightInd w:val="0"/>
        <w:spacing w:after="120"/>
        <w:ind w:left="2835" w:right="1134"/>
        <w:rPr>
          <w:rFonts w:eastAsia="MS Mincho"/>
        </w:rPr>
      </w:pPr>
      <w:r>
        <w:t>где используемый в формуле коэффициент </w:t>
      </w:r>
      <w:r w:rsidRPr="00C72E00">
        <w:rPr>
          <w:i/>
          <w:iCs/>
        </w:rPr>
        <w:t>TTD</w:t>
      </w:r>
      <w:r>
        <w:t xml:space="preserve"> рассчитан в соответствии с пунктом 2.2.2</w:t>
      </w:r>
      <w:r>
        <w:t>»</w:t>
      </w:r>
      <w:r>
        <w:t>.</w:t>
      </w:r>
    </w:p>
    <w:p w14:paraId="65DA2229" w14:textId="77777777" w:rsidR="00B146F7" w:rsidRPr="00C72E00" w:rsidRDefault="00B146F7" w:rsidP="00B146F7">
      <w:pPr>
        <w:pStyle w:val="HChG"/>
        <w:rPr>
          <w:rFonts w:eastAsia="MS Mincho"/>
          <w:szCs w:val="28"/>
        </w:rPr>
      </w:pPr>
      <w:r>
        <w:tab/>
      </w:r>
      <w:r w:rsidRPr="00C72E00">
        <w:t>II.</w:t>
      </w:r>
      <w:r w:rsidRPr="00C72E00">
        <w:tab/>
        <w:t>Обоснование</w:t>
      </w:r>
    </w:p>
    <w:p w14:paraId="7C5D6C10" w14:textId="77777777" w:rsidR="00B146F7" w:rsidRPr="00B146F7" w:rsidRDefault="00B146F7" w:rsidP="004E5D06">
      <w:pPr>
        <w:spacing w:after="120"/>
        <w:ind w:left="1134" w:right="1134"/>
        <w:jc w:val="both"/>
        <w:rPr>
          <w:rFonts w:eastAsia="Times New Roman"/>
          <w:szCs w:val="20"/>
          <w:lang w:eastAsia="fr-FR"/>
        </w:rPr>
      </w:pPr>
      <w:r w:rsidRPr="00C72E00">
        <w:rPr>
          <w:rFonts w:eastAsia="Times New Roman" w:cs="Times New Roman"/>
          <w:szCs w:val="20"/>
          <w:lang w:eastAsia="fr-FR"/>
        </w:rPr>
        <w:t>1.</w:t>
      </w:r>
      <w:r w:rsidRPr="00C72E00">
        <w:rPr>
          <w:rFonts w:eastAsia="Times New Roman" w:cs="Times New Roman"/>
          <w:szCs w:val="20"/>
          <w:lang w:eastAsia="fr-FR"/>
        </w:rPr>
        <w:tab/>
      </w:r>
      <w:r w:rsidRPr="00B146F7">
        <w:rPr>
          <w:rFonts w:eastAsia="Times New Roman"/>
          <w:szCs w:val="20"/>
          <w:lang w:eastAsia="fr-FR"/>
        </w:rPr>
        <w:t xml:space="preserve">Исправление неверной отсылки к приложению 4 вместо приложения 7 </w:t>
      </w:r>
      <w:r w:rsidR="004E5D06">
        <w:rPr>
          <w:rFonts w:eastAsia="Times New Roman"/>
          <w:szCs w:val="20"/>
          <w:lang w:eastAsia="fr-FR"/>
        </w:rPr>
        <w:br/>
      </w:r>
      <w:r w:rsidRPr="00B146F7">
        <w:rPr>
          <w:rFonts w:eastAsia="Times New Roman"/>
          <w:szCs w:val="20"/>
          <w:lang w:eastAsia="fr-FR"/>
        </w:rPr>
        <w:t>к ГТП № 15 ООН в пункте 2.1 b) добавления 7b к приложению 7.</w:t>
      </w:r>
    </w:p>
    <w:p w14:paraId="2707949B" w14:textId="77777777" w:rsidR="00B146F7" w:rsidRPr="00696D6E" w:rsidRDefault="00B146F7" w:rsidP="004E5D06">
      <w:pPr>
        <w:pStyle w:val="SingleTxtG"/>
      </w:pPr>
      <w:r w:rsidRPr="00696D6E">
        <w:t>2.</w:t>
      </w:r>
      <w:r w:rsidRPr="00696D6E">
        <w:tab/>
      </w:r>
      <w:r>
        <w:t xml:space="preserve">При копировании методологии из регламента ЕС в формулу был ошибочно включен знак </w:t>
      </w:r>
      <w:r>
        <w:t>«</w:t>
      </w:r>
      <w:r w:rsidRPr="00696D6E">
        <w:t>.</w:t>
      </w:r>
      <w:r>
        <w:t>»</w:t>
      </w:r>
      <w:r>
        <w:t xml:space="preserve"> вместо знака </w:t>
      </w:r>
      <w:r>
        <w:t>«</w:t>
      </w:r>
      <w:r w:rsidRPr="00B146F7">
        <w:t>–</w:t>
      </w:r>
      <w:r>
        <w:t>»</w:t>
      </w:r>
      <w:r>
        <w:t>.</w:t>
      </w:r>
    </w:p>
    <w:p w14:paraId="68DCBC46" w14:textId="77777777" w:rsidR="00B146F7" w:rsidRPr="00B146F7" w:rsidRDefault="00B146F7" w:rsidP="004E5D06">
      <w:pPr>
        <w:spacing w:after="120"/>
        <w:ind w:left="1134" w:right="1134"/>
        <w:jc w:val="both"/>
        <w:rPr>
          <w:rFonts w:eastAsia="Times New Roman"/>
          <w:szCs w:val="20"/>
          <w:lang w:eastAsia="fr-FR"/>
        </w:rPr>
      </w:pPr>
      <w:r>
        <w:rPr>
          <w:rFonts w:eastAsia="Times New Roman" w:cs="Times New Roman"/>
          <w:szCs w:val="20"/>
          <w:lang w:eastAsia="fr-FR"/>
        </w:rPr>
        <w:t>3.</w:t>
      </w:r>
      <w:r>
        <w:rPr>
          <w:rFonts w:eastAsia="Times New Roman" w:cs="Times New Roman"/>
          <w:szCs w:val="20"/>
          <w:lang w:eastAsia="fr-FR"/>
        </w:rPr>
        <w:tab/>
      </w:r>
      <w:r w:rsidRPr="00B146F7">
        <w:rPr>
          <w:rFonts w:eastAsia="Times New Roman"/>
          <w:szCs w:val="20"/>
          <w:lang w:eastAsia="fr-FR"/>
        </w:rPr>
        <w:t>Это исправление было рассмотрено Объединенным исследовательским центром ЕС, который был разработчиком данной методологии.</w:t>
      </w:r>
    </w:p>
    <w:p w14:paraId="772FAB95" w14:textId="77777777" w:rsidR="00E12C5F" w:rsidRPr="00B146F7" w:rsidRDefault="00B146F7" w:rsidP="00B146F7">
      <w:pPr>
        <w:pStyle w:val="af3"/>
        <w:spacing w:before="240"/>
        <w:ind w:left="1134" w:right="1134"/>
        <w:contextualSpacing w:val="0"/>
        <w:jc w:val="center"/>
        <w:rPr>
          <w:lang w:val="ru-RU"/>
        </w:rPr>
      </w:pPr>
      <w:r>
        <w:rPr>
          <w:rFonts w:eastAsia="Times New Roman"/>
          <w:kern w:val="0"/>
          <w:sz w:val="20"/>
          <w:szCs w:val="20"/>
          <w:u w:val="single"/>
          <w:lang w:val="ru-RU" w:eastAsia="fr-FR"/>
        </w:rPr>
        <w:tab/>
      </w:r>
      <w:r>
        <w:rPr>
          <w:rFonts w:eastAsia="Times New Roman"/>
          <w:kern w:val="0"/>
          <w:sz w:val="20"/>
          <w:szCs w:val="20"/>
          <w:u w:val="single"/>
          <w:lang w:val="ru-RU" w:eastAsia="fr-FR"/>
        </w:rPr>
        <w:tab/>
      </w:r>
      <w:r>
        <w:rPr>
          <w:rFonts w:eastAsia="Times New Roman"/>
          <w:kern w:val="0"/>
          <w:sz w:val="20"/>
          <w:szCs w:val="20"/>
          <w:u w:val="single"/>
          <w:lang w:val="ru-RU" w:eastAsia="fr-FR"/>
        </w:rPr>
        <w:tab/>
      </w:r>
      <w:r>
        <w:rPr>
          <w:rFonts w:eastAsia="Times New Roman"/>
          <w:kern w:val="0"/>
          <w:sz w:val="20"/>
          <w:szCs w:val="20"/>
          <w:u w:val="single"/>
          <w:lang w:val="ru-RU" w:eastAsia="fr-FR"/>
        </w:rPr>
        <w:tab/>
      </w:r>
    </w:p>
    <w:sectPr w:rsidR="00E12C5F" w:rsidRPr="00B146F7" w:rsidSect="00D31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BEF5F" w14:textId="77777777" w:rsidR="0063741F" w:rsidRPr="00A312BC" w:rsidRDefault="0063741F" w:rsidP="00A312BC"/>
  </w:endnote>
  <w:endnote w:type="continuationSeparator" w:id="0">
    <w:p w14:paraId="5500472B" w14:textId="77777777" w:rsidR="0063741F" w:rsidRPr="00A312BC" w:rsidRDefault="0063741F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6E76E" w14:textId="77777777" w:rsidR="00D31201" w:rsidRPr="00D31201" w:rsidRDefault="00D31201">
    <w:pPr>
      <w:pStyle w:val="a8"/>
    </w:pPr>
    <w:r w:rsidRPr="00D31201">
      <w:rPr>
        <w:b/>
        <w:sz w:val="18"/>
      </w:rPr>
      <w:fldChar w:fldCharType="begin"/>
    </w:r>
    <w:r w:rsidRPr="00D31201">
      <w:rPr>
        <w:b/>
        <w:sz w:val="18"/>
      </w:rPr>
      <w:instrText xml:space="preserve"> PAGE  \* MERGEFORMAT </w:instrText>
    </w:r>
    <w:r w:rsidRPr="00D31201">
      <w:rPr>
        <w:b/>
        <w:sz w:val="18"/>
      </w:rPr>
      <w:fldChar w:fldCharType="separate"/>
    </w:r>
    <w:r w:rsidRPr="00D31201">
      <w:rPr>
        <w:b/>
        <w:noProof/>
        <w:sz w:val="18"/>
      </w:rPr>
      <w:t>2</w:t>
    </w:r>
    <w:r w:rsidRPr="00D31201">
      <w:rPr>
        <w:b/>
        <w:sz w:val="18"/>
      </w:rPr>
      <w:fldChar w:fldCharType="end"/>
    </w:r>
    <w:r>
      <w:rPr>
        <w:b/>
        <w:sz w:val="18"/>
      </w:rPr>
      <w:tab/>
    </w:r>
    <w:r>
      <w:t>GE.20-14369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F7B66" w14:textId="77777777" w:rsidR="00D31201" w:rsidRPr="00D31201" w:rsidRDefault="00D31201" w:rsidP="00D31201">
    <w:pPr>
      <w:pStyle w:val="a8"/>
      <w:tabs>
        <w:tab w:val="clear" w:pos="9639"/>
        <w:tab w:val="right" w:pos="9638"/>
      </w:tabs>
      <w:rPr>
        <w:b/>
        <w:sz w:val="18"/>
      </w:rPr>
    </w:pPr>
    <w:r>
      <w:t>GE.20-14369</w:t>
    </w:r>
    <w:r>
      <w:tab/>
    </w:r>
    <w:r w:rsidRPr="00D31201">
      <w:rPr>
        <w:b/>
        <w:sz w:val="18"/>
      </w:rPr>
      <w:fldChar w:fldCharType="begin"/>
    </w:r>
    <w:r w:rsidRPr="00D31201">
      <w:rPr>
        <w:b/>
        <w:sz w:val="18"/>
      </w:rPr>
      <w:instrText xml:space="preserve"> PAGE  \* MERGEFORMAT </w:instrText>
    </w:r>
    <w:r w:rsidRPr="00D31201">
      <w:rPr>
        <w:b/>
        <w:sz w:val="18"/>
      </w:rPr>
      <w:fldChar w:fldCharType="separate"/>
    </w:r>
    <w:r w:rsidRPr="00D31201">
      <w:rPr>
        <w:b/>
        <w:noProof/>
        <w:sz w:val="18"/>
      </w:rPr>
      <w:t>3</w:t>
    </w:r>
    <w:r w:rsidRPr="00D31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34A1F" w14:textId="77777777" w:rsidR="00042B72" w:rsidRPr="00D31201" w:rsidRDefault="00D31201" w:rsidP="00D31201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F0C5D9E" wp14:editId="58704CB7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20-</w:t>
    </w:r>
    <w:proofErr w:type="gramStart"/>
    <w:r>
      <w:t>14369  (</w:t>
    </w:r>
    <w:proofErr w:type="gramEnd"/>
    <w:r>
      <w:t>R)</w:t>
    </w:r>
    <w:r>
      <w:rPr>
        <w:lang w:val="en-US"/>
      </w:rPr>
      <w:t xml:space="preserve">  091120  091120</w:t>
    </w:r>
    <w:r>
      <w:br/>
    </w:r>
    <w:r w:rsidRPr="00D31201">
      <w:rPr>
        <w:rFonts w:ascii="C39T30Lfz" w:hAnsi="C39T30Lfz"/>
        <w:kern w:val="14"/>
        <w:sz w:val="56"/>
      </w:rPr>
      <w:t>*2014369*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78368D2" wp14:editId="67592584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4A9B0" w14:textId="77777777" w:rsidR="0063741F" w:rsidRPr="001075E9" w:rsidRDefault="0063741F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9A21A68" w14:textId="77777777" w:rsidR="0063741F" w:rsidRDefault="0063741F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2012200" w14:textId="77777777" w:rsidR="00B146F7" w:rsidRPr="0090604C" w:rsidRDefault="00B146F7" w:rsidP="00B146F7">
      <w:pPr>
        <w:pStyle w:val="ad"/>
      </w:pPr>
      <w:r>
        <w:tab/>
      </w:r>
      <w:r w:rsidRPr="00AD5980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2021 год, изложенной в предлагаемом бюджете по программам на 2021 год (A/75/6 (разд. 20), п. 20.51),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  <w:footnote w:id="2">
    <w:p w14:paraId="60824D2A" w14:textId="77777777" w:rsidR="00B146F7" w:rsidRPr="0090604C" w:rsidRDefault="00B146F7" w:rsidP="00B146F7">
      <w:pPr>
        <w:pStyle w:val="ad"/>
      </w:pPr>
      <w:r>
        <w:tab/>
      </w:r>
      <w:r w:rsidRPr="00E52478">
        <w:rPr>
          <w:rStyle w:val="aa"/>
        </w:rPr>
        <w:footnoteRef/>
      </w:r>
      <w:r>
        <w:tab/>
        <w:t>В соответствии с определением, содержащимся в ГТП № 15 ООН.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AD6B5" w14:textId="03481972" w:rsidR="00D31201" w:rsidRPr="00D31201" w:rsidRDefault="00D31201">
    <w:pPr>
      <w:pStyle w:val="a5"/>
    </w:pPr>
    <w:fldSimple w:instr=" TITLE  \* MERGEFORMAT ">
      <w:r w:rsidR="003176A4">
        <w:t>ECE/TRANS/WP.29/GRPE/2021/4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5A5C" w14:textId="579010AE" w:rsidR="00D31201" w:rsidRPr="00D31201" w:rsidRDefault="00D31201" w:rsidP="00D31201">
    <w:pPr>
      <w:pStyle w:val="a5"/>
      <w:jc w:val="right"/>
    </w:pPr>
    <w:fldSimple w:instr=" TITLE  \* MERGEFORMAT ">
      <w:r w:rsidR="003176A4">
        <w:t>ECE/TRANS/WP.29/GRPE/2021/4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E5EB8" w14:textId="77777777" w:rsidR="00D31201" w:rsidRDefault="00D31201" w:rsidP="00D3120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05BE6"/>
    <w:multiLevelType w:val="hybridMultilevel"/>
    <w:tmpl w:val="B98CBA9E"/>
    <w:lvl w:ilvl="0" w:tplc="ADC87B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1EFF5541"/>
    <w:multiLevelType w:val="hybridMultilevel"/>
    <w:tmpl w:val="987AFEC0"/>
    <w:lvl w:ilvl="0" w:tplc="E0048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19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14"/>
  </w:num>
  <w:num w:numId="18">
    <w:abstractNumId w:val="16"/>
  </w:num>
  <w:num w:numId="19">
    <w:abstractNumId w:val="17"/>
  </w:num>
  <w:num w:numId="20">
    <w:abstractNumId w:val="14"/>
  </w:num>
  <w:num w:numId="21">
    <w:abstractNumId w:val="16"/>
  </w:num>
  <w:num w:numId="22">
    <w:abstractNumId w:val="12"/>
    <w:lvlOverride w:ilvl="0">
      <w:lvl w:ilvl="0" w:tplc="E00487EA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</w:num>
  <w:num w:numId="23">
    <w:abstractNumId w:val="10"/>
    <w:lvlOverride w:ilvl="0">
      <w:lvl w:ilvl="0" w:tplc="ADC87BD4">
        <w:start w:val="1"/>
        <w:numFmt w:val="decimal"/>
        <w:lvlText w:val="%1."/>
        <w:lvlJc w:val="left"/>
        <w:pPr>
          <w:ind w:left="1494" w:hanging="360"/>
        </w:pPr>
        <w:rPr>
          <w:rFonts w:hint="default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1F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176A4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E05B7"/>
    <w:rsid w:val="004E5D06"/>
    <w:rsid w:val="0050108D"/>
    <w:rsid w:val="00513081"/>
    <w:rsid w:val="00517901"/>
    <w:rsid w:val="00526683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3741F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4761B"/>
    <w:rsid w:val="0086445C"/>
    <w:rsid w:val="00894693"/>
    <w:rsid w:val="008A08D7"/>
    <w:rsid w:val="008A37C8"/>
    <w:rsid w:val="008B6909"/>
    <w:rsid w:val="008D53B6"/>
    <w:rsid w:val="008E5DF2"/>
    <w:rsid w:val="008F7609"/>
    <w:rsid w:val="00906890"/>
    <w:rsid w:val="00911BE4"/>
    <w:rsid w:val="00951972"/>
    <w:rsid w:val="009608F3"/>
    <w:rsid w:val="009A24AC"/>
    <w:rsid w:val="009B39D5"/>
    <w:rsid w:val="009C59D7"/>
    <w:rsid w:val="009C6FE6"/>
    <w:rsid w:val="009D7E7D"/>
    <w:rsid w:val="009E6195"/>
    <w:rsid w:val="00A14DA8"/>
    <w:rsid w:val="00A312BC"/>
    <w:rsid w:val="00A84021"/>
    <w:rsid w:val="00A84D35"/>
    <w:rsid w:val="00A917B3"/>
    <w:rsid w:val="00AB4B51"/>
    <w:rsid w:val="00AD5980"/>
    <w:rsid w:val="00B10CC7"/>
    <w:rsid w:val="00B146F7"/>
    <w:rsid w:val="00B36DF7"/>
    <w:rsid w:val="00B539E7"/>
    <w:rsid w:val="00B62458"/>
    <w:rsid w:val="00BC18B2"/>
    <w:rsid w:val="00BD33EE"/>
    <w:rsid w:val="00BE1CC7"/>
    <w:rsid w:val="00C06B03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1201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56666"/>
    <w:rsid w:val="00E61C6A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852A7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CB0959"/>
  <w15:docId w15:val="{D47F93FA-C312-4977-98EC-827699EE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B146F7"/>
    <w:rPr>
      <w:lang w:val="ru-RU" w:eastAsia="en-US"/>
    </w:rPr>
  </w:style>
  <w:style w:type="character" w:customStyle="1" w:styleId="HChGChar">
    <w:name w:val="_ H _Ch_G Char"/>
    <w:link w:val="HChG"/>
    <w:rsid w:val="00B146F7"/>
    <w:rPr>
      <w:b/>
      <w:sz w:val="28"/>
      <w:lang w:val="ru-RU" w:eastAsia="ru-RU"/>
    </w:rPr>
  </w:style>
  <w:style w:type="paragraph" w:styleId="af3">
    <w:name w:val="List Paragraph"/>
    <w:basedOn w:val="a"/>
    <w:uiPriority w:val="34"/>
    <w:qFormat/>
    <w:rsid w:val="00B146F7"/>
    <w:pPr>
      <w:widowControl w:val="0"/>
      <w:suppressAutoHyphens w:val="0"/>
      <w:spacing w:line="240" w:lineRule="auto"/>
      <w:ind w:left="720"/>
      <w:contextualSpacing/>
      <w:jc w:val="both"/>
    </w:pPr>
    <w:rPr>
      <w:rFonts w:eastAsia="MS Mincho" w:cs="Times New Roman"/>
      <w:kern w:val="2"/>
      <w:sz w:val="24"/>
      <w:lang w:val="en-GB" w:eastAsia="ja-JP"/>
    </w:rPr>
  </w:style>
  <w:style w:type="character" w:customStyle="1" w:styleId="H1GChar">
    <w:name w:val="_ H_1_G Char"/>
    <w:link w:val="H1G"/>
    <w:rsid w:val="00B146F7"/>
    <w:rPr>
      <w:b/>
      <w:sz w:val="24"/>
      <w:lang w:val="ru-RU" w:eastAsia="ru-RU"/>
    </w:rPr>
  </w:style>
  <w:style w:type="paragraph" w:customStyle="1" w:styleId="Default">
    <w:name w:val="Default"/>
    <w:rsid w:val="00B146F7"/>
    <w:pPr>
      <w:autoSpaceDE w:val="0"/>
      <w:autoSpaceDN w:val="0"/>
      <w:adjustRightInd w:val="0"/>
    </w:pPr>
    <w:rPr>
      <w:color w:val="000000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2" ma:contentTypeDescription="Create a new document." ma:contentTypeScope="" ma:versionID="b46f68f7fd4ddbec8f9d92b9ae221ac3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2CC47-B18D-4BB3-9EB6-F67B1B487B32}"/>
</file>

<file path=customXml/itemProps2.xml><?xml version="1.0" encoding="utf-8"?>
<ds:datastoreItem xmlns:ds="http://schemas.openxmlformats.org/officeDocument/2006/customXml" ds:itemID="{192F2E44-12E3-42D6-8F63-FE21BB2B753F}"/>
</file>

<file path=customXml/itemProps3.xml><?xml version="1.0" encoding="utf-8"?>
<ds:datastoreItem xmlns:ds="http://schemas.openxmlformats.org/officeDocument/2006/customXml" ds:itemID="{5D903E4E-8BC7-456D-8948-7428C1132896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426</Words>
  <Characters>2886</Characters>
  <Application>Microsoft Office Word</Application>
  <DocSecurity>0</DocSecurity>
  <Lines>262</Lines>
  <Paragraphs>110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ECE/TRANS/WP.29/GRPE/2021/4</dc:title>
  <dc:subject/>
  <dc:creator>Olga OVTCHINNIKOVA</dc:creator>
  <cp:keywords/>
  <cp:lastModifiedBy>Olga Ovchinnikova</cp:lastModifiedBy>
  <cp:revision>3</cp:revision>
  <cp:lastPrinted>2020-11-09T13:07:00Z</cp:lastPrinted>
  <dcterms:created xsi:type="dcterms:W3CDTF">2020-11-09T13:07:00Z</dcterms:created>
  <dcterms:modified xsi:type="dcterms:W3CDTF">2020-11-09T13:07:00Z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