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5A11CB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9BB8270" w14:textId="77777777" w:rsidR="00F35BAF" w:rsidRPr="00DB58B5" w:rsidRDefault="00F35BAF" w:rsidP="00B95A7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987D25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A9D0A4F" w14:textId="77777777" w:rsidR="00F35BAF" w:rsidRPr="00DB58B5" w:rsidRDefault="00B95A7D" w:rsidP="00B95A7D">
            <w:pPr>
              <w:jc w:val="right"/>
            </w:pPr>
            <w:r w:rsidRPr="00B95A7D">
              <w:rPr>
                <w:sz w:val="40"/>
              </w:rPr>
              <w:t>ECE</w:t>
            </w:r>
            <w:r>
              <w:t>/TRANS/WP.29/GRPE/2021/4</w:t>
            </w:r>
          </w:p>
        </w:tc>
      </w:tr>
      <w:tr w:rsidR="00F35BAF" w:rsidRPr="00DB58B5" w14:paraId="1FF3F3D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D866A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B2A446E" wp14:editId="7F9013D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E73FB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84B6B5" w14:textId="77777777" w:rsidR="00F35BAF" w:rsidRDefault="00B95A7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0622C6C" w14:textId="77777777" w:rsidR="00B95A7D" w:rsidRDefault="00B95A7D" w:rsidP="00B95A7D">
            <w:pPr>
              <w:spacing w:line="240" w:lineRule="exact"/>
            </w:pPr>
            <w:r>
              <w:t>3 novembre 2020</w:t>
            </w:r>
          </w:p>
          <w:p w14:paraId="614F1003" w14:textId="77777777" w:rsidR="00B95A7D" w:rsidRDefault="00B95A7D" w:rsidP="00B95A7D">
            <w:pPr>
              <w:spacing w:line="240" w:lineRule="exact"/>
            </w:pPr>
            <w:r>
              <w:t>Français</w:t>
            </w:r>
          </w:p>
          <w:p w14:paraId="312628B2" w14:textId="77777777" w:rsidR="00B95A7D" w:rsidRPr="00DB58B5" w:rsidRDefault="00B95A7D" w:rsidP="00B95A7D">
            <w:pPr>
              <w:spacing w:line="240" w:lineRule="exact"/>
            </w:pPr>
            <w:r>
              <w:t>Original : anglais</w:t>
            </w:r>
          </w:p>
        </w:tc>
      </w:tr>
    </w:tbl>
    <w:p w14:paraId="6CDDEA9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87CEC1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B79C403" w14:textId="77777777" w:rsidR="00B95A7D" w:rsidRDefault="00B95A7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9616D85" w14:textId="77777777" w:rsidR="00B95A7D" w:rsidRDefault="00B95A7D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l’énergie</w:t>
      </w:r>
    </w:p>
    <w:p w14:paraId="09B37DA2" w14:textId="77777777" w:rsidR="00B95A7D" w:rsidRDefault="00B95A7D" w:rsidP="00257168">
      <w:pPr>
        <w:spacing w:before="120" w:line="240" w:lineRule="exact"/>
        <w:rPr>
          <w:b/>
        </w:rPr>
      </w:pPr>
      <w:r w:rsidRPr="00FD3D3D">
        <w:rPr>
          <w:rFonts w:eastAsia="MS Mincho"/>
          <w:b/>
          <w:bCs/>
        </w:rPr>
        <w:t>Quatre-vingt-deuxième</w:t>
      </w:r>
      <w:r>
        <w:rPr>
          <w:b/>
        </w:rPr>
        <w:t xml:space="preserve"> session</w:t>
      </w:r>
    </w:p>
    <w:p w14:paraId="45E75C0F" w14:textId="77777777" w:rsidR="00B95A7D" w:rsidRDefault="00B95A7D" w:rsidP="00257168">
      <w:pPr>
        <w:spacing w:line="240" w:lineRule="exact"/>
      </w:pPr>
      <w:r>
        <w:t xml:space="preserve">Genève, </w:t>
      </w:r>
      <w:r w:rsidRPr="00FD3D3D">
        <w:rPr>
          <w:rFonts w:eastAsia="MS Mincho"/>
        </w:rPr>
        <w:t>12-15 janvier 2021</w:t>
      </w:r>
    </w:p>
    <w:p w14:paraId="57C38BBB" w14:textId="77777777" w:rsidR="00B95A7D" w:rsidRDefault="00B95A7D" w:rsidP="00257168">
      <w:pPr>
        <w:spacing w:line="240" w:lineRule="exact"/>
      </w:pPr>
      <w:r>
        <w:t>Point 3 a) de l’ordre du jour provisoire</w:t>
      </w:r>
    </w:p>
    <w:p w14:paraId="03D46E70" w14:textId="77777777" w:rsidR="00B95A7D" w:rsidRPr="00FD3D3D" w:rsidRDefault="00B95A7D" w:rsidP="00B95A7D">
      <w:pPr>
        <w:rPr>
          <w:b/>
          <w:bCs/>
        </w:rPr>
      </w:pPr>
      <w:r w:rsidRPr="00FD3D3D">
        <w:rPr>
          <w:b/>
          <w:bCs/>
        </w:rPr>
        <w:t>Véhicules légers</w:t>
      </w:r>
      <w:r w:rsidR="008B598C">
        <w:rPr>
          <w:b/>
          <w:bCs/>
        </w:rPr>
        <w:t> </w:t>
      </w:r>
      <w:r w:rsidRPr="00FD3D3D">
        <w:rPr>
          <w:b/>
          <w:bCs/>
        </w:rPr>
        <w:t>: Règlements ONU n</w:t>
      </w:r>
      <w:r w:rsidRPr="00FD3D3D">
        <w:rPr>
          <w:b/>
          <w:bCs/>
          <w:vertAlign w:val="superscript"/>
        </w:rPr>
        <w:t>os</w:t>
      </w:r>
      <w:r w:rsidR="008B598C">
        <w:rPr>
          <w:b/>
          <w:bCs/>
        </w:rPr>
        <w:t> </w:t>
      </w:r>
      <w:r w:rsidRPr="00FD3D3D">
        <w:rPr>
          <w:b/>
          <w:bCs/>
        </w:rPr>
        <w:t xml:space="preserve">68 (Mesure de la vitesse </w:t>
      </w:r>
      <w:r w:rsidR="008B598C">
        <w:rPr>
          <w:b/>
          <w:bCs/>
        </w:rPr>
        <w:br/>
      </w:r>
      <w:r w:rsidRPr="00FD3D3D">
        <w:rPr>
          <w:b/>
          <w:bCs/>
        </w:rPr>
        <w:t xml:space="preserve">maximale des véhicules à moteur, y compris les véhicules </w:t>
      </w:r>
      <w:r w:rsidR="008B598C">
        <w:rPr>
          <w:b/>
          <w:bCs/>
        </w:rPr>
        <w:br/>
      </w:r>
      <w:r w:rsidRPr="00FD3D3D">
        <w:rPr>
          <w:b/>
          <w:bCs/>
        </w:rPr>
        <w:t xml:space="preserve">électriques purs), 83 (Émissions polluantes des véhicules </w:t>
      </w:r>
      <w:r w:rsidR="008B598C">
        <w:rPr>
          <w:b/>
          <w:bCs/>
        </w:rPr>
        <w:br/>
      </w:r>
      <w:r w:rsidRPr="00FD3D3D">
        <w:rPr>
          <w:b/>
          <w:bCs/>
        </w:rPr>
        <w:t>des catégories M</w:t>
      </w:r>
      <w:r w:rsidRPr="00FD3D3D">
        <w:rPr>
          <w:b/>
          <w:bCs/>
          <w:vertAlign w:val="subscript"/>
        </w:rPr>
        <w:t>1</w:t>
      </w:r>
      <w:r w:rsidRPr="00FD3D3D">
        <w:rPr>
          <w:b/>
          <w:bCs/>
        </w:rPr>
        <w:t xml:space="preserve"> et N</w:t>
      </w:r>
      <w:r w:rsidRPr="00FD3D3D">
        <w:rPr>
          <w:b/>
          <w:bCs/>
          <w:vertAlign w:val="subscript"/>
        </w:rPr>
        <w:t>1</w:t>
      </w:r>
      <w:r w:rsidRPr="00FD3D3D">
        <w:rPr>
          <w:b/>
          <w:bCs/>
        </w:rPr>
        <w:t>), 101 (Émissions de CO</w:t>
      </w:r>
      <w:r w:rsidRPr="00FD3D3D">
        <w:rPr>
          <w:b/>
          <w:bCs/>
          <w:vertAlign w:val="subscript"/>
        </w:rPr>
        <w:t>2</w:t>
      </w:r>
      <w:r w:rsidRPr="00FD3D3D">
        <w:rPr>
          <w:b/>
          <w:bCs/>
        </w:rPr>
        <w:t xml:space="preserve">/consommation </w:t>
      </w:r>
      <w:r w:rsidR="008B598C">
        <w:rPr>
          <w:b/>
          <w:bCs/>
        </w:rPr>
        <w:br/>
      </w:r>
      <w:r w:rsidRPr="00FD3D3D">
        <w:rPr>
          <w:b/>
          <w:bCs/>
        </w:rPr>
        <w:t xml:space="preserve">de carburant), 103 (Dispositifs antipollution de remplacement) </w:t>
      </w:r>
      <w:r w:rsidR="008B598C">
        <w:rPr>
          <w:b/>
          <w:bCs/>
        </w:rPr>
        <w:br/>
      </w:r>
      <w:r w:rsidRPr="00FD3D3D">
        <w:rPr>
          <w:b/>
          <w:bCs/>
        </w:rPr>
        <w:t xml:space="preserve">et [154] (Procédure d'essai mondiale harmonisée pour les voitures </w:t>
      </w:r>
      <w:r w:rsidR="008B598C">
        <w:rPr>
          <w:b/>
          <w:bCs/>
        </w:rPr>
        <w:br/>
      </w:r>
      <w:r w:rsidRPr="00FD3D3D">
        <w:rPr>
          <w:b/>
          <w:bCs/>
        </w:rPr>
        <w:t>particulières et les véhicules utilitaires légers (WLTP))</w:t>
      </w:r>
    </w:p>
    <w:p w14:paraId="079D6894" w14:textId="77777777" w:rsidR="00B95A7D" w:rsidRPr="00FD3D3D" w:rsidRDefault="00B95A7D" w:rsidP="00B95A7D">
      <w:pPr>
        <w:pStyle w:val="HChG"/>
      </w:pPr>
      <w:r>
        <w:tab/>
      </w:r>
      <w:r>
        <w:tab/>
      </w:r>
      <w:r w:rsidRPr="00FD3D3D">
        <w:t xml:space="preserve">Proposition de nouveau complément à la </w:t>
      </w:r>
      <w:r w:rsidRPr="00FD3D3D">
        <w:rPr>
          <w:color w:val="000000" w:themeColor="text1"/>
        </w:rPr>
        <w:t xml:space="preserve">série </w:t>
      </w:r>
      <w:r w:rsidRPr="00FD3D3D">
        <w:t>01</w:t>
      </w:r>
      <w:r w:rsidRPr="00FD3D3D">
        <w:rPr>
          <w:color w:val="000000" w:themeColor="text1"/>
        </w:rPr>
        <w:t xml:space="preserve"> d’amendements au Règlement ONU n</w:t>
      </w:r>
      <w:r w:rsidRPr="00FD3D3D">
        <w:rPr>
          <w:color w:val="000000" w:themeColor="text1"/>
          <w:vertAlign w:val="superscript"/>
        </w:rPr>
        <w:t>o</w:t>
      </w:r>
      <w:r w:rsidRPr="00FD3D3D">
        <w:rPr>
          <w:color w:val="000000" w:themeColor="text1"/>
        </w:rPr>
        <w:t xml:space="preserve"> 101 </w:t>
      </w:r>
      <w:r w:rsidRPr="00FD3D3D">
        <w:t xml:space="preserve">(Émissions </w:t>
      </w:r>
      <w:r w:rsidR="008B598C">
        <w:br/>
      </w:r>
      <w:r w:rsidRPr="00FD3D3D">
        <w:t>de CO</w:t>
      </w:r>
      <w:r w:rsidRPr="00FD3D3D">
        <w:rPr>
          <w:vertAlign w:val="subscript"/>
        </w:rPr>
        <w:t>2</w:t>
      </w:r>
      <w:r>
        <w:t xml:space="preserve"> et </w:t>
      </w:r>
      <w:r w:rsidRPr="00FD3D3D">
        <w:t>consommation de carburant)</w:t>
      </w:r>
    </w:p>
    <w:p w14:paraId="3CC1977C" w14:textId="77777777" w:rsidR="00B95A7D" w:rsidRPr="00FD3D3D" w:rsidRDefault="00B95A7D" w:rsidP="00B95A7D">
      <w:pPr>
        <w:pStyle w:val="H1G"/>
      </w:pPr>
      <w:r w:rsidRPr="00FD3D3D">
        <w:tab/>
      </w:r>
      <w:r w:rsidRPr="00FD3D3D">
        <w:tab/>
        <w:t xml:space="preserve">Communication de l’expert de l’Organisation internationale </w:t>
      </w:r>
      <w:r>
        <w:br/>
      </w:r>
      <w:r w:rsidRPr="00FD3D3D">
        <w:t>des constructeurs d’automobiles</w:t>
      </w:r>
      <w:r w:rsidRPr="008B598C">
        <w:rPr>
          <w:b w:val="0"/>
          <w:bCs/>
        </w:rPr>
        <w:footnoteReference w:customMarkFollows="1" w:id="2"/>
        <w:t>*</w:t>
      </w:r>
    </w:p>
    <w:p w14:paraId="69DD3FD8" w14:textId="77777777" w:rsidR="00B95A7D" w:rsidRDefault="00B95A7D" w:rsidP="00B95A7D">
      <w:pPr>
        <w:pStyle w:val="SingleTxtG"/>
        <w:ind w:firstLine="567"/>
      </w:pPr>
      <w:r w:rsidRPr="00FD3D3D">
        <w:t>Le document ci-après, établi par l’expert de l’Organisation internationale des constructeurs d’automobiles (OICA), vise à corriger une erreur relevée dans les formules utilisées pour calculer les valeurs de résistance à l’avancement sur route selon les critères du nouveau cycle d’essai européen (NEDC) à partir des valeurs déterminées conformément au RTM ONU n</w:t>
      </w:r>
      <w:r w:rsidRPr="00FD3D3D">
        <w:rPr>
          <w:vertAlign w:val="superscript"/>
        </w:rPr>
        <w:t>o</w:t>
      </w:r>
      <w:r w:rsidR="008629B9">
        <w:t> 1</w:t>
      </w:r>
      <w:r w:rsidRPr="00FD3D3D">
        <w:t xml:space="preserve">5 (WLTP), ainsi qu’un renvoi erroné, </w:t>
      </w:r>
      <w:r w:rsidRPr="00FD3D3D">
        <w:rPr>
          <w:bCs/>
        </w:rPr>
        <w:t>dans la série </w:t>
      </w:r>
      <w:r w:rsidRPr="00FD3D3D">
        <w:rPr>
          <w:szCs w:val="23"/>
        </w:rPr>
        <w:t xml:space="preserve">01 d’amendements </w:t>
      </w:r>
      <w:r w:rsidRPr="00FD3D3D">
        <w:rPr>
          <w:bCs/>
          <w:color w:val="000000" w:themeColor="text1"/>
        </w:rPr>
        <w:t>au Règlement ONU n</w:t>
      </w:r>
      <w:r w:rsidRPr="00FD3D3D">
        <w:rPr>
          <w:bCs/>
          <w:color w:val="000000" w:themeColor="text1"/>
          <w:vertAlign w:val="superscript"/>
        </w:rPr>
        <w:t>o</w:t>
      </w:r>
      <w:r w:rsidRPr="00FD3D3D">
        <w:rPr>
          <w:bCs/>
          <w:color w:val="000000" w:themeColor="text1"/>
        </w:rPr>
        <w:t> </w:t>
      </w:r>
      <w:r w:rsidRPr="00FD3D3D">
        <w:rPr>
          <w:color w:val="000000" w:themeColor="text1"/>
        </w:rPr>
        <w:t>101</w:t>
      </w:r>
      <w:r w:rsidRPr="00FD3D3D">
        <w:rPr>
          <w:szCs w:val="23"/>
        </w:rPr>
        <w:t xml:space="preserve">. </w:t>
      </w:r>
      <w:r w:rsidRPr="00FD3D3D">
        <w:t>Les modifications qu’il est proposé d’apporter au texte actuel du Règlement figurent en caractères gras pour les ajouts et biffés pour les suppressions.</w:t>
      </w:r>
    </w:p>
    <w:p w14:paraId="67E72C77" w14:textId="77777777" w:rsidR="00B95A7D" w:rsidRPr="00FD3D3D" w:rsidRDefault="00B95A7D" w:rsidP="008629B9">
      <w:pPr>
        <w:pStyle w:val="HChG"/>
        <w:spacing w:before="0"/>
      </w:pPr>
      <w:r>
        <w:br w:type="page"/>
      </w:r>
      <w:r>
        <w:lastRenderedPageBreak/>
        <w:tab/>
        <w:t>I.</w:t>
      </w:r>
      <w:r>
        <w:tab/>
      </w:r>
      <w:r w:rsidRPr="00FD3D3D">
        <w:t>Proposition</w:t>
      </w:r>
    </w:p>
    <w:p w14:paraId="2AA1B9C2" w14:textId="77777777" w:rsidR="00B95A7D" w:rsidRPr="00FD3D3D" w:rsidRDefault="00B95A7D" w:rsidP="00B95A7D">
      <w:pPr>
        <w:spacing w:after="120"/>
        <w:ind w:left="1134" w:right="1134"/>
        <w:rPr>
          <w:rFonts w:eastAsia="MS Mincho"/>
          <w:iCs/>
        </w:rPr>
      </w:pPr>
      <w:r w:rsidRPr="00FD3D3D">
        <w:rPr>
          <w:rFonts w:eastAsia="MS Mincho"/>
          <w:i/>
        </w:rPr>
        <w:t>Annexe 7b, appendice 2, paragraphe 2.1</w:t>
      </w:r>
      <w:r w:rsidRPr="00FD3D3D">
        <w:rPr>
          <w:rFonts w:eastAsia="MS Mincho"/>
          <w:iCs/>
        </w:rPr>
        <w:t>,</w:t>
      </w:r>
      <w:r w:rsidRPr="00FD3D3D">
        <w:rPr>
          <w:rFonts w:eastAsia="MS Mincho"/>
          <w:i/>
        </w:rPr>
        <w:t xml:space="preserve"> </w:t>
      </w:r>
      <w:r w:rsidRPr="00FD3D3D">
        <w:rPr>
          <w:rFonts w:eastAsia="MS Mincho"/>
          <w:iCs/>
        </w:rPr>
        <w:t>lire :</w:t>
      </w:r>
    </w:p>
    <w:p w14:paraId="196009DE" w14:textId="77777777" w:rsidR="00B95A7D" w:rsidRPr="00FD3D3D" w:rsidRDefault="00B95A7D" w:rsidP="00B95A7D">
      <w:pPr>
        <w:spacing w:after="120"/>
        <w:ind w:left="2268" w:right="1134" w:hanging="1134"/>
        <w:jc w:val="both"/>
        <w:rPr>
          <w:rFonts w:eastAsia="MS Mincho"/>
          <w:bCs/>
        </w:rPr>
      </w:pPr>
      <w:r w:rsidRPr="00FD3D3D">
        <w:rPr>
          <w:rFonts w:eastAsia="MS Mincho"/>
          <w:bCs/>
        </w:rPr>
        <w:t>« 2.1</w:t>
      </w:r>
      <w:r w:rsidRPr="00FD3D3D">
        <w:rPr>
          <w:rFonts w:eastAsia="MS Mincho"/>
          <w:bCs/>
        </w:rPr>
        <w:tab/>
        <w:t>Calcul de la résistance à l’avancement du véhicule (procédure WLTP)</w:t>
      </w:r>
    </w:p>
    <w:p w14:paraId="14673A94" w14:textId="77777777" w:rsidR="00B95A7D" w:rsidRPr="00FD3D3D" w:rsidRDefault="00B95A7D" w:rsidP="00B95A7D">
      <w:pPr>
        <w:spacing w:after="120"/>
        <w:ind w:left="2268" w:right="1134"/>
        <w:jc w:val="both"/>
        <w:rPr>
          <w:rFonts w:eastAsia="MS Mincho"/>
          <w:bCs/>
        </w:rPr>
      </w:pPr>
      <w:r w:rsidRPr="00FD3D3D">
        <w:rPr>
          <w:rFonts w:eastAsia="MS Mincho"/>
          <w:bCs/>
        </w:rPr>
        <w:t>La résistance à l’avancement du véhicule (procédure WLTP) doit être déterminée conformément à l’annexe 4 du RTM ONU n</w:t>
      </w:r>
      <w:r w:rsidRPr="00A87C57">
        <w:rPr>
          <w:rFonts w:eastAsia="MS Mincho"/>
          <w:bCs/>
          <w:vertAlign w:val="superscript"/>
        </w:rPr>
        <w:t>o</w:t>
      </w:r>
      <w:r w:rsidRPr="00FD3D3D">
        <w:rPr>
          <w:rFonts w:eastAsia="MS Mincho"/>
          <w:bCs/>
        </w:rPr>
        <w:t> 15 ou, dans le cas où le véhicule appartient à une famille d’interpolation, conformément au paragraphe 3.2.3.2.2 de son annexe 7 (Calcul de la résistance à l’avancement sur route pour un véhicule donné), avec les paramètres d’entrée suivants :</w:t>
      </w:r>
    </w:p>
    <w:p w14:paraId="573F0AB1" w14:textId="77777777" w:rsidR="00B95A7D" w:rsidRPr="00FD3D3D" w:rsidRDefault="00B95A7D" w:rsidP="00B95A7D">
      <w:pPr>
        <w:spacing w:after="120"/>
        <w:ind w:left="1701" w:right="1134" w:firstLine="567"/>
        <w:jc w:val="both"/>
        <w:rPr>
          <w:rFonts w:eastAsia="MS Mincho"/>
          <w:bCs/>
        </w:rPr>
      </w:pPr>
      <w:r w:rsidRPr="00FD3D3D">
        <w:rPr>
          <w:bCs/>
        </w:rPr>
        <w:t>a)</w:t>
      </w:r>
      <w:r w:rsidRPr="00FD3D3D">
        <w:rPr>
          <w:bCs/>
        </w:rPr>
        <w:tab/>
        <w:t>La masse d’essai du véhicule</w:t>
      </w:r>
      <w:r w:rsidRPr="00FD3D3D">
        <w:rPr>
          <w:rStyle w:val="Appelnotedebasdep"/>
          <w:rFonts w:eastAsia="MS Mincho"/>
          <w:bCs/>
        </w:rPr>
        <w:footnoteReference w:id="3"/>
      </w:r>
      <w:r w:rsidRPr="00FD3D3D">
        <w:rPr>
          <w:bCs/>
        </w:rPr>
        <w:t>, pourvu de son équipement de série</w:t>
      </w:r>
      <w:r w:rsidRPr="00FD3D3D">
        <w:rPr>
          <w:rStyle w:val="Appelnotedebasdep"/>
          <w:bCs/>
        </w:rPr>
        <w:footnoteRef/>
      </w:r>
      <w:r w:rsidRPr="00FD3D3D">
        <w:rPr>
          <w:bCs/>
        </w:rPr>
        <w:t> ;</w:t>
      </w:r>
    </w:p>
    <w:p w14:paraId="288A1AB8" w14:textId="77777777" w:rsidR="00B95A7D" w:rsidRPr="00FD3D3D" w:rsidRDefault="00B95A7D" w:rsidP="00B95A7D">
      <w:pPr>
        <w:pStyle w:val="Default"/>
        <w:spacing w:after="120"/>
        <w:ind w:left="2835" w:right="1134" w:hanging="567"/>
        <w:jc w:val="both"/>
        <w:rPr>
          <w:bCs/>
          <w:sz w:val="20"/>
          <w:szCs w:val="20"/>
          <w:lang w:val="fr-CH"/>
        </w:rPr>
      </w:pPr>
      <w:r w:rsidRPr="00FD3D3D">
        <w:rPr>
          <w:bCs/>
          <w:sz w:val="20"/>
          <w:szCs w:val="20"/>
          <w:lang w:val="fr-CH"/>
        </w:rPr>
        <w:t>b)</w:t>
      </w:r>
      <w:r w:rsidRPr="00FD3D3D">
        <w:rPr>
          <w:bCs/>
          <w:sz w:val="20"/>
          <w:szCs w:val="20"/>
          <w:lang w:val="fr-CH"/>
        </w:rPr>
        <w:tab/>
      </w:r>
      <w:r w:rsidRPr="00FD3D3D">
        <w:rPr>
          <w:bCs/>
          <w:sz w:val="20"/>
          <w:szCs w:val="20"/>
          <w:lang w:val="fr-CH"/>
        </w:rPr>
        <w:tab/>
        <w:t>La valeur du CRR de la classe d’efficacité énergétique correspondante selon le tableau A4/2 de l’annexe 4 du RTM ONU n</w:t>
      </w:r>
      <w:r w:rsidRPr="00A87C57">
        <w:rPr>
          <w:bCs/>
          <w:sz w:val="20"/>
          <w:szCs w:val="20"/>
          <w:vertAlign w:val="superscript"/>
          <w:lang w:val="fr-CH"/>
        </w:rPr>
        <w:t>o</w:t>
      </w:r>
      <w:r w:rsidRPr="00FD3D3D">
        <w:rPr>
          <w:bCs/>
          <w:sz w:val="20"/>
          <w:szCs w:val="20"/>
          <w:lang w:val="fr-CH"/>
        </w:rPr>
        <w:t xml:space="preserve"> 15 ou, si les pneumatiques montés sur les essieux avant et arrière relèvent de différentes classes d’efficacité énergétique, la moyenne pondérée calculée à l’aide de l’équation qui figure au paragraphe 3.2.3.2.2.2.3 de l’annexe </w:t>
      </w:r>
      <w:r w:rsidRPr="00FD3D3D">
        <w:rPr>
          <w:bCs/>
          <w:strike/>
          <w:sz w:val="20"/>
          <w:szCs w:val="20"/>
          <w:lang w:val="fr-CH"/>
        </w:rPr>
        <w:t xml:space="preserve">4 </w:t>
      </w:r>
      <w:r w:rsidRPr="00FD3D3D">
        <w:rPr>
          <w:b/>
          <w:sz w:val="20"/>
          <w:szCs w:val="20"/>
          <w:lang w:val="fr-CH"/>
        </w:rPr>
        <w:t>7</w:t>
      </w:r>
      <w:r w:rsidRPr="00FD3D3D">
        <w:rPr>
          <w:bCs/>
          <w:sz w:val="20"/>
          <w:szCs w:val="20"/>
          <w:lang w:val="fr-CH"/>
        </w:rPr>
        <w:t xml:space="preserve"> du RTM ONU n</w:t>
      </w:r>
      <w:r w:rsidRPr="00A87C57">
        <w:rPr>
          <w:bCs/>
          <w:sz w:val="20"/>
          <w:szCs w:val="20"/>
          <w:vertAlign w:val="superscript"/>
          <w:lang w:val="fr-CH"/>
        </w:rPr>
        <w:t>o</w:t>
      </w:r>
      <w:r w:rsidRPr="00FD3D3D">
        <w:rPr>
          <w:bCs/>
          <w:sz w:val="20"/>
          <w:szCs w:val="20"/>
          <w:lang w:val="fr-CH"/>
        </w:rPr>
        <w:t> 15 ;</w:t>
      </w:r>
    </w:p>
    <w:p w14:paraId="552FC655" w14:textId="77777777" w:rsidR="00B95A7D" w:rsidRPr="00FD3D3D" w:rsidRDefault="00B95A7D" w:rsidP="00B95A7D">
      <w:pPr>
        <w:spacing w:after="120"/>
        <w:ind w:left="2835" w:right="1134" w:hanging="567"/>
        <w:jc w:val="both"/>
        <w:rPr>
          <w:rFonts w:eastAsia="MS Mincho"/>
          <w:iCs/>
        </w:rPr>
      </w:pPr>
      <w:r w:rsidRPr="00FD3D3D">
        <w:rPr>
          <w:bCs/>
        </w:rPr>
        <w:t>c)</w:t>
      </w:r>
      <w:r w:rsidRPr="00FD3D3D">
        <w:rPr>
          <w:bCs/>
        </w:rPr>
        <w:tab/>
        <w:t>La traînée aérodynamique du véhicule pourvu de son équipement de série</w:t>
      </w:r>
      <w:r w:rsidRPr="00FD3D3D">
        <w:rPr>
          <w:rStyle w:val="Appelnotedebasdep"/>
          <w:bCs/>
        </w:rPr>
        <w:footnoteRef/>
      </w:r>
      <w:r w:rsidRPr="00FD3D3D">
        <w:rPr>
          <w:bCs/>
        </w:rPr>
        <w:t> ».</w:t>
      </w:r>
    </w:p>
    <w:p w14:paraId="24D87B47" w14:textId="77777777" w:rsidR="00B95A7D" w:rsidRPr="00FD3D3D" w:rsidRDefault="00B95A7D" w:rsidP="00B95A7D">
      <w:pPr>
        <w:spacing w:after="120"/>
        <w:ind w:left="1134" w:right="1134"/>
        <w:rPr>
          <w:rFonts w:eastAsia="MS Mincho"/>
          <w:i/>
        </w:rPr>
      </w:pPr>
      <w:r w:rsidRPr="00FD3D3D">
        <w:rPr>
          <w:rFonts w:eastAsia="MS Mincho"/>
          <w:i/>
        </w:rPr>
        <w:t>Annexe 7, appendice 2, paragraphe 2.2.4 a) iv)</w:t>
      </w:r>
      <w:r w:rsidRPr="00FD3D3D">
        <w:rPr>
          <w:rFonts w:eastAsia="MS Mincho"/>
          <w:iCs/>
        </w:rPr>
        <w:t>,</w:t>
      </w:r>
      <w:r w:rsidRPr="00FD3D3D">
        <w:rPr>
          <w:rFonts w:eastAsia="MS Mincho"/>
          <w:i/>
        </w:rPr>
        <w:t xml:space="preserve"> </w:t>
      </w:r>
      <w:r w:rsidRPr="00FD3D3D">
        <w:rPr>
          <w:rFonts w:eastAsia="MS Mincho"/>
          <w:iCs/>
        </w:rPr>
        <w:t>lire :</w:t>
      </w:r>
    </w:p>
    <w:p w14:paraId="1FFE28D0" w14:textId="77777777" w:rsidR="00B95A7D" w:rsidRPr="00FD3D3D" w:rsidRDefault="00B95A7D" w:rsidP="00B95A7D">
      <w:pPr>
        <w:spacing w:after="120"/>
        <w:ind w:left="2835" w:right="1134"/>
        <w:rPr>
          <w:rFonts w:eastAsia="MS Mincho"/>
        </w:rPr>
      </w:pPr>
      <w:r w:rsidRPr="00FD3D3D">
        <w:rPr>
          <w:rFonts w:eastAsia="MS Mincho"/>
        </w:rPr>
        <w:t>« iv)</w:t>
      </w:r>
      <w:r w:rsidRPr="00FD3D3D">
        <w:rPr>
          <w:rFonts w:eastAsia="MS Mincho"/>
        </w:rPr>
        <w:tab/>
      </w:r>
      <w:r w:rsidRPr="007B1AA0">
        <w:rPr>
          <w:rFonts w:eastAsia="MS Mincho"/>
          <w:lang w:val="fr-FR"/>
        </w:rPr>
        <w:t>Effet de la différence de profondeur de sculpture des pneumatiques :</w:t>
      </w:r>
    </w:p>
    <w:p w14:paraId="74707B1E" w14:textId="77777777" w:rsidR="00B95A7D" w:rsidRPr="00FD3D3D" w:rsidRDefault="00B95A7D" w:rsidP="00B95A7D">
      <w:pPr>
        <w:spacing w:after="120"/>
        <w:ind w:left="1985" w:right="1134" w:hanging="284"/>
        <w:rPr>
          <w:rFonts w:eastAsia="MS Mincho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</m:sSub>
          <m: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</w:rPr>
              </m:ctrlPr>
            </m:sSubSup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  <w:highlight w:val="yellow"/>
            </w:rPr>
            <m:t>-</m:t>
          </m:r>
          <m:r>
            <w:rPr>
              <w:rFonts w:ascii="Cambria Math" w:eastAsia="MS Mincho" w:hAnsi="Cambria Math"/>
              <w:strike/>
              <w:highlight w:val="yellow"/>
            </w:rPr>
            <m:t>.</m:t>
          </m:r>
          <m:r>
            <w:rPr>
              <w:rFonts w:ascii="Cambria Math" w:eastAsia="MS Mincho" w:hAnsi="Cambria Math"/>
            </w:rPr>
            <m:t>TTD</m:t>
          </m:r>
        </m:oMath>
      </m:oMathPara>
    </w:p>
    <w:p w14:paraId="1A3019A6" w14:textId="77777777" w:rsidR="00B95A7D" w:rsidRPr="00FD3D3D" w:rsidRDefault="00B95A7D" w:rsidP="00B95A7D">
      <w:pPr>
        <w:spacing w:after="120"/>
        <w:ind w:leftChars="1417" w:left="2834" w:right="1134"/>
        <w:rPr>
          <w:rFonts w:eastAsia="MS Mincho"/>
        </w:rPr>
      </w:pPr>
      <w:r>
        <w:rPr>
          <w:rFonts w:eastAsia="MS Mincho"/>
        </w:rPr>
        <w:t>où</w:t>
      </w:r>
      <w:r w:rsidRPr="00FD3D3D">
        <w:rPr>
          <w:rFonts w:eastAsia="MS Mincho"/>
        </w:rPr>
        <w:t xml:space="preserve"> </w:t>
      </w:r>
      <m:oMath>
        <m:r>
          <w:rPr>
            <w:rFonts w:ascii="Cambria Math" w:eastAsia="MS Mincho" w:hAnsi="Cambria Math"/>
          </w:rPr>
          <m:t>TTD</m:t>
        </m:r>
      </m:oMath>
      <w:r w:rsidRPr="00FD3D3D">
        <w:rPr>
          <w:rFonts w:eastAsia="MS Mincho"/>
        </w:rPr>
        <w:t xml:space="preserve"> </w:t>
      </w:r>
      <w:r w:rsidRPr="007B1AA0">
        <w:rPr>
          <w:rFonts w:eastAsia="MS Mincho"/>
          <w:lang w:val="fr-FR"/>
        </w:rPr>
        <w:t>est tel que défini au </w:t>
      </w:r>
      <w:r w:rsidRPr="00FD3D3D">
        <w:rPr>
          <w:rFonts w:eastAsia="MS Mincho"/>
        </w:rPr>
        <w:t>2.2.2. ».</w:t>
      </w:r>
    </w:p>
    <w:p w14:paraId="4254B093" w14:textId="77777777" w:rsidR="00B95A7D" w:rsidRPr="00FD3D3D" w:rsidRDefault="00B95A7D" w:rsidP="00B95A7D">
      <w:pPr>
        <w:pStyle w:val="HChG"/>
      </w:pPr>
      <w:r>
        <w:tab/>
      </w:r>
      <w:r w:rsidRPr="00FD3D3D">
        <w:t>II.</w:t>
      </w:r>
      <w:r w:rsidRPr="00FD3D3D">
        <w:tab/>
        <w:t>Justification</w:t>
      </w:r>
    </w:p>
    <w:p w14:paraId="4606C4E1" w14:textId="77777777" w:rsidR="00B95A7D" w:rsidRPr="00FD3D3D" w:rsidRDefault="00B95A7D" w:rsidP="00B95A7D">
      <w:pPr>
        <w:pStyle w:val="SingleTxtG"/>
      </w:pPr>
      <w:r>
        <w:t>1.</w:t>
      </w:r>
      <w:r>
        <w:tab/>
      </w:r>
      <w:r w:rsidRPr="00FD3D3D">
        <w:t>Il s’agit de remplacer, dans l’annexe 7, appendice 7b, paragraphe 2.1 b) du Règlement ONU n</w:t>
      </w:r>
      <w:r w:rsidRPr="00FD3D3D">
        <w:rPr>
          <w:vertAlign w:val="superscript"/>
        </w:rPr>
        <w:t>o</w:t>
      </w:r>
      <w:r w:rsidRPr="00FD3D3D">
        <w:t> 101, un renvoi erroné à l’annexe 4 du RTM ONU n</w:t>
      </w:r>
      <w:r w:rsidRPr="00FD3D3D">
        <w:rPr>
          <w:vertAlign w:val="superscript"/>
        </w:rPr>
        <w:t>o</w:t>
      </w:r>
      <w:r w:rsidRPr="00FD3D3D">
        <w:t> 15 par un renvoi à son annexe 7.</w:t>
      </w:r>
    </w:p>
    <w:p w14:paraId="0CBBBE8A" w14:textId="77777777" w:rsidR="00B95A7D" w:rsidRPr="00FD3D3D" w:rsidRDefault="00B95A7D" w:rsidP="00B95A7D">
      <w:pPr>
        <w:pStyle w:val="Paragraphedeliste"/>
        <w:spacing w:after="120"/>
        <w:ind w:left="1134" w:right="1134"/>
        <w:contextualSpacing w:val="0"/>
        <w:rPr>
          <w:sz w:val="20"/>
          <w:szCs w:val="20"/>
          <w:lang w:val="fr-CH" w:eastAsia="en-US"/>
        </w:rPr>
      </w:pPr>
      <w:r>
        <w:rPr>
          <w:sz w:val="20"/>
          <w:szCs w:val="20"/>
          <w:lang w:val="fr-CH" w:eastAsia="en-US"/>
        </w:rPr>
        <w:t>2.</w:t>
      </w:r>
      <w:r>
        <w:rPr>
          <w:sz w:val="20"/>
          <w:szCs w:val="20"/>
          <w:lang w:val="fr-CH" w:eastAsia="en-US"/>
        </w:rPr>
        <w:tab/>
      </w:r>
      <w:r w:rsidRPr="00FD3D3D">
        <w:rPr>
          <w:sz w:val="20"/>
          <w:szCs w:val="20"/>
          <w:lang w:val="fr-CH" w:eastAsia="en-US"/>
        </w:rPr>
        <w:t>Lorsque la méthode issue du Règlement de l’Union européenne (UE) a été reproduite, un « . » a été inséré à tort dans la formule au lieu d'un « - ».</w:t>
      </w:r>
    </w:p>
    <w:p w14:paraId="19895C99" w14:textId="77777777" w:rsidR="00B95A7D" w:rsidRPr="00FD3D3D" w:rsidRDefault="00B95A7D" w:rsidP="00B95A7D">
      <w:pPr>
        <w:pStyle w:val="Paragraphedeliste"/>
        <w:spacing w:after="120"/>
        <w:ind w:left="1134" w:right="1134"/>
        <w:contextualSpacing w:val="0"/>
        <w:rPr>
          <w:rFonts w:cs="Courier New"/>
          <w:sz w:val="20"/>
          <w:szCs w:val="20"/>
          <w:lang w:val="fr-CH"/>
        </w:rPr>
      </w:pPr>
      <w:r>
        <w:rPr>
          <w:sz w:val="20"/>
          <w:szCs w:val="20"/>
          <w:lang w:val="fr-CH" w:eastAsia="en-US"/>
        </w:rPr>
        <w:t>3.</w:t>
      </w:r>
      <w:r>
        <w:rPr>
          <w:sz w:val="20"/>
          <w:szCs w:val="20"/>
          <w:lang w:val="fr-CH" w:eastAsia="en-US"/>
        </w:rPr>
        <w:tab/>
      </w:r>
      <w:r w:rsidRPr="00FD3D3D">
        <w:rPr>
          <w:sz w:val="20"/>
          <w:szCs w:val="20"/>
          <w:lang w:val="fr-CH" w:eastAsia="en-US"/>
        </w:rPr>
        <w:t>Cette correction a été revue par le Centre commun de recherche de l’UE, qui est à l’origine de la méthode.</w:t>
      </w:r>
    </w:p>
    <w:p w14:paraId="45B2105B" w14:textId="359CDBD2" w:rsidR="00F9573C" w:rsidRPr="00B95A7D" w:rsidRDefault="00B95A7D" w:rsidP="00B95A7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43FE">
        <w:rPr>
          <w:u w:val="single"/>
        </w:rPr>
        <w:tab/>
      </w:r>
      <w:bookmarkStart w:id="0" w:name="_GoBack"/>
      <w:bookmarkEnd w:id="0"/>
    </w:p>
    <w:sectPr w:rsidR="00F9573C" w:rsidRPr="00B95A7D" w:rsidSect="00B95A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5AC8" w14:textId="77777777" w:rsidR="002F7B0C" w:rsidRDefault="002F7B0C" w:rsidP="00F95C08">
      <w:pPr>
        <w:spacing w:line="240" w:lineRule="auto"/>
      </w:pPr>
    </w:p>
  </w:endnote>
  <w:endnote w:type="continuationSeparator" w:id="0">
    <w:p w14:paraId="518D3CBD" w14:textId="77777777" w:rsidR="002F7B0C" w:rsidRPr="00AC3823" w:rsidRDefault="002F7B0C" w:rsidP="00AC3823">
      <w:pPr>
        <w:pStyle w:val="Pieddepage"/>
      </w:pPr>
    </w:p>
  </w:endnote>
  <w:endnote w:type="continuationNotice" w:id="1">
    <w:p w14:paraId="25B92497" w14:textId="77777777" w:rsidR="002F7B0C" w:rsidRDefault="002F7B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374A" w14:textId="77777777" w:rsidR="00B95A7D" w:rsidRPr="00B95A7D" w:rsidRDefault="00B95A7D" w:rsidP="00B95A7D">
    <w:pPr>
      <w:pStyle w:val="Pieddepage"/>
      <w:tabs>
        <w:tab w:val="right" w:pos="9638"/>
      </w:tabs>
    </w:pPr>
    <w:r w:rsidRPr="00B95A7D">
      <w:rPr>
        <w:b/>
        <w:sz w:val="18"/>
      </w:rPr>
      <w:fldChar w:fldCharType="begin"/>
    </w:r>
    <w:r w:rsidRPr="00B95A7D">
      <w:rPr>
        <w:b/>
        <w:sz w:val="18"/>
      </w:rPr>
      <w:instrText xml:space="preserve"> PAGE  \* MERGEFORMAT </w:instrText>
    </w:r>
    <w:r w:rsidRPr="00B95A7D">
      <w:rPr>
        <w:b/>
        <w:sz w:val="18"/>
      </w:rPr>
      <w:fldChar w:fldCharType="separate"/>
    </w:r>
    <w:r w:rsidRPr="00B95A7D">
      <w:rPr>
        <w:b/>
        <w:noProof/>
        <w:sz w:val="18"/>
      </w:rPr>
      <w:t>2</w:t>
    </w:r>
    <w:r w:rsidRPr="00B95A7D">
      <w:rPr>
        <w:b/>
        <w:sz w:val="18"/>
      </w:rPr>
      <w:fldChar w:fldCharType="end"/>
    </w:r>
    <w:r>
      <w:rPr>
        <w:b/>
        <w:sz w:val="18"/>
      </w:rPr>
      <w:tab/>
    </w:r>
    <w:r>
      <w:t>GE.20-14369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FD89" w14:textId="77777777" w:rsidR="00B95A7D" w:rsidRPr="00B95A7D" w:rsidRDefault="00B95A7D" w:rsidP="00B95A7D">
    <w:pPr>
      <w:pStyle w:val="Pieddepage"/>
      <w:tabs>
        <w:tab w:val="right" w:pos="9638"/>
      </w:tabs>
      <w:rPr>
        <w:b/>
        <w:sz w:val="18"/>
      </w:rPr>
    </w:pPr>
    <w:r>
      <w:t>GE.20-14369</w:t>
    </w:r>
    <w:r>
      <w:tab/>
    </w:r>
    <w:r w:rsidRPr="00B95A7D">
      <w:rPr>
        <w:b/>
        <w:sz w:val="18"/>
      </w:rPr>
      <w:fldChar w:fldCharType="begin"/>
    </w:r>
    <w:r w:rsidRPr="00B95A7D">
      <w:rPr>
        <w:b/>
        <w:sz w:val="18"/>
      </w:rPr>
      <w:instrText xml:space="preserve"> PAGE  \* MERGEFORMAT </w:instrText>
    </w:r>
    <w:r w:rsidRPr="00B95A7D">
      <w:rPr>
        <w:b/>
        <w:sz w:val="18"/>
      </w:rPr>
      <w:fldChar w:fldCharType="separate"/>
    </w:r>
    <w:r w:rsidRPr="00B95A7D">
      <w:rPr>
        <w:b/>
        <w:noProof/>
        <w:sz w:val="18"/>
      </w:rPr>
      <w:t>3</w:t>
    </w:r>
    <w:r w:rsidRPr="00B95A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BF64" w14:textId="77777777" w:rsidR="007F20FA" w:rsidRPr="00B95A7D" w:rsidRDefault="00B95A7D" w:rsidP="00B95A7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78B472F" wp14:editId="6D7CC49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20-14369  (F)</w:t>
    </w:r>
    <w:r w:rsidR="008629B9">
      <w:rPr>
        <w:sz w:val="20"/>
      </w:rPr>
      <w:t xml:space="preserve">    111120    111120</w:t>
    </w:r>
    <w:r>
      <w:rPr>
        <w:sz w:val="20"/>
      </w:rPr>
      <w:br/>
    </w:r>
    <w:r w:rsidRPr="00B95A7D">
      <w:rPr>
        <w:rFonts w:ascii="C39T30Lfz" w:hAnsi="C39T30Lfz"/>
        <w:sz w:val="56"/>
      </w:rPr>
      <w:t>*2014369*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D46AA81" wp14:editId="668E6A4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8184" w14:textId="77777777" w:rsidR="002F7B0C" w:rsidRPr="00AC3823" w:rsidRDefault="002F7B0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7782CA" w14:textId="77777777" w:rsidR="002F7B0C" w:rsidRPr="00AC3823" w:rsidRDefault="002F7B0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00CA36" w14:textId="77777777" w:rsidR="002F7B0C" w:rsidRPr="00AC3823" w:rsidRDefault="002F7B0C">
      <w:pPr>
        <w:spacing w:line="240" w:lineRule="auto"/>
        <w:rPr>
          <w:sz w:val="2"/>
          <w:szCs w:val="2"/>
        </w:rPr>
      </w:pPr>
    </w:p>
  </w:footnote>
  <w:footnote w:id="2">
    <w:p w14:paraId="27D59BA8" w14:textId="77777777" w:rsidR="00B95A7D" w:rsidRPr="00DD1307" w:rsidRDefault="00B95A7D" w:rsidP="00B95A7D">
      <w:pPr>
        <w:pStyle w:val="Notedebasdepage"/>
      </w:pPr>
      <w:r w:rsidRPr="00DD1307">
        <w:tab/>
      </w:r>
      <w:r w:rsidRPr="008629B9">
        <w:rPr>
          <w:rStyle w:val="Appelnotedebasdep"/>
          <w:sz w:val="20"/>
          <w:vertAlign w:val="baseline"/>
        </w:rPr>
        <w:t>*</w:t>
      </w:r>
      <w:r w:rsidRPr="008629B9">
        <w:rPr>
          <w:sz w:val="20"/>
        </w:rPr>
        <w:tab/>
      </w:r>
      <w:r w:rsidRPr="00DD1307">
        <w:rPr>
          <w:szCs w:val="18"/>
        </w:rPr>
        <w:t>Conformément au programme de travail du Comité des transports intérieurs pour 2021 tel qu’il figure dans le projet de budget-programme pour 2021 (A/75/6 (Sect. 20), par.</w:t>
      </w:r>
      <w:r>
        <w:rPr>
          <w:szCs w:val="18"/>
        </w:rPr>
        <w:t> </w:t>
      </w:r>
      <w:r w:rsidRPr="00DD1307">
        <w:rPr>
          <w:szCs w:val="18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48C131E8" w14:textId="37E7BC85" w:rsidR="00B95A7D" w:rsidRPr="00DD1307" w:rsidRDefault="00B95A7D" w:rsidP="00B95A7D">
      <w:pPr>
        <w:pStyle w:val="Notedebasdepage"/>
      </w:pPr>
      <w:r w:rsidRPr="00DD1307">
        <w:tab/>
      </w:r>
      <w:r w:rsidRPr="00DD1307">
        <w:rPr>
          <w:rStyle w:val="Appelnotedebasdep"/>
        </w:rPr>
        <w:footnoteRef/>
      </w:r>
      <w:r w:rsidRPr="00DD1307">
        <w:tab/>
      </w:r>
      <w:r w:rsidRPr="00DD1307">
        <w:rPr>
          <w:rFonts w:eastAsia="MS Mincho"/>
        </w:rPr>
        <w:t>Selon la définition figurant dans le RTM ONU n</w:t>
      </w:r>
      <w:r w:rsidRPr="00DD1307">
        <w:rPr>
          <w:rFonts w:eastAsia="MS Mincho"/>
          <w:vertAlign w:val="superscript"/>
        </w:rPr>
        <w:t>o</w:t>
      </w:r>
      <w:r w:rsidRPr="00DD1307">
        <w:rPr>
          <w:rFonts w:eastAsia="MS Mincho"/>
        </w:rPr>
        <w:t> 15</w:t>
      </w:r>
      <w:r w:rsidR="002F145E">
        <w:rPr>
          <w:rFonts w:eastAsia="MS Minch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02A2" w14:textId="2D92FC0A" w:rsidR="00B95A7D" w:rsidRPr="00B95A7D" w:rsidRDefault="00B95A7D">
    <w:pPr>
      <w:pStyle w:val="En-tte"/>
    </w:pPr>
    <w:fldSimple w:instr=" TITLE  \* MERGEFORMAT ">
      <w:r w:rsidR="002F145E">
        <w:t>ECE/TRANS/WP.29/GRPE/2021/4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EC7D" w14:textId="5C9E1711" w:rsidR="00B95A7D" w:rsidRPr="00B95A7D" w:rsidRDefault="00B95A7D" w:rsidP="00B95A7D">
    <w:pPr>
      <w:pStyle w:val="En-tte"/>
      <w:jc w:val="right"/>
    </w:pPr>
    <w:fldSimple w:instr=" TITLE  \* MERGEFORMAT ">
      <w:r w:rsidR="002F145E">
        <w:t>ECE/TRANS/WP.29/GRPE/2021/4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05BE6"/>
    <w:multiLevelType w:val="hybridMultilevel"/>
    <w:tmpl w:val="B98CBA9E"/>
    <w:lvl w:ilvl="0" w:tplc="ADC87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0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41AC"/>
    <w:rsid w:val="001F525A"/>
    <w:rsid w:val="00223272"/>
    <w:rsid w:val="0024779E"/>
    <w:rsid w:val="00257168"/>
    <w:rsid w:val="002744B8"/>
    <w:rsid w:val="002832AC"/>
    <w:rsid w:val="002D7C93"/>
    <w:rsid w:val="002F145E"/>
    <w:rsid w:val="002F7B0C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56731"/>
    <w:rsid w:val="00573BE5"/>
    <w:rsid w:val="00586ED3"/>
    <w:rsid w:val="00596AA9"/>
    <w:rsid w:val="006A43FE"/>
    <w:rsid w:val="0071601D"/>
    <w:rsid w:val="007A62E6"/>
    <w:rsid w:val="007F20FA"/>
    <w:rsid w:val="0080684C"/>
    <w:rsid w:val="008629B9"/>
    <w:rsid w:val="00871C75"/>
    <w:rsid w:val="008776DC"/>
    <w:rsid w:val="008A0553"/>
    <w:rsid w:val="008B598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95A7D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17B26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3D7150"/>
  <w15:docId w15:val="{B2465A85-2151-4AAE-9001-59F95C77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95A7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B95A7D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B95A7D"/>
    <w:pPr>
      <w:widowControl w:val="0"/>
      <w:suppressAutoHyphens w:val="0"/>
      <w:kinsoku/>
      <w:overflowPunct/>
      <w:autoSpaceDE/>
      <w:autoSpaceDN/>
      <w:adjustRightInd/>
      <w:snapToGrid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val="en-GB" w:eastAsia="ja-JP"/>
    </w:rPr>
  </w:style>
  <w:style w:type="paragraph" w:customStyle="1" w:styleId="Default">
    <w:name w:val="Default"/>
    <w:rsid w:val="00B95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711A4-A36F-4DE8-9B28-585DF55A7AB8}"/>
</file>

<file path=customXml/itemProps2.xml><?xml version="1.0" encoding="utf-8"?>
<ds:datastoreItem xmlns:ds="http://schemas.openxmlformats.org/officeDocument/2006/customXml" ds:itemID="{183CFF8D-C010-43B5-AE64-B8C232608C7B}"/>
</file>

<file path=customXml/itemProps3.xml><?xml version="1.0" encoding="utf-8"?>
<ds:datastoreItem xmlns:ds="http://schemas.openxmlformats.org/officeDocument/2006/customXml" ds:itemID="{5E3AD674-E71F-4594-BBE6-917D1DFCFE7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423</Words>
  <Characters>2965</Characters>
  <Application>Microsoft Office Word</Application>
  <DocSecurity>0</DocSecurity>
  <Lines>247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ECE/TRANS/WP.29/GRPE/2021/4</vt:lpstr>
    </vt:vector>
  </TitlesOfParts>
  <Company>DCM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ECE/TRANS/WP.29/GRPE/2021/4</dc:title>
  <dc:subject/>
  <dc:creator>Fabienne CRELIER</dc:creator>
  <cp:keywords/>
  <cp:lastModifiedBy>Fabienne Crelier</cp:lastModifiedBy>
  <cp:revision>2</cp:revision>
  <cp:lastPrinted>2020-11-11T13:47:00Z</cp:lastPrinted>
  <dcterms:created xsi:type="dcterms:W3CDTF">2020-11-11T13:49:00Z</dcterms:created>
  <dcterms:modified xsi:type="dcterms:W3CDTF">2020-11-11T13:49:00Z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