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D6192"/>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D6192" w:rsidP="00BD6192">
            <w:pPr>
              <w:jc w:val="right"/>
            </w:pPr>
            <w:r w:rsidRPr="00BD6192">
              <w:rPr>
                <w:sz w:val="40"/>
              </w:rPr>
              <w:t>ECE</w:t>
            </w:r>
            <w:r>
              <w:t>/TRANS/WP.29/GRPE/2021/2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D6192" w:rsidP="00C97039">
            <w:pPr>
              <w:spacing w:before="240"/>
            </w:pPr>
            <w:r>
              <w:t>Distr. générale</w:t>
            </w:r>
          </w:p>
          <w:p w:rsidR="00BD6192" w:rsidRDefault="00BD6192" w:rsidP="00BD6192">
            <w:pPr>
              <w:spacing w:line="240" w:lineRule="exact"/>
            </w:pPr>
            <w:r>
              <w:t>3 novembre 2020</w:t>
            </w:r>
          </w:p>
          <w:p w:rsidR="00BD6192" w:rsidRDefault="00BD6192" w:rsidP="00BD6192">
            <w:pPr>
              <w:spacing w:line="240" w:lineRule="exact"/>
            </w:pPr>
            <w:r>
              <w:t>Français</w:t>
            </w:r>
          </w:p>
          <w:p w:rsidR="00BD6192" w:rsidRPr="00DB58B5" w:rsidRDefault="00BD6192" w:rsidP="00BD6192">
            <w:pPr>
              <w:spacing w:line="240" w:lineRule="exact"/>
            </w:pPr>
            <w:r>
              <w:t>Original</w:t>
            </w:r>
            <w:r w:rsidR="008E49A0">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E49A0" w:rsidRPr="008E49A0" w:rsidRDefault="008E49A0" w:rsidP="008E49A0">
      <w:pPr>
        <w:tabs>
          <w:tab w:val="left" w:pos="567"/>
          <w:tab w:val="left" w:pos="1134"/>
        </w:tabs>
        <w:spacing w:before="120"/>
        <w:rPr>
          <w:sz w:val="24"/>
          <w:szCs w:val="24"/>
          <w:lang w:val="fr-FR"/>
        </w:rPr>
      </w:pPr>
      <w:r w:rsidRPr="008E49A0">
        <w:rPr>
          <w:b/>
          <w:bCs/>
          <w:sz w:val="24"/>
          <w:szCs w:val="24"/>
          <w:lang w:val="fr-FR"/>
        </w:rPr>
        <w:t xml:space="preserve">Forum mondial de l’harmonisation </w:t>
      </w:r>
      <w:r>
        <w:rPr>
          <w:b/>
          <w:bCs/>
          <w:sz w:val="24"/>
          <w:szCs w:val="24"/>
          <w:lang w:val="fr-FR"/>
        </w:rPr>
        <w:br/>
      </w:r>
      <w:r w:rsidRPr="008E49A0">
        <w:rPr>
          <w:b/>
          <w:bCs/>
          <w:sz w:val="24"/>
          <w:szCs w:val="24"/>
          <w:lang w:val="fr-FR"/>
        </w:rPr>
        <w:t>des Règlements concernant les véhicules</w:t>
      </w:r>
    </w:p>
    <w:p w:rsidR="008E49A0" w:rsidRPr="005206E7" w:rsidRDefault="008E49A0" w:rsidP="008E49A0">
      <w:pPr>
        <w:tabs>
          <w:tab w:val="left" w:pos="567"/>
          <w:tab w:val="left" w:pos="1134"/>
        </w:tabs>
        <w:spacing w:before="120" w:after="120"/>
        <w:rPr>
          <w:rFonts w:eastAsia="MS Mincho"/>
          <w:b/>
          <w:bCs/>
          <w:lang w:val="fr-FR"/>
        </w:rPr>
      </w:pPr>
      <w:r>
        <w:rPr>
          <w:b/>
          <w:bCs/>
          <w:lang w:val="fr-FR"/>
        </w:rPr>
        <w:t>Groupe de travail de la pollution et de l’énergie</w:t>
      </w:r>
    </w:p>
    <w:p w:rsidR="008E49A0" w:rsidRPr="005206E7" w:rsidRDefault="008E49A0" w:rsidP="008E49A0">
      <w:pPr>
        <w:rPr>
          <w:rFonts w:eastAsia="MS Mincho"/>
          <w:b/>
          <w:lang w:val="fr-FR"/>
        </w:rPr>
      </w:pPr>
      <w:r>
        <w:rPr>
          <w:b/>
          <w:bCs/>
          <w:lang w:val="fr-FR"/>
        </w:rPr>
        <w:t>Quatre-vingt-deuxième session</w:t>
      </w:r>
    </w:p>
    <w:p w:rsidR="008E49A0" w:rsidRPr="005206E7" w:rsidRDefault="008E49A0" w:rsidP="008E49A0">
      <w:pPr>
        <w:rPr>
          <w:lang w:val="fr-FR"/>
        </w:rPr>
      </w:pPr>
      <w:r>
        <w:rPr>
          <w:lang w:val="fr-FR"/>
        </w:rPr>
        <w:t>Genève, 12-15 janvier 2021</w:t>
      </w:r>
    </w:p>
    <w:p w:rsidR="008E49A0" w:rsidRPr="005206E7" w:rsidRDefault="008E49A0" w:rsidP="008E49A0">
      <w:pPr>
        <w:rPr>
          <w:lang w:val="fr-FR"/>
        </w:rPr>
      </w:pPr>
      <w:r>
        <w:rPr>
          <w:lang w:val="fr-FR"/>
        </w:rPr>
        <w:t>Point 3 a) de l’ordre du jour provisoire</w:t>
      </w:r>
    </w:p>
    <w:p w:rsidR="008E49A0" w:rsidRPr="005206E7" w:rsidRDefault="008E49A0" w:rsidP="008E49A0">
      <w:pPr>
        <w:rPr>
          <w:b/>
          <w:bCs/>
          <w:lang w:val="fr-FR"/>
        </w:rPr>
      </w:pPr>
      <w:r>
        <w:rPr>
          <w:b/>
          <w:bCs/>
          <w:lang w:val="fr-FR"/>
        </w:rPr>
        <w:t>Véhicules légers</w:t>
      </w:r>
      <w:r>
        <w:rPr>
          <w:b/>
          <w:bCs/>
          <w:lang w:val="fr-FR"/>
        </w:rPr>
        <w:t> :</w:t>
      </w:r>
      <w:r>
        <w:rPr>
          <w:b/>
          <w:bCs/>
          <w:lang w:val="fr-FR"/>
        </w:rPr>
        <w:t xml:space="preserve"> Règlements ONU n</w:t>
      </w:r>
      <w:r>
        <w:rPr>
          <w:b/>
          <w:bCs/>
          <w:vertAlign w:val="superscript"/>
          <w:lang w:val="fr-FR"/>
        </w:rPr>
        <w:t>os</w:t>
      </w:r>
      <w:r>
        <w:rPr>
          <w:b/>
          <w:bCs/>
          <w:lang w:val="fr-FR"/>
        </w:rPr>
        <w:t> </w:t>
      </w:r>
      <w:r>
        <w:rPr>
          <w:b/>
          <w:bCs/>
          <w:lang w:val="fr-FR"/>
        </w:rPr>
        <w:t xml:space="preserve">68 (Mesure de la vitesse maximale </w:t>
      </w:r>
      <w:r>
        <w:rPr>
          <w:b/>
          <w:bCs/>
          <w:lang w:val="fr-FR"/>
        </w:rPr>
        <w:br/>
      </w:r>
      <w:r>
        <w:rPr>
          <w:b/>
          <w:bCs/>
          <w:lang w:val="fr-FR"/>
        </w:rPr>
        <w:t xml:space="preserve">des véhicules à moteur, y compris les véhicules électriques purs), </w:t>
      </w:r>
      <w:r>
        <w:rPr>
          <w:b/>
          <w:bCs/>
          <w:lang w:val="fr-FR"/>
        </w:rPr>
        <w:br/>
      </w:r>
      <w:r>
        <w:rPr>
          <w:b/>
          <w:bCs/>
          <w:lang w:val="fr-FR"/>
        </w:rPr>
        <w:t>83 (Émissions polluantes des véhicules des catégories M</w:t>
      </w:r>
      <w:r>
        <w:rPr>
          <w:b/>
          <w:bCs/>
          <w:vertAlign w:val="subscript"/>
          <w:lang w:val="fr-FR"/>
        </w:rPr>
        <w:t>1</w:t>
      </w:r>
      <w:r>
        <w:rPr>
          <w:b/>
          <w:bCs/>
          <w:lang w:val="fr-FR"/>
        </w:rPr>
        <w:t xml:space="preserve"> et N</w:t>
      </w:r>
      <w:r>
        <w:rPr>
          <w:b/>
          <w:bCs/>
          <w:vertAlign w:val="subscript"/>
          <w:lang w:val="fr-FR"/>
        </w:rPr>
        <w:t>1</w:t>
      </w:r>
      <w:r>
        <w:rPr>
          <w:b/>
          <w:bCs/>
          <w:lang w:val="fr-FR"/>
        </w:rPr>
        <w:t xml:space="preserve">), </w:t>
      </w:r>
      <w:r>
        <w:rPr>
          <w:b/>
          <w:bCs/>
          <w:lang w:val="fr-FR"/>
        </w:rPr>
        <w:br/>
      </w:r>
      <w:r>
        <w:rPr>
          <w:b/>
          <w:bCs/>
          <w:lang w:val="fr-FR"/>
        </w:rPr>
        <w:t>101 (Émissions de CO</w:t>
      </w:r>
      <w:r w:rsidRPr="004164F7">
        <w:rPr>
          <w:b/>
          <w:bCs/>
          <w:vertAlign w:val="subscript"/>
          <w:lang w:val="fr-FR"/>
        </w:rPr>
        <w:t>2</w:t>
      </w:r>
      <w:r>
        <w:rPr>
          <w:b/>
          <w:bCs/>
          <w:lang w:val="fr-FR"/>
        </w:rPr>
        <w:t xml:space="preserve">/consommation de carburant), </w:t>
      </w:r>
      <w:r>
        <w:rPr>
          <w:b/>
          <w:bCs/>
          <w:lang w:val="fr-FR"/>
        </w:rPr>
        <w:br/>
      </w:r>
      <w:r>
        <w:rPr>
          <w:b/>
          <w:bCs/>
          <w:lang w:val="fr-FR"/>
        </w:rPr>
        <w:t xml:space="preserve">103 (Dispositifs antipollution de remplacement) et </w:t>
      </w:r>
      <w:r>
        <w:rPr>
          <w:b/>
          <w:bCs/>
          <w:lang w:val="fr-FR"/>
        </w:rPr>
        <w:br/>
      </w:r>
      <w:r>
        <w:rPr>
          <w:b/>
          <w:bCs/>
          <w:lang w:val="fr-FR"/>
        </w:rPr>
        <w:t xml:space="preserve">[154] (Procédure d’essai mondiale harmonisée pour les voitures particulières </w:t>
      </w:r>
      <w:r>
        <w:rPr>
          <w:b/>
          <w:bCs/>
          <w:lang w:val="fr-FR"/>
        </w:rPr>
        <w:br/>
      </w:r>
      <w:r>
        <w:rPr>
          <w:b/>
          <w:bCs/>
          <w:lang w:val="fr-FR"/>
        </w:rPr>
        <w:t>et les véhicules utilitaires légers (WLTP))</w:t>
      </w:r>
    </w:p>
    <w:p w:rsidR="008E49A0" w:rsidRPr="005206E7" w:rsidRDefault="00F46F4C" w:rsidP="00F46F4C">
      <w:pPr>
        <w:pStyle w:val="HChG"/>
        <w:rPr>
          <w:lang w:val="fr-FR"/>
        </w:rPr>
      </w:pPr>
      <w:r>
        <w:rPr>
          <w:lang w:val="fr-FR"/>
        </w:rPr>
        <w:tab/>
      </w:r>
      <w:r w:rsidR="008E49A0">
        <w:rPr>
          <w:lang w:val="fr-FR"/>
        </w:rPr>
        <w:tab/>
        <w:t>Proposition de nouveau complément à la série 05 d’amendements au Règlement ONU n</w:t>
      </w:r>
      <w:r w:rsidR="008E49A0">
        <w:rPr>
          <w:vertAlign w:val="superscript"/>
          <w:lang w:val="fr-FR"/>
        </w:rPr>
        <w:t>o</w:t>
      </w:r>
      <w:r w:rsidR="008E49A0">
        <w:rPr>
          <w:lang w:val="fr-FR"/>
        </w:rPr>
        <w:t> 83 (Émissions polluantes des véhicules des catégories M</w:t>
      </w:r>
      <w:r w:rsidR="008E49A0">
        <w:rPr>
          <w:vertAlign w:val="subscript"/>
          <w:lang w:val="fr-FR"/>
        </w:rPr>
        <w:t>1</w:t>
      </w:r>
      <w:r w:rsidR="008E49A0">
        <w:rPr>
          <w:lang w:val="fr-FR"/>
        </w:rPr>
        <w:t xml:space="preserve"> et N</w:t>
      </w:r>
      <w:r w:rsidR="008E49A0">
        <w:rPr>
          <w:vertAlign w:val="subscript"/>
          <w:lang w:val="fr-FR"/>
        </w:rPr>
        <w:t>1</w:t>
      </w:r>
      <w:r w:rsidR="008E49A0">
        <w:rPr>
          <w:lang w:val="fr-FR"/>
        </w:rPr>
        <w:t>)</w:t>
      </w:r>
    </w:p>
    <w:p w:rsidR="008E49A0" w:rsidRPr="005206E7" w:rsidRDefault="008E49A0" w:rsidP="00F46F4C">
      <w:pPr>
        <w:pStyle w:val="H1G"/>
        <w:rPr>
          <w:lang w:val="fr-FR"/>
        </w:rPr>
      </w:pPr>
      <w:r>
        <w:rPr>
          <w:lang w:val="fr-FR"/>
        </w:rPr>
        <w:tab/>
      </w:r>
      <w:r>
        <w:rPr>
          <w:lang w:val="fr-FR"/>
        </w:rPr>
        <w:tab/>
        <w:t>Communication de l’expert de l’Organisation internationale des</w:t>
      </w:r>
      <w:r w:rsidR="00F46F4C">
        <w:rPr>
          <w:lang w:val="fr-FR"/>
        </w:rPr>
        <w:t> </w:t>
      </w:r>
      <w:r>
        <w:rPr>
          <w:lang w:val="fr-FR"/>
        </w:rPr>
        <w:t>constructeurs d’automobiles</w:t>
      </w:r>
      <w:r w:rsidRPr="00F46F4C">
        <w:rPr>
          <w:b w:val="0"/>
          <w:bCs/>
          <w:sz w:val="20"/>
          <w:lang w:val="fr-FR"/>
        </w:rPr>
        <w:footnoteReference w:customMarkFollows="1" w:id="2"/>
        <w:t>*</w:t>
      </w:r>
    </w:p>
    <w:p w:rsidR="008E49A0" w:rsidRPr="005206E7" w:rsidRDefault="008E49A0" w:rsidP="008E49A0">
      <w:pPr>
        <w:pStyle w:val="SingleTxtG"/>
        <w:ind w:firstLine="567"/>
        <w:rPr>
          <w:lang w:val="fr-FR"/>
        </w:rPr>
      </w:pPr>
      <w:r>
        <w:rPr>
          <w:lang w:val="fr-FR"/>
        </w:rPr>
        <w:t>Le document ci-après, établi par l’expert de l’Organisation internationale des constructeurs d’automobiles (OICA), vise à étendre à la série 05 d’amendements la possibilité de calculer les valeurs de résistance à l’avancement sur route à partir des valeurs déterminées conformément au RTM ONU n</w:t>
      </w:r>
      <w:r>
        <w:rPr>
          <w:vertAlign w:val="superscript"/>
          <w:lang w:val="fr-FR"/>
        </w:rPr>
        <w:t>o</w:t>
      </w:r>
      <w:r w:rsidR="00F46F4C">
        <w:rPr>
          <w:lang w:val="fr-FR"/>
        </w:rPr>
        <w:t> </w:t>
      </w:r>
      <w:r>
        <w:rPr>
          <w:lang w:val="fr-FR"/>
        </w:rPr>
        <w:t xml:space="preserve">15 (WLTP), déjà prévue </w:t>
      </w:r>
      <w:r w:rsidRPr="00C12924">
        <w:rPr>
          <w:lang w:val="fr-FR"/>
        </w:rPr>
        <w:t>dans les séries 06 et 07</w:t>
      </w:r>
      <w:r>
        <w:rPr>
          <w:lang w:val="fr-FR"/>
        </w:rPr>
        <w:t>. Les modifications qu’il est proposé d’apporter au texte actuel du Règlement figurent en caractères gras pour les ajouts et biffés pour les suppressions.</w:t>
      </w:r>
    </w:p>
    <w:p w:rsidR="008E49A0" w:rsidRPr="00D12748" w:rsidRDefault="008E49A0" w:rsidP="008E49A0">
      <w:pPr>
        <w:pStyle w:val="HChG"/>
      </w:pPr>
      <w:r w:rsidRPr="005206E7">
        <w:rPr>
          <w:lang w:val="fr-FR"/>
        </w:rPr>
        <w:br w:type="page"/>
      </w:r>
      <w:r>
        <w:rPr>
          <w:lang w:val="fr-FR"/>
        </w:rPr>
        <w:lastRenderedPageBreak/>
        <w:tab/>
      </w:r>
      <w:r w:rsidRPr="00D12748">
        <w:t>I.</w:t>
      </w:r>
      <w:r w:rsidRPr="00D12748">
        <w:tab/>
      </w:r>
      <w:r>
        <w:rPr>
          <w:lang w:val="fr-FR"/>
        </w:rPr>
        <w:t>Proposition</w:t>
      </w:r>
    </w:p>
    <w:p w:rsidR="008E49A0" w:rsidRPr="00DA4FB4" w:rsidRDefault="008E49A0" w:rsidP="008E49A0">
      <w:pPr>
        <w:pStyle w:val="SingleTxtG"/>
        <w:rPr>
          <w:rFonts w:eastAsia="MS Mincho"/>
        </w:rPr>
      </w:pPr>
      <w:r w:rsidRPr="008E49A0">
        <w:rPr>
          <w:i/>
          <w:iCs/>
          <w:lang w:val="fr-FR"/>
        </w:rPr>
        <w:t>Annexe 4a</w:t>
      </w:r>
      <w:r>
        <w:rPr>
          <w:lang w:val="fr-FR"/>
        </w:rPr>
        <w:t>, lire</w:t>
      </w:r>
      <w:r>
        <w:rPr>
          <w:lang w:val="fr-FR"/>
        </w:rPr>
        <w:t> :</w:t>
      </w:r>
    </w:p>
    <w:p w:rsidR="008E49A0" w:rsidRPr="00DA4FB4" w:rsidRDefault="008E49A0" w:rsidP="008E49A0">
      <w:pPr>
        <w:pStyle w:val="SingleTxtG"/>
        <w:ind w:left="2268" w:hanging="1134"/>
      </w:pPr>
      <w:r>
        <w:rPr>
          <w:lang w:val="fr-FR"/>
        </w:rPr>
        <w:t>« 5.1</w:t>
      </w:r>
      <w:r>
        <w:rPr>
          <w:lang w:val="fr-FR"/>
        </w:rPr>
        <w:tab/>
        <w:t>Procédure d’essai</w:t>
      </w:r>
    </w:p>
    <w:p w:rsidR="008E49A0" w:rsidRPr="005206E7" w:rsidRDefault="008E49A0" w:rsidP="008E49A0">
      <w:pPr>
        <w:pStyle w:val="SingleTxtG"/>
        <w:ind w:left="2268"/>
        <w:rPr>
          <w:b/>
          <w:bCs/>
          <w:lang w:val="fr-FR"/>
        </w:rPr>
      </w:pPr>
      <w:r>
        <w:rPr>
          <w:lang w:val="fr-FR"/>
        </w:rPr>
        <w:t>La méthode utilisée pour mesurer la résistance à l’avancement sur route du véhicule est décrite à l’appendice 7</w:t>
      </w:r>
      <w:r>
        <w:rPr>
          <w:b/>
          <w:bCs/>
          <w:lang w:val="fr-FR"/>
        </w:rPr>
        <w:t>a</w:t>
      </w:r>
      <w:r>
        <w:rPr>
          <w:lang w:val="fr-FR"/>
        </w:rPr>
        <w:t xml:space="preserve"> de la présente annexe.</w:t>
      </w:r>
    </w:p>
    <w:p w:rsidR="008E49A0" w:rsidRDefault="008E49A0" w:rsidP="008E49A0">
      <w:pPr>
        <w:pStyle w:val="SingleTxtG"/>
        <w:ind w:left="2268"/>
        <w:rPr>
          <w:lang w:val="fr-FR"/>
        </w:rPr>
      </w:pPr>
      <w:r>
        <w:rPr>
          <w:b/>
          <w:bCs/>
          <w:lang w:val="fr-FR"/>
        </w:rPr>
        <w:t>Dans le cas où la résistance à l’avancement sur la route du véhicule a déjà été déterminée conformément à la procédure WLTP telle que définie dans le RTM ONU n</w:t>
      </w:r>
      <w:r>
        <w:rPr>
          <w:b/>
          <w:bCs/>
          <w:vertAlign w:val="superscript"/>
          <w:lang w:val="fr-FR"/>
        </w:rPr>
        <w:t>o</w:t>
      </w:r>
      <w:r>
        <w:rPr>
          <w:b/>
          <w:bCs/>
          <w:lang w:val="fr-FR"/>
        </w:rPr>
        <w:t> 15, la méthode décrite à l’appendice 7b peut être utilisée en remplacement.</w:t>
      </w:r>
    </w:p>
    <w:p w:rsidR="008E49A0" w:rsidRPr="005206E7" w:rsidRDefault="008E49A0" w:rsidP="008E49A0">
      <w:pPr>
        <w:pStyle w:val="SingleTxtG"/>
        <w:ind w:left="2268"/>
        <w:rPr>
          <w:lang w:val="fr-FR"/>
        </w:rPr>
      </w:pPr>
      <w:r w:rsidRPr="0097197A">
        <w:rPr>
          <w:strike/>
          <w:lang w:val="fr-FR"/>
        </w:rPr>
        <w:t>Cette procédure n</w:t>
      </w:r>
      <w:r>
        <w:rPr>
          <w:strike/>
          <w:lang w:val="fr-FR"/>
        </w:rPr>
        <w:t>’</w:t>
      </w:r>
      <w:proofErr w:type="spellStart"/>
      <w:r w:rsidRPr="0097197A">
        <w:rPr>
          <w:strike/>
          <w:lang w:val="fr-FR"/>
        </w:rPr>
        <w:t>est</w:t>
      </w:r>
      <w:r>
        <w:rPr>
          <w:b/>
          <w:bCs/>
          <w:lang w:val="fr-FR"/>
        </w:rPr>
        <w:t>Ces</w:t>
      </w:r>
      <w:proofErr w:type="spellEnd"/>
      <w:r>
        <w:rPr>
          <w:b/>
          <w:bCs/>
          <w:lang w:val="fr-FR"/>
        </w:rPr>
        <w:t xml:space="preserve"> procédures ne sont </w:t>
      </w:r>
      <w:r>
        <w:rPr>
          <w:lang w:val="fr-FR"/>
        </w:rPr>
        <w:t>pas requise</w:t>
      </w:r>
      <w:r>
        <w:rPr>
          <w:b/>
          <w:bCs/>
          <w:lang w:val="fr-FR"/>
        </w:rPr>
        <w:t>s</w:t>
      </w:r>
      <w:r>
        <w:rPr>
          <w:lang w:val="fr-FR"/>
        </w:rPr>
        <w:t xml:space="preserve"> si le réglage du banc doit être effectué en fonction de la masse de référence du véhicule. ».</w:t>
      </w:r>
    </w:p>
    <w:p w:rsidR="008E49A0" w:rsidRPr="005206E7" w:rsidRDefault="008E49A0" w:rsidP="008E49A0">
      <w:pPr>
        <w:pStyle w:val="SingleTxtG"/>
        <w:rPr>
          <w:rFonts w:eastAsia="MS Mincho"/>
          <w:i/>
          <w:lang w:val="fr-FR"/>
        </w:rPr>
      </w:pPr>
      <w:r>
        <w:rPr>
          <w:i/>
          <w:iCs/>
          <w:lang w:val="fr-FR"/>
        </w:rPr>
        <w:t>Annexe 4a</w:t>
      </w:r>
      <w:r>
        <w:rPr>
          <w:lang w:val="fr-FR"/>
        </w:rPr>
        <w:t>, l’appendice 7 devient l’appendice 7a.</w:t>
      </w:r>
    </w:p>
    <w:p w:rsidR="008E49A0" w:rsidRPr="005206E7" w:rsidRDefault="008E49A0" w:rsidP="008E49A0">
      <w:pPr>
        <w:pStyle w:val="SingleTxtG"/>
        <w:rPr>
          <w:rFonts w:eastAsia="MS Mincho"/>
          <w:i/>
          <w:lang w:val="fr-FR"/>
        </w:rPr>
      </w:pPr>
      <w:r>
        <w:rPr>
          <w:i/>
          <w:iCs/>
          <w:lang w:val="fr-FR"/>
        </w:rPr>
        <w:t>Annexe 4a</w:t>
      </w:r>
      <w:r>
        <w:rPr>
          <w:lang w:val="fr-FR"/>
        </w:rPr>
        <w:t>, ajouter le nouvel appendice 7b, comme suit</w:t>
      </w:r>
      <w:r>
        <w:rPr>
          <w:lang w:val="fr-FR"/>
        </w:rPr>
        <w:t> :</w:t>
      </w:r>
    </w:p>
    <w:p w:rsidR="008E49A0" w:rsidRPr="005206E7" w:rsidRDefault="008E49A0" w:rsidP="008E49A0">
      <w:pPr>
        <w:pStyle w:val="HChG"/>
        <w:rPr>
          <w:rFonts w:eastAsia="MS Mincho"/>
          <w:lang w:val="fr-FR"/>
        </w:rPr>
      </w:pPr>
      <w:r>
        <w:rPr>
          <w:lang w:val="fr-FR"/>
        </w:rPr>
        <w:tab/>
      </w:r>
      <w:r>
        <w:rPr>
          <w:lang w:val="fr-FR"/>
        </w:rPr>
        <w:tab/>
      </w:r>
      <w:r w:rsidRPr="008E49A0">
        <w:rPr>
          <w:b w:val="0"/>
          <w:bCs/>
          <w:sz w:val="20"/>
          <w:lang w:val="fr-FR"/>
        </w:rPr>
        <w:t>«</w:t>
      </w:r>
      <w:r w:rsidRPr="008E49A0">
        <w:rPr>
          <w:sz w:val="20"/>
          <w:lang w:val="fr-FR"/>
        </w:rPr>
        <w:t> </w:t>
      </w:r>
      <w:r w:rsidRPr="00BE023C">
        <w:rPr>
          <w:lang w:val="fr-FR"/>
        </w:rPr>
        <w:t xml:space="preserve">Annexe 4A </w:t>
      </w:r>
      <w:r>
        <w:rPr>
          <w:lang w:val="fr-FR"/>
        </w:rPr>
        <w:t>−</w:t>
      </w:r>
      <w:r w:rsidRPr="00BE023C">
        <w:rPr>
          <w:lang w:val="fr-FR"/>
        </w:rPr>
        <w:t xml:space="preserve"> Appendice 7b</w:t>
      </w:r>
    </w:p>
    <w:p w:rsidR="008E49A0" w:rsidRPr="005206E7" w:rsidRDefault="008E49A0" w:rsidP="008E49A0">
      <w:pPr>
        <w:pStyle w:val="HChG"/>
        <w:rPr>
          <w:rFonts w:eastAsia="MS Mincho"/>
          <w:lang w:val="fr-FR"/>
        </w:rPr>
      </w:pPr>
      <w:r>
        <w:rPr>
          <w:lang w:val="fr-FR"/>
        </w:rPr>
        <w:tab/>
      </w:r>
      <w:r w:rsidRPr="00BE023C">
        <w:rPr>
          <w:lang w:val="fr-FR"/>
        </w:rPr>
        <w:tab/>
        <w:t>Autre procédure de détermination de la résistance totale à</w:t>
      </w:r>
      <w:r>
        <w:rPr>
          <w:lang w:val="fr-FR"/>
        </w:rPr>
        <w:t> </w:t>
      </w:r>
      <w:r w:rsidRPr="00BE023C">
        <w:rPr>
          <w:lang w:val="fr-FR"/>
        </w:rPr>
        <w:t>l</w:t>
      </w:r>
      <w:r>
        <w:rPr>
          <w:lang w:val="fr-FR"/>
        </w:rPr>
        <w:t>’</w:t>
      </w:r>
      <w:r w:rsidRPr="00BE023C">
        <w:rPr>
          <w:lang w:val="fr-FR"/>
        </w:rPr>
        <w:t>avancement d</w:t>
      </w:r>
      <w:r>
        <w:rPr>
          <w:lang w:val="fr-FR"/>
        </w:rPr>
        <w:t>’</w:t>
      </w:r>
      <w:r w:rsidRPr="00BE023C">
        <w:rPr>
          <w:lang w:val="fr-FR"/>
        </w:rPr>
        <w:t>un véhicule</w:t>
      </w:r>
    </w:p>
    <w:p w:rsidR="008E49A0" w:rsidRDefault="008E49A0" w:rsidP="008E49A0">
      <w:pPr>
        <w:pStyle w:val="SingleTxtG"/>
        <w:ind w:left="2268" w:hanging="1134"/>
        <w:rPr>
          <w:lang w:val="fr-FR"/>
        </w:rPr>
      </w:pPr>
      <w:r w:rsidRPr="00CA58E6">
        <w:rPr>
          <w:rFonts w:eastAsia="MS Mincho"/>
          <w:b/>
          <w:szCs w:val="18"/>
        </w:rPr>
        <w:t>1.</w:t>
      </w:r>
      <w:r w:rsidRPr="00CA58E6">
        <w:rPr>
          <w:rFonts w:eastAsia="MS Mincho"/>
          <w:b/>
          <w:szCs w:val="18"/>
        </w:rPr>
        <w:tab/>
      </w:r>
      <w:r>
        <w:rPr>
          <w:b/>
          <w:bCs/>
          <w:lang w:val="fr-FR"/>
        </w:rPr>
        <w:t>Introduction</w:t>
      </w:r>
    </w:p>
    <w:p w:rsidR="008E49A0" w:rsidRDefault="008E49A0" w:rsidP="008E49A0">
      <w:pPr>
        <w:pStyle w:val="SingleTxtG"/>
        <w:ind w:left="2268"/>
        <w:rPr>
          <w:lang w:val="fr-FR"/>
        </w:rPr>
      </w:pPr>
      <w:r>
        <w:rPr>
          <w:b/>
          <w:bCs/>
          <w:lang w:val="fr-FR"/>
        </w:rPr>
        <w:t>Le présent appendice décrit la méthode de calcul de la résistance à l’avancement qui peut être utilisée, au choix du constructeur, lorsque la résistance à l’avancement du véhicule est déterminée conformément à la procédure WLTP telle que définie dans le RTM ONU n</w:t>
      </w:r>
      <w:r>
        <w:rPr>
          <w:b/>
          <w:bCs/>
          <w:vertAlign w:val="superscript"/>
          <w:lang w:val="fr-FR"/>
        </w:rPr>
        <w:t>o</w:t>
      </w:r>
      <w:r>
        <w:rPr>
          <w:b/>
          <w:bCs/>
          <w:lang w:val="fr-FR"/>
        </w:rPr>
        <w:t> 15.</w:t>
      </w:r>
    </w:p>
    <w:p w:rsidR="008E49A0" w:rsidRPr="00CA58E6" w:rsidRDefault="008E49A0" w:rsidP="008E49A0">
      <w:pPr>
        <w:pStyle w:val="SingleTxtG"/>
        <w:ind w:left="2268" w:hanging="1134"/>
        <w:rPr>
          <w:rFonts w:eastAsia="MS Mincho"/>
          <w:b/>
        </w:rPr>
      </w:pPr>
      <w:r w:rsidRPr="00CA58E6">
        <w:rPr>
          <w:rFonts w:eastAsia="MS Mincho"/>
          <w:b/>
        </w:rPr>
        <w:t>2.</w:t>
      </w:r>
      <w:r w:rsidRPr="00CA58E6">
        <w:rPr>
          <w:rFonts w:eastAsia="MS Mincho"/>
          <w:b/>
        </w:rPr>
        <w:tab/>
      </w:r>
      <w:r>
        <w:rPr>
          <w:b/>
          <w:bCs/>
          <w:lang w:val="fr-FR"/>
        </w:rPr>
        <w:t>Méthode</w:t>
      </w:r>
    </w:p>
    <w:p w:rsidR="008E49A0" w:rsidRPr="005206E7" w:rsidRDefault="008E49A0" w:rsidP="008E49A0">
      <w:pPr>
        <w:pStyle w:val="SingleTxtG"/>
        <w:ind w:left="2268" w:hanging="1134"/>
        <w:rPr>
          <w:rFonts w:eastAsia="MS Mincho"/>
          <w:b/>
          <w:lang w:val="fr-FR"/>
        </w:rPr>
      </w:pPr>
      <w:r w:rsidRPr="008E3330">
        <w:rPr>
          <w:b/>
          <w:bCs/>
          <w:lang w:val="fr-FR"/>
        </w:rPr>
        <w:t>2.1</w:t>
      </w:r>
      <w:r>
        <w:rPr>
          <w:lang w:val="fr-FR"/>
        </w:rPr>
        <w:tab/>
      </w:r>
      <w:r>
        <w:rPr>
          <w:b/>
          <w:bCs/>
          <w:lang w:val="fr-FR"/>
        </w:rPr>
        <w:t>Calcul de la résistance à l’avancement du véhicule (procédure WLTP)</w:t>
      </w:r>
    </w:p>
    <w:p w:rsidR="008E49A0" w:rsidRDefault="008E49A0" w:rsidP="008E49A0">
      <w:pPr>
        <w:pStyle w:val="SingleTxtG"/>
        <w:ind w:left="2268"/>
        <w:rPr>
          <w:lang w:val="fr-FR"/>
        </w:rPr>
      </w:pPr>
      <w:r>
        <w:rPr>
          <w:b/>
          <w:bCs/>
          <w:lang w:val="fr-FR"/>
        </w:rPr>
        <w:t>La résistance à l’avancement du véhicule (procédure WLTP) doit être déterminée conformément à l’annexe 4 du RTM ONU n</w:t>
      </w:r>
      <w:r w:rsidRPr="00D31C20">
        <w:rPr>
          <w:b/>
          <w:bCs/>
          <w:vertAlign w:val="superscript"/>
          <w:lang w:val="fr-FR"/>
        </w:rPr>
        <w:t>o</w:t>
      </w:r>
      <w:r>
        <w:rPr>
          <w:b/>
          <w:bCs/>
          <w:lang w:val="fr-FR"/>
        </w:rPr>
        <w:t> </w:t>
      </w:r>
      <w:r>
        <w:rPr>
          <w:b/>
          <w:bCs/>
          <w:lang w:val="fr-FR"/>
        </w:rPr>
        <w:t>15 ou, dans le cas où le véhicule appartient à une famille d’interpolation, conformément au paragraphe 3.2.3.2.2 de son annexe 7</w:t>
      </w:r>
      <w:r>
        <w:rPr>
          <w:lang w:val="fr-FR"/>
        </w:rPr>
        <w:t xml:space="preserve"> </w:t>
      </w:r>
      <w:r>
        <w:rPr>
          <w:b/>
          <w:bCs/>
          <w:lang w:val="fr-FR"/>
        </w:rPr>
        <w:t>(Calcul de la résistance à l’avancement sur route pour un véhicule donné), avec les paramètres d’entrée suivants</w:t>
      </w:r>
      <w:r>
        <w:rPr>
          <w:b/>
          <w:bCs/>
          <w:lang w:val="fr-FR"/>
        </w:rPr>
        <w:t> :</w:t>
      </w:r>
    </w:p>
    <w:p w:rsidR="008E49A0" w:rsidRDefault="008E49A0" w:rsidP="008E49A0">
      <w:pPr>
        <w:pStyle w:val="SingleTxtG"/>
        <w:ind w:left="2835" w:hanging="567"/>
        <w:rPr>
          <w:lang w:val="fr-FR"/>
        </w:rPr>
      </w:pPr>
      <w:r w:rsidRPr="00CA58E6">
        <w:rPr>
          <w:b/>
          <w:lang w:val="fr-FR"/>
        </w:rPr>
        <w:t>a)</w:t>
      </w:r>
      <w:r w:rsidRPr="00CA58E6">
        <w:rPr>
          <w:b/>
          <w:lang w:val="fr-FR"/>
        </w:rPr>
        <w:tab/>
      </w:r>
      <w:r>
        <w:rPr>
          <w:b/>
          <w:bCs/>
          <w:lang w:val="fr-FR"/>
        </w:rPr>
        <w:t>La masse d’essai du véhicule</w:t>
      </w:r>
      <w:r w:rsidRPr="008E49A0">
        <w:rPr>
          <w:rStyle w:val="Appelnotedebasdep"/>
          <w:b/>
          <w:bCs/>
        </w:rPr>
        <w:footnoteReference w:id="3"/>
      </w:r>
      <w:r>
        <w:rPr>
          <w:b/>
          <w:bCs/>
          <w:lang w:val="fr-FR"/>
        </w:rPr>
        <w:t xml:space="preserve"> pourvu de son équipement de série</w:t>
      </w:r>
      <w:r w:rsidRPr="008E49A0">
        <w:rPr>
          <w:b/>
          <w:bCs/>
          <w:sz w:val="18"/>
          <w:szCs w:val="18"/>
          <w:vertAlign w:val="superscript"/>
          <w:lang w:val="fr-FR"/>
        </w:rPr>
        <w:t>1</w:t>
      </w:r>
      <w:r>
        <w:rPr>
          <w:b/>
          <w:bCs/>
          <w:lang w:val="fr-FR"/>
        </w:rPr>
        <w:t> ;</w:t>
      </w:r>
    </w:p>
    <w:p w:rsidR="008E49A0" w:rsidRDefault="008E49A0" w:rsidP="008E49A0">
      <w:pPr>
        <w:pStyle w:val="SingleTxtG"/>
        <w:ind w:left="2835" w:hanging="567"/>
        <w:rPr>
          <w:lang w:val="fr-FR"/>
        </w:rPr>
      </w:pPr>
      <w:r w:rsidRPr="008E3330">
        <w:rPr>
          <w:b/>
          <w:bCs/>
          <w:lang w:val="fr-FR"/>
        </w:rPr>
        <w:t>b)</w:t>
      </w:r>
      <w:r w:rsidRPr="008E3330">
        <w:rPr>
          <w:lang w:val="fr-FR"/>
        </w:rPr>
        <w:tab/>
      </w:r>
      <w:r w:rsidRPr="008E3330">
        <w:rPr>
          <w:lang w:val="fr-FR"/>
        </w:rPr>
        <w:tab/>
      </w:r>
      <w:r w:rsidRPr="008E3330">
        <w:rPr>
          <w:b/>
          <w:bCs/>
          <w:lang w:val="fr-FR"/>
        </w:rPr>
        <w:t>La valeur du CRR de la classe d</w:t>
      </w:r>
      <w:r>
        <w:rPr>
          <w:b/>
          <w:bCs/>
          <w:lang w:val="fr-FR"/>
        </w:rPr>
        <w:t>’</w:t>
      </w:r>
      <w:r w:rsidRPr="008E3330">
        <w:rPr>
          <w:b/>
          <w:bCs/>
          <w:lang w:val="fr-FR"/>
        </w:rPr>
        <w:t>efficacité énergétique correspondante selon le tableau A4/2 de l</w:t>
      </w:r>
      <w:r>
        <w:rPr>
          <w:b/>
          <w:bCs/>
          <w:lang w:val="fr-FR"/>
        </w:rPr>
        <w:t>’</w:t>
      </w:r>
      <w:r w:rsidRPr="008E3330">
        <w:rPr>
          <w:b/>
          <w:bCs/>
          <w:lang w:val="fr-FR"/>
        </w:rPr>
        <w:t>annexe</w:t>
      </w:r>
      <w:r>
        <w:rPr>
          <w:b/>
          <w:bCs/>
          <w:lang w:val="fr-FR"/>
        </w:rPr>
        <w:t xml:space="preserve"> </w:t>
      </w:r>
      <w:r w:rsidRPr="008E3330">
        <w:rPr>
          <w:b/>
          <w:bCs/>
          <w:lang w:val="fr-FR"/>
        </w:rPr>
        <w:t>4 du RTM ONU n</w:t>
      </w:r>
      <w:r w:rsidRPr="008E3330">
        <w:rPr>
          <w:b/>
          <w:bCs/>
          <w:vertAlign w:val="superscript"/>
          <w:lang w:val="fr-FR"/>
        </w:rPr>
        <w:t>o</w:t>
      </w:r>
      <w:r w:rsidRPr="008E3330">
        <w:rPr>
          <w:b/>
          <w:bCs/>
          <w:lang w:val="fr-FR"/>
        </w:rPr>
        <w:t> 15 ou, si les pneumatiques montés sur les essieux avant et arrière relèvent de différentes classes d</w:t>
      </w:r>
      <w:r>
        <w:rPr>
          <w:b/>
          <w:bCs/>
          <w:lang w:val="fr-FR"/>
        </w:rPr>
        <w:t>’</w:t>
      </w:r>
      <w:r w:rsidRPr="008E3330">
        <w:rPr>
          <w:b/>
          <w:bCs/>
          <w:lang w:val="fr-FR"/>
        </w:rPr>
        <w:t>efficacité énergétique, la moyenne pondérée calculée à l</w:t>
      </w:r>
      <w:r>
        <w:rPr>
          <w:b/>
          <w:bCs/>
          <w:lang w:val="fr-FR"/>
        </w:rPr>
        <w:t>’</w:t>
      </w:r>
      <w:r w:rsidRPr="008E3330">
        <w:rPr>
          <w:b/>
          <w:bCs/>
          <w:lang w:val="fr-FR"/>
        </w:rPr>
        <w:t>aide de l</w:t>
      </w:r>
      <w:r>
        <w:rPr>
          <w:b/>
          <w:bCs/>
          <w:lang w:val="fr-FR"/>
        </w:rPr>
        <w:t>’</w:t>
      </w:r>
      <w:r w:rsidRPr="008E3330">
        <w:rPr>
          <w:b/>
          <w:bCs/>
          <w:lang w:val="fr-FR"/>
        </w:rPr>
        <w:t>équation qui figure au paragraphe 3.2.3.2.2.2.3 de l</w:t>
      </w:r>
      <w:r>
        <w:rPr>
          <w:b/>
          <w:bCs/>
          <w:lang w:val="fr-FR"/>
        </w:rPr>
        <w:t>’</w:t>
      </w:r>
      <w:r w:rsidRPr="008E3330">
        <w:rPr>
          <w:b/>
          <w:bCs/>
          <w:lang w:val="fr-FR"/>
        </w:rPr>
        <w:t>annexe 7 du RTM ONU n</w:t>
      </w:r>
      <w:r w:rsidRPr="008E3330">
        <w:rPr>
          <w:b/>
          <w:bCs/>
          <w:vertAlign w:val="superscript"/>
          <w:lang w:val="fr-FR"/>
        </w:rPr>
        <w:t>o</w:t>
      </w:r>
      <w:r w:rsidRPr="008E3330">
        <w:rPr>
          <w:b/>
          <w:bCs/>
          <w:lang w:val="fr-FR"/>
        </w:rPr>
        <w:t> 15</w:t>
      </w:r>
      <w:r>
        <w:rPr>
          <w:b/>
          <w:bCs/>
          <w:lang w:val="fr-FR"/>
        </w:rPr>
        <w:t> ;</w:t>
      </w:r>
    </w:p>
    <w:p w:rsidR="008E49A0" w:rsidRPr="005206E7" w:rsidRDefault="008E49A0" w:rsidP="008E49A0">
      <w:pPr>
        <w:pStyle w:val="SingleTxtG"/>
        <w:ind w:left="2835" w:hanging="567"/>
        <w:rPr>
          <w:rFonts w:eastAsia="MS Mincho"/>
          <w:b/>
          <w:lang w:val="fr-FR"/>
        </w:rPr>
      </w:pPr>
      <w:r>
        <w:rPr>
          <w:b/>
          <w:bCs/>
          <w:lang w:val="fr-FR"/>
        </w:rPr>
        <w:t>c)</w:t>
      </w:r>
      <w:r>
        <w:rPr>
          <w:lang w:val="fr-FR"/>
        </w:rPr>
        <w:tab/>
      </w:r>
      <w:r>
        <w:rPr>
          <w:b/>
          <w:bCs/>
          <w:lang w:val="fr-FR"/>
        </w:rPr>
        <w:t>La traînée aérodynamique du véhicule pourvu de son équipement de série</w:t>
      </w:r>
      <w:r w:rsidRPr="008E49A0">
        <w:rPr>
          <w:b/>
          <w:bCs/>
          <w:sz w:val="18"/>
          <w:szCs w:val="18"/>
          <w:vertAlign w:val="superscript"/>
          <w:lang w:val="fr-FR"/>
        </w:rPr>
        <w:t>1</w:t>
      </w:r>
      <w:r>
        <w:rPr>
          <w:b/>
          <w:bCs/>
          <w:lang w:val="fr-FR"/>
        </w:rPr>
        <w:t>.</w:t>
      </w:r>
    </w:p>
    <w:p w:rsidR="008E49A0" w:rsidRPr="005206E7" w:rsidRDefault="008E49A0" w:rsidP="008E49A0">
      <w:pPr>
        <w:pStyle w:val="SingleTxtG"/>
        <w:keepNext/>
        <w:ind w:left="2268" w:hanging="1134"/>
        <w:rPr>
          <w:rFonts w:eastAsia="MS Mincho"/>
          <w:b/>
          <w:lang w:val="fr-FR"/>
        </w:rPr>
      </w:pPr>
      <w:r w:rsidRPr="00954A4D">
        <w:rPr>
          <w:b/>
          <w:bCs/>
          <w:lang w:val="fr-FR"/>
        </w:rPr>
        <w:lastRenderedPageBreak/>
        <w:t>2.2</w:t>
      </w:r>
      <w:r>
        <w:rPr>
          <w:lang w:val="fr-FR"/>
        </w:rPr>
        <w:tab/>
      </w:r>
      <w:r>
        <w:rPr>
          <w:b/>
          <w:bCs/>
          <w:lang w:val="fr-FR"/>
        </w:rPr>
        <w:t>Calcul de la résistance à l’avancement du véhicule (procédure NEDC)</w:t>
      </w:r>
    </w:p>
    <w:p w:rsidR="008E49A0" w:rsidRPr="005206E7" w:rsidRDefault="008E49A0" w:rsidP="008E49A0">
      <w:pPr>
        <w:pStyle w:val="SingleTxtG"/>
        <w:keepNext/>
        <w:ind w:left="2268" w:hanging="1134"/>
        <w:rPr>
          <w:rFonts w:eastAsia="MS Mincho"/>
          <w:b/>
          <w:lang w:val="fr-FR"/>
        </w:rPr>
      </w:pPr>
      <w:r w:rsidRPr="00954A4D">
        <w:rPr>
          <w:b/>
          <w:bCs/>
          <w:lang w:val="fr-FR"/>
        </w:rPr>
        <w:t>2.2.1</w:t>
      </w:r>
      <w:r>
        <w:rPr>
          <w:lang w:val="fr-FR"/>
        </w:rPr>
        <w:tab/>
      </w:r>
      <w:r>
        <w:rPr>
          <w:b/>
          <w:bCs/>
          <w:lang w:val="fr-FR"/>
        </w:rPr>
        <w:t>Effet de la différence de pression recommandée des pneumatiques</w:t>
      </w:r>
    </w:p>
    <w:p w:rsidR="008E49A0" w:rsidRDefault="008E49A0" w:rsidP="008E49A0">
      <w:pPr>
        <w:pStyle w:val="SingleTxtG"/>
        <w:ind w:left="2268"/>
        <w:rPr>
          <w:rFonts w:eastAsia="MS Mincho"/>
          <w:b/>
          <w:lang w:val="fr-FR"/>
        </w:rPr>
      </w:pPr>
      <w:r>
        <w:rPr>
          <w:b/>
          <w:bCs/>
          <w:lang w:val="fr-FR"/>
        </w:rPr>
        <w:t>La pression des pneumatiques à prendre en considération aux fins du calcul de la résistance à l’avancement par la procédure NEDC est la moyenne entre les deux essieux de la moyenne entre la pression minimale et la pression maximale autorisées des pneumatiques sélectionnés, pour chaque essieu, pour la masse de référence NEDC du véhicule.</w:t>
      </w:r>
      <w:r>
        <w:rPr>
          <w:lang w:val="fr-FR"/>
        </w:rPr>
        <w:t xml:space="preserve"> </w:t>
      </w:r>
      <w:r>
        <w:rPr>
          <w:b/>
          <w:bCs/>
          <w:lang w:val="fr-FR"/>
        </w:rPr>
        <w:t>Le calcul doit être effectué à l’aide de la formule suivante</w:t>
      </w:r>
      <w:r>
        <w:rPr>
          <w:b/>
          <w:bCs/>
          <w:lang w:val="fr-FR"/>
        </w:rPr>
        <w:t> :</w:t>
      </w:r>
    </w:p>
    <w:p w:rsidR="008E49A0" w:rsidRPr="008E49A0" w:rsidRDefault="008E49A0" w:rsidP="008E49A0">
      <w:pPr>
        <w:pStyle w:val="SingleTxtG"/>
        <w:ind w:left="2268"/>
        <w:rPr>
          <w:rFonts w:eastAsia="MS Mincho"/>
          <w:b/>
          <w:lang w:val="fr-FR"/>
        </w:rPr>
      </w:pPr>
      <m:oMathPara>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avg</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bi"/>
                        </m:rPr>
                        <w:rPr>
                          <w:rFonts w:ascii="Cambria Math" w:hAnsi="Cambria Math"/>
                        </w:rPr>
                        <m:t>P</m:t>
                      </m:r>
                    </m:e>
                    <m:sub>
                      <m:r>
                        <m:rPr>
                          <m:sty m:val="bi"/>
                        </m:rPr>
                        <w:rPr>
                          <w:rFonts w:ascii="Cambria Math" w:hAnsi="Cambria Math"/>
                        </w:rPr>
                        <m:t>max</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min</m:t>
                      </m:r>
                    </m:sub>
                  </m:sSub>
                </m:num>
                <m:den>
                  <m:r>
                    <m:rPr>
                      <m:sty m:val="b"/>
                    </m:rPr>
                    <w:rPr>
                      <w:rFonts w:ascii="Cambria Math" w:hAnsi="Cambria Math"/>
                    </w:rPr>
                    <m:t>2</m:t>
                  </m:r>
                </m:den>
              </m:f>
            </m:e>
          </m:d>
        </m:oMath>
      </m:oMathPara>
    </w:p>
    <w:p w:rsidR="008E49A0" w:rsidRPr="005206E7" w:rsidRDefault="008E49A0" w:rsidP="008E49A0">
      <w:pPr>
        <w:pStyle w:val="SingleTxtG"/>
        <w:ind w:left="2268"/>
        <w:rPr>
          <w:rFonts w:eastAsia="MS Mincho"/>
          <w:b/>
          <w:lang w:val="fr-FR"/>
        </w:rPr>
      </w:pPr>
      <w:r>
        <w:rPr>
          <w:b/>
          <w:bCs/>
          <w:lang w:val="fr-FR"/>
        </w:rPr>
        <w:t>où</w:t>
      </w:r>
      <w:r>
        <w:rPr>
          <w:b/>
          <w:bCs/>
          <w:lang w:val="fr-FR"/>
        </w:rPr>
        <w:t> :</w:t>
      </w:r>
    </w:p>
    <w:p w:rsidR="008E49A0" w:rsidRPr="005206E7" w:rsidRDefault="008E49A0" w:rsidP="008E49A0">
      <w:pPr>
        <w:pStyle w:val="SingleTxtG"/>
        <w:ind w:left="2268"/>
        <w:rPr>
          <w:rFonts w:eastAsia="MS Mincho"/>
          <w:b/>
          <w:lang w:val="fr-FR"/>
        </w:rPr>
      </w:pPr>
      <w:r>
        <w:rPr>
          <w:b/>
          <w:bCs/>
          <w:lang w:val="fr-FR"/>
        </w:rPr>
        <w:t>P</w:t>
      </w:r>
      <w:r>
        <w:rPr>
          <w:b/>
          <w:bCs/>
          <w:vertAlign w:val="subscript"/>
          <w:lang w:val="fr-FR"/>
        </w:rPr>
        <w:t>max</w:t>
      </w:r>
      <w:r>
        <w:rPr>
          <w:b/>
          <w:bCs/>
          <w:lang w:val="fr-FR"/>
        </w:rPr>
        <w:t xml:space="preserve"> désigne la moyenne des pressions maximales des pneumatiques sélectionnés pour les deux essieux</w:t>
      </w:r>
      <w:r>
        <w:rPr>
          <w:b/>
          <w:bCs/>
          <w:lang w:val="fr-FR"/>
        </w:rPr>
        <w:t> ;</w:t>
      </w:r>
    </w:p>
    <w:p w:rsidR="008E49A0" w:rsidRPr="005206E7" w:rsidRDefault="008E49A0" w:rsidP="008E49A0">
      <w:pPr>
        <w:pStyle w:val="SingleTxtG"/>
        <w:ind w:left="2268"/>
        <w:rPr>
          <w:rFonts w:eastAsia="MS Mincho"/>
          <w:b/>
          <w:lang w:val="fr-FR"/>
        </w:rPr>
      </w:pPr>
      <w:proofErr w:type="spellStart"/>
      <w:r>
        <w:rPr>
          <w:b/>
          <w:bCs/>
          <w:lang w:val="fr-FR"/>
        </w:rPr>
        <w:t>P</w:t>
      </w:r>
      <w:r>
        <w:rPr>
          <w:b/>
          <w:bCs/>
          <w:vertAlign w:val="subscript"/>
          <w:lang w:val="fr-FR"/>
        </w:rPr>
        <w:t>min</w:t>
      </w:r>
      <w:proofErr w:type="spellEnd"/>
      <w:r>
        <w:rPr>
          <w:b/>
          <w:bCs/>
          <w:lang w:val="fr-FR"/>
        </w:rPr>
        <w:t xml:space="preserve"> désigne la moyenne des pressions minimales des pneumatiques sélectionnés pour les deux essieux.</w:t>
      </w:r>
    </w:p>
    <w:p w:rsidR="008E49A0" w:rsidRPr="005206E7" w:rsidRDefault="008E49A0" w:rsidP="008E49A0">
      <w:pPr>
        <w:pStyle w:val="SingleTxtG"/>
        <w:ind w:left="2268"/>
        <w:rPr>
          <w:rFonts w:eastAsia="MS Mincho"/>
          <w:b/>
          <w:szCs w:val="21"/>
          <w:lang w:val="fr-FR"/>
        </w:rPr>
      </w:pPr>
      <w:r>
        <w:rPr>
          <w:b/>
          <w:bCs/>
          <w:lang w:val="fr-FR"/>
        </w:rPr>
        <w:t>L’effet qui en résulte sur la résistance appliquée au véhicule doit être calculé à l’aide de la formule suivante</w:t>
      </w:r>
      <w:r>
        <w:rPr>
          <w:b/>
          <w:bCs/>
          <w:lang w:val="fr-FR"/>
        </w:rPr>
        <w:t> :</w:t>
      </w:r>
    </w:p>
    <w:p w:rsidR="008E49A0" w:rsidRPr="008E49A0" w:rsidRDefault="008E49A0" w:rsidP="008E49A0">
      <w:pPr>
        <w:pStyle w:val="SingleTxtG"/>
      </w:pPr>
      <m:oMathPara>
        <m:oMath>
          <m:r>
            <m:rPr>
              <m:sty m:val="bi"/>
            </m:rPr>
            <w:rPr>
              <w:rFonts w:ascii="Cambria Math" w:hAnsi="Cambria Math"/>
            </w:rPr>
            <m:t>TP</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bi"/>
                            </m:rPr>
                            <w:rPr>
                              <w:rFonts w:ascii="Cambria Math" w:hAnsi="Cambria Math"/>
                            </w:rPr>
                            <m:t>P</m:t>
                          </m:r>
                        </m:e>
                        <m:sub>
                          <m:r>
                            <m:rPr>
                              <m:sty m:val="bi"/>
                            </m:rPr>
                            <w:rPr>
                              <w:rFonts w:ascii="Cambria Math" w:hAnsi="Cambria Math"/>
                            </w:rPr>
                            <m:t>avg</m:t>
                          </m:r>
                        </m:sub>
                      </m:sSub>
                    </m:num>
                    <m:den>
                      <m:sSub>
                        <m:sSubPr>
                          <m:ctrlPr>
                            <w:rPr>
                              <w:rFonts w:ascii="Cambria Math" w:hAnsi="Cambria Math"/>
                            </w:rPr>
                          </m:ctrlPr>
                        </m:sSubPr>
                        <m:e>
                          <m:r>
                            <m:rPr>
                              <m:sty m:val="bi"/>
                            </m:rPr>
                            <w:rPr>
                              <w:rFonts w:ascii="Cambria Math" w:hAnsi="Cambria Math"/>
                            </w:rPr>
                            <m:t>P</m:t>
                          </m:r>
                        </m:e>
                        <m:sub>
                          <m:r>
                            <m:rPr>
                              <m:sty m:val="bi"/>
                            </m:rPr>
                            <w:rPr>
                              <w:rFonts w:ascii="Cambria Math" w:hAnsi="Cambria Math"/>
                            </w:rPr>
                            <m:t>min</m:t>
                          </m:r>
                        </m:sub>
                      </m:sSub>
                    </m:den>
                  </m:f>
                </m:e>
              </m:d>
            </m:e>
            <m:sup>
              <m:r>
                <m:rPr>
                  <m:sty m:val="p"/>
                </m:rPr>
                <w:rPr>
                  <w:rFonts w:ascii="Cambria Math" w:hAnsi="Cambria Math"/>
                </w:rPr>
                <m:t>-</m:t>
              </m:r>
              <m:r>
                <m:rPr>
                  <m:sty m:val="b"/>
                </m:rPr>
                <w:rPr>
                  <w:rFonts w:ascii="Cambria Math" w:hAnsi="Cambria Math"/>
                </w:rPr>
                <m:t>0</m:t>
              </m:r>
              <m:r>
                <m:rPr>
                  <m:sty m:val="p"/>
                </m:rPr>
                <w:rPr>
                  <w:rFonts w:ascii="Cambria Math" w:hAnsi="Cambria Math"/>
                </w:rPr>
                <m:t>,</m:t>
              </m:r>
              <m:r>
                <m:rPr>
                  <m:sty m:val="b"/>
                </m:rPr>
                <w:rPr>
                  <w:rFonts w:ascii="Cambria Math" w:hAnsi="Cambria Math"/>
                </w:rPr>
                <m:t>4</m:t>
              </m:r>
            </m:sup>
          </m:sSup>
        </m:oMath>
      </m:oMathPara>
    </w:p>
    <w:p w:rsidR="008E49A0" w:rsidRPr="005206E7" w:rsidRDefault="008E49A0" w:rsidP="008E49A0">
      <w:pPr>
        <w:pStyle w:val="SingleTxtG"/>
        <w:ind w:left="2268" w:hanging="1134"/>
        <w:rPr>
          <w:rFonts w:eastAsia="MS Mincho"/>
          <w:b/>
          <w:lang w:val="fr-FR"/>
        </w:rPr>
      </w:pPr>
      <w:r w:rsidRPr="00D32617">
        <w:rPr>
          <w:b/>
          <w:bCs/>
          <w:lang w:val="fr-FR"/>
        </w:rPr>
        <w:t>2.2.2</w:t>
      </w:r>
      <w:r>
        <w:rPr>
          <w:lang w:val="fr-FR"/>
        </w:rPr>
        <w:tab/>
      </w:r>
      <w:r>
        <w:rPr>
          <w:b/>
          <w:bCs/>
          <w:lang w:val="fr-FR"/>
        </w:rPr>
        <w:t>Effet de la profondeur de sculpture des pneumatiques</w:t>
      </w:r>
    </w:p>
    <w:p w:rsidR="008E49A0" w:rsidRPr="005206E7" w:rsidRDefault="008E49A0" w:rsidP="008E49A0">
      <w:pPr>
        <w:pStyle w:val="SingleTxtG"/>
        <w:ind w:left="2268"/>
        <w:rPr>
          <w:rFonts w:eastAsia="MS Mincho"/>
          <w:b/>
          <w:lang w:val="fr-FR"/>
        </w:rPr>
      </w:pPr>
      <w:r>
        <w:rPr>
          <w:b/>
          <w:bCs/>
          <w:lang w:val="fr-FR"/>
        </w:rPr>
        <w:t>L’effet de la profondeur de sculpture des pneumatiques sur la résistance appliquée au véhicule doit être déterminé à l’aide de la formule suivante</w:t>
      </w:r>
      <w:r>
        <w:rPr>
          <w:b/>
          <w:bCs/>
          <w:lang w:val="fr-FR"/>
        </w:rPr>
        <w:t> :</w:t>
      </w:r>
    </w:p>
    <w:p w:rsidR="008E49A0" w:rsidRPr="008E49A0" w:rsidRDefault="008E49A0" w:rsidP="008E49A0">
      <w:pPr>
        <w:pStyle w:val="SingleTxtG"/>
      </w:pPr>
      <m:oMathPara>
        <m:oMath>
          <m:r>
            <m:rPr>
              <m:sty m:val="bi"/>
            </m:rPr>
            <w:rPr>
              <w:rFonts w:ascii="Cambria Math" w:hAnsi="Cambria Math"/>
            </w:rPr>
            <m:t>TTD</m:t>
          </m:r>
          <m:r>
            <m:rPr>
              <m:sty m:val="p"/>
            </m:rPr>
            <w:rPr>
              <w:rFonts w:ascii="Cambria Math" w:hAnsi="Cambria Math"/>
            </w:rPr>
            <m:t>=</m:t>
          </m:r>
          <m:d>
            <m:dPr>
              <m:ctrlPr>
                <w:rPr>
                  <w:rFonts w:ascii="Cambria Math" w:hAnsi="Cambria Math"/>
                </w:rPr>
              </m:ctrlPr>
            </m:dPr>
            <m:e>
              <m:r>
                <m:rPr>
                  <m:sty m:val="b"/>
                </m:rPr>
                <w:rPr>
                  <w:rFonts w:ascii="Cambria Math" w:hAnsi="Cambria Math"/>
                </w:rPr>
                <m:t>2</m:t>
              </m:r>
              <m:r>
                <m:rPr>
                  <m:sty m:val="p"/>
                </m:rPr>
                <w:rPr>
                  <w:rFonts w:ascii="Cambria Math" w:hAnsi="Cambria Math"/>
                </w:rPr>
                <m:t>∙</m:t>
              </m:r>
              <m:f>
                <m:fPr>
                  <m:ctrlPr>
                    <w:rPr>
                      <w:rFonts w:ascii="Cambria Math" w:hAnsi="Cambria Math"/>
                    </w:rPr>
                  </m:ctrlPr>
                </m:fPr>
                <m:num>
                  <m:r>
                    <m:rPr>
                      <m:sty m:val="b"/>
                    </m:rPr>
                    <w:rPr>
                      <w:rFonts w:ascii="Cambria Math" w:hAnsi="Cambria Math"/>
                    </w:rPr>
                    <m:t>0</m:t>
                  </m:r>
                  <m:r>
                    <m:rPr>
                      <m:sty m:val="p"/>
                    </m:rPr>
                    <w:rPr>
                      <w:rFonts w:ascii="Cambria Math" w:hAnsi="Cambria Math"/>
                    </w:rPr>
                    <m:t>,</m:t>
                  </m:r>
                  <m:r>
                    <m:rPr>
                      <m:sty m:val="b"/>
                    </m:rPr>
                    <w:rPr>
                      <w:rFonts w:ascii="Cambria Math" w:hAnsi="Cambria Math"/>
                    </w:rPr>
                    <m:t>1</m:t>
                  </m:r>
                  <m:r>
                    <m:rPr>
                      <m:sty m:val="p"/>
                    </m:rPr>
                    <w:rPr>
                      <w:rFonts w:ascii="Cambria Math" w:hAnsi="Cambria Math"/>
                    </w:rPr>
                    <m:t>∙</m:t>
                  </m:r>
                  <m:sSub>
                    <m:sSubPr>
                      <m:ctrlPr>
                        <w:rPr>
                          <w:rFonts w:ascii="Cambria Math" w:hAnsi="Cambria Math"/>
                        </w:rPr>
                      </m:ctrlPr>
                    </m:sSubPr>
                    <m:e>
                      <m:r>
                        <m:rPr>
                          <m:sty m:val="bi"/>
                        </m:rPr>
                        <w:rPr>
                          <w:rFonts w:ascii="Cambria Math" w:hAnsi="Cambria Math"/>
                        </w:rPr>
                        <m:t>RM</m:t>
                      </m:r>
                    </m:e>
                    <m:sub>
                      <m:r>
                        <m:rPr>
                          <m:sty m:val="bi"/>
                        </m:rPr>
                        <w:rPr>
                          <w:rFonts w:ascii="Cambria Math" w:hAnsi="Cambria Math"/>
                        </w:rPr>
                        <m:t>n</m:t>
                      </m:r>
                    </m:sub>
                  </m:sSub>
                  <m:r>
                    <m:rPr>
                      <m:sty m:val="p"/>
                    </m:rPr>
                    <w:rPr>
                      <w:rFonts w:ascii="Cambria Math" w:hAnsi="Cambria Math"/>
                    </w:rPr>
                    <m:t>∙</m:t>
                  </m:r>
                  <m:r>
                    <m:rPr>
                      <m:sty m:val="b"/>
                    </m:rPr>
                    <w:rPr>
                      <w:rFonts w:ascii="Cambria Math" w:hAnsi="Cambria Math"/>
                    </w:rPr>
                    <m:t>9</m:t>
                  </m:r>
                  <m:r>
                    <m:rPr>
                      <m:sty m:val="p"/>
                    </m:rPr>
                    <w:rPr>
                      <w:rFonts w:ascii="Cambria Math" w:hAnsi="Cambria Math"/>
                    </w:rPr>
                    <m:t>,</m:t>
                  </m:r>
                  <m:r>
                    <m:rPr>
                      <m:sty m:val="b"/>
                    </m:rPr>
                    <w:rPr>
                      <w:rFonts w:ascii="Cambria Math" w:hAnsi="Cambria Math"/>
                    </w:rPr>
                    <m:t>81</m:t>
                  </m:r>
                </m:num>
                <m:den>
                  <m:r>
                    <m:rPr>
                      <m:sty m:val="b"/>
                    </m:rPr>
                    <w:rPr>
                      <w:rFonts w:ascii="Cambria Math" w:hAnsi="Cambria Math"/>
                    </w:rPr>
                    <m:t>1000</m:t>
                  </m:r>
                </m:den>
              </m:f>
            </m:e>
          </m:d>
        </m:oMath>
      </m:oMathPara>
    </w:p>
    <w:p w:rsidR="008E49A0" w:rsidRPr="005206E7" w:rsidRDefault="008E49A0" w:rsidP="008E49A0">
      <w:pPr>
        <w:pStyle w:val="SingleTxtG"/>
        <w:ind w:left="2268"/>
        <w:rPr>
          <w:rFonts w:eastAsia="MS Mincho"/>
          <w:b/>
          <w:lang w:val="fr-FR"/>
        </w:rPr>
      </w:pPr>
      <w:r>
        <w:rPr>
          <w:b/>
          <w:bCs/>
          <w:lang w:val="fr-FR"/>
        </w:rPr>
        <w:t xml:space="preserve">où </w:t>
      </w:r>
      <w:proofErr w:type="spellStart"/>
      <w:r>
        <w:rPr>
          <w:b/>
          <w:bCs/>
          <w:lang w:val="fr-FR"/>
        </w:rPr>
        <w:t>RM</w:t>
      </w:r>
      <w:r>
        <w:rPr>
          <w:b/>
          <w:bCs/>
          <w:vertAlign w:val="subscript"/>
          <w:lang w:val="fr-FR"/>
        </w:rPr>
        <w:t>n</w:t>
      </w:r>
      <w:proofErr w:type="spellEnd"/>
      <w:r>
        <w:rPr>
          <w:b/>
          <w:bCs/>
          <w:lang w:val="fr-FR"/>
        </w:rPr>
        <w:t xml:space="preserve"> est la masse de référence du véhicule telle que définie dans le présent Règlement.</w:t>
      </w:r>
    </w:p>
    <w:p w:rsidR="008E49A0" w:rsidRPr="005206E7" w:rsidRDefault="008E49A0" w:rsidP="008E49A0">
      <w:pPr>
        <w:pStyle w:val="SingleTxtG"/>
        <w:ind w:left="2268" w:hanging="1134"/>
        <w:rPr>
          <w:rFonts w:eastAsia="MS Mincho"/>
          <w:b/>
          <w:lang w:val="fr-FR"/>
        </w:rPr>
      </w:pPr>
      <w:r w:rsidRPr="00A22FEB">
        <w:rPr>
          <w:b/>
          <w:bCs/>
          <w:lang w:val="fr-FR"/>
        </w:rPr>
        <w:t>2.2.3</w:t>
      </w:r>
      <w:r>
        <w:rPr>
          <w:lang w:val="fr-FR"/>
        </w:rPr>
        <w:tab/>
      </w:r>
      <w:r>
        <w:rPr>
          <w:b/>
          <w:bCs/>
          <w:lang w:val="fr-FR"/>
        </w:rPr>
        <w:t>Effet de la différence de prise en compte des composants en rotation</w:t>
      </w:r>
    </w:p>
    <w:p w:rsidR="008E49A0" w:rsidRPr="005206E7" w:rsidRDefault="008E49A0" w:rsidP="008E49A0">
      <w:pPr>
        <w:pStyle w:val="SingleTxtG"/>
        <w:ind w:left="2268"/>
        <w:rPr>
          <w:rFonts w:eastAsia="MS Mincho"/>
          <w:b/>
          <w:lang w:val="fr-FR"/>
        </w:rPr>
      </w:pPr>
      <w:r>
        <w:rPr>
          <w:b/>
          <w:bCs/>
          <w:lang w:val="fr-FR"/>
        </w:rPr>
        <w:t>Dans le cadre de la méthode de la décélération libre de la procédure WTLP, les temps de décélération libre sont convertis en forces et inversement par prise en compte de la masse d’essai applicable et de la masse rotative (3 % de la somme de la masse en ordre de marche du véhicule et de 25 kg).</w:t>
      </w:r>
      <w:r>
        <w:rPr>
          <w:lang w:val="fr-FR"/>
        </w:rPr>
        <w:t xml:space="preserve"> </w:t>
      </w:r>
      <w:r>
        <w:rPr>
          <w:b/>
          <w:bCs/>
          <w:lang w:val="fr-FR"/>
        </w:rPr>
        <w:t>Dans le cadre de la méthode de la décélération libre de la procédure NEDC, les temps de décélération libre sont convertis en forces et inversement en faisant abstraction de la masse rotative.</w:t>
      </w:r>
    </w:p>
    <w:p w:rsidR="008E49A0" w:rsidRPr="008E49A0" w:rsidRDefault="008E49A0" w:rsidP="008E49A0">
      <w:pPr>
        <w:pStyle w:val="SingleTxtG"/>
        <w:ind w:left="2268" w:hanging="1134"/>
        <w:rPr>
          <w:b/>
          <w:bCs/>
          <w:lang w:val="fr-FR"/>
        </w:rPr>
      </w:pPr>
      <w:r w:rsidRPr="008E49A0">
        <w:rPr>
          <w:b/>
          <w:bCs/>
          <w:lang w:val="fr-FR"/>
        </w:rPr>
        <w:t>2.2.4</w:t>
      </w:r>
      <w:r w:rsidRPr="008E49A0">
        <w:rPr>
          <w:b/>
          <w:bCs/>
          <w:lang w:val="fr-FR"/>
        </w:rPr>
        <w:tab/>
        <w:t>Détermination des coefficients de résistance à l’avancement pour la procédure NEDC</w:t>
      </w:r>
    </w:p>
    <w:p w:rsidR="008E49A0" w:rsidRPr="008E49A0" w:rsidRDefault="008E49A0" w:rsidP="008E49A0">
      <w:pPr>
        <w:pStyle w:val="SingleTxtG"/>
        <w:ind w:left="2835" w:hanging="567"/>
        <w:rPr>
          <w:rFonts w:eastAsia="MS Mincho"/>
          <w:b/>
          <w:bCs/>
          <w:lang w:val="fr-FR"/>
        </w:rPr>
      </w:pPr>
      <w:r w:rsidRPr="008E49A0">
        <w:rPr>
          <w:b/>
          <w:bCs/>
          <w:lang w:val="fr-FR"/>
        </w:rPr>
        <w:t>a)</w:t>
      </w:r>
      <w:r w:rsidRPr="008E49A0">
        <w:rPr>
          <w:b/>
          <w:bCs/>
          <w:lang w:val="fr-FR"/>
        </w:rPr>
        <w:tab/>
        <w:t>Le coefficient de résistance à l’avancement F</w:t>
      </w:r>
      <w:r w:rsidRPr="008E49A0">
        <w:rPr>
          <w:b/>
          <w:bCs/>
          <w:vertAlign w:val="subscript"/>
          <w:lang w:val="fr-FR"/>
        </w:rPr>
        <w:t>0n</w:t>
      </w:r>
      <w:r w:rsidRPr="008E49A0">
        <w:rPr>
          <w:b/>
          <w:bCs/>
          <w:lang w:val="fr-FR"/>
        </w:rPr>
        <w:t xml:space="preserve"> du véhicule, en newtons (N), est calculé comme suit</w:t>
      </w:r>
      <w:r>
        <w:rPr>
          <w:b/>
          <w:bCs/>
          <w:lang w:val="fr-FR"/>
        </w:rPr>
        <w:t> :</w:t>
      </w:r>
    </w:p>
    <w:p w:rsidR="008E49A0" w:rsidRPr="008E49A0" w:rsidRDefault="008E49A0" w:rsidP="008E49A0">
      <w:pPr>
        <w:pStyle w:val="SingleTxtG"/>
        <w:ind w:left="3402" w:hanging="567"/>
        <w:rPr>
          <w:rFonts w:eastAsia="MS Mincho"/>
          <w:b/>
          <w:bCs/>
          <w:lang w:val="fr-FR"/>
        </w:rPr>
      </w:pPr>
      <w:r w:rsidRPr="008E49A0">
        <w:rPr>
          <w:b/>
          <w:bCs/>
          <w:lang w:val="fr-FR"/>
        </w:rPr>
        <w:t>i)</w:t>
      </w:r>
      <w:r w:rsidRPr="008E49A0">
        <w:rPr>
          <w:b/>
          <w:bCs/>
          <w:lang w:val="fr-FR"/>
        </w:rPr>
        <w:tab/>
        <w:t>Effet de la différence d’inertie</w:t>
      </w:r>
      <w:r>
        <w:rPr>
          <w:b/>
          <w:bCs/>
          <w:lang w:val="fr-FR"/>
        </w:rPr>
        <w:t> :</w:t>
      </w:r>
    </w:p>
    <w:bookmarkStart w:id="0" w:name="_Hlk30015935"/>
    <w:p w:rsidR="008E49A0" w:rsidRPr="008E49A0" w:rsidRDefault="008E49A0" w:rsidP="008E49A0">
      <w:pPr>
        <w:pStyle w:val="SingleTxtG"/>
      </w:pPr>
      <m:oMathPara>
        <m:oMath>
          <m:sSubSup>
            <m:sSubSupPr>
              <m:ctrlPr>
                <w:rPr>
                  <w:rFonts w:ascii="Cambria Math" w:hAnsi="Cambria Math"/>
                </w:rPr>
              </m:ctrlPr>
            </m:sSubSupPr>
            <m:e>
              <m:r>
                <m:rPr>
                  <m:sty m:val="bi"/>
                </m:rPr>
                <w:rPr>
                  <w:rFonts w:ascii="Cambria Math" w:hAnsi="Cambria Math"/>
                </w:rPr>
                <m:t>F</m:t>
              </m:r>
            </m:e>
            <m:sub>
              <m:r>
                <m:rPr>
                  <m:sty m:val="b"/>
                </m:rPr>
                <w:rPr>
                  <w:rFonts w:ascii="Cambria Math" w:hAnsi="Cambria Math"/>
                </w:rPr>
                <m:t>0</m:t>
              </m:r>
              <m:r>
                <m:rPr>
                  <m:sty m:val="bi"/>
                </m:rPr>
                <w:rPr>
                  <w:rFonts w:ascii="Cambria Math" w:hAnsi="Cambria Math"/>
                </w:rPr>
                <m:t>n</m:t>
              </m:r>
            </m:sub>
            <m:sup>
              <m:r>
                <m:rPr>
                  <m:sty m:val="b"/>
                </m:rPr>
                <w:rPr>
                  <w:rFonts w:ascii="Cambria Math" w:hAnsi="Cambria Math"/>
                </w:rPr>
                <m:t>1</m:t>
              </m:r>
            </m:sup>
          </m:sSubSup>
          <w:bookmarkEnd w:id="0"/>
          <m:r>
            <m:rPr>
              <m:sty m:val="p"/>
            </m:rPr>
            <w:rPr>
              <w:rFonts w:ascii="Cambria Math" w:hAnsi="Cambria Math"/>
            </w:rPr>
            <m:t>=</m:t>
          </m:r>
          <m:sSub>
            <m:sSubPr>
              <m:ctrlPr>
                <w:rPr>
                  <w:rFonts w:ascii="Cambria Math" w:hAnsi="Cambria Math"/>
                </w:rPr>
              </m:ctrlPr>
            </m:sSubPr>
            <m:e>
              <m:r>
                <m:rPr>
                  <m:sty m:val="bi"/>
                </m:rPr>
                <w:rPr>
                  <w:rFonts w:ascii="Cambria Math" w:hAnsi="Cambria Math"/>
                </w:rPr>
                <m:t>F</m:t>
              </m:r>
            </m:e>
            <m:sub>
              <m:r>
                <m:rPr>
                  <m:sty m:val="b"/>
                </m:rPr>
                <w:rPr>
                  <w:rFonts w:ascii="Cambria Math" w:hAnsi="Cambria Math"/>
                </w:rPr>
                <m:t>0</m:t>
              </m:r>
              <m:r>
                <m:rPr>
                  <m:sty m:val="bi"/>
                </m:rPr>
                <w:rPr>
                  <w:rFonts w:ascii="Cambria Math" w:hAnsi="Cambria Math"/>
                </w:rPr>
                <m:t>w</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bi"/>
                        </m:rPr>
                        <w:rPr>
                          <w:rFonts w:ascii="Cambria Math" w:hAnsi="Cambria Math"/>
                        </w:rPr>
                        <m:t>RM</m:t>
                      </m:r>
                    </m:e>
                    <m:sub>
                      <m:r>
                        <m:rPr>
                          <m:sty m:val="bi"/>
                        </m:rPr>
                        <w:rPr>
                          <w:rFonts w:ascii="Cambria Math" w:hAnsi="Cambria Math"/>
                        </w:rPr>
                        <m:t>n</m:t>
                      </m:r>
                    </m:sub>
                  </m:sSub>
                </m:num>
                <m:den>
                  <m:sSub>
                    <m:sSubPr>
                      <m:ctrlPr>
                        <w:rPr>
                          <w:rFonts w:ascii="Cambria Math" w:hAnsi="Cambria Math"/>
                        </w:rPr>
                      </m:ctrlPr>
                    </m:sSubPr>
                    <m:e>
                      <m:r>
                        <m:rPr>
                          <m:sty m:val="bi"/>
                        </m:rPr>
                        <w:rPr>
                          <w:rFonts w:ascii="Cambria Math" w:hAnsi="Cambria Math"/>
                        </w:rPr>
                        <m:t>TM</m:t>
                      </m:r>
                    </m:e>
                    <m:sub>
                      <m:r>
                        <m:rPr>
                          <m:sty m:val="bi"/>
                        </m:rPr>
                        <w:rPr>
                          <w:rFonts w:ascii="Cambria Math" w:hAnsi="Cambria Math"/>
                        </w:rPr>
                        <m:t>w</m:t>
                      </m:r>
                    </m:sub>
                  </m:sSub>
                </m:den>
              </m:f>
            </m:e>
          </m:d>
        </m:oMath>
      </m:oMathPara>
    </w:p>
    <w:p w:rsidR="008E49A0" w:rsidRPr="008E49A0" w:rsidRDefault="008E49A0" w:rsidP="008E49A0">
      <w:pPr>
        <w:pStyle w:val="SingleTxtG"/>
        <w:ind w:left="2268"/>
        <w:rPr>
          <w:rFonts w:eastAsia="MS Mincho"/>
          <w:b/>
          <w:bCs/>
          <w:lang w:val="fr-FR"/>
        </w:rPr>
      </w:pPr>
      <w:r w:rsidRPr="008E49A0">
        <w:rPr>
          <w:b/>
          <w:bCs/>
          <w:lang w:val="fr-FR"/>
        </w:rPr>
        <w:t>où</w:t>
      </w:r>
      <w:r>
        <w:rPr>
          <w:b/>
          <w:bCs/>
          <w:lang w:val="fr-FR"/>
        </w:rPr>
        <w:t> :</w:t>
      </w:r>
    </w:p>
    <w:p w:rsidR="008E49A0" w:rsidRPr="008E49A0" w:rsidRDefault="008E49A0" w:rsidP="008E49A0">
      <w:pPr>
        <w:pStyle w:val="SingleTxtG"/>
        <w:ind w:left="2268"/>
        <w:rPr>
          <w:rFonts w:eastAsia="MS Mincho"/>
          <w:b/>
          <w:bCs/>
          <w:lang w:val="fr-FR"/>
        </w:rPr>
      </w:pPr>
      <w:proofErr w:type="spellStart"/>
      <w:r w:rsidRPr="008E49A0">
        <w:rPr>
          <w:b/>
          <w:bCs/>
          <w:lang w:val="fr-FR"/>
        </w:rPr>
        <w:t>RM</w:t>
      </w:r>
      <w:r w:rsidRPr="008E49A0">
        <w:rPr>
          <w:b/>
          <w:bCs/>
          <w:vertAlign w:val="subscript"/>
          <w:lang w:val="fr-FR"/>
        </w:rPr>
        <w:t>n</w:t>
      </w:r>
      <w:proofErr w:type="spellEnd"/>
      <w:r w:rsidRPr="008E49A0">
        <w:rPr>
          <w:b/>
          <w:bCs/>
          <w:lang w:val="fr-FR"/>
        </w:rPr>
        <w:t xml:space="preserve"> est la masse de référence du véhicule telle que définie dans le présent Règlement.</w:t>
      </w:r>
    </w:p>
    <w:p w:rsidR="008E49A0" w:rsidRPr="008E49A0" w:rsidRDefault="008E49A0" w:rsidP="008E49A0">
      <w:pPr>
        <w:pStyle w:val="SingleTxtG"/>
        <w:ind w:left="2268"/>
        <w:rPr>
          <w:b/>
          <w:bCs/>
          <w:lang w:val="fr-FR"/>
        </w:rPr>
      </w:pPr>
      <w:r w:rsidRPr="008E49A0">
        <w:rPr>
          <w:b/>
          <w:bCs/>
          <w:i/>
          <w:iCs/>
          <w:lang w:val="fr-FR"/>
        </w:rPr>
        <w:t>F</w:t>
      </w:r>
      <w:r w:rsidRPr="008E49A0">
        <w:rPr>
          <w:b/>
          <w:bCs/>
          <w:i/>
          <w:iCs/>
          <w:vertAlign w:val="subscript"/>
          <w:lang w:val="fr-FR"/>
        </w:rPr>
        <w:t>0w</w:t>
      </w:r>
      <w:r w:rsidRPr="008E49A0">
        <w:rPr>
          <w:b/>
          <w:bCs/>
          <w:lang w:val="fr-FR"/>
        </w:rPr>
        <w:t xml:space="preserve"> est le coefficient de résistance à l’avancement F</w:t>
      </w:r>
      <w:r w:rsidRPr="008E49A0">
        <w:rPr>
          <w:b/>
          <w:bCs/>
          <w:vertAlign w:val="subscript"/>
          <w:lang w:val="fr-FR"/>
        </w:rPr>
        <w:t>0</w:t>
      </w:r>
      <w:r w:rsidRPr="008E49A0">
        <w:rPr>
          <w:b/>
          <w:bCs/>
          <w:lang w:val="fr-FR"/>
        </w:rPr>
        <w:t xml:space="preserve"> déterminé aux fins de l’essai WLTP du véhicule</w:t>
      </w:r>
      <w:r>
        <w:rPr>
          <w:b/>
          <w:bCs/>
          <w:lang w:val="fr-FR"/>
        </w:rPr>
        <w:t> ;</w:t>
      </w:r>
    </w:p>
    <w:p w:rsidR="008E49A0" w:rsidRPr="008E49A0" w:rsidRDefault="008E49A0" w:rsidP="008E49A0">
      <w:pPr>
        <w:pStyle w:val="SingleTxtG"/>
        <w:ind w:left="2268"/>
        <w:rPr>
          <w:rFonts w:eastAsia="MS Mincho"/>
          <w:b/>
          <w:bCs/>
          <w:lang w:val="fr-FR"/>
        </w:rPr>
      </w:pPr>
      <w:proofErr w:type="spellStart"/>
      <w:r w:rsidRPr="008E49A0">
        <w:rPr>
          <w:b/>
          <w:bCs/>
          <w:lang w:val="fr-FR"/>
        </w:rPr>
        <w:lastRenderedPageBreak/>
        <w:t>TM</w:t>
      </w:r>
      <w:r w:rsidRPr="008E49A0">
        <w:rPr>
          <w:b/>
          <w:bCs/>
          <w:vertAlign w:val="subscript"/>
          <w:lang w:val="fr-FR"/>
        </w:rPr>
        <w:t>w</w:t>
      </w:r>
      <w:proofErr w:type="spellEnd"/>
      <w:r>
        <w:rPr>
          <w:b/>
          <w:bCs/>
          <w:lang w:val="fr-FR"/>
        </w:rPr>
        <w:t xml:space="preserve"> </w:t>
      </w:r>
      <w:r w:rsidRPr="008E49A0">
        <w:rPr>
          <w:b/>
          <w:bCs/>
          <w:lang w:val="fr-FR"/>
        </w:rPr>
        <w:t>est la masse d’essai utilisée pour l’essai WLTP du véhicule pourvu de son équipement de série.</w:t>
      </w:r>
    </w:p>
    <w:p w:rsidR="008E49A0" w:rsidRPr="008E49A0" w:rsidRDefault="008E49A0" w:rsidP="008E49A0">
      <w:pPr>
        <w:pStyle w:val="SingleTxtG"/>
        <w:ind w:left="3402" w:hanging="567"/>
        <w:rPr>
          <w:rFonts w:eastAsia="MS Mincho"/>
          <w:b/>
          <w:bCs/>
          <w:lang w:val="fr-FR"/>
        </w:rPr>
      </w:pPr>
      <w:r w:rsidRPr="008E49A0">
        <w:rPr>
          <w:b/>
          <w:bCs/>
          <w:lang w:val="fr-FR"/>
        </w:rPr>
        <w:t>ii)</w:t>
      </w:r>
      <w:r w:rsidRPr="008E49A0">
        <w:rPr>
          <w:b/>
          <w:bCs/>
          <w:lang w:val="fr-FR"/>
        </w:rPr>
        <w:tab/>
        <w:t>Effet de la différence de pression des pneumatiques</w:t>
      </w:r>
      <w:r>
        <w:rPr>
          <w:b/>
          <w:bCs/>
          <w:lang w:val="fr-FR"/>
        </w:rPr>
        <w:t> :</w:t>
      </w:r>
    </w:p>
    <w:p w:rsidR="008E49A0" w:rsidRPr="008E49A0" w:rsidRDefault="008E49A0" w:rsidP="008E49A0">
      <w:pPr>
        <w:pStyle w:val="SingleTxtG"/>
      </w:pPr>
      <m:oMathPara>
        <m:oMath>
          <m:sSubSup>
            <m:sSubSupPr>
              <m:ctrlPr>
                <w:rPr>
                  <w:rFonts w:ascii="Cambria Math" w:hAnsi="Cambria Math"/>
                </w:rPr>
              </m:ctrlPr>
            </m:sSubSupPr>
            <m:e>
              <m:r>
                <m:rPr>
                  <m:sty m:val="bi"/>
                </m:rPr>
                <w:rPr>
                  <w:rFonts w:ascii="Cambria Math" w:hAnsi="Cambria Math"/>
                </w:rPr>
                <m:t>F</m:t>
              </m:r>
            </m:e>
            <m:sub>
              <m:r>
                <m:rPr>
                  <m:sty m:val="b"/>
                </m:rPr>
                <w:rPr>
                  <w:rFonts w:ascii="Cambria Math" w:hAnsi="Cambria Math"/>
                </w:rPr>
                <m:t>0</m:t>
              </m:r>
              <m:r>
                <m:rPr>
                  <m:sty m:val="bi"/>
                </m:rPr>
                <w:rPr>
                  <w:rFonts w:ascii="Cambria Math" w:hAnsi="Cambria Math"/>
                </w:rPr>
                <m:t>n</m:t>
              </m:r>
            </m:sub>
            <m:sup>
              <m:r>
                <m:rPr>
                  <m:sty m:val="b"/>
                </m:rPr>
                <w:rPr>
                  <w:rFonts w:ascii="Cambria Math" w:hAnsi="Cambria Math"/>
                </w:rPr>
                <m:t>2</m:t>
              </m:r>
            </m:sup>
          </m:sSubSup>
          <m:r>
            <m:rPr>
              <m:sty m:val="p"/>
            </m:rPr>
            <w:rPr>
              <w:rFonts w:ascii="Cambria Math" w:hAnsi="Cambria Math"/>
            </w:rPr>
            <m:t>=</m:t>
          </m:r>
          <m:sSubSup>
            <m:sSubSupPr>
              <m:ctrlPr>
                <w:rPr>
                  <w:rFonts w:ascii="Cambria Math" w:hAnsi="Cambria Math"/>
                </w:rPr>
              </m:ctrlPr>
            </m:sSubSupPr>
            <m:e>
              <m:r>
                <m:rPr>
                  <m:sty m:val="bi"/>
                </m:rPr>
                <w:rPr>
                  <w:rFonts w:ascii="Cambria Math" w:hAnsi="Cambria Math"/>
                </w:rPr>
                <m:t>F</m:t>
              </m:r>
            </m:e>
            <m:sub>
              <m:r>
                <m:rPr>
                  <m:sty m:val="b"/>
                </m:rPr>
                <w:rPr>
                  <w:rFonts w:ascii="Cambria Math" w:hAnsi="Cambria Math"/>
                </w:rPr>
                <m:t>0</m:t>
              </m:r>
              <m:r>
                <m:rPr>
                  <m:sty m:val="bi"/>
                </m:rPr>
                <w:rPr>
                  <w:rFonts w:ascii="Cambria Math" w:hAnsi="Cambria Math"/>
                </w:rPr>
                <m:t>n</m:t>
              </m:r>
            </m:sub>
            <m:sup>
              <m:r>
                <m:rPr>
                  <m:sty m:val="b"/>
                </m:rPr>
                <w:rPr>
                  <w:rFonts w:ascii="Cambria Math" w:hAnsi="Cambria Math"/>
                </w:rPr>
                <m:t>1</m:t>
              </m:r>
            </m:sup>
          </m:sSubSup>
          <m:r>
            <m:rPr>
              <m:sty m:val="p"/>
            </m:rPr>
            <w:rPr>
              <w:rFonts w:ascii="Cambria Math" w:hAnsi="Cambria Math"/>
            </w:rPr>
            <m:t>∙</m:t>
          </m:r>
          <m:r>
            <m:rPr>
              <m:sty m:val="bi"/>
            </m:rPr>
            <w:rPr>
              <w:rFonts w:ascii="Cambria Math" w:hAnsi="Cambria Math"/>
            </w:rPr>
            <m:t>TP</m:t>
          </m:r>
        </m:oMath>
      </m:oMathPara>
    </w:p>
    <w:p w:rsidR="008E49A0" w:rsidRPr="008E49A0" w:rsidRDefault="008E49A0" w:rsidP="00F46F4C">
      <w:pPr>
        <w:pStyle w:val="SingleTxtG"/>
        <w:ind w:left="2268"/>
        <w:rPr>
          <w:rFonts w:eastAsia="MS Mincho"/>
          <w:b/>
          <w:bCs/>
          <w:lang w:val="fr-FR"/>
        </w:rPr>
      </w:pPr>
      <w:r w:rsidRPr="008E49A0">
        <w:rPr>
          <w:b/>
          <w:bCs/>
          <w:lang w:val="fr-FR"/>
        </w:rPr>
        <w:t xml:space="preserve">où </w:t>
      </w:r>
      <w:r w:rsidRPr="008E49A0">
        <w:rPr>
          <w:b/>
          <w:bCs/>
          <w:i/>
          <w:iCs/>
          <w:lang w:val="fr-FR"/>
        </w:rPr>
        <w:t>TP</w:t>
      </w:r>
      <w:r w:rsidRPr="008E49A0">
        <w:rPr>
          <w:b/>
          <w:bCs/>
          <w:lang w:val="fr-FR"/>
        </w:rPr>
        <w:t xml:space="preserve"> est tel que défini au 2.2.1</w:t>
      </w:r>
      <w:r>
        <w:rPr>
          <w:b/>
          <w:bCs/>
          <w:lang w:val="fr-FR"/>
        </w:rPr>
        <w:t> ;</w:t>
      </w:r>
    </w:p>
    <w:p w:rsidR="008E49A0" w:rsidRPr="008E49A0" w:rsidRDefault="008E49A0" w:rsidP="008E49A0">
      <w:pPr>
        <w:pStyle w:val="SingleTxtG"/>
        <w:ind w:left="3402" w:hanging="567"/>
        <w:rPr>
          <w:rFonts w:eastAsia="MS Mincho"/>
          <w:b/>
          <w:bCs/>
          <w:lang w:val="fr-FR"/>
        </w:rPr>
      </w:pPr>
      <w:r w:rsidRPr="008E49A0">
        <w:rPr>
          <w:b/>
          <w:bCs/>
          <w:lang w:val="fr-FR"/>
        </w:rPr>
        <w:t>iii)</w:t>
      </w:r>
      <w:r w:rsidRPr="008E49A0">
        <w:rPr>
          <w:b/>
          <w:bCs/>
          <w:lang w:val="fr-FR"/>
        </w:rPr>
        <w:tab/>
        <w:t>Effet de l’inertie des composants en rotation</w:t>
      </w:r>
      <w:r>
        <w:rPr>
          <w:b/>
          <w:bCs/>
          <w:lang w:val="fr-FR"/>
        </w:rPr>
        <w:t> :</w:t>
      </w:r>
    </w:p>
    <w:p w:rsidR="008E49A0" w:rsidRPr="008E49A0" w:rsidRDefault="008E49A0" w:rsidP="008E49A0">
      <w:pPr>
        <w:pStyle w:val="SingleTxtG"/>
      </w:pPr>
      <m:oMathPara>
        <m:oMath>
          <m:sSubSup>
            <m:sSubSupPr>
              <m:ctrlPr>
                <w:rPr>
                  <w:rFonts w:ascii="Cambria Math" w:hAnsi="Cambria Math"/>
                </w:rPr>
              </m:ctrlPr>
            </m:sSubSupPr>
            <m:e>
              <m:r>
                <m:rPr>
                  <m:sty m:val="bi"/>
                </m:rPr>
                <w:rPr>
                  <w:rFonts w:ascii="Cambria Math" w:hAnsi="Cambria Math"/>
                </w:rPr>
                <m:t>F</m:t>
              </m:r>
            </m:e>
            <m:sub>
              <m:r>
                <m:rPr>
                  <m:sty m:val="b"/>
                </m:rPr>
                <w:rPr>
                  <w:rFonts w:ascii="Cambria Math" w:hAnsi="Cambria Math"/>
                </w:rPr>
                <m:t>0</m:t>
              </m:r>
              <m:r>
                <m:rPr>
                  <m:sty m:val="bi"/>
                </m:rPr>
                <w:rPr>
                  <w:rFonts w:ascii="Cambria Math" w:hAnsi="Cambria Math"/>
                </w:rPr>
                <m:t>n</m:t>
              </m:r>
            </m:sub>
            <m:sup>
              <m:r>
                <m:rPr>
                  <m:sty m:val="b"/>
                </m:rPr>
                <w:rPr>
                  <w:rFonts w:ascii="Cambria Math" w:hAnsi="Cambria Math"/>
                </w:rPr>
                <m:t>3</m:t>
              </m:r>
            </m:sup>
          </m:sSubSup>
          <m:r>
            <m:rPr>
              <m:sty m:val="p"/>
            </m:rPr>
            <w:rPr>
              <w:rFonts w:ascii="Cambria Math" w:hAnsi="Cambria Math"/>
            </w:rPr>
            <m:t>=</m:t>
          </m:r>
          <m:sSubSup>
            <m:sSubSupPr>
              <m:ctrlPr>
                <w:rPr>
                  <w:rFonts w:ascii="Cambria Math" w:hAnsi="Cambria Math"/>
                </w:rPr>
              </m:ctrlPr>
            </m:sSubSupPr>
            <m:e>
              <m:r>
                <m:rPr>
                  <m:sty m:val="bi"/>
                </m:rPr>
                <w:rPr>
                  <w:rFonts w:ascii="Cambria Math" w:hAnsi="Cambria Math"/>
                </w:rPr>
                <m:t>F</m:t>
              </m:r>
            </m:e>
            <m:sub>
              <m:r>
                <m:rPr>
                  <m:sty m:val="b"/>
                </m:rPr>
                <w:rPr>
                  <w:rFonts w:ascii="Cambria Math" w:hAnsi="Cambria Math"/>
                </w:rPr>
                <m:t>0</m:t>
              </m:r>
              <m:r>
                <m:rPr>
                  <m:sty m:val="bi"/>
                </m:rPr>
                <w:rPr>
                  <w:rFonts w:ascii="Cambria Math" w:hAnsi="Cambria Math"/>
                </w:rPr>
                <m:t>n</m:t>
              </m:r>
            </m:sub>
            <m:sup>
              <m:r>
                <m:rPr>
                  <m:sty m:val="b"/>
                </m:rPr>
                <w:rPr>
                  <w:rFonts w:ascii="Cambria Math" w:hAnsi="Cambria Math"/>
                </w:rPr>
                <m:t>2</m:t>
              </m:r>
            </m:sup>
          </m:sSubSup>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1</m:t>
                  </m:r>
                  <m:r>
                    <m:rPr>
                      <m:sty m:val="p"/>
                    </m:rPr>
                    <w:rPr>
                      <w:rFonts w:ascii="Cambria Math" w:hAnsi="Cambria Math"/>
                    </w:rPr>
                    <m:t>,</m:t>
                  </m:r>
                  <m:r>
                    <m:rPr>
                      <m:sty m:val="b"/>
                    </m:rPr>
                    <w:rPr>
                      <w:rFonts w:ascii="Cambria Math" w:hAnsi="Cambria Math"/>
                    </w:rPr>
                    <m:t>03</m:t>
                  </m:r>
                </m:den>
              </m:f>
            </m:e>
          </m:d>
        </m:oMath>
      </m:oMathPara>
    </w:p>
    <w:p w:rsidR="008E49A0" w:rsidRPr="008E49A0" w:rsidRDefault="008E49A0" w:rsidP="008E49A0">
      <w:pPr>
        <w:pStyle w:val="SingleTxtG"/>
        <w:ind w:left="3402" w:hanging="567"/>
        <w:rPr>
          <w:rFonts w:eastAsia="MS Mincho"/>
          <w:b/>
          <w:bCs/>
          <w:lang w:val="fr-FR"/>
        </w:rPr>
      </w:pPr>
      <w:r w:rsidRPr="008E49A0">
        <w:rPr>
          <w:b/>
          <w:bCs/>
          <w:lang w:val="fr-FR"/>
        </w:rPr>
        <w:t>iv)</w:t>
      </w:r>
      <w:r w:rsidRPr="008E49A0">
        <w:rPr>
          <w:b/>
          <w:bCs/>
          <w:lang w:val="fr-FR"/>
        </w:rPr>
        <w:tab/>
        <w:t>Effet de la différence de profondeur de sculpture des pneumatiques</w:t>
      </w:r>
      <w:r>
        <w:rPr>
          <w:b/>
          <w:bCs/>
          <w:lang w:val="fr-FR"/>
        </w:rPr>
        <w:t> :</w:t>
      </w:r>
    </w:p>
    <w:p w:rsidR="008E49A0" w:rsidRPr="008E49A0" w:rsidRDefault="008E49A0" w:rsidP="008E49A0">
      <w:pPr>
        <w:pStyle w:val="SingleTxtG"/>
      </w:pPr>
      <m:oMathPara>
        <m:oMath>
          <m:sSub>
            <m:sSubPr>
              <m:ctrlPr>
                <w:rPr>
                  <w:rFonts w:ascii="Cambria Math" w:hAnsi="Cambria Math"/>
                </w:rPr>
              </m:ctrlPr>
            </m:sSubPr>
            <m:e>
              <m:r>
                <m:rPr>
                  <m:sty m:val="bi"/>
                </m:rPr>
                <w:rPr>
                  <w:rFonts w:ascii="Cambria Math" w:hAnsi="Cambria Math"/>
                </w:rPr>
                <m:t>F</m:t>
              </m:r>
            </m:e>
            <m:sub>
              <m:r>
                <m:rPr>
                  <m:sty m:val="b"/>
                </m:rPr>
                <w:rPr>
                  <w:rFonts w:ascii="Cambria Math" w:hAnsi="Cambria Math"/>
                </w:rPr>
                <m:t>0</m:t>
              </m:r>
              <m:r>
                <m:rPr>
                  <m:sty m:val="bi"/>
                </m:rPr>
                <w:rPr>
                  <w:rFonts w:ascii="Cambria Math" w:hAnsi="Cambria Math"/>
                </w:rPr>
                <m:t>n</m:t>
              </m:r>
            </m:sub>
          </m:sSub>
          <m:r>
            <m:rPr>
              <m:sty m:val="p"/>
            </m:rPr>
            <w:rPr>
              <w:rFonts w:ascii="Cambria Math" w:hAnsi="Cambria Math"/>
            </w:rPr>
            <m:t>=</m:t>
          </m:r>
          <m:sSubSup>
            <m:sSubSupPr>
              <m:ctrlPr>
                <w:rPr>
                  <w:rFonts w:ascii="Cambria Math" w:hAnsi="Cambria Math"/>
                </w:rPr>
              </m:ctrlPr>
            </m:sSubSupPr>
            <m:e>
              <m:r>
                <m:rPr>
                  <m:sty m:val="bi"/>
                </m:rPr>
                <w:rPr>
                  <w:rFonts w:ascii="Cambria Math" w:hAnsi="Cambria Math"/>
                </w:rPr>
                <m:t>F</m:t>
              </m:r>
            </m:e>
            <m:sub>
              <m:r>
                <m:rPr>
                  <m:sty m:val="b"/>
                </m:rPr>
                <w:rPr>
                  <w:rFonts w:ascii="Cambria Math" w:hAnsi="Cambria Math"/>
                </w:rPr>
                <m:t>0</m:t>
              </m:r>
              <m:r>
                <m:rPr>
                  <m:sty m:val="bi"/>
                </m:rPr>
                <w:rPr>
                  <w:rFonts w:ascii="Cambria Math" w:hAnsi="Cambria Math"/>
                </w:rPr>
                <m:t>n</m:t>
              </m:r>
            </m:sub>
            <m:sup>
              <m:r>
                <m:rPr>
                  <m:sty m:val="b"/>
                </m:rPr>
                <w:rPr>
                  <w:rFonts w:ascii="Cambria Math" w:hAnsi="Cambria Math"/>
                </w:rPr>
                <m:t>3</m:t>
              </m:r>
            </m:sup>
          </m:sSubSup>
          <m:r>
            <m:rPr>
              <m:sty m:val="p"/>
            </m:rPr>
            <w:rPr>
              <w:rFonts w:ascii="Cambria Math" w:hAnsi="Cambria Math"/>
            </w:rPr>
            <m:t>-</m:t>
          </m:r>
          <m:r>
            <m:rPr>
              <m:sty m:val="bi"/>
            </m:rPr>
            <w:rPr>
              <w:rFonts w:ascii="Cambria Math" w:hAnsi="Cambria Math"/>
            </w:rPr>
            <m:t>TTD</m:t>
          </m:r>
        </m:oMath>
      </m:oMathPara>
    </w:p>
    <w:p w:rsidR="008E49A0" w:rsidRPr="008E49A0" w:rsidRDefault="008E49A0" w:rsidP="008E49A0">
      <w:pPr>
        <w:pStyle w:val="SingleTxtG"/>
        <w:ind w:left="2268"/>
        <w:rPr>
          <w:rFonts w:eastAsia="MS Mincho"/>
          <w:b/>
          <w:bCs/>
          <w:lang w:val="fr-FR"/>
        </w:rPr>
      </w:pPr>
      <w:r w:rsidRPr="008E49A0">
        <w:rPr>
          <w:b/>
          <w:bCs/>
          <w:lang w:val="fr-FR"/>
        </w:rPr>
        <w:t xml:space="preserve">où </w:t>
      </w:r>
      <w:r w:rsidRPr="008E49A0">
        <w:rPr>
          <w:b/>
          <w:bCs/>
          <w:i/>
          <w:iCs/>
          <w:lang w:val="fr-FR"/>
        </w:rPr>
        <w:t xml:space="preserve">TTD </w:t>
      </w:r>
      <w:r w:rsidRPr="008E49A0">
        <w:rPr>
          <w:b/>
          <w:bCs/>
          <w:lang w:val="fr-FR"/>
        </w:rPr>
        <w:t>est tel que défini au 2.2.2</w:t>
      </w:r>
      <w:r>
        <w:rPr>
          <w:b/>
          <w:bCs/>
          <w:lang w:val="fr-FR"/>
        </w:rPr>
        <w:t> ;</w:t>
      </w:r>
    </w:p>
    <w:p w:rsidR="008E49A0" w:rsidRPr="008E49A0" w:rsidRDefault="008E49A0" w:rsidP="008E49A0">
      <w:pPr>
        <w:pStyle w:val="SingleTxtG"/>
        <w:ind w:left="2835" w:hanging="567"/>
        <w:rPr>
          <w:b/>
          <w:bCs/>
          <w:lang w:val="fr-FR"/>
        </w:rPr>
      </w:pPr>
      <w:r w:rsidRPr="008E49A0">
        <w:rPr>
          <w:b/>
          <w:bCs/>
          <w:lang w:val="fr-FR"/>
        </w:rPr>
        <w:t>b)</w:t>
      </w:r>
      <w:r w:rsidRPr="008E49A0">
        <w:rPr>
          <w:b/>
          <w:bCs/>
          <w:lang w:val="fr-FR"/>
        </w:rPr>
        <w:tab/>
        <w:t xml:space="preserve">Le coefficient de résistance à l’avancement </w:t>
      </w:r>
      <w:r w:rsidRPr="008E49A0">
        <w:rPr>
          <w:b/>
          <w:bCs/>
          <w:i/>
          <w:iCs/>
          <w:lang w:val="fr-FR"/>
        </w:rPr>
        <w:t>F</w:t>
      </w:r>
      <w:bookmarkStart w:id="1" w:name="_GoBack"/>
      <w:r w:rsidRPr="00F3471E">
        <w:rPr>
          <w:b/>
          <w:bCs/>
          <w:vertAlign w:val="subscript"/>
          <w:lang w:val="fr-FR"/>
        </w:rPr>
        <w:t>1</w:t>
      </w:r>
      <w:bookmarkEnd w:id="1"/>
      <w:r w:rsidRPr="008E49A0">
        <w:rPr>
          <w:b/>
          <w:bCs/>
          <w:i/>
          <w:iCs/>
          <w:vertAlign w:val="subscript"/>
          <w:lang w:val="fr-FR"/>
        </w:rPr>
        <w:t>n</w:t>
      </w:r>
      <w:r w:rsidRPr="008E49A0">
        <w:rPr>
          <w:b/>
          <w:bCs/>
          <w:lang w:val="fr-FR"/>
        </w:rPr>
        <w:t xml:space="preserve"> du véhicule est calculé comme suit</w:t>
      </w:r>
      <w:r>
        <w:rPr>
          <w:b/>
          <w:bCs/>
          <w:lang w:val="fr-FR"/>
        </w:rPr>
        <w:t> :</w:t>
      </w:r>
    </w:p>
    <w:p w:rsidR="008E49A0" w:rsidRPr="008E49A0" w:rsidRDefault="008E49A0" w:rsidP="008E49A0">
      <w:pPr>
        <w:pStyle w:val="SingleTxtG"/>
        <w:rPr>
          <w:b/>
          <w:bCs/>
        </w:rPr>
      </w:pPr>
      <m:oMathPara>
        <m:oMath>
          <m:sSub>
            <m:sSubPr>
              <m:ctrlPr>
                <w:rPr>
                  <w:rFonts w:ascii="Cambria Math" w:hAnsi="Cambria Math"/>
                  <w:b/>
                  <w:bCs/>
                </w:rPr>
              </m:ctrlPr>
            </m:sSubPr>
            <m:e>
              <m:r>
                <m:rPr>
                  <m:sty m:val="bi"/>
                </m:rPr>
                <w:rPr>
                  <w:rFonts w:ascii="Cambria Math" w:hAnsi="Cambria Math"/>
                </w:rPr>
                <m:t>F</m:t>
              </m:r>
            </m:e>
            <m:sub>
              <m:r>
                <m:rPr>
                  <m:sty m:val="b"/>
                </m:rPr>
                <w:rPr>
                  <w:rFonts w:ascii="Cambria Math" w:hAnsi="Cambria Math"/>
                </w:rPr>
                <m:t>1</m:t>
              </m:r>
              <m:r>
                <m:rPr>
                  <m:sty m:val="bi"/>
                </m:rPr>
                <w:rPr>
                  <w:rFonts w:ascii="Cambria Math" w:hAnsi="Cambria Math"/>
                </w:rPr>
                <m:t>n</m:t>
              </m:r>
            </m:sub>
          </m:sSub>
          <m:r>
            <m:rPr>
              <m:sty m:val="b"/>
            </m:rPr>
            <w:rPr>
              <w:rFonts w:ascii="Cambria Math" w:hAnsi="Cambria Math"/>
            </w:rPr>
            <m:t>=</m:t>
          </m:r>
          <m:sSub>
            <m:sSubPr>
              <m:ctrlPr>
                <w:rPr>
                  <w:rFonts w:ascii="Cambria Math" w:hAnsi="Cambria Math"/>
                  <w:b/>
                  <w:bCs/>
                </w:rPr>
              </m:ctrlPr>
            </m:sSubPr>
            <m:e>
              <m:r>
                <m:rPr>
                  <m:sty m:val="bi"/>
                </m:rPr>
                <w:rPr>
                  <w:rFonts w:ascii="Cambria Math" w:hAnsi="Cambria Math"/>
                </w:rPr>
                <m:t>F</m:t>
              </m:r>
            </m:e>
            <m:sub>
              <m:r>
                <m:rPr>
                  <m:sty m:val="b"/>
                </m:rPr>
                <w:rPr>
                  <w:rFonts w:ascii="Cambria Math" w:hAnsi="Cambria Math"/>
                </w:rPr>
                <m:t>1</m:t>
              </m:r>
              <m:r>
                <m:rPr>
                  <m:sty m:val="bi"/>
                </m:rPr>
                <w:rPr>
                  <w:rFonts w:ascii="Cambria Math" w:hAnsi="Cambria Math"/>
                </w:rPr>
                <m:t>w</m:t>
              </m:r>
            </m:sub>
          </m:sSub>
          <m:r>
            <m:rPr>
              <m:sty m:val="b"/>
            </m:rPr>
            <w:rPr>
              <w:rFonts w:ascii="Cambria Math" w:hAnsi="Cambria Math"/>
            </w:rPr>
            <m:t>∙</m:t>
          </m:r>
          <m:d>
            <m:dPr>
              <m:ctrlPr>
                <w:rPr>
                  <w:rFonts w:ascii="Cambria Math" w:hAnsi="Cambria Math"/>
                  <w:b/>
                  <w:bCs/>
                </w:rPr>
              </m:ctrlPr>
            </m:dPr>
            <m:e>
              <m:f>
                <m:fPr>
                  <m:ctrlPr>
                    <w:rPr>
                      <w:rFonts w:ascii="Cambria Math" w:hAnsi="Cambria Math"/>
                      <w:b/>
                      <w:bCs/>
                    </w:rPr>
                  </m:ctrlPr>
                </m:fPr>
                <m:num>
                  <m:r>
                    <m:rPr>
                      <m:sty m:val="b"/>
                    </m:rPr>
                    <w:rPr>
                      <w:rFonts w:ascii="Cambria Math" w:hAnsi="Cambria Math"/>
                    </w:rPr>
                    <m:t>1</m:t>
                  </m:r>
                </m:num>
                <m:den>
                  <m:r>
                    <m:rPr>
                      <m:sty m:val="b"/>
                    </m:rPr>
                    <w:rPr>
                      <w:rFonts w:ascii="Cambria Math" w:hAnsi="Cambria Math"/>
                    </w:rPr>
                    <m:t>1,03</m:t>
                  </m:r>
                </m:den>
              </m:f>
            </m:e>
          </m:d>
        </m:oMath>
      </m:oMathPara>
    </w:p>
    <w:p w:rsidR="008E49A0" w:rsidRPr="008E49A0" w:rsidRDefault="008E49A0" w:rsidP="008E49A0">
      <w:pPr>
        <w:pStyle w:val="SingleTxtG"/>
        <w:ind w:left="2835" w:hanging="567"/>
        <w:rPr>
          <w:b/>
          <w:bCs/>
          <w:lang w:val="fr-FR"/>
        </w:rPr>
      </w:pPr>
      <w:r w:rsidRPr="008E49A0">
        <w:rPr>
          <w:b/>
          <w:bCs/>
          <w:lang w:val="fr-FR"/>
        </w:rPr>
        <w:t>c)</w:t>
      </w:r>
      <w:r w:rsidRPr="008E49A0">
        <w:rPr>
          <w:b/>
          <w:bCs/>
          <w:lang w:val="fr-FR"/>
        </w:rPr>
        <w:tab/>
        <w:t xml:space="preserve">Le coefficient de résistance à l’avancement </w:t>
      </w:r>
      <w:r w:rsidRPr="008E49A0">
        <w:rPr>
          <w:b/>
          <w:bCs/>
          <w:i/>
          <w:iCs/>
          <w:lang w:val="fr-FR"/>
        </w:rPr>
        <w:t>F</w:t>
      </w:r>
      <w:r w:rsidRPr="008E49A0">
        <w:rPr>
          <w:b/>
          <w:bCs/>
          <w:i/>
          <w:iCs/>
          <w:vertAlign w:val="subscript"/>
          <w:lang w:val="fr-FR"/>
        </w:rPr>
        <w:t>2n</w:t>
      </w:r>
      <w:r w:rsidRPr="008E49A0">
        <w:rPr>
          <w:b/>
          <w:bCs/>
          <w:lang w:val="fr-FR"/>
        </w:rPr>
        <w:t xml:space="preserve"> du véhicule est calculé comme suit</w:t>
      </w:r>
      <w:r>
        <w:rPr>
          <w:b/>
          <w:bCs/>
          <w:lang w:val="fr-FR"/>
        </w:rPr>
        <w:t> :</w:t>
      </w:r>
    </w:p>
    <w:p w:rsidR="008E49A0" w:rsidRPr="008E49A0" w:rsidRDefault="008E49A0" w:rsidP="008E49A0">
      <w:pPr>
        <w:pStyle w:val="SingleTxtG"/>
        <w:rPr>
          <w:b/>
          <w:bCs/>
        </w:rPr>
      </w:pPr>
      <m:oMathPara>
        <m:oMath>
          <m:sSub>
            <m:sSubPr>
              <m:ctrlPr>
                <w:rPr>
                  <w:rFonts w:ascii="Cambria Math" w:hAnsi="Cambria Math"/>
                  <w:b/>
                  <w:bCs/>
                </w:rPr>
              </m:ctrlPr>
            </m:sSubPr>
            <m:e>
              <m:r>
                <m:rPr>
                  <m:sty m:val="bi"/>
                </m:rPr>
                <w:rPr>
                  <w:rFonts w:ascii="Cambria Math" w:hAnsi="Cambria Math"/>
                </w:rPr>
                <m:t>F</m:t>
              </m:r>
            </m:e>
            <m:sub>
              <m:r>
                <m:rPr>
                  <m:sty m:val="b"/>
                </m:rPr>
                <w:rPr>
                  <w:rFonts w:ascii="Cambria Math" w:hAnsi="Cambria Math"/>
                </w:rPr>
                <m:t>2</m:t>
              </m:r>
              <m:r>
                <m:rPr>
                  <m:sty m:val="bi"/>
                </m:rPr>
                <w:rPr>
                  <w:rFonts w:ascii="Cambria Math" w:hAnsi="Cambria Math"/>
                </w:rPr>
                <m:t>n</m:t>
              </m:r>
            </m:sub>
          </m:sSub>
          <m:r>
            <m:rPr>
              <m:sty m:val="b"/>
            </m:rPr>
            <w:rPr>
              <w:rFonts w:ascii="Cambria Math" w:hAnsi="Cambria Math"/>
            </w:rPr>
            <m:t>=</m:t>
          </m:r>
          <m:sSub>
            <m:sSubPr>
              <m:ctrlPr>
                <w:rPr>
                  <w:rFonts w:ascii="Cambria Math" w:hAnsi="Cambria Math"/>
                  <w:b/>
                  <w:bCs/>
                </w:rPr>
              </m:ctrlPr>
            </m:sSubPr>
            <m:e>
              <m:r>
                <m:rPr>
                  <m:sty m:val="bi"/>
                </m:rPr>
                <w:rPr>
                  <w:rFonts w:ascii="Cambria Math" w:hAnsi="Cambria Math"/>
                </w:rPr>
                <m:t>F</m:t>
              </m:r>
            </m:e>
            <m:sub>
              <m:r>
                <m:rPr>
                  <m:sty m:val="b"/>
                </m:rPr>
                <w:rPr>
                  <w:rFonts w:ascii="Cambria Math" w:hAnsi="Cambria Math"/>
                </w:rPr>
                <m:t>2</m:t>
              </m:r>
              <m:r>
                <m:rPr>
                  <m:sty m:val="bi"/>
                </m:rPr>
                <w:rPr>
                  <w:rFonts w:ascii="Cambria Math" w:hAnsi="Cambria Math"/>
                </w:rPr>
                <m:t>w</m:t>
              </m:r>
            </m:sub>
          </m:sSub>
          <m:r>
            <m:rPr>
              <m:sty m:val="b"/>
            </m:rPr>
            <w:rPr>
              <w:rFonts w:ascii="Cambria Math" w:hAnsi="Cambria Math"/>
            </w:rPr>
            <m:t>∙</m:t>
          </m:r>
          <m:d>
            <m:dPr>
              <m:ctrlPr>
                <w:rPr>
                  <w:rFonts w:ascii="Cambria Math" w:hAnsi="Cambria Math"/>
                  <w:b/>
                  <w:bCs/>
                </w:rPr>
              </m:ctrlPr>
            </m:dPr>
            <m:e>
              <m:f>
                <m:fPr>
                  <m:ctrlPr>
                    <w:rPr>
                      <w:rFonts w:ascii="Cambria Math" w:hAnsi="Cambria Math"/>
                      <w:b/>
                      <w:bCs/>
                    </w:rPr>
                  </m:ctrlPr>
                </m:fPr>
                <m:num>
                  <m:r>
                    <m:rPr>
                      <m:sty m:val="b"/>
                    </m:rPr>
                    <w:rPr>
                      <w:rFonts w:ascii="Cambria Math" w:hAnsi="Cambria Math"/>
                    </w:rPr>
                    <m:t>1</m:t>
                  </m:r>
                </m:num>
                <m:den>
                  <m:r>
                    <m:rPr>
                      <m:sty m:val="b"/>
                    </m:rPr>
                    <w:rPr>
                      <w:rFonts w:ascii="Cambria Math" w:hAnsi="Cambria Math"/>
                    </w:rPr>
                    <m:t>1,03</m:t>
                  </m:r>
                </m:den>
              </m:f>
            </m:e>
          </m:d>
        </m:oMath>
      </m:oMathPara>
    </w:p>
    <w:p w:rsidR="008E49A0" w:rsidRPr="005206E7" w:rsidRDefault="008E49A0" w:rsidP="008E49A0">
      <w:pPr>
        <w:pStyle w:val="SingleTxtG"/>
        <w:ind w:left="2268"/>
        <w:rPr>
          <w:rFonts w:eastAsia="MS Mincho"/>
          <w:szCs w:val="21"/>
          <w:lang w:val="fr-FR"/>
        </w:rPr>
      </w:pPr>
      <w:r w:rsidRPr="008E49A0">
        <w:rPr>
          <w:b/>
          <w:bCs/>
          <w:lang w:val="fr-FR"/>
        </w:rPr>
        <w:t xml:space="preserve">où </w:t>
      </w:r>
      <w:r w:rsidRPr="008E49A0">
        <w:rPr>
          <w:b/>
          <w:bCs/>
          <w:i/>
          <w:iCs/>
          <w:lang w:val="fr-FR"/>
        </w:rPr>
        <w:t>F</w:t>
      </w:r>
      <w:r w:rsidRPr="00F3471E">
        <w:rPr>
          <w:b/>
          <w:bCs/>
          <w:vertAlign w:val="subscript"/>
          <w:lang w:val="fr-FR"/>
        </w:rPr>
        <w:t>2</w:t>
      </w:r>
      <w:r w:rsidRPr="008E49A0">
        <w:rPr>
          <w:b/>
          <w:bCs/>
          <w:i/>
          <w:iCs/>
          <w:vertAlign w:val="subscript"/>
          <w:lang w:val="fr-FR"/>
        </w:rPr>
        <w:t>w</w:t>
      </w:r>
      <w:r w:rsidRPr="008E49A0">
        <w:rPr>
          <w:b/>
          <w:bCs/>
          <w:lang w:val="fr-FR"/>
        </w:rPr>
        <w:t xml:space="preserve"> désigne le coefficient de résistance à l’avancement F</w:t>
      </w:r>
      <w:r w:rsidRPr="008E49A0">
        <w:rPr>
          <w:b/>
          <w:bCs/>
          <w:vertAlign w:val="subscript"/>
          <w:lang w:val="fr-FR"/>
        </w:rPr>
        <w:t>2</w:t>
      </w:r>
      <w:r w:rsidRPr="008E49A0">
        <w:rPr>
          <w:b/>
          <w:bCs/>
          <w:lang w:val="fr-FR"/>
        </w:rPr>
        <w:t xml:space="preserve"> de la procédure WLTP déterminé pour le véhicule pourvu de son équipement de série.</w:t>
      </w:r>
      <w:r>
        <w:rPr>
          <w:lang w:val="fr-FR"/>
        </w:rPr>
        <w:t> »</w:t>
      </w:r>
      <w:r>
        <w:rPr>
          <w:lang w:val="fr-FR"/>
        </w:rPr>
        <w:t>.</w:t>
      </w:r>
    </w:p>
    <w:p w:rsidR="008E49A0" w:rsidRPr="005206E7" w:rsidRDefault="008E49A0" w:rsidP="008E49A0">
      <w:pPr>
        <w:pStyle w:val="HChG"/>
        <w:rPr>
          <w:rFonts w:eastAsia="MS Mincho"/>
          <w:lang w:val="fr-FR"/>
        </w:rPr>
      </w:pPr>
      <w:r>
        <w:rPr>
          <w:lang w:val="fr-FR"/>
        </w:rPr>
        <w:tab/>
      </w:r>
      <w:r w:rsidRPr="00574DC3">
        <w:rPr>
          <w:lang w:val="fr-FR"/>
        </w:rPr>
        <w:t>II.</w:t>
      </w:r>
      <w:r w:rsidRPr="00574DC3">
        <w:rPr>
          <w:lang w:val="fr-FR"/>
        </w:rPr>
        <w:tab/>
        <w:t>Justification</w:t>
      </w:r>
    </w:p>
    <w:p w:rsidR="008E49A0" w:rsidRPr="005206E7" w:rsidRDefault="008E49A0" w:rsidP="008E49A0">
      <w:pPr>
        <w:pStyle w:val="SingleTxtG"/>
        <w:rPr>
          <w:rFonts w:eastAsia="MS Mincho"/>
          <w:lang w:val="fr-FR"/>
        </w:rPr>
      </w:pPr>
      <w:r>
        <w:rPr>
          <w:lang w:val="fr-FR"/>
        </w:rPr>
        <w:t>1.</w:t>
      </w:r>
      <w:r>
        <w:rPr>
          <w:lang w:val="fr-FR"/>
        </w:rPr>
        <w:tab/>
        <w:t>Dans le RTM ONU n</w:t>
      </w:r>
      <w:r>
        <w:rPr>
          <w:vertAlign w:val="superscript"/>
          <w:lang w:val="fr-FR"/>
        </w:rPr>
        <w:t>o</w:t>
      </w:r>
      <w:r>
        <w:rPr>
          <w:lang w:val="fr-FR"/>
        </w:rPr>
        <w:t> 15 (WLTP), certains des paramètres utilisés aux fins de la détermination de la résistance à l’avancement ont été modifiés</w:t>
      </w:r>
    </w:p>
    <w:p w:rsidR="008E49A0" w:rsidRPr="005206E7" w:rsidRDefault="008E49A0" w:rsidP="008E49A0">
      <w:pPr>
        <w:pStyle w:val="SingleTxtG"/>
        <w:rPr>
          <w:rFonts w:eastAsia="MS Mincho"/>
          <w:lang w:val="fr-FR"/>
        </w:rPr>
      </w:pPr>
      <w:r>
        <w:rPr>
          <w:lang w:val="fr-FR"/>
        </w:rPr>
        <w:t>2.</w:t>
      </w:r>
      <w:r>
        <w:rPr>
          <w:lang w:val="fr-FR"/>
        </w:rPr>
        <w:tab/>
        <w:t>En matière de corrélation, l’Union européenne a défini la méthode permettant d’obtenir la résistance à l’avancement calculée selon la procédure NEDC à partir de la résistance à l’avancement calculée selon la procédure WLTP.</w:t>
      </w:r>
    </w:p>
    <w:p w:rsidR="008E49A0" w:rsidRPr="005206E7" w:rsidRDefault="008E49A0" w:rsidP="008E49A0">
      <w:pPr>
        <w:pStyle w:val="SingleTxtG"/>
        <w:rPr>
          <w:rFonts w:eastAsia="MS Mincho"/>
          <w:szCs w:val="21"/>
          <w:u w:val="single"/>
          <w:lang w:val="fr-FR"/>
        </w:rPr>
      </w:pPr>
      <w:r>
        <w:rPr>
          <w:lang w:val="fr-FR"/>
        </w:rPr>
        <w:t>3.</w:t>
      </w:r>
      <w:r>
        <w:rPr>
          <w:lang w:val="fr-FR"/>
        </w:rPr>
        <w:tab/>
        <w:t>Le présent amendement évite aux constructeurs la contrainte de devoir procéder à une nouvelle détermination de la résistance à l’avancement lorsque celle-ci a été calculée selon la procédure WLTP.</w:t>
      </w:r>
    </w:p>
    <w:p w:rsidR="008E49A0" w:rsidRPr="005206E7" w:rsidRDefault="008E49A0" w:rsidP="008E49A0">
      <w:pPr>
        <w:pStyle w:val="SingleTxtG"/>
        <w:rPr>
          <w:rFonts w:cs="Courier New"/>
          <w:noProof/>
          <w:sz w:val="16"/>
          <w:lang w:val="fr-FR"/>
        </w:rPr>
      </w:pPr>
      <w:r w:rsidRPr="00574DC3">
        <w:rPr>
          <w:lang w:val="fr-FR"/>
        </w:rPr>
        <w:t>4.</w:t>
      </w:r>
      <w:r>
        <w:rPr>
          <w:lang w:val="fr-FR"/>
        </w:rPr>
        <w:tab/>
      </w:r>
      <w:r w:rsidRPr="00574DC3">
        <w:rPr>
          <w:lang w:val="fr-FR"/>
        </w:rPr>
        <w:t>Ce principe a été adopté dans les séries 06 et 07 d</w:t>
      </w:r>
      <w:r>
        <w:rPr>
          <w:lang w:val="fr-FR"/>
        </w:rPr>
        <w:t>’</w:t>
      </w:r>
      <w:r w:rsidRPr="00574DC3">
        <w:rPr>
          <w:lang w:val="fr-FR"/>
        </w:rPr>
        <w:t>amendements et il est proposé de l</w:t>
      </w:r>
      <w:r>
        <w:rPr>
          <w:lang w:val="fr-FR"/>
        </w:rPr>
        <w:t>’</w:t>
      </w:r>
      <w:r w:rsidRPr="00574DC3">
        <w:rPr>
          <w:lang w:val="fr-FR"/>
        </w:rPr>
        <w:t>intégrer également dans la série 05, qui est aussi couramment utilisée sur certains marchés mondiaux.</w:t>
      </w:r>
    </w:p>
    <w:p w:rsidR="00F9573C" w:rsidRPr="008E49A0" w:rsidRDefault="008E49A0" w:rsidP="008E49A0">
      <w:pPr>
        <w:pStyle w:val="SingleTxtG"/>
        <w:spacing w:before="240" w:after="0"/>
        <w:jc w:val="center"/>
        <w:rPr>
          <w:u w:val="single"/>
        </w:rPr>
      </w:pPr>
      <w:r>
        <w:rPr>
          <w:u w:val="single"/>
        </w:rPr>
        <w:tab/>
      </w:r>
      <w:r>
        <w:rPr>
          <w:u w:val="single"/>
        </w:rPr>
        <w:tab/>
      </w:r>
      <w:r>
        <w:rPr>
          <w:u w:val="single"/>
        </w:rPr>
        <w:tab/>
      </w:r>
    </w:p>
    <w:sectPr w:rsidR="00F9573C" w:rsidRPr="008E49A0" w:rsidSect="00BD619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5CB" w:rsidRDefault="007555CB" w:rsidP="00F95C08">
      <w:pPr>
        <w:spacing w:line="240" w:lineRule="auto"/>
      </w:pPr>
    </w:p>
  </w:endnote>
  <w:endnote w:type="continuationSeparator" w:id="0">
    <w:p w:rsidR="007555CB" w:rsidRPr="00AC3823" w:rsidRDefault="007555CB" w:rsidP="00AC3823">
      <w:pPr>
        <w:pStyle w:val="Pieddepage"/>
      </w:pPr>
    </w:p>
  </w:endnote>
  <w:endnote w:type="continuationNotice" w:id="1">
    <w:p w:rsidR="007555CB" w:rsidRDefault="007555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92" w:rsidRPr="00BD6192" w:rsidRDefault="00BD6192" w:rsidP="00BD6192">
    <w:pPr>
      <w:pStyle w:val="Pieddepage"/>
      <w:tabs>
        <w:tab w:val="right" w:pos="9638"/>
      </w:tabs>
    </w:pPr>
    <w:r w:rsidRPr="00BD6192">
      <w:rPr>
        <w:b/>
        <w:sz w:val="18"/>
      </w:rPr>
      <w:fldChar w:fldCharType="begin"/>
    </w:r>
    <w:r w:rsidRPr="00BD6192">
      <w:rPr>
        <w:b/>
        <w:sz w:val="18"/>
      </w:rPr>
      <w:instrText xml:space="preserve"> PAGE  \* MERGEFORMAT </w:instrText>
    </w:r>
    <w:r w:rsidRPr="00BD6192">
      <w:rPr>
        <w:b/>
        <w:sz w:val="18"/>
      </w:rPr>
      <w:fldChar w:fldCharType="separate"/>
    </w:r>
    <w:r w:rsidRPr="00BD6192">
      <w:rPr>
        <w:b/>
        <w:noProof/>
        <w:sz w:val="18"/>
      </w:rPr>
      <w:t>2</w:t>
    </w:r>
    <w:r w:rsidRPr="00BD6192">
      <w:rPr>
        <w:b/>
        <w:sz w:val="18"/>
      </w:rPr>
      <w:fldChar w:fldCharType="end"/>
    </w:r>
    <w:r>
      <w:rPr>
        <w:b/>
        <w:sz w:val="18"/>
      </w:rPr>
      <w:tab/>
    </w:r>
    <w:r>
      <w:t>GE.20-14361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92" w:rsidRPr="00BD6192" w:rsidRDefault="00BD6192" w:rsidP="00BD6192">
    <w:pPr>
      <w:pStyle w:val="Pieddepage"/>
      <w:tabs>
        <w:tab w:val="right" w:pos="9638"/>
      </w:tabs>
      <w:rPr>
        <w:b/>
        <w:sz w:val="18"/>
      </w:rPr>
    </w:pPr>
    <w:r>
      <w:t>GE.20-14361</w:t>
    </w:r>
    <w:r>
      <w:tab/>
    </w:r>
    <w:r w:rsidRPr="00BD6192">
      <w:rPr>
        <w:b/>
        <w:sz w:val="18"/>
      </w:rPr>
      <w:fldChar w:fldCharType="begin"/>
    </w:r>
    <w:r w:rsidRPr="00BD6192">
      <w:rPr>
        <w:b/>
        <w:sz w:val="18"/>
      </w:rPr>
      <w:instrText xml:space="preserve"> PAGE  \* MERGEFORMAT </w:instrText>
    </w:r>
    <w:r w:rsidRPr="00BD6192">
      <w:rPr>
        <w:b/>
        <w:sz w:val="18"/>
      </w:rPr>
      <w:fldChar w:fldCharType="separate"/>
    </w:r>
    <w:r w:rsidRPr="00BD6192">
      <w:rPr>
        <w:b/>
        <w:noProof/>
        <w:sz w:val="18"/>
      </w:rPr>
      <w:t>3</w:t>
    </w:r>
    <w:r w:rsidRPr="00BD61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D6192" w:rsidRDefault="00BD6192" w:rsidP="00BD6192">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20-14361  (F)    091120    091120</w:t>
    </w:r>
    <w:r>
      <w:rPr>
        <w:sz w:val="20"/>
      </w:rPr>
      <w:br/>
    </w:r>
    <w:r w:rsidRPr="00BD6192">
      <w:rPr>
        <w:rFonts w:ascii="C39T30Lfz" w:hAnsi="C39T30Lfz"/>
        <w:sz w:val="56"/>
      </w:rPr>
      <w:t>*2014361*</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5CB" w:rsidRPr="00AC3823" w:rsidRDefault="007555CB" w:rsidP="00AC3823">
      <w:pPr>
        <w:pStyle w:val="Pieddepage"/>
        <w:tabs>
          <w:tab w:val="right" w:pos="2155"/>
        </w:tabs>
        <w:spacing w:after="80" w:line="240" w:lineRule="atLeast"/>
        <w:ind w:left="680"/>
        <w:rPr>
          <w:u w:val="single"/>
        </w:rPr>
      </w:pPr>
      <w:r>
        <w:rPr>
          <w:u w:val="single"/>
        </w:rPr>
        <w:tab/>
      </w:r>
    </w:p>
  </w:footnote>
  <w:footnote w:type="continuationSeparator" w:id="0">
    <w:p w:rsidR="007555CB" w:rsidRPr="00AC3823" w:rsidRDefault="007555CB" w:rsidP="00AC3823">
      <w:pPr>
        <w:pStyle w:val="Pieddepage"/>
        <w:tabs>
          <w:tab w:val="right" w:pos="2155"/>
        </w:tabs>
        <w:spacing w:after="80" w:line="240" w:lineRule="atLeast"/>
        <w:ind w:left="680"/>
        <w:rPr>
          <w:u w:val="single"/>
        </w:rPr>
      </w:pPr>
      <w:r>
        <w:rPr>
          <w:u w:val="single"/>
        </w:rPr>
        <w:tab/>
      </w:r>
    </w:p>
  </w:footnote>
  <w:footnote w:type="continuationNotice" w:id="1">
    <w:p w:rsidR="007555CB" w:rsidRPr="00AC3823" w:rsidRDefault="007555CB">
      <w:pPr>
        <w:spacing w:line="240" w:lineRule="auto"/>
        <w:rPr>
          <w:sz w:val="2"/>
          <w:szCs w:val="2"/>
        </w:rPr>
      </w:pPr>
    </w:p>
  </w:footnote>
  <w:footnote w:id="2">
    <w:p w:rsidR="008E49A0" w:rsidRPr="005206E7" w:rsidRDefault="008E49A0" w:rsidP="008E49A0">
      <w:pPr>
        <w:pStyle w:val="Notedebasdepage"/>
        <w:rPr>
          <w:lang w:val="fr-FR"/>
        </w:rPr>
      </w:pPr>
      <w:r w:rsidRPr="00F46F4C">
        <w:rPr>
          <w:sz w:val="20"/>
          <w:lang w:val="fr-FR"/>
        </w:rPr>
        <w:tab/>
        <w:t>*</w:t>
      </w:r>
      <w:r w:rsidRPr="00F46F4C">
        <w:rPr>
          <w:sz w:val="20"/>
          <w:lang w:val="fr-FR"/>
        </w:rPr>
        <w:tab/>
      </w:r>
      <w:r>
        <w:rPr>
          <w:lang w:val="fr-FR"/>
        </w:rPr>
        <w:t>Conformément au programme de travail du Comité des transports intérieurs pour 2021 tel qu’il figure dans le projet de budget-programme pour 2021 (A/75/6 (Sect. 20), par.</w:t>
      </w:r>
      <w:r w:rsidR="00F46F4C">
        <w:rPr>
          <w:lang w:val="fr-FR"/>
        </w:rPr>
        <w:t> </w:t>
      </w:r>
      <w:r>
        <w:rPr>
          <w:lang w:val="fr-FR"/>
        </w:rPr>
        <w:t>20.51), le Forum mondial a pour mission d’élaborer, d’harmoniser et de mettre à jour les Règlements ONU en vue d’améliorer les caractéristiques fonctionnelles des véhicules. Le présent document est soumis en vertu de ce mandat.</w:t>
      </w:r>
    </w:p>
  </w:footnote>
  <w:footnote w:id="3">
    <w:p w:rsidR="008E49A0" w:rsidRPr="005206E7" w:rsidRDefault="008E49A0" w:rsidP="008E49A0">
      <w:pPr>
        <w:pStyle w:val="Notedebasdepage"/>
        <w:jc w:val="both"/>
        <w:rPr>
          <w:b/>
          <w:bCs/>
          <w:lang w:val="fr-FR"/>
        </w:rPr>
      </w:pPr>
      <w:r w:rsidRPr="008E49A0">
        <w:rPr>
          <w:rFonts w:eastAsia="MS Mincho"/>
          <w:b/>
          <w:bCs/>
          <w:lang w:val="fr-FR"/>
        </w:rPr>
        <w:tab/>
      </w:r>
      <w:r w:rsidRPr="008E49A0">
        <w:rPr>
          <w:rStyle w:val="Appelnotedebasdep"/>
          <w:b/>
          <w:bCs/>
        </w:rPr>
        <w:footnoteRef/>
      </w:r>
      <w:r w:rsidRPr="008E49A0">
        <w:rPr>
          <w:b/>
          <w:bCs/>
          <w:lang w:val="fr-FR"/>
        </w:rPr>
        <w:tab/>
      </w:r>
      <w:r>
        <w:rPr>
          <w:b/>
          <w:bCs/>
          <w:lang w:val="fr-FR"/>
        </w:rPr>
        <w:t>Selon la définition figurant dans le RTM ONU n</w:t>
      </w:r>
      <w:r>
        <w:rPr>
          <w:b/>
          <w:bCs/>
          <w:vertAlign w:val="superscript"/>
          <w:lang w:val="fr-FR"/>
        </w:rPr>
        <w:t>o</w:t>
      </w:r>
      <w:r>
        <w:rPr>
          <w:b/>
          <w:bCs/>
          <w:lang w:val="fr-FR"/>
        </w:rPr>
        <w:t> </w:t>
      </w:r>
      <w:r>
        <w:rPr>
          <w:b/>
          <w:bCs/>
          <w:lang w:val="fr-FR"/>
        </w:rPr>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92" w:rsidRPr="00BD6192" w:rsidRDefault="00BD6192">
    <w:pPr>
      <w:pStyle w:val="En-tte"/>
    </w:pPr>
    <w:fldSimple w:instr=" TITLE  \* MERGEFORMAT ">
      <w:r>
        <w:t>ECE/TRANS/WP.29/GRPE/2021/2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92" w:rsidRPr="00BD6192" w:rsidRDefault="00BD6192" w:rsidP="00BD6192">
    <w:pPr>
      <w:pStyle w:val="En-tte"/>
      <w:jc w:val="right"/>
    </w:pPr>
    <w:fldSimple w:instr=" TITLE  \* MERGEFORMAT ">
      <w:r>
        <w:t>ECE/TRANS/WP.29/GRPE/2021/2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55CB"/>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555CB"/>
    <w:rsid w:val="007A62E6"/>
    <w:rsid w:val="007F20FA"/>
    <w:rsid w:val="0080684C"/>
    <w:rsid w:val="00871C75"/>
    <w:rsid w:val="008776DC"/>
    <w:rsid w:val="008E49A0"/>
    <w:rsid w:val="009446C0"/>
    <w:rsid w:val="009705C8"/>
    <w:rsid w:val="009C1CF4"/>
    <w:rsid w:val="009F6B74"/>
    <w:rsid w:val="00A3029F"/>
    <w:rsid w:val="00A30353"/>
    <w:rsid w:val="00AC3823"/>
    <w:rsid w:val="00AE323C"/>
    <w:rsid w:val="00AF0CB5"/>
    <w:rsid w:val="00B00181"/>
    <w:rsid w:val="00B00B0D"/>
    <w:rsid w:val="00B45F2E"/>
    <w:rsid w:val="00B765F7"/>
    <w:rsid w:val="00BA0CA9"/>
    <w:rsid w:val="00BD6192"/>
    <w:rsid w:val="00C02897"/>
    <w:rsid w:val="00C97039"/>
    <w:rsid w:val="00D3439C"/>
    <w:rsid w:val="00DB1831"/>
    <w:rsid w:val="00DD3BFD"/>
    <w:rsid w:val="00DF6678"/>
    <w:rsid w:val="00E0299A"/>
    <w:rsid w:val="00E85C74"/>
    <w:rsid w:val="00EA6547"/>
    <w:rsid w:val="00EF2E22"/>
    <w:rsid w:val="00F3471E"/>
    <w:rsid w:val="00F35BAF"/>
    <w:rsid w:val="00F46F4C"/>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001ED6"/>
  <w15:docId w15:val="{B108AFF4-13A8-4F68-A139-3551F7D0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8E49A0"/>
    <w:rPr>
      <w:rFonts w:ascii="Times New Roman" w:eastAsiaTheme="minorHAnsi" w:hAnsi="Times New Roman" w:cs="Times New Roman"/>
      <w:sz w:val="20"/>
      <w:szCs w:val="20"/>
      <w:lang w:eastAsia="en-US"/>
    </w:rPr>
  </w:style>
  <w:style w:type="character" w:customStyle="1" w:styleId="HChGChar">
    <w:name w:val="_ H _Ch_G Char"/>
    <w:link w:val="HChG"/>
    <w:rsid w:val="008E49A0"/>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8E49A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1GChar">
    <w:name w:val="_ H_1_G Char"/>
    <w:link w:val="H1G"/>
    <w:rsid w:val="008E49A0"/>
    <w:rPr>
      <w:rFonts w:ascii="Times New Roman" w:eastAsiaTheme="minorHAnsi" w:hAnsi="Times New Roman" w:cs="Times New Roman"/>
      <w:b/>
      <w:sz w:val="24"/>
      <w:szCs w:val="20"/>
      <w:lang w:eastAsia="en-US"/>
    </w:rPr>
  </w:style>
  <w:style w:type="paragraph" w:customStyle="1" w:styleId="Default">
    <w:name w:val="Default"/>
    <w:rsid w:val="008E49A0"/>
    <w:pPr>
      <w:autoSpaceDE w:val="0"/>
      <w:autoSpaceDN w:val="0"/>
      <w:adjustRightInd w:val="0"/>
      <w:spacing w:after="0" w:line="240" w:lineRule="auto"/>
    </w:pPr>
    <w:rPr>
      <w:rFonts w:ascii="Times New Roman" w:hAnsi="Times New Roman" w:cs="Times New Roman"/>
      <w:color w:val="000000"/>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A793C-169F-41FC-BF9B-389D79B19A98}"/>
</file>

<file path=customXml/itemProps2.xml><?xml version="1.0" encoding="utf-8"?>
<ds:datastoreItem xmlns:ds="http://schemas.openxmlformats.org/officeDocument/2006/customXml" ds:itemID="{10083EF8-230A-4D6C-90B9-9E18FD9D92F5}"/>
</file>

<file path=customXml/itemProps3.xml><?xml version="1.0" encoding="utf-8"?>
<ds:datastoreItem xmlns:ds="http://schemas.openxmlformats.org/officeDocument/2006/customXml" ds:itemID="{FB0DEA0B-AFDA-4475-9C1F-F96432490545}"/>
</file>

<file path=docProps/app.xml><?xml version="1.0" encoding="utf-8"?>
<Properties xmlns="http://schemas.openxmlformats.org/officeDocument/2006/extended-properties" xmlns:vt="http://schemas.openxmlformats.org/officeDocument/2006/docPropsVTypes">
  <Template>ECE_TRANS.dotm</Template>
  <TotalTime>0</TotalTime>
  <Pages>4</Pages>
  <Words>953</Words>
  <Characters>6674</Characters>
  <Application>Microsoft Office Word</Application>
  <DocSecurity>0</DocSecurity>
  <Lines>556</Lines>
  <Paragraphs>305</Paragraphs>
  <ScaleCrop>false</ScaleCrop>
  <HeadingPairs>
    <vt:vector size="2" baseType="variant">
      <vt:variant>
        <vt:lpstr>Titre</vt:lpstr>
      </vt:variant>
      <vt:variant>
        <vt:i4>1</vt:i4>
      </vt:variant>
    </vt:vector>
  </HeadingPairs>
  <TitlesOfParts>
    <vt:vector size="1" baseType="lpstr">
      <vt:lpstr>ECE/TRANS/WP.29/GRPE/2021/2</vt:lpstr>
    </vt:vector>
  </TitlesOfParts>
  <Company>DCM</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ECE/TRANS/WP.29/GRPE/2021/2</dc:title>
  <dc:subject/>
  <dc:creator>Nicolas MORIN</dc:creator>
  <cp:keywords/>
  <cp:lastModifiedBy>Nicolas MORIN</cp:lastModifiedBy>
  <cp:revision>2</cp:revision>
  <cp:lastPrinted>2014-05-14T10:59:00Z</cp:lastPrinted>
  <dcterms:created xsi:type="dcterms:W3CDTF">2020-11-09T15:32:00Z</dcterms:created>
  <dcterms:modified xsi:type="dcterms:W3CDTF">2020-11-09T15:32:00Z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