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rsidTr="00C97039">
        <w:trPr>
          <w:trHeight w:hRule="exact" w:val="851"/>
        </w:trPr>
        <w:tc>
          <w:tcPr>
            <w:tcW w:w="1276" w:type="dxa"/>
            <w:tcBorders>
              <w:bottom w:val="single" w:sz="4" w:space="0" w:color="auto"/>
            </w:tcBorders>
          </w:tcPr>
          <w:p w:rsidR="00F35BAF" w:rsidRPr="00DB58B5" w:rsidRDefault="00F35BAF" w:rsidP="00736947"/>
        </w:tc>
        <w:tc>
          <w:tcPr>
            <w:tcW w:w="2268" w:type="dxa"/>
            <w:tcBorders>
              <w:bottom w:val="single" w:sz="4" w:space="0" w:color="auto"/>
            </w:tcBorders>
            <w:vAlign w:val="bottom"/>
          </w:tcPr>
          <w:p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rsidR="00F35BAF" w:rsidRPr="00DB58B5" w:rsidRDefault="00736947" w:rsidP="00736947">
            <w:pPr>
              <w:jc w:val="right"/>
            </w:pPr>
            <w:r w:rsidRPr="00736947">
              <w:rPr>
                <w:sz w:val="40"/>
              </w:rPr>
              <w:t>ECE</w:t>
            </w:r>
            <w:r>
              <w:t>/TRANS/WP.29/GRBP/2021/4</w:t>
            </w:r>
          </w:p>
        </w:tc>
      </w:tr>
      <w:tr w:rsidR="00F35BAF" w:rsidRPr="00DB58B5" w:rsidTr="00C97039">
        <w:trPr>
          <w:trHeight w:hRule="exact" w:val="2835"/>
        </w:trPr>
        <w:tc>
          <w:tcPr>
            <w:tcW w:w="1276" w:type="dxa"/>
            <w:tcBorders>
              <w:top w:val="single" w:sz="4" w:space="0" w:color="auto"/>
              <w:bottom w:val="single" w:sz="12" w:space="0" w:color="auto"/>
            </w:tcBorders>
          </w:tcPr>
          <w:p w:rsidR="00F35BAF" w:rsidRPr="00DB58B5" w:rsidRDefault="00F35BAF" w:rsidP="00C97039">
            <w:pPr>
              <w:spacing w:before="120"/>
              <w:jc w:val="center"/>
            </w:pPr>
            <w:r>
              <w:rPr>
                <w:noProof/>
                <w:lang w:eastAsia="fr-CH"/>
              </w:rPr>
              <w:drawing>
                <wp:inline distT="0" distB="0" distL="0" distR="0" wp14:anchorId="5DD7C114" wp14:editId="39170DA2">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rsidR="00F35BAF" w:rsidRDefault="00736947" w:rsidP="00C97039">
            <w:pPr>
              <w:spacing w:before="240"/>
            </w:pPr>
            <w:r>
              <w:t>Distr. générale</w:t>
            </w:r>
          </w:p>
          <w:p w:rsidR="00736947" w:rsidRDefault="00736947" w:rsidP="00736947">
            <w:pPr>
              <w:spacing w:line="240" w:lineRule="exact"/>
            </w:pPr>
            <w:r>
              <w:t>9 novembre 2020</w:t>
            </w:r>
          </w:p>
          <w:p w:rsidR="00736947" w:rsidRDefault="00736947" w:rsidP="00736947">
            <w:pPr>
              <w:spacing w:line="240" w:lineRule="exact"/>
            </w:pPr>
            <w:r>
              <w:t>Français</w:t>
            </w:r>
          </w:p>
          <w:p w:rsidR="00736947" w:rsidRPr="00DB58B5" w:rsidRDefault="00736947" w:rsidP="00736947">
            <w:pPr>
              <w:spacing w:line="240" w:lineRule="exact"/>
            </w:pPr>
            <w:r>
              <w:t>Original</w:t>
            </w:r>
            <w:r w:rsidR="003A10CC">
              <w:t> :</w:t>
            </w:r>
            <w:r>
              <w:t xml:space="preserve"> anglais</w:t>
            </w:r>
          </w:p>
        </w:tc>
      </w:tr>
    </w:tbl>
    <w:p w:rsidR="007F20FA" w:rsidRPr="000312C0" w:rsidRDefault="007F20FA" w:rsidP="007F20FA">
      <w:pPr>
        <w:spacing w:before="120"/>
        <w:rPr>
          <w:b/>
          <w:sz w:val="28"/>
          <w:szCs w:val="28"/>
        </w:rPr>
      </w:pPr>
      <w:r w:rsidRPr="000312C0">
        <w:rPr>
          <w:b/>
          <w:sz w:val="28"/>
          <w:szCs w:val="28"/>
        </w:rPr>
        <w:t>Commission économique pour l’Europe</w:t>
      </w:r>
    </w:p>
    <w:p w:rsidR="007F20FA" w:rsidRDefault="007F20FA" w:rsidP="007F20FA">
      <w:pPr>
        <w:spacing w:before="120"/>
        <w:rPr>
          <w:sz w:val="28"/>
          <w:szCs w:val="28"/>
        </w:rPr>
      </w:pPr>
      <w:r w:rsidRPr="00685843">
        <w:rPr>
          <w:sz w:val="28"/>
          <w:szCs w:val="28"/>
        </w:rPr>
        <w:t>Comité des transports intérieurs</w:t>
      </w:r>
    </w:p>
    <w:p w:rsidR="003A10CC" w:rsidRDefault="003A10CC" w:rsidP="003A10CC">
      <w:pPr>
        <w:spacing w:before="120"/>
        <w:ind w:right="4394"/>
        <w:rPr>
          <w:b/>
          <w:bCs/>
          <w:color w:val="000000" w:themeColor="text1"/>
          <w:sz w:val="24"/>
          <w:szCs w:val="24"/>
          <w:lang w:val="fr-FR"/>
        </w:rPr>
      </w:pPr>
      <w:r w:rsidRPr="00B076B3">
        <w:rPr>
          <w:b/>
          <w:bCs/>
          <w:color w:val="000000" w:themeColor="text1"/>
          <w:sz w:val="24"/>
          <w:szCs w:val="24"/>
          <w:lang w:val="fr-FR"/>
        </w:rPr>
        <w:t>Forum mondial de l’harmonisation des Règlements concernant les véhicules</w:t>
      </w:r>
    </w:p>
    <w:p w:rsidR="003A10CC" w:rsidRPr="00B076B3" w:rsidRDefault="003A10CC" w:rsidP="003A10CC">
      <w:pPr>
        <w:spacing w:before="120" w:after="120"/>
        <w:ind w:right="4394"/>
        <w:rPr>
          <w:b/>
          <w:bCs/>
          <w:color w:val="000000" w:themeColor="text1"/>
          <w:lang w:val="fr-FR"/>
        </w:rPr>
      </w:pPr>
      <w:r w:rsidRPr="00B076B3">
        <w:rPr>
          <w:b/>
          <w:bCs/>
          <w:color w:val="000000" w:themeColor="text1"/>
          <w:lang w:val="fr-FR"/>
        </w:rPr>
        <w:t>Groupe de travail du bruit et des pneumatiques</w:t>
      </w:r>
    </w:p>
    <w:p w:rsidR="003A10CC" w:rsidRDefault="003A10CC" w:rsidP="003A10CC">
      <w:pPr>
        <w:ind w:right="4394"/>
        <w:rPr>
          <w:b/>
          <w:color w:val="000000" w:themeColor="text1"/>
          <w:lang w:val="fr-FR"/>
        </w:rPr>
      </w:pPr>
      <w:r w:rsidRPr="00B076B3">
        <w:rPr>
          <w:b/>
          <w:color w:val="000000" w:themeColor="text1"/>
          <w:lang w:val="fr-FR"/>
        </w:rPr>
        <w:t>Soixante-treizième session</w:t>
      </w:r>
    </w:p>
    <w:p w:rsidR="003A10CC" w:rsidRPr="00B076B3" w:rsidRDefault="003A10CC" w:rsidP="003A10CC">
      <w:pPr>
        <w:ind w:right="4394"/>
        <w:rPr>
          <w:bCs/>
          <w:color w:val="000000" w:themeColor="text1"/>
          <w:lang w:val="fr-FR"/>
        </w:rPr>
      </w:pPr>
      <w:r w:rsidRPr="00B076B3">
        <w:rPr>
          <w:color w:val="000000" w:themeColor="text1"/>
          <w:lang w:val="fr-FR"/>
        </w:rPr>
        <w:t>Genève</w:t>
      </w:r>
      <w:r w:rsidRPr="00B076B3">
        <w:rPr>
          <w:bCs/>
          <w:color w:val="000000" w:themeColor="text1"/>
          <w:lang w:val="fr-FR"/>
        </w:rPr>
        <w:t>, 26-29 janvier 2021</w:t>
      </w:r>
    </w:p>
    <w:p w:rsidR="003A10CC" w:rsidRPr="00B076B3" w:rsidRDefault="003A10CC" w:rsidP="003A10CC">
      <w:pPr>
        <w:ind w:right="4394"/>
        <w:rPr>
          <w:bCs/>
          <w:color w:val="000000" w:themeColor="text1"/>
          <w:lang w:val="fr-FR"/>
        </w:rPr>
      </w:pPr>
      <w:r w:rsidRPr="00B076B3">
        <w:rPr>
          <w:bCs/>
          <w:color w:val="000000" w:themeColor="text1"/>
          <w:lang w:val="fr-FR"/>
        </w:rPr>
        <w:t>Point 5 a) de l’ordre du jour provisoire</w:t>
      </w:r>
    </w:p>
    <w:p w:rsidR="003A10CC" w:rsidRPr="00B076B3" w:rsidRDefault="003A10CC" w:rsidP="003A10CC">
      <w:pPr>
        <w:tabs>
          <w:tab w:val="left" w:pos="7615"/>
        </w:tabs>
        <w:ind w:right="4394"/>
        <w:rPr>
          <w:b/>
          <w:bCs/>
          <w:color w:val="000000" w:themeColor="text1"/>
          <w:lang w:val="fr-FR"/>
        </w:rPr>
      </w:pPr>
      <w:r w:rsidRPr="00B076B3">
        <w:rPr>
          <w:b/>
          <w:bCs/>
          <w:color w:val="000000" w:themeColor="text1"/>
          <w:lang w:val="fr-FR"/>
        </w:rPr>
        <w:t>Pneumatiques</w:t>
      </w:r>
      <w:r>
        <w:rPr>
          <w:b/>
          <w:bCs/>
          <w:color w:val="000000" w:themeColor="text1"/>
          <w:lang w:val="fr-FR"/>
        </w:rPr>
        <w:t> :</w:t>
      </w:r>
      <w:r w:rsidRPr="00B076B3">
        <w:rPr>
          <w:b/>
          <w:bCs/>
          <w:color w:val="000000" w:themeColor="text1"/>
          <w:lang w:val="fr-FR"/>
        </w:rPr>
        <w:t xml:space="preserve"> </w:t>
      </w:r>
      <w:bookmarkStart w:id="0" w:name="_Hlk56692093"/>
      <w:r w:rsidRPr="00B076B3">
        <w:rPr>
          <w:b/>
          <w:bCs/>
          <w:color w:val="000000" w:themeColor="text1"/>
          <w:lang w:val="fr-FR"/>
        </w:rPr>
        <w:t>Règlement ONU n</w:t>
      </w:r>
      <w:r w:rsidRPr="00B076B3">
        <w:rPr>
          <w:b/>
          <w:bCs/>
          <w:color w:val="000000" w:themeColor="text1"/>
          <w:vertAlign w:val="superscript"/>
          <w:lang w:val="fr-FR"/>
        </w:rPr>
        <w:t>o</w:t>
      </w:r>
      <w:r>
        <w:rPr>
          <w:b/>
          <w:bCs/>
          <w:color w:val="000000" w:themeColor="text1"/>
          <w:lang w:val="fr-FR"/>
        </w:rPr>
        <w:t> </w:t>
      </w:r>
      <w:r w:rsidRPr="00B076B3">
        <w:rPr>
          <w:b/>
          <w:bCs/>
          <w:color w:val="000000" w:themeColor="text1"/>
          <w:lang w:val="fr-FR"/>
        </w:rPr>
        <w:t xml:space="preserve">30 </w:t>
      </w:r>
      <w:bookmarkEnd w:id="0"/>
      <w:r w:rsidRPr="00B076B3">
        <w:rPr>
          <w:b/>
          <w:bCs/>
          <w:color w:val="000000" w:themeColor="text1"/>
          <w:lang w:val="fr-FR"/>
        </w:rPr>
        <w:t>(Pneumatiques pour voitures particulières et leurs remorques)</w:t>
      </w:r>
    </w:p>
    <w:p w:rsidR="003A10CC" w:rsidRPr="003A10CC" w:rsidRDefault="003A10CC" w:rsidP="003A10CC">
      <w:pPr>
        <w:pStyle w:val="HChG"/>
      </w:pPr>
      <w:r w:rsidRPr="00B076B3">
        <w:rPr>
          <w:lang w:val="fr-FR"/>
        </w:rPr>
        <w:tab/>
      </w:r>
      <w:r w:rsidRPr="00B076B3">
        <w:rPr>
          <w:lang w:val="fr-FR"/>
        </w:rPr>
        <w:tab/>
        <w:t>Proposition de nouveau complément à la série 02 d’amendements au Règlement ONU n</w:t>
      </w:r>
      <w:r w:rsidRPr="00B076B3">
        <w:rPr>
          <w:vertAlign w:val="superscript"/>
          <w:lang w:val="fr-FR"/>
        </w:rPr>
        <w:t>o</w:t>
      </w:r>
      <w:r>
        <w:rPr>
          <w:lang w:val="fr-FR"/>
        </w:rPr>
        <w:t> </w:t>
      </w:r>
      <w:r w:rsidRPr="00B076B3">
        <w:rPr>
          <w:lang w:val="fr-FR"/>
        </w:rPr>
        <w:t>30</w:t>
      </w:r>
    </w:p>
    <w:p w:rsidR="003A10CC" w:rsidRDefault="003A10CC" w:rsidP="003A10CC">
      <w:pPr>
        <w:pStyle w:val="H1G"/>
        <w:rPr>
          <w:lang w:val="fr-FR"/>
        </w:rPr>
      </w:pPr>
      <w:r w:rsidRPr="00B076B3">
        <w:rPr>
          <w:lang w:val="fr-FR"/>
        </w:rPr>
        <w:tab/>
      </w:r>
      <w:r w:rsidRPr="00B076B3">
        <w:rPr>
          <w:lang w:val="fr-FR"/>
        </w:rPr>
        <w:tab/>
        <w:t>Communication des experts de l’Organisation technique européenne du pneumatique et de la jante</w:t>
      </w:r>
      <w:r w:rsidRPr="003A10CC">
        <w:rPr>
          <w:b w:val="0"/>
          <w:bCs/>
          <w:sz w:val="20"/>
          <w:lang w:val="fr-FR"/>
        </w:rPr>
        <w:footnoteReference w:customMarkFollows="1" w:id="2"/>
        <w:t>*</w:t>
      </w:r>
    </w:p>
    <w:p w:rsidR="003A10CC" w:rsidRPr="003A10CC" w:rsidRDefault="003A10CC" w:rsidP="003A10CC">
      <w:pPr>
        <w:pStyle w:val="SingleTxtG"/>
        <w:ind w:firstLine="567"/>
        <w:rPr>
          <w:spacing w:val="-2"/>
          <w:lang w:val="fr-FR"/>
        </w:rPr>
      </w:pPr>
      <w:r w:rsidRPr="003A10CC">
        <w:rPr>
          <w:spacing w:val="-2"/>
          <w:lang w:val="fr-FR"/>
        </w:rPr>
        <w:t>Le texte reproduit ci-dessous, établi par les experts de l’Organisation technique européenne du pneumatique et de la jante (ETRTO), tient déjà compte du complément 22 à la série 02 d’amendements au Règlement ONU n</w:t>
      </w:r>
      <w:r w:rsidRPr="003A10CC">
        <w:rPr>
          <w:spacing w:val="-2"/>
          <w:vertAlign w:val="superscript"/>
          <w:lang w:val="fr-FR"/>
        </w:rPr>
        <w:t>o</w:t>
      </w:r>
      <w:r>
        <w:rPr>
          <w:spacing w:val="-2"/>
          <w:lang w:val="fr-FR"/>
        </w:rPr>
        <w:t> </w:t>
      </w:r>
      <w:r w:rsidRPr="003A10CC">
        <w:rPr>
          <w:spacing w:val="-2"/>
          <w:lang w:val="fr-FR"/>
        </w:rPr>
        <w:t>30 qui a été adoptée en juin 2020 mais n’est pas encore entrée en vigueur. Les modifications qu’il est proposé d’apporter au texte actuel du Règlement ONU figurent en caractères gras pour les ajouts et biffés pour les suppressions.</w:t>
      </w:r>
    </w:p>
    <w:p w:rsidR="003A10CC" w:rsidRPr="00B076B3" w:rsidRDefault="003A10CC" w:rsidP="003A10CC">
      <w:pPr>
        <w:pStyle w:val="HChG"/>
        <w:rPr>
          <w:lang w:val="fr-FR"/>
        </w:rPr>
      </w:pPr>
      <w:r>
        <w:br w:type="page"/>
      </w:r>
      <w:r w:rsidRPr="00B076B3">
        <w:rPr>
          <w:lang w:val="fr-FR"/>
        </w:rPr>
        <w:lastRenderedPageBreak/>
        <w:tab/>
        <w:t>I.</w:t>
      </w:r>
      <w:r w:rsidRPr="00B076B3">
        <w:rPr>
          <w:lang w:val="fr-FR"/>
        </w:rPr>
        <w:tab/>
        <w:t>Proposition</w:t>
      </w:r>
    </w:p>
    <w:p w:rsidR="003A10CC" w:rsidRPr="00B076B3" w:rsidRDefault="003A10CC" w:rsidP="003A10CC">
      <w:pPr>
        <w:pStyle w:val="SingleTxtG"/>
        <w:rPr>
          <w:lang w:val="fr-FR"/>
        </w:rPr>
      </w:pPr>
      <w:r w:rsidRPr="003A10CC">
        <w:rPr>
          <w:i/>
          <w:iCs/>
          <w:lang w:val="fr-FR"/>
        </w:rPr>
        <w:t>Paragraphe 3.1.14</w:t>
      </w:r>
      <w:r w:rsidRPr="00B076B3">
        <w:rPr>
          <w:lang w:val="fr-FR"/>
        </w:rPr>
        <w:t>, symbole, lire</w:t>
      </w:r>
      <w:r>
        <w:rPr>
          <w:lang w:val="fr-FR"/>
        </w:rPr>
        <w:t> :</w:t>
      </w:r>
    </w:p>
    <w:p w:rsidR="003A10CC" w:rsidRDefault="003A10CC" w:rsidP="003A10CC">
      <w:pPr>
        <w:pStyle w:val="SingleTxtG"/>
        <w:rPr>
          <w:lang w:val="fr-FR"/>
        </w:rPr>
      </w:pPr>
      <w:r w:rsidRPr="00B076B3">
        <w:rPr>
          <w:lang w:val="fr-FR"/>
        </w:rPr>
        <w:t>«</w:t>
      </w:r>
      <w:r>
        <w:rPr>
          <w:lang w:val="fr-FR"/>
        </w:rPr>
        <w:t> </w:t>
      </w:r>
    </w:p>
    <w:p w:rsidR="003A10CC" w:rsidRPr="00B076B3" w:rsidRDefault="003A10CC" w:rsidP="00D36887">
      <w:pPr>
        <w:pStyle w:val="SingleTxtG"/>
        <w:ind w:left="2268"/>
        <w:rPr>
          <w:lang w:val="fr-FR"/>
        </w:rPr>
      </w:pPr>
      <w:r w:rsidRPr="00B076B3">
        <w:rPr>
          <w:noProof/>
        </w:rPr>
        <w:drawing>
          <wp:inline distT="0" distB="0" distL="0" distR="0" wp14:anchorId="5DD86945" wp14:editId="524B718E">
            <wp:extent cx="2973318" cy="2333318"/>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182" r="14151"/>
                    <a:stretch/>
                  </pic:blipFill>
                  <pic:spPr bwMode="auto">
                    <a:xfrm>
                      <a:off x="0" y="0"/>
                      <a:ext cx="2994889" cy="2350246"/>
                    </a:xfrm>
                    <a:prstGeom prst="rect">
                      <a:avLst/>
                    </a:prstGeom>
                    <a:noFill/>
                    <a:ln>
                      <a:noFill/>
                    </a:ln>
                    <a:extLst>
                      <a:ext uri="{53640926-AAD7-44D8-BBD7-CCE9431645EC}">
                        <a14:shadowObscured xmlns:a14="http://schemas.microsoft.com/office/drawing/2010/main"/>
                      </a:ext>
                    </a:extLst>
                  </pic:spPr>
                </pic:pic>
              </a:graphicData>
            </a:graphic>
          </wp:inline>
        </w:drawing>
      </w:r>
      <w:r w:rsidRPr="00B076B3">
        <w:rPr>
          <w:lang w:val="fr-FR"/>
        </w:rPr>
        <w:t> ».</w:t>
      </w:r>
    </w:p>
    <w:p w:rsidR="003A10CC" w:rsidRDefault="003A10CC" w:rsidP="003A10CC">
      <w:pPr>
        <w:pStyle w:val="SingleTxtG"/>
        <w:rPr>
          <w:i/>
          <w:color w:val="000000" w:themeColor="text1"/>
        </w:rPr>
      </w:pPr>
      <w:r w:rsidRPr="00B076B3">
        <w:rPr>
          <w:i/>
          <w:color w:val="000000" w:themeColor="text1"/>
        </w:rPr>
        <w:t>Annexe 7</w:t>
      </w:r>
      <w:r w:rsidRPr="003A10CC">
        <w:rPr>
          <w:iCs/>
          <w:color w:val="000000" w:themeColor="text1"/>
        </w:rPr>
        <w:t>,</w:t>
      </w:r>
    </w:p>
    <w:p w:rsidR="003A10CC" w:rsidRPr="00B076B3" w:rsidRDefault="003A10CC" w:rsidP="003A10CC">
      <w:pPr>
        <w:pStyle w:val="SingleTxtG"/>
        <w:rPr>
          <w:color w:val="000000" w:themeColor="text1"/>
          <w:lang w:val="fr-FR"/>
        </w:rPr>
      </w:pPr>
      <w:r w:rsidRPr="00B076B3">
        <w:rPr>
          <w:i/>
          <w:color w:val="000000" w:themeColor="text1"/>
        </w:rPr>
        <w:t>Paragraphe 3.2</w:t>
      </w:r>
      <w:r w:rsidRPr="003A10CC">
        <w:rPr>
          <w:color w:val="000000" w:themeColor="text1"/>
          <w:lang w:val="fr-FR"/>
        </w:rPr>
        <w:t>,</w:t>
      </w:r>
      <w:r w:rsidRPr="00B076B3">
        <w:rPr>
          <w:i/>
          <w:iCs/>
          <w:color w:val="000000" w:themeColor="text1"/>
          <w:lang w:val="fr-FR"/>
        </w:rPr>
        <w:t xml:space="preserve"> </w:t>
      </w:r>
      <w:r w:rsidRPr="00B076B3">
        <w:rPr>
          <w:color w:val="000000" w:themeColor="text1"/>
          <w:lang w:val="fr-FR"/>
        </w:rPr>
        <w:t>lire</w:t>
      </w:r>
      <w:r>
        <w:rPr>
          <w:color w:val="000000" w:themeColor="text1"/>
          <w:lang w:val="fr-FR"/>
        </w:rPr>
        <w:t> :</w:t>
      </w:r>
    </w:p>
    <w:p w:rsidR="003A10CC" w:rsidRPr="00B076B3" w:rsidRDefault="003A10CC" w:rsidP="003A10CC">
      <w:pPr>
        <w:pStyle w:val="SingleTxtG"/>
        <w:ind w:left="2268" w:hanging="1134"/>
        <w:rPr>
          <w:color w:val="000000" w:themeColor="text1"/>
          <w:lang w:val="fr-FR"/>
        </w:rPr>
      </w:pPr>
      <w:r w:rsidRPr="00B076B3">
        <w:rPr>
          <w:bCs/>
          <w:color w:val="000000" w:themeColor="text1"/>
          <w:lang w:val="fr-FR"/>
        </w:rPr>
        <w:t>« </w:t>
      </w:r>
      <w:r w:rsidRPr="00B076B3">
        <w:rPr>
          <w:color w:val="000000" w:themeColor="text1"/>
          <w:lang w:val="fr-FR"/>
        </w:rPr>
        <w:t>3.2</w:t>
      </w:r>
      <w:r w:rsidRPr="00B076B3">
        <w:rPr>
          <w:color w:val="000000" w:themeColor="text1"/>
          <w:lang w:val="fr-FR"/>
        </w:rPr>
        <w:tab/>
      </w:r>
      <w:r w:rsidRPr="00B076B3">
        <w:rPr>
          <w:strike/>
          <w:color w:val="000000" w:themeColor="text1"/>
          <w:lang w:val="fr-FR"/>
        </w:rPr>
        <w:t xml:space="preserve">Suivre la procédure décrite aux paragraphes 1.2 à 1.5 ci-dessus, à une température ambiante de 38 </w:t>
      </w:r>
      <w:r w:rsidR="00D36887">
        <w:rPr>
          <w:strike/>
          <w:color w:val="000000" w:themeColor="text1"/>
          <w:lang w:val="fr-FR"/>
        </w:rPr>
        <w:sym w:font="Symbol" w:char="F0B1"/>
      </w:r>
      <w:r w:rsidRPr="00B076B3">
        <w:rPr>
          <w:strike/>
          <w:color w:val="000000" w:themeColor="text1"/>
          <w:lang w:val="fr-FR"/>
        </w:rPr>
        <w:t>3</w:t>
      </w:r>
      <w:r w:rsidR="00D36887">
        <w:rPr>
          <w:strike/>
          <w:color w:val="000000" w:themeColor="text1"/>
          <w:lang w:val="fr-FR"/>
        </w:rPr>
        <w:t> </w:t>
      </w:r>
      <w:r w:rsidRPr="00B076B3">
        <w:rPr>
          <w:strike/>
          <w:color w:val="000000" w:themeColor="text1"/>
          <w:lang w:val="fr-FR"/>
        </w:rPr>
        <w:t>°C, la roue complète ayant été conditionnée conformément au paragraphe 1.4. Le capteur de température doit se trouver à une distance d’au moins 0,15</w:t>
      </w:r>
      <w:r w:rsidR="00D36887">
        <w:rPr>
          <w:strike/>
          <w:color w:val="000000" w:themeColor="text1"/>
          <w:lang w:val="fr-FR"/>
        </w:rPr>
        <w:t> </w:t>
      </w:r>
      <w:r w:rsidRPr="00B076B3">
        <w:rPr>
          <w:strike/>
          <w:color w:val="000000" w:themeColor="text1"/>
          <w:lang w:val="fr-FR"/>
        </w:rPr>
        <w:t>m et d’au plus 1</w:t>
      </w:r>
      <w:r w:rsidR="00D36887">
        <w:rPr>
          <w:strike/>
          <w:color w:val="000000" w:themeColor="text1"/>
          <w:lang w:val="fr-FR"/>
        </w:rPr>
        <w:t> </w:t>
      </w:r>
      <w:r w:rsidRPr="00B076B3">
        <w:rPr>
          <w:strike/>
          <w:color w:val="000000" w:themeColor="text1"/>
          <w:lang w:val="fr-FR"/>
        </w:rPr>
        <w:t>m du flanc du pneumatique.</w:t>
      </w:r>
    </w:p>
    <w:p w:rsidR="003A10CC" w:rsidRPr="00B076B3" w:rsidRDefault="003A10CC" w:rsidP="003A10CC">
      <w:pPr>
        <w:pStyle w:val="SingleTxtG"/>
        <w:ind w:left="2268"/>
        <w:rPr>
          <w:color w:val="000000" w:themeColor="text1"/>
          <w:lang w:val="fr-FR"/>
        </w:rPr>
      </w:pPr>
      <w:bookmarkStart w:id="1" w:name="_Hlk57035641"/>
      <w:r w:rsidRPr="003A10CC">
        <w:rPr>
          <w:b/>
          <w:bCs/>
          <w:lang w:val="fr-FR"/>
        </w:rPr>
        <w:t>Gonfler</w:t>
      </w:r>
      <w:r w:rsidRPr="00B076B3">
        <w:rPr>
          <w:b/>
          <w:bCs/>
          <w:color w:val="000000" w:themeColor="text1"/>
          <w:lang w:val="fr-FR"/>
        </w:rPr>
        <w:t xml:space="preserve"> le pneumatique à une pression de 2,5</w:t>
      </w:r>
      <w:r w:rsidR="00D36887">
        <w:rPr>
          <w:b/>
          <w:bCs/>
          <w:color w:val="000000" w:themeColor="text1"/>
          <w:lang w:val="fr-FR"/>
        </w:rPr>
        <w:t> </w:t>
      </w:r>
      <w:r w:rsidRPr="00B076B3">
        <w:rPr>
          <w:b/>
          <w:bCs/>
          <w:color w:val="000000" w:themeColor="text1"/>
          <w:lang w:val="fr-FR"/>
        </w:rPr>
        <w:t>bars et conditionner l’ensemble pneumatique/roue à une température ambiante de 38 ºC</w:t>
      </w:r>
      <w:r w:rsidR="00D36887">
        <w:rPr>
          <w:b/>
          <w:bCs/>
          <w:color w:val="000000" w:themeColor="text1"/>
          <w:lang w:val="fr-FR"/>
        </w:rPr>
        <w:t> </w:t>
      </w:r>
      <w:r w:rsidR="00D36887">
        <w:rPr>
          <w:b/>
          <w:bCs/>
          <w:color w:val="000000" w:themeColor="text1"/>
          <w:lang w:val="fr-FR"/>
        </w:rPr>
        <w:sym w:font="Symbol" w:char="F0B1"/>
      </w:r>
      <w:r w:rsidRPr="00B076B3">
        <w:rPr>
          <w:b/>
          <w:bCs/>
          <w:color w:val="000000" w:themeColor="text1"/>
          <w:lang w:val="fr-FR"/>
        </w:rPr>
        <w:t>3</w:t>
      </w:r>
      <w:r w:rsidR="00D36887">
        <w:rPr>
          <w:b/>
          <w:bCs/>
          <w:color w:val="000000" w:themeColor="text1"/>
          <w:lang w:val="fr-FR"/>
        </w:rPr>
        <w:t> </w:t>
      </w:r>
      <w:r w:rsidRPr="00B076B3">
        <w:rPr>
          <w:b/>
          <w:bCs/>
          <w:color w:val="000000" w:themeColor="text1"/>
          <w:lang w:val="fr-FR"/>
        </w:rPr>
        <w:t>ºC pendant au moins trois heures.</w:t>
      </w:r>
      <w:bookmarkEnd w:id="1"/>
      <w:r w:rsidRPr="00B076B3">
        <w:rPr>
          <w:color w:val="000000" w:themeColor="text1"/>
          <w:lang w:val="fr-FR"/>
        </w:rPr>
        <w:t> ».</w:t>
      </w:r>
    </w:p>
    <w:p w:rsidR="003A10CC" w:rsidRPr="00B076B3" w:rsidRDefault="003A10CC" w:rsidP="003A10CC">
      <w:pPr>
        <w:pStyle w:val="SingleTxtG"/>
        <w:rPr>
          <w:color w:val="000000" w:themeColor="text1"/>
          <w:lang w:val="fr-FR"/>
        </w:rPr>
      </w:pPr>
      <w:r w:rsidRPr="00B076B3">
        <w:rPr>
          <w:i/>
          <w:iCs/>
          <w:color w:val="000000" w:themeColor="text1"/>
          <w:lang w:val="fr-FR"/>
        </w:rPr>
        <w:t>Paragraphe 3.7</w:t>
      </w:r>
      <w:r w:rsidRPr="00B076B3">
        <w:rPr>
          <w:color w:val="000000" w:themeColor="text1"/>
          <w:lang w:val="fr-FR"/>
        </w:rPr>
        <w:t>, lire</w:t>
      </w:r>
      <w:r>
        <w:rPr>
          <w:color w:val="000000" w:themeColor="text1"/>
          <w:lang w:val="fr-FR"/>
        </w:rPr>
        <w:t> :</w:t>
      </w:r>
    </w:p>
    <w:p w:rsidR="003A10CC" w:rsidRPr="00B076B3" w:rsidRDefault="003A10CC" w:rsidP="003A10CC">
      <w:pPr>
        <w:pStyle w:val="SingleTxtG"/>
        <w:ind w:left="2268" w:hanging="1134"/>
        <w:rPr>
          <w:color w:val="000000" w:themeColor="text1"/>
          <w:lang w:val="fr-FR"/>
        </w:rPr>
      </w:pPr>
      <w:r w:rsidRPr="00B076B3">
        <w:rPr>
          <w:color w:val="000000" w:themeColor="text1"/>
          <w:lang w:val="fr-FR"/>
        </w:rPr>
        <w:t>« 3.7</w:t>
      </w:r>
      <w:r w:rsidRPr="00B076B3">
        <w:rPr>
          <w:color w:val="000000" w:themeColor="text1"/>
          <w:lang w:val="fr-FR"/>
        </w:rPr>
        <w:tab/>
        <w:t xml:space="preserve">La température ambiante doit être maintenue à 38 </w:t>
      </w:r>
      <w:r w:rsidR="00D36887">
        <w:rPr>
          <w:color w:val="000000" w:themeColor="text1"/>
          <w:lang w:val="fr-FR"/>
        </w:rPr>
        <w:sym w:font="Symbol" w:char="F0B1"/>
      </w:r>
      <w:r w:rsidRPr="00B076B3">
        <w:rPr>
          <w:color w:val="000000" w:themeColor="text1"/>
          <w:lang w:val="fr-FR"/>
        </w:rPr>
        <w:t>3</w:t>
      </w:r>
      <w:r w:rsidR="00D36887">
        <w:rPr>
          <w:color w:val="000000" w:themeColor="text1"/>
          <w:lang w:val="fr-FR"/>
        </w:rPr>
        <w:t> </w:t>
      </w:r>
      <w:r w:rsidRPr="00B076B3">
        <w:rPr>
          <w:color w:val="000000" w:themeColor="text1"/>
          <w:lang w:val="fr-FR"/>
        </w:rPr>
        <w:t>°C pendant la totalité de l’essai.</w:t>
      </w:r>
    </w:p>
    <w:p w:rsidR="003A10CC" w:rsidRPr="00B076B3" w:rsidRDefault="003A10CC" w:rsidP="003A10CC">
      <w:pPr>
        <w:pStyle w:val="SingleTxtG"/>
        <w:ind w:left="2268"/>
        <w:rPr>
          <w:color w:val="000000" w:themeColor="text1"/>
          <w:lang w:val="fr-FR"/>
        </w:rPr>
      </w:pPr>
      <w:r w:rsidRPr="00B076B3">
        <w:rPr>
          <w:b/>
          <w:bCs/>
          <w:color w:val="000000" w:themeColor="text1"/>
          <w:lang w:val="fr-FR"/>
        </w:rPr>
        <w:t xml:space="preserve">Le capteur de </w:t>
      </w:r>
      <w:r w:rsidRPr="003A10CC">
        <w:rPr>
          <w:b/>
          <w:bCs/>
          <w:lang w:val="fr-FR"/>
        </w:rPr>
        <w:t>température</w:t>
      </w:r>
      <w:r w:rsidRPr="00B076B3">
        <w:rPr>
          <w:b/>
          <w:bCs/>
          <w:color w:val="000000" w:themeColor="text1"/>
          <w:lang w:val="fr-FR"/>
        </w:rPr>
        <w:t xml:space="preserve"> doit se trouver à une distance d’au moins 0,15 m et d’au plus 1,00 m du flanc du pneumatique.</w:t>
      </w:r>
      <w:r w:rsidRPr="00B076B3">
        <w:rPr>
          <w:color w:val="000000" w:themeColor="text1"/>
          <w:lang w:val="fr-FR"/>
        </w:rPr>
        <w:t> ».</w:t>
      </w:r>
    </w:p>
    <w:p w:rsidR="003A10CC" w:rsidRPr="00B076B3" w:rsidRDefault="003A10CC" w:rsidP="003A10CC">
      <w:pPr>
        <w:pStyle w:val="SingleTxtG"/>
        <w:rPr>
          <w:color w:val="000000" w:themeColor="text1"/>
          <w:lang w:val="fr-FR"/>
        </w:rPr>
      </w:pPr>
      <w:r w:rsidRPr="003A10CC">
        <w:rPr>
          <w:i/>
          <w:iCs/>
          <w:lang w:val="fr-FR"/>
        </w:rPr>
        <w:t>Paragraphe</w:t>
      </w:r>
      <w:r w:rsidRPr="00B076B3">
        <w:rPr>
          <w:i/>
          <w:iCs/>
          <w:color w:val="000000" w:themeColor="text1"/>
          <w:lang w:val="fr-FR"/>
        </w:rPr>
        <w:t xml:space="preserve"> 4.2</w:t>
      </w:r>
      <w:r w:rsidRPr="00B076B3">
        <w:rPr>
          <w:color w:val="000000" w:themeColor="text1"/>
          <w:lang w:val="fr-FR"/>
        </w:rPr>
        <w:t>, lire</w:t>
      </w:r>
      <w:r>
        <w:rPr>
          <w:color w:val="000000" w:themeColor="text1"/>
          <w:lang w:val="fr-FR"/>
        </w:rPr>
        <w:t> :</w:t>
      </w:r>
    </w:p>
    <w:p w:rsidR="003A10CC" w:rsidRPr="00B076B3" w:rsidRDefault="003A10CC" w:rsidP="003A10CC">
      <w:pPr>
        <w:pStyle w:val="SingleTxtG"/>
        <w:ind w:left="2268" w:hanging="1134"/>
        <w:rPr>
          <w:color w:val="000000" w:themeColor="text1"/>
          <w:lang w:val="fr-FR"/>
        </w:rPr>
      </w:pPr>
      <w:r w:rsidRPr="00B076B3">
        <w:rPr>
          <w:color w:val="000000" w:themeColor="text1"/>
          <w:lang w:val="fr-FR"/>
        </w:rPr>
        <w:t>« 4.2</w:t>
      </w:r>
      <w:r w:rsidRPr="00B076B3">
        <w:rPr>
          <w:color w:val="000000" w:themeColor="text1"/>
          <w:lang w:val="fr-FR"/>
        </w:rPr>
        <w:tab/>
      </w:r>
      <w:r w:rsidRPr="00B076B3">
        <w:rPr>
          <w:strike/>
          <w:color w:val="000000" w:themeColor="text1"/>
          <w:lang w:val="fr-FR"/>
        </w:rPr>
        <w:t xml:space="preserve">Suivre la procédure décrite aux paragraphes 1.2 à 1.5 ci-dessus, à une température ambiante de </w:t>
      </w:r>
      <w:r w:rsidR="00D36887">
        <w:rPr>
          <w:strike/>
          <w:color w:val="000000" w:themeColor="text1"/>
          <w:lang w:val="fr-FR"/>
        </w:rPr>
        <w:t>25</w:t>
      </w:r>
      <w:r w:rsidRPr="00B076B3">
        <w:rPr>
          <w:strike/>
          <w:color w:val="000000" w:themeColor="text1"/>
          <w:lang w:val="fr-FR"/>
        </w:rPr>
        <w:t xml:space="preserve"> </w:t>
      </w:r>
      <w:r w:rsidR="00D36887">
        <w:rPr>
          <w:strike/>
          <w:color w:val="000000" w:themeColor="text1"/>
          <w:lang w:val="fr-FR"/>
        </w:rPr>
        <w:sym w:font="Symbol" w:char="F0B1"/>
      </w:r>
      <w:r w:rsidRPr="00B076B3">
        <w:rPr>
          <w:strike/>
          <w:color w:val="000000" w:themeColor="text1"/>
          <w:lang w:val="fr-FR"/>
        </w:rPr>
        <w:t>3</w:t>
      </w:r>
      <w:r w:rsidR="00D36887">
        <w:rPr>
          <w:strike/>
          <w:color w:val="000000" w:themeColor="text1"/>
          <w:lang w:val="fr-FR"/>
        </w:rPr>
        <w:t> </w:t>
      </w:r>
      <w:r w:rsidRPr="00B076B3">
        <w:rPr>
          <w:strike/>
          <w:color w:val="000000" w:themeColor="text1"/>
          <w:lang w:val="fr-FR"/>
        </w:rPr>
        <w:t>°C, la roue complète ayant été conditionnée conformément au paragraphe 1.4.</w:t>
      </w:r>
      <w:r w:rsidR="00D36887">
        <w:rPr>
          <w:strike/>
          <w:color w:val="000000" w:themeColor="text1"/>
          <w:lang w:val="fr-FR"/>
        </w:rPr>
        <w:t xml:space="preserve"> </w:t>
      </w:r>
      <w:r w:rsidRPr="00B076B3">
        <w:rPr>
          <w:strike/>
          <w:color w:val="000000" w:themeColor="text1"/>
          <w:lang w:val="fr-FR"/>
        </w:rPr>
        <w:t>Le capteur de température doit se trouver à une distance d’au moins 0,15</w:t>
      </w:r>
      <w:r w:rsidR="00D36887">
        <w:rPr>
          <w:strike/>
          <w:color w:val="000000" w:themeColor="text1"/>
          <w:lang w:val="fr-FR"/>
        </w:rPr>
        <w:t> </w:t>
      </w:r>
      <w:r w:rsidRPr="00B076B3">
        <w:rPr>
          <w:strike/>
          <w:color w:val="000000" w:themeColor="text1"/>
          <w:lang w:val="fr-FR"/>
        </w:rPr>
        <w:t>m et d’au plus 1</w:t>
      </w:r>
      <w:r w:rsidR="00D36887">
        <w:rPr>
          <w:strike/>
          <w:color w:val="000000" w:themeColor="text1"/>
          <w:lang w:val="fr-FR"/>
        </w:rPr>
        <w:t> </w:t>
      </w:r>
      <w:r w:rsidRPr="00B076B3">
        <w:rPr>
          <w:strike/>
          <w:color w:val="000000" w:themeColor="text1"/>
          <w:lang w:val="fr-FR"/>
        </w:rPr>
        <w:t>m du flanc du pneumatique.</w:t>
      </w:r>
    </w:p>
    <w:p w:rsidR="003A10CC" w:rsidRPr="00B076B3" w:rsidRDefault="003A10CC" w:rsidP="003A10CC">
      <w:pPr>
        <w:pStyle w:val="SingleTxtG"/>
        <w:ind w:left="2268"/>
        <w:rPr>
          <w:lang w:val="fr-FR"/>
        </w:rPr>
      </w:pPr>
      <w:r w:rsidRPr="003A10CC">
        <w:rPr>
          <w:b/>
          <w:bCs/>
          <w:lang w:val="fr-FR"/>
        </w:rPr>
        <w:t>Gonfler le pneumatique à une pression de 2,5</w:t>
      </w:r>
      <w:r w:rsidR="00D36887">
        <w:rPr>
          <w:b/>
          <w:bCs/>
          <w:lang w:val="fr-FR"/>
        </w:rPr>
        <w:t> </w:t>
      </w:r>
      <w:r w:rsidRPr="003A10CC">
        <w:rPr>
          <w:b/>
          <w:bCs/>
          <w:lang w:val="fr-FR"/>
        </w:rPr>
        <w:t xml:space="preserve">bars et conditionner l’ensemble pneumatique/roue à une température ambiante de </w:t>
      </w:r>
      <w:r w:rsidR="00D36887">
        <w:rPr>
          <w:b/>
          <w:bCs/>
          <w:lang w:val="fr-FR"/>
        </w:rPr>
        <w:t>25</w:t>
      </w:r>
      <w:r w:rsidRPr="003A10CC">
        <w:rPr>
          <w:b/>
          <w:bCs/>
          <w:lang w:val="fr-FR"/>
        </w:rPr>
        <w:t> ºC</w:t>
      </w:r>
      <w:r w:rsidR="00D36887">
        <w:rPr>
          <w:b/>
          <w:bCs/>
          <w:lang w:val="fr-FR"/>
        </w:rPr>
        <w:t> </w:t>
      </w:r>
      <w:r w:rsidR="00D36887">
        <w:rPr>
          <w:b/>
          <w:bCs/>
          <w:lang w:val="fr-FR"/>
        </w:rPr>
        <w:sym w:font="Symbol" w:char="F0B1"/>
      </w:r>
      <w:r w:rsidRPr="003A10CC">
        <w:rPr>
          <w:b/>
          <w:bCs/>
          <w:lang w:val="fr-FR"/>
        </w:rPr>
        <w:t>3</w:t>
      </w:r>
      <w:r w:rsidR="00D36887">
        <w:rPr>
          <w:b/>
          <w:bCs/>
          <w:lang w:val="fr-FR"/>
        </w:rPr>
        <w:t> </w:t>
      </w:r>
      <w:r w:rsidRPr="003A10CC">
        <w:rPr>
          <w:b/>
          <w:bCs/>
          <w:lang w:val="fr-FR"/>
        </w:rPr>
        <w:t>ºC pendant au moins trois heures.</w:t>
      </w:r>
      <w:r w:rsidRPr="00B076B3">
        <w:rPr>
          <w:lang w:val="fr-FR"/>
        </w:rPr>
        <w:t> ».</w:t>
      </w:r>
    </w:p>
    <w:p w:rsidR="003A10CC" w:rsidRPr="00B076B3" w:rsidRDefault="003A10CC" w:rsidP="003A10CC">
      <w:pPr>
        <w:pStyle w:val="SingleTxtG"/>
        <w:rPr>
          <w:lang w:val="fr-FR"/>
        </w:rPr>
      </w:pPr>
      <w:r w:rsidRPr="003A10CC">
        <w:rPr>
          <w:i/>
          <w:iCs/>
          <w:lang w:val="fr-FR"/>
        </w:rPr>
        <w:t>Paragraphe 4.7</w:t>
      </w:r>
      <w:r w:rsidRPr="00B076B3">
        <w:rPr>
          <w:lang w:val="fr-FR"/>
        </w:rPr>
        <w:t>, lire</w:t>
      </w:r>
      <w:r>
        <w:rPr>
          <w:lang w:val="fr-FR"/>
        </w:rPr>
        <w:t> :</w:t>
      </w:r>
    </w:p>
    <w:p w:rsidR="003A10CC" w:rsidRPr="00B076B3" w:rsidRDefault="003A10CC" w:rsidP="003A10CC">
      <w:pPr>
        <w:pStyle w:val="SingleTxtG"/>
        <w:ind w:left="2268" w:hanging="1134"/>
        <w:rPr>
          <w:lang w:val="fr-FR"/>
        </w:rPr>
      </w:pPr>
      <w:r w:rsidRPr="00B076B3">
        <w:rPr>
          <w:lang w:val="fr-FR"/>
        </w:rPr>
        <w:t>« 4.7</w:t>
      </w:r>
      <w:r w:rsidRPr="00B076B3">
        <w:rPr>
          <w:lang w:val="fr-FR"/>
        </w:rPr>
        <w:tab/>
        <w:t xml:space="preserve">La température ambiante doit être maintenue à </w:t>
      </w:r>
      <w:r w:rsidR="00D36887">
        <w:rPr>
          <w:lang w:val="fr-FR"/>
        </w:rPr>
        <w:t>25 </w:t>
      </w:r>
      <w:r>
        <w:rPr>
          <w:lang w:val="fr-FR"/>
        </w:rPr>
        <w:sym w:font="Symbol" w:char="F0B1"/>
      </w:r>
      <w:r w:rsidRPr="00B076B3">
        <w:rPr>
          <w:lang w:val="fr-FR"/>
        </w:rPr>
        <w:t>3</w:t>
      </w:r>
      <w:r>
        <w:rPr>
          <w:lang w:val="fr-FR"/>
        </w:rPr>
        <w:t> </w:t>
      </w:r>
      <w:r w:rsidRPr="00B076B3">
        <w:rPr>
          <w:lang w:val="fr-FR"/>
        </w:rPr>
        <w:t>°C pendant la totalité de l’essai.</w:t>
      </w:r>
    </w:p>
    <w:p w:rsidR="003A10CC" w:rsidRPr="00B076B3" w:rsidRDefault="003A10CC" w:rsidP="003A10CC">
      <w:pPr>
        <w:pStyle w:val="SingleTxtG"/>
        <w:ind w:left="2268"/>
        <w:rPr>
          <w:lang w:val="fr-FR"/>
        </w:rPr>
      </w:pPr>
      <w:r w:rsidRPr="003A10CC">
        <w:rPr>
          <w:b/>
          <w:bCs/>
          <w:lang w:val="fr-FR"/>
        </w:rPr>
        <w:t>Le capteur de température doit se trouver à une distance d’au moins 0,15 m et d’au plus 1,00</w:t>
      </w:r>
      <w:r w:rsidR="00D36887">
        <w:rPr>
          <w:b/>
          <w:bCs/>
          <w:lang w:val="fr-FR"/>
        </w:rPr>
        <w:t> </w:t>
      </w:r>
      <w:bookmarkStart w:id="2" w:name="_GoBack"/>
      <w:bookmarkEnd w:id="2"/>
      <w:r w:rsidRPr="003A10CC">
        <w:rPr>
          <w:b/>
          <w:bCs/>
          <w:lang w:val="fr-FR"/>
        </w:rPr>
        <w:t>m du flanc du pneumatique.</w:t>
      </w:r>
      <w:r w:rsidRPr="00B076B3">
        <w:rPr>
          <w:lang w:val="fr-FR"/>
        </w:rPr>
        <w:t> ».</w:t>
      </w:r>
    </w:p>
    <w:p w:rsidR="003A10CC" w:rsidRPr="00B076B3" w:rsidRDefault="003A10CC" w:rsidP="003A10CC">
      <w:pPr>
        <w:pStyle w:val="HChG"/>
        <w:rPr>
          <w:lang w:val="fr-FR"/>
        </w:rPr>
      </w:pPr>
      <w:r w:rsidRPr="00B076B3">
        <w:rPr>
          <w:lang w:val="fr-FR"/>
        </w:rPr>
        <w:lastRenderedPageBreak/>
        <w:tab/>
        <w:t>II.</w:t>
      </w:r>
      <w:r w:rsidRPr="00B076B3">
        <w:rPr>
          <w:lang w:val="fr-FR"/>
        </w:rPr>
        <w:tab/>
        <w:t>Justification</w:t>
      </w:r>
    </w:p>
    <w:p w:rsidR="003A10CC" w:rsidRPr="00B076B3" w:rsidRDefault="003A10CC" w:rsidP="003A10CC">
      <w:pPr>
        <w:pStyle w:val="SingleTxtG"/>
        <w:rPr>
          <w:lang w:val="fr-FR"/>
        </w:rPr>
      </w:pPr>
      <w:r>
        <w:rPr>
          <w:lang w:val="fr-FR"/>
        </w:rPr>
        <w:t>1.</w:t>
      </w:r>
      <w:r>
        <w:rPr>
          <w:lang w:val="fr-FR"/>
        </w:rPr>
        <w:tab/>
      </w:r>
      <w:r w:rsidRPr="00B076B3">
        <w:rPr>
          <w:lang w:val="fr-FR"/>
        </w:rPr>
        <w:t>Il est proposé dans ce document de modifier le symbole du pneumatique de mobilité prolongée, à la suite de la détection d’incohérences dimensionnelles au sein du groupe de travail de l’Organisation internationale de normalisation (ISO) TC31/SC3/WG19, qui a jugé que la dimension « 0,33h » était erronée et constituait une contrainte excessive inutile. Les experts de l’ISO ont convenu de corriger le symbole en question dans la norme ISO</w:t>
      </w:r>
      <w:r>
        <w:rPr>
          <w:lang w:val="fr-FR"/>
        </w:rPr>
        <w:t> </w:t>
      </w:r>
      <w:r w:rsidRPr="00B076B3">
        <w:rPr>
          <w:lang w:val="fr-FR"/>
        </w:rPr>
        <w:t>16992</w:t>
      </w:r>
      <w:r>
        <w:rPr>
          <w:lang w:val="fr-FR"/>
        </w:rPr>
        <w:t>:2</w:t>
      </w:r>
      <w:r w:rsidRPr="00B076B3">
        <w:rPr>
          <w:lang w:val="fr-FR"/>
        </w:rPr>
        <w:t>018 en supprimant cette dimension et en introduisant l’information selon laquelle les deux angles à la base sont identiques. Cette modification est importante pour permettre la mise en œuvre du symbole et pour garantir qu’il ne sera pas dérogé aux prescriptions en le reproduisant.</w:t>
      </w:r>
    </w:p>
    <w:p w:rsidR="003A10CC" w:rsidRPr="00B076B3" w:rsidRDefault="003A10CC" w:rsidP="003A10CC">
      <w:pPr>
        <w:pStyle w:val="SingleTxtG"/>
        <w:rPr>
          <w:lang w:val="fr-FR"/>
        </w:rPr>
      </w:pPr>
      <w:r w:rsidRPr="00B076B3">
        <w:rPr>
          <w:lang w:val="fr-FR"/>
        </w:rPr>
        <w:t>2.</w:t>
      </w:r>
      <w:r w:rsidRPr="00B076B3">
        <w:rPr>
          <w:lang w:val="fr-FR"/>
        </w:rPr>
        <w:tab/>
        <w:t>Il est également proposé de modifier la valeur de gonflage à utiliser pour le conditionnement des pneumatiques lors de l’évaluation du mode roulage à plat des pneumatiques pour roulage à plat et des pneumatiques de mobilité prolongée. En effet, conformément à la norme ISO 16992</w:t>
      </w:r>
      <w:r>
        <w:rPr>
          <w:lang w:val="fr-FR"/>
        </w:rPr>
        <w:t>:2</w:t>
      </w:r>
      <w:r w:rsidRPr="00B076B3">
        <w:rPr>
          <w:lang w:val="fr-FR"/>
        </w:rPr>
        <w:t>018, cette valeur ne doit pas dépendre de la vitesse car l’essai effectué pour le mode roulage à plat est réalisé à vitesse constante, quelle que soit la catégorie de vitesse du pneumatique. Par conséquent, l’amendement vise à assurer l’harmonisation du Règlement ONU n</w:t>
      </w:r>
      <w:r w:rsidRPr="00B076B3">
        <w:rPr>
          <w:vertAlign w:val="superscript"/>
          <w:lang w:val="fr-FR"/>
        </w:rPr>
        <w:t>o</w:t>
      </w:r>
      <w:r>
        <w:rPr>
          <w:lang w:val="fr-FR"/>
        </w:rPr>
        <w:t> </w:t>
      </w:r>
      <w:r w:rsidRPr="00B076B3">
        <w:rPr>
          <w:lang w:val="fr-FR"/>
        </w:rPr>
        <w:t>30 avec la norme ISO et avec d’autres Règlements ONU qui peuvent simplement se référer à la norme ISO 16992</w:t>
      </w:r>
      <w:r>
        <w:rPr>
          <w:lang w:val="fr-FR"/>
        </w:rPr>
        <w:t>:2</w:t>
      </w:r>
      <w:r w:rsidRPr="00B076B3">
        <w:rPr>
          <w:lang w:val="fr-FR"/>
        </w:rPr>
        <w:t>018 pour définir leurs prescriptions. En outre, les prescriptions relatives au positionnement des capteurs de température doivent être déplacées aux paragraphes 3.7 et 4.7 de l’annexe 7, respectivement, pour les pneumatiques pour roulage à plat et les pneumatiques de mobilité prolongée, car elles concernent un paramètre d’essai et non une valeur de conditionnement.</w:t>
      </w:r>
    </w:p>
    <w:p w:rsidR="00F9573C" w:rsidRPr="003A10CC" w:rsidRDefault="003A10CC" w:rsidP="003A10CC">
      <w:pPr>
        <w:pStyle w:val="SingleTxtG"/>
        <w:spacing w:before="240" w:after="0"/>
        <w:jc w:val="center"/>
        <w:rPr>
          <w:u w:val="single"/>
        </w:rPr>
      </w:pPr>
      <w:r>
        <w:rPr>
          <w:u w:val="single"/>
        </w:rPr>
        <w:tab/>
      </w:r>
      <w:r>
        <w:rPr>
          <w:u w:val="single"/>
        </w:rPr>
        <w:tab/>
      </w:r>
      <w:r>
        <w:rPr>
          <w:u w:val="single"/>
        </w:rPr>
        <w:tab/>
      </w:r>
    </w:p>
    <w:sectPr w:rsidR="00F9573C" w:rsidRPr="003A10CC" w:rsidSect="00736947">
      <w:headerReference w:type="even" r:id="rId9"/>
      <w:headerReference w:type="default" r:id="rId10"/>
      <w:footerReference w:type="even" r:id="rId11"/>
      <w:footerReference w:type="default" r:id="rId12"/>
      <w:footerReference w:type="first" r:id="rId13"/>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3D1B" w:rsidRDefault="00EF3D1B" w:rsidP="00F95C08">
      <w:pPr>
        <w:spacing w:line="240" w:lineRule="auto"/>
      </w:pPr>
    </w:p>
  </w:endnote>
  <w:endnote w:type="continuationSeparator" w:id="0">
    <w:p w:rsidR="00EF3D1B" w:rsidRPr="00AC3823" w:rsidRDefault="00EF3D1B" w:rsidP="00AC3823">
      <w:pPr>
        <w:pStyle w:val="Pieddepage"/>
      </w:pPr>
    </w:p>
  </w:endnote>
  <w:endnote w:type="continuationNotice" w:id="1">
    <w:p w:rsidR="00EF3D1B" w:rsidRDefault="00EF3D1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panose1 w:val="000004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947" w:rsidRPr="00736947" w:rsidRDefault="00736947" w:rsidP="00736947">
    <w:pPr>
      <w:pStyle w:val="Pieddepage"/>
      <w:tabs>
        <w:tab w:val="right" w:pos="9638"/>
      </w:tabs>
    </w:pPr>
    <w:r w:rsidRPr="00736947">
      <w:rPr>
        <w:b/>
        <w:sz w:val="18"/>
      </w:rPr>
      <w:fldChar w:fldCharType="begin"/>
    </w:r>
    <w:r w:rsidRPr="00736947">
      <w:rPr>
        <w:b/>
        <w:sz w:val="18"/>
      </w:rPr>
      <w:instrText xml:space="preserve"> PAGE  \* MERGEFORMAT </w:instrText>
    </w:r>
    <w:r w:rsidRPr="00736947">
      <w:rPr>
        <w:b/>
        <w:sz w:val="18"/>
      </w:rPr>
      <w:fldChar w:fldCharType="separate"/>
    </w:r>
    <w:r w:rsidRPr="00736947">
      <w:rPr>
        <w:b/>
        <w:noProof/>
        <w:sz w:val="18"/>
      </w:rPr>
      <w:t>2</w:t>
    </w:r>
    <w:r w:rsidRPr="00736947">
      <w:rPr>
        <w:b/>
        <w:sz w:val="18"/>
      </w:rPr>
      <w:fldChar w:fldCharType="end"/>
    </w:r>
    <w:r>
      <w:rPr>
        <w:b/>
        <w:sz w:val="18"/>
      </w:rPr>
      <w:tab/>
    </w:r>
    <w:r>
      <w:t>GE.20-14860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947" w:rsidRPr="00736947" w:rsidRDefault="00736947" w:rsidP="00736947">
    <w:pPr>
      <w:pStyle w:val="Pieddepage"/>
      <w:tabs>
        <w:tab w:val="right" w:pos="9638"/>
      </w:tabs>
      <w:rPr>
        <w:b/>
        <w:sz w:val="18"/>
      </w:rPr>
    </w:pPr>
    <w:r>
      <w:t>GE.20-14860</w:t>
    </w:r>
    <w:r>
      <w:tab/>
    </w:r>
    <w:r w:rsidRPr="00736947">
      <w:rPr>
        <w:b/>
        <w:sz w:val="18"/>
      </w:rPr>
      <w:fldChar w:fldCharType="begin"/>
    </w:r>
    <w:r w:rsidRPr="00736947">
      <w:rPr>
        <w:b/>
        <w:sz w:val="18"/>
      </w:rPr>
      <w:instrText xml:space="preserve"> PAGE  \* MERGEFORMAT </w:instrText>
    </w:r>
    <w:r w:rsidRPr="00736947">
      <w:rPr>
        <w:b/>
        <w:sz w:val="18"/>
      </w:rPr>
      <w:fldChar w:fldCharType="separate"/>
    </w:r>
    <w:r w:rsidRPr="00736947">
      <w:rPr>
        <w:b/>
        <w:noProof/>
        <w:sz w:val="18"/>
      </w:rPr>
      <w:t>3</w:t>
    </w:r>
    <w:r w:rsidRPr="0073694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0FA" w:rsidRPr="00736947" w:rsidRDefault="00736947" w:rsidP="00736947">
    <w:pPr>
      <w:pStyle w:val="Pieddepage"/>
      <w:spacing w:before="120"/>
      <w:rPr>
        <w:sz w:val="20"/>
      </w:rPr>
    </w:pPr>
    <w:r>
      <w:rPr>
        <w:sz w:val="20"/>
      </w:rPr>
      <w:t>GE.</w:t>
    </w:r>
    <w:r w:rsidR="007F20FA">
      <w:rPr>
        <w:noProof/>
        <w:lang w:eastAsia="fr-CH"/>
      </w:rPr>
      <w:drawing>
        <wp:anchor distT="0" distB="0" distL="114300" distR="114300" simplePos="0" relativeHeight="251660288" behindDoc="0" locked="0" layoutInCell="1" allowOverlap="0" wp14:anchorId="16F634A7" wp14:editId="7E4EAD80">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20-14860  (F)    241120    241120</w:t>
    </w:r>
    <w:r>
      <w:rPr>
        <w:sz w:val="20"/>
      </w:rPr>
      <w:br/>
    </w:r>
    <w:r w:rsidRPr="00736947">
      <w:rPr>
        <w:rFonts w:ascii="C39T30Lfz" w:hAnsi="C39T30Lfz"/>
        <w:sz w:val="56"/>
      </w:rPr>
      <w:t>*2014860*</w:t>
    </w:r>
    <w:r>
      <w:rPr>
        <w:noProof/>
        <w:sz w:val="20"/>
      </w:rPr>
      <w:drawing>
        <wp:anchor distT="0" distB="0" distL="114300" distR="114300" simplePos="0" relativeHeight="251658240" behindDoc="0" locked="0" layoutInCell="1" allowOverlap="1">
          <wp:simplePos x="0" y="0"/>
          <wp:positionH relativeFrom="margin">
            <wp:posOffset>5489575</wp:posOffset>
          </wp:positionH>
          <wp:positionV relativeFrom="margin">
            <wp:posOffset>8891905</wp:posOffset>
          </wp:positionV>
          <wp:extent cx="638175" cy="638175"/>
          <wp:effectExtent l="0" t="0" r="9525" b="952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3D1B" w:rsidRPr="00AC3823" w:rsidRDefault="00EF3D1B" w:rsidP="00AC3823">
      <w:pPr>
        <w:pStyle w:val="Pieddepage"/>
        <w:tabs>
          <w:tab w:val="right" w:pos="2155"/>
        </w:tabs>
        <w:spacing w:after="80" w:line="240" w:lineRule="atLeast"/>
        <w:ind w:left="680"/>
        <w:rPr>
          <w:u w:val="single"/>
        </w:rPr>
      </w:pPr>
      <w:r>
        <w:rPr>
          <w:u w:val="single"/>
        </w:rPr>
        <w:tab/>
      </w:r>
    </w:p>
  </w:footnote>
  <w:footnote w:type="continuationSeparator" w:id="0">
    <w:p w:rsidR="00EF3D1B" w:rsidRPr="00AC3823" w:rsidRDefault="00EF3D1B" w:rsidP="00AC3823">
      <w:pPr>
        <w:pStyle w:val="Pieddepage"/>
        <w:tabs>
          <w:tab w:val="right" w:pos="2155"/>
        </w:tabs>
        <w:spacing w:after="80" w:line="240" w:lineRule="atLeast"/>
        <w:ind w:left="680"/>
        <w:rPr>
          <w:u w:val="single"/>
        </w:rPr>
      </w:pPr>
      <w:r>
        <w:rPr>
          <w:u w:val="single"/>
        </w:rPr>
        <w:tab/>
      </w:r>
    </w:p>
  </w:footnote>
  <w:footnote w:type="continuationNotice" w:id="1">
    <w:p w:rsidR="00EF3D1B" w:rsidRPr="00AC3823" w:rsidRDefault="00EF3D1B">
      <w:pPr>
        <w:spacing w:line="240" w:lineRule="auto"/>
        <w:rPr>
          <w:sz w:val="2"/>
          <w:szCs w:val="2"/>
        </w:rPr>
      </w:pPr>
    </w:p>
  </w:footnote>
  <w:footnote w:id="2">
    <w:p w:rsidR="003A10CC" w:rsidRPr="00A22EFA" w:rsidRDefault="003A10CC" w:rsidP="003A10CC">
      <w:pPr>
        <w:pStyle w:val="Notedebasdepage"/>
        <w:rPr>
          <w:lang w:val="fr-FR"/>
        </w:rPr>
      </w:pPr>
      <w:r w:rsidRPr="00A22EFA">
        <w:rPr>
          <w:lang w:val="fr-FR"/>
        </w:rPr>
        <w:tab/>
      </w:r>
      <w:r w:rsidRPr="00A22EFA">
        <w:rPr>
          <w:sz w:val="20"/>
          <w:lang w:val="fr-FR"/>
        </w:rPr>
        <w:t>*</w:t>
      </w:r>
      <w:r w:rsidRPr="00A22EFA">
        <w:rPr>
          <w:sz w:val="20"/>
          <w:lang w:val="fr-FR"/>
        </w:rPr>
        <w:tab/>
      </w:r>
      <w:r w:rsidRPr="00A22EFA">
        <w:rPr>
          <w:lang w:val="fr-FR"/>
        </w:rPr>
        <w:t>Conformément au programme de travail du Comité des transports intérieurs pour 2021 tel qu</w:t>
      </w:r>
      <w:r>
        <w:rPr>
          <w:lang w:val="fr-FR"/>
        </w:rPr>
        <w:t>’</w:t>
      </w:r>
      <w:r w:rsidRPr="00A22EFA">
        <w:rPr>
          <w:lang w:val="fr-FR"/>
        </w:rPr>
        <w:t>il figure dans le projet de budget-programme pour 2021 (A/75/6 (Sect.</w:t>
      </w:r>
      <w:r>
        <w:rPr>
          <w:lang w:val="fr-FR"/>
        </w:rPr>
        <w:t> </w:t>
      </w:r>
      <w:r w:rsidRPr="00A22EFA">
        <w:rPr>
          <w:lang w:val="fr-FR"/>
        </w:rPr>
        <w:t>20), par.</w:t>
      </w:r>
      <w:r>
        <w:rPr>
          <w:lang w:val="fr-FR"/>
        </w:rPr>
        <w:t> </w:t>
      </w:r>
      <w:r w:rsidRPr="00A22EFA">
        <w:rPr>
          <w:lang w:val="fr-FR"/>
        </w:rPr>
        <w:t>20.51), le Forum mondial a pour mission d</w:t>
      </w:r>
      <w:r>
        <w:rPr>
          <w:lang w:val="fr-FR"/>
        </w:rPr>
        <w:t>’</w:t>
      </w:r>
      <w:r w:rsidRPr="00A22EFA">
        <w:rPr>
          <w:lang w:val="fr-FR"/>
        </w:rPr>
        <w:t>élaborer, d</w:t>
      </w:r>
      <w:r>
        <w:rPr>
          <w:lang w:val="fr-FR"/>
        </w:rPr>
        <w:t>’</w:t>
      </w:r>
      <w:r w:rsidRPr="00A22EFA">
        <w:rPr>
          <w:lang w:val="fr-FR"/>
        </w:rPr>
        <w:t>harmoniser et de mettre à jour les Règlements ONU en vue d</w:t>
      </w:r>
      <w:r>
        <w:rPr>
          <w:lang w:val="fr-FR"/>
        </w:rPr>
        <w:t>’</w:t>
      </w:r>
      <w:r w:rsidRPr="00A22EFA">
        <w:rPr>
          <w:lang w:val="fr-FR"/>
        </w:rPr>
        <w:t>améliorer les</w:t>
      </w:r>
      <w:r>
        <w:rPr>
          <w:lang w:val="fr-FR"/>
        </w:rPr>
        <w:t> </w:t>
      </w:r>
      <w:r w:rsidRPr="00A22EFA">
        <w:rPr>
          <w:lang w:val="fr-FR"/>
        </w:rPr>
        <w:t>caractéristiques fonctionnelles des véhicules. Le présent document est soumis conformément à</w:t>
      </w:r>
      <w:r>
        <w:rPr>
          <w:lang w:val="fr-FR"/>
        </w:rPr>
        <w:t> </w:t>
      </w:r>
      <w:r w:rsidRPr="00A22EFA">
        <w:rPr>
          <w:lang w:val="fr-FR"/>
        </w:rPr>
        <w:t>ce</w:t>
      </w:r>
      <w:r>
        <w:rPr>
          <w:lang w:val="fr-FR"/>
        </w:rPr>
        <w:t> </w:t>
      </w:r>
      <w:r w:rsidRPr="00A22EFA">
        <w:rPr>
          <w:lang w:val="fr-FR"/>
        </w:rPr>
        <w:t>mandat.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947" w:rsidRPr="00736947" w:rsidRDefault="00736947">
    <w:pPr>
      <w:pStyle w:val="En-tte"/>
    </w:pPr>
    <w:fldSimple w:instr=" TITLE  \* MERGEFORMAT ">
      <w:r>
        <w:t>ECE/TRANS/WP.29/GRBP/2021/4</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947" w:rsidRPr="00736947" w:rsidRDefault="00736947" w:rsidP="00736947">
    <w:pPr>
      <w:pStyle w:val="En-tte"/>
      <w:jc w:val="right"/>
    </w:pPr>
    <w:fldSimple w:instr=" TITLE  \* MERGEFORMAT ">
      <w:r>
        <w:t>ECE/TRANS/WP.29/GRBP/2021/4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5F603B35"/>
    <w:multiLevelType w:val="hybridMultilevel"/>
    <w:tmpl w:val="F59C24C4"/>
    <w:lvl w:ilvl="0" w:tplc="B678C9E6">
      <w:start w:val="1"/>
      <w:numFmt w:val="decimal"/>
      <w:lvlText w:val="%1."/>
      <w:lvlJc w:val="left"/>
      <w:pPr>
        <w:ind w:left="1710" w:hanging="576"/>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3"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3"/>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3"/>
  </w:num>
  <w:num w:numId="15">
    <w:abstractNumId w:val="11"/>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revisionView w:inkAnnotations="0"/>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F3D1B"/>
    <w:rsid w:val="00017F94"/>
    <w:rsid w:val="00023842"/>
    <w:rsid w:val="000334F9"/>
    <w:rsid w:val="00045FEB"/>
    <w:rsid w:val="0007796D"/>
    <w:rsid w:val="000B7790"/>
    <w:rsid w:val="000D7161"/>
    <w:rsid w:val="00111F2F"/>
    <w:rsid w:val="0014365E"/>
    <w:rsid w:val="00143C66"/>
    <w:rsid w:val="00176178"/>
    <w:rsid w:val="001F525A"/>
    <w:rsid w:val="00223272"/>
    <w:rsid w:val="0024779E"/>
    <w:rsid w:val="00257168"/>
    <w:rsid w:val="002744B8"/>
    <w:rsid w:val="002832AC"/>
    <w:rsid w:val="002D7C93"/>
    <w:rsid w:val="00305801"/>
    <w:rsid w:val="003916DE"/>
    <w:rsid w:val="003A10CC"/>
    <w:rsid w:val="00421996"/>
    <w:rsid w:val="00441C3B"/>
    <w:rsid w:val="00446FE5"/>
    <w:rsid w:val="00452396"/>
    <w:rsid w:val="004837D8"/>
    <w:rsid w:val="004E2EED"/>
    <w:rsid w:val="004E468C"/>
    <w:rsid w:val="005505B7"/>
    <w:rsid w:val="00573BE5"/>
    <w:rsid w:val="00586ED3"/>
    <w:rsid w:val="00596AA9"/>
    <w:rsid w:val="0071601D"/>
    <w:rsid w:val="00736947"/>
    <w:rsid w:val="007A62E6"/>
    <w:rsid w:val="007F20FA"/>
    <w:rsid w:val="0080684C"/>
    <w:rsid w:val="00871C75"/>
    <w:rsid w:val="008776DC"/>
    <w:rsid w:val="009446C0"/>
    <w:rsid w:val="009705C8"/>
    <w:rsid w:val="009C1CF4"/>
    <w:rsid w:val="009F6B74"/>
    <w:rsid w:val="00A3029F"/>
    <w:rsid w:val="00A30353"/>
    <w:rsid w:val="00AC3823"/>
    <w:rsid w:val="00AE323C"/>
    <w:rsid w:val="00AF0CB5"/>
    <w:rsid w:val="00B00181"/>
    <w:rsid w:val="00B00B0D"/>
    <w:rsid w:val="00B45F2E"/>
    <w:rsid w:val="00B765F7"/>
    <w:rsid w:val="00BA0CA9"/>
    <w:rsid w:val="00C02897"/>
    <w:rsid w:val="00C97039"/>
    <w:rsid w:val="00D3439C"/>
    <w:rsid w:val="00D36887"/>
    <w:rsid w:val="00DB1831"/>
    <w:rsid w:val="00DD3BFD"/>
    <w:rsid w:val="00DF6678"/>
    <w:rsid w:val="00E0299A"/>
    <w:rsid w:val="00E85C74"/>
    <w:rsid w:val="00EA6547"/>
    <w:rsid w:val="00EF2E22"/>
    <w:rsid w:val="00EF3D1B"/>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3AAF6C"/>
  <w15:docId w15:val="{A3ED22FA-BB82-41DA-876D-FD36AD1A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0299A"/>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E0299A"/>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E0299A"/>
    <w:pPr>
      <w:numPr>
        <w:numId w:val="16"/>
      </w:numPr>
      <w:tabs>
        <w:tab w:val="clear" w:pos="1701"/>
      </w:tabs>
      <w:spacing w:after="120"/>
      <w:ind w:right="1134"/>
      <w:jc w:val="both"/>
    </w:pPr>
  </w:style>
  <w:style w:type="character" w:styleId="Appelnotedebasdep">
    <w:name w:val="footnote reference"/>
    <w:aliases w:val="4_G"/>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SingleTxtGChar">
    <w:name w:val="_ Single Txt_G Char"/>
    <w:link w:val="SingleTxtG"/>
    <w:qFormat/>
    <w:rsid w:val="003A10CC"/>
    <w:rPr>
      <w:rFonts w:ascii="Times New Roman" w:eastAsiaTheme="minorHAnsi" w:hAnsi="Times New Roman" w:cs="Times New Roman"/>
      <w:sz w:val="20"/>
      <w:szCs w:val="20"/>
      <w:lang w:eastAsia="en-US"/>
    </w:rPr>
  </w:style>
  <w:style w:type="paragraph" w:styleId="Paragraphedeliste">
    <w:name w:val="List Paragraph"/>
    <w:basedOn w:val="Normal"/>
    <w:uiPriority w:val="34"/>
    <w:qFormat/>
    <w:rsid w:val="003A10CC"/>
    <w:pPr>
      <w:ind w:left="708"/>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3" ma:contentTypeDescription="Create a new document." ma:contentTypeScope="" ma:versionID="89c13dde5d7aa6b1840a64c3c61e7101">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49ff99f9a570207563b6136515cf8a36"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8718E1-9DF0-45E8-8BDB-B84926DD32BC}"/>
</file>

<file path=customXml/itemProps2.xml><?xml version="1.0" encoding="utf-8"?>
<ds:datastoreItem xmlns:ds="http://schemas.openxmlformats.org/officeDocument/2006/customXml" ds:itemID="{A56409D6-ED24-4A55-BBA4-19F787D10BD3}"/>
</file>

<file path=customXml/itemProps3.xml><?xml version="1.0" encoding="utf-8"?>
<ds:datastoreItem xmlns:ds="http://schemas.openxmlformats.org/officeDocument/2006/customXml" ds:itemID="{C04597C9-579D-4D36-A438-E76AB1092B4A}"/>
</file>

<file path=docProps/app.xml><?xml version="1.0" encoding="utf-8"?>
<Properties xmlns="http://schemas.openxmlformats.org/officeDocument/2006/extended-properties" xmlns:vt="http://schemas.openxmlformats.org/officeDocument/2006/docPropsVTypes">
  <Template>ECE_TRANS.dotm</Template>
  <TotalTime>0</TotalTime>
  <Pages>3</Pages>
  <Words>558</Words>
  <Characters>3909</Characters>
  <Application>Microsoft Office Word</Application>
  <DocSecurity>0</DocSecurity>
  <Lines>325</Lines>
  <Paragraphs>178</Paragraphs>
  <ScaleCrop>false</ScaleCrop>
  <HeadingPairs>
    <vt:vector size="2" baseType="variant">
      <vt:variant>
        <vt:lpstr>Titre</vt:lpstr>
      </vt:variant>
      <vt:variant>
        <vt:i4>1</vt:i4>
      </vt:variant>
    </vt:vector>
  </HeadingPairs>
  <TitlesOfParts>
    <vt:vector size="1" baseType="lpstr">
      <vt:lpstr>ECE/TRANS/WP.29/GRBP/2021/4</vt:lpstr>
    </vt:vector>
  </TitlesOfParts>
  <Company>DCM</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ECE/TRANS/WP.29/GRBP/2021/4</dc:title>
  <dc:subject/>
  <dc:creator>Nicolas MORIN</dc:creator>
  <cp:keywords/>
  <cp:lastModifiedBy>Nicolas MORIN</cp:lastModifiedBy>
  <cp:revision>2</cp:revision>
  <cp:lastPrinted>2014-05-14T10:59:00Z</cp:lastPrinted>
  <dcterms:created xsi:type="dcterms:W3CDTF">2020-11-24T12:50:00Z</dcterms:created>
  <dcterms:modified xsi:type="dcterms:W3CDTF">2020-11-24T12:50:00Z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