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9607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96077" w:rsidP="00496077">
            <w:pPr>
              <w:jc w:val="right"/>
            </w:pPr>
            <w:r w:rsidRPr="00496077">
              <w:rPr>
                <w:sz w:val="40"/>
              </w:rPr>
              <w:t>ECE</w:t>
            </w:r>
            <w:r>
              <w:t>/TRANS/WP.29/GRBP/2021/2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96077" w:rsidP="00C97039">
            <w:pPr>
              <w:spacing w:before="240"/>
            </w:pPr>
            <w:r>
              <w:t>Distr. générale</w:t>
            </w:r>
          </w:p>
          <w:p w:rsidR="00496077" w:rsidRDefault="00496077" w:rsidP="00496077">
            <w:pPr>
              <w:spacing w:line="240" w:lineRule="exact"/>
            </w:pPr>
            <w:r>
              <w:t>9 novembre 2020</w:t>
            </w:r>
          </w:p>
          <w:p w:rsidR="00496077" w:rsidRDefault="00496077" w:rsidP="00496077">
            <w:pPr>
              <w:spacing w:line="240" w:lineRule="exact"/>
            </w:pPr>
            <w:r>
              <w:t>Français</w:t>
            </w:r>
          </w:p>
          <w:p w:rsidR="00496077" w:rsidRPr="00DB58B5" w:rsidRDefault="00496077" w:rsidP="0049607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9607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96077" w:rsidRDefault="0049607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96077" w:rsidRPr="00CC1F49" w:rsidRDefault="00496077" w:rsidP="00496077">
      <w:pPr>
        <w:spacing w:before="120" w:after="120"/>
        <w:rPr>
          <w:b/>
          <w:bCs/>
          <w:lang w:val="fr-FR"/>
        </w:rPr>
      </w:pPr>
      <w:r w:rsidRPr="00CC1F49">
        <w:rPr>
          <w:b/>
          <w:bCs/>
          <w:lang w:val="fr-FR"/>
        </w:rPr>
        <w:t>Groupe de travail du bruit et des pneumatiques</w:t>
      </w:r>
    </w:p>
    <w:p w:rsidR="00496077" w:rsidRPr="00CC1F49" w:rsidRDefault="00496077" w:rsidP="00496077">
      <w:pPr>
        <w:rPr>
          <w:b/>
          <w:lang w:val="fr-FR"/>
        </w:rPr>
      </w:pPr>
      <w:r w:rsidRPr="00CC1F49">
        <w:rPr>
          <w:b/>
          <w:lang w:val="fr-FR"/>
        </w:rPr>
        <w:t>S</w:t>
      </w:r>
      <w:r>
        <w:rPr>
          <w:b/>
          <w:lang w:val="fr-FR"/>
        </w:rPr>
        <w:t xml:space="preserve">oixante-treizième </w:t>
      </w:r>
      <w:r w:rsidRPr="00CC1F49">
        <w:rPr>
          <w:b/>
          <w:lang w:val="fr-FR"/>
        </w:rPr>
        <w:t xml:space="preserve">session </w:t>
      </w:r>
    </w:p>
    <w:p w:rsidR="00496077" w:rsidRPr="00CC1F49" w:rsidRDefault="00496077" w:rsidP="00496077">
      <w:pPr>
        <w:rPr>
          <w:bCs/>
          <w:lang w:val="fr-FR"/>
        </w:rPr>
      </w:pPr>
      <w:r w:rsidRPr="00CC1F49">
        <w:rPr>
          <w:lang w:val="fr-FR"/>
        </w:rPr>
        <w:t>Gen</w:t>
      </w:r>
      <w:r>
        <w:rPr>
          <w:lang w:val="fr-FR"/>
        </w:rPr>
        <w:t>ève</w:t>
      </w:r>
      <w:r w:rsidRPr="00CC1F49">
        <w:rPr>
          <w:bCs/>
          <w:lang w:val="fr-FR"/>
        </w:rPr>
        <w:t>, 26</w:t>
      </w:r>
      <w:r>
        <w:rPr>
          <w:bCs/>
          <w:lang w:val="fr-FR"/>
        </w:rPr>
        <w:t>-</w:t>
      </w:r>
      <w:r w:rsidRPr="00CC1F49">
        <w:rPr>
          <w:bCs/>
          <w:lang w:val="fr-FR"/>
        </w:rPr>
        <w:t xml:space="preserve">29 </w:t>
      </w:r>
      <w:r>
        <w:rPr>
          <w:bCs/>
          <w:lang w:val="fr-FR"/>
        </w:rPr>
        <w:t>janvier</w:t>
      </w:r>
      <w:r w:rsidRPr="00CC1F49">
        <w:rPr>
          <w:bCs/>
          <w:lang w:val="fr-FR"/>
        </w:rPr>
        <w:t xml:space="preserve"> 2021</w:t>
      </w:r>
    </w:p>
    <w:p w:rsidR="00496077" w:rsidRPr="00CC1F49" w:rsidRDefault="00496077" w:rsidP="00496077">
      <w:pPr>
        <w:rPr>
          <w:bCs/>
          <w:lang w:val="fr-FR"/>
        </w:rPr>
      </w:pPr>
      <w:r>
        <w:rPr>
          <w:bCs/>
          <w:lang w:val="fr-FR"/>
        </w:rPr>
        <w:t xml:space="preserve">Point </w:t>
      </w:r>
      <w:r w:rsidRPr="00CC1F49">
        <w:rPr>
          <w:bCs/>
          <w:lang w:val="fr-FR"/>
        </w:rPr>
        <w:t xml:space="preserve">5 b) </w:t>
      </w:r>
      <w:r>
        <w:rPr>
          <w:bCs/>
          <w:lang w:val="fr-FR"/>
        </w:rPr>
        <w:t>de l</w:t>
      </w:r>
      <w:r>
        <w:rPr>
          <w:bCs/>
          <w:lang w:val="fr-FR"/>
        </w:rPr>
        <w:t>’</w:t>
      </w:r>
      <w:r>
        <w:rPr>
          <w:bCs/>
          <w:lang w:val="fr-FR"/>
        </w:rPr>
        <w:t>ordre du jour provisoire</w:t>
      </w:r>
    </w:p>
    <w:p w:rsidR="00496077" w:rsidRPr="00CC1F49" w:rsidRDefault="00496077" w:rsidP="00496077">
      <w:pPr>
        <w:rPr>
          <w:b/>
          <w:bCs/>
          <w:lang w:val="fr-FR"/>
        </w:rPr>
      </w:pPr>
      <w:r>
        <w:rPr>
          <w:b/>
          <w:bCs/>
          <w:lang w:val="fr-FR"/>
        </w:rPr>
        <w:t>Pneumatiques</w:t>
      </w:r>
      <w:r>
        <w:rPr>
          <w:b/>
          <w:bCs/>
          <w:lang w:val="fr-FR"/>
        </w:rPr>
        <w:t> </w:t>
      </w:r>
      <w:r w:rsidRPr="00CC1F49">
        <w:rPr>
          <w:b/>
          <w:bCs/>
          <w:lang w:val="fr-FR"/>
        </w:rPr>
        <w:t>: Règlement ONU n</w:t>
      </w:r>
      <w:r w:rsidRPr="00EB2A6D">
        <w:rPr>
          <w:b/>
          <w:bCs/>
          <w:vertAlign w:val="superscript"/>
          <w:lang w:val="fr-FR"/>
        </w:rPr>
        <w:t>o</w:t>
      </w:r>
      <w:r w:rsidRPr="00CC1F49">
        <w:rPr>
          <w:b/>
          <w:bCs/>
          <w:lang w:val="fr-FR"/>
        </w:rPr>
        <w:t xml:space="preserve"> 108 (Pneumatiques rechapés </w:t>
      </w:r>
      <w:r>
        <w:rPr>
          <w:b/>
          <w:bCs/>
          <w:lang w:val="fr-FR"/>
        </w:rPr>
        <w:br/>
      </w:r>
      <w:r w:rsidRPr="00CC1F49">
        <w:rPr>
          <w:b/>
          <w:bCs/>
          <w:lang w:val="fr-FR"/>
        </w:rPr>
        <w:t>pour les voitures particulières et leurs remorques)</w:t>
      </w:r>
    </w:p>
    <w:p w:rsidR="00496077" w:rsidRPr="00496077" w:rsidRDefault="00496077" w:rsidP="00496077">
      <w:pPr>
        <w:pStyle w:val="HChG"/>
        <w:rPr>
          <w:sz w:val="24"/>
          <w:szCs w:val="24"/>
          <w:lang w:val="fr-FR"/>
        </w:rPr>
      </w:pPr>
      <w:r w:rsidRPr="00CC1F49">
        <w:rPr>
          <w:lang w:val="fr-FR"/>
        </w:rPr>
        <w:tab/>
      </w:r>
      <w:r w:rsidRPr="00CC1F49">
        <w:rPr>
          <w:lang w:val="fr-FR"/>
        </w:rPr>
        <w:tab/>
        <w:t>Propos</w:t>
      </w:r>
      <w:r>
        <w:rPr>
          <w:lang w:val="fr-FR"/>
        </w:rPr>
        <w:t>ition d</w:t>
      </w:r>
      <w:r>
        <w:rPr>
          <w:lang w:val="fr-FR"/>
        </w:rPr>
        <w:t>’</w:t>
      </w:r>
      <w:r>
        <w:rPr>
          <w:lang w:val="fr-FR"/>
        </w:rPr>
        <w:t>amendements au Règlement ONU n</w:t>
      </w:r>
      <w:r w:rsidRPr="00AE4255">
        <w:rPr>
          <w:vertAlign w:val="superscript"/>
          <w:lang w:val="fr-FR"/>
        </w:rPr>
        <w:t>o</w:t>
      </w:r>
      <w:r w:rsidRPr="00CC1F49">
        <w:rPr>
          <w:lang w:val="fr-FR"/>
        </w:rPr>
        <w:t xml:space="preserve"> 108</w:t>
      </w:r>
    </w:p>
    <w:p w:rsidR="00496077" w:rsidRPr="00496077" w:rsidRDefault="00496077" w:rsidP="00496077">
      <w:pPr>
        <w:pStyle w:val="H1G"/>
        <w:rPr>
          <w:lang w:val="fr-FR"/>
        </w:rPr>
      </w:pPr>
      <w:r w:rsidRPr="00496077">
        <w:rPr>
          <w:lang w:val="fr-FR"/>
        </w:rPr>
        <w:tab/>
      </w:r>
      <w:r w:rsidRPr="00496077">
        <w:rPr>
          <w:lang w:val="fr-FR"/>
        </w:rPr>
        <w:tab/>
        <w:t xml:space="preserve">Communication des experts du Bureau international permanent </w:t>
      </w:r>
      <w:r>
        <w:rPr>
          <w:lang w:val="fr-FR"/>
        </w:rPr>
        <w:br/>
      </w:r>
      <w:r w:rsidRPr="00496077">
        <w:rPr>
          <w:lang w:val="fr-FR"/>
        </w:rPr>
        <w:t>des associations de vendeurs et rechapeurs de pneumatiques (BIPAVER)</w:t>
      </w:r>
      <w:r w:rsidRPr="00496077">
        <w:rPr>
          <w:b w:val="0"/>
          <w:bCs/>
          <w:sz w:val="20"/>
          <w:lang w:val="fr-FR"/>
        </w:rPr>
        <w:footnoteReference w:customMarkFollows="1" w:id="2"/>
        <w:t>*</w:t>
      </w:r>
      <w:r w:rsidRPr="00496077">
        <w:rPr>
          <w:lang w:val="fr-FR"/>
        </w:rPr>
        <w:t xml:space="preserve"> </w:t>
      </w:r>
    </w:p>
    <w:p w:rsidR="00496077" w:rsidRPr="000B58F9" w:rsidRDefault="00496077" w:rsidP="00496077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Le texte ci-après, établi par les</w:t>
      </w:r>
      <w:r w:rsidRPr="00CC1F49">
        <w:rPr>
          <w:lang w:val="fr-FR"/>
        </w:rPr>
        <w:t xml:space="preserve"> experts </w:t>
      </w:r>
      <w:r>
        <w:rPr>
          <w:lang w:val="fr-FR"/>
        </w:rPr>
        <w:t>du</w:t>
      </w:r>
      <w:r w:rsidRPr="00CC1F49">
        <w:rPr>
          <w:lang w:val="fr-FR"/>
        </w:rPr>
        <w:t xml:space="preserve"> BIPAVER</w:t>
      </w:r>
      <w:r>
        <w:rPr>
          <w:lang w:val="fr-FR"/>
        </w:rPr>
        <w:t>, vise à mettre les dispositions relatives aux pneumatiques rechapés en concordance avec la proposition de la France concernant le Règlement ONU n</w:t>
      </w:r>
      <w:r w:rsidRPr="00AE4255">
        <w:rPr>
          <w:vertAlign w:val="superscript"/>
          <w:lang w:val="fr-FR"/>
        </w:rPr>
        <w:t>o</w:t>
      </w:r>
      <w:r>
        <w:rPr>
          <w:lang w:val="fr-FR"/>
        </w:rPr>
        <w:t xml:space="preserve"> 30 et avec la proposition de l</w:t>
      </w:r>
      <w:r>
        <w:rPr>
          <w:lang w:val="fr-FR"/>
        </w:rPr>
        <w:t>’</w:t>
      </w:r>
      <w:r w:rsidRPr="000B58F9">
        <w:rPr>
          <w:lang w:val="fr-FR"/>
        </w:rPr>
        <w:t xml:space="preserve">Organisation technique européenne du pneumatique et de la jante </w:t>
      </w:r>
      <w:r w:rsidRPr="00CC1F49">
        <w:rPr>
          <w:lang w:val="fr-FR"/>
        </w:rPr>
        <w:t xml:space="preserve">(ETRTO) </w:t>
      </w:r>
      <w:r>
        <w:rPr>
          <w:lang w:val="fr-FR"/>
        </w:rPr>
        <w:t>concernant le Règlement ONU n</w:t>
      </w:r>
      <w:r w:rsidRPr="00AE4255">
        <w:rPr>
          <w:vertAlign w:val="superscript"/>
          <w:lang w:val="fr-FR"/>
        </w:rPr>
        <w:t>o</w:t>
      </w:r>
      <w:r w:rsidRPr="00CC1F49">
        <w:rPr>
          <w:lang w:val="fr-FR"/>
        </w:rPr>
        <w:t xml:space="preserve"> 117. </w:t>
      </w:r>
      <w:r w:rsidRPr="000B58F9">
        <w:rPr>
          <w:lang w:val="fr-FR"/>
        </w:rPr>
        <w:t>Les modifications qu</w:t>
      </w:r>
      <w:r>
        <w:rPr>
          <w:lang w:val="fr-FR"/>
        </w:rPr>
        <w:t>’</w:t>
      </w:r>
      <w:r w:rsidRPr="000B58F9">
        <w:rPr>
          <w:lang w:val="fr-FR"/>
        </w:rPr>
        <w:t>il est proposé d</w:t>
      </w:r>
      <w:r>
        <w:rPr>
          <w:lang w:val="fr-FR"/>
        </w:rPr>
        <w:t>’</w:t>
      </w:r>
      <w:r w:rsidRPr="000B58F9">
        <w:rPr>
          <w:lang w:val="fr-FR"/>
        </w:rPr>
        <w:t>apporter au texte actuel du Règlement figurent en caractères gras pour les ajouts et biffés pour les suppressions.</w:t>
      </w:r>
      <w:r w:rsidRPr="00CC1F49">
        <w:rPr>
          <w:lang w:val="fr-FR"/>
        </w:rPr>
        <w:t xml:space="preserve"> </w:t>
      </w:r>
      <w:r w:rsidRPr="000B58F9">
        <w:rPr>
          <w:lang w:val="fr-FR"/>
        </w:rPr>
        <w:t xml:space="preserve">Pour </w:t>
      </w:r>
      <w:r>
        <w:rPr>
          <w:lang w:val="fr-FR"/>
        </w:rPr>
        <w:t xml:space="preserve">que la </w:t>
      </w:r>
      <w:r w:rsidRPr="000B58F9">
        <w:rPr>
          <w:lang w:val="fr-FR"/>
        </w:rPr>
        <w:t>lecture</w:t>
      </w:r>
      <w:r>
        <w:rPr>
          <w:lang w:val="fr-FR"/>
        </w:rPr>
        <w:t xml:space="preserve"> soit plus simple</w:t>
      </w:r>
      <w:r w:rsidRPr="000B58F9">
        <w:rPr>
          <w:lang w:val="fr-FR"/>
        </w:rPr>
        <w:t>, les paragraphes qui c</w:t>
      </w:r>
      <w:r>
        <w:rPr>
          <w:lang w:val="fr-FR"/>
        </w:rPr>
        <w:t>ontiennent des termes de physique ou de mathématique ou bien des formules ont été entièrement supprimés et remplacés</w:t>
      </w:r>
      <w:r w:rsidRPr="000B58F9">
        <w:rPr>
          <w:lang w:val="fr-FR"/>
        </w:rPr>
        <w:t xml:space="preserve">. </w:t>
      </w:r>
    </w:p>
    <w:p w:rsidR="00496077" w:rsidRPr="00CC1F49" w:rsidRDefault="00496077" w:rsidP="00496077">
      <w:pPr>
        <w:pStyle w:val="HChG"/>
        <w:rPr>
          <w:lang w:val="fr-FR"/>
        </w:rPr>
      </w:pPr>
      <w:r>
        <w:rPr>
          <w:lang w:val="fr-FR"/>
        </w:rPr>
        <w:br w:type="page"/>
      </w:r>
      <w:r w:rsidRPr="000B58F9">
        <w:rPr>
          <w:lang w:val="fr-FR"/>
        </w:rPr>
        <w:lastRenderedPageBreak/>
        <w:tab/>
      </w:r>
      <w:r w:rsidRPr="00CC1F49">
        <w:rPr>
          <w:lang w:val="fr-FR"/>
        </w:rPr>
        <w:t>I.</w:t>
      </w:r>
      <w:r w:rsidRPr="00CC1F49">
        <w:rPr>
          <w:lang w:val="fr-FR"/>
        </w:rPr>
        <w:tab/>
        <w:t>Propos</w:t>
      </w:r>
      <w:r>
        <w:rPr>
          <w:lang w:val="fr-FR"/>
        </w:rPr>
        <w:t>ition</w:t>
      </w:r>
    </w:p>
    <w:p w:rsidR="00496077" w:rsidRPr="00CC1F49" w:rsidRDefault="00496077" w:rsidP="00496077">
      <w:pPr>
        <w:pStyle w:val="SingleTxtG"/>
        <w:rPr>
          <w:lang w:val="fr-FR"/>
        </w:rPr>
      </w:pPr>
      <w:r w:rsidRPr="00496077">
        <w:rPr>
          <w:i/>
          <w:iCs/>
          <w:lang w:val="fr-FR"/>
        </w:rPr>
        <w:t>Paragraphe 2.2.3</w:t>
      </w:r>
      <w:r w:rsidRPr="00CC1F49">
        <w:rPr>
          <w:lang w:val="fr-FR"/>
        </w:rPr>
        <w:t xml:space="preserve">, </w:t>
      </w:r>
      <w:r>
        <w:rPr>
          <w:lang w:val="fr-FR"/>
        </w:rPr>
        <w:t>lire </w:t>
      </w:r>
      <w:r w:rsidRPr="00CC1F49">
        <w:rPr>
          <w:lang w:val="fr-FR"/>
        </w:rPr>
        <w:t>:</w:t>
      </w:r>
    </w:p>
    <w:p w:rsidR="00496077" w:rsidRPr="004755EB" w:rsidRDefault="00496077" w:rsidP="0049607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C1F49">
        <w:rPr>
          <w:lang w:val="fr-FR"/>
        </w:rPr>
        <w:t>2.2.3</w:t>
      </w:r>
      <w:r w:rsidRPr="00CC1F49">
        <w:rPr>
          <w:lang w:val="fr-FR"/>
        </w:rPr>
        <w:tab/>
      </w:r>
      <w:r w:rsidRPr="00CC1F49">
        <w:rPr>
          <w:lang w:val="fr-FR"/>
        </w:rPr>
        <w:tab/>
      </w:r>
      <w:r w:rsidR="00A033B9" w:rsidRPr="00A033B9">
        <w:t>“</w:t>
      </w:r>
      <w:r w:rsidRPr="004755EB">
        <w:rPr>
          <w:lang w:val="fr-FR"/>
        </w:rPr>
        <w:t>Radial</w:t>
      </w:r>
      <w:r w:rsidR="00A033B9" w:rsidRPr="00A033B9">
        <w:t>”</w:t>
      </w:r>
      <w:r w:rsidRPr="004755EB">
        <w:rPr>
          <w:lang w:val="fr-FR"/>
        </w:rPr>
        <w:t>, un pneumatique dont les câblés des plis s</w:t>
      </w:r>
      <w:r>
        <w:rPr>
          <w:lang w:val="fr-FR"/>
        </w:rPr>
        <w:t>’</w:t>
      </w:r>
      <w:r w:rsidRPr="004755EB">
        <w:rPr>
          <w:lang w:val="fr-FR"/>
        </w:rPr>
        <w:t>étendent jusqu</w:t>
      </w:r>
      <w:r>
        <w:rPr>
          <w:lang w:val="fr-FR"/>
        </w:rPr>
        <w:t>’</w:t>
      </w:r>
      <w:r w:rsidRPr="004755EB">
        <w:rPr>
          <w:lang w:val="fr-FR"/>
        </w:rPr>
        <w:t>aux talons et sont orientés de façon à former un angle sensiblement égal à 90</w:t>
      </w:r>
      <w:r>
        <w:rPr>
          <w:lang w:val="fr-FR"/>
        </w:rPr>
        <w:t>°</w:t>
      </w:r>
      <w:r w:rsidRPr="004755EB">
        <w:rPr>
          <w:lang w:val="fr-FR"/>
        </w:rPr>
        <w:t xml:space="preserve"> par rapport à la ligne médiane de la bande de roulement </w:t>
      </w:r>
      <w:r w:rsidRPr="004755EB">
        <w:rPr>
          <w:strike/>
          <w:lang w:val="fr-FR"/>
        </w:rPr>
        <w:t>et dont la carcasse est stabilisée par une ceinture circonférentielle essentiellement inextensible</w:t>
      </w:r>
      <w:r w:rsidRPr="00A033B9">
        <w:rPr>
          <w:strike/>
          <w:lang w:val="fr-FR"/>
        </w:rPr>
        <w:t xml:space="preserve"> </w:t>
      </w:r>
      <w:r w:rsidRPr="004755EB">
        <w:rPr>
          <w:b/>
          <w:bCs/>
          <w:lang w:val="fr-FR"/>
        </w:rPr>
        <w:t xml:space="preserve">dans une zone située </w:t>
      </w:r>
      <w:r>
        <w:rPr>
          <w:b/>
          <w:bCs/>
          <w:lang w:val="fr-FR"/>
        </w:rPr>
        <w:t>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extérieur des</w:t>
      </w:r>
      <w:r w:rsidRPr="004755EB">
        <w:rPr>
          <w:b/>
          <w:bCs/>
          <w:lang w:val="fr-FR"/>
        </w:rPr>
        <w:t xml:space="preserve"> talon</w:t>
      </w:r>
      <w:r>
        <w:rPr>
          <w:b/>
          <w:bCs/>
          <w:lang w:val="fr-FR"/>
        </w:rPr>
        <w:t>s</w:t>
      </w:r>
      <w:r w:rsidRPr="004755EB">
        <w:rPr>
          <w:b/>
          <w:bCs/>
          <w:lang w:val="fr-FR"/>
        </w:rPr>
        <w:t xml:space="preserve"> et de la ceinture circonférentielle inextensible qui stabilise la carcasse</w:t>
      </w:r>
      <w:r>
        <w:rPr>
          <w:lang w:val="fr-FR"/>
        </w:rPr>
        <w:t>. ».</w:t>
      </w:r>
    </w:p>
    <w:p w:rsidR="00496077" w:rsidRPr="00CC1F49" w:rsidRDefault="00496077" w:rsidP="00496077">
      <w:pPr>
        <w:pStyle w:val="SingleTxtG"/>
        <w:rPr>
          <w:lang w:val="fr-FR"/>
        </w:rPr>
      </w:pPr>
      <w:r w:rsidRPr="00CC1F49">
        <w:rPr>
          <w:i/>
          <w:iCs/>
          <w:lang w:val="fr-FR"/>
        </w:rPr>
        <w:t>Paragraph</w:t>
      </w:r>
      <w:r>
        <w:rPr>
          <w:i/>
          <w:iCs/>
          <w:lang w:val="fr-FR"/>
        </w:rPr>
        <w:t>e</w:t>
      </w:r>
      <w:r w:rsidRPr="00CC1F49">
        <w:rPr>
          <w:i/>
          <w:iCs/>
          <w:lang w:val="fr-FR"/>
        </w:rPr>
        <w:t xml:space="preserve"> 2.49, </w:t>
      </w:r>
      <w:r>
        <w:rPr>
          <w:lang w:val="fr-FR"/>
        </w:rPr>
        <w:t>lire </w:t>
      </w:r>
      <w:r w:rsidRPr="00CC1F49">
        <w:rPr>
          <w:lang w:val="fr-FR"/>
        </w:rPr>
        <w:t>:</w:t>
      </w:r>
    </w:p>
    <w:p w:rsidR="00496077" w:rsidRDefault="00496077" w:rsidP="00496077">
      <w:pPr>
        <w:pStyle w:val="SingleTxtG"/>
        <w:ind w:left="2268" w:hanging="1134"/>
        <w:rPr>
          <w:lang w:val="fr-FR"/>
        </w:rPr>
      </w:pPr>
      <w:r>
        <w:rPr>
          <w:bCs/>
          <w:lang w:val="fr-FR"/>
        </w:rPr>
        <w:t>« </w:t>
      </w:r>
      <w:r w:rsidRPr="00CC1F49">
        <w:rPr>
          <w:lang w:val="fr-FR"/>
        </w:rPr>
        <w:t>2.49</w:t>
      </w:r>
      <w:r w:rsidRPr="00CC1F49">
        <w:rPr>
          <w:lang w:val="fr-FR"/>
        </w:rPr>
        <w:tab/>
      </w:r>
      <w:r w:rsidR="00A033B9" w:rsidRPr="00A033B9">
        <w:t>“</w:t>
      </w:r>
      <w:r w:rsidRPr="007F18D1">
        <w:rPr>
          <w:i/>
          <w:iCs/>
          <w:lang w:val="fr-FR"/>
        </w:rPr>
        <w:t>Pneumatique d</w:t>
      </w:r>
      <w:r>
        <w:rPr>
          <w:i/>
          <w:iCs/>
          <w:lang w:val="fr-FR"/>
        </w:rPr>
        <w:t>’</w:t>
      </w:r>
      <w:r w:rsidRPr="007F18D1">
        <w:rPr>
          <w:i/>
          <w:iCs/>
          <w:lang w:val="fr-FR"/>
        </w:rPr>
        <w:t>essai de référence normalisé (SRTT)</w:t>
      </w:r>
      <w:r w:rsidR="00A033B9" w:rsidRPr="00A033B9">
        <w:t>”</w:t>
      </w:r>
      <w:r w:rsidRPr="004755EB">
        <w:rPr>
          <w:lang w:val="fr-FR"/>
        </w:rPr>
        <w:t xml:space="preserve">, un pneumatique qui est fabriqué, vérifié et stocké </w:t>
      </w:r>
      <w:r w:rsidRPr="00B72462">
        <w:rPr>
          <w:lang w:val="fr-FR"/>
        </w:rPr>
        <w:t xml:space="preserve">conformément aux normes suivantes </w:t>
      </w:r>
      <w:r w:rsidRPr="00B72462">
        <w:rPr>
          <w:strike/>
          <w:lang w:val="fr-FR"/>
        </w:rPr>
        <w:t>de l</w:t>
      </w:r>
      <w:r>
        <w:rPr>
          <w:strike/>
          <w:lang w:val="fr-FR"/>
        </w:rPr>
        <w:t>’</w:t>
      </w:r>
      <w:r w:rsidRPr="00B72462">
        <w:rPr>
          <w:strike/>
          <w:lang w:val="fr-FR"/>
        </w:rPr>
        <w:t>American Society for Testing and Materials (ASTM)</w:t>
      </w:r>
      <w:r>
        <w:rPr>
          <w:lang w:val="fr-FR"/>
        </w:rPr>
        <w:t> </w:t>
      </w:r>
      <w:r w:rsidRPr="00B72462">
        <w:rPr>
          <w:b/>
          <w:bCs/>
          <w:lang w:val="fr-FR"/>
        </w:rPr>
        <w:t>d</w:t>
      </w:r>
      <w:r>
        <w:rPr>
          <w:b/>
          <w:bCs/>
          <w:lang w:val="fr-FR"/>
        </w:rPr>
        <w:t>’</w:t>
      </w:r>
      <w:r w:rsidRPr="00B72462">
        <w:rPr>
          <w:b/>
          <w:bCs/>
          <w:lang w:val="fr-FR"/>
        </w:rPr>
        <w:t>ASTM International</w:t>
      </w:r>
      <w:r>
        <w:rPr>
          <w:lang w:val="fr-FR"/>
        </w:rPr>
        <w:t> :</w:t>
      </w:r>
    </w:p>
    <w:p w:rsidR="00496077" w:rsidRDefault="00496077" w:rsidP="00496077">
      <w:pPr>
        <w:pStyle w:val="SingleTxtG"/>
        <w:ind w:left="2835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B72462">
        <w:rPr>
          <w:lang w:val="fr-FR"/>
        </w:rPr>
        <w:t xml:space="preserve">E1136 </w:t>
      </w:r>
      <w:r w:rsidR="00A033B9">
        <w:rPr>
          <w:lang w:val="fr-FR"/>
        </w:rPr>
        <w:t>−</w:t>
      </w:r>
      <w:r w:rsidRPr="00B72462">
        <w:rPr>
          <w:lang w:val="fr-FR"/>
        </w:rPr>
        <w:t xml:space="preserve"> 17 pour la dimension P195/75 R14</w:t>
      </w:r>
      <w:r w:rsidR="00A033B9">
        <w:rPr>
          <w:lang w:val="fr-FR"/>
        </w:rPr>
        <w:t> </w:t>
      </w:r>
      <w:r w:rsidRPr="00B72462">
        <w:rPr>
          <w:lang w:val="fr-FR"/>
        </w:rPr>
        <w:t>;</w:t>
      </w:r>
      <w:r>
        <w:rPr>
          <w:lang w:val="fr-FR"/>
        </w:rPr>
        <w:t xml:space="preserve"> </w:t>
      </w:r>
      <w:r w:rsidRPr="00B72462">
        <w:rPr>
          <w:lang w:val="fr-FR"/>
        </w:rPr>
        <w:t xml:space="preserve">pneumatique dénommé </w:t>
      </w:r>
      <w:r w:rsidR="00A033B9" w:rsidRPr="00A033B9">
        <w:t>“</w:t>
      </w:r>
      <w:r w:rsidRPr="00B72462">
        <w:rPr>
          <w:lang w:val="fr-FR"/>
        </w:rPr>
        <w:t>SRTT14</w:t>
      </w:r>
      <w:r w:rsidR="00A033B9" w:rsidRPr="00A033B9">
        <w:t>”</w:t>
      </w:r>
      <w:r w:rsidR="00A033B9">
        <w:t> </w:t>
      </w:r>
      <w:r w:rsidRPr="00B72462">
        <w:rPr>
          <w:lang w:val="fr-FR"/>
        </w:rPr>
        <w:t>;</w:t>
      </w:r>
    </w:p>
    <w:p w:rsidR="00496077" w:rsidRPr="00A033B9" w:rsidRDefault="00496077" w:rsidP="00496077">
      <w:pPr>
        <w:pStyle w:val="SingleTxtG"/>
        <w:ind w:left="2835" w:hanging="567"/>
        <w:rPr>
          <w:strike/>
          <w:lang w:val="fr-FR"/>
        </w:rPr>
      </w:pPr>
      <w:r w:rsidRPr="00A033B9">
        <w:rPr>
          <w:strike/>
          <w:lang w:val="fr-FR"/>
        </w:rPr>
        <w:t>b)</w:t>
      </w:r>
      <w:r w:rsidRPr="00A033B9">
        <w:rPr>
          <w:strike/>
          <w:lang w:val="fr-FR"/>
        </w:rPr>
        <w:tab/>
        <w:t>F2872 – 16 pour la dimension 225/75 R16C</w:t>
      </w:r>
      <w:r w:rsidR="00A033B9" w:rsidRPr="00A033B9">
        <w:rPr>
          <w:strike/>
          <w:lang w:val="fr-FR"/>
        </w:rPr>
        <w:t> </w:t>
      </w:r>
      <w:r w:rsidRPr="00A033B9">
        <w:rPr>
          <w:strike/>
          <w:lang w:val="fr-FR"/>
        </w:rPr>
        <w:t xml:space="preserve">; pneumatique dénommé </w:t>
      </w:r>
      <w:r w:rsidR="00A033B9" w:rsidRPr="00A033B9">
        <w:rPr>
          <w:strike/>
        </w:rPr>
        <w:t>“</w:t>
      </w:r>
      <w:r w:rsidRPr="00A033B9">
        <w:rPr>
          <w:strike/>
          <w:lang w:val="fr-FR"/>
        </w:rPr>
        <w:t>SRTT16C</w:t>
      </w:r>
      <w:r w:rsidR="00A033B9" w:rsidRPr="00A033B9">
        <w:rPr>
          <w:strike/>
        </w:rPr>
        <w:t>”</w:t>
      </w:r>
      <w:r w:rsidR="00A033B9" w:rsidRPr="00A033B9">
        <w:rPr>
          <w:strike/>
        </w:rPr>
        <w:t> </w:t>
      </w:r>
      <w:r w:rsidRPr="00A033B9">
        <w:rPr>
          <w:strike/>
          <w:lang w:val="fr-FR"/>
        </w:rPr>
        <w:t>;</w:t>
      </w:r>
    </w:p>
    <w:p w:rsidR="00496077" w:rsidRPr="00B72462" w:rsidRDefault="00496077" w:rsidP="00496077">
      <w:pPr>
        <w:pStyle w:val="SingleTxtG"/>
        <w:ind w:left="2835" w:hanging="567"/>
        <w:rPr>
          <w:b/>
          <w:bCs/>
          <w:lang w:val="fr-FR"/>
        </w:rPr>
      </w:pPr>
      <w:r w:rsidRPr="00B72462">
        <w:rPr>
          <w:b/>
          <w:bCs/>
          <w:lang w:val="fr-FR"/>
        </w:rPr>
        <w:t>b)</w:t>
      </w:r>
      <w:r w:rsidRPr="00B72462">
        <w:rPr>
          <w:b/>
          <w:bCs/>
          <w:lang w:val="fr-FR"/>
        </w:rPr>
        <w:tab/>
        <w:t>F2493-19 pour la dimension P225/</w:t>
      </w:r>
      <w:r>
        <w:rPr>
          <w:b/>
          <w:bCs/>
          <w:lang w:val="fr-FR"/>
        </w:rPr>
        <w:t>60</w:t>
      </w:r>
      <w:r w:rsidRPr="00B72462">
        <w:rPr>
          <w:b/>
          <w:bCs/>
          <w:lang w:val="fr-FR"/>
        </w:rPr>
        <w:t xml:space="preserve">R16 ; pneumatique dénommé </w:t>
      </w:r>
      <w:r w:rsidR="00A033B9" w:rsidRPr="00A033B9">
        <w:rPr>
          <w:b/>
          <w:bCs/>
        </w:rPr>
        <w:t>“</w:t>
      </w:r>
      <w:r w:rsidRPr="00B72462">
        <w:rPr>
          <w:b/>
          <w:bCs/>
          <w:lang w:val="fr-FR"/>
        </w:rPr>
        <w:t>SRTT16</w:t>
      </w:r>
      <w:r w:rsidR="00A033B9" w:rsidRPr="00A033B9">
        <w:rPr>
          <w:b/>
          <w:bCs/>
        </w:rPr>
        <w:t>”</w:t>
      </w:r>
      <w:r w:rsidRPr="00B72462">
        <w:rPr>
          <w:b/>
          <w:bCs/>
          <w:lang w:val="fr-FR"/>
        </w:rPr>
        <w:t> ;</w:t>
      </w:r>
      <w:r>
        <w:rPr>
          <w:b/>
          <w:bCs/>
          <w:lang w:val="fr-FR"/>
        </w:rPr>
        <w:t> </w:t>
      </w:r>
      <w:r w:rsidRPr="001731F0">
        <w:rPr>
          <w:lang w:val="fr-FR"/>
        </w:rPr>
        <w:t>».</w:t>
      </w:r>
    </w:p>
    <w:p w:rsidR="00496077" w:rsidRPr="00CC1F49" w:rsidRDefault="00496077" w:rsidP="00496077">
      <w:pPr>
        <w:pStyle w:val="SingleTxtG"/>
        <w:rPr>
          <w:lang w:val="fr-FR"/>
        </w:rPr>
      </w:pPr>
      <w:r w:rsidRPr="00CC1F49">
        <w:rPr>
          <w:i/>
          <w:iCs/>
          <w:lang w:val="fr-FR"/>
        </w:rPr>
        <w:t>Paragraph</w:t>
      </w:r>
      <w:r>
        <w:rPr>
          <w:i/>
          <w:iCs/>
          <w:lang w:val="fr-FR"/>
        </w:rPr>
        <w:t>e</w:t>
      </w:r>
      <w:r w:rsidRPr="00CC1F49">
        <w:rPr>
          <w:i/>
          <w:iCs/>
          <w:lang w:val="fr-FR"/>
        </w:rPr>
        <w:t xml:space="preserve"> 2.51, </w:t>
      </w:r>
      <w:r>
        <w:rPr>
          <w:lang w:val="fr-FR"/>
        </w:rPr>
        <w:t>lire </w:t>
      </w:r>
      <w:r w:rsidRPr="00CC1F49">
        <w:rPr>
          <w:lang w:val="fr-FR"/>
        </w:rPr>
        <w:t>:</w:t>
      </w:r>
    </w:p>
    <w:p w:rsidR="00496077" w:rsidRPr="00CC1F49" w:rsidRDefault="00496077" w:rsidP="0049607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C1F49">
        <w:rPr>
          <w:lang w:val="fr-FR"/>
        </w:rPr>
        <w:t>2.51</w:t>
      </w:r>
      <w:r w:rsidRPr="00CC1F49">
        <w:rPr>
          <w:lang w:val="fr-FR"/>
        </w:rPr>
        <w:tab/>
      </w:r>
      <w:r w:rsidR="00A033B9" w:rsidRPr="00A033B9">
        <w:t>“</w:t>
      </w:r>
      <w:r w:rsidRPr="00A05C58">
        <w:rPr>
          <w:i/>
          <w:iCs/>
          <w:lang w:val="fr-FR"/>
        </w:rPr>
        <w:t>Indice d</w:t>
      </w:r>
      <w:r>
        <w:rPr>
          <w:i/>
          <w:iCs/>
          <w:lang w:val="fr-FR"/>
        </w:rPr>
        <w:t>’</w:t>
      </w:r>
      <w:r w:rsidRPr="00A05C58">
        <w:rPr>
          <w:i/>
          <w:iCs/>
          <w:lang w:val="fr-FR"/>
        </w:rPr>
        <w:t>adhérence sur neige (SG)</w:t>
      </w:r>
      <w:r w:rsidR="00A033B9" w:rsidRPr="00A033B9">
        <w:t>”</w:t>
      </w:r>
      <w:r w:rsidRPr="007F18D1">
        <w:rPr>
          <w:lang w:val="fr-FR"/>
        </w:rPr>
        <w:t>, le rapport entre les performances d</w:t>
      </w:r>
      <w:r>
        <w:rPr>
          <w:lang w:val="fr-FR"/>
        </w:rPr>
        <w:t>’</w:t>
      </w:r>
      <w:r w:rsidRPr="007F18D1">
        <w:rPr>
          <w:lang w:val="fr-FR"/>
        </w:rPr>
        <w:t xml:space="preserve">adhérence </w:t>
      </w:r>
      <w:r w:rsidRPr="00A05C58">
        <w:rPr>
          <w:b/>
          <w:bCs/>
          <w:lang w:val="fr-FR"/>
        </w:rPr>
        <w:t>sur neige</w:t>
      </w:r>
      <w:r>
        <w:rPr>
          <w:lang w:val="fr-FR"/>
        </w:rPr>
        <w:t xml:space="preserve"> </w:t>
      </w:r>
      <w:r w:rsidRPr="00A05C58">
        <w:rPr>
          <w:strike/>
          <w:lang w:val="fr-FR"/>
        </w:rPr>
        <w:t>du</w:t>
      </w:r>
      <w:r w:rsidRPr="00A033B9">
        <w:rPr>
          <w:strike/>
          <w:lang w:val="fr-FR"/>
        </w:rPr>
        <w:t xml:space="preserve"> </w:t>
      </w:r>
      <w:r w:rsidRPr="00A05C58">
        <w:rPr>
          <w:b/>
          <w:bCs/>
          <w:lang w:val="fr-FR"/>
        </w:rPr>
        <w:t>d</w:t>
      </w:r>
      <w:r>
        <w:rPr>
          <w:b/>
          <w:bCs/>
          <w:lang w:val="fr-FR"/>
        </w:rPr>
        <w:t>’</w:t>
      </w:r>
      <w:r w:rsidRPr="00A05C58">
        <w:rPr>
          <w:b/>
          <w:bCs/>
          <w:lang w:val="fr-FR"/>
        </w:rPr>
        <w:t>un</w:t>
      </w:r>
      <w:r w:rsidRPr="007F18D1">
        <w:rPr>
          <w:lang w:val="fr-FR"/>
        </w:rPr>
        <w:t xml:space="preserve"> pneumatique à contrôler et celles du </w:t>
      </w:r>
      <w:r w:rsidRPr="00E346B9">
        <w:rPr>
          <w:strike/>
          <w:lang w:val="fr-FR"/>
        </w:rPr>
        <w:t>pneumatique d</w:t>
      </w:r>
      <w:r>
        <w:rPr>
          <w:strike/>
          <w:lang w:val="fr-FR"/>
        </w:rPr>
        <w:t>’</w:t>
      </w:r>
      <w:r w:rsidRPr="00E346B9">
        <w:rPr>
          <w:strike/>
          <w:lang w:val="fr-FR"/>
        </w:rPr>
        <w:t>essai de référence normalisé</w:t>
      </w:r>
      <w:r w:rsidRPr="00E346B9">
        <w:rPr>
          <w:b/>
          <w:bCs/>
          <w:lang w:val="fr-FR"/>
        </w:rPr>
        <w:t xml:space="preserve"> SRTT applicable</w:t>
      </w:r>
      <w:r w:rsidRPr="007F18D1">
        <w:rPr>
          <w:lang w:val="fr-FR"/>
        </w:rPr>
        <w:t>.</w:t>
      </w:r>
      <w:r>
        <w:rPr>
          <w:lang w:val="fr-FR"/>
        </w:rPr>
        <w:t> ».</w:t>
      </w:r>
    </w:p>
    <w:p w:rsidR="00496077" w:rsidRPr="00CC1F49" w:rsidRDefault="00496077" w:rsidP="00496077">
      <w:pPr>
        <w:pStyle w:val="SingleTxtG"/>
        <w:rPr>
          <w:bCs/>
          <w:iCs/>
          <w:lang w:val="fr-FR"/>
        </w:rPr>
      </w:pPr>
      <w:r w:rsidRPr="00CC1F49">
        <w:rPr>
          <w:bCs/>
          <w:i/>
          <w:lang w:val="fr-FR"/>
        </w:rPr>
        <w:t>Paragraph</w:t>
      </w:r>
      <w:r>
        <w:rPr>
          <w:bCs/>
          <w:i/>
          <w:lang w:val="fr-FR"/>
        </w:rPr>
        <w:t>e</w:t>
      </w:r>
      <w:r w:rsidRPr="00CC1F49">
        <w:rPr>
          <w:bCs/>
          <w:i/>
          <w:lang w:val="fr-FR"/>
        </w:rPr>
        <w:t xml:space="preserve"> 3.4, </w:t>
      </w:r>
      <w:r>
        <w:rPr>
          <w:bCs/>
          <w:iCs/>
          <w:lang w:val="fr-FR"/>
        </w:rPr>
        <w:t>lire </w:t>
      </w:r>
      <w:r w:rsidRPr="00CC1F49">
        <w:rPr>
          <w:bCs/>
          <w:iCs/>
          <w:lang w:val="fr-FR"/>
        </w:rPr>
        <w:t>:</w:t>
      </w:r>
    </w:p>
    <w:p w:rsidR="00496077" w:rsidRPr="00CC1F49" w:rsidRDefault="00496077" w:rsidP="00496077">
      <w:pPr>
        <w:pStyle w:val="SingleTxtG"/>
        <w:ind w:left="2268" w:hanging="1134"/>
        <w:rPr>
          <w:bCs/>
          <w:lang w:val="fr-FR"/>
        </w:rPr>
      </w:pPr>
      <w:r>
        <w:rPr>
          <w:bCs/>
          <w:lang w:val="fr-FR"/>
        </w:rPr>
        <w:t>« </w:t>
      </w:r>
      <w:r w:rsidRPr="00CC1F49">
        <w:rPr>
          <w:bCs/>
          <w:lang w:val="fr-FR"/>
        </w:rPr>
        <w:t>3.4</w:t>
      </w:r>
      <w:r w:rsidRPr="00CC1F49">
        <w:rPr>
          <w:bCs/>
          <w:lang w:val="fr-FR"/>
        </w:rPr>
        <w:tab/>
      </w:r>
      <w:r w:rsidRPr="00E346B9">
        <w:rPr>
          <w:bCs/>
          <w:lang w:val="fr-FR"/>
        </w:rPr>
        <w:t>Après homologation, les marques mentionnées au paragraphe 5.8</w:t>
      </w:r>
      <w:r>
        <w:rPr>
          <w:bCs/>
          <w:lang w:val="fr-FR"/>
        </w:rPr>
        <w:t xml:space="preserve"> </w:t>
      </w:r>
      <w:r w:rsidRPr="00E346B9">
        <w:rPr>
          <w:bCs/>
          <w:lang w:val="fr-FR"/>
        </w:rPr>
        <w:t>et indiquées à l</w:t>
      </w:r>
      <w:r>
        <w:rPr>
          <w:bCs/>
          <w:lang w:val="fr-FR"/>
        </w:rPr>
        <w:t>’</w:t>
      </w:r>
      <w:r w:rsidRPr="00E346B9">
        <w:rPr>
          <w:bCs/>
          <w:lang w:val="fr-FR"/>
        </w:rPr>
        <w:t xml:space="preserve">annexe 2 du présent Règlement </w:t>
      </w:r>
      <w:r w:rsidRPr="00530A55">
        <w:rPr>
          <w:b/>
          <w:lang w:val="fr-FR"/>
        </w:rPr>
        <w:t>doivent être nettement lisibles et indélébiles, apparaître en saillie ou en creux par rapport à la surface du pneumatique et être</w:t>
      </w:r>
      <w:r>
        <w:rPr>
          <w:bCs/>
          <w:lang w:val="fr-FR"/>
        </w:rPr>
        <w:t xml:space="preserve"> </w:t>
      </w:r>
      <w:r w:rsidRPr="00530A55">
        <w:rPr>
          <w:bCs/>
          <w:strike/>
          <w:lang w:val="fr-FR"/>
        </w:rPr>
        <w:t>seront</w:t>
      </w:r>
      <w:r w:rsidRPr="00A033B9">
        <w:rPr>
          <w:bCs/>
          <w:strike/>
          <w:lang w:val="fr-FR"/>
        </w:rPr>
        <w:t xml:space="preserve"> </w:t>
      </w:r>
      <w:r w:rsidRPr="00E346B9">
        <w:rPr>
          <w:bCs/>
          <w:lang w:val="fr-FR"/>
        </w:rPr>
        <w:t>apposées</w:t>
      </w:r>
      <w:r>
        <w:rPr>
          <w:bCs/>
          <w:lang w:val="fr-FR"/>
        </w:rPr>
        <w:t xml:space="preserve"> </w:t>
      </w:r>
      <w:r w:rsidRPr="00E346B9">
        <w:rPr>
          <w:bCs/>
          <w:lang w:val="fr-FR"/>
        </w:rPr>
        <w:t>dans l</w:t>
      </w:r>
      <w:r>
        <w:rPr>
          <w:bCs/>
          <w:lang w:val="fr-FR"/>
        </w:rPr>
        <w:t>’</w:t>
      </w:r>
      <w:r w:rsidRPr="00E346B9">
        <w:rPr>
          <w:bCs/>
          <w:lang w:val="fr-FR"/>
        </w:rPr>
        <w:t>emplacement visé au paragraphe</w:t>
      </w:r>
      <w:r w:rsidR="00A033B9">
        <w:rPr>
          <w:bCs/>
          <w:lang w:val="fr-FR"/>
        </w:rPr>
        <w:t> </w:t>
      </w:r>
      <w:r w:rsidRPr="00E346B9">
        <w:rPr>
          <w:bCs/>
          <w:lang w:val="fr-FR"/>
        </w:rPr>
        <w:t>3.3</w:t>
      </w:r>
      <w:r w:rsidR="00DF7136">
        <w:rPr>
          <w:bCs/>
          <w:lang w:val="fr-FR"/>
        </w:rPr>
        <w:t> </w:t>
      </w:r>
      <w:r w:rsidRPr="00E346B9">
        <w:rPr>
          <w:bCs/>
          <w:lang w:val="fr-FR"/>
        </w:rPr>
        <w:t>; ces marques peuvent</w:t>
      </w:r>
      <w:r>
        <w:rPr>
          <w:bCs/>
          <w:lang w:val="fr-FR"/>
        </w:rPr>
        <w:t xml:space="preserve"> </w:t>
      </w:r>
      <w:r w:rsidRPr="00E346B9">
        <w:rPr>
          <w:bCs/>
          <w:lang w:val="fr-FR"/>
        </w:rPr>
        <w:t>n</w:t>
      </w:r>
      <w:r>
        <w:rPr>
          <w:bCs/>
          <w:lang w:val="fr-FR"/>
        </w:rPr>
        <w:t>’</w:t>
      </w:r>
      <w:r w:rsidRPr="00E346B9">
        <w:rPr>
          <w:bCs/>
          <w:lang w:val="fr-FR"/>
        </w:rPr>
        <w:t>être apposées que sur un flanc</w:t>
      </w:r>
      <w:r>
        <w:rPr>
          <w:bCs/>
          <w:lang w:val="fr-FR"/>
        </w:rPr>
        <w:t> </w:t>
      </w:r>
      <w:r w:rsidRPr="00E346B9">
        <w:rPr>
          <w:bCs/>
          <w:lang w:val="fr-FR"/>
        </w:rPr>
        <w:t>;</w:t>
      </w:r>
      <w:r>
        <w:rPr>
          <w:bCs/>
          <w:lang w:val="fr-FR"/>
        </w:rPr>
        <w:t> ».</w:t>
      </w:r>
    </w:p>
    <w:p w:rsidR="00496077" w:rsidRPr="00CC1F49" w:rsidRDefault="00496077" w:rsidP="00496077">
      <w:pPr>
        <w:pStyle w:val="SingleTxtG"/>
        <w:rPr>
          <w:bCs/>
          <w:iCs/>
          <w:lang w:val="fr-FR"/>
        </w:rPr>
      </w:pPr>
      <w:r>
        <w:rPr>
          <w:bCs/>
          <w:i/>
          <w:lang w:val="fr-FR"/>
        </w:rPr>
        <w:t>Ajouter le nouveau</w:t>
      </w:r>
      <w:r w:rsidRPr="00CC1F49">
        <w:rPr>
          <w:bCs/>
          <w:i/>
          <w:lang w:val="fr-FR"/>
        </w:rPr>
        <w:t xml:space="preserve"> paragraph</w:t>
      </w:r>
      <w:r>
        <w:rPr>
          <w:bCs/>
          <w:i/>
          <w:lang w:val="fr-FR"/>
        </w:rPr>
        <w:t>e</w:t>
      </w:r>
      <w:r w:rsidRPr="00CC1F49">
        <w:rPr>
          <w:bCs/>
          <w:i/>
          <w:lang w:val="fr-FR"/>
        </w:rPr>
        <w:t xml:space="preserve"> 3.4.1</w:t>
      </w:r>
      <w:r>
        <w:rPr>
          <w:bCs/>
          <w:i/>
          <w:lang w:val="fr-FR"/>
        </w:rPr>
        <w:t>,</w:t>
      </w:r>
      <w:r w:rsidRPr="00CC1F49">
        <w:rPr>
          <w:bCs/>
          <w:iCs/>
          <w:lang w:val="fr-FR"/>
        </w:rPr>
        <w:t xml:space="preserve"> </w:t>
      </w:r>
      <w:r>
        <w:rPr>
          <w:bCs/>
          <w:iCs/>
          <w:lang w:val="fr-FR"/>
        </w:rPr>
        <w:t>libellé comme suit </w:t>
      </w:r>
      <w:r w:rsidRPr="00CC1F49">
        <w:rPr>
          <w:bCs/>
          <w:iCs/>
          <w:lang w:val="fr-FR"/>
        </w:rPr>
        <w:t>:</w:t>
      </w:r>
    </w:p>
    <w:p w:rsidR="00496077" w:rsidRPr="00CC1F49" w:rsidRDefault="00496077" w:rsidP="00496077">
      <w:pPr>
        <w:pStyle w:val="SingleTxtG"/>
        <w:ind w:left="2268" w:hanging="1134"/>
        <w:rPr>
          <w:b/>
          <w:bCs/>
          <w:lang w:val="fr-FR"/>
        </w:rPr>
      </w:pPr>
      <w:r>
        <w:rPr>
          <w:b/>
          <w:bCs/>
          <w:lang w:val="fr-FR"/>
        </w:rPr>
        <w:t>« </w:t>
      </w:r>
      <w:r w:rsidRPr="00CC1F49">
        <w:rPr>
          <w:b/>
          <w:bCs/>
          <w:lang w:val="fr-FR"/>
        </w:rPr>
        <w:t>3.4.1</w:t>
      </w:r>
      <w:r w:rsidRPr="00CC1F49">
        <w:rPr>
          <w:b/>
          <w:bCs/>
          <w:lang w:val="fr-FR"/>
        </w:rPr>
        <w:tab/>
      </w:r>
      <w:r w:rsidRPr="008A273E">
        <w:rPr>
          <w:b/>
          <w:bCs/>
          <w:lang w:val="fr-FR"/>
        </w:rPr>
        <w:t xml:space="preserve">Les </w:t>
      </w:r>
      <w:r>
        <w:rPr>
          <w:b/>
          <w:bCs/>
          <w:lang w:val="fr-FR"/>
        </w:rPr>
        <w:t>marques</w:t>
      </w:r>
      <w:r w:rsidRPr="008A273E">
        <w:rPr>
          <w:b/>
          <w:bCs/>
          <w:lang w:val="fr-FR"/>
        </w:rPr>
        <w:t xml:space="preserve"> doivent être situées dans la zone basse du pneumatique</w:t>
      </w:r>
      <w:r>
        <w:rPr>
          <w:b/>
          <w:bCs/>
          <w:lang w:val="fr-FR"/>
        </w:rPr>
        <w:t>,</w:t>
      </w:r>
      <w:r w:rsidRPr="008A273E">
        <w:rPr>
          <w:b/>
          <w:bCs/>
          <w:lang w:val="fr-FR"/>
        </w:rPr>
        <w:t xml:space="preserve"> sur au moins un des flancs, à l</w:t>
      </w:r>
      <w:r>
        <w:rPr>
          <w:b/>
          <w:bCs/>
          <w:lang w:val="fr-FR"/>
        </w:rPr>
        <w:t>’</w:t>
      </w:r>
      <w:r w:rsidRPr="008A273E">
        <w:rPr>
          <w:b/>
          <w:bCs/>
          <w:lang w:val="fr-FR"/>
        </w:rPr>
        <w:t>exception de</w:t>
      </w:r>
      <w:r>
        <w:rPr>
          <w:b/>
          <w:bCs/>
          <w:lang w:val="fr-FR"/>
        </w:rPr>
        <w:t xml:space="preserve">s </w:t>
      </w:r>
      <w:r w:rsidRPr="008A273E">
        <w:rPr>
          <w:b/>
          <w:bCs/>
          <w:lang w:val="fr-FR"/>
        </w:rPr>
        <w:t>inscription</w:t>
      </w:r>
      <w:r>
        <w:rPr>
          <w:b/>
          <w:bCs/>
          <w:lang w:val="fr-FR"/>
        </w:rPr>
        <w:t>s</w:t>
      </w:r>
      <w:r w:rsidRPr="008A273E">
        <w:rPr>
          <w:b/>
          <w:bCs/>
          <w:lang w:val="fr-FR"/>
        </w:rPr>
        <w:t xml:space="preserve"> mentionnée</w:t>
      </w:r>
      <w:r>
        <w:rPr>
          <w:b/>
          <w:bCs/>
          <w:lang w:val="fr-FR"/>
        </w:rPr>
        <w:t>s</w:t>
      </w:r>
      <w:r w:rsidRPr="008A273E">
        <w:rPr>
          <w:b/>
          <w:bCs/>
          <w:lang w:val="fr-FR"/>
        </w:rPr>
        <w:t xml:space="preserve"> aux paragraphes</w:t>
      </w:r>
      <w:r w:rsidR="00DF7136">
        <w:rPr>
          <w:b/>
          <w:bCs/>
          <w:lang w:val="fr-FR"/>
        </w:rPr>
        <w:t> </w:t>
      </w:r>
      <w:r>
        <w:rPr>
          <w:b/>
          <w:bCs/>
          <w:lang w:val="fr-FR"/>
        </w:rPr>
        <w:t>3.2.1 et 3.2.2.</w:t>
      </w:r>
      <w:r w:rsidRPr="00DF7136">
        <w:rPr>
          <w:lang w:val="fr-FR"/>
        </w:rPr>
        <w:t> »</w:t>
      </w:r>
      <w:r w:rsidRPr="001731F0">
        <w:rPr>
          <w:lang w:val="fr-FR"/>
        </w:rPr>
        <w:t>.</w:t>
      </w:r>
    </w:p>
    <w:p w:rsidR="00496077" w:rsidRPr="00CC1F49" w:rsidRDefault="00496077" w:rsidP="00496077">
      <w:pPr>
        <w:pStyle w:val="SingleTxtG"/>
        <w:rPr>
          <w:bCs/>
          <w:iCs/>
          <w:lang w:val="fr-FR"/>
        </w:rPr>
      </w:pPr>
      <w:r>
        <w:rPr>
          <w:bCs/>
          <w:i/>
          <w:lang w:val="fr-FR"/>
        </w:rPr>
        <w:t>Ajouter le nouveau</w:t>
      </w:r>
      <w:r w:rsidRPr="00CC1F49">
        <w:rPr>
          <w:bCs/>
          <w:i/>
          <w:lang w:val="fr-FR"/>
        </w:rPr>
        <w:t xml:space="preserve"> paragraph</w:t>
      </w:r>
      <w:r>
        <w:rPr>
          <w:bCs/>
          <w:i/>
          <w:lang w:val="fr-FR"/>
        </w:rPr>
        <w:t>e</w:t>
      </w:r>
      <w:r w:rsidRPr="00CC1F49">
        <w:rPr>
          <w:bCs/>
          <w:i/>
          <w:lang w:val="fr-FR"/>
        </w:rPr>
        <w:t xml:space="preserve"> 3.4.</w:t>
      </w:r>
      <w:r>
        <w:rPr>
          <w:bCs/>
          <w:i/>
          <w:lang w:val="fr-FR"/>
        </w:rPr>
        <w:t>2,</w:t>
      </w:r>
      <w:r w:rsidRPr="00CC1F49">
        <w:rPr>
          <w:bCs/>
          <w:iCs/>
          <w:lang w:val="fr-FR"/>
        </w:rPr>
        <w:t xml:space="preserve"> </w:t>
      </w:r>
      <w:r>
        <w:rPr>
          <w:bCs/>
          <w:iCs/>
          <w:lang w:val="fr-FR"/>
        </w:rPr>
        <w:t>libellé comme suit </w:t>
      </w:r>
      <w:r w:rsidRPr="00CC1F49">
        <w:rPr>
          <w:bCs/>
          <w:iCs/>
          <w:lang w:val="fr-FR"/>
        </w:rPr>
        <w:t>:</w:t>
      </w:r>
    </w:p>
    <w:p w:rsidR="00496077" w:rsidRPr="00CC1F49" w:rsidRDefault="00496077" w:rsidP="00496077">
      <w:pPr>
        <w:pStyle w:val="SingleTxtG"/>
        <w:ind w:left="2268" w:hanging="1134"/>
        <w:rPr>
          <w:b/>
          <w:bCs/>
          <w:lang w:val="fr-FR"/>
        </w:rPr>
      </w:pPr>
      <w:r>
        <w:rPr>
          <w:b/>
          <w:bCs/>
          <w:lang w:val="fr-FR"/>
        </w:rPr>
        <w:t>« </w:t>
      </w:r>
      <w:r w:rsidRPr="00CC1F49">
        <w:rPr>
          <w:b/>
          <w:bCs/>
          <w:lang w:val="fr-FR"/>
        </w:rPr>
        <w:t>3.4.2</w:t>
      </w:r>
      <w:r>
        <w:rPr>
          <w:b/>
          <w:bCs/>
          <w:lang w:val="fr-FR"/>
        </w:rPr>
        <w:tab/>
      </w:r>
      <w:r w:rsidRPr="008A273E">
        <w:rPr>
          <w:b/>
          <w:bCs/>
          <w:lang w:val="fr-FR"/>
        </w:rPr>
        <w:t>Lorsque la date de fabrication n</w:t>
      </w:r>
      <w:r>
        <w:rPr>
          <w:b/>
          <w:bCs/>
          <w:lang w:val="fr-FR"/>
        </w:rPr>
        <w:t>’</w:t>
      </w:r>
      <w:r w:rsidRPr="008A273E">
        <w:rPr>
          <w:b/>
          <w:bCs/>
          <w:lang w:val="fr-FR"/>
        </w:rPr>
        <w:t>est pas moulée, elle doit être inscrite sur le pneumatique au plus tard 24 heures après que celui-ci a été retiré du moule</w:t>
      </w:r>
      <w:r>
        <w:rPr>
          <w:b/>
          <w:bCs/>
          <w:lang w:val="fr-FR"/>
        </w:rPr>
        <w:t>. </w:t>
      </w:r>
      <w:r w:rsidRPr="00DF7136">
        <w:rPr>
          <w:lang w:val="fr-FR"/>
        </w:rPr>
        <w:t>».</w:t>
      </w:r>
    </w:p>
    <w:p w:rsidR="00496077" w:rsidRPr="00CC1F49" w:rsidRDefault="00496077" w:rsidP="00496077">
      <w:pPr>
        <w:pStyle w:val="SingleTxtG"/>
        <w:rPr>
          <w:bCs/>
          <w:iCs/>
          <w:lang w:val="fr-FR"/>
        </w:rPr>
      </w:pPr>
      <w:r w:rsidRPr="00CC1F49">
        <w:rPr>
          <w:bCs/>
          <w:i/>
          <w:lang w:val="fr-FR"/>
        </w:rPr>
        <w:t>Paragraph</w:t>
      </w:r>
      <w:r>
        <w:rPr>
          <w:bCs/>
          <w:i/>
          <w:lang w:val="fr-FR"/>
        </w:rPr>
        <w:t>e</w:t>
      </w:r>
      <w:r w:rsidRPr="00CC1F49">
        <w:rPr>
          <w:bCs/>
          <w:i/>
          <w:lang w:val="fr-FR"/>
        </w:rPr>
        <w:t xml:space="preserve"> 7.2, </w:t>
      </w:r>
      <w:r>
        <w:rPr>
          <w:bCs/>
          <w:iCs/>
          <w:lang w:val="fr-FR"/>
        </w:rPr>
        <w:t>lire </w:t>
      </w:r>
      <w:r w:rsidRPr="00CC1F49">
        <w:rPr>
          <w:bCs/>
          <w:iCs/>
          <w:lang w:val="fr-FR"/>
        </w:rPr>
        <w:t>:</w:t>
      </w:r>
    </w:p>
    <w:p w:rsidR="00496077" w:rsidRDefault="00496077" w:rsidP="00496077">
      <w:pPr>
        <w:pStyle w:val="SingleTxtG"/>
        <w:ind w:left="2268" w:hanging="1134"/>
        <w:rPr>
          <w:bCs/>
          <w:lang w:val="fr-FR"/>
        </w:rPr>
      </w:pPr>
      <w:r>
        <w:rPr>
          <w:bCs/>
          <w:lang w:val="fr-FR"/>
        </w:rPr>
        <w:t>« </w:t>
      </w:r>
      <w:r w:rsidRPr="00CC1F49">
        <w:rPr>
          <w:bCs/>
          <w:lang w:val="fr-FR"/>
        </w:rPr>
        <w:t>7.2</w:t>
      </w:r>
      <w:r w:rsidRPr="00CC1F49">
        <w:rPr>
          <w:bCs/>
          <w:lang w:val="fr-FR"/>
        </w:rPr>
        <w:tab/>
      </w:r>
      <w:r w:rsidRPr="00C460CE">
        <w:rPr>
          <w:bCs/>
          <w:lang w:val="fr-FR"/>
        </w:rPr>
        <w:t xml:space="preserve">Pour être classé comme </w:t>
      </w:r>
      <w:r w:rsidR="00DF7136" w:rsidRPr="00A033B9">
        <w:t>“</w:t>
      </w:r>
      <w:r w:rsidRPr="00C460CE">
        <w:rPr>
          <w:bCs/>
          <w:lang w:val="fr-FR"/>
        </w:rPr>
        <w:t>pneumatique pour conditions d</w:t>
      </w:r>
      <w:r>
        <w:rPr>
          <w:bCs/>
          <w:lang w:val="fr-FR"/>
        </w:rPr>
        <w:t>’</w:t>
      </w:r>
      <w:r w:rsidRPr="00C460CE">
        <w:rPr>
          <w:bCs/>
          <w:lang w:val="fr-FR"/>
        </w:rPr>
        <w:t>enneigement</w:t>
      </w:r>
      <w:r>
        <w:rPr>
          <w:bCs/>
          <w:lang w:val="fr-FR"/>
        </w:rPr>
        <w:t xml:space="preserve"> </w:t>
      </w:r>
      <w:r w:rsidRPr="00C460CE">
        <w:rPr>
          <w:bCs/>
          <w:lang w:val="fr-FR"/>
        </w:rPr>
        <w:t>extrêmes</w:t>
      </w:r>
      <w:r w:rsidR="00DF7136" w:rsidRPr="00A033B9">
        <w:t>”</w:t>
      </w:r>
      <w:r w:rsidRPr="00C460CE">
        <w:rPr>
          <w:bCs/>
          <w:lang w:val="fr-FR"/>
        </w:rPr>
        <w:t>, le pneumatique rechapé doit être conforme aux prescriptions du</w:t>
      </w:r>
      <w:r>
        <w:rPr>
          <w:bCs/>
          <w:lang w:val="fr-FR"/>
        </w:rPr>
        <w:t xml:space="preserve"> </w:t>
      </w:r>
      <w:r w:rsidRPr="00C460CE">
        <w:rPr>
          <w:bCs/>
          <w:lang w:val="fr-FR"/>
        </w:rPr>
        <w:t>paragraphe</w:t>
      </w:r>
      <w:r w:rsidR="00DF7136">
        <w:rPr>
          <w:bCs/>
          <w:lang w:val="fr-FR"/>
        </w:rPr>
        <w:t> </w:t>
      </w:r>
      <w:r w:rsidRPr="00C460CE">
        <w:rPr>
          <w:bCs/>
          <w:lang w:val="fr-FR"/>
        </w:rPr>
        <w:t>7.2.1 du présent Règlement. La dimension du pneumatique rechapé</w:t>
      </w:r>
      <w:r>
        <w:rPr>
          <w:bCs/>
          <w:lang w:val="fr-FR"/>
        </w:rPr>
        <w:t xml:space="preserve"> </w:t>
      </w:r>
      <w:r w:rsidRPr="00C460CE">
        <w:rPr>
          <w:bCs/>
          <w:lang w:val="fr-FR"/>
        </w:rPr>
        <w:t>doit répondre à ces mêmes prescriptions sur la base de la méthode d</w:t>
      </w:r>
      <w:r>
        <w:rPr>
          <w:bCs/>
          <w:lang w:val="fr-FR"/>
        </w:rPr>
        <w:t>’</w:t>
      </w:r>
      <w:r w:rsidRPr="00C460CE">
        <w:rPr>
          <w:bCs/>
          <w:lang w:val="fr-FR"/>
        </w:rPr>
        <w:t>essai de</w:t>
      </w:r>
      <w:r>
        <w:rPr>
          <w:bCs/>
          <w:lang w:val="fr-FR"/>
        </w:rPr>
        <w:t xml:space="preserve"> </w:t>
      </w:r>
      <w:r w:rsidRPr="00C460CE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C460CE">
        <w:rPr>
          <w:bCs/>
          <w:lang w:val="fr-FR"/>
        </w:rPr>
        <w:t xml:space="preserve">annexe 9, </w:t>
      </w:r>
      <w:r>
        <w:rPr>
          <w:bCs/>
          <w:lang w:val="fr-FR"/>
        </w:rPr>
        <w:t>selon laquelle</w:t>
      </w:r>
      <w:r w:rsidR="00DF7136">
        <w:rPr>
          <w:bCs/>
          <w:lang w:val="fr-FR"/>
        </w:rPr>
        <w:t> </w:t>
      </w:r>
      <w:r w:rsidRPr="00C460CE">
        <w:rPr>
          <w:bCs/>
          <w:lang w:val="fr-FR"/>
        </w:rPr>
        <w:t>:</w:t>
      </w:r>
    </w:p>
    <w:p w:rsidR="00496077" w:rsidRPr="00CC1F49" w:rsidRDefault="00496077" w:rsidP="00496077">
      <w:pPr>
        <w:pStyle w:val="SingleTxtG"/>
        <w:ind w:left="2835" w:hanging="567"/>
        <w:rPr>
          <w:bCs/>
          <w:lang w:val="fr-FR"/>
        </w:rPr>
      </w:pPr>
      <w:r w:rsidRPr="00CC1F49">
        <w:rPr>
          <w:bCs/>
          <w:lang w:val="fr-FR"/>
        </w:rPr>
        <w:t>a)</w:t>
      </w:r>
      <w:r w:rsidRPr="00CC1F49">
        <w:rPr>
          <w:bCs/>
          <w:lang w:val="fr-FR"/>
        </w:rPr>
        <w:tab/>
      </w:r>
      <w:r w:rsidRPr="00C460CE">
        <w:rPr>
          <w:bCs/>
          <w:lang w:val="fr-FR"/>
        </w:rPr>
        <w:t>La décélération moyenne en régime (</w:t>
      </w:r>
      <w:r w:rsidR="00DF7136" w:rsidRPr="00A033B9">
        <w:t>“</w:t>
      </w:r>
      <w:r w:rsidRPr="00C460CE">
        <w:rPr>
          <w:bCs/>
          <w:lang w:val="fr-FR"/>
        </w:rPr>
        <w:t>dmr</w:t>
      </w:r>
      <w:r w:rsidR="00DF7136" w:rsidRPr="00A033B9">
        <w:t>”</w:t>
      </w:r>
      <w:r w:rsidRPr="00C460CE">
        <w:rPr>
          <w:bCs/>
          <w:lang w:val="fr-FR"/>
        </w:rPr>
        <w:t>) lors d</w:t>
      </w:r>
      <w:r>
        <w:rPr>
          <w:bCs/>
          <w:lang w:val="fr-FR"/>
        </w:rPr>
        <w:t>’</w:t>
      </w:r>
      <w:r w:rsidRPr="00C460CE">
        <w:rPr>
          <w:bCs/>
          <w:lang w:val="fr-FR"/>
        </w:rPr>
        <w:t>un essai de</w:t>
      </w:r>
      <w:r>
        <w:rPr>
          <w:bCs/>
          <w:lang w:val="fr-FR"/>
        </w:rPr>
        <w:t xml:space="preserve"> </w:t>
      </w:r>
      <w:r w:rsidRPr="00C460CE">
        <w:rPr>
          <w:bCs/>
          <w:lang w:val="fr-FR"/>
        </w:rPr>
        <w:t>freinage</w:t>
      </w:r>
      <w:r>
        <w:rPr>
          <w:bCs/>
          <w:lang w:val="fr-FR"/>
        </w:rPr>
        <w:t> ; ou</w:t>
      </w:r>
    </w:p>
    <w:p w:rsidR="00496077" w:rsidRPr="00CC1F49" w:rsidRDefault="00496077" w:rsidP="00496077">
      <w:pPr>
        <w:pStyle w:val="SingleTxtG"/>
        <w:ind w:left="2835" w:hanging="567"/>
        <w:rPr>
          <w:bCs/>
          <w:lang w:val="fr-FR"/>
        </w:rPr>
      </w:pPr>
      <w:r w:rsidRPr="00CC1F49">
        <w:rPr>
          <w:bCs/>
          <w:lang w:val="fr-FR"/>
        </w:rPr>
        <w:t>b)</w:t>
      </w:r>
      <w:r w:rsidRPr="00CC1F49">
        <w:rPr>
          <w:bCs/>
          <w:lang w:val="fr-FR"/>
        </w:rPr>
        <w:tab/>
      </w:r>
      <w:r w:rsidRPr="002A55CD">
        <w:rPr>
          <w:bCs/>
          <w:lang w:val="fr-FR"/>
        </w:rPr>
        <w:t>Une force de traction moyenne lors d</w:t>
      </w:r>
      <w:r>
        <w:rPr>
          <w:bCs/>
          <w:lang w:val="fr-FR"/>
        </w:rPr>
        <w:t>’</w:t>
      </w:r>
      <w:r w:rsidRPr="002A55CD">
        <w:rPr>
          <w:bCs/>
          <w:lang w:val="fr-FR"/>
        </w:rPr>
        <w:t>un essai de traction</w:t>
      </w:r>
      <w:r>
        <w:rPr>
          <w:bCs/>
          <w:lang w:val="fr-FR"/>
        </w:rPr>
        <w:t> ; ou</w:t>
      </w:r>
    </w:p>
    <w:p w:rsidR="00496077" w:rsidRPr="00CC1F49" w:rsidRDefault="00496077" w:rsidP="00496077">
      <w:pPr>
        <w:pStyle w:val="SingleTxtG"/>
        <w:ind w:left="2835" w:hanging="567"/>
        <w:rPr>
          <w:bCs/>
          <w:lang w:val="fr-FR"/>
        </w:rPr>
      </w:pPr>
      <w:r w:rsidRPr="00CC1F49">
        <w:rPr>
          <w:bCs/>
          <w:lang w:val="fr-FR"/>
        </w:rPr>
        <w:lastRenderedPageBreak/>
        <w:t>c)</w:t>
      </w:r>
      <w:r w:rsidRPr="00CC1F49">
        <w:rPr>
          <w:bCs/>
          <w:lang w:val="fr-FR"/>
        </w:rPr>
        <w:tab/>
      </w:r>
      <w:r w:rsidRPr="002A55C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2A55CD">
        <w:rPr>
          <w:bCs/>
          <w:lang w:val="fr-FR"/>
        </w:rPr>
        <w:t>accélération moyenne en régime lors d</w:t>
      </w:r>
      <w:r>
        <w:rPr>
          <w:bCs/>
          <w:lang w:val="fr-FR"/>
        </w:rPr>
        <w:t>’</w:t>
      </w:r>
      <w:r w:rsidRPr="002A55CD">
        <w:rPr>
          <w:bCs/>
          <w:lang w:val="fr-FR"/>
        </w:rPr>
        <w:t xml:space="preserve">un essai </w:t>
      </w:r>
      <w:r w:rsidRPr="00761653">
        <w:rPr>
          <w:bCs/>
          <w:lang w:val="fr-FR"/>
        </w:rPr>
        <w:t>d</w:t>
      </w:r>
      <w:r>
        <w:rPr>
          <w:bCs/>
          <w:lang w:val="fr-FR"/>
        </w:rPr>
        <w:t>’</w:t>
      </w:r>
      <w:r w:rsidRPr="00761653">
        <w:rPr>
          <w:bCs/>
          <w:lang w:val="fr-FR"/>
        </w:rPr>
        <w:t>accélération</w:t>
      </w:r>
      <w:r w:rsidRPr="002A55CD">
        <w:rPr>
          <w:b/>
          <w:lang w:val="fr-FR"/>
        </w:rPr>
        <w:t xml:space="preserve"> du pneumatique à contrôler est comparée à celle d</w:t>
      </w:r>
      <w:r>
        <w:rPr>
          <w:b/>
          <w:lang w:val="fr-FR"/>
        </w:rPr>
        <w:t>’</w:t>
      </w:r>
      <w:r w:rsidRPr="002A55CD">
        <w:rPr>
          <w:b/>
          <w:lang w:val="fr-FR"/>
        </w:rPr>
        <w:t>un pneumatique d</w:t>
      </w:r>
      <w:r>
        <w:rPr>
          <w:b/>
          <w:lang w:val="fr-FR"/>
        </w:rPr>
        <w:t>’</w:t>
      </w:r>
      <w:r w:rsidRPr="002A55CD">
        <w:rPr>
          <w:b/>
          <w:lang w:val="fr-FR"/>
        </w:rPr>
        <w:t>essai de référence normalisé</w:t>
      </w:r>
      <w:r w:rsidRPr="002A55CD">
        <w:rPr>
          <w:bCs/>
          <w:lang w:val="fr-FR"/>
        </w:rPr>
        <w:t xml:space="preserve"> </w:t>
      </w:r>
      <w:r w:rsidRPr="00CC1F49">
        <w:rPr>
          <w:b/>
          <w:bCs/>
          <w:lang w:val="fr-FR"/>
        </w:rPr>
        <w:t>(SRTT).</w:t>
      </w:r>
    </w:p>
    <w:p w:rsidR="00496077" w:rsidRDefault="00496077" w:rsidP="00496077">
      <w:pPr>
        <w:pStyle w:val="SingleTxtG"/>
        <w:ind w:left="2268"/>
        <w:rPr>
          <w:bCs/>
          <w:lang w:val="fr-FR"/>
        </w:rPr>
      </w:pPr>
      <w:r w:rsidRPr="002A55CD">
        <w:rPr>
          <w:bCs/>
          <w:lang w:val="fr-FR"/>
        </w:rPr>
        <w:t>Les performances relatives sont exprimées par un indice d</w:t>
      </w:r>
      <w:r>
        <w:rPr>
          <w:bCs/>
          <w:lang w:val="fr-FR"/>
        </w:rPr>
        <w:t>’</w:t>
      </w:r>
      <w:r w:rsidRPr="002A55CD">
        <w:rPr>
          <w:bCs/>
          <w:lang w:val="fr-FR"/>
        </w:rPr>
        <w:t>adhérence sur neige.</w:t>
      </w:r>
      <w:r>
        <w:rPr>
          <w:bCs/>
          <w:lang w:val="fr-FR"/>
        </w:rPr>
        <w:t> ».</w:t>
      </w:r>
    </w:p>
    <w:p w:rsidR="00496077" w:rsidRPr="00CC1F49" w:rsidRDefault="00496077" w:rsidP="00496077">
      <w:pPr>
        <w:pStyle w:val="SingleTxtG"/>
        <w:rPr>
          <w:bCs/>
          <w:iCs/>
          <w:lang w:val="fr-FR"/>
        </w:rPr>
      </w:pPr>
      <w:r w:rsidRPr="00CC1F49">
        <w:rPr>
          <w:bCs/>
          <w:i/>
          <w:lang w:val="fr-FR"/>
        </w:rPr>
        <w:t>Paragraph</w:t>
      </w:r>
      <w:r>
        <w:rPr>
          <w:bCs/>
          <w:i/>
          <w:lang w:val="fr-FR"/>
        </w:rPr>
        <w:t>e</w:t>
      </w:r>
      <w:r w:rsidRPr="00CC1F49">
        <w:rPr>
          <w:bCs/>
          <w:i/>
          <w:lang w:val="fr-FR"/>
        </w:rPr>
        <w:t xml:space="preserve"> 7.2.1, </w:t>
      </w:r>
      <w:r>
        <w:rPr>
          <w:bCs/>
          <w:iCs/>
          <w:lang w:val="fr-FR"/>
        </w:rPr>
        <w:t>lire </w:t>
      </w:r>
      <w:r w:rsidRPr="00CC1F49">
        <w:rPr>
          <w:bCs/>
          <w:iCs/>
          <w:lang w:val="fr-FR"/>
        </w:rPr>
        <w:t>:</w:t>
      </w:r>
    </w:p>
    <w:p w:rsidR="00496077" w:rsidRPr="002E237F" w:rsidRDefault="00496077" w:rsidP="0049607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C1F49">
        <w:rPr>
          <w:lang w:val="fr-FR"/>
        </w:rPr>
        <w:t>7.2.1</w:t>
      </w:r>
      <w:r w:rsidRPr="00CC1F49">
        <w:rPr>
          <w:lang w:val="fr-FR"/>
        </w:rPr>
        <w:tab/>
      </w:r>
      <w:r w:rsidRPr="00CC1F49">
        <w:rPr>
          <w:lang w:val="fr-FR"/>
        </w:rPr>
        <w:tab/>
      </w:r>
      <w:r w:rsidRPr="002E237F">
        <w:rPr>
          <w:lang w:val="fr-FR"/>
        </w:rPr>
        <w:t>Pour les pneumatiques de la classe C1, la valeur minimale de l</w:t>
      </w:r>
      <w:r>
        <w:rPr>
          <w:lang w:val="fr-FR"/>
        </w:rPr>
        <w:t>’</w:t>
      </w:r>
      <w:r w:rsidRPr="002E237F">
        <w:rPr>
          <w:lang w:val="fr-FR"/>
        </w:rPr>
        <w:t>indice d</w:t>
      </w:r>
      <w:r>
        <w:rPr>
          <w:lang w:val="fr-FR"/>
        </w:rPr>
        <w:t>’</w:t>
      </w:r>
      <w:r w:rsidRPr="002E237F">
        <w:rPr>
          <w:lang w:val="fr-FR"/>
        </w:rPr>
        <w:t>adhérence sur neige, calculée selon la procédure décrite à l</w:t>
      </w:r>
      <w:r>
        <w:rPr>
          <w:lang w:val="fr-FR"/>
        </w:rPr>
        <w:t>’</w:t>
      </w:r>
      <w:r w:rsidRPr="002E237F">
        <w:rPr>
          <w:lang w:val="fr-FR"/>
        </w:rPr>
        <w:t xml:space="preserve">annexe 9 et comparée à la </w:t>
      </w:r>
      <w:r w:rsidRPr="008B3194">
        <w:rPr>
          <w:strike/>
          <w:lang w:val="fr-FR"/>
        </w:rPr>
        <w:t>valeur correspondante pour le pneumatique d</w:t>
      </w:r>
      <w:r>
        <w:rPr>
          <w:strike/>
          <w:lang w:val="fr-FR"/>
        </w:rPr>
        <w:t>’</w:t>
      </w:r>
      <w:r w:rsidRPr="008B3194">
        <w:rPr>
          <w:strike/>
          <w:lang w:val="fr-FR"/>
        </w:rPr>
        <w:t>essai de référence normalisé SRTT14, doit satisfaire aux prescriptions suivantes</w:t>
      </w:r>
      <w:r w:rsidR="00DF7136">
        <w:rPr>
          <w:strike/>
          <w:lang w:val="fr-FR"/>
        </w:rPr>
        <w:t> </w:t>
      </w:r>
      <w:r w:rsidRPr="00DF7136">
        <w:rPr>
          <w:strike/>
          <w:lang w:val="fr-FR"/>
        </w:rPr>
        <w:t>:</w:t>
      </w:r>
      <w:r w:rsidRPr="00DF7136">
        <w:rPr>
          <w:strike/>
        </w:rPr>
        <w:t xml:space="preserve"> </w:t>
      </w:r>
      <w:r w:rsidRPr="008B3194">
        <w:rPr>
          <w:b/>
          <w:bCs/>
          <w:lang w:val="fr-FR"/>
        </w:rPr>
        <w:t>valeur pour le SRTT, doit satisfaire aux prescriptions suivantes</w:t>
      </w:r>
      <w:r w:rsidR="00DF7136">
        <w:rPr>
          <w:b/>
          <w:bCs/>
          <w:lang w:val="fr-FR"/>
        </w:rPr>
        <w:t> </w:t>
      </w:r>
      <w:r w:rsidRPr="008B3194">
        <w:rPr>
          <w:b/>
          <w:bCs/>
          <w:lang w:val="fr-FR"/>
        </w:rPr>
        <w:t>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1977"/>
        <w:gridCol w:w="2155"/>
        <w:gridCol w:w="2148"/>
      </w:tblGrid>
      <w:tr w:rsidR="00DF7136" w:rsidRPr="00DF7136" w:rsidTr="00DF7136">
        <w:trPr>
          <w:tblHeader/>
        </w:trPr>
        <w:tc>
          <w:tcPr>
            <w:tcW w:w="739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077" w:rsidRPr="00DF7136" w:rsidRDefault="00496077" w:rsidP="00DF7136">
            <w:pPr>
              <w:suppressAutoHyphens w:val="0"/>
              <w:spacing w:before="80" w:after="80" w:line="200" w:lineRule="exact"/>
              <w:ind w:left="57" w:right="57"/>
              <w:rPr>
                <w:b/>
                <w:bCs/>
                <w:i/>
                <w:sz w:val="16"/>
                <w:lang w:val="fr-FR"/>
              </w:rPr>
            </w:pPr>
            <w:r w:rsidRPr="00DF7136">
              <w:rPr>
                <w:b/>
                <w:bCs/>
                <w:i/>
                <w:sz w:val="16"/>
                <w:lang w:val="fr-FR"/>
              </w:rPr>
              <w:t>Classe de pneumatique</w:t>
            </w:r>
          </w:p>
        </w:tc>
        <w:tc>
          <w:tcPr>
            <w:tcW w:w="2803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077" w:rsidRPr="00DF7136" w:rsidRDefault="00496077" w:rsidP="00DF713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lang w:val="fr-FR"/>
              </w:rPr>
            </w:pPr>
            <w:r w:rsidRPr="00DF7136">
              <w:rPr>
                <w:b/>
                <w:bCs/>
                <w:i/>
                <w:sz w:val="16"/>
                <w:lang w:val="fr-FR"/>
              </w:rPr>
              <w:t>Indice d</w:t>
            </w:r>
            <w:r w:rsidRPr="00DF7136">
              <w:rPr>
                <w:b/>
                <w:bCs/>
                <w:i/>
                <w:sz w:val="16"/>
                <w:lang w:val="fr-FR"/>
              </w:rPr>
              <w:t>’</w:t>
            </w:r>
            <w:r w:rsidRPr="00DF7136">
              <w:rPr>
                <w:b/>
                <w:bCs/>
                <w:i/>
                <w:sz w:val="16"/>
                <w:lang w:val="fr-FR"/>
              </w:rPr>
              <w:t>adhérence sur neige</w:t>
            </w:r>
            <w:r w:rsidR="00DF7136" w:rsidRPr="00DF7136">
              <w:rPr>
                <w:b/>
                <w:bCs/>
                <w:i/>
                <w:sz w:val="16"/>
                <w:lang w:val="fr-FR"/>
              </w:rPr>
              <w:br/>
            </w:r>
            <w:r w:rsidRPr="00DF7136">
              <w:rPr>
                <w:b/>
                <w:bCs/>
                <w:i/>
                <w:sz w:val="16"/>
                <w:lang w:val="fr-FR"/>
              </w:rPr>
              <w:t>(essai de freinage sur neige)</w:t>
            </w:r>
            <w:r w:rsidRPr="00DF7136">
              <w:rPr>
                <w:b/>
                <w:bCs/>
                <w:i/>
                <w:sz w:val="16"/>
                <w:vertAlign w:val="superscript"/>
                <w:lang w:val="fr-FR"/>
              </w:rPr>
              <w:t>a)</w:t>
            </w:r>
          </w:p>
        </w:tc>
        <w:tc>
          <w:tcPr>
            <w:tcW w:w="145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077" w:rsidRPr="00DF7136" w:rsidRDefault="00496077" w:rsidP="00DF713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u w:val="single"/>
                <w:lang w:val="fr-FR"/>
              </w:rPr>
            </w:pPr>
            <w:r w:rsidRPr="00DF7136">
              <w:rPr>
                <w:b/>
                <w:bCs/>
                <w:i/>
                <w:sz w:val="16"/>
                <w:lang w:val="fr-FR"/>
              </w:rPr>
              <w:t>Indice d</w:t>
            </w:r>
            <w:r w:rsidRPr="00DF7136">
              <w:rPr>
                <w:b/>
                <w:bCs/>
                <w:i/>
                <w:sz w:val="16"/>
                <w:lang w:val="fr-FR"/>
              </w:rPr>
              <w:t>’</w:t>
            </w:r>
            <w:r w:rsidRPr="00DF7136">
              <w:rPr>
                <w:b/>
                <w:bCs/>
                <w:i/>
                <w:sz w:val="16"/>
                <w:lang w:val="fr-FR"/>
              </w:rPr>
              <w:t>adhérence sur neige</w:t>
            </w:r>
            <w:r w:rsidR="00DF7136" w:rsidRPr="00DF7136">
              <w:rPr>
                <w:b/>
                <w:bCs/>
                <w:i/>
                <w:sz w:val="16"/>
                <w:lang w:val="fr-FR"/>
              </w:rPr>
              <w:br/>
            </w:r>
            <w:r w:rsidRPr="00DF7136">
              <w:rPr>
                <w:b/>
                <w:bCs/>
                <w:i/>
                <w:sz w:val="16"/>
                <w:lang w:val="fr-FR"/>
              </w:rPr>
              <w:t>(essai de traction)</w:t>
            </w:r>
            <w:r w:rsidRPr="00DF7136">
              <w:rPr>
                <w:b/>
                <w:bCs/>
                <w:i/>
                <w:sz w:val="16"/>
                <w:vertAlign w:val="superscript"/>
                <w:lang w:val="fr-FR"/>
              </w:rPr>
              <w:t>b)</w:t>
            </w:r>
          </w:p>
        </w:tc>
      </w:tr>
      <w:tr w:rsidR="00DF7136" w:rsidRPr="00DF7136" w:rsidTr="00DF7136">
        <w:tc>
          <w:tcPr>
            <w:tcW w:w="739" w:type="pct"/>
            <w:shd w:val="clear" w:color="auto" w:fill="auto"/>
            <w:tcMar>
              <w:left w:w="28" w:type="dxa"/>
              <w:right w:w="28" w:type="dxa"/>
            </w:tcMar>
          </w:tcPr>
          <w:p w:rsidR="00496077" w:rsidRPr="00DF7136" w:rsidRDefault="00496077" w:rsidP="00DF7136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1341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077" w:rsidRPr="00DF7136" w:rsidRDefault="00496077" w:rsidP="00DF713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 w:rsidRPr="00DF7136">
              <w:rPr>
                <w:i/>
                <w:iCs/>
                <w:sz w:val="18"/>
                <w:szCs w:val="18"/>
                <w:lang w:val="fr-FR"/>
              </w:rPr>
              <w:t xml:space="preserve">Réf. = C1 – SRTT 14, </w:t>
            </w:r>
            <w:r w:rsidRPr="00DF7136">
              <w:rPr>
                <w:b/>
                <w:bCs/>
                <w:i/>
                <w:iCs/>
                <w:sz w:val="18"/>
                <w:szCs w:val="18"/>
                <w:lang w:val="fr-FR"/>
              </w:rPr>
              <w:t>SRTT16</w:t>
            </w:r>
          </w:p>
        </w:tc>
        <w:tc>
          <w:tcPr>
            <w:tcW w:w="1462" w:type="pct"/>
            <w:shd w:val="clear" w:color="auto" w:fill="auto"/>
            <w:vAlign w:val="bottom"/>
          </w:tcPr>
          <w:p w:rsidR="00496077" w:rsidRPr="00DF7136" w:rsidRDefault="00496077" w:rsidP="00DF713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iCs/>
                <w:strike/>
                <w:sz w:val="18"/>
                <w:szCs w:val="18"/>
                <w:lang w:val="fr-FR"/>
              </w:rPr>
            </w:pPr>
            <w:r w:rsidRPr="00DF7136">
              <w:rPr>
                <w:i/>
                <w:iCs/>
                <w:strike/>
                <w:sz w:val="18"/>
                <w:szCs w:val="18"/>
                <w:lang w:val="fr-FR"/>
              </w:rPr>
              <w:t>Réf. = C2 – SRTT 16C</w:t>
            </w:r>
          </w:p>
        </w:tc>
        <w:tc>
          <w:tcPr>
            <w:tcW w:w="145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077" w:rsidRPr="00DF7136" w:rsidRDefault="00496077" w:rsidP="00DF713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 w:rsidRPr="00DF7136">
              <w:rPr>
                <w:i/>
                <w:iCs/>
                <w:sz w:val="18"/>
                <w:szCs w:val="18"/>
                <w:lang w:val="fr-FR"/>
              </w:rPr>
              <w:t xml:space="preserve">Réf. = C1 – SRTT 14, </w:t>
            </w:r>
            <w:r w:rsidRPr="00DF7136">
              <w:rPr>
                <w:b/>
                <w:bCs/>
                <w:i/>
                <w:iCs/>
                <w:sz w:val="18"/>
                <w:szCs w:val="18"/>
                <w:lang w:val="fr-FR"/>
              </w:rPr>
              <w:t>SRTT16</w:t>
            </w:r>
          </w:p>
        </w:tc>
      </w:tr>
      <w:tr w:rsidR="00DF7136" w:rsidRPr="00DF7136" w:rsidTr="00DF7136">
        <w:tc>
          <w:tcPr>
            <w:tcW w:w="739" w:type="pct"/>
            <w:shd w:val="clear" w:color="auto" w:fill="auto"/>
            <w:tcMar>
              <w:left w:w="28" w:type="dxa"/>
              <w:right w:w="28" w:type="dxa"/>
            </w:tcMar>
          </w:tcPr>
          <w:p w:rsidR="00496077" w:rsidRPr="00DF7136" w:rsidRDefault="00496077" w:rsidP="00DF7136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DF7136">
              <w:rPr>
                <w:sz w:val="18"/>
                <w:szCs w:val="18"/>
                <w:lang w:val="fr-FR"/>
              </w:rPr>
              <w:t xml:space="preserve">C1 </w:t>
            </w:r>
          </w:p>
        </w:tc>
        <w:tc>
          <w:tcPr>
            <w:tcW w:w="1341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077" w:rsidRPr="00DF7136" w:rsidRDefault="00496077" w:rsidP="00DF713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F7136">
              <w:rPr>
                <w:sz w:val="18"/>
                <w:szCs w:val="18"/>
                <w:lang w:val="fr-FR"/>
              </w:rPr>
              <w:t>1,07</w:t>
            </w:r>
          </w:p>
        </w:tc>
        <w:tc>
          <w:tcPr>
            <w:tcW w:w="1462" w:type="pct"/>
            <w:shd w:val="clear" w:color="auto" w:fill="auto"/>
            <w:vAlign w:val="bottom"/>
          </w:tcPr>
          <w:p w:rsidR="00496077" w:rsidRPr="00DF7136" w:rsidRDefault="00496077" w:rsidP="00DF713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trike/>
                <w:sz w:val="18"/>
                <w:szCs w:val="18"/>
                <w:lang w:val="fr-FR"/>
              </w:rPr>
            </w:pPr>
            <w:r w:rsidRPr="00DF7136">
              <w:rPr>
                <w:strike/>
                <w:sz w:val="18"/>
                <w:szCs w:val="18"/>
                <w:lang w:val="fr-FR"/>
              </w:rPr>
              <w:t>Néant</w:t>
            </w:r>
          </w:p>
        </w:tc>
        <w:tc>
          <w:tcPr>
            <w:tcW w:w="145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077" w:rsidRPr="00DF7136" w:rsidRDefault="00496077" w:rsidP="00DF713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vertAlign w:val="superscript"/>
                <w:lang w:val="fr-FR"/>
              </w:rPr>
            </w:pPr>
            <w:r w:rsidRPr="00DF7136">
              <w:rPr>
                <w:sz w:val="18"/>
                <w:szCs w:val="18"/>
                <w:lang w:val="fr-FR"/>
              </w:rPr>
              <w:t>1,10</w:t>
            </w:r>
          </w:p>
        </w:tc>
      </w:tr>
    </w:tbl>
    <w:p w:rsidR="00496077" w:rsidRPr="00CC1F49" w:rsidRDefault="00496077" w:rsidP="00DF7136">
      <w:pPr>
        <w:spacing w:before="120"/>
        <w:ind w:left="1134" w:right="1134" w:firstLine="170"/>
        <w:rPr>
          <w:sz w:val="18"/>
          <w:szCs w:val="18"/>
          <w:lang w:val="fr-FR"/>
        </w:rPr>
      </w:pPr>
      <w:r w:rsidRPr="00CC1F49">
        <w:rPr>
          <w:bCs/>
          <w:sz w:val="18"/>
          <w:szCs w:val="18"/>
          <w:vertAlign w:val="superscript"/>
          <w:lang w:val="fr-FR"/>
        </w:rPr>
        <w:t>a)</w:t>
      </w:r>
      <w:r w:rsidR="00DF7136">
        <w:rPr>
          <w:bCs/>
          <w:sz w:val="18"/>
          <w:szCs w:val="18"/>
          <w:vertAlign w:val="superscript"/>
          <w:lang w:val="fr-FR"/>
        </w:rPr>
        <w:t xml:space="preserve">  </w:t>
      </w:r>
      <w:r w:rsidRPr="008B3194">
        <w:rPr>
          <w:sz w:val="18"/>
          <w:szCs w:val="18"/>
          <w:lang w:val="fr-FR"/>
        </w:rPr>
        <w:t>Voir le paragraphe 3 de l</w:t>
      </w:r>
      <w:r>
        <w:rPr>
          <w:sz w:val="18"/>
          <w:szCs w:val="18"/>
          <w:lang w:val="fr-FR"/>
        </w:rPr>
        <w:t>’</w:t>
      </w:r>
      <w:r w:rsidRPr="008B3194">
        <w:rPr>
          <w:sz w:val="18"/>
          <w:szCs w:val="18"/>
          <w:lang w:val="fr-FR"/>
        </w:rPr>
        <w:t>annexe 9 du présent Règlement.</w:t>
      </w:r>
    </w:p>
    <w:p w:rsidR="00496077" w:rsidRPr="000D7517" w:rsidRDefault="00496077" w:rsidP="00DF7136">
      <w:pPr>
        <w:spacing w:after="240"/>
        <w:ind w:left="1134" w:right="1134" w:firstLine="170"/>
        <w:rPr>
          <w:lang w:val="fr-FR"/>
        </w:rPr>
      </w:pPr>
      <w:r w:rsidRPr="00CC1F49">
        <w:rPr>
          <w:bCs/>
          <w:sz w:val="18"/>
          <w:szCs w:val="18"/>
          <w:vertAlign w:val="superscript"/>
          <w:lang w:val="fr-FR"/>
        </w:rPr>
        <w:t>b)</w:t>
      </w:r>
      <w:r w:rsidR="00DF7136">
        <w:rPr>
          <w:bCs/>
          <w:sz w:val="18"/>
          <w:szCs w:val="18"/>
          <w:vertAlign w:val="superscript"/>
          <w:lang w:val="fr-FR"/>
        </w:rPr>
        <w:t xml:space="preserve">  </w:t>
      </w:r>
      <w:r w:rsidRPr="008B3194">
        <w:rPr>
          <w:sz w:val="18"/>
          <w:szCs w:val="18"/>
          <w:lang w:val="fr-FR"/>
        </w:rPr>
        <w:t xml:space="preserve">Voir le paragraphe </w:t>
      </w:r>
      <w:r>
        <w:rPr>
          <w:sz w:val="18"/>
          <w:szCs w:val="18"/>
          <w:lang w:val="fr-FR"/>
        </w:rPr>
        <w:t>2</w:t>
      </w:r>
      <w:r w:rsidRPr="008B3194">
        <w:rPr>
          <w:sz w:val="18"/>
          <w:szCs w:val="18"/>
          <w:lang w:val="fr-FR"/>
        </w:rPr>
        <w:t xml:space="preserve"> de l</w:t>
      </w:r>
      <w:r>
        <w:rPr>
          <w:sz w:val="18"/>
          <w:szCs w:val="18"/>
          <w:lang w:val="fr-FR"/>
        </w:rPr>
        <w:t>’</w:t>
      </w:r>
      <w:r w:rsidRPr="008B3194">
        <w:rPr>
          <w:sz w:val="18"/>
          <w:szCs w:val="18"/>
          <w:lang w:val="fr-FR"/>
        </w:rPr>
        <w:t>annexe 9 du présent Règlement.</w:t>
      </w:r>
      <w:r>
        <w:rPr>
          <w:sz w:val="18"/>
          <w:szCs w:val="18"/>
          <w:lang w:val="fr-FR"/>
        </w:rPr>
        <w:t> </w:t>
      </w:r>
      <w:r w:rsidRPr="000D7517">
        <w:rPr>
          <w:lang w:val="fr-FR"/>
        </w:rPr>
        <w:t>».</w:t>
      </w:r>
    </w:p>
    <w:p w:rsidR="00496077" w:rsidRPr="00CC1F49" w:rsidRDefault="00496077" w:rsidP="00496077">
      <w:pPr>
        <w:pStyle w:val="SingleTxtG"/>
        <w:rPr>
          <w:lang w:val="fr-FR"/>
        </w:rPr>
      </w:pPr>
      <w:r>
        <w:rPr>
          <w:i/>
          <w:iCs/>
          <w:lang w:val="fr-FR"/>
        </w:rPr>
        <w:t>Ajouter le nouveau paragraphe</w:t>
      </w:r>
      <w:r w:rsidRPr="00CC1F49">
        <w:rPr>
          <w:i/>
          <w:iCs/>
          <w:lang w:val="fr-FR"/>
        </w:rPr>
        <w:t xml:space="preserve"> 12.4</w:t>
      </w:r>
      <w:r>
        <w:rPr>
          <w:lang w:val="fr-FR"/>
        </w:rPr>
        <w:t>, libellé comme suit</w:t>
      </w:r>
      <w:r w:rsidR="00DF7136">
        <w:rPr>
          <w:lang w:val="fr-FR"/>
        </w:rPr>
        <w:t> </w:t>
      </w:r>
      <w:r w:rsidRPr="00CC1F49">
        <w:rPr>
          <w:lang w:val="fr-FR"/>
        </w:rPr>
        <w:t>:</w:t>
      </w:r>
    </w:p>
    <w:p w:rsidR="00496077" w:rsidRPr="0003726A" w:rsidRDefault="00496077" w:rsidP="00496077">
      <w:pPr>
        <w:pStyle w:val="SingleTxtG"/>
        <w:ind w:left="2268" w:hanging="1134"/>
        <w:rPr>
          <w:b/>
          <w:lang w:val="fr-FR"/>
        </w:rPr>
      </w:pPr>
      <w:r w:rsidRPr="0003726A">
        <w:rPr>
          <w:b/>
          <w:lang w:val="fr-FR"/>
        </w:rPr>
        <w:t>« 12.4</w:t>
      </w:r>
      <w:r w:rsidRPr="0003726A">
        <w:rPr>
          <w:b/>
          <w:lang w:val="fr-FR"/>
        </w:rPr>
        <w:tab/>
        <w:t>Jusqu</w:t>
      </w:r>
      <w:r>
        <w:rPr>
          <w:b/>
          <w:lang w:val="fr-FR"/>
        </w:rPr>
        <w:t>’</w:t>
      </w:r>
      <w:r w:rsidRPr="0003726A">
        <w:rPr>
          <w:b/>
          <w:lang w:val="fr-FR"/>
        </w:rPr>
        <w:t>au 1</w:t>
      </w:r>
      <w:r w:rsidRPr="0003726A">
        <w:rPr>
          <w:b/>
          <w:vertAlign w:val="superscript"/>
          <w:lang w:val="fr-FR"/>
        </w:rPr>
        <w:t>er</w:t>
      </w:r>
      <w:r>
        <w:rPr>
          <w:b/>
          <w:lang w:val="fr-FR"/>
        </w:rPr>
        <w:t xml:space="preserve"> </w:t>
      </w:r>
      <w:r w:rsidRPr="0003726A">
        <w:rPr>
          <w:b/>
          <w:lang w:val="fr-FR"/>
        </w:rPr>
        <w:t>septembre 2024, les Parties contractantes appliquant le présent Règlement continueront d</w:t>
      </w:r>
      <w:r>
        <w:rPr>
          <w:b/>
          <w:lang w:val="fr-FR"/>
        </w:rPr>
        <w:t>’</w:t>
      </w:r>
      <w:r w:rsidRPr="0003726A">
        <w:rPr>
          <w:b/>
          <w:lang w:val="fr-FR"/>
        </w:rPr>
        <w:t>accorder des homologations de type en vertu de la s</w:t>
      </w:r>
      <w:r>
        <w:rPr>
          <w:b/>
          <w:lang w:val="fr-FR"/>
        </w:rPr>
        <w:t>érie 02 d</w:t>
      </w:r>
      <w:r>
        <w:rPr>
          <w:b/>
          <w:lang w:val="fr-FR"/>
        </w:rPr>
        <w:t>’</w:t>
      </w:r>
      <w:r>
        <w:rPr>
          <w:b/>
          <w:lang w:val="fr-FR"/>
        </w:rPr>
        <w:t>amendements audit Règlement, en s</w:t>
      </w:r>
      <w:r>
        <w:rPr>
          <w:b/>
          <w:lang w:val="fr-FR"/>
        </w:rPr>
        <w:t>’</w:t>
      </w:r>
      <w:r>
        <w:rPr>
          <w:b/>
          <w:lang w:val="fr-FR"/>
        </w:rPr>
        <w:t>appuyant sur l</w:t>
      </w:r>
      <w:r>
        <w:rPr>
          <w:b/>
          <w:lang w:val="fr-FR"/>
        </w:rPr>
        <w:t>’</w:t>
      </w:r>
      <w:r>
        <w:rPr>
          <w:b/>
          <w:lang w:val="fr-FR"/>
        </w:rPr>
        <w:t>essai de performances sur la neige décrit à l</w:t>
      </w:r>
      <w:r>
        <w:rPr>
          <w:b/>
          <w:lang w:val="fr-FR"/>
        </w:rPr>
        <w:t>’</w:t>
      </w:r>
      <w:r>
        <w:rPr>
          <w:b/>
          <w:lang w:val="fr-FR"/>
        </w:rPr>
        <w:t>annexe 9 au Règlement, avec le</w:t>
      </w:r>
      <w:r w:rsidRPr="0003726A">
        <w:rPr>
          <w:b/>
          <w:lang w:val="fr-FR"/>
        </w:rPr>
        <w:t xml:space="preserve"> SRTT14 </w:t>
      </w:r>
      <w:r>
        <w:rPr>
          <w:b/>
          <w:lang w:val="fr-FR"/>
        </w:rPr>
        <w:t>comme pneumatique de référence</w:t>
      </w:r>
      <w:r w:rsidRPr="0003726A">
        <w:rPr>
          <w:b/>
          <w:vertAlign w:val="superscript"/>
          <w:lang w:val="fr-FR"/>
        </w:rPr>
        <w:t>a)</w:t>
      </w:r>
      <w:r>
        <w:rPr>
          <w:b/>
          <w:lang w:val="fr-FR"/>
        </w:rPr>
        <w:t>. </w:t>
      </w:r>
      <w:r w:rsidRPr="001731F0">
        <w:rPr>
          <w:bCs/>
          <w:lang w:val="fr-FR"/>
        </w:rPr>
        <w:t>».</w:t>
      </w:r>
    </w:p>
    <w:p w:rsidR="00496077" w:rsidRPr="00CC1F49" w:rsidRDefault="00496077" w:rsidP="00496077">
      <w:pPr>
        <w:pStyle w:val="SingleTxtG"/>
        <w:rPr>
          <w:bCs/>
          <w:lang w:val="fr-FR"/>
        </w:rPr>
      </w:pPr>
      <w:r w:rsidRPr="00CC1F49">
        <w:rPr>
          <w:bCs/>
          <w:i/>
          <w:iCs/>
          <w:lang w:val="fr-FR"/>
        </w:rPr>
        <w:t>A</w:t>
      </w:r>
      <w:r>
        <w:rPr>
          <w:bCs/>
          <w:i/>
          <w:iCs/>
          <w:lang w:val="fr-FR"/>
        </w:rPr>
        <w:t xml:space="preserve">jouter la note de bas de page </w:t>
      </w:r>
      <w:r w:rsidRPr="00CC1F49">
        <w:rPr>
          <w:bCs/>
          <w:i/>
          <w:iCs/>
          <w:lang w:val="fr-FR"/>
        </w:rPr>
        <w:t>a)</w:t>
      </w:r>
      <w:r>
        <w:rPr>
          <w:bCs/>
          <w:lang w:val="fr-FR"/>
        </w:rPr>
        <w:t>, libellée comme suit </w:t>
      </w:r>
      <w:r w:rsidRPr="00CC1F49">
        <w:rPr>
          <w:bCs/>
          <w:lang w:val="fr-FR"/>
        </w:rPr>
        <w:t>:</w:t>
      </w:r>
    </w:p>
    <w:p w:rsidR="00496077" w:rsidRPr="00DF7136" w:rsidRDefault="00496077" w:rsidP="00DF7136">
      <w:pPr>
        <w:spacing w:before="120" w:after="120"/>
        <w:ind w:left="1134" w:right="1134" w:firstLine="170"/>
        <w:rPr>
          <w:sz w:val="18"/>
          <w:szCs w:val="18"/>
          <w:lang w:val="fr-FR"/>
        </w:rPr>
      </w:pPr>
      <w:r w:rsidRPr="000D7517">
        <w:rPr>
          <w:lang w:val="fr-FR"/>
        </w:rPr>
        <w:t>« </w:t>
      </w:r>
      <w:r w:rsidRPr="00DF7136">
        <w:rPr>
          <w:b/>
          <w:sz w:val="18"/>
          <w:szCs w:val="18"/>
          <w:vertAlign w:val="superscript"/>
          <w:lang w:val="fr-FR"/>
        </w:rPr>
        <w:t>a)</w:t>
      </w:r>
      <w:r w:rsidR="00DF7136" w:rsidRPr="00DF7136">
        <w:rPr>
          <w:b/>
          <w:sz w:val="18"/>
          <w:szCs w:val="18"/>
          <w:vertAlign w:val="superscript"/>
          <w:lang w:val="fr-FR"/>
        </w:rPr>
        <w:t xml:space="preserve"> </w:t>
      </w:r>
      <w:r w:rsidR="00DF7136" w:rsidRPr="00DF7136">
        <w:rPr>
          <w:b/>
          <w:sz w:val="18"/>
          <w:szCs w:val="18"/>
          <w:lang w:val="fr-FR"/>
        </w:rPr>
        <w:t xml:space="preserve"> </w:t>
      </w:r>
      <w:r w:rsidRPr="00DF7136">
        <w:rPr>
          <w:b/>
          <w:sz w:val="18"/>
          <w:szCs w:val="18"/>
          <w:lang w:val="fr-FR"/>
        </w:rPr>
        <w:t>Le SRTT14 sera mis à disposition par le fournisseur jusqu</w:t>
      </w:r>
      <w:r w:rsidRPr="00DF7136">
        <w:rPr>
          <w:b/>
          <w:sz w:val="18"/>
          <w:szCs w:val="18"/>
          <w:lang w:val="fr-FR"/>
        </w:rPr>
        <w:t>’</w:t>
      </w:r>
      <w:r w:rsidRPr="00DF7136">
        <w:rPr>
          <w:b/>
          <w:sz w:val="18"/>
          <w:szCs w:val="18"/>
          <w:lang w:val="fr-FR"/>
        </w:rPr>
        <w:t>à la fin du mois d</w:t>
      </w:r>
      <w:r w:rsidRPr="00DF7136">
        <w:rPr>
          <w:b/>
          <w:sz w:val="18"/>
          <w:szCs w:val="18"/>
          <w:lang w:val="fr-FR"/>
        </w:rPr>
        <w:t>’</w:t>
      </w:r>
      <w:r w:rsidRPr="00DF7136">
        <w:rPr>
          <w:b/>
          <w:sz w:val="18"/>
          <w:szCs w:val="18"/>
          <w:lang w:val="fr-FR"/>
        </w:rPr>
        <w:t>octobre 2021.</w:t>
      </w:r>
      <w:r w:rsidRPr="000D7517">
        <w:rPr>
          <w:b/>
          <w:lang w:val="fr-FR"/>
        </w:rPr>
        <w:t> </w:t>
      </w:r>
      <w:r w:rsidRPr="000D7517">
        <w:rPr>
          <w:bCs/>
          <w:lang w:val="fr-FR"/>
        </w:rPr>
        <w:t>».</w:t>
      </w:r>
    </w:p>
    <w:p w:rsidR="00496077" w:rsidRPr="00CC1F49" w:rsidRDefault="00496077" w:rsidP="00496077">
      <w:pPr>
        <w:pStyle w:val="SingleTxtG"/>
        <w:rPr>
          <w:lang w:val="fr-FR"/>
        </w:rPr>
      </w:pPr>
      <w:r w:rsidRPr="00CC1F49">
        <w:rPr>
          <w:i/>
          <w:iCs/>
          <w:lang w:val="fr-FR"/>
        </w:rPr>
        <w:t>Annex</w:t>
      </w:r>
      <w:r>
        <w:rPr>
          <w:i/>
          <w:iCs/>
          <w:lang w:val="fr-FR"/>
        </w:rPr>
        <w:t>e</w:t>
      </w:r>
      <w:r w:rsidRPr="00CC1F49">
        <w:rPr>
          <w:i/>
          <w:iCs/>
          <w:lang w:val="fr-FR"/>
        </w:rPr>
        <w:t xml:space="preserve"> 9, paragraph</w:t>
      </w:r>
      <w:r>
        <w:rPr>
          <w:i/>
          <w:iCs/>
          <w:lang w:val="fr-FR"/>
        </w:rPr>
        <w:t>e</w:t>
      </w:r>
      <w:r w:rsidRPr="00CC1F49">
        <w:rPr>
          <w:i/>
          <w:iCs/>
          <w:lang w:val="fr-FR"/>
        </w:rPr>
        <w:t xml:space="preserve"> 1.3</w:t>
      </w:r>
      <w:r>
        <w:rPr>
          <w:lang w:val="fr-FR"/>
        </w:rPr>
        <w:t>, lire </w:t>
      </w:r>
      <w:r w:rsidRPr="00CC1F49">
        <w:rPr>
          <w:lang w:val="fr-FR"/>
        </w:rPr>
        <w:t>:</w:t>
      </w:r>
    </w:p>
    <w:p w:rsidR="00496077" w:rsidRDefault="00496077" w:rsidP="00496077">
      <w:pPr>
        <w:pStyle w:val="SingleTxtG"/>
        <w:ind w:left="2268" w:hanging="1134"/>
        <w:rPr>
          <w:b/>
          <w:bCs/>
          <w:lang w:val="fr-FR"/>
        </w:rPr>
      </w:pPr>
      <w:r>
        <w:rPr>
          <w:lang w:val="fr-FR"/>
        </w:rPr>
        <w:t>« </w:t>
      </w:r>
      <w:r w:rsidRPr="00CC1F49">
        <w:rPr>
          <w:bCs/>
          <w:lang w:val="fr-FR"/>
        </w:rPr>
        <w:t>1.3</w:t>
      </w:r>
      <w:r w:rsidRPr="00CC1F49">
        <w:rPr>
          <w:bCs/>
          <w:lang w:val="fr-FR"/>
        </w:rPr>
        <w:tab/>
      </w:r>
      <w:r w:rsidR="00B512F5" w:rsidRPr="00B512F5">
        <w:rPr>
          <w:b/>
          <w:bCs/>
        </w:rPr>
        <w:t>“</w:t>
      </w:r>
      <w:r w:rsidRPr="0089143E">
        <w:rPr>
          <w:b/>
          <w:bCs/>
          <w:lang w:val="fr-FR"/>
        </w:rPr>
        <w:t>Essai de traction</w:t>
      </w:r>
      <w:r w:rsidR="00B512F5" w:rsidRPr="00B512F5">
        <w:rPr>
          <w:b/>
          <w:bCs/>
        </w:rPr>
        <w:t>”</w:t>
      </w:r>
      <w:r w:rsidR="00DF7136">
        <w:rPr>
          <w:b/>
          <w:bCs/>
          <w:lang w:val="fr-FR"/>
        </w:rPr>
        <w:t> </w:t>
      </w:r>
      <w:r w:rsidRPr="0089143E">
        <w:rPr>
          <w:b/>
          <w:bCs/>
          <w:lang w:val="fr-FR"/>
        </w:rPr>
        <w:t>: une série composée d</w:t>
      </w:r>
      <w:r>
        <w:rPr>
          <w:b/>
          <w:bCs/>
          <w:lang w:val="fr-FR"/>
        </w:rPr>
        <w:t>’</w:t>
      </w:r>
      <w:r w:rsidRPr="0089143E">
        <w:rPr>
          <w:b/>
          <w:bCs/>
          <w:lang w:val="fr-FR"/>
        </w:rPr>
        <w:t>un nombre spécifié d</w:t>
      </w:r>
      <w:r>
        <w:rPr>
          <w:b/>
          <w:bCs/>
          <w:lang w:val="fr-FR"/>
        </w:rPr>
        <w:t>’</w:t>
      </w:r>
      <w:r w:rsidRPr="0089143E">
        <w:rPr>
          <w:b/>
          <w:bCs/>
          <w:lang w:val="fr-FR"/>
        </w:rPr>
        <w:t>essais de traction/patinage du même pneumatique</w:t>
      </w:r>
      <w:r>
        <w:rPr>
          <w:b/>
          <w:bCs/>
          <w:lang w:val="fr-FR"/>
        </w:rPr>
        <w:t>,</w:t>
      </w:r>
      <w:r w:rsidRPr="0089143E">
        <w:rPr>
          <w:b/>
          <w:bCs/>
          <w:lang w:val="fr-FR"/>
        </w:rPr>
        <w:t xml:space="preserve"> effectués selon la norme ASTM</w:t>
      </w:r>
      <w:r>
        <w:rPr>
          <w:b/>
          <w:bCs/>
          <w:lang w:val="fr-FR"/>
        </w:rPr>
        <w:t> :</w:t>
      </w:r>
    </w:p>
    <w:p w:rsidR="00496077" w:rsidRDefault="00496077" w:rsidP="00496077">
      <w:pPr>
        <w:pStyle w:val="SingleTxtG"/>
        <w:ind w:left="2835" w:hanging="567"/>
        <w:rPr>
          <w:b/>
          <w:bCs/>
          <w:lang w:val="fr-FR"/>
        </w:rPr>
      </w:pPr>
      <w:r w:rsidRPr="0089143E">
        <w:rPr>
          <w:b/>
          <w:bCs/>
          <w:lang w:val="fr-FR"/>
        </w:rPr>
        <w:t>a)</w:t>
      </w:r>
      <w:r w:rsidRPr="0089143E">
        <w:rPr>
          <w:b/>
          <w:bCs/>
          <w:lang w:val="fr-FR"/>
        </w:rPr>
        <w:tab/>
        <w:t xml:space="preserve">F1805-06 si le SRTT14 est </w:t>
      </w:r>
      <w:r>
        <w:rPr>
          <w:b/>
          <w:bCs/>
          <w:lang w:val="fr-FR"/>
        </w:rPr>
        <w:t>utilisé comme pneumatique de référence, ou</w:t>
      </w:r>
    </w:p>
    <w:p w:rsidR="00496077" w:rsidRPr="0089143E" w:rsidRDefault="00496077" w:rsidP="00496077">
      <w:pPr>
        <w:pStyle w:val="SingleTxtG"/>
        <w:ind w:left="2835" w:hanging="567"/>
        <w:rPr>
          <w:b/>
          <w:bCs/>
          <w:lang w:val="fr-FR"/>
        </w:rPr>
      </w:pPr>
      <w:r>
        <w:rPr>
          <w:b/>
          <w:bCs/>
          <w:lang w:val="fr-FR"/>
        </w:rPr>
        <w:t>b)</w:t>
      </w:r>
      <w:r>
        <w:rPr>
          <w:b/>
          <w:bCs/>
          <w:lang w:val="fr-FR"/>
        </w:rPr>
        <w:tab/>
        <w:t>F1805-20 si le SRTT16 est utilisé comme pneumatique de référence,</w:t>
      </w:r>
    </w:p>
    <w:p w:rsidR="00496077" w:rsidRPr="00CC1F49" w:rsidRDefault="00496077" w:rsidP="00496077">
      <w:pPr>
        <w:spacing w:after="120"/>
        <w:ind w:left="2268" w:right="1134"/>
        <w:jc w:val="both"/>
        <w:rPr>
          <w:b/>
          <w:bCs/>
          <w:lang w:val="fr-FR"/>
        </w:rPr>
      </w:pPr>
      <w:r w:rsidRPr="0089143E">
        <w:rPr>
          <w:b/>
          <w:bCs/>
          <w:lang w:val="fr-FR"/>
        </w:rPr>
        <w:t>et répétés dans un court laps de temps</w:t>
      </w:r>
      <w:r>
        <w:rPr>
          <w:b/>
          <w:bCs/>
          <w:lang w:val="fr-FR"/>
        </w:rPr>
        <w:t>. </w:t>
      </w:r>
      <w:r w:rsidRPr="00DF7136">
        <w:rPr>
          <w:lang w:val="fr-FR"/>
        </w:rPr>
        <w:t>».</w:t>
      </w:r>
    </w:p>
    <w:p w:rsidR="00496077" w:rsidRPr="00AE4255" w:rsidRDefault="00496077" w:rsidP="00496077">
      <w:pPr>
        <w:pStyle w:val="SingleTxtG"/>
        <w:rPr>
          <w:i/>
          <w:iCs/>
          <w:lang w:val="fr-FR"/>
        </w:rPr>
      </w:pPr>
      <w:r w:rsidRPr="00AE4255">
        <w:rPr>
          <w:i/>
          <w:iCs/>
          <w:lang w:val="fr-FR"/>
        </w:rPr>
        <w:t xml:space="preserve">Annexe 9, </w:t>
      </w:r>
    </w:p>
    <w:p w:rsidR="00496077" w:rsidRPr="00AE4255" w:rsidRDefault="00496077" w:rsidP="00496077">
      <w:pPr>
        <w:pStyle w:val="SingleTxtG"/>
        <w:rPr>
          <w:lang w:val="fr-FR"/>
        </w:rPr>
      </w:pPr>
      <w:r w:rsidRPr="00AE4255">
        <w:rPr>
          <w:i/>
          <w:iCs/>
          <w:lang w:val="fr-FR"/>
        </w:rPr>
        <w:t xml:space="preserve">Paragraphes 2 à 2.2, </w:t>
      </w:r>
      <w:r w:rsidRPr="00AE4255">
        <w:rPr>
          <w:lang w:val="fr-FR"/>
        </w:rPr>
        <w:t>lire :</w:t>
      </w:r>
    </w:p>
    <w:p w:rsidR="00496077" w:rsidRPr="00CC1F49" w:rsidRDefault="00496077" w:rsidP="0049607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C1F49">
        <w:rPr>
          <w:lang w:val="fr-FR"/>
        </w:rPr>
        <w:t>2.</w:t>
      </w:r>
      <w:r w:rsidRPr="00CC1F49">
        <w:rPr>
          <w:lang w:val="fr-FR"/>
        </w:rPr>
        <w:tab/>
      </w:r>
      <w:r>
        <w:rPr>
          <w:lang w:val="fr-FR"/>
        </w:rPr>
        <w:t>Essai</w:t>
      </w:r>
      <w:r w:rsidRPr="005755CB">
        <w:rPr>
          <w:lang w:val="fr-FR"/>
        </w:rPr>
        <w:t xml:space="preserve"> de traction pour les pneumatiques de</w:t>
      </w:r>
      <w:r>
        <w:rPr>
          <w:lang w:val="fr-FR"/>
        </w:rPr>
        <w:t xml:space="preserve"> la</w:t>
      </w:r>
      <w:r w:rsidRPr="005755CB">
        <w:rPr>
          <w:lang w:val="fr-FR"/>
        </w:rPr>
        <w:t xml:space="preserve"> classe C1</w:t>
      </w:r>
    </w:p>
    <w:p w:rsidR="00496077" w:rsidRPr="005755CB" w:rsidRDefault="00496077" w:rsidP="00496077">
      <w:pPr>
        <w:spacing w:after="120"/>
        <w:ind w:left="2268" w:right="1134"/>
        <w:jc w:val="both"/>
        <w:rPr>
          <w:lang w:val="fr-FR"/>
        </w:rPr>
      </w:pPr>
      <w:r w:rsidRPr="005755CB">
        <w:rPr>
          <w:lang w:val="fr-FR"/>
        </w:rPr>
        <w:t>La procédure d</w:t>
      </w:r>
      <w:r>
        <w:rPr>
          <w:lang w:val="fr-FR"/>
        </w:rPr>
        <w:t>’</w:t>
      </w:r>
      <w:r w:rsidRPr="005755CB">
        <w:rPr>
          <w:lang w:val="fr-FR"/>
        </w:rPr>
        <w:t>essai exposée dans la norme ASTM F1805-06 doit être appliquée pour déterminer le comportement du pneumatique à la traction sur de la neige moyennement tassée</w:t>
      </w:r>
      <w:r w:rsidRPr="00A1187A">
        <w:rPr>
          <w:b/>
          <w:bCs/>
          <w:lang w:val="fr-FR"/>
        </w:rPr>
        <w:t xml:space="preserve">, mesuré </w:t>
      </w:r>
      <w:r>
        <w:rPr>
          <w:b/>
          <w:bCs/>
          <w:lang w:val="fr-FR"/>
        </w:rPr>
        <w:t>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aide</w:t>
      </w:r>
      <w:r w:rsidRPr="00A1187A"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’</w:t>
      </w:r>
      <w:r w:rsidRPr="00A1187A">
        <w:rPr>
          <w:b/>
          <w:bCs/>
          <w:lang w:val="fr-FR"/>
        </w:rPr>
        <w:t xml:space="preserve">un indice de comportement à la traction </w:t>
      </w:r>
      <w:r w:rsidRPr="005755CB">
        <w:rPr>
          <w:lang w:val="fr-FR"/>
        </w:rPr>
        <w:t>(l</w:t>
      </w:r>
      <w:r>
        <w:rPr>
          <w:lang w:val="fr-FR"/>
        </w:rPr>
        <w:t>’</w:t>
      </w:r>
      <w:r w:rsidRPr="005755CB">
        <w:rPr>
          <w:lang w:val="fr-FR"/>
        </w:rPr>
        <w:t>indice de tassement de la neige, mesuré à l</w:t>
      </w:r>
      <w:r>
        <w:rPr>
          <w:lang w:val="fr-FR"/>
        </w:rPr>
        <w:t>’</w:t>
      </w:r>
      <w:r w:rsidRPr="005755CB">
        <w:rPr>
          <w:lang w:val="fr-FR"/>
        </w:rPr>
        <w:t>aide d</w:t>
      </w:r>
      <w:r>
        <w:rPr>
          <w:lang w:val="fr-FR"/>
        </w:rPr>
        <w:t>’</w:t>
      </w:r>
      <w:r w:rsidRPr="005755CB">
        <w:rPr>
          <w:lang w:val="fr-FR"/>
        </w:rPr>
        <w:t>un pénétromètre CTI, doit être compris entre 70 et 80).</w:t>
      </w:r>
    </w:p>
    <w:p w:rsidR="00496077" w:rsidRPr="00CC1F49" w:rsidRDefault="00496077" w:rsidP="00496077">
      <w:pPr>
        <w:pStyle w:val="SingleTxtG"/>
        <w:ind w:left="2268" w:hanging="1134"/>
        <w:rPr>
          <w:lang w:val="fr-FR"/>
        </w:rPr>
      </w:pPr>
      <w:r w:rsidRPr="00CC1F49">
        <w:rPr>
          <w:lang w:val="fr-FR"/>
        </w:rPr>
        <w:t>2.1</w:t>
      </w:r>
      <w:r w:rsidRPr="00CC1F49">
        <w:rPr>
          <w:lang w:val="fr-FR"/>
        </w:rPr>
        <w:tab/>
      </w:r>
      <w:r w:rsidRPr="00A1187A">
        <w:rPr>
          <w:lang w:val="fr-FR"/>
        </w:rPr>
        <w:t>Le parcours d</w:t>
      </w:r>
      <w:r>
        <w:rPr>
          <w:lang w:val="fr-FR"/>
        </w:rPr>
        <w:t>’</w:t>
      </w:r>
      <w:r w:rsidRPr="00A1187A">
        <w:rPr>
          <w:lang w:val="fr-FR"/>
        </w:rPr>
        <w:t>essai doit être recouvert d</w:t>
      </w:r>
      <w:r>
        <w:rPr>
          <w:lang w:val="fr-FR"/>
        </w:rPr>
        <w:t>’</w:t>
      </w:r>
      <w:r w:rsidRPr="00A1187A">
        <w:rPr>
          <w:lang w:val="fr-FR"/>
        </w:rPr>
        <w:t>une couche de neige moyennement</w:t>
      </w:r>
      <w:r>
        <w:rPr>
          <w:lang w:val="fr-FR"/>
        </w:rPr>
        <w:t xml:space="preserve"> </w:t>
      </w:r>
      <w:r w:rsidRPr="00A1187A">
        <w:rPr>
          <w:lang w:val="fr-FR"/>
        </w:rPr>
        <w:t>tassée, conformément aux prescriptions du tableau A2.1 de la norme ASTM</w:t>
      </w:r>
      <w:r>
        <w:rPr>
          <w:lang w:val="fr-FR"/>
        </w:rPr>
        <w:t xml:space="preserve"> </w:t>
      </w:r>
      <w:r w:rsidRPr="00A1187A">
        <w:rPr>
          <w:lang w:val="fr-FR"/>
        </w:rPr>
        <w:t>F1805-06</w:t>
      </w:r>
      <w:r>
        <w:rPr>
          <w:lang w:val="fr-FR"/>
        </w:rPr>
        <w:t xml:space="preserve"> </w:t>
      </w:r>
      <w:r w:rsidRPr="00A1187A">
        <w:rPr>
          <w:b/>
          <w:bCs/>
          <w:lang w:val="fr-FR"/>
        </w:rPr>
        <w:t xml:space="preserve">ou de la norme ASTM F1805-20, </w:t>
      </w:r>
      <w:r>
        <w:rPr>
          <w:b/>
          <w:bCs/>
          <w:lang w:val="fr-FR"/>
        </w:rPr>
        <w:t xml:space="preserve">selon </w:t>
      </w:r>
      <w:r w:rsidRPr="00A1187A">
        <w:rPr>
          <w:b/>
          <w:bCs/>
          <w:lang w:val="fr-FR"/>
        </w:rPr>
        <w:t>le cas</w:t>
      </w:r>
      <w:r>
        <w:rPr>
          <w:lang w:val="fr-FR"/>
        </w:rPr>
        <w:t>.</w:t>
      </w:r>
    </w:p>
    <w:p w:rsidR="00496077" w:rsidRPr="00CC1F49" w:rsidRDefault="00496077" w:rsidP="00496077">
      <w:pPr>
        <w:pStyle w:val="SingleTxtG"/>
        <w:ind w:left="2268" w:hanging="1134"/>
        <w:rPr>
          <w:lang w:val="fr-FR"/>
        </w:rPr>
      </w:pPr>
      <w:r w:rsidRPr="00CC1F49">
        <w:rPr>
          <w:bCs/>
          <w:lang w:val="fr-FR"/>
        </w:rPr>
        <w:lastRenderedPageBreak/>
        <w:t>2.2</w:t>
      </w:r>
      <w:r w:rsidRPr="00CC1F49">
        <w:rPr>
          <w:bCs/>
          <w:lang w:val="fr-FR"/>
        </w:rPr>
        <w:tab/>
      </w:r>
      <w:r w:rsidRPr="00A1187A">
        <w:rPr>
          <w:lang w:val="fr-FR"/>
        </w:rPr>
        <w:t>La charge sur le pneumatique aux fins de l</w:t>
      </w:r>
      <w:r>
        <w:rPr>
          <w:lang w:val="fr-FR"/>
        </w:rPr>
        <w:t>’</w:t>
      </w:r>
      <w:r w:rsidRPr="00A1187A">
        <w:rPr>
          <w:lang w:val="fr-FR"/>
        </w:rPr>
        <w:t>essai doit correspondre à celle</w:t>
      </w:r>
      <w:r>
        <w:rPr>
          <w:lang w:val="fr-FR"/>
        </w:rPr>
        <w:t xml:space="preserve"> </w:t>
      </w:r>
      <w:r w:rsidRPr="00A1187A">
        <w:rPr>
          <w:lang w:val="fr-FR"/>
        </w:rPr>
        <w:t>indiquée pour l</w:t>
      </w:r>
      <w:r>
        <w:rPr>
          <w:lang w:val="fr-FR"/>
        </w:rPr>
        <w:t>’</w:t>
      </w:r>
      <w:r w:rsidRPr="00A1187A">
        <w:rPr>
          <w:lang w:val="fr-FR"/>
        </w:rPr>
        <w:t>option 2 au paragraphe 11.9.2 de la norme ASTM F1805-06</w:t>
      </w:r>
      <w:r>
        <w:rPr>
          <w:lang w:val="fr-FR"/>
        </w:rPr>
        <w:t xml:space="preserve"> </w:t>
      </w:r>
      <w:r w:rsidRPr="00A1187A">
        <w:rPr>
          <w:b/>
          <w:bCs/>
          <w:lang w:val="fr-FR"/>
        </w:rPr>
        <w:t xml:space="preserve">ou de la norme ASTM F1805-20, </w:t>
      </w:r>
      <w:r>
        <w:rPr>
          <w:b/>
          <w:bCs/>
          <w:lang w:val="fr-FR"/>
        </w:rPr>
        <w:t xml:space="preserve">selon </w:t>
      </w:r>
      <w:r w:rsidRPr="00A1187A">
        <w:rPr>
          <w:b/>
          <w:bCs/>
          <w:lang w:val="fr-FR"/>
        </w:rPr>
        <w:t>le cas</w:t>
      </w:r>
      <w:r>
        <w:rPr>
          <w:b/>
          <w:bCs/>
          <w:lang w:val="fr-FR"/>
        </w:rPr>
        <w:t>. Si le SRTT16 est utilisé comme pneumatique de référence, il doit être mis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essai avec une charge de 531 kg à une pression de gonflage de 240 kPa (à froid). </w:t>
      </w:r>
      <w:r w:rsidRPr="001731F0">
        <w:rPr>
          <w:lang w:val="fr-FR"/>
        </w:rPr>
        <w:t>».</w:t>
      </w:r>
    </w:p>
    <w:p w:rsidR="00496077" w:rsidRPr="00CC1F49" w:rsidRDefault="00496077" w:rsidP="00496077">
      <w:pPr>
        <w:pStyle w:val="SingleTxtG"/>
        <w:rPr>
          <w:lang w:val="fr-FR"/>
        </w:rPr>
      </w:pPr>
      <w:r>
        <w:rPr>
          <w:i/>
          <w:iCs/>
          <w:lang w:val="fr-FR"/>
        </w:rPr>
        <w:t>Ajouter le nouveau paragraphe</w:t>
      </w:r>
      <w:r w:rsidRPr="00CC1F49">
        <w:rPr>
          <w:i/>
          <w:iCs/>
          <w:lang w:val="fr-FR"/>
        </w:rPr>
        <w:t xml:space="preserve"> 2.3</w:t>
      </w:r>
      <w:r>
        <w:rPr>
          <w:lang w:val="fr-FR"/>
        </w:rPr>
        <w:t>, libellé comme suit </w:t>
      </w:r>
      <w:r w:rsidRPr="00CC1F49">
        <w:rPr>
          <w:lang w:val="fr-FR"/>
        </w:rPr>
        <w:t>:</w:t>
      </w:r>
    </w:p>
    <w:p w:rsidR="00496077" w:rsidRPr="00CC1F49" w:rsidRDefault="00496077" w:rsidP="00496077">
      <w:pPr>
        <w:pStyle w:val="SingleTxtG"/>
        <w:ind w:left="2268" w:hanging="1134"/>
        <w:rPr>
          <w:b/>
          <w:lang w:val="fr-FR"/>
        </w:rPr>
      </w:pPr>
      <w:r>
        <w:rPr>
          <w:bCs/>
          <w:lang w:val="fr-FR"/>
        </w:rPr>
        <w:t>« </w:t>
      </w:r>
      <w:r w:rsidRPr="00CC1F49">
        <w:rPr>
          <w:b/>
          <w:lang w:val="fr-FR"/>
        </w:rPr>
        <w:t>2.3</w:t>
      </w:r>
      <w:r w:rsidRPr="00CC1F49">
        <w:rPr>
          <w:b/>
          <w:lang w:val="fr-FR"/>
        </w:rPr>
        <w:tab/>
      </w:r>
      <w:r w:rsidRPr="009A02AB">
        <w:rPr>
          <w:b/>
          <w:lang w:val="fr-FR"/>
        </w:rPr>
        <w:t>L</w:t>
      </w:r>
      <w:r>
        <w:rPr>
          <w:b/>
          <w:lang w:val="fr-FR"/>
        </w:rPr>
        <w:t>’</w:t>
      </w:r>
      <w:r w:rsidRPr="009A02AB">
        <w:rPr>
          <w:b/>
          <w:lang w:val="fr-FR"/>
        </w:rPr>
        <w:t>indice d</w:t>
      </w:r>
      <w:r>
        <w:rPr>
          <w:b/>
          <w:lang w:val="fr-FR"/>
        </w:rPr>
        <w:t>’</w:t>
      </w:r>
      <w:r w:rsidRPr="009A02AB">
        <w:rPr>
          <w:b/>
          <w:lang w:val="fr-FR"/>
        </w:rPr>
        <w:t>adhérence sur neige (SG) d</w:t>
      </w:r>
      <w:r>
        <w:rPr>
          <w:b/>
          <w:lang w:val="fr-FR"/>
        </w:rPr>
        <w:t>’</w:t>
      </w:r>
      <w:r w:rsidRPr="009A02AB">
        <w:rPr>
          <w:b/>
          <w:lang w:val="fr-FR"/>
        </w:rPr>
        <w:t>un pneumatique à contrôler Tn s</w:t>
      </w:r>
      <w:r>
        <w:rPr>
          <w:b/>
          <w:lang w:val="fr-FR"/>
        </w:rPr>
        <w:t>’</w:t>
      </w:r>
      <w:r w:rsidRPr="009A02AB">
        <w:rPr>
          <w:b/>
          <w:lang w:val="fr-FR"/>
        </w:rPr>
        <w:t xml:space="preserve">obtient </w:t>
      </w:r>
      <w:r>
        <w:rPr>
          <w:b/>
          <w:lang w:val="fr-FR"/>
        </w:rPr>
        <w:t>comme suit</w:t>
      </w:r>
      <w:r w:rsidR="00B512F5">
        <w:rPr>
          <w:b/>
          <w:lang w:val="fr-FR"/>
        </w:rPr>
        <w:t> </w:t>
      </w:r>
      <w:r w:rsidRPr="00CC1F49">
        <w:rPr>
          <w:b/>
          <w:lang w:val="fr-FR"/>
        </w:rPr>
        <w:t>:</w:t>
      </w:r>
    </w:p>
    <w:p w:rsidR="00496077" w:rsidRPr="00CC1F49" w:rsidRDefault="00496077" w:rsidP="00496077">
      <w:pPr>
        <w:spacing w:after="120"/>
        <w:ind w:left="2268" w:right="1134"/>
        <w:jc w:val="both"/>
        <w:rPr>
          <w:b/>
          <w:lang w:val="fr-FR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fr-FR"/>
            </w:rPr>
            <m:t>SG</m:t>
          </m:r>
          <m:d>
            <m:dPr>
              <m:ctrlPr>
                <w:rPr>
                  <w:rFonts w:ascii="Cambria Math" w:hAnsi="Cambria Math"/>
                  <w:b/>
                  <w:lang w:val="fr-FR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lang w:val="fr-FR"/>
                </w:rPr>
                <m:t>Tn</m:t>
              </m:r>
            </m:e>
          </m:d>
          <m:r>
            <m:rPr>
              <m:sty m:val="b"/>
            </m:rPr>
            <w:rPr>
              <w:rFonts w:ascii="Cambria Math" w:hAnsi="Cambria Math"/>
              <w:lang w:val="fr-FR"/>
            </w:rPr>
            <m:t>=f∙</m:t>
          </m:r>
          <m:f>
            <m:fPr>
              <m:ctrlPr>
                <w:rPr>
                  <w:rFonts w:ascii="Cambria Math" w:hAnsi="Cambria Math"/>
                  <w:b/>
                  <w:lang w:val="fr-F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fr-FR"/>
                </w:rPr>
                <m:t>TPI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fr-FR"/>
                </w:rPr>
                <m:t>100</m:t>
              </m:r>
            </m:den>
          </m:f>
        </m:oMath>
      </m:oMathPara>
    </w:p>
    <w:p w:rsidR="00496077" w:rsidRPr="00CC1F49" w:rsidRDefault="00496077" w:rsidP="00B512F5">
      <w:pPr>
        <w:pStyle w:val="SingleTxtG"/>
        <w:ind w:left="2835" w:hanging="567"/>
        <w:rPr>
          <w:b/>
          <w:lang w:val="fr-FR"/>
        </w:rPr>
      </w:pPr>
      <w:r>
        <w:rPr>
          <w:b/>
          <w:lang w:val="fr-FR"/>
        </w:rPr>
        <w:t>où</w:t>
      </w:r>
      <w:r w:rsidRPr="00CC1F49">
        <w:rPr>
          <w:b/>
          <w:lang w:val="fr-FR"/>
        </w:rPr>
        <w:t xml:space="preserve"> </w:t>
      </w:r>
    </w:p>
    <w:p w:rsidR="00496077" w:rsidRPr="00CC1F49" w:rsidRDefault="00496077" w:rsidP="00496077">
      <w:pPr>
        <w:pStyle w:val="SingleTxtG"/>
        <w:ind w:left="2835" w:hanging="567"/>
        <w:rPr>
          <w:b/>
          <w:lang w:val="fr-FR"/>
        </w:rPr>
      </w:pPr>
      <w:r w:rsidRPr="00CC1F49">
        <w:rPr>
          <w:b/>
          <w:lang w:val="fr-FR"/>
        </w:rPr>
        <w:t>a)</w:t>
      </w:r>
      <w:r w:rsidRPr="00CC1F49">
        <w:rPr>
          <w:b/>
          <w:lang w:val="fr-FR"/>
        </w:rPr>
        <w:tab/>
      </w:r>
      <m:oMath>
        <m:r>
          <m:rPr>
            <m:sty m:val="b"/>
          </m:rPr>
          <w:rPr>
            <w:rFonts w:ascii="Cambria Math" w:hAnsi="Cambria Math"/>
            <w:lang w:val="fr-FR"/>
          </w:rPr>
          <m:t>f=1,000</m:t>
        </m:r>
      </m:oMath>
      <w:r w:rsidRPr="00CC1F49">
        <w:rPr>
          <w:b/>
          <w:lang w:val="fr-FR"/>
        </w:rPr>
        <w:t xml:space="preserve"> </w:t>
      </w:r>
      <w:r>
        <w:rPr>
          <w:b/>
          <w:lang w:val="fr-FR"/>
        </w:rPr>
        <w:t>si le</w:t>
      </w:r>
      <w:r w:rsidRPr="00CC1F49">
        <w:rPr>
          <w:b/>
          <w:lang w:val="fr-FR"/>
        </w:rPr>
        <w:t xml:space="preserve"> SRTT14 </w:t>
      </w:r>
      <w:r>
        <w:rPr>
          <w:b/>
          <w:lang w:val="fr-FR"/>
        </w:rPr>
        <w:t>est utilisé comme pneumatique de référence conformément à la norme</w:t>
      </w:r>
      <w:r w:rsidRPr="00CC1F49">
        <w:rPr>
          <w:b/>
          <w:lang w:val="fr-FR"/>
        </w:rPr>
        <w:t xml:space="preserve"> ASTM F1805-06, </w:t>
      </w:r>
      <w:r>
        <w:rPr>
          <w:b/>
          <w:lang w:val="fr-FR"/>
        </w:rPr>
        <w:t>et</w:t>
      </w:r>
    </w:p>
    <w:p w:rsidR="00496077" w:rsidRPr="009A02AB" w:rsidRDefault="00496077" w:rsidP="00496077">
      <w:pPr>
        <w:pStyle w:val="SingleTxtG"/>
        <w:ind w:left="2835" w:hanging="567"/>
        <w:rPr>
          <w:b/>
          <w:lang w:val="fr-FR"/>
        </w:rPr>
      </w:pPr>
      <w:r w:rsidRPr="009A02AB">
        <w:rPr>
          <w:b/>
          <w:lang w:val="fr-FR"/>
        </w:rPr>
        <w:t>b)</w:t>
      </w:r>
      <w:r w:rsidRPr="009A02AB">
        <w:rPr>
          <w:b/>
          <w:lang w:val="fr-FR"/>
        </w:rPr>
        <w:tab/>
      </w:r>
      <m:oMath>
        <m:r>
          <m:rPr>
            <m:sty m:val="b"/>
          </m:rPr>
          <w:rPr>
            <w:rFonts w:ascii="Cambria Math" w:hAnsi="Cambria Math"/>
            <w:lang w:val="fr-FR"/>
          </w:rPr>
          <m:t>f=0,987</m:t>
        </m:r>
      </m:oMath>
      <w:r w:rsidRPr="009A02AB">
        <w:rPr>
          <w:b/>
          <w:lang w:val="fr-FR"/>
        </w:rPr>
        <w:t xml:space="preserve"> si le SRTT16 est </w:t>
      </w:r>
      <w:r>
        <w:rPr>
          <w:b/>
          <w:lang w:val="fr-FR"/>
        </w:rPr>
        <w:t>utilisé comme pneumatique de référence conformément à la norme</w:t>
      </w:r>
      <w:r w:rsidRPr="009A02AB">
        <w:rPr>
          <w:b/>
          <w:lang w:val="fr-FR"/>
        </w:rPr>
        <w:t xml:space="preserve"> ASTM F1805-20,</w:t>
      </w:r>
    </w:p>
    <w:p w:rsidR="00496077" w:rsidRPr="009A02AB" w:rsidRDefault="00496077" w:rsidP="00B512F5">
      <w:pPr>
        <w:pStyle w:val="SingleTxtG"/>
        <w:ind w:left="2268"/>
        <w:rPr>
          <w:lang w:val="fr-FR"/>
        </w:rPr>
      </w:pPr>
      <w:r w:rsidRPr="009A02AB">
        <w:rPr>
          <w:b/>
          <w:lang w:val="fr-FR"/>
        </w:rPr>
        <w:t xml:space="preserve">et </w:t>
      </w:r>
      <w:r>
        <w:rPr>
          <w:b/>
          <w:lang w:val="fr-FR"/>
        </w:rPr>
        <w:t xml:space="preserve">où </w:t>
      </w:r>
      <w:r w:rsidRPr="009A02AB">
        <w:rPr>
          <w:b/>
          <w:lang w:val="fr-FR"/>
        </w:rPr>
        <w:t>TPI désigne l</w:t>
      </w:r>
      <w:r>
        <w:rPr>
          <w:b/>
          <w:lang w:val="fr-FR"/>
        </w:rPr>
        <w:t>’</w:t>
      </w:r>
      <w:r w:rsidRPr="009A02AB">
        <w:rPr>
          <w:b/>
          <w:lang w:val="fr-FR"/>
        </w:rPr>
        <w:t>indice de comporteme</w:t>
      </w:r>
      <w:r>
        <w:rPr>
          <w:b/>
          <w:lang w:val="fr-FR"/>
        </w:rPr>
        <w:t>nt du pneumatique à la traction tel que défini dans la norme</w:t>
      </w:r>
      <w:r w:rsidRPr="009A02AB">
        <w:rPr>
          <w:b/>
          <w:lang w:val="fr-FR"/>
        </w:rPr>
        <w:t xml:space="preserve"> ASTM F1805-06 o</w:t>
      </w:r>
      <w:r>
        <w:rPr>
          <w:b/>
          <w:lang w:val="fr-FR"/>
        </w:rPr>
        <w:t>u dans la norme</w:t>
      </w:r>
      <w:r w:rsidRPr="009A02AB">
        <w:rPr>
          <w:b/>
          <w:lang w:val="fr-FR"/>
        </w:rPr>
        <w:t xml:space="preserve"> ASTM F1805-20, </w:t>
      </w:r>
      <w:r>
        <w:rPr>
          <w:b/>
          <w:lang w:val="fr-FR"/>
        </w:rPr>
        <w:t>selon le cas</w:t>
      </w:r>
      <w:r w:rsidRPr="009A02AB">
        <w:rPr>
          <w:b/>
          <w:lang w:val="fr-FR"/>
        </w:rPr>
        <w:t>.</w:t>
      </w:r>
      <w:r>
        <w:rPr>
          <w:b/>
          <w:lang w:val="fr-FR"/>
        </w:rPr>
        <w:t> </w:t>
      </w:r>
      <w:r w:rsidRPr="001731F0">
        <w:rPr>
          <w:bCs/>
          <w:lang w:val="fr-FR"/>
        </w:rPr>
        <w:t>».</w:t>
      </w:r>
    </w:p>
    <w:p w:rsidR="00496077" w:rsidRPr="00CC1F49" w:rsidRDefault="00496077" w:rsidP="00496077">
      <w:pPr>
        <w:pStyle w:val="SingleTxtG"/>
        <w:rPr>
          <w:lang w:val="fr-FR"/>
        </w:rPr>
      </w:pPr>
      <w:r>
        <w:rPr>
          <w:i/>
          <w:iCs/>
          <w:lang w:val="fr-FR"/>
        </w:rPr>
        <w:t>Ajouter le nouveau</w:t>
      </w:r>
      <w:r w:rsidRPr="00CC1F49">
        <w:rPr>
          <w:i/>
          <w:iCs/>
          <w:lang w:val="fr-FR"/>
        </w:rPr>
        <w:t xml:space="preserve"> paragraph</w:t>
      </w:r>
      <w:r>
        <w:rPr>
          <w:i/>
          <w:iCs/>
          <w:lang w:val="fr-FR"/>
        </w:rPr>
        <w:t>e</w:t>
      </w:r>
      <w:r w:rsidRPr="00CC1F49">
        <w:rPr>
          <w:i/>
          <w:iCs/>
          <w:lang w:val="fr-FR"/>
        </w:rPr>
        <w:t xml:space="preserve"> 3.1.6</w:t>
      </w:r>
      <w:r>
        <w:rPr>
          <w:lang w:val="fr-FR"/>
        </w:rPr>
        <w:t>, libellé comme suit </w:t>
      </w:r>
      <w:r w:rsidRPr="00CC1F49">
        <w:rPr>
          <w:lang w:val="fr-FR"/>
        </w:rPr>
        <w:t>:</w:t>
      </w:r>
    </w:p>
    <w:p w:rsidR="00496077" w:rsidRPr="00CC1F49" w:rsidRDefault="00496077" w:rsidP="00496077">
      <w:pPr>
        <w:pStyle w:val="SingleTxtG"/>
        <w:ind w:left="2268" w:hanging="1134"/>
        <w:rPr>
          <w:b/>
          <w:bCs/>
          <w:lang w:val="fr-FR"/>
        </w:rPr>
      </w:pPr>
      <w:r>
        <w:rPr>
          <w:b/>
          <w:lang w:val="fr-FR"/>
        </w:rPr>
        <w:t>« </w:t>
      </w:r>
      <w:r w:rsidRPr="00CC1F49">
        <w:rPr>
          <w:b/>
          <w:lang w:val="fr-FR"/>
        </w:rPr>
        <w:t>3.1.6</w:t>
      </w:r>
      <w:r w:rsidRPr="00CC1F49">
        <w:rPr>
          <w:b/>
          <w:lang w:val="fr-FR"/>
        </w:rPr>
        <w:tab/>
      </w:r>
      <w:r>
        <w:rPr>
          <w:b/>
          <w:lang w:val="fr-FR"/>
        </w:rPr>
        <w:t>Aux fins de cet essai, les pneumatiques d</w:t>
      </w:r>
      <w:r>
        <w:rPr>
          <w:b/>
          <w:lang w:val="fr-FR"/>
        </w:rPr>
        <w:t>’</w:t>
      </w:r>
      <w:r>
        <w:rPr>
          <w:b/>
          <w:lang w:val="fr-FR"/>
        </w:rPr>
        <w:t>essai de référence normalisés</w:t>
      </w:r>
      <w:r w:rsidRPr="00CC1F49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(SRTT) indiqués dans le tableau ci-après doivent être utilisés </w:t>
      </w:r>
      <w:r w:rsidRPr="00CC1F49">
        <w:rPr>
          <w:b/>
          <w:bCs/>
          <w:lang w:val="fr-FR"/>
        </w:rPr>
        <w:t>:</w:t>
      </w:r>
    </w:p>
    <w:tbl>
      <w:tblPr>
        <w:tblW w:w="428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</w:tblGrid>
      <w:tr w:rsidR="00496077" w:rsidRPr="00CC1F49" w:rsidTr="00B512F5">
        <w:tc>
          <w:tcPr>
            <w:tcW w:w="4282" w:type="dxa"/>
          </w:tcPr>
          <w:p w:rsidR="00496077" w:rsidRPr="00CC1F49" w:rsidRDefault="00496077" w:rsidP="00C2131A">
            <w:pPr>
              <w:spacing w:after="120"/>
              <w:ind w:left="59" w:right="32"/>
              <w:jc w:val="center"/>
              <w:rPr>
                <w:b/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i/>
                <w:iCs/>
                <w:sz w:val="16"/>
                <w:szCs w:val="16"/>
                <w:lang w:val="fr-FR"/>
              </w:rPr>
              <w:t>Pneumatiques de la classe</w:t>
            </w:r>
            <w:r w:rsidRPr="00CC1F49">
              <w:rPr>
                <w:b/>
                <w:i/>
                <w:iCs/>
                <w:sz w:val="16"/>
                <w:szCs w:val="16"/>
                <w:lang w:val="fr-FR"/>
              </w:rPr>
              <w:t xml:space="preserve"> C1</w:t>
            </w:r>
          </w:p>
        </w:tc>
      </w:tr>
      <w:tr w:rsidR="00496077" w:rsidRPr="00CC1F49" w:rsidTr="00B512F5">
        <w:tc>
          <w:tcPr>
            <w:tcW w:w="4282" w:type="dxa"/>
          </w:tcPr>
          <w:p w:rsidR="00496077" w:rsidRPr="00CC1F49" w:rsidRDefault="00496077" w:rsidP="00C2131A">
            <w:pPr>
              <w:spacing w:after="120"/>
              <w:ind w:left="59" w:right="32"/>
              <w:jc w:val="center"/>
              <w:rPr>
                <w:b/>
                <w:sz w:val="18"/>
                <w:szCs w:val="18"/>
                <w:lang w:val="fr-FR"/>
              </w:rPr>
            </w:pPr>
            <w:r w:rsidRPr="00CC1F49">
              <w:rPr>
                <w:b/>
                <w:sz w:val="18"/>
                <w:szCs w:val="18"/>
                <w:lang w:val="fr-FR"/>
              </w:rPr>
              <w:t>SRTT14 o</w:t>
            </w:r>
            <w:r>
              <w:rPr>
                <w:b/>
                <w:sz w:val="18"/>
                <w:szCs w:val="18"/>
                <w:lang w:val="fr-FR"/>
              </w:rPr>
              <w:t>u</w:t>
            </w:r>
            <w:r w:rsidRPr="00CC1F49">
              <w:rPr>
                <w:b/>
                <w:sz w:val="18"/>
                <w:szCs w:val="18"/>
                <w:lang w:val="fr-FR"/>
              </w:rPr>
              <w:t xml:space="preserve"> SRTT16</w:t>
            </w:r>
          </w:p>
        </w:tc>
      </w:tr>
    </w:tbl>
    <w:p w:rsidR="00496077" w:rsidRPr="00CC1F49" w:rsidRDefault="00B512F5" w:rsidP="00A033B9">
      <w:pPr>
        <w:pStyle w:val="SingleTxtG"/>
        <w:spacing w:before="120"/>
        <w:jc w:val="right"/>
        <w:rPr>
          <w:lang w:val="fr-FR"/>
        </w:rPr>
      </w:pPr>
      <w:r>
        <w:rPr>
          <w:lang w:val="fr-FR"/>
        </w:rPr>
        <w:t>.</w:t>
      </w:r>
      <w:r w:rsidR="00496077">
        <w:rPr>
          <w:lang w:val="fr-FR"/>
        </w:rPr>
        <w:t> ».</w:t>
      </w:r>
    </w:p>
    <w:p w:rsidR="00496077" w:rsidRPr="00CC1F49" w:rsidRDefault="00496077" w:rsidP="00496077">
      <w:pPr>
        <w:pStyle w:val="SingleTxtG"/>
        <w:rPr>
          <w:lang w:val="fr-FR"/>
        </w:rPr>
      </w:pPr>
      <w:r w:rsidRPr="00CC1F49">
        <w:rPr>
          <w:i/>
          <w:iCs/>
          <w:lang w:val="fr-FR"/>
        </w:rPr>
        <w:t>Paragraph</w:t>
      </w:r>
      <w:r>
        <w:rPr>
          <w:i/>
          <w:iCs/>
          <w:lang w:val="fr-FR"/>
        </w:rPr>
        <w:t>e</w:t>
      </w:r>
      <w:r w:rsidRPr="00CC1F49">
        <w:rPr>
          <w:i/>
          <w:iCs/>
          <w:lang w:val="fr-FR"/>
        </w:rPr>
        <w:t xml:space="preserve"> 3.4.1.3, </w:t>
      </w:r>
      <w:r>
        <w:rPr>
          <w:lang w:val="fr-FR"/>
        </w:rPr>
        <w:t>lire </w:t>
      </w:r>
      <w:r w:rsidRPr="00CC1F49">
        <w:rPr>
          <w:lang w:val="fr-FR"/>
        </w:rPr>
        <w:t>:</w:t>
      </w:r>
    </w:p>
    <w:p w:rsidR="00496077" w:rsidRPr="00CC1F49" w:rsidRDefault="00496077" w:rsidP="00496077">
      <w:pPr>
        <w:pStyle w:val="SingleTxtG"/>
        <w:ind w:left="2268" w:hanging="1134"/>
        <w:rPr>
          <w:bCs/>
          <w:lang w:val="fr-FR"/>
        </w:rPr>
      </w:pPr>
      <w:r>
        <w:rPr>
          <w:bCs/>
          <w:lang w:val="fr-FR"/>
        </w:rPr>
        <w:t>« </w:t>
      </w:r>
      <w:r w:rsidRPr="00CC1F49">
        <w:rPr>
          <w:bCs/>
          <w:lang w:val="fr-FR"/>
        </w:rPr>
        <w:t>3.4.1.3</w:t>
      </w:r>
      <w:r w:rsidRPr="00CC1F49">
        <w:rPr>
          <w:bCs/>
          <w:lang w:val="fr-FR"/>
        </w:rPr>
        <w:tab/>
      </w:r>
      <w:r w:rsidRPr="00B408D0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B408D0">
        <w:rPr>
          <w:bCs/>
          <w:lang w:val="fr-FR"/>
        </w:rPr>
        <w:t>indice d</w:t>
      </w:r>
      <w:r>
        <w:rPr>
          <w:bCs/>
          <w:lang w:val="fr-FR"/>
        </w:rPr>
        <w:t>’</w:t>
      </w:r>
      <w:r w:rsidRPr="00B408D0">
        <w:rPr>
          <w:bCs/>
          <w:lang w:val="fr-FR"/>
        </w:rPr>
        <w:t>adhérence sur neige (SG) d</w:t>
      </w:r>
      <w:r>
        <w:rPr>
          <w:bCs/>
          <w:lang w:val="fr-FR"/>
        </w:rPr>
        <w:t>’</w:t>
      </w:r>
      <w:r w:rsidRPr="00B408D0">
        <w:rPr>
          <w:bCs/>
          <w:lang w:val="fr-FR"/>
        </w:rPr>
        <w:t>un pneumatique à contrôler Tn s</w:t>
      </w:r>
      <w:r>
        <w:rPr>
          <w:bCs/>
          <w:lang w:val="fr-FR"/>
        </w:rPr>
        <w:t>’</w:t>
      </w:r>
      <w:r w:rsidRPr="00B408D0">
        <w:rPr>
          <w:bCs/>
          <w:lang w:val="fr-FR"/>
        </w:rPr>
        <w:t xml:space="preserve">obtient </w:t>
      </w:r>
      <w:r w:rsidRPr="00B408D0">
        <w:rPr>
          <w:bCs/>
          <w:strike/>
          <w:lang w:val="fr-FR"/>
        </w:rPr>
        <w:t>en divisant</w:t>
      </w:r>
      <w:r w:rsidRPr="00B512F5">
        <w:rPr>
          <w:bCs/>
          <w:strike/>
          <w:lang w:val="fr-FR"/>
        </w:rPr>
        <w:t xml:space="preserve"> </w:t>
      </w:r>
      <w:r w:rsidRPr="00B408D0">
        <w:rPr>
          <w:b/>
          <w:lang w:val="fr-FR"/>
        </w:rPr>
        <w:t>à partir de</w:t>
      </w:r>
      <w:r>
        <w:rPr>
          <w:bCs/>
          <w:lang w:val="fr-FR"/>
        </w:rPr>
        <w:t xml:space="preserve"> </w:t>
      </w:r>
      <w:r w:rsidRPr="00B408D0">
        <w:rPr>
          <w:bCs/>
          <w:lang w:val="fr-FR"/>
        </w:rPr>
        <w:t xml:space="preserve">la moyenne arithmétique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Tn</m:t>
                </m:r>
              </m:sub>
            </m:sSub>
          </m:e>
        </m:acc>
      </m:oMath>
      <w:r w:rsidRPr="00CC1F49">
        <w:rPr>
          <w:bCs/>
          <w:lang w:val="fr-FR"/>
        </w:rPr>
        <w:t xml:space="preserve"> </w:t>
      </w:r>
      <w:r w:rsidRPr="00B408D0">
        <w:rPr>
          <w:bCs/>
          <w:lang w:val="fr-FR"/>
        </w:rPr>
        <w:t xml:space="preserve">de la dmr du pneumatique Tn </w:t>
      </w:r>
      <w:r w:rsidRPr="00B408D0">
        <w:rPr>
          <w:bCs/>
          <w:strike/>
          <w:lang w:val="fr-FR"/>
        </w:rPr>
        <w:t>par</w:t>
      </w:r>
      <w:r w:rsidRPr="00B512F5">
        <w:rPr>
          <w:bCs/>
          <w:strike/>
          <w:lang w:val="fr-FR"/>
        </w:rPr>
        <w:t xml:space="preserve"> </w:t>
      </w:r>
      <w:r w:rsidRPr="00B408D0">
        <w:rPr>
          <w:b/>
          <w:lang w:val="fr-FR"/>
        </w:rPr>
        <w:t>et de</w:t>
      </w:r>
      <w:r>
        <w:rPr>
          <w:bCs/>
          <w:lang w:val="fr-FR"/>
        </w:rPr>
        <w:t xml:space="preserve"> </w:t>
      </w:r>
      <w:r w:rsidRPr="00B408D0">
        <w:rPr>
          <w:bCs/>
          <w:lang w:val="fr-FR"/>
        </w:rPr>
        <w:t>la moyenne pondérée applicable</w:t>
      </w:r>
      <w:r>
        <w:rPr>
          <w:bCs/>
          <w:lang w:val="fr-FR"/>
        </w:rPr>
        <w:t xml:space="preserve"> </w:t>
      </w:r>
      <w:r w:rsidRPr="009D113F">
        <w:rPr>
          <w:bCs/>
          <w:i/>
          <w:szCs w:val="18"/>
          <w:lang w:val="fr-FR"/>
        </w:rPr>
        <w:t>wa</w:t>
      </w:r>
      <w:r w:rsidRPr="009D113F">
        <w:rPr>
          <w:bCs/>
          <w:szCs w:val="18"/>
          <w:vertAlign w:val="subscript"/>
          <w:lang w:val="fr-FR"/>
        </w:rPr>
        <w:t>SRTT</w:t>
      </w:r>
      <w:r w:rsidRPr="00B408D0">
        <w:rPr>
          <w:bCs/>
          <w:lang w:val="fr-FR"/>
        </w:rPr>
        <w:t xml:space="preserve"> du SRTT</w:t>
      </w:r>
      <w:r w:rsidRPr="001731F0">
        <w:rPr>
          <w:b/>
          <w:lang w:val="fr-FR"/>
        </w:rPr>
        <w:t xml:space="preserve">, </w:t>
      </w:r>
      <w:r w:rsidRPr="00B408D0">
        <w:rPr>
          <w:b/>
          <w:lang w:val="fr-FR"/>
        </w:rPr>
        <w:t>tel qu</w:t>
      </w:r>
      <w:r>
        <w:rPr>
          <w:b/>
          <w:lang w:val="fr-FR"/>
        </w:rPr>
        <w:t>’</w:t>
      </w:r>
      <w:r w:rsidRPr="00B408D0">
        <w:rPr>
          <w:b/>
          <w:lang w:val="fr-FR"/>
        </w:rPr>
        <w:t>indiqué dans le tableau</w:t>
      </w:r>
      <w:r>
        <w:rPr>
          <w:bCs/>
          <w:lang w:val="fr-FR"/>
        </w:rPr>
        <w:t> </w:t>
      </w:r>
      <w:r w:rsidRPr="00CC1F49">
        <w:rPr>
          <w:bCs/>
          <w:lang w:val="fr-FR"/>
        </w:rPr>
        <w:t xml:space="preserve">: </w:t>
      </w:r>
    </w:p>
    <w:p w:rsidR="00496077" w:rsidRPr="00B512F5" w:rsidRDefault="00B512F5" w:rsidP="00496077">
      <w:pPr>
        <w:spacing w:after="120"/>
        <w:ind w:left="1134" w:right="1134" w:hanging="1134"/>
        <w:jc w:val="both"/>
        <w:rPr>
          <w:bCs/>
          <w:iCs/>
          <w:strike/>
          <w:lang w:val="fr-FR"/>
        </w:rPr>
      </w:pPr>
      <m:oMathPara>
        <m:oMath>
          <m:r>
            <m:rPr>
              <m:sty m:val="p"/>
            </m:rPr>
            <w:rPr>
              <w:rFonts w:ascii="Cambria Math" w:hAnsi="Cambria Math"/>
              <w:strike/>
              <w:lang w:val="fr-FR"/>
            </w:rPr>
            <m:t>SG</m:t>
          </m:r>
          <m:d>
            <m:dPr>
              <m:ctrlPr>
                <w:rPr>
                  <w:rFonts w:ascii="Cambria Math" w:hAnsi="Cambria Math"/>
                  <w:bCs/>
                  <w:iCs/>
                  <w:strike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trike/>
                  <w:lang w:val="fr-FR"/>
                </w:rPr>
                <m:t>Tn</m:t>
              </m:r>
            </m:e>
          </m:d>
          <m:r>
            <m:rPr>
              <m:sty m:val="p"/>
            </m:rPr>
            <w:rPr>
              <w:rFonts w:ascii="Cambria Math" w:hAnsi="Cambria Math"/>
              <w:strike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trike/>
                  <w:lang w:val="fr-FR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Cs/>
                      <w:iCs/>
                      <w:strike/>
                      <w:lang w:val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Cs/>
                          <w:strike/>
                          <w:lang w:val="fr-F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lang w:val="fr-FR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lang w:val="fr-FR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Cs/>
                      <w:strike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lang w:val="fr-FR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lang w:val="fr-FR"/>
                    </w:rPr>
                    <m:t>SRTT</m:t>
                  </m:r>
                </m:sub>
              </m:sSub>
            </m:den>
          </m:f>
        </m:oMath>
      </m:oMathPara>
    </w:p>
    <w:p w:rsidR="00496077" w:rsidRPr="00B512F5" w:rsidRDefault="00B512F5" w:rsidP="00496077">
      <w:pPr>
        <w:spacing w:after="120"/>
        <w:ind w:left="1134" w:right="1133" w:hanging="1416"/>
        <w:jc w:val="both"/>
        <w:rPr>
          <w:b/>
          <w:bCs/>
          <w:iCs/>
          <w:lang w:val="fr-FR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fr-FR"/>
            </w:rPr>
            <m:t>SG</m:t>
          </m:r>
          <m:d>
            <m:dPr>
              <m:ctrlPr>
                <w:rPr>
                  <w:rFonts w:ascii="Cambria Math" w:hAnsi="Cambria Math"/>
                  <w:b/>
                  <w:bCs/>
                  <w:iCs/>
                  <w:lang w:val="fr-FR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lang w:val="fr-FR"/>
                </w:rPr>
                <m:t>Tn</m:t>
              </m:r>
            </m:e>
          </m:d>
          <m:r>
            <m:rPr>
              <m:sty m:val="b"/>
            </m:rPr>
            <w:rPr>
              <w:rFonts w:ascii="Cambria Math" w:hAnsi="Cambria Math"/>
              <w:lang w:val="fr-FR"/>
            </w:rPr>
            <m:t>=f∙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lang w:val="fr-FR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lang w:val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Cs/>
                          <w:lang w:val="fr-FR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fr-FR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fr-FR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Cs/>
                      <w:lang w:val="fr-F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fr-FR"/>
                    </w:rPr>
                    <m:t>wa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fr-FR"/>
                    </w:rPr>
                    <m:t>SRTT</m:t>
                  </m:r>
                </m:sub>
              </m:sSub>
            </m:den>
          </m:f>
        </m:oMath>
      </m:oMathPara>
    </w:p>
    <w:p w:rsidR="00496077" w:rsidRPr="00CC1F49" w:rsidRDefault="00496077" w:rsidP="00496077">
      <w:pPr>
        <w:spacing w:after="120"/>
        <w:ind w:left="2268" w:right="1134"/>
        <w:jc w:val="both"/>
        <w:rPr>
          <w:b/>
          <w:bCs/>
          <w:lang w:val="fr-FR"/>
        </w:rPr>
      </w:pPr>
      <w:r>
        <w:rPr>
          <w:b/>
          <w:bCs/>
          <w:lang w:val="fr-FR"/>
        </w:rPr>
        <w:t>où</w:t>
      </w:r>
      <w:r w:rsidRPr="00CC1F49">
        <w:rPr>
          <w:b/>
          <w:bCs/>
          <w:lang w:val="fr-FR"/>
        </w:rPr>
        <w:t xml:space="preserve"> </w:t>
      </w:r>
      <w:r w:rsidRPr="00CC1F49">
        <w:rPr>
          <w:b/>
          <w:bCs/>
          <w:i/>
          <w:iCs/>
          <w:lang w:val="fr-FR"/>
        </w:rPr>
        <w:t>f</w:t>
      </w:r>
      <w:r w:rsidRPr="00CC1F49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prend les valeurs données dans le tableau ci-après</w:t>
      </w:r>
    </w:p>
    <w:tbl>
      <w:tblPr>
        <w:tblStyle w:val="TableGrid1"/>
        <w:tblW w:w="6237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1482"/>
        <w:gridCol w:w="1634"/>
        <w:gridCol w:w="3121"/>
      </w:tblGrid>
      <w:tr w:rsidR="00496077" w:rsidRPr="00CC1F49" w:rsidTr="00B512F5">
        <w:tc>
          <w:tcPr>
            <w:tcW w:w="1413" w:type="dxa"/>
            <w:vAlign w:val="center"/>
          </w:tcPr>
          <w:p w:rsidR="00496077" w:rsidRPr="00CC1F49" w:rsidRDefault="00496077" w:rsidP="00B512F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Classe de pneumatique</w:t>
            </w:r>
          </w:p>
        </w:tc>
        <w:tc>
          <w:tcPr>
            <w:tcW w:w="1559" w:type="dxa"/>
            <w:vAlign w:val="center"/>
          </w:tcPr>
          <w:p w:rsidR="00496077" w:rsidRPr="00CC1F49" w:rsidRDefault="00496077" w:rsidP="00B512F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 xml:space="preserve">Pneumatique </w:t>
            </w:r>
            <w:r w:rsidR="00B512F5">
              <w:rPr>
                <w:b/>
                <w:i/>
                <w:sz w:val="16"/>
                <w:szCs w:val="16"/>
                <w:lang w:val="fr-FR"/>
              </w:rPr>
              <w:br/>
            </w:r>
            <w:r>
              <w:rPr>
                <w:b/>
                <w:i/>
                <w:sz w:val="16"/>
                <w:szCs w:val="16"/>
                <w:lang w:val="fr-FR"/>
              </w:rPr>
              <w:t>de référence</w:t>
            </w:r>
          </w:p>
        </w:tc>
        <w:tc>
          <w:tcPr>
            <w:tcW w:w="2977" w:type="dxa"/>
            <w:vAlign w:val="bottom"/>
          </w:tcPr>
          <w:p w:rsidR="00496077" w:rsidRPr="00CC1F49" w:rsidRDefault="00496077" w:rsidP="00B512F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CC1F49">
              <w:rPr>
                <w:b/>
                <w:i/>
                <w:sz w:val="16"/>
                <w:szCs w:val="16"/>
                <w:lang w:val="fr-FR"/>
              </w:rPr>
              <w:t>Fact</w:t>
            </w:r>
            <w:r>
              <w:rPr>
                <w:b/>
                <w:i/>
                <w:sz w:val="16"/>
                <w:szCs w:val="16"/>
                <w:lang w:val="fr-FR"/>
              </w:rPr>
              <w:t>eu</w:t>
            </w:r>
            <w:r w:rsidRPr="00CC1F49">
              <w:rPr>
                <w:b/>
                <w:i/>
                <w:sz w:val="16"/>
                <w:szCs w:val="16"/>
                <w:lang w:val="fr-FR"/>
              </w:rPr>
              <w:t>r</w:t>
            </w:r>
          </w:p>
        </w:tc>
      </w:tr>
      <w:tr w:rsidR="00496077" w:rsidRPr="00CC1F49" w:rsidTr="00B512F5">
        <w:tc>
          <w:tcPr>
            <w:tcW w:w="1413" w:type="dxa"/>
            <w:vMerge w:val="restart"/>
            <w:vAlign w:val="center"/>
          </w:tcPr>
          <w:p w:rsidR="00496077" w:rsidRPr="00CC1F49" w:rsidRDefault="00496077" w:rsidP="00B512F5">
            <w:pPr>
              <w:keepNext/>
              <w:keepLines/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  <w:szCs w:val="18"/>
                <w:lang w:val="fr-FR"/>
              </w:rPr>
            </w:pPr>
            <w:r w:rsidRPr="00CC1F49">
              <w:rPr>
                <w:b/>
                <w:sz w:val="18"/>
                <w:szCs w:val="18"/>
                <w:lang w:val="fr-FR"/>
              </w:rPr>
              <w:t>C1</w:t>
            </w:r>
          </w:p>
        </w:tc>
        <w:tc>
          <w:tcPr>
            <w:tcW w:w="1559" w:type="dxa"/>
            <w:vAlign w:val="center"/>
          </w:tcPr>
          <w:p w:rsidR="00496077" w:rsidRPr="00CC1F49" w:rsidRDefault="00496077" w:rsidP="00B512F5">
            <w:pPr>
              <w:keepNext/>
              <w:keepLines/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  <w:szCs w:val="18"/>
                <w:lang w:val="fr-FR"/>
              </w:rPr>
            </w:pPr>
            <w:r w:rsidRPr="00CC1F49">
              <w:rPr>
                <w:b/>
                <w:sz w:val="18"/>
                <w:szCs w:val="18"/>
                <w:lang w:val="fr-FR"/>
              </w:rPr>
              <w:t>SRTT14</w:t>
            </w:r>
          </w:p>
        </w:tc>
        <w:tc>
          <w:tcPr>
            <w:tcW w:w="2977" w:type="dxa"/>
          </w:tcPr>
          <w:p w:rsidR="00496077" w:rsidRPr="00CC1F49" w:rsidRDefault="00496077" w:rsidP="00B512F5">
            <w:pPr>
              <w:keepNext/>
              <w:keepLines/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  <w:szCs w:val="1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fr-FR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  <w:lang w:val="fr-FR"/>
                </w:rPr>
                <m:t>=1</m:t>
              </m:r>
            </m:oMath>
            <w:r>
              <w:rPr>
                <w:b/>
                <w:sz w:val="18"/>
                <w:szCs w:val="18"/>
                <w:lang w:val="fr-FR"/>
              </w:rPr>
              <w:t>,</w:t>
            </w:r>
            <w:r w:rsidRPr="00CC1F49">
              <w:rPr>
                <w:b/>
                <w:sz w:val="18"/>
                <w:szCs w:val="18"/>
                <w:lang w:val="fr-FR"/>
              </w:rPr>
              <w:t>000</w:t>
            </w:r>
          </w:p>
        </w:tc>
      </w:tr>
      <w:tr w:rsidR="00496077" w:rsidRPr="00CC1F49" w:rsidTr="00B512F5">
        <w:tc>
          <w:tcPr>
            <w:tcW w:w="1413" w:type="dxa"/>
            <w:vMerge/>
            <w:vAlign w:val="center"/>
          </w:tcPr>
          <w:p w:rsidR="00496077" w:rsidRPr="00CC1F49" w:rsidRDefault="00496077" w:rsidP="00B512F5">
            <w:pPr>
              <w:spacing w:after="120" w:line="240" w:lineRule="auto"/>
              <w:ind w:left="57" w:right="57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96077" w:rsidRPr="00CC1F49" w:rsidRDefault="00496077" w:rsidP="00B512F5">
            <w:pPr>
              <w:keepNext/>
              <w:keepLines/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  <w:szCs w:val="18"/>
                <w:lang w:val="fr-FR"/>
              </w:rPr>
            </w:pPr>
            <w:r w:rsidRPr="00CC1F49">
              <w:rPr>
                <w:b/>
                <w:sz w:val="18"/>
                <w:szCs w:val="18"/>
                <w:lang w:val="fr-FR"/>
              </w:rPr>
              <w:t>SRTT16</w:t>
            </w:r>
          </w:p>
        </w:tc>
        <w:tc>
          <w:tcPr>
            <w:tcW w:w="2977" w:type="dxa"/>
          </w:tcPr>
          <w:p w:rsidR="00496077" w:rsidRPr="00CC1F49" w:rsidRDefault="00496077" w:rsidP="00B512F5">
            <w:pPr>
              <w:keepNext/>
              <w:keepLines/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  <w:szCs w:val="1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=0,980</m:t>
                </m:r>
              </m:oMath>
            </m:oMathPara>
          </w:p>
        </w:tc>
      </w:tr>
    </w:tbl>
    <w:p w:rsidR="00496077" w:rsidRPr="00CC1F49" w:rsidRDefault="00B512F5" w:rsidP="00A033B9">
      <w:pPr>
        <w:pStyle w:val="SingleTxtG"/>
        <w:spacing w:before="120"/>
        <w:jc w:val="right"/>
        <w:rPr>
          <w:i/>
          <w:iCs/>
          <w:lang w:val="fr-FR"/>
        </w:rPr>
      </w:pPr>
      <w:r>
        <w:rPr>
          <w:i/>
          <w:iCs/>
          <w:lang w:val="fr-FR"/>
        </w:rPr>
        <w:t>.</w:t>
      </w:r>
      <w:r w:rsidR="00496077">
        <w:rPr>
          <w:i/>
          <w:iCs/>
          <w:lang w:val="fr-FR"/>
        </w:rPr>
        <w:t> ».</w:t>
      </w:r>
    </w:p>
    <w:p w:rsidR="00496077" w:rsidRPr="00CC1F49" w:rsidRDefault="00496077" w:rsidP="00496077">
      <w:pPr>
        <w:pStyle w:val="SingleTxtG"/>
        <w:rPr>
          <w:lang w:val="fr-FR"/>
        </w:rPr>
      </w:pPr>
      <w:r w:rsidRPr="00CC1F49">
        <w:rPr>
          <w:i/>
          <w:iCs/>
          <w:lang w:val="fr-FR"/>
        </w:rPr>
        <w:t>Paragraph</w:t>
      </w:r>
      <w:r>
        <w:rPr>
          <w:i/>
          <w:iCs/>
          <w:lang w:val="fr-FR"/>
        </w:rPr>
        <w:t>e</w:t>
      </w:r>
      <w:r w:rsidRPr="00CC1F49">
        <w:rPr>
          <w:i/>
          <w:iCs/>
          <w:lang w:val="fr-FR"/>
        </w:rPr>
        <w:t xml:space="preserve"> 3.4.3.1, </w:t>
      </w:r>
      <w:r>
        <w:rPr>
          <w:lang w:val="fr-FR"/>
        </w:rPr>
        <w:t>lire </w:t>
      </w:r>
      <w:r w:rsidRPr="00CC1F49">
        <w:rPr>
          <w:lang w:val="fr-FR"/>
        </w:rPr>
        <w:t>:</w:t>
      </w:r>
    </w:p>
    <w:p w:rsidR="00496077" w:rsidRPr="00CC1F49" w:rsidRDefault="00496077" w:rsidP="00496077">
      <w:pPr>
        <w:pStyle w:val="SingleTxtG"/>
        <w:ind w:left="2268" w:hanging="1134"/>
        <w:rPr>
          <w:b/>
          <w:bCs/>
          <w:lang w:val="fr-FR"/>
        </w:rPr>
      </w:pPr>
      <w:r>
        <w:rPr>
          <w:bCs/>
          <w:lang w:val="fr-FR"/>
        </w:rPr>
        <w:t>« </w:t>
      </w:r>
      <w:r w:rsidRPr="00CC1F49">
        <w:rPr>
          <w:lang w:val="fr-FR"/>
        </w:rPr>
        <w:t>3.4.3.1</w:t>
      </w:r>
      <w:r w:rsidRPr="00CC1F49">
        <w:rPr>
          <w:lang w:val="fr-FR"/>
        </w:rPr>
        <w:tab/>
      </w:r>
      <w:r w:rsidRPr="00CC1F49">
        <w:rPr>
          <w:lang w:val="fr-FR"/>
        </w:rPr>
        <w:tab/>
      </w:r>
      <w:r w:rsidRPr="00934477">
        <w:rPr>
          <w:lang w:val="fr-FR"/>
        </w:rPr>
        <w:t>L</w:t>
      </w:r>
      <w:r>
        <w:rPr>
          <w:lang w:val="fr-FR"/>
        </w:rPr>
        <w:t>’</w:t>
      </w:r>
      <w:r w:rsidRPr="00934477">
        <w:rPr>
          <w:lang w:val="fr-FR"/>
        </w:rPr>
        <w:t>indice d</w:t>
      </w:r>
      <w:r>
        <w:rPr>
          <w:lang w:val="fr-FR"/>
        </w:rPr>
        <w:t>’</w:t>
      </w:r>
      <w:r w:rsidRPr="00934477">
        <w:rPr>
          <w:lang w:val="fr-FR"/>
        </w:rPr>
        <w:t xml:space="preserve">adhérence sur neige du pneumatique témoin </w:t>
      </w:r>
      <w:r w:rsidRPr="00934477">
        <w:rPr>
          <w:b/>
          <w:bCs/>
          <w:lang w:val="fr-FR"/>
        </w:rPr>
        <w:t>C</w:t>
      </w:r>
      <w:r>
        <w:rPr>
          <w:lang w:val="fr-FR"/>
        </w:rPr>
        <w:t xml:space="preserve"> </w:t>
      </w:r>
      <w:r w:rsidRPr="00934477">
        <w:rPr>
          <w:lang w:val="fr-FR"/>
        </w:rPr>
        <w:t>par rapport au SRTT (SG1)</w:t>
      </w:r>
      <w:r w:rsidRPr="00F31023">
        <w:rPr>
          <w:b/>
          <w:bCs/>
          <w:lang w:val="fr-FR"/>
        </w:rPr>
        <w:t xml:space="preserve">, qui </w:t>
      </w:r>
      <w:r w:rsidRPr="00934477">
        <w:rPr>
          <w:b/>
          <w:bCs/>
          <w:lang w:val="fr-FR"/>
        </w:rPr>
        <w:t>s</w:t>
      </w:r>
      <w:r>
        <w:rPr>
          <w:b/>
          <w:bCs/>
          <w:lang w:val="fr-FR"/>
        </w:rPr>
        <w:t>’</w:t>
      </w:r>
      <w:r w:rsidRPr="00934477">
        <w:rPr>
          <w:b/>
          <w:bCs/>
          <w:lang w:val="fr-FR"/>
        </w:rPr>
        <w:t>obtient comme suit :</w:t>
      </w:r>
    </w:p>
    <w:p w:rsidR="00496077" w:rsidRPr="00B512F5" w:rsidRDefault="00B512F5" w:rsidP="00496077">
      <w:pPr>
        <w:spacing w:after="120"/>
        <w:ind w:left="2268" w:right="1134"/>
        <w:jc w:val="center"/>
        <w:rPr>
          <w:b/>
          <w:iCs/>
          <w:lang w:val="fr-FR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fr-FR"/>
            </w:rPr>
            <m:t>SG1=SG</m:t>
          </m:r>
          <m:d>
            <m:dPr>
              <m:ctrlPr>
                <w:rPr>
                  <w:rFonts w:ascii="Cambria Math" w:hAnsi="Cambria Math"/>
                  <w:b/>
                  <w:bCs/>
                  <w:iCs/>
                  <w:lang w:val="fr-FR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lang w:val="fr-FR"/>
                </w:rPr>
                <m:t>C</m:t>
              </m:r>
            </m:e>
          </m:d>
          <m:r>
            <m:rPr>
              <m:sty m:val="b"/>
            </m:rPr>
            <w:rPr>
              <w:rFonts w:ascii="Cambria Math" w:hAnsi="Cambria Math"/>
              <w:lang w:val="fr-FR"/>
            </w:rPr>
            <m:t>=f∙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lang w:val="fr-FR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Cs/>
                      <w:lang w:val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Cs/>
                          <w:lang w:val="fr-FR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fr-FR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fr-FR"/>
                        </w:rPr>
                        <m:t>C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Cs/>
                      <w:lang w:val="fr-F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fr-FR"/>
                    </w:rPr>
                    <m:t>wa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fr-FR"/>
                    </w:rPr>
                    <m:t>SRTT</m:t>
                  </m:r>
                </m:sub>
              </m:sSub>
            </m:den>
          </m:f>
        </m:oMath>
      </m:oMathPara>
    </w:p>
    <w:p w:rsidR="00496077" w:rsidRPr="00934477" w:rsidRDefault="00496077" w:rsidP="00496077">
      <w:pPr>
        <w:spacing w:after="120"/>
        <w:ind w:left="2268" w:right="1134"/>
        <w:jc w:val="both"/>
        <w:rPr>
          <w:b/>
          <w:bCs/>
          <w:lang w:val="fr-FR"/>
        </w:rPr>
      </w:pPr>
      <w:r w:rsidRPr="00934477">
        <w:rPr>
          <w:b/>
          <w:lang w:val="fr-FR"/>
        </w:rPr>
        <w:lastRenderedPageBreak/>
        <w:t xml:space="preserve">où </w:t>
      </w:r>
      <w:r w:rsidRPr="00934477">
        <w:rPr>
          <w:b/>
          <w:i/>
          <w:iCs/>
          <w:lang w:val="fr-FR"/>
        </w:rPr>
        <w:t>f</w:t>
      </w:r>
      <w:r w:rsidRPr="00934477">
        <w:rPr>
          <w:b/>
          <w:lang w:val="fr-FR"/>
        </w:rPr>
        <w:t xml:space="preserve"> </w:t>
      </w:r>
      <w:r>
        <w:rPr>
          <w:b/>
          <w:lang w:val="fr-FR"/>
        </w:rPr>
        <w:t>prend les valeurs</w:t>
      </w:r>
      <w:r w:rsidRPr="00934477">
        <w:rPr>
          <w:b/>
          <w:lang w:val="fr-FR"/>
        </w:rPr>
        <w:t xml:space="preserve"> donné</w:t>
      </w:r>
      <w:r>
        <w:rPr>
          <w:b/>
          <w:lang w:val="fr-FR"/>
        </w:rPr>
        <w:t>es</w:t>
      </w:r>
      <w:r w:rsidRPr="00934477">
        <w:rPr>
          <w:b/>
          <w:lang w:val="fr-FR"/>
        </w:rPr>
        <w:t xml:space="preserve"> au paragraphe 3.4.1.3,</w:t>
      </w:r>
      <w:r w:rsidRPr="00934477">
        <w:rPr>
          <w:lang w:val="fr-FR"/>
        </w:rPr>
        <w:t xml:space="preserve"> et</w:t>
      </w:r>
      <w:r>
        <w:rPr>
          <w:lang w:val="fr-FR"/>
        </w:rPr>
        <w:t xml:space="preserve"> </w:t>
      </w:r>
      <w:r w:rsidRPr="00934477">
        <w:rPr>
          <w:strike/>
          <w:lang w:val="fr-FR"/>
        </w:rPr>
        <w:t>celui</w:t>
      </w:r>
      <w:r w:rsidRPr="00B512F5">
        <w:rPr>
          <w:strike/>
          <w:lang w:val="fr-FR"/>
        </w:rPr>
        <w:t xml:space="preserve"> </w:t>
      </w:r>
      <w:r w:rsidRPr="00934477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934477">
        <w:rPr>
          <w:b/>
          <w:bCs/>
          <w:lang w:val="fr-FR"/>
        </w:rPr>
        <w:t>indice d</w:t>
      </w:r>
      <w:r>
        <w:rPr>
          <w:b/>
          <w:bCs/>
          <w:lang w:val="fr-FR"/>
        </w:rPr>
        <w:t>’</w:t>
      </w:r>
      <w:r w:rsidRPr="00934477">
        <w:rPr>
          <w:b/>
          <w:bCs/>
          <w:lang w:val="fr-FR"/>
        </w:rPr>
        <w:t xml:space="preserve">adhérence sur neige </w:t>
      </w:r>
      <w:r>
        <w:rPr>
          <w:lang w:val="fr-FR"/>
        </w:rPr>
        <w:t>du pneumatique à contrôler</w:t>
      </w:r>
      <w:r w:rsidRPr="00934477">
        <w:rPr>
          <w:lang w:val="fr-FR"/>
        </w:rPr>
        <w:t xml:space="preserve"> </w:t>
      </w:r>
      <w:r w:rsidRPr="00934477">
        <w:rPr>
          <w:b/>
          <w:bCs/>
          <w:lang w:val="fr-FR"/>
        </w:rPr>
        <w:t xml:space="preserve">Tn </w:t>
      </w:r>
      <w:r>
        <w:rPr>
          <w:lang w:val="fr-FR"/>
        </w:rPr>
        <w:t>par rapport au pneumatique témoin</w:t>
      </w:r>
      <w:r w:rsidRPr="00934477">
        <w:rPr>
          <w:lang w:val="fr-FR"/>
        </w:rPr>
        <w:t xml:space="preserve"> (SG2)</w:t>
      </w:r>
      <w:r w:rsidRPr="00F31023">
        <w:rPr>
          <w:b/>
          <w:bCs/>
          <w:lang w:val="fr-FR"/>
        </w:rPr>
        <w:t>, qui</w:t>
      </w:r>
      <w:r w:rsidRPr="00934477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obtient comme suit :</w:t>
      </w:r>
    </w:p>
    <w:p w:rsidR="00496077" w:rsidRPr="00B512F5" w:rsidRDefault="00B512F5" w:rsidP="00496077">
      <w:pPr>
        <w:spacing w:after="120"/>
        <w:ind w:left="2268" w:right="1134"/>
        <w:jc w:val="center"/>
        <w:rPr>
          <w:iCs/>
          <w:lang w:val="fr-FR"/>
        </w:rPr>
      </w:pPr>
      <m:oMath>
        <m:r>
          <m:rPr>
            <m:sty m:val="b"/>
          </m:rPr>
          <w:rPr>
            <w:rFonts w:ascii="Cambria Math" w:hAnsi="Cambria Math"/>
            <w:lang w:val="fr-FR"/>
          </w:rPr>
          <m:t>SG2=</m:t>
        </m:r>
        <m:f>
          <m:fPr>
            <m:ctrlPr>
              <w:rPr>
                <w:rFonts w:ascii="Cambria Math" w:hAnsi="Cambria Math"/>
                <w:b/>
                <w:iCs/>
                <w:lang w:val="fr-FR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b/>
                    <w:iCs/>
                    <w:lang w:val="fr-F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Cs/>
                        <w:lang w:val="fr-FR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fr-FR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fr-FR"/>
                      </w:rPr>
                      <m:t>Tn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b/>
                    <w:iCs/>
                    <w:lang w:val="fr-FR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fr-FR"/>
                  </w:rPr>
                  <m:t>wa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fr-FR"/>
                  </w:rPr>
                  <m:t>C</m:t>
                </m:r>
              </m:sub>
            </m:sSub>
          </m:den>
        </m:f>
      </m:oMath>
      <w:r w:rsidR="00496077" w:rsidRPr="00B512F5">
        <w:rPr>
          <w:iCs/>
          <w:lang w:val="fr-FR"/>
        </w:rPr>
        <w:t xml:space="preserve"> </w:t>
      </w:r>
    </w:p>
    <w:p w:rsidR="00496077" w:rsidRDefault="00496077" w:rsidP="00496077">
      <w:pPr>
        <w:spacing w:after="120"/>
        <w:ind w:left="2268" w:right="1134"/>
        <w:jc w:val="both"/>
        <w:rPr>
          <w:lang w:val="fr-FR"/>
        </w:rPr>
      </w:pPr>
      <w:r>
        <w:rPr>
          <w:b/>
          <w:bCs/>
          <w:lang w:val="fr-FR"/>
        </w:rPr>
        <w:t>où</w:t>
      </w:r>
      <w:r w:rsidRPr="00CC1F49">
        <w:rPr>
          <w:b/>
          <w:bCs/>
          <w:lang w:val="fr-FR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wa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fr-FR"/>
              </w:rPr>
              <m:t>C</m:t>
            </m:r>
          </m:sub>
        </m:sSub>
      </m:oMath>
      <w:r w:rsidRPr="00CC1F49">
        <w:rPr>
          <w:b/>
          <w:lang w:val="fr-FR"/>
        </w:rPr>
        <w:t xml:space="preserve"> </w:t>
      </w:r>
      <w:r>
        <w:rPr>
          <w:b/>
          <w:lang w:val="fr-FR"/>
        </w:rPr>
        <w:t>désigne la moyenne pondérée applicable du pneumatique témoin</w:t>
      </w:r>
      <w:r w:rsidRPr="00CC1F49">
        <w:rPr>
          <w:b/>
          <w:lang w:val="fr-FR"/>
        </w:rPr>
        <w:t>,</w:t>
      </w:r>
      <w:r w:rsidRPr="00CC1F49">
        <w:rPr>
          <w:lang w:val="fr-FR"/>
        </w:rPr>
        <w:t xml:space="preserve"> </w:t>
      </w:r>
      <w:r w:rsidRPr="00934477">
        <w:rPr>
          <w:lang w:val="fr-FR"/>
        </w:rPr>
        <w:t>doivent être déterminés au moyen de la procédure décrite aux paragraphes 3.1 à 3.4.2 ci-dessus</w:t>
      </w:r>
      <w:r>
        <w:rPr>
          <w:lang w:val="fr-FR"/>
        </w:rPr>
        <w:t>.</w:t>
      </w:r>
    </w:p>
    <w:p w:rsidR="00496077" w:rsidRPr="00AD08A9" w:rsidRDefault="00496077" w:rsidP="00496077">
      <w:pPr>
        <w:spacing w:after="120"/>
        <w:ind w:left="2268" w:right="1134"/>
        <w:jc w:val="both"/>
        <w:rPr>
          <w:strike/>
          <w:lang w:val="fr-FR"/>
        </w:rPr>
      </w:pPr>
      <w:r w:rsidRPr="00AD08A9">
        <w:rPr>
          <w:lang w:val="fr-FR"/>
        </w:rPr>
        <w:t>L</w:t>
      </w:r>
      <w:r>
        <w:rPr>
          <w:lang w:val="fr-FR"/>
        </w:rPr>
        <w:t>’</w:t>
      </w:r>
      <w:r w:rsidRPr="00AD08A9">
        <w:rPr>
          <w:lang w:val="fr-FR"/>
        </w:rPr>
        <w:t>indice d</w:t>
      </w:r>
      <w:r>
        <w:rPr>
          <w:lang w:val="fr-FR"/>
        </w:rPr>
        <w:t>’</w:t>
      </w:r>
      <w:r w:rsidRPr="00AD08A9">
        <w:rPr>
          <w:lang w:val="fr-FR"/>
        </w:rPr>
        <w:t>adhérence sur neige du pneumatique à contrôler par rapport au SRTT</w:t>
      </w:r>
      <w:r w:rsidRPr="00226DC3">
        <w:rPr>
          <w:b/>
          <w:bCs/>
          <w:lang w:val="fr-FR"/>
        </w:rPr>
        <w:t>,</w:t>
      </w:r>
      <w:r>
        <w:rPr>
          <w:lang w:val="fr-FR"/>
        </w:rPr>
        <w:t xml:space="preserve"> </w:t>
      </w:r>
      <w:r w:rsidRPr="00AD08A9">
        <w:rPr>
          <w:b/>
          <w:bCs/>
          <w:lang w:val="fr-FR"/>
        </w:rPr>
        <w:t>SG(Tn)</w:t>
      </w:r>
      <w:r>
        <w:rPr>
          <w:b/>
          <w:bCs/>
          <w:lang w:val="fr-FR"/>
        </w:rPr>
        <w:t>,</w:t>
      </w:r>
      <w:r w:rsidRPr="00AD08A9">
        <w:rPr>
          <w:lang w:val="fr-FR"/>
        </w:rPr>
        <w:t xml:space="preserve"> est le produit des indices SG1 et SG2</w:t>
      </w:r>
      <w:r w:rsidRPr="00AD08A9">
        <w:rPr>
          <w:b/>
          <w:bCs/>
          <w:lang w:val="fr-FR"/>
        </w:rPr>
        <w:t>, qui s</w:t>
      </w:r>
      <w:r>
        <w:rPr>
          <w:b/>
          <w:bCs/>
          <w:lang w:val="fr-FR"/>
        </w:rPr>
        <w:t>’</w:t>
      </w:r>
      <w:r w:rsidRPr="00AD08A9">
        <w:rPr>
          <w:b/>
          <w:bCs/>
          <w:lang w:val="fr-FR"/>
        </w:rPr>
        <w:t xml:space="preserve">obtient </w:t>
      </w:r>
      <w:r>
        <w:rPr>
          <w:b/>
          <w:bCs/>
          <w:lang w:val="fr-FR"/>
        </w:rPr>
        <w:t>comme suit :</w:t>
      </w:r>
    </w:p>
    <w:p w:rsidR="00496077" w:rsidRPr="000D7517" w:rsidRDefault="000D7517" w:rsidP="00496077">
      <w:pPr>
        <w:spacing w:after="120"/>
        <w:ind w:left="2268" w:right="1134"/>
        <w:jc w:val="center"/>
        <w:rPr>
          <w:iCs/>
          <w:lang w:val="fr-FR"/>
        </w:rPr>
      </w:pPr>
      <m:oMath>
        <m:r>
          <m:rPr>
            <m:sty m:val="b"/>
          </m:rPr>
          <w:rPr>
            <w:rFonts w:ascii="Cambria Math" w:hAnsi="Cambria Math"/>
            <w:lang w:val="fr-FR"/>
          </w:rPr>
          <m:t>SG(Tn)=SG1∙SG2</m:t>
        </m:r>
      </m:oMath>
      <w:r w:rsidR="00496077" w:rsidRPr="000D7517">
        <w:rPr>
          <w:iCs/>
          <w:lang w:val="fr-FR"/>
        </w:rPr>
        <w:t>.</w:t>
      </w:r>
      <w:r w:rsidR="00496077" w:rsidRPr="000D7517">
        <w:rPr>
          <w:bCs/>
          <w:iCs/>
          <w:lang w:val="fr-FR"/>
        </w:rPr>
        <w:t> ».</w:t>
      </w:r>
    </w:p>
    <w:p w:rsidR="00496077" w:rsidRPr="00CC1F49" w:rsidRDefault="00496077" w:rsidP="00496077">
      <w:pPr>
        <w:pStyle w:val="SingleTxtG"/>
        <w:rPr>
          <w:i/>
          <w:iCs/>
          <w:lang w:val="fr-FR"/>
        </w:rPr>
      </w:pPr>
      <w:r w:rsidRPr="00CC1F49">
        <w:rPr>
          <w:i/>
          <w:iCs/>
          <w:lang w:val="fr-FR"/>
        </w:rPr>
        <w:t>Annex</w:t>
      </w:r>
      <w:r>
        <w:rPr>
          <w:i/>
          <w:iCs/>
          <w:lang w:val="fr-FR"/>
        </w:rPr>
        <w:t>e</w:t>
      </w:r>
      <w:r w:rsidRPr="00CC1F49">
        <w:rPr>
          <w:i/>
          <w:iCs/>
          <w:lang w:val="fr-FR"/>
        </w:rPr>
        <w:t xml:space="preserve"> 9, </w:t>
      </w:r>
    </w:p>
    <w:p w:rsidR="00496077" w:rsidRPr="00CC1F49" w:rsidRDefault="00496077" w:rsidP="00496077">
      <w:pPr>
        <w:pStyle w:val="SingleTxtG"/>
        <w:rPr>
          <w:lang w:val="fr-FR"/>
        </w:rPr>
      </w:pPr>
      <w:r w:rsidRPr="00CC1F49">
        <w:rPr>
          <w:i/>
          <w:iCs/>
          <w:lang w:val="fr-FR"/>
        </w:rPr>
        <w:t>Appendi</w:t>
      </w:r>
      <w:r>
        <w:rPr>
          <w:i/>
          <w:iCs/>
          <w:lang w:val="fr-FR"/>
        </w:rPr>
        <w:t>ce</w:t>
      </w:r>
      <w:r w:rsidRPr="00CC1F49">
        <w:rPr>
          <w:i/>
          <w:iCs/>
          <w:lang w:val="fr-FR"/>
        </w:rPr>
        <w:t xml:space="preserve"> 2, </w:t>
      </w:r>
      <w:r>
        <w:rPr>
          <w:i/>
          <w:iCs/>
          <w:lang w:val="fr-FR"/>
        </w:rPr>
        <w:t>t</w:t>
      </w:r>
      <w:r w:rsidRPr="00CC1F49">
        <w:rPr>
          <w:i/>
          <w:iCs/>
          <w:lang w:val="fr-FR"/>
        </w:rPr>
        <w:t>able</w:t>
      </w:r>
      <w:r>
        <w:rPr>
          <w:i/>
          <w:iCs/>
          <w:lang w:val="fr-FR"/>
        </w:rPr>
        <w:t>au</w:t>
      </w:r>
      <w:r w:rsidRPr="00CC1F49">
        <w:rPr>
          <w:i/>
          <w:iCs/>
          <w:lang w:val="fr-FR"/>
        </w:rPr>
        <w:t xml:space="preserve"> 5, </w:t>
      </w:r>
      <w:r>
        <w:rPr>
          <w:lang w:val="fr-FR"/>
        </w:rPr>
        <w:t>lire </w:t>
      </w:r>
      <w:r w:rsidRPr="00CC1F49">
        <w:rPr>
          <w:lang w:val="fr-FR"/>
        </w:rPr>
        <w:t>:</w:t>
      </w:r>
    </w:p>
    <w:p w:rsidR="00496077" w:rsidRPr="00CC1F49" w:rsidRDefault="000D7517" w:rsidP="00496077">
      <w:pPr>
        <w:pStyle w:val="SingleTxtG"/>
        <w:ind w:left="2268" w:hanging="1134"/>
        <w:rPr>
          <w:vertAlign w:val="superscript"/>
          <w:lang w:val="fr-FR"/>
        </w:rPr>
      </w:pPr>
      <w:bookmarkStart w:id="0" w:name="_Hlk40263965"/>
      <w:r>
        <w:rPr>
          <w:lang w:val="fr-FR"/>
        </w:rPr>
        <w:t>« </w:t>
      </w:r>
      <w:r w:rsidR="00496077" w:rsidRPr="00CC1F49">
        <w:rPr>
          <w:lang w:val="fr-FR"/>
        </w:rPr>
        <w:t>5.</w:t>
      </w:r>
      <w:r w:rsidR="00496077" w:rsidRPr="00CC1F49">
        <w:rPr>
          <w:lang w:val="fr-FR"/>
        </w:rPr>
        <w:tab/>
      </w:r>
      <w:r w:rsidR="00496077" w:rsidRPr="00AD08A9">
        <w:rPr>
          <w:lang w:val="fr-FR"/>
        </w:rPr>
        <w:t>Résultats de l</w:t>
      </w:r>
      <w:r w:rsidR="00496077">
        <w:rPr>
          <w:lang w:val="fr-FR"/>
        </w:rPr>
        <w:t>’</w:t>
      </w:r>
      <w:r w:rsidR="00496077" w:rsidRPr="00AD08A9">
        <w:rPr>
          <w:lang w:val="fr-FR"/>
        </w:rPr>
        <w:t>essai</w:t>
      </w:r>
      <w:r>
        <w:rPr>
          <w:lang w:val="fr-FR"/>
        </w:rPr>
        <w:t> </w:t>
      </w:r>
      <w:r w:rsidR="00496077" w:rsidRPr="00AD08A9">
        <w:rPr>
          <w:lang w:val="fr-FR"/>
        </w:rPr>
        <w:t>: coefficient de dmr</w:t>
      </w:r>
      <w:r w:rsidR="00496077" w:rsidRPr="00CC1F49">
        <w:rPr>
          <w:lang w:val="fr-FR"/>
        </w:rPr>
        <w:t xml:space="preserve"> (m ∙ s</w:t>
      </w:r>
      <w:r w:rsidR="00496077" w:rsidRPr="00CC1F49">
        <w:rPr>
          <w:vertAlign w:val="superscript"/>
          <w:lang w:val="fr-FR"/>
        </w:rPr>
        <w:noBreakHyphen/>
        <w:t>2</w:t>
      </w:r>
      <w:r w:rsidR="00496077" w:rsidRPr="00CC1F49">
        <w:rPr>
          <w:lang w:val="fr-FR"/>
        </w:rPr>
        <w:t>)</w:t>
      </w:r>
      <w:r w:rsidR="00496077" w:rsidRPr="00CC1F49">
        <w:rPr>
          <w:vertAlign w:val="superscript"/>
          <w:lang w:val="fr-FR"/>
        </w:rPr>
        <w:t>3)</w:t>
      </w:r>
    </w:p>
    <w:tbl>
      <w:tblPr>
        <w:tblW w:w="7364" w:type="dxa"/>
        <w:tblInd w:w="1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275"/>
        <w:gridCol w:w="1002"/>
        <w:gridCol w:w="1203"/>
        <w:gridCol w:w="1200"/>
        <w:gridCol w:w="1200"/>
      </w:tblGrid>
      <w:tr w:rsidR="00496077" w:rsidRPr="00CC1F49" w:rsidTr="000D7517">
        <w:trPr>
          <w:tblHeader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77" w:rsidRPr="00CC1F49" w:rsidRDefault="00496077" w:rsidP="000D7517">
            <w:pPr>
              <w:spacing w:before="80" w:after="80" w:line="200" w:lineRule="exact"/>
              <w:ind w:left="57" w:right="57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Essai (répétitions)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77" w:rsidRPr="00CC1F49" w:rsidRDefault="00496077" w:rsidP="000D7517">
            <w:pPr>
              <w:spacing w:before="80" w:after="80" w:line="200" w:lineRule="exact"/>
              <w:ind w:left="57" w:right="57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CC1F49">
              <w:rPr>
                <w:b/>
                <w:i/>
                <w:sz w:val="16"/>
                <w:szCs w:val="16"/>
                <w:lang w:val="fr-FR"/>
              </w:rPr>
              <w:t>Sp</w:t>
            </w:r>
            <w:r>
              <w:rPr>
                <w:b/>
                <w:i/>
                <w:sz w:val="16"/>
                <w:szCs w:val="16"/>
                <w:lang w:val="fr-FR"/>
              </w:rPr>
              <w:t>é</w:t>
            </w:r>
            <w:r w:rsidRPr="00CC1F49">
              <w:rPr>
                <w:b/>
                <w:i/>
                <w:sz w:val="16"/>
                <w:szCs w:val="16"/>
                <w:lang w:val="fr-FR"/>
              </w:rPr>
              <w:t>cification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77" w:rsidRPr="00CC1F49" w:rsidRDefault="00496077" w:rsidP="000D7517">
            <w:pPr>
              <w:spacing w:before="80" w:after="80" w:line="200" w:lineRule="exact"/>
              <w:ind w:left="57" w:right="57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CC1F49">
              <w:rPr>
                <w:b/>
                <w:i/>
                <w:sz w:val="16"/>
                <w:szCs w:val="16"/>
                <w:lang w:val="fr-FR"/>
              </w:rPr>
              <w:t xml:space="preserve">SRTT </w:t>
            </w:r>
            <w:r w:rsidRPr="00CC1F49">
              <w:rPr>
                <w:b/>
                <w:i/>
                <w:sz w:val="16"/>
                <w:szCs w:val="16"/>
                <w:vertAlign w:val="subscript"/>
                <w:lang w:val="fr-FR"/>
              </w:rPr>
              <w:t>(1</w:t>
            </w:r>
            <w:r>
              <w:rPr>
                <w:b/>
                <w:i/>
                <w:sz w:val="16"/>
                <w:szCs w:val="16"/>
                <w:vertAlign w:val="subscript"/>
                <w:lang w:val="fr-FR"/>
              </w:rPr>
              <w:t>er</w:t>
            </w:r>
            <w:r w:rsidR="000D7517">
              <w:rPr>
                <w:b/>
                <w:i/>
                <w:sz w:val="16"/>
                <w:szCs w:val="16"/>
                <w:vertAlign w:val="subscript"/>
                <w:lang w:val="fr-FR"/>
              </w:rPr>
              <w:t xml:space="preserve"> </w:t>
            </w:r>
            <w:r>
              <w:rPr>
                <w:b/>
                <w:i/>
                <w:sz w:val="16"/>
                <w:szCs w:val="16"/>
                <w:vertAlign w:val="subscript"/>
                <w:lang w:val="fr-FR"/>
              </w:rPr>
              <w:t>essai</w:t>
            </w:r>
            <w:r w:rsidRPr="00CC1F49">
              <w:rPr>
                <w:b/>
                <w:i/>
                <w:sz w:val="16"/>
                <w:szCs w:val="16"/>
                <w:vertAlign w:val="subscript"/>
                <w:lang w:val="fr-FR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77" w:rsidRPr="00CC1F49" w:rsidRDefault="00496077" w:rsidP="000D7517">
            <w:pPr>
              <w:spacing w:before="80" w:after="80" w:line="200" w:lineRule="exact"/>
              <w:ind w:left="57" w:right="57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Pneumatique à contrôler</w:t>
            </w:r>
            <w:r w:rsidRPr="00CC1F49">
              <w:rPr>
                <w:b/>
                <w:i/>
                <w:sz w:val="16"/>
                <w:szCs w:val="16"/>
                <w:lang w:val="fr-FR"/>
              </w:rPr>
              <w:t xml:space="preserve">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77" w:rsidRPr="00CC1F49" w:rsidRDefault="00496077" w:rsidP="000D7517">
            <w:pPr>
              <w:spacing w:before="80" w:after="80" w:line="200" w:lineRule="exact"/>
              <w:ind w:left="57" w:right="57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Pneumatique à contrôler</w:t>
            </w:r>
            <w:r w:rsidRPr="00CC1F49">
              <w:rPr>
                <w:b/>
                <w:i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77" w:rsidRPr="00CC1F49" w:rsidRDefault="00496077" w:rsidP="000D7517">
            <w:pPr>
              <w:spacing w:before="80" w:after="80" w:line="200" w:lineRule="exact"/>
              <w:ind w:left="57" w:right="57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CC1F49">
              <w:rPr>
                <w:b/>
                <w:i/>
                <w:sz w:val="16"/>
                <w:szCs w:val="16"/>
                <w:lang w:val="fr-FR"/>
              </w:rPr>
              <w:t xml:space="preserve">SRTT </w:t>
            </w:r>
            <w:r w:rsidRPr="00CC1F49">
              <w:rPr>
                <w:b/>
                <w:i/>
                <w:sz w:val="16"/>
                <w:szCs w:val="16"/>
                <w:vertAlign w:val="subscript"/>
                <w:lang w:val="fr-FR"/>
              </w:rPr>
              <w:t>(2</w:t>
            </w:r>
            <w:r>
              <w:rPr>
                <w:b/>
                <w:i/>
                <w:sz w:val="16"/>
                <w:szCs w:val="16"/>
                <w:vertAlign w:val="subscript"/>
                <w:lang w:val="fr-FR"/>
              </w:rPr>
              <w:t>e essai</w:t>
            </w:r>
            <w:r w:rsidRPr="00CC1F49">
              <w:rPr>
                <w:b/>
                <w:i/>
                <w:sz w:val="16"/>
                <w:szCs w:val="16"/>
                <w:vertAlign w:val="subscript"/>
                <w:lang w:val="fr-FR"/>
              </w:rPr>
              <w:t>)</w:t>
            </w:r>
          </w:p>
        </w:tc>
      </w:tr>
      <w:tr w:rsidR="00496077" w:rsidRPr="00CC1F49" w:rsidTr="000D751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Cs/>
                <w:sz w:val="18"/>
                <w:szCs w:val="18"/>
                <w:lang w:val="fr-F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Cs/>
                <w:sz w:val="18"/>
                <w:szCs w:val="18"/>
                <w:lang w:val="fr-FR"/>
              </w:rPr>
              <w:t>M</w:t>
            </w:r>
            <w:r>
              <w:rPr>
                <w:bCs/>
                <w:sz w:val="18"/>
                <w:szCs w:val="18"/>
                <w:lang w:val="fr-FR"/>
              </w:rPr>
              <w:t>oyenne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Écart 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Cs/>
                <w:sz w:val="18"/>
                <w:szCs w:val="18"/>
                <w:lang w:val="fr-FR"/>
              </w:rPr>
              <w:t xml:space="preserve">Coefficient </w:t>
            </w:r>
            <w:r>
              <w:rPr>
                <w:bCs/>
                <w:sz w:val="18"/>
                <w:szCs w:val="18"/>
                <w:lang w:val="fr-FR"/>
              </w:rPr>
              <w:t>de</w:t>
            </w:r>
            <w:r w:rsidRPr="00CC1F49">
              <w:rPr>
                <w:bCs/>
                <w:sz w:val="18"/>
                <w:szCs w:val="18"/>
                <w:lang w:val="fr-FR"/>
              </w:rPr>
              <w:t xml:space="preserve"> variation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Cs/>
                <w:i/>
                <w:sz w:val="18"/>
                <w:szCs w:val="18"/>
                <w:lang w:val="fr-FR"/>
              </w:rPr>
              <w:t>CV</w:t>
            </w:r>
            <w:r w:rsidRPr="00CC1F49">
              <w:rPr>
                <w:bCs/>
                <w:i/>
                <w:sz w:val="18"/>
                <w:szCs w:val="18"/>
                <w:vertAlign w:val="subscript"/>
                <w:lang w:val="fr-FR"/>
              </w:rPr>
              <w:t>a</w:t>
            </w:r>
            <w:r w:rsidRPr="00CC1F49">
              <w:rPr>
                <w:bCs/>
                <w:sz w:val="18"/>
                <w:szCs w:val="18"/>
                <w:lang w:val="fr-FR"/>
              </w:rPr>
              <w:t> ≤</w:t>
            </w:r>
            <w:r w:rsidRPr="00CC1F49">
              <w:rPr>
                <w:rFonts w:ascii="TimesNewRoman,Italic" w:eastAsia="TimesNewRoman,Italic" w:cs="TimesNewRoman,Italic"/>
                <w:bCs/>
                <w:iCs/>
                <w:sz w:val="18"/>
                <w:szCs w:val="18"/>
                <w:lang w:val="fr-FR" w:eastAsia="ja-JP"/>
              </w:rPr>
              <w:t> </w:t>
            </w:r>
            <w:r w:rsidRPr="00CC1F49">
              <w:rPr>
                <w:bCs/>
                <w:sz w:val="18"/>
                <w:szCs w:val="18"/>
                <w:lang w:val="fr-FR"/>
              </w:rPr>
              <w:t>6 %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Cs/>
                <w:sz w:val="18"/>
                <w:szCs w:val="18"/>
                <w:lang w:val="fr-FR"/>
              </w:rPr>
              <w:t xml:space="preserve">Coefficient </w:t>
            </w:r>
            <w:r>
              <w:rPr>
                <w:bCs/>
                <w:sz w:val="18"/>
                <w:szCs w:val="18"/>
                <w:lang w:val="fr-FR"/>
              </w:rPr>
              <w:t>de v</w:t>
            </w:r>
            <w:r w:rsidRPr="00CC1F49">
              <w:rPr>
                <w:bCs/>
                <w:sz w:val="18"/>
                <w:szCs w:val="18"/>
                <w:lang w:val="fr-FR"/>
              </w:rPr>
              <w:t>alidation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  <w:r w:rsidRPr="00CC1F49">
              <w:rPr>
                <w:bCs/>
                <w:i/>
                <w:sz w:val="18"/>
                <w:szCs w:val="18"/>
                <w:lang w:val="fr-FR"/>
              </w:rPr>
              <w:t>CVal</w:t>
            </w:r>
            <w:r w:rsidRPr="00CC1F49">
              <w:rPr>
                <w:bCs/>
                <w:i/>
                <w:sz w:val="18"/>
                <w:szCs w:val="18"/>
                <w:vertAlign w:val="subscript"/>
                <w:lang w:val="fr-FR"/>
              </w:rPr>
              <w:t>a</w:t>
            </w:r>
            <w:r w:rsidRPr="00CC1F49">
              <w:rPr>
                <w:bCs/>
                <w:sz w:val="18"/>
                <w:szCs w:val="18"/>
                <w:lang w:val="fr-FR"/>
              </w:rPr>
              <w:t>(SRTT) ≤</w:t>
            </w:r>
            <w:r w:rsidRPr="00CC1F49">
              <w:rPr>
                <w:bCs/>
                <w:sz w:val="18"/>
                <w:szCs w:val="18"/>
                <w:lang w:val="fr-FR" w:eastAsia="ja-JP"/>
              </w:rPr>
              <w:t> 5 %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Moyenne SR</w:t>
            </w:r>
            <w:r w:rsidRPr="00CC1F49">
              <w:rPr>
                <w:bCs/>
                <w:sz w:val="18"/>
                <w:szCs w:val="18"/>
                <w:lang w:val="fr-FR"/>
              </w:rPr>
              <w:t>TT</w:t>
            </w:r>
            <w:r>
              <w:rPr>
                <w:bCs/>
                <w:sz w:val="18"/>
                <w:szCs w:val="18"/>
                <w:lang w:val="fr-FR"/>
              </w:rPr>
              <w:t xml:space="preserve"> pondérée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C2131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/>
                <w:sz w:val="18"/>
                <w:szCs w:val="18"/>
                <w:lang w:val="fr-FR"/>
              </w:rPr>
              <w:t>Fact</w:t>
            </w:r>
            <w:r>
              <w:rPr>
                <w:b/>
                <w:sz w:val="18"/>
                <w:szCs w:val="18"/>
                <w:lang w:val="fr-FR"/>
              </w:rPr>
              <w:t>eu</w:t>
            </w:r>
            <w:r w:rsidRPr="00CC1F49">
              <w:rPr>
                <w:b/>
                <w:sz w:val="18"/>
                <w:szCs w:val="18"/>
                <w:lang w:val="fr-FR"/>
              </w:rPr>
              <w:t xml:space="preserve">r </w:t>
            </w:r>
            <w:r w:rsidRPr="00CC1F49">
              <w:rPr>
                <w:b/>
                <w:i/>
                <w:iCs/>
                <w:sz w:val="18"/>
                <w:szCs w:val="18"/>
                <w:lang w:val="fr-FR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  <w:tr w:rsidR="00496077" w:rsidRPr="00CC1F49" w:rsidTr="000D751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0D7517" w:rsidRDefault="00496077" w:rsidP="000D7517">
            <w:pPr>
              <w:spacing w:before="40" w:after="40" w:line="220" w:lineRule="exact"/>
              <w:ind w:left="57" w:right="57"/>
              <w:rPr>
                <w:b/>
                <w:spacing w:val="-2"/>
                <w:sz w:val="18"/>
                <w:szCs w:val="18"/>
                <w:lang w:val="fr-FR"/>
              </w:rPr>
            </w:pPr>
            <w:r w:rsidRPr="000D7517">
              <w:rPr>
                <w:bCs/>
                <w:spacing w:val="-2"/>
                <w:sz w:val="18"/>
                <w:szCs w:val="18"/>
                <w:lang w:val="fr-FR"/>
              </w:rPr>
              <w:t>Indice d</w:t>
            </w:r>
            <w:r w:rsidRPr="000D7517">
              <w:rPr>
                <w:bCs/>
                <w:spacing w:val="-2"/>
                <w:sz w:val="18"/>
                <w:szCs w:val="18"/>
                <w:lang w:val="fr-FR"/>
              </w:rPr>
              <w:t>’</w:t>
            </w:r>
            <w:r w:rsidRPr="000D7517">
              <w:rPr>
                <w:bCs/>
                <w:spacing w:val="-2"/>
                <w:sz w:val="18"/>
                <w:szCs w:val="18"/>
                <w:lang w:val="fr-FR"/>
              </w:rPr>
              <w:t>adhérence sur neige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CC1F49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CC1F49">
              <w:rPr>
                <w:bCs/>
                <w:sz w:val="18"/>
                <w:szCs w:val="18"/>
                <w:lang w:val="fr-FR"/>
              </w:rPr>
              <w:t>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6077" w:rsidRPr="00CC1F49" w:rsidRDefault="00496077" w:rsidP="000D7517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  <w:lang w:val="fr-FR"/>
              </w:rPr>
            </w:pPr>
          </w:p>
        </w:tc>
      </w:tr>
    </w:tbl>
    <w:bookmarkEnd w:id="0"/>
    <w:p w:rsidR="00496077" w:rsidRPr="00CC1F49" w:rsidRDefault="00496077" w:rsidP="00A033B9">
      <w:pPr>
        <w:pStyle w:val="SingleTxtG"/>
        <w:spacing w:before="120"/>
        <w:jc w:val="right"/>
        <w:rPr>
          <w:b/>
          <w:bCs/>
          <w:sz w:val="40"/>
          <w:szCs w:val="28"/>
          <w:lang w:val="fr-FR"/>
        </w:rPr>
      </w:pPr>
      <w:r>
        <w:rPr>
          <w:lang w:val="fr-FR"/>
        </w:rPr>
        <w:t> ».</w:t>
      </w:r>
    </w:p>
    <w:p w:rsidR="00496077" w:rsidRPr="00CC1F49" w:rsidRDefault="00496077" w:rsidP="00A033B9">
      <w:pPr>
        <w:pStyle w:val="HChG"/>
        <w:rPr>
          <w:lang w:val="fr-FR"/>
        </w:rPr>
      </w:pPr>
      <w:r w:rsidRPr="00CC1F49">
        <w:rPr>
          <w:lang w:val="fr-FR"/>
        </w:rPr>
        <w:tab/>
        <w:t>II.</w:t>
      </w:r>
      <w:r w:rsidRPr="00CC1F49">
        <w:rPr>
          <w:lang w:val="fr-FR"/>
        </w:rPr>
        <w:tab/>
        <w:t>Justification</w:t>
      </w:r>
    </w:p>
    <w:p w:rsidR="00496077" w:rsidRPr="00CC1F49" w:rsidRDefault="00496077" w:rsidP="00A033B9">
      <w:pPr>
        <w:pStyle w:val="SingleTxtG"/>
        <w:rPr>
          <w:lang w:val="fr-FR"/>
        </w:rPr>
      </w:pPr>
      <w:r w:rsidRPr="00CC1F49">
        <w:rPr>
          <w:lang w:val="fr-FR"/>
        </w:rPr>
        <w:tab/>
      </w:r>
      <w:r>
        <w:rPr>
          <w:lang w:val="fr-FR"/>
        </w:rPr>
        <w:t xml:space="preserve">Les </w:t>
      </w:r>
      <w:r w:rsidRPr="00CC1F49">
        <w:rPr>
          <w:lang w:val="fr-FR"/>
        </w:rPr>
        <w:t>amend</w:t>
      </w:r>
      <w:r>
        <w:rPr>
          <w:lang w:val="fr-FR"/>
        </w:rPr>
        <w:t>e</w:t>
      </w:r>
      <w:r w:rsidRPr="00CC1F49">
        <w:rPr>
          <w:lang w:val="fr-FR"/>
        </w:rPr>
        <w:t>ment</w:t>
      </w:r>
      <w:r>
        <w:rPr>
          <w:lang w:val="fr-FR"/>
        </w:rPr>
        <w:t>s</w:t>
      </w:r>
      <w:r w:rsidRPr="00CC1F49">
        <w:rPr>
          <w:lang w:val="fr-FR"/>
        </w:rPr>
        <w:t xml:space="preserve"> </w:t>
      </w:r>
      <w:r>
        <w:rPr>
          <w:lang w:val="fr-FR"/>
        </w:rPr>
        <w:t>ci-dessus au Règlement ONU n</w:t>
      </w:r>
      <w:r w:rsidRPr="003E50E9">
        <w:rPr>
          <w:vertAlign w:val="superscript"/>
          <w:lang w:val="fr-FR"/>
        </w:rPr>
        <w:t>o</w:t>
      </w:r>
      <w:r w:rsidRPr="00CC1F49">
        <w:rPr>
          <w:lang w:val="fr-FR"/>
        </w:rPr>
        <w:t xml:space="preserve"> 108 </w:t>
      </w:r>
      <w:r>
        <w:rPr>
          <w:lang w:val="fr-FR"/>
        </w:rPr>
        <w:t>sont nécessaires à l</w:t>
      </w:r>
      <w:r>
        <w:rPr>
          <w:lang w:val="fr-FR"/>
        </w:rPr>
        <w:t>’</w:t>
      </w:r>
      <w:r>
        <w:rPr>
          <w:lang w:val="fr-FR"/>
        </w:rPr>
        <w:t>harmonisation des procédures d</w:t>
      </w:r>
      <w:r>
        <w:rPr>
          <w:lang w:val="fr-FR"/>
        </w:rPr>
        <w:t>’</w:t>
      </w:r>
      <w:r>
        <w:rPr>
          <w:lang w:val="fr-FR"/>
        </w:rPr>
        <w:t>essai concernant les pneumatiques rechapés avec les propositions d</w:t>
      </w:r>
      <w:r>
        <w:rPr>
          <w:lang w:val="fr-FR"/>
        </w:rPr>
        <w:t>’</w:t>
      </w:r>
      <w:r>
        <w:rPr>
          <w:lang w:val="fr-FR"/>
        </w:rPr>
        <w:t>amendements qui figurent dans le document</w:t>
      </w:r>
      <w:r w:rsidRPr="00CC1F49">
        <w:rPr>
          <w:lang w:val="fr-FR"/>
        </w:rPr>
        <w:t xml:space="preserve"> ECE/TRANS/WP.29/GRBP/</w:t>
      </w:r>
      <w:r w:rsidR="000D7517">
        <w:rPr>
          <w:lang w:val="fr-FR"/>
        </w:rPr>
        <w:br/>
      </w:r>
      <w:r w:rsidRPr="00CC1F49">
        <w:rPr>
          <w:lang w:val="fr-FR"/>
        </w:rPr>
        <w:t xml:space="preserve">2020/21 </w:t>
      </w:r>
      <w:r>
        <w:rPr>
          <w:lang w:val="fr-FR"/>
        </w:rPr>
        <w:t>(Règlement ONU n</w:t>
      </w:r>
      <w:r w:rsidRPr="003E50E9">
        <w:rPr>
          <w:vertAlign w:val="superscript"/>
          <w:lang w:val="fr-FR"/>
        </w:rPr>
        <w:t>o</w:t>
      </w:r>
      <w:r w:rsidRPr="00CC1F49">
        <w:rPr>
          <w:lang w:val="fr-FR"/>
        </w:rPr>
        <w:t xml:space="preserve"> 30</w:t>
      </w:r>
      <w:r>
        <w:rPr>
          <w:lang w:val="fr-FR"/>
        </w:rPr>
        <w:t>) et dans le document</w:t>
      </w:r>
      <w:r w:rsidRPr="00CC1F49">
        <w:rPr>
          <w:lang w:val="fr-FR"/>
        </w:rPr>
        <w:t xml:space="preserve"> ECE/TRANS/WP.29/GRBP/2020/17 </w:t>
      </w:r>
      <w:r>
        <w:rPr>
          <w:lang w:val="fr-FR"/>
        </w:rPr>
        <w:t>(Règlement ONU n</w:t>
      </w:r>
      <w:r w:rsidRPr="003E50E9">
        <w:rPr>
          <w:vertAlign w:val="superscript"/>
          <w:lang w:val="fr-FR"/>
        </w:rPr>
        <w:t>o</w:t>
      </w:r>
      <w:r w:rsidRPr="00CC1F49">
        <w:rPr>
          <w:lang w:val="fr-FR"/>
        </w:rPr>
        <w:t xml:space="preserve"> 117</w:t>
      </w:r>
      <w:r>
        <w:rPr>
          <w:lang w:val="fr-FR"/>
        </w:rPr>
        <w:t>)</w:t>
      </w:r>
      <w:r w:rsidRPr="00CC1F49">
        <w:rPr>
          <w:lang w:val="fr-FR"/>
        </w:rPr>
        <w:t>.</w:t>
      </w:r>
    </w:p>
    <w:p w:rsidR="00F9573C" w:rsidRPr="00496077" w:rsidRDefault="00496077" w:rsidP="0049607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496077" w:rsidSect="004960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35" w:rsidRDefault="008C7C35" w:rsidP="00F95C08">
      <w:pPr>
        <w:spacing w:line="240" w:lineRule="auto"/>
      </w:pPr>
    </w:p>
  </w:endnote>
  <w:endnote w:type="continuationSeparator" w:id="0">
    <w:p w:rsidR="008C7C35" w:rsidRPr="00AC3823" w:rsidRDefault="008C7C35" w:rsidP="00AC3823">
      <w:pPr>
        <w:pStyle w:val="Pieddepage"/>
      </w:pPr>
    </w:p>
  </w:endnote>
  <w:endnote w:type="continuationNotice" w:id="1">
    <w:p w:rsidR="008C7C35" w:rsidRDefault="008C7C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77" w:rsidRPr="00496077" w:rsidRDefault="00496077" w:rsidP="00496077">
    <w:pPr>
      <w:pStyle w:val="Pieddepage"/>
      <w:tabs>
        <w:tab w:val="right" w:pos="9638"/>
      </w:tabs>
    </w:pPr>
    <w:r w:rsidRPr="00496077">
      <w:rPr>
        <w:b/>
        <w:sz w:val="18"/>
      </w:rPr>
      <w:fldChar w:fldCharType="begin"/>
    </w:r>
    <w:r w:rsidRPr="00496077">
      <w:rPr>
        <w:b/>
        <w:sz w:val="18"/>
      </w:rPr>
      <w:instrText xml:space="preserve"> PAGE  \* MERGEFORMAT </w:instrText>
    </w:r>
    <w:r w:rsidRPr="00496077">
      <w:rPr>
        <w:b/>
        <w:sz w:val="18"/>
      </w:rPr>
      <w:fldChar w:fldCharType="separate"/>
    </w:r>
    <w:r w:rsidRPr="00496077">
      <w:rPr>
        <w:b/>
        <w:noProof/>
        <w:sz w:val="18"/>
      </w:rPr>
      <w:t>2</w:t>
    </w:r>
    <w:r w:rsidRPr="00496077">
      <w:rPr>
        <w:b/>
        <w:sz w:val="18"/>
      </w:rPr>
      <w:fldChar w:fldCharType="end"/>
    </w:r>
    <w:r>
      <w:rPr>
        <w:b/>
        <w:sz w:val="18"/>
      </w:rPr>
      <w:tab/>
    </w:r>
    <w:r>
      <w:t>GE.20-14837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77" w:rsidRPr="00496077" w:rsidRDefault="00496077" w:rsidP="00496077">
    <w:pPr>
      <w:pStyle w:val="Pieddepage"/>
      <w:tabs>
        <w:tab w:val="right" w:pos="9638"/>
      </w:tabs>
      <w:rPr>
        <w:b/>
        <w:sz w:val="18"/>
      </w:rPr>
    </w:pPr>
    <w:r>
      <w:t>GE.20-14837</w:t>
    </w:r>
    <w:r>
      <w:tab/>
    </w:r>
    <w:r w:rsidRPr="00496077">
      <w:rPr>
        <w:b/>
        <w:sz w:val="18"/>
      </w:rPr>
      <w:fldChar w:fldCharType="begin"/>
    </w:r>
    <w:r w:rsidRPr="00496077">
      <w:rPr>
        <w:b/>
        <w:sz w:val="18"/>
      </w:rPr>
      <w:instrText xml:space="preserve"> PAGE  \* MERGEFORMAT </w:instrText>
    </w:r>
    <w:r w:rsidRPr="00496077">
      <w:rPr>
        <w:b/>
        <w:sz w:val="18"/>
      </w:rPr>
      <w:fldChar w:fldCharType="separate"/>
    </w:r>
    <w:r w:rsidRPr="00496077">
      <w:rPr>
        <w:b/>
        <w:noProof/>
        <w:sz w:val="18"/>
      </w:rPr>
      <w:t>3</w:t>
    </w:r>
    <w:r w:rsidRPr="004960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96077" w:rsidRDefault="00496077" w:rsidP="0049607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20-14837  (F)    121120    121120</w:t>
    </w:r>
    <w:r>
      <w:rPr>
        <w:sz w:val="20"/>
      </w:rPr>
      <w:br/>
    </w:r>
    <w:r w:rsidRPr="00496077">
      <w:rPr>
        <w:rFonts w:ascii="C39T30Lfz" w:hAnsi="C39T30Lfz"/>
        <w:sz w:val="56"/>
      </w:rPr>
      <w:t>*2014837*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35" w:rsidRPr="00AC3823" w:rsidRDefault="008C7C3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7C35" w:rsidRPr="00AC3823" w:rsidRDefault="008C7C3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7C35" w:rsidRPr="00AC3823" w:rsidRDefault="008C7C35">
      <w:pPr>
        <w:spacing w:line="240" w:lineRule="auto"/>
        <w:rPr>
          <w:sz w:val="2"/>
          <w:szCs w:val="2"/>
        </w:rPr>
      </w:pPr>
    </w:p>
  </w:footnote>
  <w:footnote w:id="2">
    <w:p w:rsidR="00496077" w:rsidRPr="000B58F9" w:rsidRDefault="00496077" w:rsidP="00496077">
      <w:pPr>
        <w:pStyle w:val="Notedebasdepage"/>
        <w:rPr>
          <w:lang w:val="fr-FR"/>
        </w:rPr>
      </w:pPr>
      <w:r>
        <w:tab/>
      </w:r>
      <w:r w:rsidRPr="00496077">
        <w:rPr>
          <w:rStyle w:val="Appelnotedebasdep"/>
          <w:sz w:val="20"/>
          <w:vertAlign w:val="baseline"/>
          <w:lang w:val="fr-FR"/>
        </w:rPr>
        <w:t>*</w:t>
      </w:r>
      <w:r w:rsidRPr="000B58F9">
        <w:rPr>
          <w:sz w:val="20"/>
          <w:lang w:val="fr-FR"/>
        </w:rPr>
        <w:tab/>
      </w:r>
      <w:r w:rsidRPr="000B58F9">
        <w:rPr>
          <w:szCs w:val="18"/>
          <w:lang w:val="fr-FR"/>
        </w:rPr>
        <w:t>Conformément au programme de travail du Comité des transports intérieurs pour 202</w:t>
      </w:r>
      <w:r>
        <w:rPr>
          <w:szCs w:val="18"/>
          <w:lang w:val="fr-FR"/>
        </w:rPr>
        <w:t>1</w:t>
      </w:r>
      <w:r w:rsidRPr="000B58F9">
        <w:rPr>
          <w:szCs w:val="18"/>
          <w:lang w:val="fr-FR"/>
        </w:rPr>
        <w:t xml:space="preserve"> tel qu</w:t>
      </w:r>
      <w:r>
        <w:rPr>
          <w:szCs w:val="18"/>
          <w:lang w:val="fr-FR"/>
        </w:rPr>
        <w:t>’</w:t>
      </w:r>
      <w:r w:rsidRPr="000B58F9">
        <w:rPr>
          <w:szCs w:val="18"/>
          <w:lang w:val="fr-FR"/>
        </w:rPr>
        <w:t>il figure dans le projet de budget-programme pour 202</w:t>
      </w:r>
      <w:r>
        <w:rPr>
          <w:szCs w:val="18"/>
          <w:lang w:val="fr-FR"/>
        </w:rPr>
        <w:t>1</w:t>
      </w:r>
      <w:r w:rsidRPr="000B58F9">
        <w:rPr>
          <w:szCs w:val="18"/>
          <w:lang w:val="fr-FR"/>
        </w:rPr>
        <w:t xml:space="preserve"> (A/7</w:t>
      </w:r>
      <w:r>
        <w:rPr>
          <w:szCs w:val="18"/>
          <w:lang w:val="fr-FR"/>
        </w:rPr>
        <w:t>5</w:t>
      </w:r>
      <w:r w:rsidRPr="000B58F9">
        <w:rPr>
          <w:szCs w:val="18"/>
          <w:lang w:val="fr-FR"/>
        </w:rPr>
        <w:t xml:space="preserve">/6 </w:t>
      </w:r>
      <w:r w:rsidRPr="000D7517">
        <w:rPr>
          <w:szCs w:val="18"/>
          <w:lang w:val="fr-FR"/>
        </w:rPr>
        <w:t>(titre V,</w:t>
      </w:r>
      <w:r w:rsidRPr="000B58F9">
        <w:rPr>
          <w:szCs w:val="18"/>
          <w:lang w:val="fr-FR"/>
        </w:rPr>
        <w:t xml:space="preserve"> chap. 20), par. 20.</w:t>
      </w:r>
      <w:r>
        <w:rPr>
          <w:szCs w:val="18"/>
          <w:lang w:val="fr-FR"/>
        </w:rPr>
        <w:t>51</w:t>
      </w:r>
      <w:r w:rsidRPr="000B58F9">
        <w:rPr>
          <w:szCs w:val="18"/>
          <w:lang w:val="fr-FR"/>
        </w:rPr>
        <w:t>), le Forum mondial a pour mission d</w:t>
      </w:r>
      <w:r>
        <w:rPr>
          <w:szCs w:val="18"/>
          <w:lang w:val="fr-FR"/>
        </w:rPr>
        <w:t>’</w:t>
      </w:r>
      <w:r w:rsidRPr="000B58F9">
        <w:rPr>
          <w:szCs w:val="18"/>
          <w:lang w:val="fr-FR"/>
        </w:rPr>
        <w:t>élaborer, d</w:t>
      </w:r>
      <w:r>
        <w:rPr>
          <w:szCs w:val="18"/>
          <w:lang w:val="fr-FR"/>
        </w:rPr>
        <w:t>’</w:t>
      </w:r>
      <w:r w:rsidRPr="000B58F9">
        <w:rPr>
          <w:szCs w:val="18"/>
          <w:lang w:val="fr-FR"/>
        </w:rPr>
        <w:t>harmoniser et de mettre à jour les Règlements ONU en vue d</w:t>
      </w:r>
      <w:r>
        <w:rPr>
          <w:szCs w:val="18"/>
          <w:lang w:val="fr-FR"/>
        </w:rPr>
        <w:t>’</w:t>
      </w:r>
      <w:r w:rsidRPr="000B58F9">
        <w:rPr>
          <w:szCs w:val="18"/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77" w:rsidRPr="00496077" w:rsidRDefault="00496077">
    <w:pPr>
      <w:pStyle w:val="En-tte"/>
    </w:pPr>
    <w:fldSimple w:instr=" TITLE  \* MERGEFORMAT ">
      <w:r>
        <w:t>ECE/TRANS/WP.29/GRBP/2021/2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77" w:rsidRPr="00496077" w:rsidRDefault="00496077" w:rsidP="00496077">
    <w:pPr>
      <w:pStyle w:val="En-tte"/>
      <w:jc w:val="right"/>
    </w:pPr>
    <w:fldSimple w:instr=" TITLE  \* MERGEFORMAT ">
      <w:r>
        <w:t>ECE/TRANS/WP.29/GRBP/2021/2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21C77E8"/>
    <w:multiLevelType w:val="hybridMultilevel"/>
    <w:tmpl w:val="6D2C9454"/>
    <w:lvl w:ilvl="0" w:tplc="9AC6070A">
      <w:start w:val="1"/>
      <w:numFmt w:val="lowerLetter"/>
      <w:lvlText w:val="%1)"/>
      <w:lvlJc w:val="left"/>
      <w:pPr>
        <w:ind w:left="263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54" w:hanging="360"/>
      </w:pPr>
    </w:lvl>
    <w:lvl w:ilvl="2" w:tplc="0407001B">
      <w:start w:val="1"/>
      <w:numFmt w:val="lowerRoman"/>
      <w:lvlText w:val="%3."/>
      <w:lvlJc w:val="right"/>
      <w:pPr>
        <w:ind w:left="4074" w:hanging="180"/>
      </w:pPr>
    </w:lvl>
    <w:lvl w:ilvl="3" w:tplc="0407000F">
      <w:start w:val="1"/>
      <w:numFmt w:val="decimal"/>
      <w:lvlText w:val="%4."/>
      <w:lvlJc w:val="left"/>
      <w:pPr>
        <w:ind w:left="4794" w:hanging="360"/>
      </w:pPr>
    </w:lvl>
    <w:lvl w:ilvl="4" w:tplc="04070019">
      <w:start w:val="1"/>
      <w:numFmt w:val="lowerLetter"/>
      <w:lvlText w:val="%5."/>
      <w:lvlJc w:val="left"/>
      <w:pPr>
        <w:ind w:left="5514" w:hanging="360"/>
      </w:pPr>
    </w:lvl>
    <w:lvl w:ilvl="5" w:tplc="0407001B">
      <w:start w:val="1"/>
      <w:numFmt w:val="lowerRoman"/>
      <w:lvlText w:val="%6."/>
      <w:lvlJc w:val="right"/>
      <w:pPr>
        <w:ind w:left="6234" w:hanging="180"/>
      </w:pPr>
    </w:lvl>
    <w:lvl w:ilvl="6" w:tplc="0407000F">
      <w:start w:val="1"/>
      <w:numFmt w:val="decimal"/>
      <w:lvlText w:val="%7."/>
      <w:lvlJc w:val="left"/>
      <w:pPr>
        <w:ind w:left="6954" w:hanging="360"/>
      </w:pPr>
    </w:lvl>
    <w:lvl w:ilvl="7" w:tplc="04070019">
      <w:start w:val="1"/>
      <w:numFmt w:val="lowerLetter"/>
      <w:lvlText w:val="%8."/>
      <w:lvlJc w:val="left"/>
      <w:pPr>
        <w:ind w:left="7674" w:hanging="360"/>
      </w:pPr>
    </w:lvl>
    <w:lvl w:ilvl="8" w:tplc="0407001B">
      <w:start w:val="1"/>
      <w:numFmt w:val="lowerRoman"/>
      <w:lvlText w:val="%9."/>
      <w:lvlJc w:val="right"/>
      <w:pPr>
        <w:ind w:left="8394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7C35"/>
    <w:rsid w:val="00017F94"/>
    <w:rsid w:val="00023842"/>
    <w:rsid w:val="000334F9"/>
    <w:rsid w:val="00045FEB"/>
    <w:rsid w:val="0007796D"/>
    <w:rsid w:val="000B7790"/>
    <w:rsid w:val="000D7517"/>
    <w:rsid w:val="000F2CAF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96077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7C35"/>
    <w:rsid w:val="009446C0"/>
    <w:rsid w:val="009705C8"/>
    <w:rsid w:val="009C1CF4"/>
    <w:rsid w:val="009F6B74"/>
    <w:rsid w:val="00A033B9"/>
    <w:rsid w:val="00A3029F"/>
    <w:rsid w:val="00A30353"/>
    <w:rsid w:val="00AC3823"/>
    <w:rsid w:val="00AE323C"/>
    <w:rsid w:val="00AF0CB5"/>
    <w:rsid w:val="00B00181"/>
    <w:rsid w:val="00B00B0D"/>
    <w:rsid w:val="00B45F2E"/>
    <w:rsid w:val="00B512F5"/>
    <w:rsid w:val="00B765F7"/>
    <w:rsid w:val="00BA0CA9"/>
    <w:rsid w:val="00C02897"/>
    <w:rsid w:val="00C97039"/>
    <w:rsid w:val="00D3439C"/>
    <w:rsid w:val="00DB1831"/>
    <w:rsid w:val="00DD3BFD"/>
    <w:rsid w:val="00DF6678"/>
    <w:rsid w:val="00DF7136"/>
    <w:rsid w:val="00E0299A"/>
    <w:rsid w:val="00E85C74"/>
    <w:rsid w:val="00EA6547"/>
    <w:rsid w:val="00EF2E22"/>
    <w:rsid w:val="00F27F3C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70B31F"/>
  <w15:docId w15:val="{90D7154E-C7F3-4AEB-8C4D-752891A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49607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49607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table" w:customStyle="1" w:styleId="TableGrid1">
    <w:name w:val="Table Grid1"/>
    <w:basedOn w:val="TableauNormal"/>
    <w:next w:val="Grilledutableau"/>
    <w:semiHidden/>
    <w:rsid w:val="0049607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6C0E9-D940-47B2-A793-82A79E4DE39F}"/>
</file>

<file path=customXml/itemProps2.xml><?xml version="1.0" encoding="utf-8"?>
<ds:datastoreItem xmlns:ds="http://schemas.openxmlformats.org/officeDocument/2006/customXml" ds:itemID="{18E91570-88A7-48D3-A5AC-56619A36F3A8}"/>
</file>

<file path=customXml/itemProps3.xml><?xml version="1.0" encoding="utf-8"?>
<ds:datastoreItem xmlns:ds="http://schemas.openxmlformats.org/officeDocument/2006/customXml" ds:itemID="{427670CE-B0FE-4310-B172-DCD25D65511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1570</Words>
  <Characters>8263</Characters>
  <Application>Microsoft Office Word</Application>
  <DocSecurity>0</DocSecurity>
  <Lines>330</Lines>
  <Paragraphs>158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ECE/TRANS/WP.29/GRBP/2021/2</vt:lpstr>
    </vt:vector>
  </TitlesOfParts>
  <Company>DCM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ECE/TRANS/WP.29/GRBP/2021/2</dc:title>
  <dc:subject/>
  <dc:creator>Sandrine CLERE</dc:creator>
  <cp:keywords/>
  <cp:lastModifiedBy>Sandrine CLERE</cp:lastModifiedBy>
  <cp:revision>2</cp:revision>
  <cp:lastPrinted>2014-05-14T10:59:00Z</cp:lastPrinted>
  <dcterms:created xsi:type="dcterms:W3CDTF">2020-11-12T15:48:00Z</dcterms:created>
  <dcterms:modified xsi:type="dcterms:W3CDTF">2020-11-12T15:48:00Z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