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EB4D6B" w14:textId="77777777" w:rsidTr="00C97039">
        <w:trPr>
          <w:trHeight w:hRule="exact" w:val="851"/>
        </w:trPr>
        <w:tc>
          <w:tcPr>
            <w:tcW w:w="1276" w:type="dxa"/>
            <w:tcBorders>
              <w:bottom w:val="single" w:sz="4" w:space="0" w:color="auto"/>
            </w:tcBorders>
          </w:tcPr>
          <w:p w14:paraId="54A4BC73" w14:textId="77777777" w:rsidR="00F35BAF" w:rsidRPr="00DB58B5" w:rsidRDefault="00F35BAF" w:rsidP="00516B5D"/>
        </w:tc>
        <w:tc>
          <w:tcPr>
            <w:tcW w:w="2268" w:type="dxa"/>
            <w:tcBorders>
              <w:bottom w:val="single" w:sz="4" w:space="0" w:color="auto"/>
            </w:tcBorders>
            <w:vAlign w:val="bottom"/>
          </w:tcPr>
          <w:p w14:paraId="4EDE6C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05C88B" w14:textId="77777777" w:rsidR="00F35BAF" w:rsidRPr="00DB58B5" w:rsidRDefault="00516B5D" w:rsidP="00516B5D">
            <w:pPr>
              <w:jc w:val="right"/>
            </w:pPr>
            <w:r w:rsidRPr="00516B5D">
              <w:rPr>
                <w:sz w:val="40"/>
              </w:rPr>
              <w:t>ECE</w:t>
            </w:r>
            <w:r>
              <w:t>/TRANS/2021/1</w:t>
            </w:r>
          </w:p>
        </w:tc>
      </w:tr>
      <w:tr w:rsidR="00F35BAF" w:rsidRPr="00DB58B5" w14:paraId="04DB195A" w14:textId="77777777" w:rsidTr="00C97039">
        <w:trPr>
          <w:trHeight w:hRule="exact" w:val="2835"/>
        </w:trPr>
        <w:tc>
          <w:tcPr>
            <w:tcW w:w="1276" w:type="dxa"/>
            <w:tcBorders>
              <w:top w:val="single" w:sz="4" w:space="0" w:color="auto"/>
              <w:bottom w:val="single" w:sz="12" w:space="0" w:color="auto"/>
            </w:tcBorders>
          </w:tcPr>
          <w:p w14:paraId="6C05E24D" w14:textId="77777777" w:rsidR="00F35BAF" w:rsidRPr="00DB58B5" w:rsidRDefault="00F35BAF" w:rsidP="00C97039">
            <w:pPr>
              <w:spacing w:before="120"/>
              <w:jc w:val="center"/>
            </w:pPr>
            <w:r>
              <w:rPr>
                <w:noProof/>
                <w:lang w:eastAsia="fr-CH"/>
              </w:rPr>
              <w:drawing>
                <wp:inline distT="0" distB="0" distL="0" distR="0" wp14:anchorId="36B8795F" wp14:editId="5E14FB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C79B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A1D34D" w14:textId="77777777" w:rsidR="00F35BAF" w:rsidRDefault="00516B5D" w:rsidP="00C97039">
            <w:pPr>
              <w:spacing w:before="240"/>
            </w:pPr>
            <w:r>
              <w:t>Distr. générale</w:t>
            </w:r>
          </w:p>
          <w:p w14:paraId="473407BD" w14:textId="77777777" w:rsidR="00516B5D" w:rsidRDefault="00516B5D" w:rsidP="00516B5D">
            <w:pPr>
              <w:spacing w:line="240" w:lineRule="exact"/>
            </w:pPr>
            <w:r>
              <w:t>10 décembre 2020</w:t>
            </w:r>
          </w:p>
          <w:p w14:paraId="3219C48A" w14:textId="77777777" w:rsidR="00516B5D" w:rsidRDefault="00516B5D" w:rsidP="00516B5D">
            <w:pPr>
              <w:spacing w:line="240" w:lineRule="exact"/>
            </w:pPr>
            <w:r>
              <w:t>Français</w:t>
            </w:r>
          </w:p>
          <w:p w14:paraId="2195A4AC" w14:textId="77777777" w:rsidR="00516B5D" w:rsidRPr="00DB58B5" w:rsidRDefault="00516B5D" w:rsidP="00516B5D">
            <w:pPr>
              <w:spacing w:line="240" w:lineRule="exact"/>
            </w:pPr>
            <w:r>
              <w:t>Original : anglais</w:t>
            </w:r>
          </w:p>
        </w:tc>
      </w:tr>
    </w:tbl>
    <w:p w14:paraId="64685461" w14:textId="77777777" w:rsidR="007F20FA" w:rsidRPr="000312C0" w:rsidRDefault="007F20FA" w:rsidP="007F20FA">
      <w:pPr>
        <w:spacing w:before="120"/>
        <w:rPr>
          <w:b/>
          <w:sz w:val="28"/>
          <w:szCs w:val="28"/>
        </w:rPr>
      </w:pPr>
      <w:r w:rsidRPr="000312C0">
        <w:rPr>
          <w:b/>
          <w:sz w:val="28"/>
          <w:szCs w:val="28"/>
        </w:rPr>
        <w:t>Commission économique pour l’Europe</w:t>
      </w:r>
    </w:p>
    <w:p w14:paraId="117A0068" w14:textId="77777777" w:rsidR="007F20FA" w:rsidRDefault="007F20FA" w:rsidP="007F20FA">
      <w:pPr>
        <w:spacing w:before="120"/>
        <w:rPr>
          <w:sz w:val="28"/>
          <w:szCs w:val="28"/>
        </w:rPr>
      </w:pPr>
      <w:r w:rsidRPr="00685843">
        <w:rPr>
          <w:sz w:val="28"/>
          <w:szCs w:val="28"/>
        </w:rPr>
        <w:t>Comité des transports intérieurs</w:t>
      </w:r>
    </w:p>
    <w:p w14:paraId="106E503B" w14:textId="77777777" w:rsidR="00563C0D" w:rsidRPr="00563C0D" w:rsidRDefault="00563C0D" w:rsidP="00563C0D">
      <w:pPr>
        <w:spacing w:before="120"/>
        <w:rPr>
          <w:b/>
          <w:bCs/>
        </w:rPr>
      </w:pPr>
      <w:r w:rsidRPr="00563C0D">
        <w:rPr>
          <w:b/>
          <w:bCs/>
        </w:rPr>
        <w:t>Quatre-vingt-troisième session</w:t>
      </w:r>
    </w:p>
    <w:p w14:paraId="73088E9E" w14:textId="77777777" w:rsidR="00563C0D" w:rsidRPr="00563C0D" w:rsidRDefault="00563C0D" w:rsidP="00563C0D">
      <w:pPr>
        <w:rPr>
          <w:b/>
          <w:bCs/>
        </w:rPr>
      </w:pPr>
      <w:r w:rsidRPr="00563C0D">
        <w:t>Genève, 23-26</w:t>
      </w:r>
      <w:r>
        <w:t> </w:t>
      </w:r>
      <w:r w:rsidRPr="00563C0D">
        <w:t>février</w:t>
      </w:r>
      <w:r>
        <w:t xml:space="preserve"> </w:t>
      </w:r>
      <w:r w:rsidRPr="00563C0D">
        <w:t>2021</w:t>
      </w:r>
      <w:r w:rsidRPr="00563C0D">
        <w:br/>
        <w:t>Point 2 de l’ordre du jour provisoire</w:t>
      </w:r>
      <w:r w:rsidRPr="00563C0D">
        <w:br/>
      </w:r>
      <w:r w:rsidRPr="00563C0D">
        <w:rPr>
          <w:b/>
          <w:bCs/>
        </w:rPr>
        <w:t xml:space="preserve">Retour vers un futur viable : parvenir à une connectivité résiliente </w:t>
      </w:r>
      <w:r>
        <w:rPr>
          <w:b/>
          <w:bCs/>
        </w:rPr>
        <w:br/>
      </w:r>
      <w:r w:rsidRPr="00563C0D">
        <w:rPr>
          <w:b/>
          <w:bCs/>
        </w:rPr>
        <w:t>pour</w:t>
      </w:r>
      <w:r>
        <w:rPr>
          <w:b/>
          <w:bCs/>
        </w:rPr>
        <w:t xml:space="preserve"> </w:t>
      </w:r>
      <w:r w:rsidRPr="00563C0D">
        <w:rPr>
          <w:b/>
          <w:bCs/>
        </w:rPr>
        <w:t xml:space="preserve">un redressement et une croissance économique durables </w:t>
      </w:r>
      <w:r>
        <w:rPr>
          <w:b/>
          <w:bCs/>
        </w:rPr>
        <w:br/>
      </w:r>
      <w:r w:rsidRPr="00563C0D">
        <w:rPr>
          <w:b/>
          <w:bCs/>
        </w:rPr>
        <w:t>après la pandémie de COVID-19</w:t>
      </w:r>
    </w:p>
    <w:p w14:paraId="2A544387" w14:textId="77777777" w:rsidR="00563C0D" w:rsidRPr="005C15C0" w:rsidRDefault="00563C0D" w:rsidP="00563C0D">
      <w:pPr>
        <w:pStyle w:val="HChG"/>
      </w:pPr>
      <w:r w:rsidRPr="005C15C0">
        <w:tab/>
      </w:r>
      <w:r w:rsidRPr="005C15C0">
        <w:tab/>
        <w:t xml:space="preserve">Document de réflexion pour le débat général de haut niveau sur le thème « Retour vers un futur </w:t>
      </w:r>
      <w:r>
        <w:t>viable</w:t>
      </w:r>
      <w:r w:rsidRPr="005C15C0">
        <w:t xml:space="preserve"> : </w:t>
      </w:r>
      <w:r>
        <w:t xml:space="preserve">parvenir </w:t>
      </w:r>
      <w:r>
        <w:br/>
        <w:t>à</w:t>
      </w:r>
      <w:r w:rsidRPr="005C15C0">
        <w:t xml:space="preserve"> une connectivité résiliente pour un </w:t>
      </w:r>
      <w:r>
        <w:t>redressement</w:t>
      </w:r>
      <w:r w:rsidRPr="005C15C0">
        <w:t xml:space="preserve"> </w:t>
      </w:r>
      <w:r>
        <w:br/>
      </w:r>
      <w:r w:rsidRPr="005C15C0">
        <w:t xml:space="preserve">et une croissance économique </w:t>
      </w:r>
      <w:r>
        <w:t>durables après</w:t>
      </w:r>
      <w:r w:rsidRPr="005C15C0">
        <w:t xml:space="preserve"> la </w:t>
      </w:r>
      <w:r>
        <w:t xml:space="preserve">pandémie </w:t>
      </w:r>
      <w:r>
        <w:br/>
        <w:t xml:space="preserve">de </w:t>
      </w:r>
      <w:r w:rsidRPr="005C15C0">
        <w:t>COVID-19 »</w:t>
      </w:r>
    </w:p>
    <w:p w14:paraId="7DAF5CE5" w14:textId="77777777" w:rsidR="00563C0D" w:rsidRDefault="00563C0D" w:rsidP="00563C0D">
      <w:pPr>
        <w:pStyle w:val="H1G"/>
      </w:pPr>
      <w:r w:rsidRPr="005C15C0">
        <w:tab/>
      </w:r>
      <w:r w:rsidRPr="005C15C0">
        <w:tab/>
        <w:t>Note du secrétariat</w:t>
      </w:r>
    </w:p>
    <w:tbl>
      <w:tblPr>
        <w:tblStyle w:val="H56G"/>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8"/>
      </w:tblGrid>
      <w:tr w:rsidR="00563C0D" w14:paraId="47D16156" w14:textId="77777777">
        <w:trPr>
          <w:jc w:val="center"/>
        </w:trPr>
        <w:tc>
          <w:tcPr>
            <w:tcW w:w="9637" w:type="dxa"/>
            <w:shd w:val="clear" w:color="auto" w:fill="auto"/>
          </w:tcPr>
          <w:p w14:paraId="4B8BA8A3" w14:textId="77777777" w:rsidR="00563C0D" w:rsidRDefault="00563C0D">
            <w:pPr>
              <w:spacing w:after="120"/>
              <w:ind w:left="255"/>
              <w:rPr>
                <w:i/>
                <w:sz w:val="24"/>
              </w:rPr>
            </w:pPr>
            <w:r>
              <w:rPr>
                <w:i/>
                <w:sz w:val="24"/>
              </w:rPr>
              <w:t>Résumé</w:t>
            </w:r>
          </w:p>
        </w:tc>
      </w:tr>
      <w:tr w:rsidR="00563C0D" w14:paraId="1D17E231" w14:textId="77777777">
        <w:trPr>
          <w:jc w:val="center"/>
        </w:trPr>
        <w:tc>
          <w:tcPr>
            <w:tcW w:w="9637" w:type="dxa"/>
            <w:shd w:val="clear" w:color="auto" w:fill="auto"/>
          </w:tcPr>
          <w:p w14:paraId="468FFE34" w14:textId="77777777" w:rsidR="00563C0D" w:rsidRDefault="00563C0D" w:rsidP="00F33391">
            <w:pPr>
              <w:pStyle w:val="SingleTxtG"/>
              <w:keepNext w:val="0"/>
              <w:keepLines w:val="0"/>
              <w:ind w:firstLine="567"/>
            </w:pPr>
            <w:r w:rsidRPr="00563C0D">
              <w:t>On trouvera dans le présent document une réflexion sur le thème du débat général de haut niveau, à savoir «</w:t>
            </w:r>
            <w:r>
              <w:t> </w:t>
            </w:r>
            <w:r w:rsidRPr="00563C0D">
              <w:t>Retour vers un futur viable</w:t>
            </w:r>
            <w:r>
              <w:t> </w:t>
            </w:r>
            <w:r w:rsidRPr="00563C0D">
              <w:t>: parvenir à une connectivité résiliente pour un redressement et une croissance économique durables après la pandémie de COVID</w:t>
            </w:r>
            <w:r>
              <w:noBreakHyphen/>
            </w:r>
            <w:r w:rsidRPr="00563C0D">
              <w:t>19</w:t>
            </w:r>
            <w:r>
              <w:t> </w:t>
            </w:r>
            <w:r w:rsidRPr="00563C0D">
              <w:t>». On y trouvera également des informations sur les activités, manifestations parallèles et autres manifestations prévues à cette occasion. À sa réunion de juillet 2020, le Bureau du Comité des transports intérieurs a décidé que les tables rondes de la première journée de la quatre-vingt-troisième session du Comité porteraient sur des sujets liés à ce thème. Le débat de haut niveau s’achèvera avec l’adoption d’une résolution ministérielle intitulée «</w:t>
            </w:r>
            <w:r>
              <w:t> </w:t>
            </w:r>
            <w:r w:rsidRPr="00563C0D">
              <w:t>Renforcer la résilience de la connectivité des transports intérieurs dans les situations d’urgence</w:t>
            </w:r>
            <w:r>
              <w:t> </w:t>
            </w:r>
            <w:r w:rsidRPr="00563C0D">
              <w:t>: appel urgent à une action concertée</w:t>
            </w:r>
            <w:r>
              <w:t> </w:t>
            </w:r>
            <w:r w:rsidRPr="00563C0D">
              <w:t>» (ECE/TRANS/2021/2).</w:t>
            </w:r>
          </w:p>
        </w:tc>
      </w:tr>
      <w:tr w:rsidR="00563C0D" w14:paraId="0311C12B" w14:textId="77777777">
        <w:trPr>
          <w:jc w:val="center"/>
        </w:trPr>
        <w:tc>
          <w:tcPr>
            <w:tcW w:w="9637" w:type="dxa"/>
            <w:shd w:val="clear" w:color="auto" w:fill="auto"/>
          </w:tcPr>
          <w:p w14:paraId="384D2859" w14:textId="77777777" w:rsidR="00563C0D" w:rsidRDefault="00563C0D" w:rsidP="00F33391">
            <w:pPr>
              <w:keepNext w:val="0"/>
              <w:keepLines w:val="0"/>
            </w:pPr>
          </w:p>
        </w:tc>
      </w:tr>
    </w:tbl>
    <w:p w14:paraId="5B2C3223" w14:textId="77777777" w:rsidR="00563C0D" w:rsidRPr="005C15C0" w:rsidRDefault="00563C0D" w:rsidP="00563C0D">
      <w:pPr>
        <w:pStyle w:val="HChG"/>
      </w:pPr>
      <w:r w:rsidRPr="005C15C0">
        <w:lastRenderedPageBreak/>
        <w:tab/>
        <w:t>I.</w:t>
      </w:r>
      <w:r w:rsidRPr="005C15C0">
        <w:tab/>
        <w:t>Cadre d</w:t>
      </w:r>
      <w:r>
        <w:t>’</w:t>
      </w:r>
      <w:r w:rsidRPr="005C15C0">
        <w:t>action</w:t>
      </w:r>
    </w:p>
    <w:p w14:paraId="498C464D" w14:textId="77777777" w:rsidR="00563C0D" w:rsidRPr="005C15C0" w:rsidRDefault="00563C0D" w:rsidP="00563C0D">
      <w:pPr>
        <w:pStyle w:val="H1G"/>
      </w:pPr>
      <w:r w:rsidRPr="005C15C0">
        <w:tab/>
      </w:r>
      <w:r w:rsidRPr="005C15C0">
        <w:tab/>
        <w:t>Contexte et perspectives générales</w:t>
      </w:r>
    </w:p>
    <w:p w14:paraId="2571E3CC" w14:textId="77777777" w:rsidR="00563C0D" w:rsidRPr="005C15C0" w:rsidRDefault="00563C0D" w:rsidP="00563C0D">
      <w:pPr>
        <w:pStyle w:val="SingleTxtG"/>
        <w:keepNext/>
        <w:keepLines/>
      </w:pPr>
      <w:r w:rsidRPr="005C15C0">
        <w:t>1.</w:t>
      </w:r>
      <w:r w:rsidRPr="005C15C0">
        <w:tab/>
        <w:t>Cinq ans après l</w:t>
      </w:r>
      <w:r>
        <w:t>’</w:t>
      </w:r>
      <w:r w:rsidRPr="005C15C0">
        <w:t>adoption des objectifs de développement durable par l</w:t>
      </w:r>
      <w:r>
        <w:t>’</w:t>
      </w:r>
      <w:r w:rsidRPr="005C15C0">
        <w:t>Assemblée générale des Nations</w:t>
      </w:r>
      <w:r>
        <w:t> </w:t>
      </w:r>
      <w:r w:rsidRPr="005C15C0">
        <w:t>Unies en 2015,</w:t>
      </w:r>
      <w:r>
        <w:t xml:space="preserve"> </w:t>
      </w:r>
      <w:r w:rsidRPr="005C15C0">
        <w:t>le monde a connu, en raison de la pandémie de COVID</w:t>
      </w:r>
      <w:r>
        <w:noBreakHyphen/>
      </w:r>
      <w:r w:rsidRPr="005C15C0">
        <w:t xml:space="preserve">19 et de ses </w:t>
      </w:r>
      <w:r>
        <w:t xml:space="preserve">effets </w:t>
      </w:r>
      <w:r w:rsidRPr="005C15C0">
        <w:t>épidémiologique</w:t>
      </w:r>
      <w:r>
        <w:t>s</w:t>
      </w:r>
      <w:r w:rsidRPr="005C15C0">
        <w:t xml:space="preserve"> et socioéconomique</w:t>
      </w:r>
      <w:r>
        <w:t>s</w:t>
      </w:r>
      <w:r w:rsidRPr="005C15C0">
        <w:t>, une situation d</w:t>
      </w:r>
      <w:r>
        <w:t>’</w:t>
      </w:r>
      <w:r w:rsidRPr="005C15C0">
        <w:t xml:space="preserve">urgence </w:t>
      </w:r>
      <w:r>
        <w:t xml:space="preserve">planétaire </w:t>
      </w:r>
      <w:r w:rsidRPr="005C15C0">
        <w:t xml:space="preserve">aux proportions inégalées en temps de paix. </w:t>
      </w:r>
      <w:r>
        <w:t>Les auteurs du</w:t>
      </w:r>
      <w:r w:rsidRPr="005C15C0">
        <w:t xml:space="preserve"> Rapport sur les objectifs de développement durable</w:t>
      </w:r>
      <w:r w:rsidRPr="005C15C0" w:rsidDel="005D10C6">
        <w:t xml:space="preserve"> </w:t>
      </w:r>
      <w:r w:rsidRPr="005C15C0">
        <w:t>2020</w:t>
      </w:r>
      <w:r>
        <w:t xml:space="preserve"> ont tiré</w:t>
      </w:r>
      <w:r w:rsidRPr="005C15C0">
        <w:t xml:space="preserve"> </w:t>
      </w:r>
      <w:r>
        <w:t>la sonnette d’alarme, signalant qu’</w:t>
      </w:r>
      <w:r w:rsidRPr="005C15C0">
        <w:t>à l</w:t>
      </w:r>
      <w:r>
        <w:t>’</w:t>
      </w:r>
      <w:r w:rsidRPr="005C15C0">
        <w:t xml:space="preserve">échelle </w:t>
      </w:r>
      <w:r>
        <w:t>mondiale on était aux prises avec</w:t>
      </w:r>
      <w:r w:rsidRPr="005C15C0">
        <w:t xml:space="preserve"> la pire récession depuis la Grande Dépression</w:t>
      </w:r>
      <w:r>
        <w:t> :</w:t>
      </w:r>
      <w:r w:rsidRPr="005C15C0">
        <w:t xml:space="preserve"> on s</w:t>
      </w:r>
      <w:r>
        <w:t>’</w:t>
      </w:r>
      <w:r w:rsidRPr="005C15C0">
        <w:t>attendait à une baisse de 4,2 % du produit intérieur brut par habitant en 2020. D</w:t>
      </w:r>
      <w:r>
        <w:t>e</w:t>
      </w:r>
      <w:r w:rsidRPr="005C15C0">
        <w:t xml:space="preserve"> même, le Fonds monétaire international (FMI) a attiré l</w:t>
      </w:r>
      <w:r>
        <w:t>’</w:t>
      </w:r>
      <w:r w:rsidRPr="005C15C0">
        <w:t xml:space="preserve">attention sur le fait que plusieurs pays en développement étaient au bord de la faillite et du défaut de paiement. </w:t>
      </w:r>
      <w:r>
        <w:t>Le résultat immédiat</w:t>
      </w:r>
      <w:r w:rsidRPr="005C15C0">
        <w:t xml:space="preserve"> de cette situation</w:t>
      </w:r>
      <w:r>
        <w:t xml:space="preserve"> est que</w:t>
      </w:r>
      <w:r w:rsidRPr="005C15C0">
        <w:t xml:space="preserve"> la pauvreté et l</w:t>
      </w:r>
      <w:r>
        <w:t xml:space="preserve">es </w:t>
      </w:r>
      <w:r w:rsidRPr="005C15C0">
        <w:t>inégalité</w:t>
      </w:r>
      <w:r>
        <w:t>s</w:t>
      </w:r>
      <w:r w:rsidRPr="005C15C0">
        <w:t xml:space="preserve"> de revenus augmentent dans plusieurs pays vulnérables. Il </w:t>
      </w:r>
      <w:r>
        <w:t>est aussi</w:t>
      </w:r>
      <w:r w:rsidRPr="005C15C0">
        <w:t xml:space="preserve"> de plus en plus clair que plusieurs États Membres de </w:t>
      </w:r>
      <w:r>
        <w:t>l’ONU</w:t>
      </w:r>
      <w:r w:rsidRPr="005C15C0">
        <w:t xml:space="preserve"> </w:t>
      </w:r>
      <w:r>
        <w:t>vont avoir beaucoup de mal</w:t>
      </w:r>
      <w:r w:rsidRPr="005C15C0">
        <w:t xml:space="preserve"> à </w:t>
      </w:r>
      <w:r>
        <w:t>atteindre</w:t>
      </w:r>
      <w:r w:rsidRPr="005C15C0">
        <w:t xml:space="preserve"> les cibles des objectifs de développement durable.</w:t>
      </w:r>
    </w:p>
    <w:p w14:paraId="1D3CCB33" w14:textId="77777777" w:rsidR="00563C0D" w:rsidRPr="005C15C0" w:rsidRDefault="00563C0D" w:rsidP="00563C0D">
      <w:pPr>
        <w:pStyle w:val="SingleTxtG"/>
      </w:pPr>
      <w:r w:rsidRPr="005C15C0">
        <w:t>2.</w:t>
      </w:r>
      <w:r w:rsidRPr="005C15C0">
        <w:tab/>
        <w:t>Dans de telles circonstances, il import</w:t>
      </w:r>
      <w:r>
        <w:t>e</w:t>
      </w:r>
      <w:r w:rsidRPr="005C15C0">
        <w:t xml:space="preserve"> avant tout d</w:t>
      </w:r>
      <w:r>
        <w:t>’</w:t>
      </w:r>
      <w:r w:rsidRPr="005C15C0">
        <w:t xml:space="preserve">infléchir la </w:t>
      </w:r>
      <w:r>
        <w:t>tendance</w:t>
      </w:r>
      <w:r w:rsidRPr="005C15C0">
        <w:t xml:space="preserve"> pour assurer une reprise solide et rapide aux niveaux national, régional et mondial. Il ne </w:t>
      </w:r>
      <w:r>
        <w:t>fait</w:t>
      </w:r>
      <w:r w:rsidRPr="005C15C0">
        <w:t xml:space="preserve"> aucun doute que le</w:t>
      </w:r>
      <w:r>
        <w:t>s</w:t>
      </w:r>
      <w:r w:rsidRPr="005C15C0">
        <w:t xml:space="preserve"> transport</w:t>
      </w:r>
      <w:r>
        <w:t>s</w:t>
      </w:r>
      <w:r w:rsidRPr="005C15C0">
        <w:t xml:space="preserve"> </w:t>
      </w:r>
      <w:r>
        <w:t xml:space="preserve">doivent jouer un rôle </w:t>
      </w:r>
      <w:r w:rsidRPr="005C15C0">
        <w:t xml:space="preserve">économique, social et opérationnel </w:t>
      </w:r>
      <w:r>
        <w:t>de premier plan</w:t>
      </w:r>
      <w:r w:rsidRPr="005C15C0">
        <w:t xml:space="preserve"> </w:t>
      </w:r>
      <w:r>
        <w:t>dans l’appui à</w:t>
      </w:r>
      <w:r w:rsidRPr="005C15C0">
        <w:t xml:space="preserve"> la relance mondiale.</w:t>
      </w:r>
    </w:p>
    <w:p w14:paraId="404C1EF2" w14:textId="77777777" w:rsidR="00563C0D" w:rsidRPr="005C15C0" w:rsidRDefault="00563C0D" w:rsidP="00563C0D">
      <w:pPr>
        <w:pStyle w:val="SingleTxtG"/>
      </w:pPr>
      <w:r w:rsidRPr="005C15C0">
        <w:t>3.</w:t>
      </w:r>
      <w:r w:rsidRPr="005C15C0">
        <w:tab/>
        <w:t xml:space="preserve">Néanmoins, une </w:t>
      </w:r>
      <w:r>
        <w:t>reprise économique</w:t>
      </w:r>
      <w:r w:rsidRPr="005C15C0">
        <w:t xml:space="preserve"> fondée</w:t>
      </w:r>
      <w:r>
        <w:t xml:space="preserve"> seulement</w:t>
      </w:r>
      <w:r w:rsidRPr="005C15C0">
        <w:t xml:space="preserve"> sur un retour </w:t>
      </w:r>
      <w:r>
        <w:t xml:space="preserve">au </w:t>
      </w:r>
      <w:r w:rsidRPr="00F21123">
        <w:rPr>
          <w:i/>
          <w:iCs/>
        </w:rPr>
        <w:t>statu quo ante</w:t>
      </w:r>
      <w:r w:rsidRPr="005C15C0">
        <w:t xml:space="preserve"> signifierait que l</w:t>
      </w:r>
      <w:r>
        <w:t>’on n’a pas tiré tous l</w:t>
      </w:r>
      <w:r w:rsidRPr="005C15C0">
        <w:t>es enseignements de la situation d</w:t>
      </w:r>
      <w:r>
        <w:t>’</w:t>
      </w:r>
      <w:r w:rsidRPr="005C15C0">
        <w:t xml:space="preserve">urgence dans laquelle le monde se trouve encore. </w:t>
      </w:r>
      <w:r w:rsidR="00743EFC" w:rsidRPr="005C15C0">
        <w:t xml:space="preserve">Pour </w:t>
      </w:r>
      <w:r w:rsidR="00743EFC">
        <w:t>parvenir à un redressement</w:t>
      </w:r>
      <w:r w:rsidR="00743EFC" w:rsidRPr="005C15C0">
        <w:t xml:space="preserve"> </w:t>
      </w:r>
      <w:r w:rsidR="00743EFC" w:rsidRPr="005C15C0">
        <w:rPr>
          <w:i/>
          <w:iCs/>
        </w:rPr>
        <w:t>durable</w:t>
      </w:r>
      <w:r w:rsidR="00743EFC" w:rsidRPr="005C15C0">
        <w:t xml:space="preserve">, il </w:t>
      </w:r>
      <w:r w:rsidR="00743EFC">
        <w:t xml:space="preserve">est aussi essentiel </w:t>
      </w:r>
      <w:r w:rsidR="00743EFC" w:rsidRPr="005C15C0">
        <w:t xml:space="preserve">de pleinement comprendre les </w:t>
      </w:r>
      <w:r w:rsidR="00743EFC">
        <w:t>faiblesses qui ont été révélées lorsque les</w:t>
      </w:r>
      <w:r w:rsidR="00743EFC" w:rsidRPr="005C15C0">
        <w:t xml:space="preserve"> mesures </w:t>
      </w:r>
      <w:r w:rsidR="00743EFC">
        <w:t>de</w:t>
      </w:r>
      <w:r w:rsidR="00743EFC" w:rsidRPr="005C15C0">
        <w:t xml:space="preserve"> lutte contre la pandémie </w:t>
      </w:r>
      <w:r w:rsidR="00743EFC">
        <w:t>ont affecté</w:t>
      </w:r>
      <w:r w:rsidR="00743EFC" w:rsidRPr="005C15C0">
        <w:t xml:space="preserve"> les chaînes d’approvisionnement des systèmes de transport intérieur</w:t>
      </w:r>
      <w:r w:rsidR="00743EFC">
        <w:t>,</w:t>
      </w:r>
      <w:r w:rsidR="00743EFC" w:rsidRPr="005C15C0">
        <w:t xml:space="preserve"> qui </w:t>
      </w:r>
      <w:r w:rsidR="00743EFC">
        <w:t xml:space="preserve">assurent </w:t>
      </w:r>
      <w:r w:rsidR="00743EFC" w:rsidRPr="005C15C0">
        <w:t xml:space="preserve">le lien entre les activités économiques à l’échelle mondiale et traversent les frontières nationales. </w:t>
      </w:r>
      <w:r w:rsidR="00743EFC">
        <w:t>Ce n’est qu’après avoir remédié à ces faiblesses que l’on</w:t>
      </w:r>
      <w:r w:rsidR="00743EFC" w:rsidRPr="005C15C0">
        <w:t xml:space="preserve"> pourra</w:t>
      </w:r>
      <w:r w:rsidR="00743EFC">
        <w:t xml:space="preserve"> </w:t>
      </w:r>
      <w:r w:rsidR="00743EFC" w:rsidRPr="005C15C0">
        <w:t xml:space="preserve">affirmer avoir contribué à rendre les systèmes de transport intérieur plus résilients et </w:t>
      </w:r>
      <w:r w:rsidR="00743EFC">
        <w:t>à assurer un redressement aussi</w:t>
      </w:r>
      <w:r w:rsidR="00743EFC" w:rsidRPr="005C15C0">
        <w:t xml:space="preserve"> durable</w:t>
      </w:r>
      <w:r w:rsidR="00743EFC">
        <w:t xml:space="preserve"> que complet</w:t>
      </w:r>
      <w:r w:rsidR="00743EFC" w:rsidRPr="005C15C0">
        <w:t>.</w:t>
      </w:r>
      <w:r w:rsidR="00743EFC">
        <w:t xml:space="preserve"> </w:t>
      </w:r>
    </w:p>
    <w:p w14:paraId="434C0554" w14:textId="77777777" w:rsidR="00563C0D" w:rsidRPr="005C15C0" w:rsidRDefault="00563C0D" w:rsidP="00563C0D">
      <w:pPr>
        <w:pStyle w:val="SingleTxtG"/>
      </w:pPr>
      <w:r w:rsidRPr="005C15C0">
        <w:t>4.</w:t>
      </w:r>
      <w:r w:rsidRPr="005C15C0">
        <w:tab/>
        <w:t>Le</w:t>
      </w:r>
      <w:r>
        <w:t>s participants au</w:t>
      </w:r>
      <w:r w:rsidRPr="005C15C0">
        <w:t xml:space="preserve"> débat général de haut niveau contribuer</w:t>
      </w:r>
      <w:r>
        <w:t>ont</w:t>
      </w:r>
      <w:r w:rsidRPr="005C15C0">
        <w:t xml:space="preserve"> </w:t>
      </w:r>
      <w:r>
        <w:t>à la réflexion en cours au niveau</w:t>
      </w:r>
      <w:r w:rsidRPr="005C15C0">
        <w:t xml:space="preserve"> mondial</w:t>
      </w:r>
      <w:r>
        <w:t>, car ils</w:t>
      </w:r>
      <w:r w:rsidRPr="005C15C0">
        <w:t xml:space="preserve"> </w:t>
      </w:r>
      <w:r>
        <w:t>examineront attentivement</w:t>
      </w:r>
      <w:r w:rsidRPr="005C15C0">
        <w:t xml:space="preserve"> ces questions et montr</w:t>
      </w:r>
      <w:r>
        <w:t>ero</w:t>
      </w:r>
      <w:r w:rsidRPr="005C15C0">
        <w:t>nt que</w:t>
      </w:r>
      <w:r>
        <w:t>, lorsque l’on parle de</w:t>
      </w:r>
      <w:r w:rsidRPr="005C15C0">
        <w:t xml:space="preserve"> la transition vers une connectivité durable et résiliente</w:t>
      </w:r>
      <w:r>
        <w:t>,</w:t>
      </w:r>
      <w:r w:rsidRPr="005C15C0">
        <w:t xml:space="preserve"> « reconstruire en mieux » est </w:t>
      </w:r>
      <w:r>
        <w:t xml:space="preserve">bien plus qu’un slogan. C’est un objectif concret, qui doit avoir de nombreuses retombées </w:t>
      </w:r>
      <w:r w:rsidR="00203A08">
        <w:t>positives.</w:t>
      </w:r>
    </w:p>
    <w:p w14:paraId="56753211" w14:textId="77777777" w:rsidR="00563C0D" w:rsidRPr="005C15C0" w:rsidRDefault="00563C0D" w:rsidP="00563C0D">
      <w:pPr>
        <w:pStyle w:val="SingleTxtG"/>
      </w:pPr>
      <w:r w:rsidRPr="005C15C0">
        <w:t>5.</w:t>
      </w:r>
      <w:r w:rsidRPr="005C15C0">
        <w:tab/>
      </w:r>
      <w:r>
        <w:t>Nul n’est mieux placé que l</w:t>
      </w:r>
      <w:r w:rsidRPr="005C15C0">
        <w:t>e Comité des transports intérieurs (CTI) pour contribuer à la mise en œuvre de solutions susceptibles d</w:t>
      </w:r>
      <w:r>
        <w:t>’</w:t>
      </w:r>
      <w:r w:rsidRPr="005C15C0">
        <w:t xml:space="preserve">accélérer la transition vers une connectivité durable et résiliente. </w:t>
      </w:r>
      <w:r>
        <w:t>En effet, ses travaux normatifs sur</w:t>
      </w:r>
      <w:r w:rsidRPr="005C15C0">
        <w:t xml:space="preserve"> la facilitation du franchissement des frontières </w:t>
      </w:r>
      <w:r>
        <w:t xml:space="preserve">lui confèrent une </w:t>
      </w:r>
      <w:r w:rsidRPr="005C15C0">
        <w:t xml:space="preserve">influence mondiale </w:t>
      </w:r>
      <w:r>
        <w:t xml:space="preserve">à la fois </w:t>
      </w:r>
      <w:r w:rsidRPr="005C15C0">
        <w:t xml:space="preserve">sur </w:t>
      </w:r>
      <w:r>
        <w:t>l’évolution de la réglementation</w:t>
      </w:r>
      <w:r w:rsidRPr="005C15C0">
        <w:t xml:space="preserve"> et </w:t>
      </w:r>
      <w:r>
        <w:t xml:space="preserve">sur les procédures </w:t>
      </w:r>
      <w:r w:rsidRPr="005C15C0">
        <w:t>opérationnel</w:t>
      </w:r>
      <w:r>
        <w:t>les.</w:t>
      </w:r>
      <w:r w:rsidRPr="005C15C0">
        <w:t xml:space="preserve"> </w:t>
      </w:r>
      <w:r>
        <w:t xml:space="preserve">On peut donc s’attendre à ce que </w:t>
      </w:r>
      <w:r w:rsidRPr="005C15C0">
        <w:t xml:space="preserve">les solutions proposées </w:t>
      </w:r>
      <w:r>
        <w:t>au cours du débat de haut niveau</w:t>
      </w:r>
      <w:r w:rsidRPr="005C15C0">
        <w:t xml:space="preserve"> abouti</w:t>
      </w:r>
      <w:r>
        <w:t>ssent</w:t>
      </w:r>
      <w:r w:rsidRPr="005C15C0">
        <w:t xml:space="preserve"> à des résultats réels et concrets.</w:t>
      </w:r>
    </w:p>
    <w:p w14:paraId="690EAC1C" w14:textId="77777777" w:rsidR="00563C0D" w:rsidRPr="005C15C0" w:rsidRDefault="00563C0D" w:rsidP="00563C0D">
      <w:pPr>
        <w:pStyle w:val="HChG"/>
      </w:pPr>
      <w:r w:rsidRPr="005C15C0">
        <w:tab/>
        <w:t>II.</w:t>
      </w:r>
      <w:r w:rsidRPr="005C15C0">
        <w:tab/>
        <w:t>Débat général de haut niveau</w:t>
      </w:r>
    </w:p>
    <w:p w14:paraId="72EDAAA0" w14:textId="77777777" w:rsidR="00563C0D" w:rsidRPr="005C15C0" w:rsidRDefault="00563C0D" w:rsidP="00563C0D">
      <w:pPr>
        <w:pStyle w:val="SingleTxtG"/>
      </w:pPr>
      <w:r w:rsidRPr="005C15C0">
        <w:t>6.</w:t>
      </w:r>
      <w:r w:rsidRPr="005C15C0">
        <w:tab/>
        <w:t xml:space="preserve">Conformément aux recommandations du Comité et aux résultats des discussions </w:t>
      </w:r>
      <w:r>
        <w:t xml:space="preserve">menées </w:t>
      </w:r>
      <w:r w:rsidRPr="005C15C0">
        <w:t>au sein du Bureau, le débat d</w:t>
      </w:r>
      <w:r>
        <w:t>’</w:t>
      </w:r>
      <w:r w:rsidRPr="005C15C0">
        <w:t xml:space="preserve">orientation portera sur le thème général « Retour vers un futur </w:t>
      </w:r>
      <w:r>
        <w:t>viable</w:t>
      </w:r>
      <w:r w:rsidRPr="005C15C0">
        <w:t xml:space="preserve"> : </w:t>
      </w:r>
      <w:r>
        <w:t>parvenir à</w:t>
      </w:r>
      <w:r w:rsidRPr="005C15C0">
        <w:t xml:space="preserve"> une connectivité résiliente pour </w:t>
      </w:r>
      <w:r w:rsidRPr="00A02215">
        <w:t xml:space="preserve">un redressement et une croissance économique durables après la pandémie de </w:t>
      </w:r>
      <w:r w:rsidRPr="005C15C0">
        <w:t xml:space="preserve">COVID-19 ». Ce </w:t>
      </w:r>
      <w:r>
        <w:t>débat</w:t>
      </w:r>
      <w:r w:rsidRPr="005C15C0">
        <w:t xml:space="preserve"> sera l</w:t>
      </w:r>
      <w:r>
        <w:t>’</w:t>
      </w:r>
      <w:r w:rsidRPr="005C15C0">
        <w:t xml:space="preserve">occasion </w:t>
      </w:r>
      <w:r>
        <w:t xml:space="preserve">d’entreprendre </w:t>
      </w:r>
      <w:r w:rsidRPr="005C15C0">
        <w:t xml:space="preserve">une réflexion sur les </w:t>
      </w:r>
      <w:r>
        <w:t>atouts</w:t>
      </w:r>
      <w:r w:rsidRPr="005C15C0">
        <w:t xml:space="preserve"> </w:t>
      </w:r>
      <w:r>
        <w:t xml:space="preserve">propres au </w:t>
      </w:r>
      <w:r w:rsidRPr="005C15C0">
        <w:t>Comité, de mettre en lumière sa valeur ajoutée et de souligner le rôle qu</w:t>
      </w:r>
      <w:r>
        <w:t>’</w:t>
      </w:r>
      <w:r w:rsidRPr="005C15C0">
        <w:t xml:space="preserve">il pourrait jouer </w:t>
      </w:r>
      <w:r>
        <w:t>alors que</w:t>
      </w:r>
      <w:r w:rsidRPr="005C15C0">
        <w:t xml:space="preserve"> </w:t>
      </w:r>
      <w:r>
        <w:t>l’</w:t>
      </w:r>
      <w:r w:rsidRPr="005C15C0">
        <w:t xml:space="preserve">économie mondiale </w:t>
      </w:r>
      <w:r>
        <w:t>affronte les conséquences de</w:t>
      </w:r>
      <w:r w:rsidRPr="005C15C0">
        <w:t xml:space="preserve"> la pandémie</w:t>
      </w:r>
      <w:r>
        <w:t xml:space="preserve"> et que les</w:t>
      </w:r>
      <w:r w:rsidRPr="005C15C0">
        <w:t xml:space="preserve"> modes de production et </w:t>
      </w:r>
      <w:r>
        <w:t>les échanges</w:t>
      </w:r>
      <w:r w:rsidRPr="005C15C0">
        <w:t xml:space="preserve"> évolu</w:t>
      </w:r>
      <w:r>
        <w:t>ent</w:t>
      </w:r>
      <w:r w:rsidRPr="005C15C0">
        <w:t xml:space="preserve"> rapide</w:t>
      </w:r>
      <w:r>
        <w:t>ment,</w:t>
      </w:r>
      <w:r w:rsidRPr="005C15C0">
        <w:t xml:space="preserve"> tant </w:t>
      </w:r>
      <w:r>
        <w:t xml:space="preserve">à l’échelle </w:t>
      </w:r>
      <w:r w:rsidRPr="005C15C0">
        <w:t>régionale qu</w:t>
      </w:r>
      <w:r>
        <w:t>’au niveau</w:t>
      </w:r>
      <w:r w:rsidRPr="005C15C0">
        <w:t xml:space="preserve"> mondial.</w:t>
      </w:r>
    </w:p>
    <w:p w14:paraId="22B7B104" w14:textId="77777777" w:rsidR="00563C0D" w:rsidRPr="005C15C0" w:rsidRDefault="00563C0D" w:rsidP="00E7494D">
      <w:pPr>
        <w:pStyle w:val="SingleTxtG"/>
        <w:keepNext/>
        <w:keepLines/>
      </w:pPr>
      <w:r w:rsidRPr="005C15C0">
        <w:lastRenderedPageBreak/>
        <w:t>7.</w:t>
      </w:r>
      <w:r w:rsidRPr="005C15C0">
        <w:tab/>
        <w:t>Le projet de programme pour le mardi</w:t>
      </w:r>
      <w:r w:rsidRPr="005C15C0">
        <w:rPr>
          <w:iCs/>
        </w:rPr>
        <w:t xml:space="preserve"> 23</w:t>
      </w:r>
      <w:r>
        <w:rPr>
          <w:iCs/>
        </w:rPr>
        <w:t> </w:t>
      </w:r>
      <w:r w:rsidRPr="005C15C0">
        <w:rPr>
          <w:iCs/>
        </w:rPr>
        <w:t>février 2021 est le suivant </w:t>
      </w:r>
      <w:r w:rsidRPr="005C15C0">
        <w:t>:</w:t>
      </w:r>
    </w:p>
    <w:p w14:paraId="7C0EA7B6" w14:textId="77777777" w:rsidR="00563C0D" w:rsidRPr="005C15C0" w:rsidRDefault="00563C0D" w:rsidP="00E7494D">
      <w:pPr>
        <w:pStyle w:val="SingleTxtG"/>
        <w:keepNext/>
        <w:keepLines/>
        <w:ind w:firstLine="567"/>
      </w:pPr>
      <w:r w:rsidRPr="005C15C0">
        <w:t>a)</w:t>
      </w:r>
      <w:r w:rsidRPr="005C15C0">
        <w:tab/>
        <w:t>Déclarations liminaires et lancement de la publication intitulée « </w:t>
      </w:r>
      <w:r w:rsidRPr="00DA1796">
        <w:t xml:space="preserve">Sustainable Transport in the Age of COVID-19 </w:t>
      </w:r>
      <w:r>
        <w:t>− </w:t>
      </w:r>
      <w:r w:rsidRPr="00DA1796">
        <w:t>Practices, Initiatives and Responses: Building pandemic-resilient transport systems</w:t>
      </w:r>
      <w:r>
        <w:t> »</w:t>
      </w:r>
      <w:r w:rsidRPr="00DA1796">
        <w:t xml:space="preserve"> </w:t>
      </w:r>
      <w:r>
        <w:t>(</w:t>
      </w:r>
      <w:r w:rsidRPr="005C15C0">
        <w:t>Transports durables à l</w:t>
      </w:r>
      <w:r>
        <w:t>’</w:t>
      </w:r>
      <w:r w:rsidRPr="005C15C0">
        <w:t>époque de la COVID-19</w:t>
      </w:r>
      <w:r>
        <w:t xml:space="preserve"> − </w:t>
      </w:r>
      <w:r w:rsidRPr="005C15C0">
        <w:t>Pratiques, initiatives et moyens d</w:t>
      </w:r>
      <w:r>
        <w:t>’</w:t>
      </w:r>
      <w:r w:rsidRPr="005C15C0">
        <w:t xml:space="preserve">action pour des systèmes de transport résilients </w:t>
      </w:r>
      <w:r>
        <w:t xml:space="preserve">face </w:t>
      </w:r>
      <w:r w:rsidRPr="005C15C0">
        <w:t>aux pandémies</w:t>
      </w:r>
      <w:r>
        <w:t>)</w:t>
      </w:r>
      <w:r w:rsidRPr="005C15C0">
        <w:t> ;</w:t>
      </w:r>
    </w:p>
    <w:p w14:paraId="5944F956" w14:textId="77777777" w:rsidR="00563C0D" w:rsidRPr="005C15C0" w:rsidRDefault="00563C0D" w:rsidP="00563C0D">
      <w:pPr>
        <w:pStyle w:val="SingleTxtG"/>
        <w:ind w:firstLine="567"/>
      </w:pPr>
      <w:r w:rsidRPr="005C15C0">
        <w:t>b)</w:t>
      </w:r>
      <w:r w:rsidRPr="005C15C0">
        <w:tab/>
        <w:t>Discours d</w:t>
      </w:r>
      <w:r>
        <w:t>’</w:t>
      </w:r>
      <w:r w:rsidRPr="005C15C0">
        <w:t>orientation sur l</w:t>
      </w:r>
      <w:r>
        <w:t>’</w:t>
      </w:r>
      <w:r w:rsidRPr="005C15C0">
        <w:t>importance qu</w:t>
      </w:r>
      <w:r>
        <w:t>’</w:t>
      </w:r>
      <w:r w:rsidRPr="005C15C0">
        <w:t xml:space="preserve">il y a à </w:t>
      </w:r>
      <w:r>
        <w:t>remédier aux problèmes de</w:t>
      </w:r>
      <w:r w:rsidRPr="00F21123">
        <w:t xml:space="preserve"> connectivité</w:t>
      </w:r>
      <w:r w:rsidRPr="005C15C0">
        <w:t xml:space="preserve"> </w:t>
      </w:r>
      <w:r>
        <w:t>que rencontre</w:t>
      </w:r>
      <w:r w:rsidRPr="005C15C0">
        <w:t xml:space="preserve"> le secteur des transports </w:t>
      </w:r>
      <w:r w:rsidRPr="00F21123">
        <w:t>dans les situations d</w:t>
      </w:r>
      <w:r>
        <w:t>’</w:t>
      </w:r>
      <w:r w:rsidRPr="00F21123">
        <w:t>urgence</w:t>
      </w:r>
      <w:r w:rsidRPr="005C15C0">
        <w:t xml:space="preserve"> et le rôle du Comité dans la recherche de solutions ;</w:t>
      </w:r>
    </w:p>
    <w:p w14:paraId="461E3AC6" w14:textId="77777777" w:rsidR="00563C0D" w:rsidRPr="005C15C0" w:rsidRDefault="00563C0D" w:rsidP="00563C0D">
      <w:pPr>
        <w:pStyle w:val="SingleTxtG"/>
        <w:ind w:firstLine="567"/>
      </w:pPr>
      <w:r w:rsidRPr="005C15C0">
        <w:t>c)</w:t>
      </w:r>
      <w:r w:rsidRPr="005C15C0">
        <w:tab/>
        <w:t>Deux tables rondes thématiques réunissant chacune cinq</w:t>
      </w:r>
      <w:r>
        <w:t xml:space="preserve"> </w:t>
      </w:r>
      <w:r w:rsidRPr="005C15C0">
        <w:t>participants au maximum</w:t>
      </w:r>
      <w:r>
        <w:t xml:space="preserve">, dont les déclarations initiales seront </w:t>
      </w:r>
      <w:r w:rsidRPr="005C15C0">
        <w:t>suivies d</w:t>
      </w:r>
      <w:r>
        <w:t>’</w:t>
      </w:r>
      <w:r w:rsidRPr="005C15C0">
        <w:t xml:space="preserve">interventions </w:t>
      </w:r>
      <w:r>
        <w:t>de membres de</w:t>
      </w:r>
      <w:r w:rsidRPr="005C15C0">
        <w:t xml:space="preserve"> l</w:t>
      </w:r>
      <w:r>
        <w:t>’</w:t>
      </w:r>
      <w:r w:rsidRPr="005C15C0">
        <w:t>assistance ;</w:t>
      </w:r>
    </w:p>
    <w:p w14:paraId="10C1924D" w14:textId="77777777" w:rsidR="00563C0D" w:rsidRPr="005C15C0" w:rsidRDefault="00563C0D" w:rsidP="00563C0D">
      <w:pPr>
        <w:pStyle w:val="SingleTxtG"/>
        <w:ind w:firstLine="567"/>
      </w:pPr>
      <w:r w:rsidRPr="005C15C0">
        <w:t>d)</w:t>
      </w:r>
      <w:r w:rsidRPr="005C15C0">
        <w:tab/>
        <w:t>L</w:t>
      </w:r>
      <w:r>
        <w:t>e</w:t>
      </w:r>
      <w:r w:rsidRPr="005C15C0">
        <w:t xml:space="preserve"> </w:t>
      </w:r>
      <w:r>
        <w:t>débat général</w:t>
      </w:r>
      <w:r w:rsidRPr="005C15C0">
        <w:t xml:space="preserve"> </w:t>
      </w:r>
      <w:r>
        <w:t>s’achèvera avec</w:t>
      </w:r>
      <w:r w:rsidRPr="005C15C0">
        <w:t xml:space="preserve"> l</w:t>
      </w:r>
      <w:r>
        <w:t>’</w:t>
      </w:r>
      <w:r w:rsidRPr="005C15C0">
        <w:t>adoption de la résolution ministérielle.</w:t>
      </w:r>
    </w:p>
    <w:p w14:paraId="6D165BAD" w14:textId="77777777" w:rsidR="00563C0D" w:rsidRPr="005C15C0" w:rsidRDefault="00563C0D" w:rsidP="00563C0D">
      <w:pPr>
        <w:pStyle w:val="H1G"/>
      </w:pPr>
      <w:r w:rsidRPr="005C15C0">
        <w:tab/>
        <w:t>A.</w:t>
      </w:r>
      <w:r w:rsidRPr="005C15C0">
        <w:tab/>
        <w:t xml:space="preserve">Ouverture du débat, lancement de la publication sur la résilience </w:t>
      </w:r>
      <w:r>
        <w:br/>
      </w:r>
      <w:r w:rsidRPr="005C15C0">
        <w:t>dans les situations d</w:t>
      </w:r>
      <w:r>
        <w:t>’</w:t>
      </w:r>
      <w:r w:rsidRPr="005C15C0">
        <w:t>urgence et discours d</w:t>
      </w:r>
      <w:r>
        <w:t>’</w:t>
      </w:r>
      <w:r w:rsidRPr="005C15C0">
        <w:t>orientation</w:t>
      </w:r>
    </w:p>
    <w:p w14:paraId="0DC7F589" w14:textId="77777777" w:rsidR="00563C0D" w:rsidRPr="005C15C0" w:rsidRDefault="00563C0D" w:rsidP="00563C0D">
      <w:pPr>
        <w:pStyle w:val="SingleTxtG"/>
      </w:pPr>
      <w:r w:rsidRPr="005C15C0">
        <w:t>8.</w:t>
      </w:r>
      <w:r w:rsidRPr="005C15C0">
        <w:tab/>
        <w:t xml:space="preserve">Les </w:t>
      </w:r>
      <w:r>
        <w:t xml:space="preserve">traditionnelles </w:t>
      </w:r>
      <w:r w:rsidRPr="005C15C0">
        <w:t>déclarations liminaires seront suivies du lancement offici</w:t>
      </w:r>
      <w:r>
        <w:t>e</w:t>
      </w:r>
      <w:r w:rsidRPr="005C15C0">
        <w:t>l d</w:t>
      </w:r>
      <w:r>
        <w:t>’</w:t>
      </w:r>
      <w:r w:rsidRPr="005C15C0">
        <w:t xml:space="preserve">une publication détaillée sur la résilience des systèmes de transport intérieur </w:t>
      </w:r>
      <w:r>
        <w:t xml:space="preserve">face </w:t>
      </w:r>
      <w:r w:rsidRPr="005C15C0">
        <w:t xml:space="preserve">aux pandémies et </w:t>
      </w:r>
      <w:r>
        <w:t>aux autres</w:t>
      </w:r>
      <w:r w:rsidRPr="005C15C0">
        <w:t xml:space="preserve"> situations d</w:t>
      </w:r>
      <w:r>
        <w:t>’</w:t>
      </w:r>
      <w:r w:rsidRPr="005C15C0">
        <w:t>urgence internationale. Un discours d</w:t>
      </w:r>
      <w:r>
        <w:t>’</w:t>
      </w:r>
      <w:r w:rsidRPr="005C15C0">
        <w:t>orientation sera ensuite prononcé sur l</w:t>
      </w:r>
      <w:r>
        <w:t>’importance</w:t>
      </w:r>
      <w:r w:rsidRPr="005C15C0">
        <w:t xml:space="preserve"> vitale </w:t>
      </w:r>
      <w:r>
        <w:t>de la recherche et de la promotion</w:t>
      </w:r>
      <w:r w:rsidRPr="005C15C0">
        <w:t xml:space="preserve"> de solutions </w:t>
      </w:r>
      <w:r>
        <w:t>qui permettront aux</w:t>
      </w:r>
      <w:r w:rsidRPr="005C15C0">
        <w:t xml:space="preserve"> systèmes de transport intérieur </w:t>
      </w:r>
      <w:r>
        <w:t xml:space="preserve">de faire face efficacement </w:t>
      </w:r>
      <w:r w:rsidRPr="005C15C0">
        <w:t>aux situations d</w:t>
      </w:r>
      <w:r>
        <w:t>’</w:t>
      </w:r>
      <w:r w:rsidRPr="005C15C0">
        <w:t>urgence et à d</w:t>
      </w:r>
      <w:r>
        <w:t>’</w:t>
      </w:r>
      <w:r w:rsidRPr="005C15C0">
        <w:t xml:space="preserve">autres types de difficultés imprévisibles, </w:t>
      </w:r>
      <w:r>
        <w:t>et notamment d’être à même d’affronter les nouveaux problèmes</w:t>
      </w:r>
      <w:r w:rsidRPr="005C15C0">
        <w:t xml:space="preserve"> qui sont susceptibles </w:t>
      </w:r>
      <w:r>
        <w:t>d’apparaître</w:t>
      </w:r>
      <w:r w:rsidRPr="005C15C0">
        <w:t xml:space="preserve"> en pareils cas. </w:t>
      </w:r>
      <w:r>
        <w:t>C</w:t>
      </w:r>
      <w:r w:rsidRPr="005C15C0">
        <w:t xml:space="preserve">e discours </w:t>
      </w:r>
      <w:r>
        <w:t>mettra aussi l’accent sur</w:t>
      </w:r>
      <w:r w:rsidRPr="005C15C0">
        <w:t xml:space="preserve"> le rôle stratégique du Comité</w:t>
      </w:r>
      <w:r>
        <w:t>, qui offre</w:t>
      </w:r>
      <w:r w:rsidRPr="005C15C0">
        <w:t xml:space="preserve"> une plateforme de coopération </w:t>
      </w:r>
      <w:r>
        <w:t>globale au sein de laquelle</w:t>
      </w:r>
      <w:r w:rsidRPr="005C15C0">
        <w:t xml:space="preserve"> </w:t>
      </w:r>
      <w:r>
        <w:t xml:space="preserve">il est possible d’élaborer </w:t>
      </w:r>
      <w:r w:rsidRPr="005C15C0">
        <w:t xml:space="preserve">des solutions concertées et </w:t>
      </w:r>
      <w:r>
        <w:t xml:space="preserve">de </w:t>
      </w:r>
      <w:r w:rsidRPr="005C15C0">
        <w:t xml:space="preserve">renforcer la collaboration internationale. Il est de plus en plus flagrant que, </w:t>
      </w:r>
      <w:r>
        <w:t>si l’on veut</w:t>
      </w:r>
      <w:r w:rsidRPr="005C15C0">
        <w:t xml:space="preserve"> garantir la réalisation des objectifs de développement durable d</w:t>
      </w:r>
      <w:r>
        <w:t>’</w:t>
      </w:r>
      <w:r w:rsidRPr="005C15C0">
        <w:t xml:space="preserve">ici à 2030, améliorer la résilience des transports </w:t>
      </w:r>
      <w:r>
        <w:t xml:space="preserve">face </w:t>
      </w:r>
      <w:r w:rsidRPr="005C15C0">
        <w:t>aux situations d</w:t>
      </w:r>
      <w:r>
        <w:t>’</w:t>
      </w:r>
      <w:r w:rsidRPr="005C15C0">
        <w:t>urgence</w:t>
      </w:r>
      <w:r w:rsidRPr="00DA0DFC">
        <w:t xml:space="preserve"> </w:t>
      </w:r>
      <w:r w:rsidRPr="005C15C0">
        <w:t xml:space="preserve">est de la toute première importance. Le CTI fait </w:t>
      </w:r>
      <w:r>
        <w:t>depuis longtemps la</w:t>
      </w:r>
      <w:r w:rsidRPr="005C15C0">
        <w:t xml:space="preserve"> preuve de </w:t>
      </w:r>
      <w:r>
        <w:t>sa capacité à apporter des changements</w:t>
      </w:r>
      <w:r w:rsidRPr="005C15C0">
        <w:t xml:space="preserve"> </w:t>
      </w:r>
      <w:r>
        <w:t xml:space="preserve">concrets </w:t>
      </w:r>
      <w:r w:rsidRPr="005C15C0">
        <w:t>et positi</w:t>
      </w:r>
      <w:r>
        <w:t>fs</w:t>
      </w:r>
      <w:r w:rsidRPr="005C15C0">
        <w:t xml:space="preserve"> </w:t>
      </w:r>
      <w:r>
        <w:t>lorsqu’il travaille</w:t>
      </w:r>
      <w:r w:rsidRPr="005C15C0">
        <w:t xml:space="preserve"> dans des conditions normales et en partenariat avec un</w:t>
      </w:r>
      <w:r>
        <w:t xml:space="preserve"> large éventail</w:t>
      </w:r>
      <w:r w:rsidRPr="005C15C0">
        <w:t xml:space="preserve"> de parties prenantes </w:t>
      </w:r>
      <w:r>
        <w:t>d</w:t>
      </w:r>
      <w:r w:rsidRPr="005C15C0">
        <w:t>es secteurs public et privé. La nouveauté est qu</w:t>
      </w:r>
      <w:r>
        <w:t>’</w:t>
      </w:r>
      <w:r w:rsidRPr="005C15C0">
        <w:t>il est urgent que les parties intéressées s</w:t>
      </w:r>
      <w:r>
        <w:t>’</w:t>
      </w:r>
      <w:r w:rsidRPr="005C15C0">
        <w:t>engagent énergiquement</w:t>
      </w:r>
      <w:r>
        <w:t>,</w:t>
      </w:r>
      <w:r w:rsidRPr="005C15C0">
        <w:t xml:space="preserve"> dans des conditions exceptionnelles</w:t>
      </w:r>
      <w:r w:rsidRPr="00306083">
        <w:t xml:space="preserve"> </w:t>
      </w:r>
      <w:r>
        <w:t>et</w:t>
      </w:r>
      <w:r w:rsidRPr="005C15C0">
        <w:t xml:space="preserve"> difficiles</w:t>
      </w:r>
      <w:r w:rsidRPr="00306083">
        <w:t xml:space="preserve"> </w:t>
      </w:r>
      <w:r>
        <w:t>comme au cours</w:t>
      </w:r>
      <w:r w:rsidRPr="005C15C0">
        <w:t xml:space="preserve"> de la pandémie de COVID-19, à renforcer les cadres de coopération applicables aux systèmes de transport intérieur existants, pour une </w:t>
      </w:r>
      <w:r>
        <w:t>reprise</w:t>
      </w:r>
      <w:r w:rsidRPr="005C15C0">
        <w:t xml:space="preserve"> et une croissance durables sur les plans microéconomique et macroéconomique</w:t>
      </w:r>
      <w:r w:rsidRPr="005C15C0">
        <w:rPr>
          <w:color w:val="000000" w:themeColor="text1"/>
        </w:rPr>
        <w:t>.</w:t>
      </w:r>
    </w:p>
    <w:p w14:paraId="4B233BA5" w14:textId="77777777" w:rsidR="00563C0D" w:rsidRPr="005C15C0" w:rsidRDefault="00563C0D" w:rsidP="00563C0D">
      <w:pPr>
        <w:pStyle w:val="H1G"/>
      </w:pPr>
      <w:r w:rsidRPr="005C15C0">
        <w:tab/>
        <w:t>B.</w:t>
      </w:r>
      <w:r w:rsidRPr="005C15C0">
        <w:tab/>
        <w:t>Tables rondes</w:t>
      </w:r>
    </w:p>
    <w:p w14:paraId="21B40F98" w14:textId="77777777" w:rsidR="00563C0D" w:rsidRPr="005C15C0" w:rsidRDefault="00563C0D" w:rsidP="00563C0D">
      <w:pPr>
        <w:pStyle w:val="SingleTxtG"/>
        <w:keepNext/>
      </w:pPr>
      <w:r w:rsidRPr="005C15C0">
        <w:t>9.</w:t>
      </w:r>
      <w:r w:rsidRPr="005C15C0">
        <w:tab/>
      </w:r>
      <w:r>
        <w:t>Deux</w:t>
      </w:r>
      <w:r w:rsidRPr="005C15C0">
        <w:t xml:space="preserve"> tables rondes de haut niveau seront ensuite proposées sur des questions de politique et de réglementation essentielles, en relation directe avec le défi </w:t>
      </w:r>
      <w:r>
        <w:t xml:space="preserve">d’une plus grande </w:t>
      </w:r>
      <w:r w:rsidRPr="005C15C0">
        <w:t xml:space="preserve">résilience et </w:t>
      </w:r>
      <w:r>
        <w:t xml:space="preserve">d’une meilleure </w:t>
      </w:r>
      <w:r w:rsidRPr="005C15C0">
        <w:t>préparation aux situations d</w:t>
      </w:r>
      <w:r>
        <w:t>’</w:t>
      </w:r>
      <w:r w:rsidRPr="005C15C0">
        <w:t>urgence dans les travaux du CTI et de ses organes subsidiaires. Les thèmes de ces tables rondes sont les suivants :</w:t>
      </w:r>
    </w:p>
    <w:p w14:paraId="13C70E37" w14:textId="77777777" w:rsidR="00563C0D" w:rsidRPr="005C15C0" w:rsidRDefault="00563C0D" w:rsidP="00563C0D">
      <w:pPr>
        <w:pStyle w:val="SingleTxtG"/>
        <w:ind w:firstLine="567"/>
      </w:pPr>
      <w:r w:rsidRPr="005C15C0">
        <w:t>a)</w:t>
      </w:r>
      <w:r w:rsidRPr="005C15C0">
        <w:tab/>
        <w:t xml:space="preserve">Tirer parti des solutions existantes en matière de connectivité des transports internationaux pour faciliter la croissance et le développement économiques : quelle place pour </w:t>
      </w:r>
      <w:r>
        <w:t>un renforcement des accords internationaux </w:t>
      </w:r>
      <w:r w:rsidRPr="005C15C0">
        <w:t>?</w:t>
      </w:r>
    </w:p>
    <w:p w14:paraId="56791F35" w14:textId="77777777" w:rsidR="00563C0D" w:rsidRPr="005C15C0" w:rsidRDefault="00563C0D" w:rsidP="00563C0D">
      <w:pPr>
        <w:pStyle w:val="SingleTxtG"/>
        <w:ind w:firstLine="567"/>
      </w:pPr>
      <w:r w:rsidRPr="005C15C0">
        <w:t>b)</w:t>
      </w:r>
      <w:r w:rsidRPr="005C15C0">
        <w:tab/>
        <w:t xml:space="preserve">Premier ou dernier maillon de </w:t>
      </w:r>
      <w:r>
        <w:t>l’action face</w:t>
      </w:r>
      <w:r w:rsidRPr="005C15C0">
        <w:t xml:space="preserve"> aux situations d</w:t>
      </w:r>
      <w:r>
        <w:t>’</w:t>
      </w:r>
      <w:r w:rsidRPr="005C15C0">
        <w:t>urgence mondiales ? Les conventions internationales relatives aux transports, catalyseurs</w:t>
      </w:r>
      <w:r>
        <w:t xml:space="preserve"> de la concertation pour l’élaboration de mesures </w:t>
      </w:r>
      <w:r w:rsidRPr="005C15C0">
        <w:t>nationale</w:t>
      </w:r>
      <w:r>
        <w:t>s </w:t>
      </w:r>
      <w:r w:rsidRPr="005C15C0">
        <w:t>?</w:t>
      </w:r>
    </w:p>
    <w:p w14:paraId="7FAF1C2D" w14:textId="77777777" w:rsidR="00563C0D" w:rsidRPr="005C15C0" w:rsidRDefault="00563C0D" w:rsidP="00563C0D">
      <w:pPr>
        <w:pStyle w:val="SingleTxtG"/>
      </w:pPr>
      <w:r w:rsidRPr="005C15C0">
        <w:t>10.</w:t>
      </w:r>
      <w:r w:rsidRPr="005C15C0">
        <w:tab/>
        <w:t>Chaque table ronde accueillera au plus cinq</w:t>
      </w:r>
      <w:r>
        <w:t xml:space="preserve"> </w:t>
      </w:r>
      <w:r w:rsidRPr="005C15C0">
        <w:t>participants de haut niveau.</w:t>
      </w:r>
    </w:p>
    <w:p w14:paraId="7BD8E813" w14:textId="77777777" w:rsidR="00563C0D" w:rsidRPr="005C15C0" w:rsidRDefault="00563C0D" w:rsidP="00563C0D">
      <w:pPr>
        <w:pStyle w:val="SingleTxtG"/>
      </w:pPr>
      <w:r w:rsidRPr="005C15C0">
        <w:t>11.</w:t>
      </w:r>
      <w:r w:rsidRPr="005C15C0">
        <w:tab/>
        <w:t xml:space="preserve">Le débat sera conduit par un animateur durant </w:t>
      </w:r>
      <w:r w:rsidR="00E7494D">
        <w:t xml:space="preserve">quarante </w:t>
      </w:r>
      <w:r w:rsidRPr="005C15C0">
        <w:t>minutes environ et débutera par de brèves déclarations des participants (5 minutes). Ces déclarations seront suivies d</w:t>
      </w:r>
      <w:r>
        <w:t>’</w:t>
      </w:r>
      <w:r w:rsidRPr="005C15C0">
        <w:t>interventions de haut niveau de membres de l</w:t>
      </w:r>
      <w:r>
        <w:t>’</w:t>
      </w:r>
      <w:r w:rsidRPr="005C15C0">
        <w:t>assistance (3 minutes au maximum par intervention). Les déclarations et les interventions seront suivies d</w:t>
      </w:r>
      <w:r>
        <w:t>’</w:t>
      </w:r>
      <w:r w:rsidRPr="005C15C0">
        <w:t>échanges ouverts à tous.</w:t>
      </w:r>
    </w:p>
    <w:p w14:paraId="4B4C1950" w14:textId="77777777" w:rsidR="00563C0D" w:rsidRPr="005C15C0" w:rsidRDefault="00563C0D" w:rsidP="00563C0D">
      <w:pPr>
        <w:pStyle w:val="H23G"/>
      </w:pPr>
      <w:r w:rsidRPr="005C15C0">
        <w:lastRenderedPageBreak/>
        <w:tab/>
        <w:t>1.</w:t>
      </w:r>
      <w:r w:rsidRPr="005C15C0">
        <w:tab/>
        <w:t xml:space="preserve">Table ronde I : Tirer parti des solutions existantes en matière de connectivité </w:t>
      </w:r>
      <w:r>
        <w:br/>
      </w:r>
      <w:r w:rsidRPr="005C15C0">
        <w:t xml:space="preserve">des transports internationaux pour faciliter la croissance et le développement économiques : quelle place pour </w:t>
      </w:r>
      <w:r w:rsidRPr="00581277">
        <w:t xml:space="preserve">un renforcement </w:t>
      </w:r>
      <w:r>
        <w:t>des accords internationaux </w:t>
      </w:r>
      <w:r w:rsidRPr="005C15C0">
        <w:t>?</w:t>
      </w:r>
    </w:p>
    <w:p w14:paraId="4173E801" w14:textId="77777777" w:rsidR="00563C0D" w:rsidRPr="005C15C0" w:rsidRDefault="00563C0D" w:rsidP="00563C0D">
      <w:pPr>
        <w:pStyle w:val="SingleTxtG"/>
        <w:keepNext/>
      </w:pPr>
      <w:r w:rsidRPr="005C15C0">
        <w:t>12.</w:t>
      </w:r>
      <w:r w:rsidRPr="005C15C0">
        <w:tab/>
        <w:t>On trouvera ci-dessous quelques éléments issus du Rapport sur les objectifs de développement durable 2020 qui donnent à réfléchir :</w:t>
      </w:r>
    </w:p>
    <w:p w14:paraId="16985551" w14:textId="77777777" w:rsidR="00563C0D" w:rsidRPr="005C15C0" w:rsidRDefault="00563C0D" w:rsidP="00563C0D">
      <w:pPr>
        <w:pStyle w:val="Bullet1G"/>
      </w:pPr>
      <w:r w:rsidRPr="005C15C0">
        <w:t xml:space="preserve">En 2020, le monde a connu </w:t>
      </w:r>
      <w:r>
        <w:t>la première hausse</w:t>
      </w:r>
      <w:r w:rsidRPr="005C15C0">
        <w:t xml:space="preserve"> de la pauvreté mondiale</w:t>
      </w:r>
      <w:r>
        <w:t xml:space="preserve"> depuis des décennies,</w:t>
      </w:r>
      <w:r w:rsidRPr="005C15C0">
        <w:t xml:space="preserve"> plus de 70 millions de personnes </w:t>
      </w:r>
      <w:r>
        <w:t>ayant basculé dans</w:t>
      </w:r>
      <w:r w:rsidRPr="005C15C0">
        <w:t xml:space="preserve"> l</w:t>
      </w:r>
      <w:r>
        <w:t>’</w:t>
      </w:r>
      <w:r w:rsidRPr="005C15C0">
        <w:t>extrême pauvreté</w:t>
      </w:r>
      <w:r>
        <w:t> ;</w:t>
      </w:r>
    </w:p>
    <w:p w14:paraId="6D0DCDEE" w14:textId="77777777" w:rsidR="00563C0D" w:rsidRPr="005C15C0" w:rsidRDefault="00563C0D" w:rsidP="00563C0D">
      <w:pPr>
        <w:pStyle w:val="Bullet1G"/>
      </w:pPr>
      <w:r w:rsidRPr="005C15C0">
        <w:t xml:space="preserve">La pandémie </w:t>
      </w:r>
      <w:r>
        <w:t>est</w:t>
      </w:r>
      <w:r w:rsidRPr="005C15C0">
        <w:t xml:space="preserve"> une menace de plus pour les systèmes alimentaires et la sécurité alimentaire ;</w:t>
      </w:r>
    </w:p>
    <w:p w14:paraId="45A20491" w14:textId="77777777" w:rsidR="00563C0D" w:rsidRPr="005C15C0" w:rsidRDefault="00563C0D" w:rsidP="00563C0D">
      <w:pPr>
        <w:pStyle w:val="Bullet1G"/>
      </w:pPr>
      <w:r w:rsidRPr="005C15C0">
        <w:t>La pandémie a interrompu des programmes de vaccination d</w:t>
      </w:r>
      <w:r>
        <w:t>’</w:t>
      </w:r>
      <w:r w:rsidRPr="005C15C0">
        <w:t>enfants dans près de 70 pays ;</w:t>
      </w:r>
    </w:p>
    <w:p w14:paraId="73961819" w14:textId="77777777" w:rsidR="00563C0D" w:rsidRPr="005C15C0" w:rsidRDefault="00563C0D" w:rsidP="00563C0D">
      <w:pPr>
        <w:pStyle w:val="Bullet1G"/>
      </w:pPr>
      <w:r>
        <w:t>L</w:t>
      </w:r>
      <w:r w:rsidRPr="005C15C0">
        <w:t>es fermetures d</w:t>
      </w:r>
      <w:r>
        <w:t>’</w:t>
      </w:r>
      <w:r w:rsidRPr="005C15C0">
        <w:t>établissements scolaires</w:t>
      </w:r>
      <w:r>
        <w:t xml:space="preserve"> ont empêché</w:t>
      </w:r>
      <w:r w:rsidRPr="005C15C0">
        <w:t xml:space="preserve"> 90 % des élèves </w:t>
      </w:r>
      <w:r>
        <w:t>d’</w:t>
      </w:r>
      <w:r w:rsidRPr="005C15C0">
        <w:t>aller à l</w:t>
      </w:r>
      <w:r>
        <w:t>’</w:t>
      </w:r>
      <w:r w:rsidRPr="005C15C0">
        <w:t xml:space="preserve">école, ce qui a défait des années de progrès </w:t>
      </w:r>
      <w:r>
        <w:t>en matière d’</w:t>
      </w:r>
      <w:r w:rsidRPr="005C15C0">
        <w:t>éducation ;</w:t>
      </w:r>
    </w:p>
    <w:p w14:paraId="602766B9" w14:textId="77777777" w:rsidR="00563C0D" w:rsidRPr="005C15C0" w:rsidRDefault="00563C0D" w:rsidP="00563C0D">
      <w:pPr>
        <w:pStyle w:val="Bullet1G"/>
      </w:pPr>
      <w:r>
        <w:t>L’apprentissage à distance reste hors de portée pour au moins</w:t>
      </w:r>
      <w:r w:rsidRPr="005C15C0">
        <w:t xml:space="preserve"> 500 millions d</w:t>
      </w:r>
      <w:r>
        <w:t>’élèves</w:t>
      </w:r>
      <w:r w:rsidRPr="005C15C0">
        <w:t> ;</w:t>
      </w:r>
    </w:p>
    <w:p w14:paraId="629CB9EC" w14:textId="77777777" w:rsidR="00563C0D" w:rsidRPr="005C15C0" w:rsidRDefault="00563C0D" w:rsidP="00563C0D">
      <w:pPr>
        <w:pStyle w:val="Bullet1G"/>
      </w:pPr>
      <w:r w:rsidRPr="005C15C0">
        <w:t>Le</w:t>
      </w:r>
      <w:r>
        <w:t xml:space="preserve"> secteur du</w:t>
      </w:r>
      <w:r w:rsidRPr="005C15C0">
        <w:t xml:space="preserve"> tourisme connaît des difficultés sans précédent</w:t>
      </w:r>
      <w:r>
        <w:t> : on estime que</w:t>
      </w:r>
      <w:r w:rsidRPr="005C15C0">
        <w:t xml:space="preserve"> la baisse d</w:t>
      </w:r>
      <w:r>
        <w:t>u nombre d’</w:t>
      </w:r>
      <w:r w:rsidRPr="005C15C0">
        <w:t>arrivées de touristes internationaux</w:t>
      </w:r>
      <w:r w:rsidRPr="0021104C">
        <w:t xml:space="preserve"> </w:t>
      </w:r>
      <w:r>
        <w:t xml:space="preserve">est comprise </w:t>
      </w:r>
      <w:r w:rsidRPr="005C15C0">
        <w:t xml:space="preserve">entre 0,85 </w:t>
      </w:r>
      <w:r>
        <w:t>et</w:t>
      </w:r>
      <w:r w:rsidRPr="005C15C0">
        <w:t xml:space="preserve"> 1,1 milliard.</w:t>
      </w:r>
    </w:p>
    <w:p w14:paraId="31957019" w14:textId="77777777" w:rsidR="00563C0D" w:rsidRPr="005C15C0" w:rsidRDefault="00563C0D" w:rsidP="00563C0D">
      <w:pPr>
        <w:pStyle w:val="SingleTxtG"/>
      </w:pPr>
      <w:r w:rsidRPr="005C15C0">
        <w:t>13.</w:t>
      </w:r>
      <w:r w:rsidRPr="005C15C0">
        <w:tab/>
      </w:r>
      <w:r>
        <w:t>Alors que le monde s’emploie avant tout à</w:t>
      </w:r>
      <w:r w:rsidRPr="005C15C0">
        <w:t xml:space="preserve"> </w:t>
      </w:r>
      <w:r>
        <w:t>se remettre au plus</w:t>
      </w:r>
      <w:r w:rsidRPr="005C15C0">
        <w:t xml:space="preserve"> </w:t>
      </w:r>
      <w:r>
        <w:t>vite des</w:t>
      </w:r>
      <w:r w:rsidRPr="005C15C0">
        <w:t xml:space="preserve"> effets </w:t>
      </w:r>
      <w:r>
        <w:t xml:space="preserve">économiques, sociaux et sanitaires </w:t>
      </w:r>
      <w:r w:rsidRPr="005C15C0">
        <w:t xml:space="preserve">de la pandémie, il </w:t>
      </w:r>
      <w:r>
        <w:t>ne saurait être plus crucial de</w:t>
      </w:r>
      <w:r w:rsidRPr="005C15C0">
        <w:t xml:space="preserve"> rétablir l</w:t>
      </w:r>
      <w:r>
        <w:t>’</w:t>
      </w:r>
      <w:r w:rsidRPr="005C15C0">
        <w:t xml:space="preserve">interconnectivité, autant </w:t>
      </w:r>
      <w:r>
        <w:t>comme</w:t>
      </w:r>
      <w:r w:rsidRPr="005C15C0">
        <w:t xml:space="preserve"> moyen d</w:t>
      </w:r>
      <w:r>
        <w:t>’</w:t>
      </w:r>
      <w:r w:rsidRPr="005C15C0">
        <w:t xml:space="preserve">appuyer les efforts </w:t>
      </w:r>
      <w:r>
        <w:t>menés de toutes parts</w:t>
      </w:r>
      <w:r w:rsidRPr="00A076A6">
        <w:t xml:space="preserve"> </w:t>
      </w:r>
      <w:r w:rsidRPr="005C15C0">
        <w:t>que</w:t>
      </w:r>
      <w:r w:rsidRPr="00A076A6">
        <w:t xml:space="preserve"> </w:t>
      </w:r>
      <w:r>
        <w:t>comme</w:t>
      </w:r>
      <w:r w:rsidRPr="005C15C0">
        <w:t xml:space="preserve"> fin</w:t>
      </w:r>
      <w:r>
        <w:t xml:space="preserve"> en soi</w:t>
      </w:r>
      <w:r w:rsidRPr="005C15C0">
        <w:t>. Les premières mesures prises à l</w:t>
      </w:r>
      <w:r>
        <w:t>’</w:t>
      </w:r>
      <w:r w:rsidRPr="005C15C0">
        <w:t xml:space="preserve">échelle nationale pour lutter contre la pandémie de COVID-19 ont limité la connectivité et les flux nationaux et internationaux de marchandises et de </w:t>
      </w:r>
      <w:r>
        <w:t>passagers</w:t>
      </w:r>
      <w:r w:rsidRPr="005C15C0">
        <w:t xml:space="preserve">. </w:t>
      </w:r>
      <w:r>
        <w:t>Mais indépendamment de</w:t>
      </w:r>
      <w:r w:rsidRPr="005C15C0">
        <w:t xml:space="preserve"> ces mesures, il est fort probable qu</w:t>
      </w:r>
      <w:r>
        <w:t>’</w:t>
      </w:r>
      <w:r w:rsidRPr="005C15C0">
        <w:t>à la suite de la pandémie, et pour les années à venir, la capacité à participer sans entraves aux chaînes de valeur mondiales et régionales devienne de plus en plus l</w:t>
      </w:r>
      <w:r>
        <w:t>’</w:t>
      </w:r>
      <w:r w:rsidRPr="005C15C0">
        <w:t>un des principaux déterminants du développement et de la croissance économiques. Le retour au précédent équilibre entre interconnexion physique et virtuelle ne sera peut-être pas automatique ni même linéaire</w:t>
      </w:r>
      <w:r>
        <w:t>,</w:t>
      </w:r>
      <w:r w:rsidRPr="005C15C0">
        <w:t xml:space="preserve"> mais il est capital de rétablir la connectivité</w:t>
      </w:r>
      <w:r>
        <w:t>,</w:t>
      </w:r>
      <w:r w:rsidRPr="005C15C0">
        <w:t xml:space="preserve"> </w:t>
      </w:r>
      <w:r>
        <w:t>car elle conditionne</w:t>
      </w:r>
      <w:r w:rsidRPr="005C15C0">
        <w:t xml:space="preserve"> la capacité collective </w:t>
      </w:r>
      <w:r>
        <w:t>qu’a</w:t>
      </w:r>
      <w:r w:rsidRPr="005C15C0">
        <w:t xml:space="preserve"> la communauté internationale de rationaliser et de normaliser les dynamiques et les tendances en matière d</w:t>
      </w:r>
      <w:r>
        <w:t>’</w:t>
      </w:r>
      <w:r w:rsidRPr="005C15C0">
        <w:t>investissement, de production, de distribution et de consommation.</w:t>
      </w:r>
    </w:p>
    <w:p w14:paraId="4CFA2EFF" w14:textId="77777777" w:rsidR="00563C0D" w:rsidRPr="005C15C0" w:rsidRDefault="00563C0D" w:rsidP="00563C0D">
      <w:pPr>
        <w:pStyle w:val="SingleTxtG"/>
      </w:pPr>
      <w:r w:rsidRPr="005C15C0">
        <w:t>14.</w:t>
      </w:r>
      <w:r w:rsidRPr="005C15C0">
        <w:tab/>
        <w:t>Compte tenu de ce qui précède, la première table ronde du débat général de haut niveau sera axée sur les moyens de tirer parti des solutions existantes en matière de connectivité des transports internationaux pour faciliter la croissance et le développement économiques. À plus long terme, l</w:t>
      </w:r>
      <w:r>
        <w:t>’</w:t>
      </w:r>
      <w:r w:rsidRPr="005C15C0">
        <w:t xml:space="preserve">interconnexion physique et virtuelle sera </w:t>
      </w:r>
      <w:r>
        <w:t>essentielle</w:t>
      </w:r>
      <w:r w:rsidRPr="005C15C0">
        <w:t xml:space="preserve"> pour </w:t>
      </w:r>
      <w:r>
        <w:t>assurer</w:t>
      </w:r>
      <w:r w:rsidRPr="005C15C0">
        <w:t xml:space="preserve"> l</w:t>
      </w:r>
      <w:r>
        <w:t>’</w:t>
      </w:r>
      <w:r w:rsidRPr="005C15C0">
        <w:t xml:space="preserve">accès à la mobilité </w:t>
      </w:r>
      <w:r>
        <w:t>tant pour les</w:t>
      </w:r>
      <w:r w:rsidRPr="005C15C0">
        <w:t xml:space="preserve"> </w:t>
      </w:r>
      <w:r>
        <w:t>passagers</w:t>
      </w:r>
      <w:r w:rsidRPr="005C15C0">
        <w:t xml:space="preserve"> </w:t>
      </w:r>
      <w:r>
        <w:t>que pour les</w:t>
      </w:r>
      <w:r w:rsidRPr="005C15C0">
        <w:t xml:space="preserve"> marchandises</w:t>
      </w:r>
      <w:r>
        <w:t>. Ce constat s’applique</w:t>
      </w:r>
      <w:r w:rsidRPr="005C15C0">
        <w:t xml:space="preserve"> aussi bien </w:t>
      </w:r>
      <w:r>
        <w:t xml:space="preserve">à </w:t>
      </w:r>
      <w:r w:rsidRPr="005C15C0">
        <w:t>l</w:t>
      </w:r>
      <w:r>
        <w:t>’</w:t>
      </w:r>
      <w:r w:rsidRPr="005C15C0">
        <w:t xml:space="preserve">infrastructure </w:t>
      </w:r>
      <w:r>
        <w:t>qu’aux</w:t>
      </w:r>
      <w:r w:rsidRPr="005C15C0">
        <w:t xml:space="preserve"> services liés aux transports à l</w:t>
      </w:r>
      <w:r>
        <w:t>’</w:t>
      </w:r>
      <w:r w:rsidRPr="005C15C0">
        <w:t xml:space="preserve">intérieur des frontières nationales et </w:t>
      </w:r>
      <w:r>
        <w:t>dans</w:t>
      </w:r>
      <w:r w:rsidRPr="005C15C0">
        <w:t xml:space="preserve"> des conditions améliorées de franchissement des frontières entre pays limitrophes et entre pays situés le long </w:t>
      </w:r>
      <w:r>
        <w:t>d’un</w:t>
      </w:r>
      <w:r w:rsidRPr="005C15C0">
        <w:t xml:space="preserve"> couloir de transport. </w:t>
      </w:r>
      <w:r>
        <w:t>C</w:t>
      </w:r>
      <w:r w:rsidRPr="005C15C0">
        <w:t xml:space="preserve">omment </w:t>
      </w:r>
      <w:r>
        <w:t>pourra-t-on</w:t>
      </w:r>
      <w:r w:rsidRPr="005C15C0">
        <w:t xml:space="preserve"> parvenir à une connectivité résiliente dans les situations d</w:t>
      </w:r>
      <w:r>
        <w:t>’</w:t>
      </w:r>
      <w:r w:rsidRPr="005C15C0">
        <w:t>urgence</w:t>
      </w:r>
      <w:r>
        <w:t> ? Et quelle est la</w:t>
      </w:r>
      <w:r w:rsidRPr="005C15C0">
        <w:t xml:space="preserve"> marge de manœuvre pour </w:t>
      </w:r>
      <w:r>
        <w:t>un renforcement</w:t>
      </w:r>
      <w:r w:rsidRPr="005C15C0">
        <w:t xml:space="preserve"> </w:t>
      </w:r>
      <w:r>
        <w:t>d</w:t>
      </w:r>
      <w:r w:rsidRPr="005C15C0">
        <w:t>es accords internationaux</w:t>
      </w:r>
      <w:r>
        <w:t> ?</w:t>
      </w:r>
      <w:r w:rsidRPr="005C15C0">
        <w:t xml:space="preserve"> Pour </w:t>
      </w:r>
      <w:r>
        <w:t>répondre à ces questions</w:t>
      </w:r>
      <w:r w:rsidRPr="005C15C0">
        <w:t>, deux perspectives revêtent une importance cruciale.</w:t>
      </w:r>
    </w:p>
    <w:p w14:paraId="34E9C427" w14:textId="77777777" w:rsidR="00563C0D" w:rsidRPr="005C15C0" w:rsidRDefault="00563C0D" w:rsidP="00563C0D">
      <w:pPr>
        <w:pStyle w:val="SingleTxtG"/>
      </w:pPr>
      <w:r w:rsidRPr="005C15C0">
        <w:t>15.</w:t>
      </w:r>
      <w:r w:rsidRPr="005C15C0">
        <w:tab/>
        <w:t xml:space="preserve">Premièrement, </w:t>
      </w:r>
      <w:r>
        <w:t>si l’on compare les résultats</w:t>
      </w:r>
      <w:r w:rsidRPr="005C15C0">
        <w:t xml:space="preserve"> </w:t>
      </w:r>
      <w:r>
        <w:t>obtenus</w:t>
      </w:r>
      <w:r w:rsidRPr="005C15C0">
        <w:t xml:space="preserve"> </w:t>
      </w:r>
      <w:r>
        <w:t>par</w:t>
      </w:r>
      <w:r w:rsidRPr="005C15C0">
        <w:t xml:space="preserve"> différentes régions du monde, </w:t>
      </w:r>
      <w:r>
        <w:t>dans quelle mesure</w:t>
      </w:r>
      <w:r w:rsidRPr="005C15C0">
        <w:t xml:space="preserve"> les instruments juridiques relatifs à la facilitation du franchissement des frontières permettent</w:t>
      </w:r>
      <w:r>
        <w:t>-ils</w:t>
      </w:r>
      <w:r w:rsidRPr="005C15C0">
        <w:t xml:space="preserve"> de gérer les situations d</w:t>
      </w:r>
      <w:r>
        <w:t>’</w:t>
      </w:r>
      <w:r w:rsidRPr="005C15C0">
        <w:t>urgence</w:t>
      </w:r>
      <w:r>
        <w:t> ?</w:t>
      </w:r>
      <w:r w:rsidRPr="005C15C0">
        <w:t xml:space="preserve"> Quel</w:t>
      </w:r>
      <w:r>
        <w:t>le</w:t>
      </w:r>
      <w:r w:rsidRPr="005C15C0">
        <w:t xml:space="preserve">s </w:t>
      </w:r>
      <w:r>
        <w:t>leçons</w:t>
      </w:r>
      <w:r w:rsidRPr="005C15C0">
        <w:t xml:space="preserve"> </w:t>
      </w:r>
      <w:r>
        <w:t>sur</w:t>
      </w:r>
      <w:r w:rsidRPr="005C15C0">
        <w:t xml:space="preserve"> la coordination des mesures et </w:t>
      </w:r>
      <w:r>
        <w:t>la réduction d</w:t>
      </w:r>
      <w:r w:rsidRPr="005C15C0">
        <w:t xml:space="preserve">es </w:t>
      </w:r>
      <w:r>
        <w:t>incidences</w:t>
      </w:r>
      <w:r w:rsidRPr="005C15C0">
        <w:t xml:space="preserve"> néfastes</w:t>
      </w:r>
      <w:r>
        <w:t xml:space="preserve"> de ces situations</w:t>
      </w:r>
      <w:r w:rsidRPr="005C15C0">
        <w:t xml:space="preserve"> sur l</w:t>
      </w:r>
      <w:r>
        <w:t>’</w:t>
      </w:r>
      <w:r w:rsidRPr="005C15C0">
        <w:t>économie peut</w:t>
      </w:r>
      <w:r>
        <w:noBreakHyphen/>
      </w:r>
      <w:r w:rsidRPr="005C15C0">
        <w:t xml:space="preserve">on tirer </w:t>
      </w:r>
      <w:r>
        <w:t>des</w:t>
      </w:r>
      <w:r w:rsidRPr="005C15C0">
        <w:t xml:space="preserve"> régions </w:t>
      </w:r>
      <w:r>
        <w:t>où</w:t>
      </w:r>
      <w:r w:rsidRPr="005C15C0">
        <w:t xml:space="preserve"> ces instruments</w:t>
      </w:r>
      <w:r>
        <w:t xml:space="preserve"> ont été mis en œuvre avec davantage de succès et produisent des effets bénéfiques ? </w:t>
      </w:r>
      <w:r w:rsidRPr="005C15C0">
        <w:t xml:space="preserve">Comment ces enseignements peuvent-ils </w:t>
      </w:r>
      <w:r>
        <w:t>être</w:t>
      </w:r>
      <w:r w:rsidRPr="005C15C0">
        <w:t xml:space="preserve"> utiles </w:t>
      </w:r>
      <w:r>
        <w:t xml:space="preserve">aux </w:t>
      </w:r>
      <w:r w:rsidRPr="005C15C0">
        <w:t xml:space="preserve">autres régions ? </w:t>
      </w:r>
      <w:r>
        <w:t>Comprendre comment les différentes</w:t>
      </w:r>
      <w:r w:rsidRPr="005C15C0">
        <w:t xml:space="preserve"> régions </w:t>
      </w:r>
      <w:r>
        <w:t>perçoivent</w:t>
      </w:r>
      <w:r w:rsidRPr="005C15C0">
        <w:t xml:space="preserve"> les réussites et les échecs</w:t>
      </w:r>
      <w:r>
        <w:t>,</w:t>
      </w:r>
      <w:r w:rsidRPr="005C15C0">
        <w:t xml:space="preserve"> les difficultés et les possibilités</w:t>
      </w:r>
      <w:r>
        <w:t>,</w:t>
      </w:r>
      <w:r w:rsidRPr="005C15C0">
        <w:t xml:space="preserve"> ser</w:t>
      </w:r>
      <w:r>
        <w:t>a</w:t>
      </w:r>
      <w:r w:rsidRPr="005C15C0">
        <w:t xml:space="preserve"> d</w:t>
      </w:r>
      <w:r>
        <w:t>’</w:t>
      </w:r>
      <w:r w:rsidRPr="005C15C0">
        <w:t>une aide capitale pour permettre à l</w:t>
      </w:r>
      <w:r>
        <w:t>’</w:t>
      </w:r>
      <w:r w:rsidRPr="005C15C0">
        <w:t xml:space="preserve">ensemble des parties prenantes de </w:t>
      </w:r>
      <w:r>
        <w:t>déterminer</w:t>
      </w:r>
      <w:r w:rsidRPr="005C15C0">
        <w:t xml:space="preserve"> </w:t>
      </w:r>
      <w:r>
        <w:t xml:space="preserve">ce qui </w:t>
      </w:r>
      <w:r w:rsidRPr="005C15C0">
        <w:t>fonctionne le mieux et de planifier la marche à suivre.</w:t>
      </w:r>
    </w:p>
    <w:p w14:paraId="0716EC01" w14:textId="77777777" w:rsidR="00563C0D" w:rsidRPr="005C15C0" w:rsidRDefault="00563C0D" w:rsidP="00563C0D">
      <w:pPr>
        <w:pStyle w:val="SingleTxtG"/>
        <w:keepLines/>
      </w:pPr>
      <w:r w:rsidRPr="005C15C0">
        <w:lastRenderedPageBreak/>
        <w:t>16.</w:t>
      </w:r>
      <w:r w:rsidRPr="005C15C0">
        <w:tab/>
        <w:t xml:space="preserve">Deuxièmement, sur le plan fonctionnel, dans quelle mesure le potentiel de toutes les conventions </w:t>
      </w:r>
      <w:r>
        <w:t>applicables</w:t>
      </w:r>
      <w:r w:rsidRPr="005C15C0">
        <w:t xml:space="preserve"> est</w:t>
      </w:r>
      <w:r>
        <w:t>-il</w:t>
      </w:r>
      <w:r w:rsidRPr="005C15C0">
        <w:t xml:space="preserve"> pleinement réalisé</w:t>
      </w:r>
      <w:r>
        <w:t> ?</w:t>
      </w:r>
      <w:r w:rsidRPr="005C15C0">
        <w:t xml:space="preserve"> Lesquels de ces instruments </w:t>
      </w:r>
      <w:r>
        <w:t>pourraient</w:t>
      </w:r>
      <w:r w:rsidRPr="005C15C0">
        <w:t xml:space="preserve"> être </w:t>
      </w:r>
      <w:r w:rsidRPr="000C10D4">
        <w:t>passés à l</w:t>
      </w:r>
      <w:r>
        <w:t>’</w:t>
      </w:r>
      <w:r w:rsidRPr="000C10D4">
        <w:t>échelle supérieure</w:t>
      </w:r>
      <w:r w:rsidRPr="005C15C0">
        <w:t xml:space="preserve">, modernisés et éventuellement adaptés afin </w:t>
      </w:r>
      <w:r>
        <w:t>qu’ils soutiennent mieux</w:t>
      </w:r>
      <w:r w:rsidRPr="005C15C0">
        <w:t xml:space="preserve"> les chaînes d</w:t>
      </w:r>
      <w:r>
        <w:t>’</w:t>
      </w:r>
      <w:r w:rsidRPr="005C15C0">
        <w:t xml:space="preserve">approvisionnement et les flux commerciaux nationaux et internationaux, même </w:t>
      </w:r>
      <w:r>
        <w:t>sous la</w:t>
      </w:r>
      <w:r w:rsidRPr="005C15C0">
        <w:t xml:space="preserve"> pression </w:t>
      </w:r>
      <w:r>
        <w:t>d’</w:t>
      </w:r>
      <w:r w:rsidRPr="005C15C0">
        <w:t>une situation d</w:t>
      </w:r>
      <w:r>
        <w:t>’</w:t>
      </w:r>
      <w:r w:rsidRPr="005C15C0">
        <w:t>urgence, ce qui permettrait de réduire le degré d</w:t>
      </w:r>
      <w:r>
        <w:t>’</w:t>
      </w:r>
      <w:r w:rsidRPr="005C15C0">
        <w:t>imprévisibilité et la probabilité de répercussions imprévues sur l</w:t>
      </w:r>
      <w:r>
        <w:t>’</w:t>
      </w:r>
      <w:r w:rsidRPr="005C15C0">
        <w:t xml:space="preserve">activité économique </w:t>
      </w:r>
      <w:r>
        <w:t xml:space="preserve">imputables à </w:t>
      </w:r>
      <w:r w:rsidRPr="005C15C0">
        <w:t>une absence de coordination des mesures nationales ? A-t-on besoin de nouveaux instruments ? Quels sont les avantages et les risques liés à l</w:t>
      </w:r>
      <w:r>
        <w:t>’</w:t>
      </w:r>
      <w:r w:rsidRPr="005C15C0">
        <w:t>établissement et l</w:t>
      </w:r>
      <w:r>
        <w:t>’</w:t>
      </w:r>
      <w:r w:rsidRPr="005C15C0">
        <w:t>application d</w:t>
      </w:r>
      <w:r>
        <w:t>’</w:t>
      </w:r>
      <w:r w:rsidRPr="005C15C0">
        <w:t xml:space="preserve">autres instruments et accords régionaux qui ne relèvent pas de la compétence du Comité ? Ces instruments et accords </w:t>
      </w:r>
      <w:r>
        <w:t>seraient</w:t>
      </w:r>
      <w:r w:rsidRPr="005C15C0">
        <w:t xml:space="preserve">-ils mieux </w:t>
      </w:r>
      <w:r>
        <w:t>adaptés</w:t>
      </w:r>
      <w:r w:rsidRPr="005C15C0">
        <w:t xml:space="preserve"> aux caractéristiques régionales ou </w:t>
      </w:r>
      <w:r>
        <w:t>entraîneraient</w:t>
      </w:r>
      <w:r w:rsidRPr="005C15C0">
        <w:t>-ils une plus grande fragmentation</w:t>
      </w:r>
      <w:r>
        <w:t xml:space="preserve"> et un </w:t>
      </w:r>
      <w:r w:rsidRPr="005C15C0">
        <w:t>risque de double emploi ? Quel</w:t>
      </w:r>
      <w:r>
        <w:t>le est</w:t>
      </w:r>
      <w:r w:rsidRPr="005C15C0">
        <w:t xml:space="preserve"> </w:t>
      </w:r>
      <w:r>
        <w:t>la meilleure stratégie à adopter</w:t>
      </w:r>
      <w:r w:rsidRPr="005C15C0">
        <w:t xml:space="preserve"> lorsque l</w:t>
      </w:r>
      <w:r>
        <w:t>’</w:t>
      </w:r>
      <w:r w:rsidRPr="005C15C0">
        <w:t xml:space="preserve">efficacité </w:t>
      </w:r>
      <w:r>
        <w:t>détermine</w:t>
      </w:r>
      <w:r w:rsidRPr="005C15C0">
        <w:t xml:space="preserve"> plus que jamais le classement des pays en termes de compétitivité mondiale, ainsi que les possibilités à long terme d</w:t>
      </w:r>
      <w:r>
        <w:t>’</w:t>
      </w:r>
      <w:r w:rsidRPr="005C15C0">
        <w:t>emploi et de croissance des économies nationales ?</w:t>
      </w:r>
    </w:p>
    <w:p w14:paraId="1568A20E" w14:textId="77777777" w:rsidR="00563C0D" w:rsidRPr="005C15C0" w:rsidRDefault="00563C0D" w:rsidP="00563C0D">
      <w:pPr>
        <w:pStyle w:val="SingleTxtG"/>
      </w:pPr>
      <w:r w:rsidRPr="005C15C0">
        <w:t>17.</w:t>
      </w:r>
      <w:r w:rsidRPr="005C15C0">
        <w:tab/>
      </w:r>
      <w:r>
        <w:t>Les participants à c</w:t>
      </w:r>
      <w:r w:rsidRPr="005C15C0">
        <w:t>ette table ronde porter</w:t>
      </w:r>
      <w:r>
        <w:t>ont</w:t>
      </w:r>
      <w:r w:rsidRPr="005C15C0">
        <w:t xml:space="preserve"> un regard critique sur </w:t>
      </w:r>
      <w:r>
        <w:t xml:space="preserve">le CTI afin de trouver les moyens de tirer parti de ses principaux atouts, à savoir </w:t>
      </w:r>
      <w:r w:rsidRPr="005C15C0">
        <w:t>son pouvoir fédérateur et ses fonctions normatives</w:t>
      </w:r>
      <w:r>
        <w:t>, qui lui confèrent la</w:t>
      </w:r>
      <w:r w:rsidRPr="005C15C0">
        <w:t xml:space="preserve"> capacité de </w:t>
      </w:r>
      <w:r>
        <w:t>rapprocher les points de vue,</w:t>
      </w:r>
      <w:r w:rsidRPr="005C15C0">
        <w:t xml:space="preserve"> de renforcer la coordination et </w:t>
      </w:r>
      <w:r>
        <w:t>d’améliorer</w:t>
      </w:r>
      <w:r w:rsidRPr="005C15C0">
        <w:t xml:space="preserve"> la coopération intergouvernementale, particulièrement en des temps difficiles, </w:t>
      </w:r>
      <w:r>
        <w:t>pour favoriser</w:t>
      </w:r>
      <w:r w:rsidRPr="005C15C0">
        <w:t xml:space="preserve"> la croissance économique et </w:t>
      </w:r>
      <w:r>
        <w:t>le</w:t>
      </w:r>
      <w:r w:rsidRPr="005C15C0">
        <w:t xml:space="preserve"> développement.</w:t>
      </w:r>
    </w:p>
    <w:p w14:paraId="6A1DB5B2" w14:textId="77777777" w:rsidR="00563C0D" w:rsidRPr="005C15C0" w:rsidRDefault="00563C0D" w:rsidP="00563C0D">
      <w:pPr>
        <w:pStyle w:val="H23G"/>
      </w:pPr>
      <w:r w:rsidRPr="005C15C0">
        <w:tab/>
        <w:t>2.</w:t>
      </w:r>
      <w:r w:rsidRPr="005C15C0">
        <w:tab/>
        <w:t xml:space="preserve">Table ronde II : Premier ou dernier maillon de </w:t>
      </w:r>
      <w:r w:rsidRPr="00A5021F">
        <w:t>l</w:t>
      </w:r>
      <w:r>
        <w:t>’</w:t>
      </w:r>
      <w:r w:rsidRPr="00A5021F">
        <w:t>action face aux situations d</w:t>
      </w:r>
      <w:r>
        <w:t>’</w:t>
      </w:r>
      <w:r w:rsidRPr="00A5021F">
        <w:t xml:space="preserve">urgence mondiales ? Les conventions internationales relatives aux transports, catalyseurs </w:t>
      </w:r>
      <w:r>
        <w:br/>
      </w:r>
      <w:r w:rsidRPr="00A5021F">
        <w:t>de la concertation pour l</w:t>
      </w:r>
      <w:r>
        <w:t>’</w:t>
      </w:r>
      <w:r w:rsidRPr="00A5021F">
        <w:t>élaboration de mesures nationales ?</w:t>
      </w:r>
    </w:p>
    <w:p w14:paraId="10D059DD" w14:textId="77777777" w:rsidR="00563C0D" w:rsidRPr="005C15C0" w:rsidRDefault="00563C0D" w:rsidP="00563C0D">
      <w:pPr>
        <w:pStyle w:val="SingleTxtG"/>
      </w:pPr>
      <w:r w:rsidRPr="005C15C0">
        <w:t>18.</w:t>
      </w:r>
      <w:r w:rsidRPr="005C15C0">
        <w:tab/>
        <w:t>Les déplacements et la connectivité internationa</w:t>
      </w:r>
      <w:r>
        <w:t>ux</w:t>
      </w:r>
      <w:r w:rsidRPr="005C15C0">
        <w:t xml:space="preserve"> ont </w:t>
      </w:r>
      <w:r>
        <w:t>été soumis à une pression</w:t>
      </w:r>
      <w:r w:rsidRPr="005C15C0">
        <w:t xml:space="preserve"> </w:t>
      </w:r>
      <w:r>
        <w:t xml:space="preserve">inédite quand </w:t>
      </w:r>
      <w:r w:rsidRPr="005C15C0">
        <w:t xml:space="preserve">un nombre </w:t>
      </w:r>
      <w:r>
        <w:t xml:space="preserve">toujours </w:t>
      </w:r>
      <w:r w:rsidRPr="005C15C0">
        <w:t xml:space="preserve">croissant de pays </w:t>
      </w:r>
      <w:r>
        <w:t xml:space="preserve">ont </w:t>
      </w:r>
      <w:r w:rsidRPr="005C15C0">
        <w:t>ferm</w:t>
      </w:r>
      <w:r>
        <w:t>é</w:t>
      </w:r>
      <w:r w:rsidRPr="005C15C0">
        <w:t xml:space="preserve"> leurs frontières et restr</w:t>
      </w:r>
      <w:r>
        <w:t>eint</w:t>
      </w:r>
      <w:r w:rsidRPr="005C15C0">
        <w:t xml:space="preserve"> </w:t>
      </w:r>
      <w:r>
        <w:t>l</w:t>
      </w:r>
      <w:r w:rsidRPr="005C15C0">
        <w:t xml:space="preserve">es déplacements en réponse à la pandémie de COVID-19. </w:t>
      </w:r>
      <w:r>
        <w:t>À</w:t>
      </w:r>
      <w:r w:rsidRPr="005C15C0">
        <w:t xml:space="preserve"> cela </w:t>
      </w:r>
      <w:r>
        <w:t xml:space="preserve">s’ajoutait </w:t>
      </w:r>
      <w:r w:rsidRPr="005C15C0">
        <w:t>le fait que les instruments des Nations Unies relatifs aux transports intérieurs n</w:t>
      </w:r>
      <w:r>
        <w:t>’avaie</w:t>
      </w:r>
      <w:r w:rsidRPr="005C15C0">
        <w:t>nt pas été appliqués partout de façon homogène, certains États ayant choisi d</w:t>
      </w:r>
      <w:r>
        <w:t>’</w:t>
      </w:r>
      <w:r w:rsidRPr="005C15C0">
        <w:t xml:space="preserve">appliquer de manière sélective, ou avec des aménagements particuliers, des instruments juridiques auxquels ils étaient parties. </w:t>
      </w:r>
      <w:r>
        <w:t>Heureusement</w:t>
      </w:r>
      <w:r w:rsidRPr="005C15C0">
        <w:t>, les États Membres qui sont Parties contractantes à la Convention</w:t>
      </w:r>
      <w:r>
        <w:t xml:space="preserve"> </w:t>
      </w:r>
      <w:r w:rsidRPr="005C15C0">
        <w:t xml:space="preserve">TIR ont </w:t>
      </w:r>
      <w:r>
        <w:t>pu faire appel à des</w:t>
      </w:r>
      <w:r w:rsidRPr="005C15C0">
        <w:t xml:space="preserve"> réseau</w:t>
      </w:r>
      <w:r>
        <w:t>x</w:t>
      </w:r>
      <w:r w:rsidRPr="005C15C0">
        <w:t xml:space="preserve"> </w:t>
      </w:r>
      <w:r>
        <w:t xml:space="preserve">offrant </w:t>
      </w:r>
      <w:r w:rsidRPr="005C15C0">
        <w:t xml:space="preserve">un dispositif de gouvernance unique </w:t>
      </w:r>
      <w:r>
        <w:t xml:space="preserve">en son genre, qui a permis </w:t>
      </w:r>
      <w:r w:rsidRPr="005C15C0">
        <w:t>d</w:t>
      </w:r>
      <w:r>
        <w:t>’</w:t>
      </w:r>
      <w:r w:rsidRPr="005C15C0">
        <w:t>établir en un temps record des mécanismes de collecte et de diffusion d</w:t>
      </w:r>
      <w:r>
        <w:t>’</w:t>
      </w:r>
      <w:r w:rsidRPr="005C15C0">
        <w:t xml:space="preserve">informations essentielles pour la poursuite des activités, concernant les </w:t>
      </w:r>
      <w:r>
        <w:t>restrictions apportées au</w:t>
      </w:r>
      <w:r w:rsidRPr="005C15C0">
        <w:t xml:space="preserve"> franchissement des frontières au niveau mondial.</w:t>
      </w:r>
    </w:p>
    <w:p w14:paraId="241431DA" w14:textId="77777777" w:rsidR="00563C0D" w:rsidRPr="005C15C0" w:rsidRDefault="00563C0D" w:rsidP="00563C0D">
      <w:pPr>
        <w:pStyle w:val="SingleTxtG"/>
        <w:keepNext/>
      </w:pPr>
      <w:r w:rsidRPr="005C15C0">
        <w:t>19.</w:t>
      </w:r>
      <w:r w:rsidRPr="005C15C0">
        <w:tab/>
        <w:t xml:space="preserve">Cette situation </w:t>
      </w:r>
      <w:r>
        <w:t>a fourni une illustration de ce qui se passe lorsque</w:t>
      </w:r>
      <w:r w:rsidRPr="005C15C0">
        <w:t xml:space="preserve"> le système réglementaire international</w:t>
      </w:r>
      <w:r>
        <w:t xml:space="preserve"> est dernier à intervenir</w:t>
      </w:r>
      <w:r w:rsidRPr="005C15C0">
        <w:t xml:space="preserve"> : </w:t>
      </w:r>
      <w:r>
        <w:t xml:space="preserve">faute </w:t>
      </w:r>
      <w:r w:rsidRPr="005C15C0">
        <w:t>d</w:t>
      </w:r>
      <w:r>
        <w:t>’</w:t>
      </w:r>
      <w:r w:rsidRPr="005C15C0">
        <w:t>un cadre global de coordination internationale, l</w:t>
      </w:r>
      <w:r>
        <w:t>’</w:t>
      </w:r>
      <w:r w:rsidRPr="005C15C0">
        <w:t>entrée en vigueur de plans d</w:t>
      </w:r>
      <w:r>
        <w:t>’</w:t>
      </w:r>
      <w:r w:rsidRPr="005C15C0">
        <w:t>urgence nationaux s</w:t>
      </w:r>
      <w:r>
        <w:t>’</w:t>
      </w:r>
      <w:r w:rsidRPr="005C15C0">
        <w:t xml:space="preserve">est soldée par des résultats </w:t>
      </w:r>
      <w:r>
        <w:t>très imparfaits</w:t>
      </w:r>
      <w:r w:rsidRPr="005C15C0">
        <w:t xml:space="preserve"> (situations perdant-perdant). Les mesures national</w:t>
      </w:r>
      <w:r>
        <w:t>es</w:t>
      </w:r>
      <w:r w:rsidRPr="005C15C0">
        <w:t xml:space="preserve"> et international</w:t>
      </w:r>
      <w:r>
        <w:t>es</w:t>
      </w:r>
      <w:r w:rsidRPr="005C15C0">
        <w:t xml:space="preserve"> </w:t>
      </w:r>
      <w:r>
        <w:t>prises au début</w:t>
      </w:r>
      <w:r w:rsidRPr="005C15C0">
        <w:t xml:space="preserve"> de la pandémie de COVID</w:t>
      </w:r>
      <w:r>
        <w:noBreakHyphen/>
      </w:r>
      <w:r w:rsidRPr="005C15C0">
        <w:t xml:space="preserve">19 offrent une occasion </w:t>
      </w:r>
      <w:r>
        <w:t>sans précédent</w:t>
      </w:r>
      <w:r w:rsidRPr="005C15C0">
        <w:t xml:space="preserve"> de mener une réflexion critique </w:t>
      </w:r>
      <w:r>
        <w:t>sur la question de savoir</w:t>
      </w:r>
      <w:r w:rsidRPr="005C15C0">
        <w:t xml:space="preserve"> si les instruments </w:t>
      </w:r>
      <w:r>
        <w:t>internationaux doivent</w:t>
      </w:r>
      <w:r w:rsidRPr="005C15C0">
        <w:t xml:space="preserve"> constitue</w:t>
      </w:r>
      <w:r>
        <w:t>r</w:t>
      </w:r>
      <w:r w:rsidRPr="005C15C0">
        <w:t xml:space="preserve"> le premier ou le dernier maillon de </w:t>
      </w:r>
      <w:r w:rsidRPr="00B91033">
        <w:t>l</w:t>
      </w:r>
      <w:r>
        <w:t>’</w:t>
      </w:r>
      <w:r w:rsidRPr="00B91033">
        <w:t xml:space="preserve">action face </w:t>
      </w:r>
      <w:r w:rsidRPr="005C15C0">
        <w:t>aux situation</w:t>
      </w:r>
      <w:r>
        <w:t>s</w:t>
      </w:r>
      <w:r w:rsidRPr="005C15C0">
        <w:t xml:space="preserve"> d</w:t>
      </w:r>
      <w:r>
        <w:t>’</w:t>
      </w:r>
      <w:r w:rsidRPr="005C15C0">
        <w:t>urgence</w:t>
      </w:r>
      <w:r>
        <w:t>. Il s’agira plus</w:t>
      </w:r>
      <w:r w:rsidRPr="005C15C0">
        <w:t xml:space="preserve"> </w:t>
      </w:r>
      <w:r>
        <w:t>précisément d’examiner les points suivants</w:t>
      </w:r>
      <w:r w:rsidRPr="005C15C0">
        <w:t> :</w:t>
      </w:r>
    </w:p>
    <w:p w14:paraId="35C9455F" w14:textId="77777777" w:rsidR="00563C0D" w:rsidRPr="005C15C0" w:rsidRDefault="00563C0D" w:rsidP="00563C0D">
      <w:pPr>
        <w:pStyle w:val="SingleTxtG"/>
        <w:ind w:firstLine="567"/>
      </w:pPr>
      <w:r w:rsidRPr="005C15C0">
        <w:t>a)</w:t>
      </w:r>
      <w:r w:rsidRPr="005C15C0">
        <w:tab/>
        <w:t>L</w:t>
      </w:r>
      <w:r>
        <w:t>a possibilité que le</w:t>
      </w:r>
      <w:r w:rsidRPr="005C15C0">
        <w:t xml:space="preserve"> système réglementaire international </w:t>
      </w:r>
      <w:r>
        <w:t>serve de</w:t>
      </w:r>
      <w:r w:rsidRPr="005C15C0">
        <w:t xml:space="preserve"> base </w:t>
      </w:r>
      <w:r>
        <w:t>pour l’</w:t>
      </w:r>
      <w:r w:rsidRPr="005C15C0">
        <w:t>établi</w:t>
      </w:r>
      <w:r>
        <w:t>ssement</w:t>
      </w:r>
      <w:r w:rsidRPr="005C15C0">
        <w:t xml:space="preserve"> de mécanismes de coopération et de coordination renforcés</w:t>
      </w:r>
      <w:r>
        <w:t xml:space="preserve"> </w:t>
      </w:r>
      <w:r w:rsidRPr="005C15C0">
        <w:t xml:space="preserve">qui </w:t>
      </w:r>
      <w:r>
        <w:t>produiraient</w:t>
      </w:r>
      <w:r w:rsidRPr="005C15C0">
        <w:t xml:space="preserve"> des situations gagnant-gagnant, même dans </w:t>
      </w:r>
      <w:r>
        <w:t>d</w:t>
      </w:r>
      <w:r w:rsidRPr="005C15C0">
        <w:t xml:space="preserve">es </w:t>
      </w:r>
      <w:r>
        <w:t>circonstances</w:t>
      </w:r>
      <w:r w:rsidRPr="005C15C0">
        <w:t xml:space="preserve"> exceptionnelles. </w:t>
      </w:r>
      <w:r>
        <w:t>L</w:t>
      </w:r>
      <w:r w:rsidRPr="005C15C0">
        <w:t xml:space="preserve">es débats </w:t>
      </w:r>
      <w:r>
        <w:t xml:space="preserve">de la présente </w:t>
      </w:r>
      <w:r w:rsidRPr="005C15C0">
        <w:t xml:space="preserve">table ronde </w:t>
      </w:r>
      <w:r>
        <w:t>seront</w:t>
      </w:r>
      <w:r w:rsidRPr="005C15C0">
        <w:t xml:space="preserve"> axés sur les actions immédiates permettant de coordonner les mesures à prendre en cas de crise mais aussi de prévoir une stratégie de sortie coordonnée pour veiller au bon fonctionnement de la chaîne d</w:t>
      </w:r>
      <w:r>
        <w:t>’</w:t>
      </w:r>
      <w:r w:rsidRPr="005C15C0">
        <w:t xml:space="preserve">approvisionnement. La coopération avec les entités internationales est de la première importance, étant donné que les mesures sanitaires doivent être fondées sur des données probantes et </w:t>
      </w:r>
      <w:r>
        <w:t xml:space="preserve">être </w:t>
      </w:r>
      <w:r w:rsidRPr="005C15C0">
        <w:t xml:space="preserve">pleinement </w:t>
      </w:r>
      <w:r>
        <w:t>conformes aux</w:t>
      </w:r>
      <w:r w:rsidRPr="005C15C0">
        <w:t xml:space="preserve"> recommandations et orientations existantes</w:t>
      </w:r>
      <w:r w:rsidR="00E7494D">
        <w:t> ;</w:t>
      </w:r>
    </w:p>
    <w:p w14:paraId="05772ACD" w14:textId="77777777" w:rsidR="00563C0D" w:rsidRPr="005C15C0" w:rsidRDefault="00563C0D" w:rsidP="00563C0D">
      <w:pPr>
        <w:pStyle w:val="SingleTxtG"/>
        <w:ind w:firstLine="567"/>
      </w:pPr>
      <w:r w:rsidRPr="005C15C0">
        <w:t>b)</w:t>
      </w:r>
      <w:r w:rsidRPr="005C15C0">
        <w:tab/>
        <w:t xml:space="preserve">La résilience des conventions </w:t>
      </w:r>
      <w:r>
        <w:t xml:space="preserve">face </w:t>
      </w:r>
      <w:r w:rsidRPr="005C15C0">
        <w:t xml:space="preserve">aux pandémies et aux circonstances exceptionnelles à venir. Cette question sera examinée selon </w:t>
      </w:r>
      <w:r>
        <w:t>deux</w:t>
      </w:r>
      <w:r w:rsidRPr="005C15C0">
        <w:t xml:space="preserve"> approche</w:t>
      </w:r>
      <w:r>
        <w:t>s,</w:t>
      </w:r>
      <w:r w:rsidRPr="005C15C0">
        <w:t xml:space="preserve"> descendante et ascendante. La première permettra de se pencher sur les divergences constatées dans la mise en œuvre des conventions existantes, afin d</w:t>
      </w:r>
      <w:r>
        <w:t>’</w:t>
      </w:r>
      <w:r w:rsidRPr="005C15C0">
        <w:t>évaluer leur résilience et de tirer des enseignements qui pourraient donner matière à d</w:t>
      </w:r>
      <w:r>
        <w:t>’</w:t>
      </w:r>
      <w:r w:rsidRPr="005C15C0">
        <w:t>éventuels amendements ou d</w:t>
      </w:r>
      <w:r>
        <w:t>’</w:t>
      </w:r>
      <w:r w:rsidRPr="005C15C0">
        <w:t xml:space="preserve">autres </w:t>
      </w:r>
      <w:r w:rsidRPr="005C15C0">
        <w:lastRenderedPageBreak/>
        <w:t>mesures destinées à harmoniser l</w:t>
      </w:r>
      <w:r>
        <w:t>’</w:t>
      </w:r>
      <w:r w:rsidRPr="005C15C0">
        <w:t>application de ces instruments, voire le contrôle de leur application. Dans la deuxième approche, on s</w:t>
      </w:r>
      <w:r>
        <w:t>’</w:t>
      </w:r>
      <w:r w:rsidRPr="005C15C0">
        <w:t xml:space="preserve">intéressera en premier lieu </w:t>
      </w:r>
      <w:r>
        <w:t xml:space="preserve">à l’échelon </w:t>
      </w:r>
      <w:r w:rsidRPr="005C15C0">
        <w:t xml:space="preserve">des intervenants qui, en temps de crise, doivent </w:t>
      </w:r>
      <w:r>
        <w:t>concilier</w:t>
      </w:r>
      <w:r w:rsidRPr="005C15C0">
        <w:t xml:space="preserve"> plusieurs principes concurrents, ce qui peut conduire au non-respect des règles et directives énoncées dans les conventions des Nations</w:t>
      </w:r>
      <w:r>
        <w:t> </w:t>
      </w:r>
      <w:r w:rsidRPr="005C15C0">
        <w:t>Unies relatives aux transports. Compenser les pertes et récompenser le respect de ces dispositions à l</w:t>
      </w:r>
      <w:r>
        <w:t>’</w:t>
      </w:r>
      <w:r w:rsidRPr="005C15C0">
        <w:t>échelle microéconomique pourrait fortement contribuer à renforcer la résilience et la pertinence des conventions qui relèvent de la compétence du Comité</w:t>
      </w:r>
      <w:r w:rsidR="00E7494D">
        <w:t> ;</w:t>
      </w:r>
    </w:p>
    <w:p w14:paraId="47B1B36B" w14:textId="77777777" w:rsidR="00563C0D" w:rsidRPr="005C15C0" w:rsidRDefault="00563C0D" w:rsidP="00563C0D">
      <w:pPr>
        <w:pStyle w:val="SingleTxtG"/>
        <w:ind w:firstLine="567"/>
      </w:pPr>
      <w:r w:rsidRPr="005C15C0">
        <w:t>c)</w:t>
      </w:r>
      <w:r w:rsidRPr="005C15C0">
        <w:tab/>
        <w:t>La dimension économique. L</w:t>
      </w:r>
      <w:r>
        <w:t>’</w:t>
      </w:r>
      <w:r w:rsidRPr="005C15C0">
        <w:t>argument le plus probant en faveur d</w:t>
      </w:r>
      <w:r>
        <w:t>’</w:t>
      </w:r>
      <w:r w:rsidRPr="005C15C0">
        <w:t xml:space="preserve">un renforcement du système </w:t>
      </w:r>
      <w:r>
        <w:t xml:space="preserve">qui </w:t>
      </w:r>
      <w:r w:rsidRPr="005C15C0">
        <w:t>encadr</w:t>
      </w:r>
      <w:r>
        <w:t>e</w:t>
      </w:r>
      <w:r w:rsidRPr="005C15C0">
        <w:t xml:space="preserve"> actuellement les transports intérieurs </w:t>
      </w:r>
      <w:r>
        <w:t xml:space="preserve">découlerait d’un </w:t>
      </w:r>
      <w:r w:rsidRPr="005C15C0">
        <w:t xml:space="preserve">examen </w:t>
      </w:r>
      <w:r>
        <w:t xml:space="preserve">comparatif </w:t>
      </w:r>
      <w:r w:rsidRPr="005C15C0">
        <w:t xml:space="preserve">des </w:t>
      </w:r>
      <w:r>
        <w:t>incidences économiques</w:t>
      </w:r>
      <w:r w:rsidRPr="005C15C0">
        <w:t xml:space="preserve"> des actions non concertées</w:t>
      </w:r>
      <w:r>
        <w:t>, d’une part,</w:t>
      </w:r>
      <w:r w:rsidRPr="005C15C0">
        <w:t xml:space="preserve"> et des avantages économiques de la coopération et de la coordination internationales</w:t>
      </w:r>
      <w:r>
        <w:t>, d’autre part</w:t>
      </w:r>
      <w:r w:rsidRPr="005C15C0">
        <w:t>. L</w:t>
      </w:r>
      <w:r>
        <w:t>’</w:t>
      </w:r>
      <w:r w:rsidRPr="005C15C0">
        <w:t xml:space="preserve">étude des </w:t>
      </w:r>
      <w:r>
        <w:t>arbitrages en jeu</w:t>
      </w:r>
      <w:r w:rsidRPr="005C15C0">
        <w:t xml:space="preserve"> et des </w:t>
      </w:r>
      <w:r>
        <w:t>possibilités de synergie avec</w:t>
      </w:r>
      <w:r w:rsidRPr="005C15C0">
        <w:t xml:space="preserve"> des interventions étatiques de grande envergure, notamment en ce qui concerne la « relance verte », pourrait aussi enrichir </w:t>
      </w:r>
      <w:r>
        <w:t>ce</w:t>
      </w:r>
      <w:r w:rsidRPr="005C15C0">
        <w:t xml:space="preserve"> débat</w:t>
      </w:r>
      <w:r>
        <w:t>, qui</w:t>
      </w:r>
      <w:r w:rsidRPr="005C15C0">
        <w:t xml:space="preserve"> éclaire </w:t>
      </w:r>
      <w:r>
        <w:t xml:space="preserve">directement </w:t>
      </w:r>
      <w:r w:rsidRPr="005C15C0">
        <w:t>la question du développement du cadre réglementaire international.</w:t>
      </w:r>
    </w:p>
    <w:p w14:paraId="073CEB83" w14:textId="77777777" w:rsidR="00563C0D" w:rsidRPr="005C15C0" w:rsidRDefault="00563C0D" w:rsidP="00563C0D">
      <w:pPr>
        <w:pStyle w:val="SingleTxtG"/>
      </w:pPr>
      <w:r w:rsidRPr="005C15C0">
        <w:t>20.</w:t>
      </w:r>
      <w:r w:rsidRPr="005C15C0">
        <w:tab/>
        <w:t xml:space="preserve">À sa quatre-vingt-deuxième session, en février 2020, le Comité a décidé </w:t>
      </w:r>
      <w:r>
        <w:t xml:space="preserve">de mener, </w:t>
      </w:r>
      <w:r w:rsidRPr="00A64171">
        <w:t>avec l</w:t>
      </w:r>
      <w:r>
        <w:t>’</w:t>
      </w:r>
      <w:r w:rsidRPr="00A64171">
        <w:t xml:space="preserve">appui des </w:t>
      </w:r>
      <w:r>
        <w:t>États</w:t>
      </w:r>
      <w:r w:rsidRPr="00A64171">
        <w:t xml:space="preserve"> intéressés et des principales parties prenantes, les recherches nécessaires sur les dispositions des cadres existants et sur les nouveaux domaines de travail à explorer</w:t>
      </w:r>
      <w:r>
        <w:t xml:space="preserve"> pour promouvoir la </w:t>
      </w:r>
      <w:r w:rsidRPr="005C15C0">
        <w:t xml:space="preserve">coopération </w:t>
      </w:r>
      <w:r>
        <w:t xml:space="preserve">entre les autorités chargées des </w:t>
      </w:r>
      <w:r w:rsidRPr="005C15C0">
        <w:t>transport</w:t>
      </w:r>
      <w:r>
        <w:t xml:space="preserve">s aux fins de la lutte contre les </w:t>
      </w:r>
      <w:r w:rsidRPr="005C15C0">
        <w:t xml:space="preserve">effets </w:t>
      </w:r>
      <w:r>
        <w:t xml:space="preserve">des situations d’urgence internationales telles que les </w:t>
      </w:r>
      <w:r w:rsidRPr="005C15C0">
        <w:t>épidémi</w:t>
      </w:r>
      <w:r>
        <w:t>e</w:t>
      </w:r>
      <w:r w:rsidRPr="005C15C0">
        <w:t xml:space="preserve">s </w:t>
      </w:r>
      <w:r>
        <w:t xml:space="preserve">et les </w:t>
      </w:r>
      <w:r w:rsidRPr="005C15C0">
        <w:t xml:space="preserve">pandémies. </w:t>
      </w:r>
      <w:r>
        <w:t>La présente table ronde rendra possible un débat de haut niveau</w:t>
      </w:r>
      <w:r w:rsidRPr="005C15C0">
        <w:t xml:space="preserve"> </w:t>
      </w:r>
      <w:r>
        <w:t xml:space="preserve">dont les </w:t>
      </w:r>
      <w:r w:rsidRPr="005C15C0">
        <w:t xml:space="preserve">conclusions </w:t>
      </w:r>
      <w:r>
        <w:t xml:space="preserve">pourront ouvrir la voie à un renforcement de la </w:t>
      </w:r>
      <w:r w:rsidRPr="005C15C0">
        <w:t>coop</w:t>
      </w:r>
      <w:r>
        <w:t>é</w:t>
      </w:r>
      <w:r w:rsidRPr="005C15C0">
        <w:t>ration intergouvernemental</w:t>
      </w:r>
      <w:r>
        <w:t>e</w:t>
      </w:r>
      <w:r w:rsidRPr="005C15C0">
        <w:t xml:space="preserve"> </w:t>
      </w:r>
      <w:r>
        <w:t xml:space="preserve">et </w:t>
      </w:r>
      <w:r w:rsidRPr="005C15C0">
        <w:t>interinstitutionnel</w:t>
      </w:r>
      <w:r>
        <w:t>le dans ce domaine</w:t>
      </w:r>
      <w:r w:rsidRPr="005C15C0">
        <w:t xml:space="preserve"> </w:t>
      </w:r>
      <w:r>
        <w:t>d’une importance cruciale</w:t>
      </w:r>
      <w:r w:rsidRPr="005C15C0">
        <w:t>.</w:t>
      </w:r>
    </w:p>
    <w:p w14:paraId="4723B9AF" w14:textId="77777777" w:rsidR="00563C0D" w:rsidRPr="005C15C0" w:rsidRDefault="00563C0D" w:rsidP="00563C0D">
      <w:pPr>
        <w:pStyle w:val="H1G"/>
      </w:pPr>
      <w:r w:rsidRPr="005C15C0">
        <w:tab/>
        <w:t>C.</w:t>
      </w:r>
      <w:r w:rsidRPr="005C15C0">
        <w:tab/>
      </w:r>
      <w:r>
        <w:t>Adoption de la résolution ministérielle intitulée</w:t>
      </w:r>
      <w:r w:rsidRPr="007632DD">
        <w:t xml:space="preserve"> </w:t>
      </w:r>
      <w:r>
        <w:t>« </w:t>
      </w:r>
      <w:r w:rsidRPr="005C15C0">
        <w:t>Renforcer la résilience de la connectivité des transports intérieurs dans les situations d</w:t>
      </w:r>
      <w:r>
        <w:t>’</w:t>
      </w:r>
      <w:r w:rsidRPr="005C15C0">
        <w:t xml:space="preserve">urgence : </w:t>
      </w:r>
      <w:r>
        <w:t>appel urgent</w:t>
      </w:r>
      <w:r w:rsidRPr="005C15C0">
        <w:t xml:space="preserve"> à une action concertée</w:t>
      </w:r>
      <w:r>
        <w:t> »</w:t>
      </w:r>
    </w:p>
    <w:p w14:paraId="40975826" w14:textId="77777777" w:rsidR="00563C0D" w:rsidRPr="005C15C0" w:rsidRDefault="00563C0D" w:rsidP="00563C0D">
      <w:pPr>
        <w:pStyle w:val="SingleTxtG"/>
      </w:pPr>
      <w:r w:rsidRPr="005C15C0">
        <w:t>21.</w:t>
      </w:r>
      <w:r w:rsidRPr="005C15C0">
        <w:tab/>
      </w:r>
      <w:r>
        <w:t>À la fin de la session</w:t>
      </w:r>
      <w:r w:rsidRPr="005C15C0">
        <w:t xml:space="preserve">, </w:t>
      </w:r>
      <w:r>
        <w:t xml:space="preserve">les ministres et chefs des délégations des </w:t>
      </w:r>
      <w:r w:rsidRPr="005C15C0">
        <w:t xml:space="preserve">Parties </w:t>
      </w:r>
      <w:r>
        <w:t>contractantes seront invité(e)s à appuyer la résolution ministérielle intitulée</w:t>
      </w:r>
      <w:r w:rsidRPr="007632DD">
        <w:t xml:space="preserve"> </w:t>
      </w:r>
      <w:r>
        <w:t>« </w:t>
      </w:r>
      <w:r w:rsidRPr="005C15C0">
        <w:t>Renforcer la résilience de la connectivité des transports intérieurs dans les situations d</w:t>
      </w:r>
      <w:r>
        <w:t>’</w:t>
      </w:r>
      <w:r w:rsidRPr="005C15C0">
        <w:t xml:space="preserve">urgence : </w:t>
      </w:r>
      <w:r>
        <w:t>appel urgent</w:t>
      </w:r>
      <w:r w:rsidRPr="005C15C0">
        <w:t xml:space="preserve"> à une action concertée</w:t>
      </w:r>
      <w:r>
        <w:t> »</w:t>
      </w:r>
      <w:r w:rsidRPr="005C15C0">
        <w:t xml:space="preserve"> (ECE/TRANS/2021/2). </w:t>
      </w:r>
      <w:r>
        <w:t>Ce texte commence par</w:t>
      </w:r>
      <w:r w:rsidRPr="005C15C0">
        <w:t xml:space="preserve"> </w:t>
      </w:r>
      <w:r>
        <w:t>un état des lieux de la situation d’urgence qui règne actuellement au niveau mondial ; il comprend ensuite le constat que le Comité</w:t>
      </w:r>
      <w:r w:rsidRPr="005C15C0">
        <w:t xml:space="preserve"> </w:t>
      </w:r>
      <w:r>
        <w:t xml:space="preserve">dispose d’atouts </w:t>
      </w:r>
      <w:r w:rsidRPr="005C15C0">
        <w:t>unique</w:t>
      </w:r>
      <w:r>
        <w:t>s pour y faire face, puis se conclut par un appel urgent</w:t>
      </w:r>
      <w:r w:rsidRPr="005C15C0">
        <w:t xml:space="preserve"> </w:t>
      </w:r>
      <w:r>
        <w:t xml:space="preserve">à une </w:t>
      </w:r>
      <w:r w:rsidRPr="005C15C0">
        <w:t xml:space="preserve">action </w:t>
      </w:r>
      <w:r>
        <w:t>concertée face aux situations d’urgence</w:t>
      </w:r>
      <w:r w:rsidRPr="005C15C0">
        <w:t xml:space="preserve"> international</w:t>
      </w:r>
      <w:r>
        <w:t>es, qui est formulé dans des</w:t>
      </w:r>
      <w:r w:rsidRPr="005C15C0">
        <w:t xml:space="preserve"> term</w:t>
      </w:r>
      <w:r>
        <w:t>e</w:t>
      </w:r>
      <w:r w:rsidRPr="005C15C0">
        <w:t xml:space="preserve">s </w:t>
      </w:r>
      <w:r>
        <w:t>qui sont compatibles avec les mandats du Comité</w:t>
      </w:r>
      <w:r w:rsidRPr="005C15C0">
        <w:t xml:space="preserve">. </w:t>
      </w:r>
      <w:r>
        <w:t xml:space="preserve">La résolution affirme la pertinence </w:t>
      </w:r>
      <w:r w:rsidRPr="005C15C0">
        <w:t xml:space="preserve">du Comité </w:t>
      </w:r>
      <w:r>
        <w:t>comme principale enceinte</w:t>
      </w:r>
      <w:r w:rsidRPr="005C15C0">
        <w:t xml:space="preserve"> internationa</w:t>
      </w:r>
      <w:r>
        <w:t>le pour la recherche</w:t>
      </w:r>
      <w:r w:rsidRPr="005C15C0">
        <w:t xml:space="preserve"> de solutions aux défis </w:t>
      </w:r>
      <w:r>
        <w:t xml:space="preserve">susmentionnés, </w:t>
      </w:r>
      <w:r w:rsidRPr="005C15C0">
        <w:t xml:space="preserve">et les principaux acteurs des transports dans le monde </w:t>
      </w:r>
      <w:r>
        <w:t xml:space="preserve">y sont invités </w:t>
      </w:r>
      <w:r w:rsidRPr="005C15C0">
        <w:t xml:space="preserve">à </w:t>
      </w:r>
      <w:r>
        <w:t>manifester et renforcer</w:t>
      </w:r>
      <w:r w:rsidRPr="005C15C0">
        <w:t>, dans l</w:t>
      </w:r>
      <w:r>
        <w:t>’</w:t>
      </w:r>
      <w:r w:rsidRPr="005C15C0">
        <w:t>intérêt de la communauté mondiale</w:t>
      </w:r>
      <w:r>
        <w:t>, leur appui aux</w:t>
      </w:r>
      <w:r w:rsidRPr="005C15C0">
        <w:t xml:space="preserve"> travaux du Comité, </w:t>
      </w:r>
      <w:r>
        <w:t>qui est la plateforme d’action</w:t>
      </w:r>
      <w:r w:rsidRPr="005C15C0">
        <w:t xml:space="preserve"> des Nations Unies </w:t>
      </w:r>
      <w:r>
        <w:t>dans le domaine des</w:t>
      </w:r>
      <w:r w:rsidRPr="005C15C0">
        <w:t xml:space="preserve"> transports intérieurs.</w:t>
      </w:r>
    </w:p>
    <w:p w14:paraId="091D8106" w14:textId="77777777" w:rsidR="00563C0D" w:rsidRPr="005C15C0" w:rsidRDefault="00563C0D" w:rsidP="00563C0D">
      <w:pPr>
        <w:pStyle w:val="HChG"/>
      </w:pPr>
      <w:r w:rsidRPr="005C15C0">
        <w:tab/>
        <w:t>III.</w:t>
      </w:r>
      <w:r w:rsidRPr="005C15C0">
        <w:tab/>
        <w:t>Manifestations parallèles de haut niveau prévues</w:t>
      </w:r>
    </w:p>
    <w:p w14:paraId="4BEB8724" w14:textId="77777777" w:rsidR="00563C0D" w:rsidRPr="005C15C0" w:rsidRDefault="00563C0D" w:rsidP="00563C0D">
      <w:pPr>
        <w:pStyle w:val="H1G"/>
      </w:pPr>
      <w:r w:rsidRPr="005C15C0">
        <w:tab/>
      </w:r>
      <w:r w:rsidRPr="005C15C0">
        <w:tab/>
        <w:t xml:space="preserve">Table ronde du CTI : </w:t>
      </w:r>
      <w:r>
        <w:t xml:space="preserve">« Une nouvelle voie pour la sécurité </w:t>
      </w:r>
      <w:r>
        <w:br/>
        <w:t>routière</w:t>
      </w:r>
      <w:r w:rsidRPr="005C15C0">
        <w:t xml:space="preserve"> </w:t>
      </w:r>
      <w:r>
        <w:t>à l’aube de la nouvelle Décennie d’action »</w:t>
      </w:r>
    </w:p>
    <w:p w14:paraId="25AC4041" w14:textId="77777777" w:rsidR="00563C0D" w:rsidRPr="005C15C0" w:rsidRDefault="00563C0D" w:rsidP="00563C0D">
      <w:pPr>
        <w:pStyle w:val="SingleTxtG"/>
      </w:pPr>
      <w:r w:rsidRPr="005C15C0">
        <w:t>22.</w:t>
      </w:r>
      <w:r w:rsidRPr="005C15C0">
        <w:tab/>
      </w:r>
      <w:r>
        <w:t>Malgré l’action énergique que les</w:t>
      </w:r>
      <w:r w:rsidRPr="00F01533">
        <w:t xml:space="preserve"> </w:t>
      </w:r>
      <w:r w:rsidRPr="005C15C0">
        <w:t>États Membres</w:t>
      </w:r>
      <w:r>
        <w:t xml:space="preserve"> ont menée sans relâche en faveur de la sécurité routière</w:t>
      </w:r>
      <w:r w:rsidRPr="005C15C0">
        <w:t xml:space="preserve">, </w:t>
      </w:r>
      <w:r>
        <w:t xml:space="preserve">la </w:t>
      </w:r>
      <w:r w:rsidRPr="005C15C0">
        <w:t>commun</w:t>
      </w:r>
      <w:r>
        <w:t>auté</w:t>
      </w:r>
      <w:r w:rsidRPr="00F01533">
        <w:t xml:space="preserve"> </w:t>
      </w:r>
      <w:r w:rsidRPr="005C15C0">
        <w:t>international</w:t>
      </w:r>
      <w:r>
        <w:t>e n’a pas pu atteindre la cible fixée pour 2020 dans ce domaine dans le cadre des</w:t>
      </w:r>
      <w:r w:rsidRPr="005C15C0">
        <w:t xml:space="preserve"> objectifs de développement durable</w:t>
      </w:r>
      <w:r>
        <w:t> : loin de chuter, le nombre de</w:t>
      </w:r>
      <w:r w:rsidRPr="005C15C0">
        <w:t xml:space="preserve"> </w:t>
      </w:r>
      <w:r w:rsidRPr="002A450D">
        <w:t>décès et de blessures dus à des accidents de la route</w:t>
      </w:r>
      <w:r w:rsidRPr="002A450D" w:rsidDel="002A450D">
        <w:t xml:space="preserve"> </w:t>
      </w:r>
      <w:r>
        <w:t>est en hausse</w:t>
      </w:r>
      <w:r w:rsidRPr="002A450D">
        <w:t xml:space="preserve"> à l</w:t>
      </w:r>
      <w:r>
        <w:t>’</w:t>
      </w:r>
      <w:r w:rsidRPr="002A450D">
        <w:t>échelle mondiale</w:t>
      </w:r>
      <w:r w:rsidRPr="005C15C0">
        <w:t>.</w:t>
      </w:r>
    </w:p>
    <w:p w14:paraId="5C29BEB9" w14:textId="77777777" w:rsidR="00563C0D" w:rsidRPr="005C15C0" w:rsidRDefault="00563C0D" w:rsidP="00743EFC">
      <w:pPr>
        <w:pStyle w:val="SingleTxtG"/>
        <w:keepLines/>
      </w:pPr>
      <w:r w:rsidRPr="005C15C0">
        <w:lastRenderedPageBreak/>
        <w:t>23.</w:t>
      </w:r>
      <w:r w:rsidRPr="005C15C0">
        <w:tab/>
      </w:r>
      <w:r>
        <w:t>En 2020, la communauté mondiale et l’ONU se sont mobilisées pour prendre acte de cette défaillance et s’employer à y remédier. Il y a eu trois temps forts</w:t>
      </w:r>
      <w:r w:rsidRPr="005C15C0">
        <w:t xml:space="preserve">. </w:t>
      </w:r>
      <w:r>
        <w:t>Premièrement</w:t>
      </w:r>
      <w:r w:rsidRPr="005C15C0">
        <w:t xml:space="preserve">, </w:t>
      </w:r>
      <w:r>
        <w:t xml:space="preserve">la communauté </w:t>
      </w:r>
      <w:r w:rsidRPr="005C15C0">
        <w:t>international</w:t>
      </w:r>
      <w:r>
        <w:t>e s’est réunie pour la</w:t>
      </w:r>
      <w:r w:rsidRPr="005C15C0">
        <w:t xml:space="preserve"> </w:t>
      </w:r>
      <w:r>
        <w:t>troisième</w:t>
      </w:r>
      <w:r w:rsidRPr="005C15C0">
        <w:t xml:space="preserve"> </w:t>
      </w:r>
      <w:r w:rsidRPr="009D5EF3">
        <w:t xml:space="preserve">Conférence ministérielle mondiale sur la sécurité routière </w:t>
      </w:r>
      <w:r w:rsidRPr="005C15C0">
        <w:t>(Stockholm, 19</w:t>
      </w:r>
      <w:r>
        <w:t>-</w:t>
      </w:r>
      <w:r w:rsidRPr="005C15C0">
        <w:t>20</w:t>
      </w:r>
      <w:r>
        <w:t> </w:t>
      </w:r>
      <w:r w:rsidRPr="005C15C0">
        <w:t xml:space="preserve">février 2020), </w:t>
      </w:r>
      <w:r>
        <w:t xml:space="preserve">afin de parvenir à un </w:t>
      </w:r>
      <w:r w:rsidRPr="005C15C0">
        <w:t xml:space="preserve">consensus </w:t>
      </w:r>
      <w:r>
        <w:t xml:space="preserve">mondial sous la forme de la </w:t>
      </w:r>
      <w:r w:rsidRPr="005C15C0">
        <w:t xml:space="preserve">Déclaration </w:t>
      </w:r>
      <w:r>
        <w:t xml:space="preserve">de </w:t>
      </w:r>
      <w:r w:rsidRPr="005C15C0">
        <w:t xml:space="preserve">Stockholm </w:t>
      </w:r>
      <w:r>
        <w:t xml:space="preserve">sur la poursuite de la </w:t>
      </w:r>
      <w:r w:rsidRPr="005C15C0">
        <w:t>collaboration international</w:t>
      </w:r>
      <w:r>
        <w:t>e dans le domaine de la sécurité routière à l’horizon</w:t>
      </w:r>
      <w:r w:rsidR="00743EFC">
        <w:t xml:space="preserve"> </w:t>
      </w:r>
      <w:r w:rsidRPr="005C15C0">
        <w:t xml:space="preserve">2030. </w:t>
      </w:r>
      <w:r>
        <w:t>Deuxièmement</w:t>
      </w:r>
      <w:r w:rsidRPr="005C15C0">
        <w:t xml:space="preserve">, </w:t>
      </w:r>
      <w:r>
        <w:t xml:space="preserve">à sa quatre-vingt-deuxième </w:t>
      </w:r>
      <w:r w:rsidRPr="005C15C0">
        <w:t>session (</w:t>
      </w:r>
      <w:r>
        <w:t>Genève</w:t>
      </w:r>
      <w:r w:rsidRPr="005C15C0">
        <w:t>, 25</w:t>
      </w:r>
      <w:r>
        <w:t>-</w:t>
      </w:r>
      <w:r w:rsidRPr="005C15C0">
        <w:t>28</w:t>
      </w:r>
      <w:r>
        <w:t> </w:t>
      </w:r>
      <w:r w:rsidRPr="005C15C0">
        <w:t xml:space="preserve">février 2020), </w:t>
      </w:r>
      <w:r>
        <w:t xml:space="preserve">le </w:t>
      </w:r>
      <w:r w:rsidRPr="005C15C0">
        <w:t xml:space="preserve">CTI </w:t>
      </w:r>
      <w:r>
        <w:t xml:space="preserve">a </w:t>
      </w:r>
      <w:r w:rsidRPr="005C15C0">
        <w:t>adopt</w:t>
      </w:r>
      <w:r>
        <w:t xml:space="preserve">é des </w:t>
      </w:r>
      <w:r w:rsidRPr="00536FFD">
        <w:t>recommandations concernant l</w:t>
      </w:r>
      <w:r>
        <w:t>’</w:t>
      </w:r>
      <w:r w:rsidRPr="00536FFD">
        <w:t>amélioration des systèmes nationaux de sécurité routière</w:t>
      </w:r>
      <w:r w:rsidRPr="005C15C0">
        <w:t xml:space="preserve">, </w:t>
      </w:r>
      <w:r>
        <w:t>applicables à compter du</w:t>
      </w:r>
      <w:r w:rsidRPr="005C15C0">
        <w:t xml:space="preserve"> 1</w:t>
      </w:r>
      <w:r w:rsidRPr="00CD14D3">
        <w:rPr>
          <w:vertAlign w:val="superscript"/>
        </w:rPr>
        <w:t>er</w:t>
      </w:r>
      <w:r>
        <w:t> avril</w:t>
      </w:r>
      <w:r w:rsidR="00743EFC">
        <w:t xml:space="preserve"> </w:t>
      </w:r>
      <w:r w:rsidRPr="005C15C0">
        <w:t xml:space="preserve">2020, </w:t>
      </w:r>
      <w:r>
        <w:t>qui fournissent aux</w:t>
      </w:r>
      <w:r w:rsidRPr="00CD14D3">
        <w:t xml:space="preserve"> </w:t>
      </w:r>
      <w:r w:rsidRPr="005C15C0">
        <w:t>États Membres</w:t>
      </w:r>
      <w:r>
        <w:t xml:space="preserve"> des orientations et des lignes directrices fort utiles sur les moyens d’améliorer durablement la sécurité routière de manière plus systématique</w:t>
      </w:r>
      <w:r w:rsidRPr="005C15C0">
        <w:t xml:space="preserve">. </w:t>
      </w:r>
      <w:r>
        <w:t>Troisièmement</w:t>
      </w:r>
      <w:r w:rsidRPr="005C15C0">
        <w:t xml:space="preserve">, </w:t>
      </w:r>
      <w:r>
        <w:t>avec l’</w:t>
      </w:r>
      <w:r w:rsidRPr="005C15C0">
        <w:t>adopt</w:t>
      </w:r>
      <w:r>
        <w:t>ion, le</w:t>
      </w:r>
      <w:r w:rsidRPr="005C15C0">
        <w:t xml:space="preserve"> 31</w:t>
      </w:r>
      <w:r>
        <w:t xml:space="preserve"> septembre </w:t>
      </w:r>
      <w:r w:rsidRPr="005C15C0">
        <w:t>2020</w:t>
      </w:r>
      <w:r>
        <w:t>, de sa ré</w:t>
      </w:r>
      <w:r w:rsidRPr="005C15C0">
        <w:t>solution</w:t>
      </w:r>
      <w:r>
        <w:t> </w:t>
      </w:r>
      <w:r w:rsidRPr="005C15C0">
        <w:t xml:space="preserve">74/299 </w:t>
      </w:r>
      <w:r>
        <w:t>sur l’amélioration de la sécurité routière mondiale</w:t>
      </w:r>
      <w:r w:rsidRPr="005C15C0">
        <w:t>,</w:t>
      </w:r>
      <w:r>
        <w:t xml:space="preserve"> l’</w:t>
      </w:r>
      <w:r w:rsidRPr="005C15C0">
        <w:t xml:space="preserve">Assemblée générale </w:t>
      </w:r>
      <w:r>
        <w:t>a lancé</w:t>
      </w:r>
      <w:r w:rsidRPr="005C15C0">
        <w:t xml:space="preserve"> </w:t>
      </w:r>
      <w:r>
        <w:t>la deuxième</w:t>
      </w:r>
      <w:r w:rsidRPr="005C15C0">
        <w:t xml:space="preserve"> </w:t>
      </w:r>
      <w:r w:rsidRPr="0072723C">
        <w:t>Décennie d</w:t>
      </w:r>
      <w:r>
        <w:t>’</w:t>
      </w:r>
      <w:r w:rsidRPr="0072723C">
        <w:t>action pour la sécurité routière</w:t>
      </w:r>
      <w:r w:rsidRPr="005C15C0">
        <w:t xml:space="preserve">, </w:t>
      </w:r>
      <w:r>
        <w:t xml:space="preserve">fixé de nouveaux objectifs ambitieux et demandé que soit établi un plan d’action pour la deuxième Décennie, </w:t>
      </w:r>
      <w:r w:rsidRPr="00EC760F">
        <w:t>qui servira de guide pour la réalisation des objectifs de celle-ci</w:t>
      </w:r>
      <w:r w:rsidRPr="005C15C0">
        <w:t xml:space="preserve">. </w:t>
      </w:r>
      <w:r>
        <w:t>À chacun de ces trois</w:t>
      </w:r>
      <w:r w:rsidRPr="005C15C0">
        <w:t xml:space="preserve"> </w:t>
      </w:r>
      <w:r>
        <w:t>événements marquants, le caractère irremplaçable et essentiel de l’action de la CEE et du CTI a été salué</w:t>
      </w:r>
      <w:r w:rsidRPr="005C15C0">
        <w:t>.</w:t>
      </w:r>
    </w:p>
    <w:p w14:paraId="4886B97D" w14:textId="77777777" w:rsidR="00563C0D" w:rsidRPr="005C15C0" w:rsidRDefault="00563C0D" w:rsidP="00563C0D">
      <w:pPr>
        <w:pStyle w:val="SingleTxtG"/>
      </w:pPr>
      <w:r w:rsidRPr="005C15C0">
        <w:t>24.</w:t>
      </w:r>
      <w:r w:rsidRPr="005C15C0">
        <w:tab/>
      </w:r>
      <w:r>
        <w:t>La table ronde du</w:t>
      </w:r>
      <w:r w:rsidRPr="005C15C0">
        <w:t xml:space="preserve"> CTI </w:t>
      </w:r>
      <w:r>
        <w:t xml:space="preserve">réunira des parties prenantes essentielles du monde entier pour un débat </w:t>
      </w:r>
      <w:r w:rsidRPr="005C15C0">
        <w:t>stratégi</w:t>
      </w:r>
      <w:r>
        <w:t>que</w:t>
      </w:r>
      <w:r w:rsidRPr="005C15C0">
        <w:t xml:space="preserve"> </w:t>
      </w:r>
      <w:r>
        <w:t>sur la nouvelle voie qu’il faudra suivre si l’on veut progresser de façon mesurable vers un règlement de la crise en cours</w:t>
      </w:r>
      <w:r w:rsidRPr="005C15C0">
        <w:t>.</w:t>
      </w:r>
    </w:p>
    <w:p w14:paraId="7386DB08" w14:textId="77777777" w:rsidR="00563C0D" w:rsidRPr="005C15C0" w:rsidRDefault="00563C0D" w:rsidP="00563C0D">
      <w:pPr>
        <w:pStyle w:val="HChG"/>
      </w:pPr>
      <w:r w:rsidRPr="005C15C0">
        <w:br w:type="page"/>
      </w:r>
      <w:r w:rsidRPr="005C15C0">
        <w:lastRenderedPageBreak/>
        <w:t>Annexe I</w:t>
      </w:r>
    </w:p>
    <w:p w14:paraId="178DADF5" w14:textId="77777777" w:rsidR="00563C0D" w:rsidRPr="005C15C0" w:rsidRDefault="00563C0D" w:rsidP="00563C0D">
      <w:pPr>
        <w:pStyle w:val="HChG"/>
      </w:pPr>
      <w:r w:rsidRPr="005C15C0">
        <w:tab/>
      </w:r>
      <w:r w:rsidRPr="005C15C0">
        <w:tab/>
        <w:t>Projet de programme pour la semaine (22-26 février 2021)</w:t>
      </w:r>
    </w:p>
    <w:tbl>
      <w:tblPr>
        <w:tblW w:w="8505" w:type="dxa"/>
        <w:tblInd w:w="1134" w:type="dxa"/>
        <w:tblCellMar>
          <w:left w:w="0" w:type="dxa"/>
          <w:right w:w="0" w:type="dxa"/>
        </w:tblCellMar>
        <w:tblLook w:val="04A0" w:firstRow="1" w:lastRow="0" w:firstColumn="1" w:lastColumn="0" w:noHBand="0" w:noVBand="1"/>
      </w:tblPr>
      <w:tblGrid>
        <w:gridCol w:w="1253"/>
        <w:gridCol w:w="2126"/>
        <w:gridCol w:w="5126"/>
      </w:tblGrid>
      <w:tr w:rsidR="00563C0D" w:rsidRPr="00563C0D" w14:paraId="653F5DC7" w14:textId="77777777" w:rsidTr="00563C0D">
        <w:trPr>
          <w:trHeight w:val="630"/>
        </w:trPr>
        <w:tc>
          <w:tcPr>
            <w:tcW w:w="125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315740C9" w14:textId="77777777" w:rsidR="00563C0D" w:rsidRPr="00563C0D" w:rsidRDefault="00563C0D" w:rsidP="00563C0D">
            <w:pPr>
              <w:spacing w:before="60" w:after="60"/>
              <w:ind w:left="113" w:right="113"/>
              <w:rPr>
                <w:b/>
                <w:bCs/>
                <w:color w:val="000000"/>
                <w:lang w:eastAsia="zh-CN"/>
              </w:rPr>
            </w:pPr>
            <w:bookmarkStart w:id="0" w:name="RANGE!A1:F15"/>
            <w:r w:rsidRPr="00563C0D">
              <w:rPr>
                <w:b/>
                <w:bCs/>
                <w:color w:val="000000"/>
                <w:lang w:eastAsia="zh-CN"/>
              </w:rPr>
              <w:t>Lundi</w:t>
            </w:r>
            <w:r w:rsidRPr="00563C0D">
              <w:rPr>
                <w:b/>
                <w:bCs/>
                <w:color w:val="000000"/>
                <w:lang w:eastAsia="zh-CN"/>
              </w:rPr>
              <w:br/>
              <w:t>22 février</w:t>
            </w:r>
            <w:bookmarkEnd w:id="0"/>
          </w:p>
        </w:tc>
        <w:tc>
          <w:tcPr>
            <w:tcW w:w="2126" w:type="dxa"/>
            <w:tcBorders>
              <w:top w:val="double" w:sz="6" w:space="0" w:color="auto"/>
              <w:left w:val="nil"/>
              <w:bottom w:val="single" w:sz="4" w:space="0" w:color="auto"/>
              <w:right w:val="double" w:sz="6" w:space="0" w:color="auto"/>
            </w:tcBorders>
            <w:shd w:val="clear" w:color="auto" w:fill="auto"/>
            <w:vAlign w:val="center"/>
            <w:hideMark/>
          </w:tcPr>
          <w:p w14:paraId="7B5D1C02"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15 heures-18 heures</w:t>
            </w:r>
          </w:p>
        </w:tc>
        <w:tc>
          <w:tcPr>
            <w:tcW w:w="5126" w:type="dxa"/>
            <w:tcBorders>
              <w:top w:val="double" w:sz="6" w:space="0" w:color="auto"/>
              <w:left w:val="nil"/>
              <w:bottom w:val="double" w:sz="6" w:space="0" w:color="auto"/>
              <w:right w:val="double" w:sz="6" w:space="0" w:color="000000"/>
            </w:tcBorders>
            <w:shd w:val="clear" w:color="000000" w:fill="92D050"/>
            <w:vAlign w:val="center"/>
            <w:hideMark/>
          </w:tcPr>
          <w:p w14:paraId="3E087362"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Réunion du Bureau du CTI</w:t>
            </w:r>
          </w:p>
        </w:tc>
      </w:tr>
      <w:tr w:rsidR="00563C0D" w:rsidRPr="00563C0D" w14:paraId="3CD831C9" w14:textId="77777777" w:rsidTr="00563C0D">
        <w:trPr>
          <w:trHeight w:val="660"/>
        </w:trPr>
        <w:tc>
          <w:tcPr>
            <w:tcW w:w="1253" w:type="dxa"/>
            <w:vMerge w:val="restart"/>
            <w:tcBorders>
              <w:top w:val="double" w:sz="6" w:space="0" w:color="auto"/>
              <w:left w:val="double" w:sz="6" w:space="0" w:color="auto"/>
              <w:right w:val="single" w:sz="4" w:space="0" w:color="auto"/>
            </w:tcBorders>
            <w:shd w:val="clear" w:color="auto" w:fill="auto"/>
            <w:vAlign w:val="center"/>
            <w:hideMark/>
          </w:tcPr>
          <w:p w14:paraId="4AFD79B4"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Mardi</w:t>
            </w:r>
            <w:r w:rsidRPr="00563C0D">
              <w:rPr>
                <w:b/>
                <w:bCs/>
                <w:color w:val="000000"/>
                <w:lang w:eastAsia="zh-CN"/>
              </w:rPr>
              <w:br/>
              <w:t>23 février</w:t>
            </w:r>
          </w:p>
        </w:tc>
        <w:tc>
          <w:tcPr>
            <w:tcW w:w="2126" w:type="dxa"/>
            <w:tcBorders>
              <w:top w:val="double" w:sz="6" w:space="0" w:color="auto"/>
              <w:left w:val="nil"/>
              <w:bottom w:val="single" w:sz="4" w:space="0" w:color="auto"/>
              <w:right w:val="double" w:sz="6" w:space="0" w:color="auto"/>
            </w:tcBorders>
            <w:shd w:val="clear" w:color="auto" w:fill="auto"/>
            <w:vAlign w:val="center"/>
            <w:hideMark/>
          </w:tcPr>
          <w:p w14:paraId="7932C322"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11 heures-13 heures</w:t>
            </w:r>
          </w:p>
        </w:tc>
        <w:tc>
          <w:tcPr>
            <w:tcW w:w="5126" w:type="dxa"/>
            <w:tcBorders>
              <w:top w:val="double" w:sz="6" w:space="0" w:color="auto"/>
              <w:left w:val="nil"/>
              <w:bottom w:val="nil"/>
              <w:right w:val="double" w:sz="6" w:space="0" w:color="000000"/>
            </w:tcBorders>
            <w:shd w:val="clear" w:color="000000" w:fill="9BC2E6"/>
            <w:vAlign w:val="center"/>
            <w:hideMark/>
          </w:tcPr>
          <w:p w14:paraId="2B74D9E7"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Débat général de haut niveau du CTI</w:t>
            </w:r>
            <w:r w:rsidRPr="00563C0D">
              <w:rPr>
                <w:b/>
                <w:bCs/>
                <w:color w:val="000000"/>
                <w:lang w:eastAsia="zh-CN"/>
              </w:rPr>
              <w:br/>
              <w:t>Séance hybride avec interprétation</w:t>
            </w:r>
          </w:p>
        </w:tc>
      </w:tr>
      <w:tr w:rsidR="00563C0D" w:rsidRPr="00563C0D" w14:paraId="2ADE2A3E" w14:textId="77777777" w:rsidTr="00563C0D">
        <w:trPr>
          <w:trHeight w:val="585"/>
        </w:trPr>
        <w:tc>
          <w:tcPr>
            <w:tcW w:w="1253" w:type="dxa"/>
            <w:vMerge/>
            <w:tcBorders>
              <w:left w:val="double" w:sz="6" w:space="0" w:color="auto"/>
              <w:right w:val="single" w:sz="4" w:space="0" w:color="auto"/>
            </w:tcBorders>
            <w:shd w:val="clear" w:color="auto" w:fill="auto"/>
            <w:vAlign w:val="center"/>
            <w:hideMark/>
          </w:tcPr>
          <w:p w14:paraId="4CFAAEB5"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single" w:sz="4" w:space="0" w:color="auto"/>
              <w:right w:val="double" w:sz="6" w:space="0" w:color="auto"/>
            </w:tcBorders>
            <w:shd w:val="clear" w:color="auto" w:fill="auto"/>
            <w:vAlign w:val="center"/>
            <w:hideMark/>
          </w:tcPr>
          <w:p w14:paraId="480D228E"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13 heures-15 heures</w:t>
            </w:r>
          </w:p>
        </w:tc>
        <w:tc>
          <w:tcPr>
            <w:tcW w:w="5126" w:type="dxa"/>
            <w:tcBorders>
              <w:top w:val="nil"/>
              <w:left w:val="nil"/>
              <w:bottom w:val="nil"/>
              <w:right w:val="double" w:sz="6" w:space="0" w:color="000000"/>
            </w:tcBorders>
            <w:shd w:val="clear" w:color="auto" w:fill="auto"/>
            <w:vAlign w:val="center"/>
            <w:hideMark/>
          </w:tcPr>
          <w:p w14:paraId="3AF38265" w14:textId="77777777" w:rsidR="00563C0D" w:rsidRPr="00563C0D" w:rsidRDefault="00563C0D" w:rsidP="00563C0D">
            <w:pPr>
              <w:spacing w:before="60" w:after="60"/>
              <w:ind w:left="113" w:right="113"/>
              <w:rPr>
                <w:b/>
                <w:bCs/>
                <w:color w:val="000000"/>
                <w:lang w:eastAsia="zh-CN"/>
              </w:rPr>
            </w:pPr>
            <w:r w:rsidRPr="00563C0D">
              <w:rPr>
                <w:b/>
                <w:bCs/>
                <w:i/>
                <w:iCs/>
                <w:color w:val="000000"/>
                <w:lang w:eastAsia="zh-CN"/>
              </w:rPr>
              <w:t>Pause</w:t>
            </w:r>
          </w:p>
        </w:tc>
      </w:tr>
      <w:tr w:rsidR="00563C0D" w:rsidRPr="00563C0D" w14:paraId="1DA59337" w14:textId="77777777" w:rsidTr="00563C0D">
        <w:trPr>
          <w:trHeight w:val="675"/>
        </w:trPr>
        <w:tc>
          <w:tcPr>
            <w:tcW w:w="1253" w:type="dxa"/>
            <w:vMerge/>
            <w:tcBorders>
              <w:left w:val="double" w:sz="6" w:space="0" w:color="auto"/>
              <w:right w:val="single" w:sz="4" w:space="0" w:color="auto"/>
            </w:tcBorders>
            <w:shd w:val="clear" w:color="auto" w:fill="auto"/>
            <w:vAlign w:val="center"/>
            <w:hideMark/>
          </w:tcPr>
          <w:p w14:paraId="2807664A"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single" w:sz="4" w:space="0" w:color="auto"/>
              <w:right w:val="double" w:sz="6" w:space="0" w:color="auto"/>
            </w:tcBorders>
            <w:shd w:val="clear" w:color="auto" w:fill="auto"/>
            <w:vAlign w:val="center"/>
            <w:hideMark/>
          </w:tcPr>
          <w:p w14:paraId="3EEBEF96"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15 heures-17 heures</w:t>
            </w:r>
          </w:p>
        </w:tc>
        <w:tc>
          <w:tcPr>
            <w:tcW w:w="5126" w:type="dxa"/>
            <w:tcBorders>
              <w:top w:val="double" w:sz="6" w:space="0" w:color="auto"/>
              <w:left w:val="nil"/>
              <w:bottom w:val="nil"/>
              <w:right w:val="double" w:sz="6" w:space="0" w:color="000000"/>
            </w:tcBorders>
            <w:shd w:val="clear" w:color="000000" w:fill="9BC2E6"/>
            <w:vAlign w:val="center"/>
          </w:tcPr>
          <w:p w14:paraId="7C532B00"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Session annuelle du CTI − session restreinte*</w:t>
            </w:r>
            <w:r w:rsidRPr="00563C0D">
              <w:rPr>
                <w:b/>
                <w:bCs/>
                <w:color w:val="000000"/>
                <w:lang w:eastAsia="zh-CN"/>
              </w:rPr>
              <w:br/>
              <w:t xml:space="preserve">Séance hybride avec interprétation </w:t>
            </w:r>
            <w:r>
              <w:rPr>
                <w:b/>
                <w:bCs/>
                <w:color w:val="000000"/>
                <w:lang w:eastAsia="zh-CN"/>
              </w:rPr>
              <w:br/>
            </w:r>
            <w:r w:rsidRPr="00563C0D">
              <w:rPr>
                <w:b/>
                <w:bCs/>
                <w:color w:val="000000"/>
                <w:lang w:eastAsia="zh-CN"/>
              </w:rPr>
              <w:t xml:space="preserve">(*réservée aux représentants des gouvernements) </w:t>
            </w:r>
          </w:p>
        </w:tc>
      </w:tr>
      <w:tr w:rsidR="00563C0D" w:rsidRPr="00563C0D" w14:paraId="36E4A90E" w14:textId="77777777" w:rsidTr="00563C0D">
        <w:trPr>
          <w:trHeight w:val="315"/>
        </w:trPr>
        <w:tc>
          <w:tcPr>
            <w:tcW w:w="1253" w:type="dxa"/>
            <w:vMerge/>
            <w:tcBorders>
              <w:left w:val="double" w:sz="6" w:space="0" w:color="auto"/>
              <w:bottom w:val="double" w:sz="6" w:space="0" w:color="000000"/>
              <w:right w:val="single" w:sz="4" w:space="0" w:color="auto"/>
            </w:tcBorders>
            <w:shd w:val="clear" w:color="auto" w:fill="auto"/>
            <w:vAlign w:val="center"/>
            <w:hideMark/>
          </w:tcPr>
          <w:p w14:paraId="740D7454"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double" w:sz="6" w:space="0" w:color="auto"/>
              <w:right w:val="double" w:sz="6" w:space="0" w:color="auto"/>
            </w:tcBorders>
            <w:shd w:val="clear" w:color="auto" w:fill="auto"/>
            <w:vAlign w:val="center"/>
            <w:hideMark/>
          </w:tcPr>
          <w:p w14:paraId="4334A211"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18 heures-20 heures</w:t>
            </w:r>
          </w:p>
        </w:tc>
        <w:tc>
          <w:tcPr>
            <w:tcW w:w="5126" w:type="dxa"/>
            <w:tcBorders>
              <w:top w:val="nil"/>
              <w:left w:val="nil"/>
              <w:bottom w:val="double" w:sz="6" w:space="0" w:color="auto"/>
              <w:right w:val="double" w:sz="6" w:space="0" w:color="000000"/>
            </w:tcBorders>
            <w:shd w:val="clear" w:color="000000" w:fill="FFC000"/>
            <w:vAlign w:val="center"/>
            <w:hideMark/>
          </w:tcPr>
          <w:p w14:paraId="553A4136"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Cocktail (Palais des Nations) (</w:t>
            </w:r>
            <w:r w:rsidRPr="00563C0D">
              <w:rPr>
                <w:b/>
                <w:bCs/>
                <w:color w:val="FF0000"/>
                <w:lang w:eastAsia="zh-CN"/>
              </w:rPr>
              <w:t>à confirmer</w:t>
            </w:r>
            <w:r w:rsidRPr="00563C0D">
              <w:rPr>
                <w:b/>
                <w:bCs/>
                <w:color w:val="000000"/>
                <w:lang w:eastAsia="zh-CN"/>
              </w:rPr>
              <w:t>)</w:t>
            </w:r>
          </w:p>
        </w:tc>
      </w:tr>
      <w:tr w:rsidR="00563C0D" w:rsidRPr="00563C0D" w14:paraId="18685737" w14:textId="77777777" w:rsidTr="00563C0D">
        <w:trPr>
          <w:trHeight w:val="975"/>
        </w:trPr>
        <w:tc>
          <w:tcPr>
            <w:tcW w:w="1253" w:type="dxa"/>
            <w:vMerge w:val="restart"/>
            <w:tcBorders>
              <w:top w:val="nil"/>
              <w:left w:val="double" w:sz="6" w:space="0" w:color="auto"/>
              <w:bottom w:val="double" w:sz="6" w:space="0" w:color="000000"/>
              <w:right w:val="single" w:sz="4" w:space="0" w:color="auto"/>
            </w:tcBorders>
            <w:shd w:val="clear" w:color="auto" w:fill="auto"/>
            <w:vAlign w:val="center"/>
            <w:hideMark/>
          </w:tcPr>
          <w:p w14:paraId="7D366243"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Mercredi</w:t>
            </w:r>
            <w:r w:rsidRPr="00563C0D">
              <w:rPr>
                <w:b/>
                <w:bCs/>
                <w:color w:val="000000"/>
                <w:lang w:eastAsia="zh-CN"/>
              </w:rPr>
              <w:br/>
              <w:t>24 février</w:t>
            </w:r>
          </w:p>
        </w:tc>
        <w:tc>
          <w:tcPr>
            <w:tcW w:w="2126" w:type="dxa"/>
            <w:tcBorders>
              <w:top w:val="nil"/>
              <w:left w:val="nil"/>
              <w:bottom w:val="single" w:sz="4" w:space="0" w:color="auto"/>
              <w:right w:val="double" w:sz="6" w:space="0" w:color="auto"/>
            </w:tcBorders>
            <w:shd w:val="clear" w:color="auto" w:fill="auto"/>
            <w:vAlign w:val="center"/>
            <w:hideMark/>
          </w:tcPr>
          <w:p w14:paraId="2A649EED"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11 heures-13 heures</w:t>
            </w:r>
          </w:p>
        </w:tc>
        <w:tc>
          <w:tcPr>
            <w:tcW w:w="5126" w:type="dxa"/>
            <w:tcBorders>
              <w:top w:val="double" w:sz="6" w:space="0" w:color="auto"/>
              <w:left w:val="nil"/>
              <w:bottom w:val="nil"/>
              <w:right w:val="double" w:sz="6" w:space="0" w:color="000000"/>
            </w:tcBorders>
            <w:shd w:val="clear" w:color="000000" w:fill="9BC2E6"/>
            <w:vAlign w:val="center"/>
            <w:hideMark/>
          </w:tcPr>
          <w:p w14:paraId="7131A3DD"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 xml:space="preserve">Session annuelle du CTI </w:t>
            </w:r>
            <w:r w:rsidR="001A0B2D">
              <w:rPr>
                <w:b/>
                <w:bCs/>
                <w:color w:val="000000"/>
                <w:lang w:eastAsia="zh-CN"/>
              </w:rPr>
              <w:t>−</w:t>
            </w:r>
            <w:r w:rsidRPr="00563C0D">
              <w:rPr>
                <w:b/>
                <w:bCs/>
                <w:color w:val="000000"/>
                <w:lang w:eastAsia="zh-CN"/>
              </w:rPr>
              <w:t xml:space="preserve"> session ordinaire</w:t>
            </w:r>
            <w:r w:rsidRPr="00563C0D">
              <w:rPr>
                <w:b/>
                <w:bCs/>
                <w:color w:val="000000"/>
                <w:lang w:eastAsia="zh-CN"/>
              </w:rPr>
              <w:br/>
              <w:t>Séance hybride avec interprétation</w:t>
            </w:r>
          </w:p>
        </w:tc>
      </w:tr>
      <w:tr w:rsidR="00563C0D" w:rsidRPr="00563C0D" w14:paraId="4D191E62" w14:textId="77777777" w:rsidTr="00563C0D">
        <w:trPr>
          <w:trHeight w:val="315"/>
        </w:trPr>
        <w:tc>
          <w:tcPr>
            <w:tcW w:w="1253" w:type="dxa"/>
            <w:vMerge/>
            <w:tcBorders>
              <w:top w:val="nil"/>
              <w:left w:val="double" w:sz="6" w:space="0" w:color="auto"/>
              <w:bottom w:val="double" w:sz="6" w:space="0" w:color="000000"/>
              <w:right w:val="single" w:sz="4" w:space="0" w:color="auto"/>
            </w:tcBorders>
            <w:vAlign w:val="center"/>
            <w:hideMark/>
          </w:tcPr>
          <w:p w14:paraId="75E68B41"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single" w:sz="4" w:space="0" w:color="auto"/>
              <w:right w:val="double" w:sz="6" w:space="0" w:color="auto"/>
            </w:tcBorders>
            <w:shd w:val="clear" w:color="auto" w:fill="auto"/>
            <w:vAlign w:val="center"/>
            <w:hideMark/>
          </w:tcPr>
          <w:p w14:paraId="2879383F"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13 heures-15 heures</w:t>
            </w:r>
          </w:p>
        </w:tc>
        <w:tc>
          <w:tcPr>
            <w:tcW w:w="5126" w:type="dxa"/>
            <w:tcBorders>
              <w:top w:val="nil"/>
              <w:left w:val="nil"/>
              <w:bottom w:val="nil"/>
              <w:right w:val="double" w:sz="6" w:space="0" w:color="000000"/>
            </w:tcBorders>
            <w:shd w:val="clear" w:color="auto" w:fill="auto"/>
            <w:vAlign w:val="center"/>
            <w:hideMark/>
          </w:tcPr>
          <w:p w14:paraId="4D6F97A3" w14:textId="77777777" w:rsidR="00563C0D" w:rsidRPr="00563C0D" w:rsidRDefault="00563C0D" w:rsidP="00563C0D">
            <w:pPr>
              <w:spacing w:before="60" w:after="60"/>
              <w:ind w:left="113" w:right="113"/>
              <w:rPr>
                <w:b/>
                <w:bCs/>
                <w:i/>
                <w:iCs/>
                <w:color w:val="000000"/>
                <w:lang w:eastAsia="zh-CN"/>
              </w:rPr>
            </w:pPr>
            <w:r w:rsidRPr="00563C0D">
              <w:rPr>
                <w:b/>
                <w:bCs/>
                <w:i/>
                <w:iCs/>
                <w:color w:val="000000"/>
                <w:lang w:eastAsia="zh-CN"/>
              </w:rPr>
              <w:t>Pause</w:t>
            </w:r>
          </w:p>
        </w:tc>
      </w:tr>
      <w:tr w:rsidR="00563C0D" w:rsidRPr="00563C0D" w14:paraId="02838520" w14:textId="77777777" w:rsidTr="00563C0D">
        <w:trPr>
          <w:trHeight w:val="1065"/>
        </w:trPr>
        <w:tc>
          <w:tcPr>
            <w:tcW w:w="1253" w:type="dxa"/>
            <w:vMerge/>
            <w:tcBorders>
              <w:top w:val="nil"/>
              <w:left w:val="double" w:sz="6" w:space="0" w:color="auto"/>
              <w:bottom w:val="double" w:sz="6" w:space="0" w:color="000000"/>
              <w:right w:val="single" w:sz="4" w:space="0" w:color="auto"/>
            </w:tcBorders>
            <w:vAlign w:val="center"/>
            <w:hideMark/>
          </w:tcPr>
          <w:p w14:paraId="57AF6B18"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double" w:sz="6" w:space="0" w:color="auto"/>
              <w:right w:val="double" w:sz="6" w:space="0" w:color="auto"/>
            </w:tcBorders>
            <w:shd w:val="clear" w:color="auto" w:fill="auto"/>
            <w:vAlign w:val="center"/>
            <w:hideMark/>
          </w:tcPr>
          <w:p w14:paraId="7FAC5B38"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15 heures-17 heures</w:t>
            </w:r>
          </w:p>
        </w:tc>
        <w:tc>
          <w:tcPr>
            <w:tcW w:w="5126" w:type="dxa"/>
            <w:tcBorders>
              <w:top w:val="double" w:sz="6" w:space="0" w:color="auto"/>
              <w:left w:val="nil"/>
              <w:bottom w:val="nil"/>
              <w:right w:val="double" w:sz="6" w:space="0" w:color="000000"/>
            </w:tcBorders>
            <w:shd w:val="clear" w:color="000000" w:fill="9BC2E6"/>
            <w:vAlign w:val="center"/>
            <w:hideMark/>
          </w:tcPr>
          <w:p w14:paraId="12347BF1"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 xml:space="preserve">Session annuelle du CTI </w:t>
            </w:r>
            <w:r w:rsidR="001A0B2D">
              <w:rPr>
                <w:b/>
                <w:bCs/>
                <w:color w:val="000000"/>
                <w:lang w:eastAsia="zh-CN"/>
              </w:rPr>
              <w:t>−</w:t>
            </w:r>
            <w:r w:rsidRPr="00563C0D">
              <w:rPr>
                <w:b/>
                <w:bCs/>
                <w:color w:val="000000"/>
                <w:lang w:eastAsia="zh-CN"/>
              </w:rPr>
              <w:t xml:space="preserve"> session ordinaire (</w:t>
            </w:r>
            <w:r w:rsidRPr="001A0B2D">
              <w:rPr>
                <w:b/>
                <w:bCs/>
                <w:i/>
                <w:iCs/>
                <w:color w:val="000000"/>
                <w:lang w:eastAsia="zh-CN"/>
              </w:rPr>
              <w:t>suite</w:t>
            </w:r>
            <w:r w:rsidRPr="00563C0D">
              <w:rPr>
                <w:b/>
                <w:bCs/>
                <w:color w:val="000000"/>
                <w:lang w:eastAsia="zh-CN"/>
              </w:rPr>
              <w:t>)</w:t>
            </w:r>
            <w:r w:rsidRPr="00563C0D">
              <w:rPr>
                <w:b/>
                <w:bCs/>
                <w:color w:val="000000"/>
                <w:lang w:eastAsia="zh-CN"/>
              </w:rPr>
              <w:br/>
              <w:t>Séance hybride avec interprétation</w:t>
            </w:r>
          </w:p>
        </w:tc>
      </w:tr>
      <w:tr w:rsidR="00563C0D" w:rsidRPr="00563C0D" w14:paraId="08BDF6CB" w14:textId="77777777" w:rsidTr="00563C0D">
        <w:trPr>
          <w:trHeight w:val="1155"/>
        </w:trPr>
        <w:tc>
          <w:tcPr>
            <w:tcW w:w="1253" w:type="dxa"/>
            <w:vMerge w:val="restart"/>
            <w:tcBorders>
              <w:top w:val="nil"/>
              <w:left w:val="double" w:sz="6" w:space="0" w:color="auto"/>
              <w:bottom w:val="double" w:sz="6" w:space="0" w:color="000000"/>
              <w:right w:val="single" w:sz="4" w:space="0" w:color="auto"/>
            </w:tcBorders>
            <w:shd w:val="clear" w:color="auto" w:fill="auto"/>
            <w:vAlign w:val="center"/>
            <w:hideMark/>
          </w:tcPr>
          <w:p w14:paraId="0A96D56D"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Jeudi</w:t>
            </w:r>
            <w:r w:rsidRPr="00563C0D">
              <w:rPr>
                <w:b/>
                <w:bCs/>
                <w:color w:val="000000"/>
                <w:lang w:eastAsia="zh-CN"/>
              </w:rPr>
              <w:br/>
              <w:t>25 février</w:t>
            </w:r>
          </w:p>
        </w:tc>
        <w:tc>
          <w:tcPr>
            <w:tcW w:w="2126" w:type="dxa"/>
            <w:tcBorders>
              <w:top w:val="nil"/>
              <w:left w:val="nil"/>
              <w:bottom w:val="single" w:sz="4" w:space="0" w:color="auto"/>
              <w:right w:val="double" w:sz="6" w:space="0" w:color="auto"/>
            </w:tcBorders>
            <w:shd w:val="clear" w:color="auto" w:fill="auto"/>
            <w:vAlign w:val="center"/>
            <w:hideMark/>
          </w:tcPr>
          <w:p w14:paraId="57865DF0"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11 heures-13 heures</w:t>
            </w:r>
          </w:p>
        </w:tc>
        <w:tc>
          <w:tcPr>
            <w:tcW w:w="5126" w:type="dxa"/>
            <w:tcBorders>
              <w:top w:val="double" w:sz="6" w:space="0" w:color="auto"/>
              <w:left w:val="nil"/>
              <w:bottom w:val="nil"/>
              <w:right w:val="double" w:sz="6" w:space="0" w:color="000000"/>
            </w:tcBorders>
            <w:shd w:val="clear" w:color="000000" w:fill="9BC2E6"/>
            <w:vAlign w:val="center"/>
            <w:hideMark/>
          </w:tcPr>
          <w:p w14:paraId="58CE9884"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 xml:space="preserve">Session annuelle du CTI </w:t>
            </w:r>
            <w:r w:rsidR="001A0B2D">
              <w:rPr>
                <w:b/>
                <w:bCs/>
                <w:color w:val="000000"/>
                <w:lang w:eastAsia="zh-CN"/>
              </w:rPr>
              <w:t>−</w:t>
            </w:r>
            <w:r w:rsidRPr="00563C0D">
              <w:rPr>
                <w:b/>
                <w:bCs/>
                <w:color w:val="000000"/>
                <w:lang w:eastAsia="zh-CN"/>
              </w:rPr>
              <w:t xml:space="preserve"> session ordinaire (</w:t>
            </w:r>
            <w:r w:rsidRPr="001A0B2D">
              <w:rPr>
                <w:b/>
                <w:bCs/>
                <w:i/>
                <w:iCs/>
                <w:color w:val="000000"/>
                <w:lang w:eastAsia="zh-CN"/>
              </w:rPr>
              <w:t>suite</w:t>
            </w:r>
            <w:r w:rsidRPr="00563C0D">
              <w:rPr>
                <w:b/>
                <w:bCs/>
                <w:color w:val="000000"/>
                <w:lang w:eastAsia="zh-CN"/>
              </w:rPr>
              <w:t>)</w:t>
            </w:r>
            <w:r w:rsidRPr="00563C0D">
              <w:rPr>
                <w:b/>
                <w:bCs/>
                <w:color w:val="000000"/>
                <w:lang w:eastAsia="zh-CN"/>
              </w:rPr>
              <w:br/>
              <w:t>Séance hybride avec interprétation</w:t>
            </w:r>
          </w:p>
        </w:tc>
      </w:tr>
      <w:tr w:rsidR="00563C0D" w:rsidRPr="00563C0D" w14:paraId="51F95E3B" w14:textId="77777777" w:rsidTr="00563C0D">
        <w:trPr>
          <w:trHeight w:val="315"/>
        </w:trPr>
        <w:tc>
          <w:tcPr>
            <w:tcW w:w="1253" w:type="dxa"/>
            <w:vMerge/>
            <w:tcBorders>
              <w:top w:val="nil"/>
              <w:left w:val="double" w:sz="6" w:space="0" w:color="auto"/>
              <w:bottom w:val="double" w:sz="6" w:space="0" w:color="000000"/>
              <w:right w:val="single" w:sz="4" w:space="0" w:color="auto"/>
            </w:tcBorders>
            <w:vAlign w:val="center"/>
            <w:hideMark/>
          </w:tcPr>
          <w:p w14:paraId="7AB1805E"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single" w:sz="4" w:space="0" w:color="auto"/>
              <w:right w:val="double" w:sz="6" w:space="0" w:color="auto"/>
            </w:tcBorders>
            <w:shd w:val="clear" w:color="auto" w:fill="auto"/>
            <w:vAlign w:val="center"/>
            <w:hideMark/>
          </w:tcPr>
          <w:p w14:paraId="06967FF3"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13 heures-15 heures</w:t>
            </w:r>
          </w:p>
        </w:tc>
        <w:tc>
          <w:tcPr>
            <w:tcW w:w="5126" w:type="dxa"/>
            <w:tcBorders>
              <w:top w:val="nil"/>
              <w:left w:val="nil"/>
              <w:bottom w:val="nil"/>
              <w:right w:val="double" w:sz="6" w:space="0" w:color="000000"/>
            </w:tcBorders>
            <w:shd w:val="clear" w:color="auto" w:fill="auto"/>
            <w:vAlign w:val="center"/>
            <w:hideMark/>
          </w:tcPr>
          <w:p w14:paraId="56B75309" w14:textId="77777777" w:rsidR="00563C0D" w:rsidRPr="00563C0D" w:rsidRDefault="00563C0D" w:rsidP="00563C0D">
            <w:pPr>
              <w:spacing w:before="60" w:after="60"/>
              <w:ind w:left="113" w:right="113"/>
              <w:rPr>
                <w:b/>
                <w:bCs/>
                <w:i/>
                <w:iCs/>
                <w:color w:val="000000"/>
                <w:lang w:eastAsia="zh-CN"/>
              </w:rPr>
            </w:pPr>
            <w:r w:rsidRPr="00563C0D">
              <w:rPr>
                <w:b/>
                <w:bCs/>
                <w:i/>
                <w:iCs/>
                <w:color w:val="000000"/>
                <w:lang w:eastAsia="zh-CN"/>
              </w:rPr>
              <w:t>Pause</w:t>
            </w:r>
          </w:p>
        </w:tc>
      </w:tr>
      <w:tr w:rsidR="00563C0D" w:rsidRPr="00563C0D" w14:paraId="3E3668DA" w14:textId="77777777" w:rsidTr="00563C0D">
        <w:trPr>
          <w:trHeight w:val="1080"/>
        </w:trPr>
        <w:tc>
          <w:tcPr>
            <w:tcW w:w="1253" w:type="dxa"/>
            <w:vMerge/>
            <w:tcBorders>
              <w:top w:val="nil"/>
              <w:left w:val="double" w:sz="6" w:space="0" w:color="auto"/>
              <w:bottom w:val="double" w:sz="6" w:space="0" w:color="000000"/>
              <w:right w:val="single" w:sz="4" w:space="0" w:color="auto"/>
            </w:tcBorders>
            <w:vAlign w:val="center"/>
            <w:hideMark/>
          </w:tcPr>
          <w:p w14:paraId="66A0CEBB"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double" w:sz="6" w:space="0" w:color="auto"/>
              <w:right w:val="double" w:sz="6" w:space="0" w:color="auto"/>
            </w:tcBorders>
            <w:shd w:val="clear" w:color="auto" w:fill="auto"/>
            <w:vAlign w:val="center"/>
            <w:hideMark/>
          </w:tcPr>
          <w:p w14:paraId="4227B8D8"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15 heures-17 heures</w:t>
            </w:r>
          </w:p>
        </w:tc>
        <w:tc>
          <w:tcPr>
            <w:tcW w:w="5126" w:type="dxa"/>
            <w:tcBorders>
              <w:top w:val="double" w:sz="6" w:space="0" w:color="auto"/>
              <w:left w:val="nil"/>
              <w:bottom w:val="nil"/>
              <w:right w:val="double" w:sz="6" w:space="0" w:color="000000"/>
            </w:tcBorders>
            <w:shd w:val="clear" w:color="000000" w:fill="9BC2E6"/>
            <w:vAlign w:val="center"/>
            <w:hideMark/>
          </w:tcPr>
          <w:p w14:paraId="08EB194E"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 xml:space="preserve">Session annuelle du CTI </w:t>
            </w:r>
            <w:r w:rsidR="001A0B2D">
              <w:rPr>
                <w:b/>
                <w:bCs/>
                <w:color w:val="000000"/>
                <w:lang w:eastAsia="zh-CN"/>
              </w:rPr>
              <w:t>−</w:t>
            </w:r>
            <w:r w:rsidRPr="00563C0D">
              <w:rPr>
                <w:b/>
                <w:bCs/>
                <w:color w:val="000000"/>
                <w:lang w:eastAsia="zh-CN"/>
              </w:rPr>
              <w:t xml:space="preserve"> session ordinaire (</w:t>
            </w:r>
            <w:r w:rsidRPr="001A0B2D">
              <w:rPr>
                <w:b/>
                <w:bCs/>
                <w:i/>
                <w:iCs/>
                <w:color w:val="000000"/>
                <w:lang w:eastAsia="zh-CN"/>
              </w:rPr>
              <w:t>suite</w:t>
            </w:r>
            <w:r w:rsidRPr="00563C0D">
              <w:rPr>
                <w:b/>
                <w:bCs/>
                <w:color w:val="000000"/>
                <w:lang w:eastAsia="zh-CN"/>
              </w:rPr>
              <w:t>)</w:t>
            </w:r>
            <w:r w:rsidRPr="00563C0D">
              <w:rPr>
                <w:b/>
                <w:bCs/>
                <w:color w:val="000000"/>
                <w:lang w:eastAsia="zh-CN"/>
              </w:rPr>
              <w:br/>
              <w:t>Séance hybride avec interprétation</w:t>
            </w:r>
          </w:p>
        </w:tc>
      </w:tr>
      <w:tr w:rsidR="00563C0D" w:rsidRPr="00563C0D" w14:paraId="53956EEA" w14:textId="77777777" w:rsidTr="00563C0D">
        <w:trPr>
          <w:trHeight w:val="1020"/>
        </w:trPr>
        <w:tc>
          <w:tcPr>
            <w:tcW w:w="1253" w:type="dxa"/>
            <w:vMerge w:val="restart"/>
            <w:tcBorders>
              <w:top w:val="nil"/>
              <w:left w:val="double" w:sz="6" w:space="0" w:color="auto"/>
              <w:bottom w:val="double" w:sz="6" w:space="0" w:color="000000"/>
              <w:right w:val="single" w:sz="4" w:space="0" w:color="auto"/>
            </w:tcBorders>
            <w:shd w:val="clear" w:color="auto" w:fill="auto"/>
            <w:vAlign w:val="center"/>
            <w:hideMark/>
          </w:tcPr>
          <w:p w14:paraId="486150C8"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 xml:space="preserve">Vendredi </w:t>
            </w:r>
            <w:r w:rsidRPr="00563C0D">
              <w:rPr>
                <w:b/>
                <w:bCs/>
                <w:color w:val="000000"/>
                <w:lang w:eastAsia="zh-CN"/>
              </w:rPr>
              <w:br/>
              <w:t>26 février</w:t>
            </w:r>
          </w:p>
        </w:tc>
        <w:tc>
          <w:tcPr>
            <w:tcW w:w="2126" w:type="dxa"/>
            <w:tcBorders>
              <w:top w:val="nil"/>
              <w:left w:val="nil"/>
              <w:bottom w:val="single" w:sz="4" w:space="0" w:color="auto"/>
              <w:right w:val="double" w:sz="6" w:space="0" w:color="auto"/>
            </w:tcBorders>
            <w:shd w:val="clear" w:color="auto" w:fill="auto"/>
            <w:vAlign w:val="center"/>
            <w:hideMark/>
          </w:tcPr>
          <w:p w14:paraId="5864DD79"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10 heures-12 heures</w:t>
            </w:r>
          </w:p>
        </w:tc>
        <w:tc>
          <w:tcPr>
            <w:tcW w:w="5126" w:type="dxa"/>
            <w:tcBorders>
              <w:top w:val="double" w:sz="6" w:space="0" w:color="auto"/>
              <w:left w:val="nil"/>
              <w:bottom w:val="nil"/>
              <w:right w:val="double" w:sz="6" w:space="0" w:color="000000"/>
            </w:tcBorders>
            <w:shd w:val="clear" w:color="000000" w:fill="9BC2E6"/>
            <w:vAlign w:val="center"/>
            <w:hideMark/>
          </w:tcPr>
          <w:p w14:paraId="30915C7A"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Table ronde du CTI sur la sécurité routière</w:t>
            </w:r>
            <w:r w:rsidRPr="00563C0D">
              <w:rPr>
                <w:b/>
                <w:bCs/>
                <w:color w:val="000000"/>
                <w:lang w:eastAsia="zh-CN"/>
              </w:rPr>
              <w:br/>
              <w:t>Séance hybride avec interprétation</w:t>
            </w:r>
          </w:p>
        </w:tc>
      </w:tr>
      <w:tr w:rsidR="00563C0D" w:rsidRPr="00563C0D" w14:paraId="6F410C4C" w14:textId="77777777" w:rsidTr="00563C0D">
        <w:trPr>
          <w:trHeight w:val="315"/>
        </w:trPr>
        <w:tc>
          <w:tcPr>
            <w:tcW w:w="1253" w:type="dxa"/>
            <w:vMerge/>
            <w:tcBorders>
              <w:top w:val="nil"/>
              <w:left w:val="double" w:sz="6" w:space="0" w:color="auto"/>
              <w:bottom w:val="double" w:sz="6" w:space="0" w:color="000000"/>
              <w:right w:val="single" w:sz="4" w:space="0" w:color="auto"/>
            </w:tcBorders>
            <w:vAlign w:val="center"/>
            <w:hideMark/>
          </w:tcPr>
          <w:p w14:paraId="26CCE27F"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single" w:sz="4" w:space="0" w:color="auto"/>
              <w:right w:val="double" w:sz="6" w:space="0" w:color="auto"/>
            </w:tcBorders>
            <w:shd w:val="clear" w:color="auto" w:fill="auto"/>
            <w:vAlign w:val="center"/>
            <w:hideMark/>
          </w:tcPr>
          <w:p w14:paraId="1D19F3A9"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13 heures-15 heures</w:t>
            </w:r>
          </w:p>
        </w:tc>
        <w:tc>
          <w:tcPr>
            <w:tcW w:w="5126" w:type="dxa"/>
            <w:tcBorders>
              <w:top w:val="nil"/>
              <w:left w:val="nil"/>
              <w:bottom w:val="nil"/>
              <w:right w:val="double" w:sz="6" w:space="0" w:color="000000"/>
            </w:tcBorders>
            <w:shd w:val="clear" w:color="auto" w:fill="auto"/>
            <w:vAlign w:val="center"/>
            <w:hideMark/>
          </w:tcPr>
          <w:p w14:paraId="07A565DA" w14:textId="77777777" w:rsidR="00563C0D" w:rsidRPr="00563C0D" w:rsidRDefault="00563C0D" w:rsidP="00563C0D">
            <w:pPr>
              <w:spacing w:before="60" w:after="60"/>
              <w:ind w:left="113" w:right="113"/>
              <w:rPr>
                <w:b/>
                <w:bCs/>
                <w:i/>
                <w:iCs/>
                <w:color w:val="000000"/>
                <w:lang w:eastAsia="zh-CN"/>
              </w:rPr>
            </w:pPr>
            <w:r w:rsidRPr="00563C0D">
              <w:rPr>
                <w:b/>
                <w:bCs/>
                <w:i/>
                <w:iCs/>
                <w:color w:val="000000"/>
                <w:lang w:eastAsia="zh-CN"/>
              </w:rPr>
              <w:t>Pause</w:t>
            </w:r>
          </w:p>
        </w:tc>
      </w:tr>
      <w:tr w:rsidR="00563C0D" w:rsidRPr="00563C0D" w14:paraId="5140DC68" w14:textId="77777777" w:rsidTr="00563C0D">
        <w:trPr>
          <w:trHeight w:val="330"/>
        </w:trPr>
        <w:tc>
          <w:tcPr>
            <w:tcW w:w="1253" w:type="dxa"/>
            <w:vMerge/>
            <w:tcBorders>
              <w:top w:val="nil"/>
              <w:left w:val="double" w:sz="6" w:space="0" w:color="auto"/>
              <w:bottom w:val="double" w:sz="6" w:space="0" w:color="000000"/>
              <w:right w:val="single" w:sz="4" w:space="0" w:color="auto"/>
            </w:tcBorders>
            <w:vAlign w:val="center"/>
            <w:hideMark/>
          </w:tcPr>
          <w:p w14:paraId="2D81B0FA" w14:textId="77777777" w:rsidR="00563C0D" w:rsidRPr="00563C0D" w:rsidRDefault="00563C0D" w:rsidP="00563C0D">
            <w:pPr>
              <w:spacing w:before="60" w:after="60"/>
              <w:ind w:left="113" w:right="113"/>
              <w:rPr>
                <w:b/>
                <w:bCs/>
                <w:color w:val="000000"/>
                <w:lang w:eastAsia="zh-CN"/>
              </w:rPr>
            </w:pPr>
          </w:p>
        </w:tc>
        <w:tc>
          <w:tcPr>
            <w:tcW w:w="2126" w:type="dxa"/>
            <w:tcBorders>
              <w:top w:val="nil"/>
              <w:left w:val="nil"/>
              <w:bottom w:val="double" w:sz="6" w:space="0" w:color="auto"/>
              <w:right w:val="double" w:sz="6" w:space="0" w:color="auto"/>
            </w:tcBorders>
            <w:shd w:val="clear" w:color="auto" w:fill="auto"/>
            <w:vAlign w:val="center"/>
            <w:hideMark/>
          </w:tcPr>
          <w:p w14:paraId="636F39EA"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15 heures-18 heures</w:t>
            </w:r>
          </w:p>
        </w:tc>
        <w:tc>
          <w:tcPr>
            <w:tcW w:w="5126" w:type="dxa"/>
            <w:tcBorders>
              <w:top w:val="double" w:sz="6" w:space="0" w:color="auto"/>
              <w:left w:val="nil"/>
              <w:bottom w:val="double" w:sz="6" w:space="0" w:color="auto"/>
              <w:right w:val="double" w:sz="6" w:space="0" w:color="000000"/>
            </w:tcBorders>
            <w:shd w:val="clear" w:color="000000" w:fill="92D050"/>
            <w:vAlign w:val="center"/>
            <w:hideMark/>
          </w:tcPr>
          <w:p w14:paraId="3D0DB0B5" w14:textId="77777777" w:rsidR="00563C0D" w:rsidRPr="00563C0D" w:rsidRDefault="00563C0D" w:rsidP="00563C0D">
            <w:pPr>
              <w:spacing w:before="60" w:after="60"/>
              <w:ind w:left="113" w:right="113"/>
              <w:rPr>
                <w:b/>
                <w:bCs/>
                <w:color w:val="000000"/>
                <w:lang w:eastAsia="zh-CN"/>
              </w:rPr>
            </w:pPr>
            <w:r w:rsidRPr="00563C0D">
              <w:rPr>
                <w:b/>
                <w:bCs/>
                <w:color w:val="000000"/>
                <w:lang w:eastAsia="zh-CN"/>
              </w:rPr>
              <w:t>Réunion du Bureau du CTI</w:t>
            </w:r>
          </w:p>
        </w:tc>
      </w:tr>
    </w:tbl>
    <w:p w14:paraId="405454A7" w14:textId="77777777" w:rsidR="00563C0D" w:rsidRPr="005C15C0" w:rsidRDefault="00563C0D" w:rsidP="001A0B2D">
      <w:pPr>
        <w:pStyle w:val="HChG"/>
      </w:pPr>
      <w:r w:rsidRPr="005C15C0">
        <w:br w:type="page"/>
      </w:r>
      <w:r w:rsidRPr="005C15C0">
        <w:lastRenderedPageBreak/>
        <w:t>Annexe II</w:t>
      </w:r>
    </w:p>
    <w:p w14:paraId="7E406075" w14:textId="77777777" w:rsidR="00563C0D" w:rsidRPr="005C15C0" w:rsidRDefault="00563C0D" w:rsidP="001A0B2D">
      <w:pPr>
        <w:pStyle w:val="HChG"/>
      </w:pPr>
      <w:r w:rsidRPr="005C15C0">
        <w:tab/>
      </w:r>
      <w:r w:rsidRPr="005C15C0">
        <w:tab/>
        <w:t>Projet de Programme</w:t>
      </w:r>
    </w:p>
    <w:tbl>
      <w:tblPr>
        <w:tblW w:w="9639" w:type="dxa"/>
        <w:tblInd w:w="-15" w:type="dxa"/>
        <w:tblLayout w:type="fixed"/>
        <w:tblCellMar>
          <w:left w:w="0" w:type="dxa"/>
          <w:right w:w="0" w:type="dxa"/>
        </w:tblCellMar>
        <w:tblLook w:val="04A0" w:firstRow="1" w:lastRow="0" w:firstColumn="1" w:lastColumn="0" w:noHBand="0" w:noVBand="1"/>
      </w:tblPr>
      <w:tblGrid>
        <w:gridCol w:w="15"/>
        <w:gridCol w:w="1848"/>
        <w:gridCol w:w="7761"/>
        <w:gridCol w:w="15"/>
      </w:tblGrid>
      <w:tr w:rsidR="00563C0D" w:rsidRPr="00D05802" w14:paraId="15925C69" w14:textId="77777777" w:rsidTr="00D05802">
        <w:trPr>
          <w:gridBefore w:val="1"/>
          <w:wBefore w:w="15" w:type="dxa"/>
        </w:trPr>
        <w:tc>
          <w:tcPr>
            <w:tcW w:w="9624" w:type="dxa"/>
            <w:gridSpan w:val="3"/>
            <w:shd w:val="clear" w:color="auto" w:fill="auto"/>
            <w:vAlign w:val="bottom"/>
          </w:tcPr>
          <w:p w14:paraId="06C167E3" w14:textId="77777777" w:rsidR="00563C0D" w:rsidRPr="00D05802" w:rsidRDefault="00563C0D" w:rsidP="00D05802">
            <w:pPr>
              <w:spacing w:after="60"/>
              <w:rPr>
                <w:b/>
              </w:rPr>
            </w:pPr>
            <w:r w:rsidRPr="00D05802">
              <w:rPr>
                <w:b/>
              </w:rPr>
              <w:t>Débat général de haut niveau</w:t>
            </w:r>
          </w:p>
          <w:p w14:paraId="44BB1AD9" w14:textId="77777777" w:rsidR="00563C0D" w:rsidRPr="00D05802" w:rsidRDefault="00563C0D" w:rsidP="00D05802">
            <w:pPr>
              <w:spacing w:after="60"/>
              <w:rPr>
                <w:b/>
              </w:rPr>
            </w:pPr>
            <w:r w:rsidRPr="00D05802">
              <w:rPr>
                <w:b/>
              </w:rPr>
              <w:t>« Retour vers un futur viable : parvenir à une connectivité résiliente pour un redressement et une croissance économique durables après la pandémie de COVID-19 »</w:t>
            </w:r>
          </w:p>
          <w:p w14:paraId="5901D730" w14:textId="77777777" w:rsidR="00563C0D" w:rsidRPr="00D05802" w:rsidRDefault="00563C0D" w:rsidP="00D05802">
            <w:pPr>
              <w:spacing w:after="60"/>
              <w:rPr>
                <w:b/>
              </w:rPr>
            </w:pPr>
            <w:r w:rsidRPr="00D05802">
              <w:rPr>
                <w:b/>
              </w:rPr>
              <w:t>23</w:t>
            </w:r>
            <w:r w:rsidR="00D05802">
              <w:rPr>
                <w:b/>
              </w:rPr>
              <w:t> </w:t>
            </w:r>
            <w:r w:rsidRPr="00D05802">
              <w:rPr>
                <w:b/>
              </w:rPr>
              <w:t>février</w:t>
            </w:r>
            <w:r w:rsidR="00D05802">
              <w:rPr>
                <w:b/>
              </w:rPr>
              <w:t xml:space="preserve"> </w:t>
            </w:r>
            <w:r w:rsidRPr="00D05802">
              <w:rPr>
                <w:b/>
              </w:rPr>
              <w:t>2021, 11 heures-13 heures, séance hybride avec interprétation</w:t>
            </w:r>
          </w:p>
          <w:p w14:paraId="36A93CE8" w14:textId="77777777" w:rsidR="001A0B2D" w:rsidRPr="00D05802" w:rsidRDefault="00563C0D" w:rsidP="00D05802">
            <w:pPr>
              <w:spacing w:after="120"/>
              <w:rPr>
                <w:i/>
              </w:rPr>
            </w:pPr>
            <w:r w:rsidRPr="00D05802">
              <w:rPr>
                <w:b/>
              </w:rPr>
              <w:t>Palais des Nations, Genève</w:t>
            </w:r>
          </w:p>
        </w:tc>
      </w:tr>
      <w:tr w:rsidR="00563C0D" w:rsidRPr="00D05802" w14:paraId="34F1311A" w14:textId="77777777" w:rsidTr="00D05802">
        <w:trPr>
          <w:gridAfter w:val="1"/>
          <w:wAfter w:w="15" w:type="dxa"/>
          <w:trHeight w:val="397"/>
        </w:trPr>
        <w:tc>
          <w:tcPr>
            <w:tcW w:w="1863" w:type="dxa"/>
            <w:gridSpan w:val="2"/>
            <w:shd w:val="clear" w:color="auto" w:fill="auto"/>
            <w:tcMar>
              <w:top w:w="15" w:type="dxa"/>
              <w:left w:w="15" w:type="dxa"/>
              <w:bottom w:w="0" w:type="dxa"/>
              <w:right w:w="15" w:type="dxa"/>
            </w:tcMar>
            <w:hideMark/>
          </w:tcPr>
          <w:p w14:paraId="2AEFF09A" w14:textId="77777777" w:rsidR="00563C0D" w:rsidRPr="00D05802" w:rsidRDefault="00563C0D" w:rsidP="00D05802">
            <w:pPr>
              <w:spacing w:after="120"/>
            </w:pPr>
            <w:r w:rsidRPr="00D05802">
              <w:t>11 heures-11 h 15</w:t>
            </w:r>
          </w:p>
        </w:tc>
        <w:tc>
          <w:tcPr>
            <w:tcW w:w="7761" w:type="dxa"/>
            <w:shd w:val="clear" w:color="auto" w:fill="auto"/>
            <w:tcMar>
              <w:top w:w="15" w:type="dxa"/>
              <w:left w:w="15" w:type="dxa"/>
              <w:bottom w:w="0" w:type="dxa"/>
              <w:right w:w="15" w:type="dxa"/>
            </w:tcMar>
            <w:hideMark/>
          </w:tcPr>
          <w:p w14:paraId="51EE1039" w14:textId="77777777" w:rsidR="00563C0D" w:rsidRPr="00D05802" w:rsidRDefault="00563C0D" w:rsidP="00D05802">
            <w:pPr>
              <w:spacing w:after="120"/>
              <w:rPr>
                <w:b/>
              </w:rPr>
            </w:pPr>
            <w:r w:rsidRPr="00D05802">
              <w:rPr>
                <w:b/>
              </w:rPr>
              <w:t xml:space="preserve">Déclarations liminaires, allocutions de bienvenue et lancement officiel de la publication sur </w:t>
            </w:r>
            <w:r w:rsidRPr="00D05802">
              <w:rPr>
                <w:b/>
                <w:iCs/>
              </w:rPr>
              <w:t>la résilience dans les situations d’urgence</w:t>
            </w:r>
          </w:p>
        </w:tc>
      </w:tr>
      <w:tr w:rsidR="00563C0D" w:rsidRPr="00D05802" w14:paraId="179E3903" w14:textId="77777777" w:rsidTr="00D05802">
        <w:trPr>
          <w:gridAfter w:val="1"/>
          <w:wAfter w:w="15" w:type="dxa"/>
          <w:trHeight w:val="502"/>
        </w:trPr>
        <w:tc>
          <w:tcPr>
            <w:tcW w:w="1863" w:type="dxa"/>
            <w:gridSpan w:val="2"/>
            <w:shd w:val="clear" w:color="auto" w:fill="auto"/>
            <w:tcMar>
              <w:top w:w="15" w:type="dxa"/>
              <w:left w:w="15" w:type="dxa"/>
              <w:bottom w:w="0" w:type="dxa"/>
              <w:right w:w="15" w:type="dxa"/>
            </w:tcMar>
            <w:hideMark/>
          </w:tcPr>
          <w:p w14:paraId="23F5767B" w14:textId="77777777" w:rsidR="00563C0D" w:rsidRPr="00D05802" w:rsidRDefault="00563C0D" w:rsidP="00D05802">
            <w:pPr>
              <w:spacing w:after="120"/>
            </w:pPr>
            <w:r w:rsidRPr="00D05802">
              <w:t>11 h 15-11 h 30</w:t>
            </w:r>
          </w:p>
        </w:tc>
        <w:tc>
          <w:tcPr>
            <w:tcW w:w="7761" w:type="dxa"/>
            <w:shd w:val="clear" w:color="auto" w:fill="auto"/>
            <w:tcMar>
              <w:top w:w="15" w:type="dxa"/>
              <w:left w:w="15" w:type="dxa"/>
              <w:bottom w:w="0" w:type="dxa"/>
              <w:right w:w="15" w:type="dxa"/>
            </w:tcMar>
            <w:hideMark/>
          </w:tcPr>
          <w:p w14:paraId="1ACF23D4" w14:textId="77777777" w:rsidR="00563C0D" w:rsidRPr="00D05802" w:rsidRDefault="00563C0D" w:rsidP="00D05802">
            <w:pPr>
              <w:spacing w:after="120"/>
              <w:rPr>
                <w:b/>
              </w:rPr>
            </w:pPr>
            <w:r w:rsidRPr="00D05802">
              <w:rPr>
                <w:b/>
              </w:rPr>
              <w:t>Discours d’orientation</w:t>
            </w:r>
          </w:p>
        </w:tc>
      </w:tr>
      <w:tr w:rsidR="00563C0D" w:rsidRPr="00D05802" w14:paraId="160DA5C6" w14:textId="77777777" w:rsidTr="00D05802">
        <w:trPr>
          <w:gridAfter w:val="1"/>
          <w:wAfter w:w="15" w:type="dxa"/>
          <w:trHeight w:val="502"/>
        </w:trPr>
        <w:tc>
          <w:tcPr>
            <w:tcW w:w="1863" w:type="dxa"/>
            <w:gridSpan w:val="2"/>
            <w:shd w:val="clear" w:color="auto" w:fill="auto"/>
            <w:tcMar>
              <w:top w:w="15" w:type="dxa"/>
              <w:left w:w="15" w:type="dxa"/>
              <w:bottom w:w="0" w:type="dxa"/>
              <w:right w:w="15" w:type="dxa"/>
            </w:tcMar>
            <w:hideMark/>
          </w:tcPr>
          <w:p w14:paraId="2BFDD606" w14:textId="77777777" w:rsidR="00563C0D" w:rsidRPr="00D05802" w:rsidRDefault="00563C0D" w:rsidP="00D05802">
            <w:pPr>
              <w:spacing w:after="120"/>
            </w:pPr>
            <w:r w:rsidRPr="00D05802">
              <w:t>11 h 30-</w:t>
            </w:r>
            <w:r w:rsidRPr="00D05802">
              <w:rPr>
                <w:iCs/>
              </w:rPr>
              <w:t>12 h 10</w:t>
            </w:r>
          </w:p>
        </w:tc>
        <w:tc>
          <w:tcPr>
            <w:tcW w:w="7761" w:type="dxa"/>
            <w:shd w:val="clear" w:color="auto" w:fill="auto"/>
            <w:tcMar>
              <w:top w:w="15" w:type="dxa"/>
              <w:left w:w="15" w:type="dxa"/>
              <w:bottom w:w="0" w:type="dxa"/>
              <w:right w:w="15" w:type="dxa"/>
            </w:tcMar>
            <w:hideMark/>
          </w:tcPr>
          <w:p w14:paraId="440864EB" w14:textId="77777777" w:rsidR="00563C0D" w:rsidRPr="00D05802" w:rsidRDefault="00563C0D" w:rsidP="00D05802">
            <w:pPr>
              <w:spacing w:after="60"/>
              <w:rPr>
                <w:b/>
                <w:iCs/>
              </w:rPr>
            </w:pPr>
            <w:r w:rsidRPr="00D05802">
              <w:rPr>
                <w:b/>
                <w:iCs/>
              </w:rPr>
              <w:t>Table ronde I :</w:t>
            </w:r>
          </w:p>
          <w:p w14:paraId="111462D1" w14:textId="77777777" w:rsidR="00563C0D" w:rsidRPr="00D05802" w:rsidRDefault="00563C0D" w:rsidP="00D05802">
            <w:pPr>
              <w:spacing w:after="120"/>
              <w:rPr>
                <w:b/>
                <w:iCs/>
              </w:rPr>
            </w:pPr>
            <w:r w:rsidRPr="00D05802">
              <w:rPr>
                <w:b/>
                <w:iCs/>
              </w:rPr>
              <w:t xml:space="preserve">Tirer parti des solutions existantes en matière de connectivité des transports internationaux pour faciliter la croissance et le développement économiques : </w:t>
            </w:r>
            <w:r w:rsidR="00D05802">
              <w:rPr>
                <w:b/>
                <w:iCs/>
              </w:rPr>
              <w:br/>
            </w:r>
            <w:r w:rsidRPr="00D05802">
              <w:rPr>
                <w:b/>
                <w:iCs/>
              </w:rPr>
              <w:t>quelle place pour un renforcement des accords internationaux</w:t>
            </w:r>
            <w:r w:rsidR="00D05802">
              <w:rPr>
                <w:b/>
                <w:iCs/>
              </w:rPr>
              <w:t> </w:t>
            </w:r>
            <w:r w:rsidRPr="00D05802">
              <w:rPr>
                <w:b/>
                <w:iCs/>
              </w:rPr>
              <w:t>?</w:t>
            </w:r>
          </w:p>
          <w:p w14:paraId="561F9E6D" w14:textId="77777777" w:rsidR="00563C0D" w:rsidRPr="00D05802" w:rsidRDefault="00563C0D" w:rsidP="00D05802">
            <w:pPr>
              <w:spacing w:after="120"/>
            </w:pPr>
            <w:r w:rsidRPr="00D05802">
              <w:rPr>
                <w:i/>
                <w:iCs/>
              </w:rPr>
              <w:t>Débat et interventions prévues (3 minutes chacune au maximum)</w:t>
            </w:r>
          </w:p>
        </w:tc>
      </w:tr>
      <w:tr w:rsidR="00563C0D" w:rsidRPr="00D05802" w14:paraId="6AE2874B" w14:textId="77777777" w:rsidTr="00D05802">
        <w:trPr>
          <w:gridAfter w:val="1"/>
          <w:wAfter w:w="15" w:type="dxa"/>
          <w:trHeight w:val="502"/>
        </w:trPr>
        <w:tc>
          <w:tcPr>
            <w:tcW w:w="1863" w:type="dxa"/>
            <w:gridSpan w:val="2"/>
            <w:shd w:val="clear" w:color="auto" w:fill="auto"/>
            <w:tcMar>
              <w:top w:w="15" w:type="dxa"/>
              <w:left w:w="15" w:type="dxa"/>
              <w:bottom w:w="0" w:type="dxa"/>
              <w:right w:w="15" w:type="dxa"/>
            </w:tcMar>
            <w:hideMark/>
          </w:tcPr>
          <w:p w14:paraId="249D5F2B" w14:textId="77777777" w:rsidR="00563C0D" w:rsidRPr="00D05802" w:rsidRDefault="00563C0D" w:rsidP="00D05802">
            <w:pPr>
              <w:spacing w:after="120"/>
            </w:pPr>
            <w:r w:rsidRPr="00D05802">
              <w:rPr>
                <w:iCs/>
              </w:rPr>
              <w:t>12 h 10-</w:t>
            </w:r>
            <w:r w:rsidRPr="00D05802">
              <w:t>12 h 50</w:t>
            </w:r>
          </w:p>
        </w:tc>
        <w:tc>
          <w:tcPr>
            <w:tcW w:w="7761" w:type="dxa"/>
            <w:shd w:val="clear" w:color="auto" w:fill="auto"/>
            <w:tcMar>
              <w:top w:w="15" w:type="dxa"/>
              <w:left w:w="15" w:type="dxa"/>
              <w:bottom w:w="0" w:type="dxa"/>
              <w:right w:w="15" w:type="dxa"/>
            </w:tcMar>
            <w:hideMark/>
          </w:tcPr>
          <w:p w14:paraId="4458BDFA" w14:textId="77777777" w:rsidR="00563C0D" w:rsidRPr="00D05802" w:rsidRDefault="00563C0D" w:rsidP="00D05802">
            <w:pPr>
              <w:spacing w:after="60"/>
              <w:rPr>
                <w:b/>
                <w:iCs/>
              </w:rPr>
            </w:pPr>
            <w:r w:rsidRPr="00D05802">
              <w:rPr>
                <w:b/>
                <w:iCs/>
              </w:rPr>
              <w:t xml:space="preserve">Table ronde II : </w:t>
            </w:r>
          </w:p>
          <w:p w14:paraId="1B7CF2FE" w14:textId="77777777" w:rsidR="00563C0D" w:rsidRPr="00D05802" w:rsidRDefault="00563C0D" w:rsidP="00D05802">
            <w:pPr>
              <w:spacing w:after="120"/>
              <w:rPr>
                <w:b/>
                <w:bCs/>
                <w:iCs/>
              </w:rPr>
            </w:pPr>
            <w:r w:rsidRPr="00D05802">
              <w:rPr>
                <w:b/>
                <w:bCs/>
              </w:rPr>
              <w:t xml:space="preserve">Premier ou dernier maillon de l’action face aux situations d’urgence mondiales ? </w:t>
            </w:r>
            <w:r w:rsidR="00D05802">
              <w:rPr>
                <w:b/>
                <w:bCs/>
              </w:rPr>
              <w:br/>
            </w:r>
            <w:r w:rsidRPr="00D05802">
              <w:rPr>
                <w:b/>
                <w:bCs/>
              </w:rPr>
              <w:t xml:space="preserve">Les conventions internationales relatives aux transports, catalyseurs </w:t>
            </w:r>
            <w:r w:rsidR="00D05802">
              <w:rPr>
                <w:b/>
                <w:bCs/>
              </w:rPr>
              <w:br/>
            </w:r>
            <w:r w:rsidRPr="00D05802">
              <w:rPr>
                <w:b/>
                <w:bCs/>
              </w:rPr>
              <w:t>de la concertation pour l’élaboration de mesures nationales ?</w:t>
            </w:r>
          </w:p>
          <w:p w14:paraId="2382C594" w14:textId="77777777" w:rsidR="00563C0D" w:rsidRPr="00D05802" w:rsidRDefault="00563C0D" w:rsidP="00D05802">
            <w:pPr>
              <w:spacing w:after="120"/>
              <w:rPr>
                <w:u w:val="single"/>
              </w:rPr>
            </w:pPr>
            <w:r w:rsidRPr="00D05802">
              <w:rPr>
                <w:i/>
                <w:iCs/>
              </w:rPr>
              <w:t>Débat et interventions prévues (3 minutes chacune au maximum)</w:t>
            </w:r>
          </w:p>
        </w:tc>
      </w:tr>
      <w:tr w:rsidR="00563C0D" w:rsidRPr="00D05802" w14:paraId="05BACFAA" w14:textId="77777777" w:rsidTr="00D05802">
        <w:trPr>
          <w:gridAfter w:val="1"/>
          <w:wAfter w:w="15" w:type="dxa"/>
          <w:trHeight w:val="502"/>
        </w:trPr>
        <w:tc>
          <w:tcPr>
            <w:tcW w:w="1863" w:type="dxa"/>
            <w:gridSpan w:val="2"/>
            <w:shd w:val="clear" w:color="auto" w:fill="auto"/>
            <w:tcMar>
              <w:top w:w="15" w:type="dxa"/>
              <w:left w:w="15" w:type="dxa"/>
              <w:bottom w:w="0" w:type="dxa"/>
              <w:right w:w="15" w:type="dxa"/>
            </w:tcMar>
          </w:tcPr>
          <w:p w14:paraId="0F6D41DC" w14:textId="77777777" w:rsidR="00563C0D" w:rsidRPr="00D05802" w:rsidRDefault="00563C0D" w:rsidP="00D05802">
            <w:pPr>
              <w:spacing w:after="120"/>
            </w:pPr>
            <w:r w:rsidRPr="00D05802">
              <w:t>12 h 50-13 heures</w:t>
            </w:r>
          </w:p>
        </w:tc>
        <w:tc>
          <w:tcPr>
            <w:tcW w:w="7761" w:type="dxa"/>
            <w:shd w:val="clear" w:color="auto" w:fill="auto"/>
            <w:tcMar>
              <w:top w:w="15" w:type="dxa"/>
              <w:left w:w="15" w:type="dxa"/>
              <w:bottom w:w="0" w:type="dxa"/>
              <w:right w:w="15" w:type="dxa"/>
            </w:tcMar>
          </w:tcPr>
          <w:p w14:paraId="6D8440E7" w14:textId="77777777" w:rsidR="00563C0D" w:rsidRPr="00D05802" w:rsidRDefault="00563C0D" w:rsidP="00D05802">
            <w:pPr>
              <w:spacing w:after="120"/>
            </w:pPr>
            <w:r w:rsidRPr="00D05802">
              <w:rPr>
                <w:b/>
                <w:iCs/>
              </w:rPr>
              <w:t>Annonce de la résolution ministérielle et déclarations de clôture</w:t>
            </w:r>
          </w:p>
        </w:tc>
      </w:tr>
      <w:tr w:rsidR="00563C0D" w:rsidRPr="00D05802" w14:paraId="57ED26DA" w14:textId="77777777" w:rsidTr="00D05802">
        <w:trPr>
          <w:gridAfter w:val="1"/>
          <w:wAfter w:w="15" w:type="dxa"/>
          <w:trHeight w:val="502"/>
        </w:trPr>
        <w:tc>
          <w:tcPr>
            <w:tcW w:w="1863" w:type="dxa"/>
            <w:gridSpan w:val="2"/>
            <w:shd w:val="clear" w:color="auto" w:fill="auto"/>
            <w:tcMar>
              <w:top w:w="15" w:type="dxa"/>
              <w:left w:w="15" w:type="dxa"/>
              <w:bottom w:w="0" w:type="dxa"/>
              <w:right w:w="15" w:type="dxa"/>
            </w:tcMar>
            <w:hideMark/>
          </w:tcPr>
          <w:p w14:paraId="6ABD560B" w14:textId="77777777" w:rsidR="00563C0D" w:rsidRPr="00D05802" w:rsidRDefault="00563C0D" w:rsidP="00D05802">
            <w:pPr>
              <w:spacing w:after="120"/>
            </w:pPr>
            <w:r w:rsidRPr="00D05802">
              <w:t>13 heures-15 heures</w:t>
            </w:r>
          </w:p>
        </w:tc>
        <w:tc>
          <w:tcPr>
            <w:tcW w:w="7761" w:type="dxa"/>
            <w:shd w:val="clear" w:color="auto" w:fill="auto"/>
            <w:tcMar>
              <w:top w:w="15" w:type="dxa"/>
              <w:left w:w="15" w:type="dxa"/>
              <w:bottom w:w="0" w:type="dxa"/>
              <w:right w:w="15" w:type="dxa"/>
            </w:tcMar>
            <w:hideMark/>
          </w:tcPr>
          <w:p w14:paraId="7C9AC10E" w14:textId="77777777" w:rsidR="00563C0D" w:rsidRPr="00D05802" w:rsidRDefault="00563C0D" w:rsidP="00D05802">
            <w:pPr>
              <w:spacing w:after="120"/>
            </w:pPr>
            <w:r w:rsidRPr="00D05802">
              <w:rPr>
                <w:b/>
                <w:i/>
              </w:rPr>
              <w:t>Pause déjeuner</w:t>
            </w:r>
          </w:p>
        </w:tc>
      </w:tr>
    </w:tbl>
    <w:p w14:paraId="3FF86145" w14:textId="77777777" w:rsidR="00563C0D" w:rsidRPr="00D05802" w:rsidRDefault="00D05802" w:rsidP="00D05802">
      <w:pPr>
        <w:pStyle w:val="SingleTxtG"/>
        <w:spacing w:before="240" w:after="0"/>
        <w:jc w:val="center"/>
        <w:rPr>
          <w:u w:val="single"/>
        </w:rPr>
      </w:pPr>
      <w:r>
        <w:rPr>
          <w:u w:val="single"/>
        </w:rPr>
        <w:tab/>
      </w:r>
      <w:r>
        <w:rPr>
          <w:u w:val="single"/>
        </w:rPr>
        <w:tab/>
      </w:r>
      <w:bookmarkStart w:id="1" w:name="_GoBack"/>
      <w:bookmarkEnd w:id="1"/>
      <w:r>
        <w:rPr>
          <w:u w:val="single"/>
        </w:rPr>
        <w:tab/>
      </w:r>
      <w:r w:rsidR="00577E33">
        <w:rPr>
          <w:u w:val="single"/>
        </w:rPr>
        <w:tab/>
      </w:r>
    </w:p>
    <w:sectPr w:rsidR="00563C0D" w:rsidRPr="00D05802" w:rsidSect="00516B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AFD1" w14:textId="77777777" w:rsidR="00563C0D" w:rsidRDefault="00563C0D" w:rsidP="00F95C08">
      <w:pPr>
        <w:spacing w:line="240" w:lineRule="auto"/>
      </w:pPr>
    </w:p>
  </w:endnote>
  <w:endnote w:type="continuationSeparator" w:id="0">
    <w:p w14:paraId="2EB71F06" w14:textId="77777777" w:rsidR="00563C0D" w:rsidRPr="00AC3823" w:rsidRDefault="00563C0D" w:rsidP="00AC3823">
      <w:pPr>
        <w:pStyle w:val="Pieddepage"/>
      </w:pPr>
    </w:p>
  </w:endnote>
  <w:endnote w:type="continuationNotice" w:id="1">
    <w:p w14:paraId="78CF58A7" w14:textId="77777777" w:rsidR="00563C0D" w:rsidRDefault="00563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886E" w14:textId="77777777" w:rsidR="00563C0D" w:rsidRPr="00516B5D" w:rsidRDefault="00563C0D" w:rsidP="00516B5D">
    <w:pPr>
      <w:pStyle w:val="Pieddepage"/>
      <w:tabs>
        <w:tab w:val="right" w:pos="9638"/>
      </w:tabs>
    </w:pPr>
    <w:r w:rsidRPr="00516B5D">
      <w:rPr>
        <w:b/>
        <w:sz w:val="18"/>
      </w:rPr>
      <w:fldChar w:fldCharType="begin"/>
    </w:r>
    <w:r w:rsidRPr="00516B5D">
      <w:rPr>
        <w:b/>
        <w:sz w:val="18"/>
      </w:rPr>
      <w:instrText xml:space="preserve"> PAGE  \* MERGEFORMAT </w:instrText>
    </w:r>
    <w:r w:rsidRPr="00516B5D">
      <w:rPr>
        <w:b/>
        <w:sz w:val="18"/>
      </w:rPr>
      <w:fldChar w:fldCharType="separate"/>
    </w:r>
    <w:r w:rsidRPr="00516B5D">
      <w:rPr>
        <w:b/>
        <w:noProof/>
        <w:sz w:val="18"/>
      </w:rPr>
      <w:t>2</w:t>
    </w:r>
    <w:r w:rsidRPr="00516B5D">
      <w:rPr>
        <w:b/>
        <w:sz w:val="18"/>
      </w:rPr>
      <w:fldChar w:fldCharType="end"/>
    </w:r>
    <w:r>
      <w:rPr>
        <w:b/>
        <w:sz w:val="18"/>
      </w:rPr>
      <w:tab/>
    </w:r>
    <w:r>
      <w:t>GE.20-16732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CE90" w14:textId="77777777" w:rsidR="00563C0D" w:rsidRPr="00516B5D" w:rsidRDefault="00563C0D" w:rsidP="00516B5D">
    <w:pPr>
      <w:pStyle w:val="Pieddepage"/>
      <w:tabs>
        <w:tab w:val="right" w:pos="9638"/>
      </w:tabs>
      <w:rPr>
        <w:b/>
        <w:sz w:val="18"/>
      </w:rPr>
    </w:pPr>
    <w:r>
      <w:t>GE.20-16732</w:t>
    </w:r>
    <w:r>
      <w:tab/>
    </w:r>
    <w:r w:rsidRPr="00516B5D">
      <w:rPr>
        <w:b/>
        <w:sz w:val="18"/>
      </w:rPr>
      <w:fldChar w:fldCharType="begin"/>
    </w:r>
    <w:r w:rsidRPr="00516B5D">
      <w:rPr>
        <w:b/>
        <w:sz w:val="18"/>
      </w:rPr>
      <w:instrText xml:space="preserve"> PAGE  \* MERGEFORMAT </w:instrText>
    </w:r>
    <w:r w:rsidRPr="00516B5D">
      <w:rPr>
        <w:b/>
        <w:sz w:val="18"/>
      </w:rPr>
      <w:fldChar w:fldCharType="separate"/>
    </w:r>
    <w:r w:rsidRPr="00516B5D">
      <w:rPr>
        <w:b/>
        <w:noProof/>
        <w:sz w:val="18"/>
      </w:rPr>
      <w:t>3</w:t>
    </w:r>
    <w:r w:rsidRPr="00516B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AD9E" w14:textId="77777777" w:rsidR="00563C0D" w:rsidRPr="00516B5D" w:rsidRDefault="00563C0D" w:rsidP="00516B5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ED3D350" wp14:editId="0F5E5D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20-16732  (F)</w:t>
    </w:r>
    <w:r>
      <w:rPr>
        <w:noProof/>
        <w:sz w:val="20"/>
      </w:rPr>
      <w:drawing>
        <wp:anchor distT="0" distB="0" distL="114300" distR="114300" simplePos="0" relativeHeight="251660288" behindDoc="0" locked="0" layoutInCell="1" allowOverlap="1" wp14:anchorId="6B44CD35" wp14:editId="498164F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D112" w14:textId="77777777" w:rsidR="00563C0D" w:rsidRPr="00AC3823" w:rsidRDefault="00563C0D" w:rsidP="00AC3823">
      <w:pPr>
        <w:pStyle w:val="Pieddepage"/>
        <w:tabs>
          <w:tab w:val="right" w:pos="2155"/>
        </w:tabs>
        <w:spacing w:after="80" w:line="240" w:lineRule="atLeast"/>
        <w:ind w:left="680"/>
        <w:rPr>
          <w:u w:val="single"/>
        </w:rPr>
      </w:pPr>
      <w:r>
        <w:rPr>
          <w:u w:val="single"/>
        </w:rPr>
        <w:tab/>
      </w:r>
    </w:p>
  </w:footnote>
  <w:footnote w:type="continuationSeparator" w:id="0">
    <w:p w14:paraId="7DDCF07F" w14:textId="77777777" w:rsidR="00563C0D" w:rsidRPr="00AC3823" w:rsidRDefault="00563C0D" w:rsidP="00AC3823">
      <w:pPr>
        <w:pStyle w:val="Pieddepage"/>
        <w:tabs>
          <w:tab w:val="right" w:pos="2155"/>
        </w:tabs>
        <w:spacing w:after="80" w:line="240" w:lineRule="atLeast"/>
        <w:ind w:left="680"/>
        <w:rPr>
          <w:u w:val="single"/>
        </w:rPr>
      </w:pPr>
      <w:r>
        <w:rPr>
          <w:u w:val="single"/>
        </w:rPr>
        <w:tab/>
      </w:r>
    </w:p>
  </w:footnote>
  <w:footnote w:type="continuationNotice" w:id="1">
    <w:p w14:paraId="36EB8667" w14:textId="77777777" w:rsidR="00563C0D" w:rsidRPr="00AC3823" w:rsidRDefault="00563C0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095A" w14:textId="669ED517" w:rsidR="00563C0D" w:rsidRPr="00516B5D" w:rsidRDefault="00563C0D">
    <w:pPr>
      <w:pStyle w:val="En-tte"/>
    </w:pPr>
    <w:fldSimple w:instr=" TITLE  \* MERGEFORMAT ">
      <w:r w:rsidR="00514CED">
        <w:t>ECE/TRANS/2021/1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C154" w14:textId="1ECD8B5A" w:rsidR="00563C0D" w:rsidRPr="00516B5D" w:rsidRDefault="00563C0D" w:rsidP="00516B5D">
    <w:pPr>
      <w:pStyle w:val="En-tte"/>
      <w:jc w:val="right"/>
    </w:pPr>
    <w:fldSimple w:instr=" TITLE  \* MERGEFORMAT ">
      <w:r w:rsidR="00514CED">
        <w:t>ECE/TRANS/2021/1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5C5D66"/>
    <w:multiLevelType w:val="hybridMultilevel"/>
    <w:tmpl w:val="9A1249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En-tte"/>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Pied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19"/>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F2"/>
    <w:rsid w:val="00017F94"/>
    <w:rsid w:val="00023842"/>
    <w:rsid w:val="000334F9"/>
    <w:rsid w:val="00045FEB"/>
    <w:rsid w:val="0007796D"/>
    <w:rsid w:val="000839C6"/>
    <w:rsid w:val="000B7790"/>
    <w:rsid w:val="00111F2F"/>
    <w:rsid w:val="0014365E"/>
    <w:rsid w:val="00143C66"/>
    <w:rsid w:val="00176178"/>
    <w:rsid w:val="001A0B2D"/>
    <w:rsid w:val="001F525A"/>
    <w:rsid w:val="00201148"/>
    <w:rsid w:val="00203A08"/>
    <w:rsid w:val="00223272"/>
    <w:rsid w:val="0024779E"/>
    <w:rsid w:val="00257168"/>
    <w:rsid w:val="002744B8"/>
    <w:rsid w:val="002832AC"/>
    <w:rsid w:val="002D7C93"/>
    <w:rsid w:val="002E2CF2"/>
    <w:rsid w:val="00305801"/>
    <w:rsid w:val="003916DE"/>
    <w:rsid w:val="00421996"/>
    <w:rsid w:val="00441C3B"/>
    <w:rsid w:val="00446FE5"/>
    <w:rsid w:val="00452396"/>
    <w:rsid w:val="00477EB2"/>
    <w:rsid w:val="004837D8"/>
    <w:rsid w:val="004E2EED"/>
    <w:rsid w:val="004E468C"/>
    <w:rsid w:val="00514CED"/>
    <w:rsid w:val="00516B5D"/>
    <w:rsid w:val="005505B7"/>
    <w:rsid w:val="00563C0D"/>
    <w:rsid w:val="00573BE5"/>
    <w:rsid w:val="00577E33"/>
    <w:rsid w:val="00586ED3"/>
    <w:rsid w:val="00596AA9"/>
    <w:rsid w:val="0071601D"/>
    <w:rsid w:val="00743EFC"/>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5802"/>
    <w:rsid w:val="00D3439C"/>
    <w:rsid w:val="00D7622E"/>
    <w:rsid w:val="00DB1831"/>
    <w:rsid w:val="00DD3BFD"/>
    <w:rsid w:val="00DF6678"/>
    <w:rsid w:val="00E0299A"/>
    <w:rsid w:val="00E7494D"/>
    <w:rsid w:val="00E85C74"/>
    <w:rsid w:val="00EA6547"/>
    <w:rsid w:val="00ED7237"/>
    <w:rsid w:val="00EF2E22"/>
    <w:rsid w:val="00F3339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586D1"/>
  <w15:docId w15:val="{A2508669-87B9-4A0D-8384-AA189FBD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563C0D"/>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basedOn w:val="Policepardfaut"/>
    <w:semiHidden/>
    <w:unhideWhenUsed/>
    <w:rsid w:val="00563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9</Pages>
  <Words>3941</Words>
  <Characters>22324</Characters>
  <Application>Microsoft Office Word</Application>
  <DocSecurity>0</DocSecurity>
  <Lines>395</Lines>
  <Paragraphs>121</Paragraphs>
  <ScaleCrop>false</ScaleCrop>
  <HeadingPairs>
    <vt:vector size="2" baseType="variant">
      <vt:variant>
        <vt:lpstr>Titre</vt:lpstr>
      </vt:variant>
      <vt:variant>
        <vt:i4>1</vt:i4>
      </vt:variant>
    </vt:vector>
  </HeadingPairs>
  <TitlesOfParts>
    <vt:vector size="1" baseType="lpstr">
      <vt:lpstr>ECE/TRANS/2021/1</vt:lpstr>
    </vt:vector>
  </TitlesOfParts>
  <Company>DCM</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dc:title>
  <dc:subject/>
  <dc:creator>Christine CHAUTAGNAT</dc:creator>
  <cp:keywords/>
  <cp:lastModifiedBy>Christine Chautagnat</cp:lastModifiedBy>
  <cp:revision>3</cp:revision>
  <cp:lastPrinted>2020-12-21T16:26:00Z</cp:lastPrinted>
  <dcterms:created xsi:type="dcterms:W3CDTF">2020-12-21T16:26:00Z</dcterms:created>
  <dcterms:modified xsi:type="dcterms:W3CDTF">2020-12-21T16:27:00Z</dcterms:modified>
</cp:coreProperties>
</file>