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7856ED" w14:paraId="77A5F177" w14:textId="77777777" w:rsidTr="009E6CB7">
        <w:trPr>
          <w:cantSplit/>
          <w:trHeight w:hRule="exact" w:val="851"/>
        </w:trPr>
        <w:tc>
          <w:tcPr>
            <w:tcW w:w="1276" w:type="dxa"/>
            <w:tcBorders>
              <w:bottom w:val="single" w:sz="4" w:space="0" w:color="auto"/>
            </w:tcBorders>
            <w:vAlign w:val="bottom"/>
          </w:tcPr>
          <w:p w14:paraId="64D7FE38" w14:textId="77777777" w:rsidR="009E6CB7" w:rsidRPr="007856ED" w:rsidRDefault="009E6CB7" w:rsidP="009E6CB7">
            <w:pPr>
              <w:spacing w:after="80"/>
            </w:pPr>
          </w:p>
        </w:tc>
        <w:tc>
          <w:tcPr>
            <w:tcW w:w="2268" w:type="dxa"/>
            <w:tcBorders>
              <w:bottom w:val="single" w:sz="4" w:space="0" w:color="auto"/>
            </w:tcBorders>
            <w:vAlign w:val="bottom"/>
          </w:tcPr>
          <w:p w14:paraId="4D408EAC" w14:textId="77777777" w:rsidR="009E6CB7" w:rsidRPr="007856ED" w:rsidRDefault="009E6CB7" w:rsidP="009E6CB7">
            <w:pPr>
              <w:spacing w:after="80" w:line="300" w:lineRule="exact"/>
              <w:rPr>
                <w:b/>
                <w:sz w:val="24"/>
                <w:szCs w:val="24"/>
              </w:rPr>
            </w:pPr>
            <w:r w:rsidRPr="007856ED">
              <w:rPr>
                <w:sz w:val="28"/>
                <w:szCs w:val="28"/>
              </w:rPr>
              <w:t>United Nations</w:t>
            </w:r>
          </w:p>
        </w:tc>
        <w:tc>
          <w:tcPr>
            <w:tcW w:w="6095" w:type="dxa"/>
            <w:gridSpan w:val="2"/>
            <w:tcBorders>
              <w:bottom w:val="single" w:sz="4" w:space="0" w:color="auto"/>
            </w:tcBorders>
            <w:vAlign w:val="bottom"/>
          </w:tcPr>
          <w:p w14:paraId="40AE3EA4" w14:textId="6202E52D" w:rsidR="009E6CB7" w:rsidRPr="007856ED" w:rsidRDefault="00971335" w:rsidP="00F44221">
            <w:pPr>
              <w:jc w:val="right"/>
            </w:pPr>
            <w:r w:rsidRPr="007856ED">
              <w:rPr>
                <w:sz w:val="40"/>
              </w:rPr>
              <w:t>ECE</w:t>
            </w:r>
            <w:r w:rsidRPr="007856ED">
              <w:t>/TRANS/20</w:t>
            </w:r>
            <w:r w:rsidR="001158B7">
              <w:t>21</w:t>
            </w:r>
            <w:r w:rsidRPr="007856ED">
              <w:t>/</w:t>
            </w:r>
            <w:r w:rsidR="00E20590">
              <w:t>12</w:t>
            </w:r>
          </w:p>
        </w:tc>
      </w:tr>
      <w:tr w:rsidR="009E6CB7" w:rsidRPr="007856ED" w14:paraId="19939A2F" w14:textId="77777777" w:rsidTr="009E6CB7">
        <w:trPr>
          <w:cantSplit/>
          <w:trHeight w:hRule="exact" w:val="2835"/>
        </w:trPr>
        <w:tc>
          <w:tcPr>
            <w:tcW w:w="1276" w:type="dxa"/>
            <w:tcBorders>
              <w:top w:val="single" w:sz="4" w:space="0" w:color="auto"/>
              <w:bottom w:val="single" w:sz="12" w:space="0" w:color="auto"/>
            </w:tcBorders>
          </w:tcPr>
          <w:p w14:paraId="342D64E8" w14:textId="77777777" w:rsidR="009E6CB7" w:rsidRPr="007856ED" w:rsidRDefault="00BC7F91" w:rsidP="009E6CB7">
            <w:pPr>
              <w:spacing w:before="120"/>
            </w:pPr>
            <w:r w:rsidRPr="007856ED">
              <w:rPr>
                <w:noProof/>
                <w:lang w:val="en-US"/>
              </w:rPr>
              <w:drawing>
                <wp:inline distT="0" distB="0" distL="0" distR="0" wp14:anchorId="23905051" wp14:editId="72660AC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C84E9BA" w14:textId="77777777" w:rsidR="009E6CB7" w:rsidRPr="007856ED" w:rsidRDefault="009E6CB7" w:rsidP="009E6CB7">
            <w:pPr>
              <w:spacing w:before="120" w:line="420" w:lineRule="exact"/>
              <w:rPr>
                <w:sz w:val="40"/>
                <w:szCs w:val="40"/>
              </w:rPr>
            </w:pPr>
            <w:r w:rsidRPr="007856ED">
              <w:rPr>
                <w:b/>
                <w:sz w:val="40"/>
                <w:szCs w:val="40"/>
              </w:rPr>
              <w:t>Economic and Social Council</w:t>
            </w:r>
          </w:p>
        </w:tc>
        <w:tc>
          <w:tcPr>
            <w:tcW w:w="2835" w:type="dxa"/>
            <w:tcBorders>
              <w:top w:val="single" w:sz="4" w:space="0" w:color="auto"/>
              <w:bottom w:val="single" w:sz="12" w:space="0" w:color="auto"/>
            </w:tcBorders>
          </w:tcPr>
          <w:p w14:paraId="22076F6C" w14:textId="77777777" w:rsidR="009E6CB7" w:rsidRPr="007856ED" w:rsidRDefault="00971335" w:rsidP="00971335">
            <w:pPr>
              <w:spacing w:before="240" w:line="240" w:lineRule="exact"/>
            </w:pPr>
            <w:r w:rsidRPr="007856ED">
              <w:t>Distr.: General</w:t>
            </w:r>
          </w:p>
          <w:p w14:paraId="4418177F" w14:textId="5324E340" w:rsidR="00971335" w:rsidRDefault="0095093A" w:rsidP="002559F5">
            <w:pPr>
              <w:spacing w:line="240" w:lineRule="exact"/>
            </w:pPr>
            <w:r>
              <w:t>15 December</w:t>
            </w:r>
            <w:r w:rsidR="003B2FA2">
              <w:t xml:space="preserve"> </w:t>
            </w:r>
            <w:r w:rsidR="007E06CE">
              <w:t>20</w:t>
            </w:r>
            <w:r w:rsidR="00592139">
              <w:t>20</w:t>
            </w:r>
          </w:p>
          <w:p w14:paraId="492EEB76" w14:textId="77777777" w:rsidR="002559F5" w:rsidRPr="007856ED" w:rsidRDefault="002559F5" w:rsidP="002559F5">
            <w:pPr>
              <w:spacing w:line="240" w:lineRule="exact"/>
            </w:pPr>
          </w:p>
          <w:p w14:paraId="6B4A39AD" w14:textId="77777777" w:rsidR="00971335" w:rsidRPr="007856ED" w:rsidRDefault="00971335" w:rsidP="00104C9B">
            <w:pPr>
              <w:spacing w:line="240" w:lineRule="exact"/>
            </w:pPr>
            <w:r w:rsidRPr="007856ED">
              <w:t>Original: English</w:t>
            </w:r>
          </w:p>
        </w:tc>
      </w:tr>
    </w:tbl>
    <w:p w14:paraId="4E8ECC1F" w14:textId="77777777" w:rsidR="008E47AF" w:rsidRPr="007D68EB" w:rsidRDefault="008E47AF" w:rsidP="008E47AF">
      <w:pPr>
        <w:spacing w:before="120"/>
        <w:rPr>
          <w:b/>
          <w:bCs/>
          <w:sz w:val="28"/>
          <w:szCs w:val="28"/>
        </w:rPr>
      </w:pPr>
      <w:r w:rsidRPr="007D68EB">
        <w:rPr>
          <w:b/>
          <w:bCs/>
          <w:sz w:val="28"/>
          <w:szCs w:val="28"/>
        </w:rPr>
        <w:t>Economic Commission for Europe</w:t>
      </w:r>
    </w:p>
    <w:p w14:paraId="5739B34D" w14:textId="77777777" w:rsidR="008E47AF" w:rsidRPr="007D68EB" w:rsidRDefault="008E47AF" w:rsidP="008E47AF">
      <w:pPr>
        <w:spacing w:before="120"/>
        <w:rPr>
          <w:sz w:val="28"/>
          <w:szCs w:val="28"/>
        </w:rPr>
      </w:pPr>
      <w:r w:rsidRPr="007D68EB">
        <w:rPr>
          <w:sz w:val="28"/>
          <w:szCs w:val="28"/>
        </w:rPr>
        <w:t>Inland Transport Committee</w:t>
      </w:r>
    </w:p>
    <w:p w14:paraId="5BA07C58" w14:textId="10309A23" w:rsidR="008E47AF" w:rsidRDefault="006E60DF" w:rsidP="008E47AF">
      <w:pPr>
        <w:spacing w:before="120"/>
        <w:rPr>
          <w:b/>
          <w:bCs/>
          <w:lang w:val="en-US"/>
        </w:rPr>
      </w:pPr>
      <w:r>
        <w:rPr>
          <w:b/>
          <w:bCs/>
          <w:lang w:val="en-US"/>
        </w:rPr>
        <w:t>Eight</w:t>
      </w:r>
      <w:r w:rsidR="00F97B81">
        <w:rPr>
          <w:b/>
          <w:bCs/>
          <w:lang w:val="en-US"/>
        </w:rPr>
        <w:t>y-</w:t>
      </w:r>
      <w:r w:rsidR="00592139">
        <w:rPr>
          <w:b/>
          <w:bCs/>
          <w:lang w:val="en-US"/>
        </w:rPr>
        <w:t>third</w:t>
      </w:r>
      <w:r w:rsidR="00592139" w:rsidRPr="007D68EB">
        <w:rPr>
          <w:b/>
          <w:bCs/>
          <w:lang w:val="en-US"/>
        </w:rPr>
        <w:t xml:space="preserve"> </w:t>
      </w:r>
      <w:r w:rsidR="008E47AF" w:rsidRPr="007D68EB">
        <w:rPr>
          <w:b/>
          <w:bCs/>
          <w:lang w:val="en-US"/>
        </w:rPr>
        <w:t>session</w:t>
      </w:r>
    </w:p>
    <w:p w14:paraId="6C2F8E93" w14:textId="77777777" w:rsidR="002559F5" w:rsidRDefault="008E47AF" w:rsidP="002559F5">
      <w:pPr>
        <w:ind w:right="3519"/>
        <w:rPr>
          <w:b/>
        </w:rPr>
      </w:pPr>
      <w:r w:rsidRPr="007D68EB">
        <w:t>Geneva</w:t>
      </w:r>
      <w:r>
        <w:t xml:space="preserve">, </w:t>
      </w:r>
      <w:r w:rsidR="00F97B81">
        <w:t>2</w:t>
      </w:r>
      <w:r w:rsidR="002559F5">
        <w:t>3–</w:t>
      </w:r>
      <w:r w:rsidR="00F97B81">
        <w:t>2</w:t>
      </w:r>
      <w:r w:rsidR="00A512C3">
        <w:t>6</w:t>
      </w:r>
      <w:r>
        <w:t xml:space="preserve"> February 20</w:t>
      </w:r>
      <w:r w:rsidR="00F97B81">
        <w:t>2</w:t>
      </w:r>
      <w:r w:rsidR="00A512C3">
        <w:t>1</w:t>
      </w:r>
      <w:r>
        <w:br/>
      </w:r>
      <w:r w:rsidRPr="00F942B0">
        <w:t xml:space="preserve">Item </w:t>
      </w:r>
      <w:r w:rsidR="007718F0" w:rsidRPr="00F942B0">
        <w:t>7</w:t>
      </w:r>
      <w:r w:rsidR="005621CE" w:rsidRPr="00F942B0">
        <w:t xml:space="preserve"> (</w:t>
      </w:r>
      <w:r w:rsidR="007718F0" w:rsidRPr="00F942B0">
        <w:t>b</w:t>
      </w:r>
      <w:r w:rsidR="005621CE" w:rsidRPr="00F942B0">
        <w:t xml:space="preserve">) </w:t>
      </w:r>
      <w:r w:rsidRPr="00F942B0">
        <w:t>of the provisional agenda</w:t>
      </w:r>
      <w:r w:rsidRPr="00F942B0">
        <w:br/>
      </w:r>
      <w:r w:rsidR="002559F5" w:rsidRPr="002559F5">
        <w:rPr>
          <w:b/>
        </w:rPr>
        <w:t>Strategic questions of a horizontal and cross-sectoral policy or regulatory nature: Implementation of the international United Nations inland transport conventions and agreements (statements by delegates)</w:t>
      </w:r>
    </w:p>
    <w:p w14:paraId="63F87894" w14:textId="255F7FBC" w:rsidR="0095093A" w:rsidRDefault="0095093A" w:rsidP="002559F5">
      <w:pPr>
        <w:pStyle w:val="HChG"/>
      </w:pPr>
      <w:r>
        <w:tab/>
      </w:r>
      <w:r w:rsidR="002559F5">
        <w:tab/>
      </w:r>
      <w:r>
        <w:t>Regional Accession Dynamics to United Nations Inland Transport Conventions and Agreement</w:t>
      </w:r>
      <w:r w:rsidR="002559F5">
        <w:t>s</w:t>
      </w:r>
    </w:p>
    <w:p w14:paraId="4E36A4A0" w14:textId="77777777" w:rsidR="0095093A" w:rsidRDefault="0095093A" w:rsidP="002559F5">
      <w:pPr>
        <w:pStyle w:val="H1G"/>
      </w:pPr>
      <w:r>
        <w:tab/>
      </w:r>
      <w:r>
        <w:tab/>
        <w:t>Note by the secretariat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95093A" w14:paraId="0AA00340" w14:textId="77777777" w:rsidTr="005F7FA7">
        <w:trPr>
          <w:jc w:val="center"/>
        </w:trPr>
        <w:tc>
          <w:tcPr>
            <w:tcW w:w="9637" w:type="dxa"/>
            <w:shd w:val="clear" w:color="auto" w:fill="auto"/>
          </w:tcPr>
          <w:p w14:paraId="21566651" w14:textId="77777777" w:rsidR="0095093A" w:rsidRPr="00C6263E" w:rsidRDefault="0095093A" w:rsidP="005F7FA7">
            <w:pPr>
              <w:spacing w:before="240" w:after="120"/>
              <w:ind w:left="255"/>
              <w:rPr>
                <w:i/>
                <w:sz w:val="24"/>
              </w:rPr>
            </w:pPr>
            <w:r w:rsidRPr="00C6263E">
              <w:rPr>
                <w:i/>
                <w:sz w:val="24"/>
              </w:rPr>
              <w:t>Summary</w:t>
            </w:r>
          </w:p>
        </w:tc>
      </w:tr>
      <w:tr w:rsidR="0095093A" w14:paraId="7A1C56F6" w14:textId="77777777" w:rsidTr="005F7FA7">
        <w:trPr>
          <w:jc w:val="center"/>
        </w:trPr>
        <w:tc>
          <w:tcPr>
            <w:tcW w:w="9637" w:type="dxa"/>
            <w:shd w:val="clear" w:color="auto" w:fill="auto"/>
          </w:tcPr>
          <w:p w14:paraId="37A96F37" w14:textId="276D4E7A" w:rsidR="0095093A" w:rsidRDefault="002559F5" w:rsidP="005F7FA7">
            <w:pPr>
              <w:pStyle w:val="SingleTxtG"/>
            </w:pPr>
            <w:r>
              <w:tab/>
            </w:r>
            <w:r>
              <w:tab/>
            </w:r>
            <w:r w:rsidR="0095093A">
              <w:t>This document analyses the regional dynamics of accessions to transport conventions under the purview of the Inland Transport Committee. It takes a focus on conventions covering Border Crossing Facilitation and Road Safety, due to their high policy interest during the pandemic and post-pandemic period, and reports on progress made in ECE and other regions.</w:t>
            </w:r>
          </w:p>
        </w:tc>
      </w:tr>
      <w:tr w:rsidR="0095093A" w14:paraId="56CBD8CE" w14:textId="77777777" w:rsidTr="005F7FA7">
        <w:trPr>
          <w:jc w:val="center"/>
        </w:trPr>
        <w:tc>
          <w:tcPr>
            <w:tcW w:w="9637" w:type="dxa"/>
            <w:shd w:val="clear" w:color="auto" w:fill="auto"/>
          </w:tcPr>
          <w:p w14:paraId="2C410E3C" w14:textId="77777777" w:rsidR="0095093A" w:rsidRDefault="0095093A" w:rsidP="005F7FA7"/>
        </w:tc>
      </w:tr>
    </w:tbl>
    <w:p w14:paraId="65493BD6" w14:textId="3F1F0CF6" w:rsidR="0095093A" w:rsidRDefault="007B1027" w:rsidP="007B1027">
      <w:pPr>
        <w:pStyle w:val="HChG"/>
        <w:ind w:left="1571" w:hanging="720"/>
      </w:pPr>
      <w:r>
        <w:t>I.</w:t>
      </w:r>
      <w:r>
        <w:tab/>
      </w:r>
      <w:r w:rsidR="0095093A">
        <w:t>Background and scope</w:t>
      </w:r>
    </w:p>
    <w:p w14:paraId="45897B40" w14:textId="4E24F557" w:rsidR="0095093A" w:rsidRDefault="0095093A" w:rsidP="0065349F">
      <w:pPr>
        <w:pStyle w:val="SingleTxtG"/>
      </w:pPr>
      <w:r>
        <w:t>1.</w:t>
      </w:r>
      <w:r>
        <w:tab/>
        <w:t xml:space="preserve">The 59 United Nations inland transport conventions developed and serviced by the Inland Transport Committee (ITC) are a vital tool for the development of sustainable transport systems regionally and globally. </w:t>
      </w:r>
      <w:r w:rsidR="004C7E6C">
        <w:t xml:space="preserve">Currently 49 of them are in force (see </w:t>
      </w:r>
      <w:r w:rsidR="004C7E6C" w:rsidRPr="0095093A">
        <w:t>ECE/TRANS/2021/11</w:t>
      </w:r>
      <w:r w:rsidR="004C7E6C">
        <w:t xml:space="preserve"> for more details).</w:t>
      </w:r>
      <w:r w:rsidR="002C6D69">
        <w:t xml:space="preserve"> </w:t>
      </w:r>
      <w:r>
        <w:t xml:space="preserve">Each country accession can make transport safer, greener, cheaper, faster or more accessible. Therefore, each country accession counts. As of December 2020, there are 1801 separate accessions to these legal instruments. </w:t>
      </w:r>
    </w:p>
    <w:p w14:paraId="464A1F6A" w14:textId="5AC012B3" w:rsidR="0095093A" w:rsidRDefault="0095093A" w:rsidP="0065349F">
      <w:pPr>
        <w:pStyle w:val="SingleTxtG"/>
      </w:pPr>
      <w:r>
        <w:t>2.</w:t>
      </w:r>
      <w:r>
        <w:tab/>
        <w:t xml:space="preserve">Tracking the number of accessions is of course not the only way to determine if worldwide inland transport is becoming more sustainable. For instance, the change in worldwide road traffic fatalities, rather than accession to road safety conventions, is the principal metric of progress on road safety. Nevertheless, accessions are a strong driver or leading indicator of future progress in road traffic safety for several reasons, including the </w:t>
      </w:r>
      <w:bookmarkStart w:id="0" w:name="_GoBack"/>
      <w:bookmarkEnd w:id="0"/>
      <w:r>
        <w:lastRenderedPageBreak/>
        <w:t xml:space="preserve">use of harmonized rules and standards, as well </w:t>
      </w:r>
      <w:r w:rsidR="00EF651D">
        <w:t xml:space="preserve">as </w:t>
      </w:r>
      <w:r>
        <w:t>a common framework that enables and strengthens the diffusion of best practices. The same principle applies to other aspects of inland transport, such as border crossing facilitation, transporting specific cargoes or providing a common set of standards for environmentally friendly transport.</w:t>
      </w:r>
    </w:p>
    <w:p w14:paraId="4A511A41" w14:textId="6849D9CD" w:rsidR="00BA3BEA" w:rsidRDefault="0095093A" w:rsidP="0065349F">
      <w:pPr>
        <w:pStyle w:val="SingleTxtG"/>
      </w:pPr>
      <w:r>
        <w:t>3.</w:t>
      </w:r>
      <w:r>
        <w:tab/>
        <w:t>This document therefore analyses, at a macro level, the accession dynamics of each region of the world, as defined by United Nations regional commission membership. The regional commissions are: Economic Commission for Europe (ECE); Economic Commission for Latin America (ECLAC); Economic Commission for Africa (ECA); Economic and Social Commission for Western Asia (ESCWA); and Economic and Social Commission for Asia and Pacific (ESCAP). The analysis looks at the best performing countries in each region, sees how accessions have changed over time, and also focusses on two groups of conventions: relating to border crossing facilitation and to road safety.</w:t>
      </w:r>
    </w:p>
    <w:p w14:paraId="51E3577F" w14:textId="3409EE1A" w:rsidR="0095093A" w:rsidRDefault="0095093A" w:rsidP="0065349F">
      <w:pPr>
        <w:pStyle w:val="SingleTxtG"/>
      </w:pPr>
      <w:r>
        <w:t>4.</w:t>
      </w:r>
      <w:r>
        <w:tab/>
        <w:t>Border crossing facilitation cover</w:t>
      </w:r>
      <w:r w:rsidR="008C09BA">
        <w:t>s</w:t>
      </w:r>
      <w:r>
        <w:t xml:space="preserve"> fourteen conventions (</w:t>
      </w:r>
      <w:r w:rsidR="008C09BA">
        <w:t xml:space="preserve">for a full list, see </w:t>
      </w:r>
      <w:hyperlink r:id="rId12" w:history="1">
        <w:r w:rsidR="008C09BA" w:rsidRPr="00D83849">
          <w:rPr>
            <w:rStyle w:val="Hyperlink"/>
          </w:rPr>
          <w:t>https://unece.org/list-agreements</w:t>
        </w:r>
      </w:hyperlink>
      <w:r w:rsidR="008C09BA">
        <w:t>). R</w:t>
      </w:r>
      <w:r>
        <w:t xml:space="preserve">oad </w:t>
      </w:r>
      <w:r w:rsidR="003549CA">
        <w:t xml:space="preserve">safety is covered by several </w:t>
      </w:r>
      <w:r w:rsidR="008C09BA">
        <w:t xml:space="preserve">legal instruments and road safety pillars, however the ITC Strategy until 2030 and several General Assembly resolutions identify </w:t>
      </w:r>
      <w:r>
        <w:t>seven conventions</w:t>
      </w:r>
      <w:r w:rsidR="008C09BA">
        <w:rPr>
          <w:rStyle w:val="FootnoteReference"/>
        </w:rPr>
        <w:footnoteReference w:id="2"/>
      </w:r>
      <w:r>
        <w:t xml:space="preserve"> </w:t>
      </w:r>
      <w:r w:rsidR="008C09BA">
        <w:t>as the core ones – these are the ones covered by the analysis in this document</w:t>
      </w:r>
      <w:r>
        <w:t xml:space="preserve">. </w:t>
      </w:r>
    </w:p>
    <w:p w14:paraId="323E3CF4" w14:textId="466A14A8" w:rsidR="00BA3BEA" w:rsidRDefault="0095093A" w:rsidP="006144C0">
      <w:pPr>
        <w:pStyle w:val="SingleTxtG"/>
      </w:pPr>
      <w:r>
        <w:t>5.</w:t>
      </w:r>
      <w:r>
        <w:tab/>
        <w:t>When allocating countries to their regional commissions, it is important to note that many countries are members of more than one regional commission. In some cases, these countries have a clear geographical link to one regional commission and are thus assigned to this one only. In addition to this, though, there are two principal areas where the regional Commissions overlap</w:t>
      </w:r>
      <w:r w:rsidR="008C09BA">
        <w:t xml:space="preserve">: </w:t>
      </w:r>
      <w:r>
        <w:t>in North Africa/Western Asia (countries involved: Algeria Morocco, Tunisia, Mauritania, Libya, Egypt, Sudan,) and Central Asia (Azerbaijan, Kazakhstan, Kyrgyzstan, Tajikistan, Turkmenistan, Uzbekistan). In these two cases, the countries have been included under the analysis of both regional commission</w:t>
      </w:r>
      <w:r w:rsidR="003549CA">
        <w:t>s</w:t>
      </w:r>
      <w:r>
        <w:t>.</w:t>
      </w:r>
    </w:p>
    <w:p w14:paraId="1F48F412" w14:textId="151146B9" w:rsidR="0095093A" w:rsidRDefault="007B1027" w:rsidP="007B1027">
      <w:pPr>
        <w:pStyle w:val="HChG"/>
        <w:ind w:left="1571" w:hanging="720"/>
      </w:pPr>
      <w:r>
        <w:t>II.</w:t>
      </w:r>
      <w:r>
        <w:tab/>
      </w:r>
      <w:r w:rsidR="003549CA">
        <w:t>The Economic Commission for Europe Region</w:t>
      </w:r>
    </w:p>
    <w:p w14:paraId="4CC80837" w14:textId="46952D7A" w:rsidR="0095093A" w:rsidRDefault="0095093A" w:rsidP="0065349F">
      <w:pPr>
        <w:pStyle w:val="SingleTxtG"/>
      </w:pPr>
      <w:r>
        <w:t>6.</w:t>
      </w:r>
      <w:r>
        <w:tab/>
        <w:t xml:space="preserve">Of </w:t>
      </w:r>
      <w:r w:rsidR="00BA3BEA">
        <w:t>the</w:t>
      </w:r>
      <w:r w:rsidR="00A6586C">
        <w:t xml:space="preserve"> </w:t>
      </w:r>
      <w:r>
        <w:t>180</w:t>
      </w:r>
      <w:r w:rsidR="00BA3BEA">
        <w:t>1 total accessions</w:t>
      </w:r>
      <w:r w:rsidR="00A6586C">
        <w:t xml:space="preserve"> by all contracting parties to all conventions</w:t>
      </w:r>
      <w:r>
        <w:t>, 138</w:t>
      </w:r>
      <w:r w:rsidR="00BA3BEA">
        <w:t>7</w:t>
      </w:r>
      <w:r>
        <w:t xml:space="preserve"> (77</w:t>
      </w:r>
      <w:r w:rsidR="00BA3BEA">
        <w:t xml:space="preserve"> per cent</w:t>
      </w:r>
      <w:r>
        <w:t xml:space="preserve">) are by </w:t>
      </w:r>
      <w:r w:rsidR="002C6D69">
        <w:t xml:space="preserve">56 </w:t>
      </w:r>
      <w:r>
        <w:t>ECE member States. Luxembourg (45), Netherlands (44) and Serbia (42) lead the way with the most convention accessions of any member State. Countries with less than ten convention accessions include Andorra, Canada, Iceland, Israel, Monaco, San Marino, Tajikistan and the United States of America.</w:t>
      </w:r>
    </w:p>
    <w:p w14:paraId="30F0103B" w14:textId="0BA16FBD" w:rsidR="0095093A" w:rsidRDefault="0095093A" w:rsidP="0065349F">
      <w:pPr>
        <w:pStyle w:val="SingleTxtG"/>
      </w:pPr>
      <w:r>
        <w:t>7.</w:t>
      </w:r>
      <w:r>
        <w:tab/>
        <w:t>Of the 138</w:t>
      </w:r>
      <w:r w:rsidR="00074173">
        <w:t>7</w:t>
      </w:r>
      <w:r>
        <w:t xml:space="preserve"> ECE accessions, 22</w:t>
      </w:r>
      <w:r w:rsidR="00074173">
        <w:t>9</w:t>
      </w:r>
      <w:r>
        <w:t xml:space="preserve"> have occurred since 2005, 6</w:t>
      </w:r>
      <w:r w:rsidR="00074173">
        <w:t>9</w:t>
      </w:r>
      <w:r>
        <w:t xml:space="preserve"> of which were 2015 onwards. 2020 saw a noteworthy jump in ECE accessions of 2</w:t>
      </w:r>
      <w:r w:rsidR="00074173">
        <w:t>4</w:t>
      </w:r>
      <w:r>
        <w:t>, principally due to multiple accessions by Liechtenstein (8) and Turkmenistan (6).</w:t>
      </w:r>
    </w:p>
    <w:p w14:paraId="04AB70A4" w14:textId="597C1F50" w:rsidR="0095093A" w:rsidRDefault="0095093A" w:rsidP="0065349F">
      <w:pPr>
        <w:pStyle w:val="SingleTxtG"/>
      </w:pPr>
      <w:r>
        <w:t>8.</w:t>
      </w:r>
      <w:r>
        <w:tab/>
        <w:t xml:space="preserve">The conventions with the </w:t>
      </w:r>
      <w:r w:rsidR="00BA3BEA">
        <w:t xml:space="preserve">highest number of </w:t>
      </w:r>
      <w:r>
        <w:t xml:space="preserve">individual </w:t>
      </w:r>
      <w:r w:rsidR="00BA3BEA">
        <w:t xml:space="preserve">contracting parties </w:t>
      </w:r>
      <w:r>
        <w:t xml:space="preserve">in the ECE region are the </w:t>
      </w:r>
      <w:r w:rsidR="00BA3BEA" w:rsidRPr="00BA3BEA">
        <w:t>Customs Convention on the International Transport of Goods under Cover of TIR Carnets (</w:t>
      </w:r>
      <w:r w:rsidR="00BA3BEA">
        <w:t xml:space="preserve">1975 </w:t>
      </w:r>
      <w:r w:rsidR="00BA3BEA" w:rsidRPr="00BA3BEA">
        <w:t>TIR Convention)</w:t>
      </w:r>
      <w:r w:rsidR="00BA3BEA" w:rsidRPr="00BA3BEA" w:rsidDel="00BA3BEA">
        <w:t xml:space="preserve"> </w:t>
      </w:r>
      <w:r>
        <w:t>and</w:t>
      </w:r>
      <w:r w:rsidR="00BA3BEA">
        <w:t xml:space="preserve"> the</w:t>
      </w:r>
      <w:r>
        <w:t xml:space="preserve"> </w:t>
      </w:r>
      <w:r w:rsidR="00BA3BEA" w:rsidRPr="00BA3BEA">
        <w:t>European Agreement concerning the Work of Crews of Vehicles engaged in International Road Transport (AETR)</w:t>
      </w:r>
      <w:r w:rsidR="00BA3BEA">
        <w:t xml:space="preserve"> </w:t>
      </w:r>
      <w:r w:rsidR="000B58EE">
        <w:t xml:space="preserve">each of which has </w:t>
      </w:r>
      <w:r w:rsidR="00BA3BEA">
        <w:t xml:space="preserve">51 ECE contracting parties. They are followed by the </w:t>
      </w:r>
      <w:r w:rsidR="00BA3BEA" w:rsidRPr="00BA3BEA">
        <w:t>Agreement concerning the International Carriage of Dangerous Goods by Road (ADR)</w:t>
      </w:r>
      <w:r w:rsidR="00BA3BEA" w:rsidRPr="00BA3BEA" w:rsidDel="00BA3BEA">
        <w:t xml:space="preserve"> </w:t>
      </w:r>
      <w:r w:rsidR="00BA3BEA">
        <w:t xml:space="preserve">with </w:t>
      </w:r>
      <w:r>
        <w:t>49</w:t>
      </w:r>
      <w:r w:rsidR="00BA3BEA">
        <w:t xml:space="preserve"> ECE contracting parties</w:t>
      </w:r>
      <w:r>
        <w:t>.</w:t>
      </w:r>
    </w:p>
    <w:p w14:paraId="400D08D0" w14:textId="63FE7636" w:rsidR="0095093A" w:rsidRDefault="0095093A" w:rsidP="0065349F">
      <w:pPr>
        <w:pStyle w:val="SingleTxtG"/>
      </w:pPr>
      <w:r>
        <w:lastRenderedPageBreak/>
        <w:t>9.</w:t>
      </w:r>
      <w:r>
        <w:tab/>
        <w:t>Border crossing facilitation (377 accessions) is well developed in the region. With respect to road safety, the 216</w:t>
      </w:r>
      <w:r w:rsidR="008F2022">
        <w:t xml:space="preserve"> </w:t>
      </w:r>
      <w:r>
        <w:t xml:space="preserve">ECE accessions are broadly spread across the </w:t>
      </w:r>
      <w:r w:rsidR="008F2022">
        <w:t>seven</w:t>
      </w:r>
      <w:r>
        <w:t xml:space="preserve"> core road safety conventions, with the ADR being the most subscribed and the </w:t>
      </w:r>
      <w:r w:rsidR="008F2022" w:rsidRPr="008F2022">
        <w:t>1997 Agreement on periodic technical inspection</w:t>
      </w:r>
      <w:r w:rsidR="008F2022" w:rsidRPr="008F2022" w:rsidDel="008F2022">
        <w:t xml:space="preserve"> </w:t>
      </w:r>
      <w:r>
        <w:t xml:space="preserve">the least </w:t>
      </w:r>
      <w:r w:rsidR="008F2022">
        <w:t>subscribed</w:t>
      </w:r>
      <w:r>
        <w:t xml:space="preserve">. </w:t>
      </w:r>
    </w:p>
    <w:p w14:paraId="44D724E2" w14:textId="1058C710" w:rsidR="00CC46EC" w:rsidRDefault="003B470E" w:rsidP="00CC46EC">
      <w:pPr>
        <w:pStyle w:val="Heading1"/>
      </w:pPr>
      <w:bookmarkStart w:id="2" w:name="_Hlk58929401"/>
      <w:r>
        <w:t>Figure I</w:t>
      </w:r>
      <w:r w:rsidR="008F2022">
        <w:t xml:space="preserve"> </w:t>
      </w:r>
    </w:p>
    <w:p w14:paraId="3298A8C5" w14:textId="6BC021A2" w:rsidR="008F2022" w:rsidRPr="00CC46EC" w:rsidRDefault="00A105B3" w:rsidP="00CC46EC">
      <w:pPr>
        <w:pStyle w:val="SingleTxtG"/>
        <w:rPr>
          <w:b/>
          <w:bCs/>
        </w:rPr>
      </w:pPr>
      <w:r w:rsidRPr="00CC46EC">
        <w:rPr>
          <w:b/>
          <w:bCs/>
        </w:rPr>
        <w:t xml:space="preserve">Cumulative </w:t>
      </w:r>
      <w:r w:rsidR="008F2022" w:rsidRPr="00CC46EC">
        <w:rPr>
          <w:b/>
          <w:bCs/>
        </w:rPr>
        <w:t>Border crossing convention</w:t>
      </w:r>
      <w:r w:rsidRPr="00CC46EC">
        <w:rPr>
          <w:b/>
          <w:bCs/>
        </w:rPr>
        <w:t xml:space="preserve"> accession</w:t>
      </w:r>
      <w:r w:rsidR="008F2022" w:rsidRPr="00CC46EC">
        <w:rPr>
          <w:b/>
          <w:bCs/>
        </w:rPr>
        <w:t xml:space="preserve">s </w:t>
      </w:r>
      <w:r w:rsidRPr="00CC46EC">
        <w:rPr>
          <w:b/>
          <w:bCs/>
        </w:rPr>
        <w:t xml:space="preserve">by regional commission </w:t>
      </w:r>
      <w:r w:rsidR="008F2022" w:rsidRPr="00CC46EC">
        <w:rPr>
          <w:b/>
          <w:bCs/>
        </w:rPr>
        <w:t>(excluding ECE)</w:t>
      </w:r>
      <w:r w:rsidRPr="00CC46EC">
        <w:rPr>
          <w:b/>
          <w:bCs/>
        </w:rPr>
        <w:t>, over time</w:t>
      </w:r>
    </w:p>
    <w:p w14:paraId="258F53B4" w14:textId="002E30E7" w:rsidR="008F2022" w:rsidRDefault="00A52DDB" w:rsidP="00CC46EC">
      <w:pPr>
        <w:pStyle w:val="ListParagraph"/>
        <w:keepNext/>
        <w:suppressAutoHyphens w:val="0"/>
        <w:spacing w:after="160" w:line="259" w:lineRule="auto"/>
        <w:ind w:left="1134" w:right="1138" w:hanging="141"/>
        <w:jc w:val="center"/>
      </w:pPr>
      <w:r>
        <w:rPr>
          <w:noProof/>
        </w:rPr>
        <w:drawing>
          <wp:inline distT="0" distB="0" distL="0" distR="0" wp14:anchorId="0716AC31" wp14:editId="0BD895F8">
            <wp:extent cx="4572000" cy="2743200"/>
            <wp:effectExtent l="0" t="0" r="0" b="0"/>
            <wp:docPr id="2" name="Chart 2">
              <a:extLst xmlns:a="http://schemas.openxmlformats.org/drawingml/2006/main">
                <a:ext uri="{FF2B5EF4-FFF2-40B4-BE49-F238E27FC236}">
                  <a16:creationId xmlns:a16="http://schemas.microsoft.com/office/drawing/2014/main" id="{3AF6765B-9D03-415C-9BDF-69E047CBB2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bookmarkEnd w:id="2"/>
    <w:p w14:paraId="2D5A956A" w14:textId="5A836D00" w:rsidR="00CC46EC" w:rsidRDefault="008F2022" w:rsidP="008E16F3">
      <w:pPr>
        <w:pStyle w:val="Heading1"/>
        <w:spacing w:before="240"/>
      </w:pPr>
      <w:r w:rsidRPr="005F7FA7">
        <w:t xml:space="preserve">Figure </w:t>
      </w:r>
      <w:r w:rsidR="003B470E">
        <w:t>II</w:t>
      </w:r>
    </w:p>
    <w:p w14:paraId="197A4E8B" w14:textId="2A201F39" w:rsidR="008F2022" w:rsidRPr="00CC46EC" w:rsidRDefault="008F2022" w:rsidP="00CC46EC">
      <w:pPr>
        <w:pStyle w:val="SingleTxtG"/>
        <w:rPr>
          <w:b/>
          <w:bCs/>
        </w:rPr>
      </w:pPr>
      <w:r w:rsidRPr="00CC46EC">
        <w:rPr>
          <w:b/>
          <w:bCs/>
        </w:rPr>
        <w:t>C</w:t>
      </w:r>
      <w:r w:rsidR="00A105B3" w:rsidRPr="00CC46EC">
        <w:rPr>
          <w:b/>
          <w:bCs/>
        </w:rPr>
        <w:t>umulative</w:t>
      </w:r>
      <w:r w:rsidRPr="00CC46EC">
        <w:rPr>
          <w:b/>
          <w:bCs/>
        </w:rPr>
        <w:t xml:space="preserve"> Road Safety convention</w:t>
      </w:r>
      <w:r w:rsidR="0085144D" w:rsidRPr="00CC46EC">
        <w:rPr>
          <w:b/>
          <w:bCs/>
        </w:rPr>
        <w:t xml:space="preserve"> accession</w:t>
      </w:r>
      <w:r w:rsidRPr="00CC46EC">
        <w:rPr>
          <w:b/>
          <w:bCs/>
        </w:rPr>
        <w:t>s by region</w:t>
      </w:r>
      <w:r w:rsidR="0085144D" w:rsidRPr="00CC46EC">
        <w:rPr>
          <w:b/>
          <w:bCs/>
        </w:rPr>
        <w:t>al commission (excluding ECE),</w:t>
      </w:r>
      <w:r w:rsidRPr="00CC46EC">
        <w:rPr>
          <w:b/>
          <w:bCs/>
        </w:rPr>
        <w:t xml:space="preserve"> over time</w:t>
      </w:r>
    </w:p>
    <w:p w14:paraId="0423E3E5" w14:textId="5EBFCA66" w:rsidR="008F2022" w:rsidRPr="0008540F" w:rsidRDefault="00A52DDB" w:rsidP="00CC46EC">
      <w:pPr>
        <w:pStyle w:val="ListParagraph"/>
        <w:tabs>
          <w:tab w:val="left" w:pos="1276"/>
        </w:tabs>
        <w:suppressAutoHyphens w:val="0"/>
        <w:spacing w:after="160" w:line="259" w:lineRule="auto"/>
        <w:ind w:left="709" w:right="1138" w:firstLine="425"/>
        <w:rPr>
          <w:lang w:val="en-US"/>
        </w:rPr>
      </w:pPr>
      <w:r>
        <w:rPr>
          <w:noProof/>
        </w:rPr>
        <w:drawing>
          <wp:inline distT="0" distB="0" distL="0" distR="0" wp14:anchorId="7EC48138" wp14:editId="539E3D33">
            <wp:extent cx="4572000" cy="3314700"/>
            <wp:effectExtent l="0" t="0" r="0" b="0"/>
            <wp:docPr id="4" name="Chart 4">
              <a:extLst xmlns:a="http://schemas.openxmlformats.org/drawingml/2006/main">
                <a:ext uri="{FF2B5EF4-FFF2-40B4-BE49-F238E27FC236}">
                  <a16:creationId xmlns:a16="http://schemas.microsoft.com/office/drawing/2014/main" id="{8AAF0EC0-7F1F-498F-A86D-DFD3D8170E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F17E71B" w14:textId="38EF1F6A" w:rsidR="0095093A" w:rsidRDefault="0095093A" w:rsidP="0095093A">
      <w:pPr>
        <w:pStyle w:val="HChG"/>
      </w:pPr>
      <w:r>
        <w:lastRenderedPageBreak/>
        <w:tab/>
        <w:t xml:space="preserve">III. </w:t>
      </w:r>
      <w:r>
        <w:tab/>
      </w:r>
      <w:r w:rsidR="003549CA">
        <w:t>The Economic Commission for Latin America Region</w:t>
      </w:r>
    </w:p>
    <w:p w14:paraId="6309E4F4" w14:textId="4B485D1B" w:rsidR="0095093A" w:rsidRDefault="0095093A" w:rsidP="0065349F">
      <w:pPr>
        <w:pStyle w:val="SingleTxtG"/>
      </w:pPr>
      <w:r>
        <w:t>10.</w:t>
      </w:r>
      <w:r>
        <w:tab/>
        <w:t>Of the 33 member</w:t>
      </w:r>
      <w:r w:rsidR="008F2022">
        <w:t xml:space="preserve"> States </w:t>
      </w:r>
      <w:r>
        <w:t xml:space="preserve">of ECLAC, only 22 have </w:t>
      </w:r>
      <w:r w:rsidR="008F2022">
        <w:t xml:space="preserve">acceded to </w:t>
      </w:r>
      <w:r>
        <w:t xml:space="preserve">at least one of </w:t>
      </w:r>
      <w:r w:rsidR="003549CA">
        <w:t xml:space="preserve">ECE’s </w:t>
      </w:r>
      <w:r>
        <w:t>transport conventions, thus 11 (33 percent) are not signed up to any. The 1</w:t>
      </w:r>
      <w:r w:rsidR="00074173">
        <w:t>1</w:t>
      </w:r>
      <w:r>
        <w:t xml:space="preserve"> that have not signed any are Belize, Bolivia, Colombia, Dominica, Grenada, Nicaragua, Panama, Saint Kitts and Nevis, Saint Lucia, Saint Vincent and the Grenadines, and Suriname. In total, the region has 80 accessions. The rate of progress has been very slow in recent years as well, with only nine of these accessions occurring since 1987.</w:t>
      </w:r>
    </w:p>
    <w:p w14:paraId="0DA13EEF" w14:textId="0A14425B" w:rsidR="0095093A" w:rsidRDefault="0095093A" w:rsidP="0065349F">
      <w:pPr>
        <w:pStyle w:val="SingleTxtG"/>
      </w:pPr>
      <w:r>
        <w:t>11.</w:t>
      </w:r>
      <w:r>
        <w:tab/>
        <w:t>For border crossing, the region’</w:t>
      </w:r>
      <w:r w:rsidR="00DD4CE5">
        <w:t>s</w:t>
      </w:r>
      <w:r>
        <w:t xml:space="preserve"> 38 accessions show </w:t>
      </w:r>
      <w:r w:rsidR="005E0439">
        <w:t xml:space="preserve">that </w:t>
      </w:r>
      <w:r>
        <w:t>progress has been made</w:t>
      </w:r>
      <w:r w:rsidR="00DD4CE5">
        <w:t xml:space="preserve"> (see </w:t>
      </w:r>
      <w:r w:rsidR="003B470E">
        <w:t>figure I</w:t>
      </w:r>
      <w:r w:rsidR="00DD4CE5">
        <w:t>)</w:t>
      </w:r>
      <w:r>
        <w:t>. It should be noted though that the majority of these are conventions created in the 1950s, whereas there are only three signatories to the TIR convention of 1975.</w:t>
      </w:r>
    </w:p>
    <w:p w14:paraId="7DF80593" w14:textId="1BA02592" w:rsidR="0095093A" w:rsidRPr="00C95653" w:rsidRDefault="0095093A" w:rsidP="0065349F">
      <w:pPr>
        <w:pStyle w:val="SingleTxtG"/>
        <w:rPr>
          <w:b/>
          <w:bCs/>
        </w:rPr>
      </w:pPr>
      <w:r>
        <w:t>12.</w:t>
      </w:r>
      <w:r>
        <w:tab/>
        <w:t xml:space="preserve"> Concerning the core road safety conventions, the region has 23 accessions</w:t>
      </w:r>
      <w:r w:rsidR="00DD4CE5">
        <w:t xml:space="preserve"> (see </w:t>
      </w:r>
      <w:r w:rsidR="003B470E">
        <w:t>figure II</w:t>
      </w:r>
      <w:r w:rsidR="00DD4CE5">
        <w:t>)</w:t>
      </w:r>
      <w:r>
        <w:t xml:space="preserve">. There is big potential for improvement in this </w:t>
      </w:r>
      <w:r w:rsidR="00DD4CE5">
        <w:t>regard</w:t>
      </w:r>
      <w:r>
        <w:t>, as 20 of the 23 accessions relate to the road traffic conventions of 1949 and 1968, and there are zero accessions for both the ADR and the core vehicle regulation agreements.</w:t>
      </w:r>
      <w:r w:rsidR="00CC46EC">
        <w:t xml:space="preserve"> </w:t>
      </w:r>
      <w:r w:rsidRPr="00C95653">
        <w:rPr>
          <w:b/>
          <w:bCs/>
        </w:rPr>
        <w:t>Given the estimated 110 000 fatalities on roads in the region in 2016, countries from the region may wish to consider these two areas for improvement.</w:t>
      </w:r>
    </w:p>
    <w:p w14:paraId="2EFAE5CB" w14:textId="256B621B" w:rsidR="0095093A" w:rsidRDefault="0095093A" w:rsidP="00E653E3">
      <w:pPr>
        <w:pStyle w:val="ListParagraph"/>
        <w:kinsoku w:val="0"/>
        <w:overflowPunct w:val="0"/>
        <w:autoSpaceDE w:val="0"/>
        <w:autoSpaceDN w:val="0"/>
        <w:adjustRightInd w:val="0"/>
        <w:snapToGrid w:val="0"/>
        <w:ind w:left="1138" w:right="1138"/>
        <w:jc w:val="both"/>
      </w:pPr>
      <w:r>
        <w:t>1</w:t>
      </w:r>
      <w:r w:rsidR="006144C0">
        <w:t>3</w:t>
      </w:r>
      <w:r>
        <w:t>.</w:t>
      </w:r>
      <w:r>
        <w:tab/>
        <w:t>Cuba (fifteen accessions) and Trinidad and Tobago (seven) are the best performers in the ECLAC region in terms of total accessions.</w:t>
      </w:r>
    </w:p>
    <w:p w14:paraId="6A4E6D4B" w14:textId="13AAF252" w:rsidR="0095093A" w:rsidRDefault="0095093A" w:rsidP="0095093A">
      <w:pPr>
        <w:pStyle w:val="HChG"/>
        <w:jc w:val="both"/>
      </w:pPr>
      <w:r>
        <w:tab/>
        <w:t>IV.</w:t>
      </w:r>
      <w:r>
        <w:tab/>
      </w:r>
      <w:r w:rsidR="003549CA">
        <w:t>The Economic Commission for Africa Region</w:t>
      </w:r>
    </w:p>
    <w:p w14:paraId="5DC3BA33" w14:textId="34A106A4" w:rsidR="0095093A" w:rsidRDefault="0095093A" w:rsidP="0065349F">
      <w:pPr>
        <w:pStyle w:val="SingleTxtG"/>
      </w:pPr>
      <w:r>
        <w:t>1</w:t>
      </w:r>
      <w:r w:rsidR="006144C0">
        <w:t>4</w:t>
      </w:r>
      <w:r>
        <w:t>.</w:t>
      </w:r>
      <w:r>
        <w:tab/>
      </w:r>
      <w:r w:rsidR="00885B0E">
        <w:t>T</w:t>
      </w:r>
      <w:r>
        <w:t xml:space="preserve">he ECA countries have acceded to 153 transport conventions. </w:t>
      </w:r>
      <w:r w:rsidR="00DD4CE5">
        <w:t>Thirty-five</w:t>
      </w:r>
      <w:r>
        <w:t xml:space="preserve"> countries have acceded to at least one convention, meaning that nineteen (35 percent) have not.</w:t>
      </w:r>
    </w:p>
    <w:p w14:paraId="38CB1C35" w14:textId="2F5E1BFB" w:rsidR="0095093A" w:rsidRDefault="0095093A" w:rsidP="0065349F">
      <w:pPr>
        <w:pStyle w:val="SingleTxtG"/>
      </w:pPr>
      <w:r>
        <w:t>1</w:t>
      </w:r>
      <w:r w:rsidR="006144C0">
        <w:t>5</w:t>
      </w:r>
      <w:r>
        <w:t>.</w:t>
      </w:r>
      <w:r>
        <w:tab/>
        <w:t xml:space="preserve">Progress over time has somewhat slowed, with only 37 of these 153 accessions occurring since 2000. </w:t>
      </w:r>
    </w:p>
    <w:p w14:paraId="6305E363" w14:textId="6A45AF7E" w:rsidR="0095093A" w:rsidRDefault="0095093A" w:rsidP="0065349F">
      <w:pPr>
        <w:pStyle w:val="SingleTxtG"/>
      </w:pPr>
      <w:r>
        <w:t>1</w:t>
      </w:r>
      <w:r w:rsidR="006144C0">
        <w:t>6</w:t>
      </w:r>
      <w:r>
        <w:t>.</w:t>
      </w:r>
      <w:r>
        <w:tab/>
        <w:t>Border crossing facilitation has 57 accessions</w:t>
      </w:r>
      <w:r w:rsidR="00DD4CE5">
        <w:t xml:space="preserve"> (see </w:t>
      </w:r>
      <w:r w:rsidR="003B470E">
        <w:t>figure I</w:t>
      </w:r>
      <w:r w:rsidR="00DD4CE5">
        <w:t>)</w:t>
      </w:r>
      <w:r>
        <w:t>, but only four of these are for the TIR convention. For the core seven road safety conventions, the region has signed 61 separate agreements, 40 of which are road traffic conventions and only 3 are for the ADR</w:t>
      </w:r>
      <w:r w:rsidR="00DD4CE5">
        <w:t xml:space="preserve"> (see </w:t>
      </w:r>
      <w:r w:rsidR="003B470E">
        <w:t>figure II</w:t>
      </w:r>
      <w:r w:rsidR="00DD4CE5">
        <w:t>)</w:t>
      </w:r>
      <w:r>
        <w:t xml:space="preserve">. </w:t>
      </w:r>
    </w:p>
    <w:p w14:paraId="73F12767" w14:textId="4FE67D8D" w:rsidR="0095093A" w:rsidRPr="0062308A" w:rsidRDefault="0095093A" w:rsidP="0095093A">
      <w:pPr>
        <w:ind w:left="1138" w:right="1138"/>
        <w:jc w:val="both"/>
      </w:pPr>
      <w:r>
        <w:t>1</w:t>
      </w:r>
      <w:r w:rsidR="006144C0">
        <w:t>7</w:t>
      </w:r>
      <w:r>
        <w:t>.</w:t>
      </w:r>
      <w:r>
        <w:tab/>
        <w:t>Tunisia (eighteen), Morocco (fifteen), Liberia and Nigeria (both ten) are the best performing countries to accessions.</w:t>
      </w:r>
    </w:p>
    <w:p w14:paraId="05817D7A" w14:textId="201EFFFE" w:rsidR="0095093A" w:rsidRDefault="0095093A" w:rsidP="0095093A">
      <w:pPr>
        <w:pStyle w:val="HChG"/>
      </w:pPr>
      <w:r>
        <w:tab/>
        <w:t>V.</w:t>
      </w:r>
      <w:r>
        <w:tab/>
      </w:r>
      <w:r w:rsidR="003549CA">
        <w:t>The Economic and Social Commission for Western Asia Region</w:t>
      </w:r>
    </w:p>
    <w:p w14:paraId="53B769E4" w14:textId="37259E22" w:rsidR="0095093A" w:rsidRDefault="0095093A" w:rsidP="0065349F">
      <w:pPr>
        <w:pStyle w:val="SingleTxtG"/>
      </w:pPr>
      <w:r>
        <w:t>1</w:t>
      </w:r>
      <w:r w:rsidR="006144C0">
        <w:t>8</w:t>
      </w:r>
      <w:r>
        <w:t>.</w:t>
      </w:r>
      <w:r>
        <w:tab/>
        <w:t>The</w:t>
      </w:r>
      <w:r w:rsidR="00CC46EC">
        <w:t xml:space="preserve"> </w:t>
      </w:r>
      <w:r>
        <w:t xml:space="preserve">20 </w:t>
      </w:r>
      <w:r w:rsidR="00885B0E">
        <w:t>member S</w:t>
      </w:r>
      <w:r>
        <w:t xml:space="preserve">tates </w:t>
      </w:r>
      <w:r w:rsidR="00885B0E">
        <w:t xml:space="preserve">of ESCWA </w:t>
      </w:r>
      <w:r>
        <w:t xml:space="preserve">have acceded to 89 different transport conventions. Of the 20 states, fifteen have signed up to at least one convention, whereas five (Algeria, Libya, Mauritania, Somalia and Yemen) have not signed up to any at all. Countries in the region with the most accessions are Tunisia (eighteen), Morocco (fifteen) and Jordan (nine). </w:t>
      </w:r>
    </w:p>
    <w:p w14:paraId="3E662EFD" w14:textId="1D193E84" w:rsidR="0095093A" w:rsidRDefault="0095093A" w:rsidP="0065349F">
      <w:pPr>
        <w:pStyle w:val="SingleTxtG"/>
      </w:pPr>
      <w:r>
        <w:t>1</w:t>
      </w:r>
      <w:r w:rsidR="006144C0">
        <w:t>9</w:t>
      </w:r>
      <w:r>
        <w:t>.</w:t>
      </w:r>
      <w:r>
        <w:tab/>
        <w:t>The rate of accessions over time has been inconsistent; after 20 separate accessions until the early 1960s, the 1970s saw thirteen accessions</w:t>
      </w:r>
      <w:r w:rsidR="00DD4CE5">
        <w:t>. These were followed by</w:t>
      </w:r>
      <w:r>
        <w:t xml:space="preserve"> eight in the 1980s, six in the 1990s, 24 in the 2000s and then seventeen since 2010. The most common convention that has been acceded to is the TIR convention with eleven accessions, followed by the 1968 Convention on Road Traffic with ten. </w:t>
      </w:r>
    </w:p>
    <w:p w14:paraId="71256D9C" w14:textId="730EB4EC" w:rsidR="0095093A" w:rsidRDefault="006144C0" w:rsidP="0065349F">
      <w:pPr>
        <w:pStyle w:val="SingleTxtG"/>
      </w:pPr>
      <w:r>
        <w:lastRenderedPageBreak/>
        <w:t>20</w:t>
      </w:r>
      <w:r w:rsidR="0095093A">
        <w:t>.</w:t>
      </w:r>
      <w:r w:rsidR="0095093A">
        <w:tab/>
        <w:t xml:space="preserve">In line with the ECLAC region, there is still a strong potential for further accessions relating to road safety. The region has 29 accessions to the core seven conventions, only two of which are to the ADR and four of which are to vehicle regulation conventions. </w:t>
      </w:r>
    </w:p>
    <w:p w14:paraId="43EAE15F" w14:textId="604F82B2" w:rsidR="0095093A" w:rsidRDefault="0095093A" w:rsidP="0095093A">
      <w:pPr>
        <w:pStyle w:val="HChG"/>
      </w:pPr>
      <w:r>
        <w:tab/>
        <w:t>V</w:t>
      </w:r>
      <w:r w:rsidR="003549CA">
        <w:t>I</w:t>
      </w:r>
      <w:r>
        <w:t>.</w:t>
      </w:r>
      <w:r>
        <w:tab/>
      </w:r>
      <w:r w:rsidR="003549CA">
        <w:t>The Economic and Social Commission for Asia and Pacific Region</w:t>
      </w:r>
    </w:p>
    <w:p w14:paraId="24D4E257" w14:textId="3228BE89" w:rsidR="0095093A" w:rsidRDefault="0095093A" w:rsidP="0065349F">
      <w:pPr>
        <w:pStyle w:val="SingleTxtG"/>
      </w:pPr>
      <w:r>
        <w:t>2</w:t>
      </w:r>
      <w:r w:rsidR="006144C0">
        <w:t>1</w:t>
      </w:r>
      <w:r>
        <w:t>.</w:t>
      </w:r>
      <w:r>
        <w:tab/>
      </w:r>
      <w:r w:rsidR="00885B0E">
        <w:t xml:space="preserve">Among </w:t>
      </w:r>
      <w:r>
        <w:t>48 regional member States</w:t>
      </w:r>
      <w:r w:rsidR="00885B0E">
        <w:t xml:space="preserve"> of ESCAP, 36 member States acceded to </w:t>
      </w:r>
      <w:r>
        <w:t>26</w:t>
      </w:r>
      <w:r w:rsidR="00074173">
        <w:t>6</w:t>
      </w:r>
      <w:r>
        <w:t xml:space="preserve"> separate accessions. This means, however, that 12 (or 25 percent) of its members are not covered by a single transport convention. The countries leading on accessions are </w:t>
      </w:r>
      <w:r w:rsidR="003549CA">
        <w:t xml:space="preserve">the Russian </w:t>
      </w:r>
      <w:r>
        <w:t>Federation (33), Kazakhstan (eighteen) and Georgia (seventeen), all of which are also ECE member States.</w:t>
      </w:r>
    </w:p>
    <w:p w14:paraId="15FBDB81" w14:textId="0C35FE30" w:rsidR="0095093A" w:rsidRDefault="0095093A" w:rsidP="0065349F">
      <w:pPr>
        <w:pStyle w:val="SingleTxtG"/>
      </w:pPr>
      <w:r>
        <w:t>2</w:t>
      </w:r>
      <w:r w:rsidR="006144C0">
        <w:t>2</w:t>
      </w:r>
      <w:r>
        <w:t>.</w:t>
      </w:r>
      <w:r>
        <w:tab/>
        <w:t>The conventions that are most acceded to by ESCAP countries are the 1949 convention on road traffic (25 accessions) and the 1975 TIR convention (17).</w:t>
      </w:r>
      <w:r w:rsidR="00CC46EC">
        <w:t xml:space="preserve"> </w:t>
      </w:r>
    </w:p>
    <w:p w14:paraId="7A20AAAB" w14:textId="21D1F221" w:rsidR="0095093A" w:rsidRDefault="0095093A" w:rsidP="0065349F">
      <w:pPr>
        <w:pStyle w:val="SingleTxtG"/>
      </w:pPr>
      <w:r>
        <w:t>2</w:t>
      </w:r>
      <w:r w:rsidR="006144C0">
        <w:t>3</w:t>
      </w:r>
      <w:r>
        <w:t>.</w:t>
      </w:r>
      <w:r>
        <w:tab/>
        <w:t>For border crossing facilitation, the region has 86 accessions, trailing only the ECE region, with Australia and the Islamic Republic of Iran having the most accessions if ECE join</w:t>
      </w:r>
      <w:r w:rsidR="001538F0">
        <w:t>t</w:t>
      </w:r>
      <w:r>
        <w:t xml:space="preserve"> members are excluded</w:t>
      </w:r>
      <w:r w:rsidR="00345019">
        <w:t xml:space="preserve"> (see </w:t>
      </w:r>
      <w:r w:rsidR="003B470E">
        <w:t>figure I</w:t>
      </w:r>
      <w:r w:rsidR="00345019">
        <w:t>)</w:t>
      </w:r>
      <w:r>
        <w:t>.</w:t>
      </w:r>
    </w:p>
    <w:p w14:paraId="524054E9" w14:textId="2BF3A97B" w:rsidR="0095093A" w:rsidRDefault="0095093A" w:rsidP="0065349F">
      <w:pPr>
        <w:pStyle w:val="SingleTxtG"/>
      </w:pPr>
      <w:r>
        <w:t>2</w:t>
      </w:r>
      <w:r w:rsidR="006144C0">
        <w:t>4</w:t>
      </w:r>
      <w:r>
        <w:t>.</w:t>
      </w:r>
      <w:r>
        <w:tab/>
        <w:t>The region has 85 accessions to core road safety conventions, 52 of which are to road traffic or road signs and signals, whereas only 6 are to the ADR and 15 relate to vehicle regulations</w:t>
      </w:r>
      <w:r w:rsidR="00345019">
        <w:t xml:space="preserve"> (see </w:t>
      </w:r>
      <w:r w:rsidR="003B470E">
        <w:t>figure II</w:t>
      </w:r>
      <w:r w:rsidR="00345019">
        <w:t>)</w:t>
      </w:r>
      <w:r>
        <w:t>.</w:t>
      </w:r>
    </w:p>
    <w:p w14:paraId="5E4CEAED" w14:textId="77777777" w:rsidR="0095093A" w:rsidRPr="00A96695" w:rsidRDefault="0095093A" w:rsidP="0095093A">
      <w:pPr>
        <w:pStyle w:val="HChG"/>
      </w:pPr>
      <w:r>
        <w:tab/>
        <w:t>VII.</w:t>
      </w:r>
      <w:r>
        <w:tab/>
      </w:r>
      <w:r>
        <w:tab/>
        <w:t>General Conclusions</w:t>
      </w:r>
    </w:p>
    <w:p w14:paraId="11256658" w14:textId="79F8212C" w:rsidR="00A6586C" w:rsidRDefault="00A6586C" w:rsidP="0065349F">
      <w:pPr>
        <w:pStyle w:val="SingleTxtG"/>
      </w:pPr>
      <w:r>
        <w:t>2</w:t>
      </w:r>
      <w:r w:rsidR="006144C0">
        <w:t>5</w:t>
      </w:r>
      <w:r w:rsidR="0095093A">
        <w:t>.</w:t>
      </w:r>
      <w:r w:rsidR="0095093A">
        <w:tab/>
        <w:t xml:space="preserve">A few general trends emerge from </w:t>
      </w:r>
      <w:r>
        <w:t xml:space="preserve">the above analysis of </w:t>
      </w:r>
      <w:r w:rsidR="0095093A">
        <w:t xml:space="preserve">regional </w:t>
      </w:r>
      <w:r>
        <w:t>accession dynamics</w:t>
      </w:r>
      <w:r w:rsidR="0095093A">
        <w:t xml:space="preserve">. The first point </w:t>
      </w:r>
      <w:r>
        <w:t xml:space="preserve">is that accession levels vary between regions. Countries from the ECLAC region appear to be lagging in accessions to both border-crossing and road safety conventions, while the numbers of accessions by ESCAP member States appear to increase more dynamically over time. The second is that non-ECE accessions are clearly lagging compared to those of ECE overall and in particular in the two critical areas of road safety and border-crossing facilitation. </w:t>
      </w:r>
    </w:p>
    <w:p w14:paraId="0C7CBB37" w14:textId="6A2E03FF" w:rsidR="00A6586C" w:rsidRDefault="00A6586C" w:rsidP="0065349F">
      <w:pPr>
        <w:pStyle w:val="SingleTxtG"/>
      </w:pPr>
      <w:r>
        <w:t>2</w:t>
      </w:r>
      <w:r w:rsidR="006144C0">
        <w:t>6</w:t>
      </w:r>
      <w:r>
        <w:t>.</w:t>
      </w:r>
      <w:r>
        <w:tab/>
        <w:t xml:space="preserve">It follows from this analysis </w:t>
      </w:r>
      <w:r w:rsidR="0095093A">
        <w:t xml:space="preserve">that there is still much </w:t>
      </w:r>
      <w:r w:rsidR="00345019">
        <w:t xml:space="preserve">room and urgency </w:t>
      </w:r>
      <w:r w:rsidR="0095093A">
        <w:t xml:space="preserve">to </w:t>
      </w:r>
      <w:r w:rsidR="00345019">
        <w:t xml:space="preserve">strengthen the appeal of conventions under the purview of the Inland Transport Committee to </w:t>
      </w:r>
      <w:r w:rsidR="0095093A">
        <w:t>all regions</w:t>
      </w:r>
      <w:r w:rsidR="00345019">
        <w:t xml:space="preserve">. </w:t>
      </w:r>
      <w:r w:rsidR="003549CA">
        <w:t>D</w:t>
      </w:r>
      <w:r w:rsidR="00345019">
        <w:t xml:space="preserve">espite the ongoing uncertainty surrounding the development of the pandemic and post-pandemic dynamics, </w:t>
      </w:r>
      <w:r w:rsidR="003549CA">
        <w:t xml:space="preserve">empirical evidence suggests </w:t>
      </w:r>
      <w:r w:rsidR="00345019">
        <w:t xml:space="preserve">that countries with </w:t>
      </w:r>
      <w:r w:rsidR="00E505CB">
        <w:t xml:space="preserve">a </w:t>
      </w:r>
      <w:r w:rsidR="00345019">
        <w:t>high-level of accession to road safety conventions perform better in the face of the ongoing road safety crisis. Countries with higher-level of accession to border-crossing facilitation conventions were able to record more successful responses to cross-border flow of goods during the pandemic emergency and its aftermath, despite many of them having suffered heavy epidemiological impacts on their population (see also ECE/TRANS/2021</w:t>
      </w:r>
      <w:r>
        <w:t>/13)</w:t>
      </w:r>
      <w:r w:rsidR="00345019">
        <w:t>.</w:t>
      </w:r>
    </w:p>
    <w:p w14:paraId="62EEF737" w14:textId="27CFFD8D" w:rsidR="00A6586C" w:rsidRDefault="00A6586C" w:rsidP="0065349F">
      <w:pPr>
        <w:pStyle w:val="SingleTxtG"/>
      </w:pPr>
      <w:r>
        <w:t>2</w:t>
      </w:r>
      <w:r w:rsidR="006144C0">
        <w:t>7</w:t>
      </w:r>
      <w:r>
        <w:t>.</w:t>
      </w:r>
      <w:r>
        <w:tab/>
        <w:t xml:space="preserve">In light of the above, the Committee </w:t>
      </w:r>
      <w:r w:rsidRPr="004F43F0">
        <w:rPr>
          <w:b/>
          <w:bCs/>
        </w:rPr>
        <w:t>may wish to take into consideration</w:t>
      </w:r>
      <w:r>
        <w:t xml:space="preserve"> </w:t>
      </w:r>
      <w:r w:rsidR="001851F8">
        <w:t xml:space="preserve">the </w:t>
      </w:r>
      <w:r>
        <w:t>analysis of regional accession trends and dynamics in relation to key clusters of United Nations inland transport conventions and agreements.</w:t>
      </w:r>
    </w:p>
    <w:p w14:paraId="2D9CB6B4" w14:textId="08DCCBDA" w:rsidR="0095093A" w:rsidRDefault="001851F8" w:rsidP="006144C0">
      <w:pPr>
        <w:pStyle w:val="SingleTxtG"/>
      </w:pPr>
      <w:r>
        <w:t>2</w:t>
      </w:r>
      <w:r w:rsidR="006144C0">
        <w:t>8</w:t>
      </w:r>
      <w:r>
        <w:t>.</w:t>
      </w:r>
      <w:r>
        <w:tab/>
        <w:t>Furthermore, t</w:t>
      </w:r>
      <w:r w:rsidR="00A6586C" w:rsidRPr="00680396">
        <w:t xml:space="preserve">he </w:t>
      </w:r>
      <w:r w:rsidR="00A6586C" w:rsidRPr="00044A9D">
        <w:t>Committee</w:t>
      </w:r>
      <w:r w:rsidR="00A6586C" w:rsidRPr="00680396">
        <w:rPr>
          <w:color w:val="000000" w:themeColor="text1"/>
        </w:rPr>
        <w:t xml:space="preserve">, mindful that improving implementation worldwide is a core element of the ITC Strategy and its vision in the run-up to 2030, </w:t>
      </w:r>
      <w:r w:rsidR="00A6586C" w:rsidRPr="00680396">
        <w:t xml:space="preserve">is invited to </w:t>
      </w:r>
      <w:r w:rsidR="00A6586C" w:rsidRPr="004F43F0">
        <w:rPr>
          <w:b/>
          <w:bCs/>
        </w:rPr>
        <w:t>take note</w:t>
      </w:r>
      <w:r w:rsidR="00A6586C" w:rsidRPr="00680396">
        <w:t xml:space="preserve"> of this information and may wish to </w:t>
      </w:r>
      <w:r w:rsidR="00A6586C" w:rsidRPr="004F43F0">
        <w:rPr>
          <w:b/>
          <w:bCs/>
        </w:rPr>
        <w:t>provide guidance to the secretariat</w:t>
      </w:r>
      <w:r w:rsidR="00A6586C" w:rsidRPr="00680396">
        <w:t xml:space="preserve"> on ways to strengthen </w:t>
      </w:r>
      <w:r w:rsidR="00A6586C">
        <w:t xml:space="preserve">accession to and </w:t>
      </w:r>
      <w:r w:rsidR="00A6586C" w:rsidRPr="00680396">
        <w:t>the implementation of these legal instruments.</w:t>
      </w:r>
    </w:p>
    <w:p w14:paraId="628247E6" w14:textId="41AB70D0" w:rsidR="004337AD" w:rsidRPr="004337AD" w:rsidRDefault="0095093A" w:rsidP="00BE1BAC">
      <w:pPr>
        <w:pStyle w:val="SingleTxtG"/>
        <w:spacing w:before="240" w:after="0"/>
        <w:jc w:val="center"/>
        <w:rPr>
          <w:u w:val="single"/>
        </w:rPr>
      </w:pPr>
      <w:r>
        <w:rPr>
          <w:u w:val="single"/>
        </w:rPr>
        <w:tab/>
      </w:r>
      <w:r>
        <w:rPr>
          <w:u w:val="single"/>
        </w:rPr>
        <w:tab/>
      </w:r>
      <w:r>
        <w:rPr>
          <w:u w:val="single"/>
        </w:rPr>
        <w:tab/>
      </w:r>
    </w:p>
    <w:sectPr w:rsidR="004337AD" w:rsidRPr="004337AD" w:rsidSect="00971335">
      <w:headerReference w:type="even" r:id="rId15"/>
      <w:headerReference w:type="default" r:id="rId16"/>
      <w:footerReference w:type="even" r:id="rId17"/>
      <w:footerReference w:type="default" r:id="rId18"/>
      <w:footerReference w:type="first" r:id="rId19"/>
      <w:footnotePr>
        <w:numRestart w:val="eachPage"/>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9D006" w14:textId="77777777" w:rsidR="00802E78" w:rsidRDefault="00802E78"/>
  </w:endnote>
  <w:endnote w:type="continuationSeparator" w:id="0">
    <w:p w14:paraId="7D39473F" w14:textId="77777777" w:rsidR="00802E78" w:rsidRDefault="00802E78"/>
  </w:endnote>
  <w:endnote w:type="continuationNotice" w:id="1">
    <w:p w14:paraId="5D71F84E" w14:textId="77777777" w:rsidR="00802E78" w:rsidRDefault="00802E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5C9E5" w14:textId="509F8B67" w:rsidR="003F34BF" w:rsidRPr="00971335" w:rsidRDefault="003F34BF" w:rsidP="00971335">
    <w:pPr>
      <w:pStyle w:val="Footer"/>
      <w:tabs>
        <w:tab w:val="right" w:pos="9638"/>
      </w:tabs>
      <w:rPr>
        <w:sz w:val="20"/>
      </w:rPr>
    </w:pPr>
    <w:r w:rsidRPr="00971335">
      <w:rPr>
        <w:b/>
        <w:sz w:val="18"/>
      </w:rPr>
      <w:fldChar w:fldCharType="begin"/>
    </w:r>
    <w:r w:rsidRPr="00971335">
      <w:rPr>
        <w:b/>
        <w:sz w:val="18"/>
      </w:rPr>
      <w:instrText xml:space="preserve"> PAGE  \* MERGEFORMAT </w:instrText>
    </w:r>
    <w:r w:rsidRPr="00971335">
      <w:rPr>
        <w:b/>
        <w:sz w:val="18"/>
      </w:rPr>
      <w:fldChar w:fldCharType="separate"/>
    </w:r>
    <w:r w:rsidR="00CA26C6">
      <w:rPr>
        <w:b/>
        <w:noProof/>
        <w:sz w:val="18"/>
      </w:rPr>
      <w:t>38</w:t>
    </w:r>
    <w:r w:rsidRPr="00971335">
      <w:rPr>
        <w:b/>
        <w:sz w:val="18"/>
      </w:rPr>
      <w:fldChar w:fldCharType="end"/>
    </w:r>
    <w:r w:rsidR="00E54188">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BB5ED" w14:textId="60E874BC" w:rsidR="003F34BF" w:rsidRPr="00971335" w:rsidRDefault="00E54188" w:rsidP="00971335">
    <w:pPr>
      <w:pStyle w:val="Footer"/>
      <w:tabs>
        <w:tab w:val="right" w:pos="9638"/>
      </w:tabs>
      <w:rPr>
        <w:sz w:val="18"/>
      </w:rPr>
    </w:pPr>
    <w:r>
      <w:rPr>
        <w:b/>
        <w:sz w:val="18"/>
      </w:rPr>
      <w:tab/>
    </w:r>
    <w:r w:rsidR="003F34BF" w:rsidRPr="00971335">
      <w:rPr>
        <w:b/>
        <w:sz w:val="18"/>
      </w:rPr>
      <w:fldChar w:fldCharType="begin"/>
    </w:r>
    <w:r w:rsidR="003F34BF" w:rsidRPr="00971335">
      <w:rPr>
        <w:b/>
        <w:sz w:val="18"/>
      </w:rPr>
      <w:instrText xml:space="preserve"> PAGE  \* MERGEFORMAT </w:instrText>
    </w:r>
    <w:r w:rsidR="003F34BF" w:rsidRPr="00971335">
      <w:rPr>
        <w:b/>
        <w:sz w:val="18"/>
      </w:rPr>
      <w:fldChar w:fldCharType="separate"/>
    </w:r>
    <w:r w:rsidR="00CA26C6">
      <w:rPr>
        <w:b/>
        <w:noProof/>
        <w:sz w:val="18"/>
      </w:rPr>
      <w:t>37</w:t>
    </w:r>
    <w:r w:rsidR="003F34BF" w:rsidRPr="0097133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DA8CE" w14:textId="35F5844E" w:rsidR="007B1027" w:rsidRDefault="007B1027" w:rsidP="007B1027">
    <w:pPr>
      <w:pStyle w:val="Footer"/>
    </w:pPr>
    <w:r>
      <w:rPr>
        <w:noProof/>
        <w:sz w:val="20"/>
      </w:rPr>
      <w:drawing>
        <wp:anchor distT="0" distB="0" distL="114300" distR="114300" simplePos="0" relativeHeight="251660288" behindDoc="0" locked="0" layoutInCell="1" allowOverlap="1" wp14:anchorId="2A6083EE" wp14:editId="1FD1007F">
          <wp:simplePos x="0" y="0"/>
          <wp:positionH relativeFrom="margin">
            <wp:posOffset>5615940</wp:posOffset>
          </wp:positionH>
          <wp:positionV relativeFrom="margin">
            <wp:posOffset>8159115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112F">
      <w:rPr>
        <w:noProof/>
        <w:lang w:val="en-US"/>
      </w:rPr>
      <w:drawing>
        <wp:anchor distT="0" distB="0" distL="114300" distR="114300" simplePos="0" relativeHeight="251659264" behindDoc="0" locked="1" layoutInCell="1" allowOverlap="1" wp14:anchorId="56D7DED0" wp14:editId="7837D1A5">
          <wp:simplePos x="0" y="0"/>
          <wp:positionH relativeFrom="column">
            <wp:posOffset>4558030</wp:posOffset>
          </wp:positionH>
          <wp:positionV relativeFrom="page">
            <wp:posOffset>9381490</wp:posOffset>
          </wp:positionV>
          <wp:extent cx="932180" cy="22987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6E4ECB2A" w14:textId="08D7903B" w:rsidR="007B1027" w:rsidRPr="007B1027" w:rsidRDefault="007B1027" w:rsidP="007B1027">
    <w:pPr>
      <w:pStyle w:val="Footer"/>
      <w:ind w:right="1134"/>
      <w:rPr>
        <w:sz w:val="20"/>
      </w:rPr>
    </w:pPr>
    <w:r>
      <w:rPr>
        <w:sz w:val="20"/>
      </w:rPr>
      <w:t>GE.20-17124(E)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86DF9" w14:textId="77777777" w:rsidR="00802E78" w:rsidRPr="000B175B" w:rsidRDefault="00802E78" w:rsidP="000B175B">
      <w:pPr>
        <w:tabs>
          <w:tab w:val="right" w:pos="2155"/>
        </w:tabs>
        <w:spacing w:after="80"/>
        <w:ind w:left="680"/>
        <w:rPr>
          <w:u w:val="single"/>
        </w:rPr>
      </w:pPr>
      <w:r>
        <w:rPr>
          <w:u w:val="single"/>
        </w:rPr>
        <w:tab/>
      </w:r>
    </w:p>
  </w:footnote>
  <w:footnote w:type="continuationSeparator" w:id="0">
    <w:p w14:paraId="291BD26B" w14:textId="77777777" w:rsidR="00802E78" w:rsidRPr="00FC68B7" w:rsidRDefault="00802E78" w:rsidP="00FC68B7">
      <w:pPr>
        <w:tabs>
          <w:tab w:val="left" w:pos="2155"/>
        </w:tabs>
        <w:spacing w:after="80"/>
        <w:ind w:left="680"/>
        <w:rPr>
          <w:u w:val="single"/>
        </w:rPr>
      </w:pPr>
      <w:r>
        <w:rPr>
          <w:u w:val="single"/>
        </w:rPr>
        <w:tab/>
      </w:r>
    </w:p>
  </w:footnote>
  <w:footnote w:type="continuationNotice" w:id="1">
    <w:p w14:paraId="3D5910B0" w14:textId="77777777" w:rsidR="00802E78" w:rsidRDefault="00802E78"/>
  </w:footnote>
  <w:footnote w:id="2">
    <w:p w14:paraId="5B5C8FE6" w14:textId="3D06AEAF" w:rsidR="008C09BA" w:rsidRPr="007B0DC1" w:rsidRDefault="00BE1BAC">
      <w:pPr>
        <w:pStyle w:val="FootnoteText"/>
        <w:rPr>
          <w:lang w:val="en-US"/>
        </w:rPr>
      </w:pPr>
      <w:r>
        <w:tab/>
      </w:r>
      <w:r w:rsidR="008C09BA">
        <w:rPr>
          <w:rStyle w:val="FootnoteReference"/>
        </w:rPr>
        <w:footnoteRef/>
      </w:r>
      <w:r>
        <w:tab/>
      </w:r>
      <w:r w:rsidR="008C09BA">
        <w:t xml:space="preserve"> </w:t>
      </w:r>
      <w:r w:rsidR="008C09BA" w:rsidRPr="007B0DC1">
        <w:rPr>
          <w:b/>
          <w:bCs/>
        </w:rPr>
        <w:t>Core United Nations Road Safety Conventions</w:t>
      </w:r>
      <w:r w:rsidR="008C09BA" w:rsidRPr="008C09BA">
        <w:t xml:space="preserve">: 1949 Convention on </w:t>
      </w:r>
      <w:r w:rsidR="0023258A">
        <w:t>R</w:t>
      </w:r>
      <w:r w:rsidR="008C09BA" w:rsidRPr="008C09BA">
        <w:t xml:space="preserve">oad </w:t>
      </w:r>
      <w:r w:rsidR="0023258A">
        <w:t>T</w:t>
      </w:r>
      <w:r w:rsidR="0023258A" w:rsidRPr="008C09BA">
        <w:t>raffic</w:t>
      </w:r>
      <w:r w:rsidR="008C09BA" w:rsidRPr="008C09BA">
        <w:t xml:space="preserve">; 1968 Convention on </w:t>
      </w:r>
      <w:r w:rsidR="0023258A">
        <w:t>R</w:t>
      </w:r>
      <w:r w:rsidR="0023258A" w:rsidRPr="008C09BA">
        <w:t xml:space="preserve">oad </w:t>
      </w:r>
      <w:r w:rsidR="0023258A">
        <w:t>T</w:t>
      </w:r>
      <w:r w:rsidR="0023258A" w:rsidRPr="008C09BA">
        <w:t>raffic</w:t>
      </w:r>
      <w:r w:rsidR="008C09BA" w:rsidRPr="008C09BA">
        <w:t>;</w:t>
      </w:r>
      <w:r w:rsidR="00CC46EC">
        <w:t xml:space="preserve"> </w:t>
      </w:r>
      <w:r w:rsidR="008C09BA" w:rsidRPr="008C09BA">
        <w:t xml:space="preserve">1968 Convention on </w:t>
      </w:r>
      <w:r w:rsidR="006E387F">
        <w:t>R</w:t>
      </w:r>
      <w:r w:rsidR="006E387F" w:rsidRPr="008C09BA">
        <w:t xml:space="preserve">oad </w:t>
      </w:r>
      <w:r w:rsidR="006E387F">
        <w:t>S</w:t>
      </w:r>
      <w:r w:rsidR="006E387F" w:rsidRPr="008C09BA">
        <w:t xml:space="preserve">igns </w:t>
      </w:r>
      <w:r w:rsidR="008C09BA" w:rsidRPr="008C09BA">
        <w:t xml:space="preserve">and </w:t>
      </w:r>
      <w:r w:rsidR="006E387F">
        <w:t>S</w:t>
      </w:r>
      <w:r w:rsidR="006E387F" w:rsidRPr="008C09BA">
        <w:t>ignals</w:t>
      </w:r>
      <w:r w:rsidR="008C09BA" w:rsidRPr="008C09BA">
        <w:t>;</w:t>
      </w:r>
      <w:r w:rsidR="00CC46EC">
        <w:t xml:space="preserve"> </w:t>
      </w:r>
      <w:r w:rsidR="008C09BA" w:rsidRPr="008C09BA">
        <w:t xml:space="preserve">1958 Agreement on UN Regulations for </w:t>
      </w:r>
      <w:r w:rsidR="006E387F">
        <w:t>V</w:t>
      </w:r>
      <w:r w:rsidR="006E387F" w:rsidRPr="008C09BA">
        <w:t xml:space="preserve">ehicle </w:t>
      </w:r>
      <w:r w:rsidR="006E387F">
        <w:t>T</w:t>
      </w:r>
      <w:r w:rsidR="006E387F" w:rsidRPr="008C09BA">
        <w:t>ype</w:t>
      </w:r>
      <w:r w:rsidR="008C09BA" w:rsidRPr="008C09BA">
        <w:t>-approval</w:t>
      </w:r>
      <w:bookmarkStart w:id="1" w:name="_Hlk58929194"/>
      <w:r w:rsidR="008C09BA" w:rsidRPr="008C09BA">
        <w:t>;</w:t>
      </w:r>
      <w:r w:rsidR="00CC46EC">
        <w:t xml:space="preserve"> </w:t>
      </w:r>
      <w:r w:rsidR="008C09BA" w:rsidRPr="008C09BA">
        <w:t xml:space="preserve">1997 Agreement on </w:t>
      </w:r>
      <w:r w:rsidR="006E387F">
        <w:t>P</w:t>
      </w:r>
      <w:r w:rsidR="006E387F" w:rsidRPr="008C09BA">
        <w:t xml:space="preserve">eriodic </w:t>
      </w:r>
      <w:r w:rsidR="006E387F">
        <w:t>T</w:t>
      </w:r>
      <w:r w:rsidR="006E387F" w:rsidRPr="008C09BA">
        <w:t xml:space="preserve">echnical </w:t>
      </w:r>
      <w:bookmarkEnd w:id="1"/>
      <w:r w:rsidR="006E387F">
        <w:t>I</w:t>
      </w:r>
      <w:r w:rsidR="006E387F" w:rsidRPr="008C09BA">
        <w:t>nspection</w:t>
      </w:r>
      <w:r w:rsidR="008C09BA" w:rsidRPr="008C09BA">
        <w:t>;</w:t>
      </w:r>
      <w:r w:rsidR="00CC46EC">
        <w:t xml:space="preserve"> </w:t>
      </w:r>
      <w:r w:rsidR="008C09BA" w:rsidRPr="008C09BA">
        <w:t xml:space="preserve">1998 Agreement on UN Global Technical Regulations on </w:t>
      </w:r>
      <w:r w:rsidR="006E387F">
        <w:t>V</w:t>
      </w:r>
      <w:r w:rsidR="006E387F" w:rsidRPr="008C09BA">
        <w:t xml:space="preserve">ehicle </w:t>
      </w:r>
      <w:r w:rsidR="006E387F">
        <w:t>C</w:t>
      </w:r>
      <w:r w:rsidR="006E387F" w:rsidRPr="008C09BA">
        <w:t>onstruction</w:t>
      </w:r>
      <w:r w:rsidR="008C09BA" w:rsidRPr="008C09BA">
        <w:t>;</w:t>
      </w:r>
      <w:r w:rsidR="00CC46EC">
        <w:t xml:space="preserve"> </w:t>
      </w:r>
      <w:r w:rsidR="008C09BA" w:rsidRPr="008C09BA">
        <w:t>1957 Agreement Concerning the International Carriage of Dangerous Goods by Road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F227E" w14:textId="725AB0C8" w:rsidR="003F34BF" w:rsidRPr="00971335" w:rsidRDefault="003F34BF" w:rsidP="00E54188">
    <w:pPr>
      <w:pStyle w:val="Header"/>
    </w:pPr>
    <w:r>
      <w:t>ECE/TRANS/20</w:t>
    </w:r>
    <w:r w:rsidR="00D87CEE">
      <w:t>21</w:t>
    </w:r>
    <w:r>
      <w:t>/</w:t>
    </w:r>
    <w:r w:rsidR="00E20590">
      <w:t>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91069" w14:textId="6725B899" w:rsidR="003F34BF" w:rsidRPr="00971335" w:rsidRDefault="003F34BF" w:rsidP="00E54188">
    <w:pPr>
      <w:pStyle w:val="Header"/>
      <w:jc w:val="right"/>
    </w:pPr>
    <w:r>
      <w:t>ECE/TRANS/20</w:t>
    </w:r>
    <w:r w:rsidR="00D87CEE">
      <w:t>21</w:t>
    </w:r>
    <w:r>
      <w:t>/</w:t>
    </w:r>
    <w:r w:rsidR="00E20590">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6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P96mCwIAAF0EAAAOAAAAZHJzL2Uyb0RvYy54bWykVNtu2zAMfR+wfxD0&#10;3tpp08Y14hRDgw4Dui0Ytg9gZDoWqhsk5fb3o2QnS582dA+WKYo+PDykPH88aMV26IO0puGT65Iz&#10;NMK20mwa/uvn81XFWYhgWlDWYMOPGPjj4uOH+d7VeGN7q1r0jEBMqPeu4X2Mri6KIHrUEK6tQ0OH&#10;nfUaIm39pmg97Aldq+KmLO+LvfWt81ZgCORdDod8kfG7DkX83nUBI1MNJ24xrz6v64ZX1QMvFnOo&#10;Nx5cL8VIBN7BQ4M0lPYMtYQIbOvlO6CcFHHrkdDIqukZaZH1H2gjiP4nDA3+deuuhNUOolxLJeMx&#10;6z2SMruVFCs/MBTfdivPZNvw2zvODGjqs+jBx6RtKiEFDOGQynmx4jUwY596MBv8FBx1iWYnRRdv&#10;w/P2Ta61ku5ZKpWUTvZYFXX075Nju04KXFqx1WjiMD4eFRVoTeilC5z5GvUaqRL/pZ3kdrZbG2ly&#10;U748lPikPNsBjRMIQTBDVOihxcE9vSvLcpiqAPGrbQf35PbkLy6QEqzzIZ5B972MmJWA+pyavki1&#10;Zg7RYxR9MjuS4QdJl2QjyNNB1uyPTEnQ4FKroD50Xqc3CcEO+Q4c05pvAB4iE+R8mM7uZ5wJOqmm&#10;syqfEvzp00T2M1rNkkEyUf4sE+xewsjkFDJ2c0ieWRGXzHW8bemKXO7JvvwrLH4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2O0LX2gAAAAMBAAAPAAAAZHJzL2Rvd25yZXYueG1s&#10;TI/NTsMwEITvSH0Ha5F6ow4UEEnjVC0SQiAuTfsA23ibRI3XUezmh6fH5QKXHa1mNfNtuh5NI3rq&#10;XG1Zwf0iAkFcWF1zqeCwf7t7AeE8ssbGMimYyME6m92kmGg78I763JcihLBLUEHlfZtI6YqKDLqF&#10;bYmDd7KdQR/WrpS6wyGEm0Y+RNGzNFhzaKiwpdeKinN+MQrittfT+9fwud1/f5hD7nbxdNoqNb8d&#10;NysQnkb/dwxX/IAOWWA62gtrJxoF4RH/O6/eYwziGHT5BDJL5X/27AcAAP//AwBQSwMECgAAAAAA&#10;AAAhAICnYG+BBwAAgQcAABQAAABkcnMvbWVkaWEvaW1hZ2UxLnBuZ4lQTkcNChoKAAAADUlIRFIA&#10;AAA7AAAARAgDAAABf4iNAwAAAAFzUkdCAK7OHOkAAAAEZ0FNQQAAsY8L/GEFAAACYVBMVEX////8&#10;/Pz7+/v4+Pj9/f3+/v7u7u719fXz8/P6+vr5+fn29vbExMSNjY1ra2tbW1tYWFhoaGh9fX2xsbHt&#10;7e3x8fHw8PDS0tJ2dnYiIiINDQ0AAAABAQECAgITExNhYWG9vb3p6el5eXkODg4FBQUDAwMHBwdQ&#10;UFDh4eH09PTd3d0tLS0GBgYEBAQJCQkVFRWzs7PLy8sWFhYICAiQkJDv7+/X19elpaU4ODgLCwsM&#10;DAxBQUHb29saGhqioqKDg4M1NTUuLi67u7vR0dGJiYmmpqZeXl739/eEhIQKCgonJyd1dXV8fHwp&#10;KSmYmJg/Pz/FxcXs7OwhISHHx8d3d3fy8vLPz8+MjIxpaWkkJCSurq4RERGAgICtra1kZGS2traB&#10;gYHf399UVFQqKiq6urpISEgSEhI0NDSoqKihoaFlZWVJSUk7OztDQ0NcXFyIiIja2trU1NTi4uLV&#10;1dXZ2dnW1tbo6Ojr6+ve3t6FhYVMTEweHh5+fn5/f38rKytSUlKRkZGjo6MbGxvq6upNTU16enog&#10;ICBwcHBqamqgoKC5ubnNzc3n5+fOzs6dnZ0fHx8jIyMYGBhnZ2eysrJ4eHirq6vMzMxKSkoQEBDg&#10;4OBTU1PGxsZfX1+0tLRxcXFdXV0PDw8lJSUdHR1ERESbm5s+Pj5CQkJaWlq+vr5ubm63t7fQ0NB0&#10;dHSXl5eGhoYcHByamprCwsIsLCw2NjZHR0eVlZU8PDxgYGDm5uZPT0/Y2Nienp7j4+N7e3vk5ORW&#10;VlaCgoJvb28ZGRkXFxeqqqqwsLDIyMhRUVHT09Pc3NwAAADzxMZlAAAAy3RSTlP/////////////&#10;////////////////////////////////////////////////////////////////////////////&#10;////////////////////////////////////////////////////////////////////////////&#10;////////////////////////////////////////////////////////////////////////////&#10;////////////////////////////AL7mpKIAAAAJcEhZcwAADsQAAA7EAZUrDhsAAAPSSURBVEhL&#10;jVfJsaswENRJOVBkQBgE8E7cdPPFVVycDQmQigP73T2DNmT7d/GMRqNZJM3CCxW2eZ41wNsGYU4+&#10;CCHqF6RmznSGiaP5z2bDH6USeXltUde8nU9SGvyPpjQm8Cae1RgQq5ro6RjhwuQEsCRoTC+nsHwJ&#10;C1+bkzHt9MU1kE3foET0HeDM89t2R8h6WbwYnSd4oDUtcSArMNIJQmQsBmyU6XPe5jBlGpqWiN/j&#10;InWg7+vO4Gp46+10mHQ/8/zg64nV4hz2wlmbYujBgIovaNoB746Jk1JyR0LMOBgaHZxjePpkxssZ&#10;jrJxIlqIZXisVXCGId96wWoc+uczPeJ+nhBs7HYY8SJyYZ53BMCO88ewihHgpFWE5aTQhHncUFlg&#10;XjFajBZZ2CCg1IFp3Fa+cQkn6c8Cuhsf0xY4y0Eu/hDbOsNr8RWQLaoECtujxQ7L2VSN4SShJEjr&#10;iB+vhBncZckm4q7fGcKzZ7Zx1HG7Tb9qNoIbUzmA27MgfNrxnduGt8VIQb5CAj7U2x3EZy3MpO5Q&#10;sg7B0h9HCA9nrk7X4Or3+XyglAwkv4LLa6lKnMNXQqVlJi7zWRU1gVmCXWqnGLVn9cfNnGDgz3yv&#10;pUlzQpORS6tSpFyD0pMh5bdpHEJMHJ+f/k5hFn0DzxCOrK5OgZJzj2mK/MHIfSE3q4bZd3yllC5H&#10;Ffa2Fl4kiOJHu9QKcnngPqajWRSG4YicQO6Ci1NYipeSvRKGY974JRu1fx4b0UbchWyHu+9RYise&#10;nvMZ1jbHkNL1taNEbMNk/4LlapSOBzb7fyqO0RaY0T/Foz4tBmjy8gbqXUZGDTy9T6Y5H8c3Yhgl&#10;Z4W2+3XQd8xndAfcoq9iHX7KfrGsZvUJgw7d4Ivh25fDDTuXjS6KzeLrWYGtsKo+ZACO3eEf0mHt&#10;zELRr63WWM8i/8zp+NkoOeL+8usGk7rkO3GrdbfpBiYWl4PlKR4HBnjHgzp/yKGyeVNi3WNsT5Kw&#10;+r19lCbD2zuOiVURZTpZdcydnZk00mAXa9DHKULM1kZrSITV4Zu4+BRnUwPgcvm+vfprGpYP+uWG&#10;VdXRStRWYINPrgl2Ai0Ux5JWqqHdqbjrdvD4Jy1AZxp5rhV2bLHilKHpBpoPKKk21mVKj5BfxWsY&#10;rsW9PLJBWcXSmZQGxZ98Df2Xm6U8d2pxMPoXIn/ctbyrKq+wtaERp1G3Wu0e1Ikr0y7rNztGaRhN&#10;8YnyGfJ8Httr4yPkob4y3ALyud5yzFH3E6mLLKiJx+l6v2E6rZ1muz44kK8LfgQOMkGA4INvFC2P&#10;IYR/dnIm2YwtpZgAAAAASUVORK5CYIJQSwECLQAUAAYACAAAACEAsYJntgoBAAATAgAAEwAAAAAA&#10;AAAAAAAAAAAAAAAAW0NvbnRlbnRfVHlwZXNdLnhtbFBLAQItABQABgAIAAAAIQA4/SH/1gAAAJQB&#10;AAALAAAAAAAAAAAAAAAAADsBAABfcmVscy8ucmVsc1BLAQItABQABgAIAAAAIQCoP96mCwIAAF0E&#10;AAAOAAAAAAAAAAAAAAAAADoCAABkcnMvZTJvRG9jLnhtbFBLAQItABQABgAIAAAAIQCqJg6+vAAA&#10;ACEBAAAZAAAAAAAAAAAAAAAAAHEEAABkcnMvX3JlbHMvZTJvRG9jLnhtbC5yZWxzUEsBAi0AFAAG&#10;AAgAAAAhAPY7QtfaAAAAAwEAAA8AAAAAAAAAAAAAAAAAZAUAAGRycy9kb3ducmV2LnhtbFBLAQIt&#10;AAoAAAAAAAAAIQCAp2BvgQcAAIEHAAAUAAAAAAAAAAAAAAAAAGsGAABkcnMvbWVkaWEvaW1hZ2Ux&#10;LnBuZ1BLBQYAAAAABgAGAHwBAAAeDgAAAAA=&#10;" o:bullet="t">
        <v:imagedata r:id="rId1" o:title="" cropright="-2275f"/>
      </v:shape>
    </w:pict>
  </w:numPicBullet>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56308F"/>
    <w:multiLevelType w:val="hybridMultilevel"/>
    <w:tmpl w:val="32CAD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1B31B5"/>
    <w:multiLevelType w:val="hybridMultilevel"/>
    <w:tmpl w:val="670A7D30"/>
    <w:lvl w:ilvl="0" w:tplc="6E005EAC">
      <w:start w:val="1"/>
      <w:numFmt w:val="upp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B20327"/>
    <w:multiLevelType w:val="hybridMultilevel"/>
    <w:tmpl w:val="DAE0686E"/>
    <w:lvl w:ilvl="0" w:tplc="71E60B88">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FCA436A"/>
    <w:multiLevelType w:val="hybridMultilevel"/>
    <w:tmpl w:val="A086D33E"/>
    <w:lvl w:ilvl="0" w:tplc="936E8360">
      <w:start w:val="1"/>
      <w:numFmt w:val="upperRoman"/>
      <w:lvlText w:val="%1."/>
      <w:lvlJc w:val="left"/>
      <w:pPr>
        <w:ind w:left="1395" w:hanging="72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0" w15:restartNumberingAfterBreak="0">
    <w:nsid w:val="56C6254D"/>
    <w:multiLevelType w:val="hybridMultilevel"/>
    <w:tmpl w:val="4D506B2C"/>
    <w:lvl w:ilvl="0" w:tplc="46CEC5C2">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62AB1059"/>
    <w:multiLevelType w:val="hybridMultilevel"/>
    <w:tmpl w:val="8C4A7568"/>
    <w:lvl w:ilvl="0" w:tplc="FEA6C238">
      <w:start w:val="1"/>
      <w:numFmt w:val="upp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CD3E6A"/>
    <w:multiLevelType w:val="hybridMultilevel"/>
    <w:tmpl w:val="75163D3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6A6F99"/>
    <w:multiLevelType w:val="hybridMultilevel"/>
    <w:tmpl w:val="05A29312"/>
    <w:lvl w:ilvl="0" w:tplc="5278428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0"/>
  </w:num>
  <w:num w:numId="14">
    <w:abstractNumId w:val="13"/>
  </w:num>
  <w:num w:numId="15">
    <w:abstractNumId w:val="18"/>
  </w:num>
  <w:num w:numId="16">
    <w:abstractNumId w:val="14"/>
  </w:num>
  <w:num w:numId="17">
    <w:abstractNumId w:val="22"/>
  </w:num>
  <w:num w:numId="18">
    <w:abstractNumId w:val="25"/>
  </w:num>
  <w:num w:numId="19">
    <w:abstractNumId w:val="23"/>
  </w:num>
  <w:num w:numId="20">
    <w:abstractNumId w:val="19"/>
  </w:num>
  <w:num w:numId="21">
    <w:abstractNumId w:val="16"/>
  </w:num>
  <w:num w:numId="22">
    <w:abstractNumId w:val="24"/>
  </w:num>
  <w:num w:numId="23">
    <w:abstractNumId w:val="21"/>
  </w:num>
  <w:num w:numId="24">
    <w:abstractNumId w:val="20"/>
  </w:num>
  <w:num w:numId="25">
    <w:abstractNumId w:val="12"/>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activeWritingStyle w:appName="MSWord" w:lang="en-GB" w:vendorID="64" w:dllVersion="5" w:nlCheck="1" w:checkStyle="1"/>
  <w:activeWritingStyle w:appName="MSWord" w:lang="en-GB" w:vendorID="64" w:dllVersion="6" w:nlCheck="1" w:checkStyle="0"/>
  <w:activeWritingStyle w:appName="MSWord" w:lang="fr-FR" w:vendorID="64" w:dllVersion="6" w:nlCheck="1" w:checkStyle="0"/>
  <w:activeWritingStyle w:appName="MSWord" w:lang="en-US" w:vendorID="64" w:dllVersion="6" w:nlCheck="1" w:checkStyle="0"/>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335"/>
    <w:rsid w:val="000015F4"/>
    <w:rsid w:val="00002A7D"/>
    <w:rsid w:val="000038A8"/>
    <w:rsid w:val="00006790"/>
    <w:rsid w:val="0000777F"/>
    <w:rsid w:val="00007AE3"/>
    <w:rsid w:val="0001459C"/>
    <w:rsid w:val="000154E3"/>
    <w:rsid w:val="00020280"/>
    <w:rsid w:val="0002044E"/>
    <w:rsid w:val="000231AF"/>
    <w:rsid w:val="00027286"/>
    <w:rsid w:val="00027624"/>
    <w:rsid w:val="000311B1"/>
    <w:rsid w:val="00032031"/>
    <w:rsid w:val="00032E7E"/>
    <w:rsid w:val="00033049"/>
    <w:rsid w:val="00033E3E"/>
    <w:rsid w:val="00035C2D"/>
    <w:rsid w:val="00035E62"/>
    <w:rsid w:val="00036160"/>
    <w:rsid w:val="000419DD"/>
    <w:rsid w:val="00041D4F"/>
    <w:rsid w:val="00042916"/>
    <w:rsid w:val="00045DB8"/>
    <w:rsid w:val="00050F6B"/>
    <w:rsid w:val="000512D3"/>
    <w:rsid w:val="00053C96"/>
    <w:rsid w:val="00053DAD"/>
    <w:rsid w:val="0005408C"/>
    <w:rsid w:val="00060965"/>
    <w:rsid w:val="00063FB3"/>
    <w:rsid w:val="000656D6"/>
    <w:rsid w:val="00066329"/>
    <w:rsid w:val="000664B0"/>
    <w:rsid w:val="000671D4"/>
    <w:rsid w:val="000678CD"/>
    <w:rsid w:val="000679E2"/>
    <w:rsid w:val="00071093"/>
    <w:rsid w:val="00071413"/>
    <w:rsid w:val="00072C8C"/>
    <w:rsid w:val="00073A84"/>
    <w:rsid w:val="00074173"/>
    <w:rsid w:val="000741DB"/>
    <w:rsid w:val="0008056F"/>
    <w:rsid w:val="00081CE0"/>
    <w:rsid w:val="00084D30"/>
    <w:rsid w:val="000868CA"/>
    <w:rsid w:val="00090320"/>
    <w:rsid w:val="000908AE"/>
    <w:rsid w:val="00092F99"/>
    <w:rsid w:val="000931C0"/>
    <w:rsid w:val="00095DCD"/>
    <w:rsid w:val="00097EFB"/>
    <w:rsid w:val="000A2B77"/>
    <w:rsid w:val="000A2E09"/>
    <w:rsid w:val="000A5159"/>
    <w:rsid w:val="000B160B"/>
    <w:rsid w:val="000B175B"/>
    <w:rsid w:val="000B2656"/>
    <w:rsid w:val="000B3465"/>
    <w:rsid w:val="000B37BC"/>
    <w:rsid w:val="000B3A0F"/>
    <w:rsid w:val="000B58EE"/>
    <w:rsid w:val="000B6E59"/>
    <w:rsid w:val="000C4A1B"/>
    <w:rsid w:val="000C7084"/>
    <w:rsid w:val="000D051C"/>
    <w:rsid w:val="000D121C"/>
    <w:rsid w:val="000D4140"/>
    <w:rsid w:val="000E0415"/>
    <w:rsid w:val="000E068B"/>
    <w:rsid w:val="000E1C04"/>
    <w:rsid w:val="000E417C"/>
    <w:rsid w:val="000E4FBC"/>
    <w:rsid w:val="000E5417"/>
    <w:rsid w:val="000F078D"/>
    <w:rsid w:val="000F0A36"/>
    <w:rsid w:val="000F28A5"/>
    <w:rsid w:val="000F2D57"/>
    <w:rsid w:val="000F5244"/>
    <w:rsid w:val="000F767A"/>
    <w:rsid w:val="000F7715"/>
    <w:rsid w:val="001002C3"/>
    <w:rsid w:val="00100A07"/>
    <w:rsid w:val="001028A9"/>
    <w:rsid w:val="00103983"/>
    <w:rsid w:val="00104C9B"/>
    <w:rsid w:val="00104F1B"/>
    <w:rsid w:val="0010689C"/>
    <w:rsid w:val="0011273C"/>
    <w:rsid w:val="001158B7"/>
    <w:rsid w:val="001218C1"/>
    <w:rsid w:val="001220CB"/>
    <w:rsid w:val="0012471F"/>
    <w:rsid w:val="00125041"/>
    <w:rsid w:val="00127FF1"/>
    <w:rsid w:val="00132B2B"/>
    <w:rsid w:val="00133AE1"/>
    <w:rsid w:val="0015085D"/>
    <w:rsid w:val="00152D15"/>
    <w:rsid w:val="00153286"/>
    <w:rsid w:val="001535E1"/>
    <w:rsid w:val="001538F0"/>
    <w:rsid w:val="00155CB7"/>
    <w:rsid w:val="00156B99"/>
    <w:rsid w:val="00157A3D"/>
    <w:rsid w:val="00161D96"/>
    <w:rsid w:val="00164A40"/>
    <w:rsid w:val="00166124"/>
    <w:rsid w:val="00166C3A"/>
    <w:rsid w:val="0017332E"/>
    <w:rsid w:val="00174812"/>
    <w:rsid w:val="00175574"/>
    <w:rsid w:val="00183E90"/>
    <w:rsid w:val="00184C21"/>
    <w:rsid w:val="00184DDA"/>
    <w:rsid w:val="001851F8"/>
    <w:rsid w:val="00185265"/>
    <w:rsid w:val="00185285"/>
    <w:rsid w:val="00187F1A"/>
    <w:rsid w:val="001900CD"/>
    <w:rsid w:val="00190F9B"/>
    <w:rsid w:val="00193E12"/>
    <w:rsid w:val="001A0452"/>
    <w:rsid w:val="001A5CF1"/>
    <w:rsid w:val="001A60F5"/>
    <w:rsid w:val="001B17D8"/>
    <w:rsid w:val="001B4785"/>
    <w:rsid w:val="001B4B04"/>
    <w:rsid w:val="001B5875"/>
    <w:rsid w:val="001C1A29"/>
    <w:rsid w:val="001C254D"/>
    <w:rsid w:val="001C2726"/>
    <w:rsid w:val="001C3544"/>
    <w:rsid w:val="001C3E11"/>
    <w:rsid w:val="001C4B9C"/>
    <w:rsid w:val="001C6663"/>
    <w:rsid w:val="001C7895"/>
    <w:rsid w:val="001D000C"/>
    <w:rsid w:val="001D009E"/>
    <w:rsid w:val="001D0896"/>
    <w:rsid w:val="001D104D"/>
    <w:rsid w:val="001D26DF"/>
    <w:rsid w:val="001E2972"/>
    <w:rsid w:val="001E36A2"/>
    <w:rsid w:val="001F0D98"/>
    <w:rsid w:val="001F1599"/>
    <w:rsid w:val="001F16C9"/>
    <w:rsid w:val="001F19C4"/>
    <w:rsid w:val="001F61B9"/>
    <w:rsid w:val="001F62AF"/>
    <w:rsid w:val="001F6537"/>
    <w:rsid w:val="002033B9"/>
    <w:rsid w:val="002043F0"/>
    <w:rsid w:val="00205366"/>
    <w:rsid w:val="00206805"/>
    <w:rsid w:val="00206DCB"/>
    <w:rsid w:val="00207EA1"/>
    <w:rsid w:val="00211E0B"/>
    <w:rsid w:val="00216A2F"/>
    <w:rsid w:val="0021769A"/>
    <w:rsid w:val="00217E20"/>
    <w:rsid w:val="00221FC9"/>
    <w:rsid w:val="0022373A"/>
    <w:rsid w:val="00226928"/>
    <w:rsid w:val="00226B55"/>
    <w:rsid w:val="002272A3"/>
    <w:rsid w:val="00231B8D"/>
    <w:rsid w:val="00231D76"/>
    <w:rsid w:val="00232575"/>
    <w:rsid w:val="0023258A"/>
    <w:rsid w:val="00233AB4"/>
    <w:rsid w:val="002360C0"/>
    <w:rsid w:val="002368A8"/>
    <w:rsid w:val="00237734"/>
    <w:rsid w:val="00237F27"/>
    <w:rsid w:val="0024269F"/>
    <w:rsid w:val="00243719"/>
    <w:rsid w:val="00244C7C"/>
    <w:rsid w:val="00245EF6"/>
    <w:rsid w:val="00247258"/>
    <w:rsid w:val="0025059C"/>
    <w:rsid w:val="00250AA4"/>
    <w:rsid w:val="002510E5"/>
    <w:rsid w:val="00253139"/>
    <w:rsid w:val="002559F5"/>
    <w:rsid w:val="00257CAC"/>
    <w:rsid w:val="00260689"/>
    <w:rsid w:val="002634A0"/>
    <w:rsid w:val="002636A1"/>
    <w:rsid w:val="00266C14"/>
    <w:rsid w:val="002720E7"/>
    <w:rsid w:val="0027237A"/>
    <w:rsid w:val="00273F93"/>
    <w:rsid w:val="002745FE"/>
    <w:rsid w:val="00276970"/>
    <w:rsid w:val="00277D29"/>
    <w:rsid w:val="00281940"/>
    <w:rsid w:val="00286E78"/>
    <w:rsid w:val="00292573"/>
    <w:rsid w:val="002974E9"/>
    <w:rsid w:val="002A16BD"/>
    <w:rsid w:val="002A410F"/>
    <w:rsid w:val="002A41FF"/>
    <w:rsid w:val="002A52FC"/>
    <w:rsid w:val="002A62A3"/>
    <w:rsid w:val="002A7F94"/>
    <w:rsid w:val="002B109A"/>
    <w:rsid w:val="002B32EF"/>
    <w:rsid w:val="002B43E0"/>
    <w:rsid w:val="002B4471"/>
    <w:rsid w:val="002C3A89"/>
    <w:rsid w:val="002C6D45"/>
    <w:rsid w:val="002C6D69"/>
    <w:rsid w:val="002D1077"/>
    <w:rsid w:val="002D6E53"/>
    <w:rsid w:val="002E09FC"/>
    <w:rsid w:val="002E677E"/>
    <w:rsid w:val="002F046D"/>
    <w:rsid w:val="002F0607"/>
    <w:rsid w:val="002F2D63"/>
    <w:rsid w:val="002F35C5"/>
    <w:rsid w:val="003007B7"/>
    <w:rsid w:val="00301764"/>
    <w:rsid w:val="003102BD"/>
    <w:rsid w:val="00312D43"/>
    <w:rsid w:val="00314597"/>
    <w:rsid w:val="00314D09"/>
    <w:rsid w:val="00315268"/>
    <w:rsid w:val="003153E0"/>
    <w:rsid w:val="00315DE8"/>
    <w:rsid w:val="00321914"/>
    <w:rsid w:val="00321BB1"/>
    <w:rsid w:val="003229D8"/>
    <w:rsid w:val="00323386"/>
    <w:rsid w:val="0032643F"/>
    <w:rsid w:val="00326732"/>
    <w:rsid w:val="00330558"/>
    <w:rsid w:val="0033502F"/>
    <w:rsid w:val="003368F8"/>
    <w:rsid w:val="00336C97"/>
    <w:rsid w:val="00337F88"/>
    <w:rsid w:val="0034148C"/>
    <w:rsid w:val="00342432"/>
    <w:rsid w:val="00343718"/>
    <w:rsid w:val="00345019"/>
    <w:rsid w:val="00345820"/>
    <w:rsid w:val="0035223F"/>
    <w:rsid w:val="00352D4B"/>
    <w:rsid w:val="00353A9C"/>
    <w:rsid w:val="003549CA"/>
    <w:rsid w:val="00354EE0"/>
    <w:rsid w:val="003559D9"/>
    <w:rsid w:val="0035638C"/>
    <w:rsid w:val="00357605"/>
    <w:rsid w:val="0036099E"/>
    <w:rsid w:val="00363B31"/>
    <w:rsid w:val="00366893"/>
    <w:rsid w:val="00367206"/>
    <w:rsid w:val="003672C4"/>
    <w:rsid w:val="00373415"/>
    <w:rsid w:val="00376177"/>
    <w:rsid w:val="003773A9"/>
    <w:rsid w:val="00382847"/>
    <w:rsid w:val="00391B36"/>
    <w:rsid w:val="00394E77"/>
    <w:rsid w:val="003973C0"/>
    <w:rsid w:val="003976D2"/>
    <w:rsid w:val="003A135F"/>
    <w:rsid w:val="003A13C0"/>
    <w:rsid w:val="003A40A3"/>
    <w:rsid w:val="003A4583"/>
    <w:rsid w:val="003A46BB"/>
    <w:rsid w:val="003A4EC7"/>
    <w:rsid w:val="003A570F"/>
    <w:rsid w:val="003A7295"/>
    <w:rsid w:val="003B053B"/>
    <w:rsid w:val="003B1F60"/>
    <w:rsid w:val="003B2FA2"/>
    <w:rsid w:val="003B470E"/>
    <w:rsid w:val="003B4C7E"/>
    <w:rsid w:val="003B5DE1"/>
    <w:rsid w:val="003B6BE9"/>
    <w:rsid w:val="003C1A97"/>
    <w:rsid w:val="003C2CC4"/>
    <w:rsid w:val="003C38EF"/>
    <w:rsid w:val="003C416C"/>
    <w:rsid w:val="003C4DC6"/>
    <w:rsid w:val="003C645A"/>
    <w:rsid w:val="003C7CDB"/>
    <w:rsid w:val="003D10F7"/>
    <w:rsid w:val="003D4B23"/>
    <w:rsid w:val="003E278A"/>
    <w:rsid w:val="003E7987"/>
    <w:rsid w:val="003F04DD"/>
    <w:rsid w:val="003F34BF"/>
    <w:rsid w:val="003F55BB"/>
    <w:rsid w:val="003F6E04"/>
    <w:rsid w:val="004027D1"/>
    <w:rsid w:val="00403F15"/>
    <w:rsid w:val="00410426"/>
    <w:rsid w:val="00410FB4"/>
    <w:rsid w:val="004118B4"/>
    <w:rsid w:val="0041309B"/>
    <w:rsid w:val="00413520"/>
    <w:rsid w:val="00413F6D"/>
    <w:rsid w:val="00414E6D"/>
    <w:rsid w:val="00417B62"/>
    <w:rsid w:val="00422757"/>
    <w:rsid w:val="00423FF6"/>
    <w:rsid w:val="00427887"/>
    <w:rsid w:val="00430BA6"/>
    <w:rsid w:val="00432205"/>
    <w:rsid w:val="004325CB"/>
    <w:rsid w:val="004337AD"/>
    <w:rsid w:val="004357F4"/>
    <w:rsid w:val="0043689F"/>
    <w:rsid w:val="00440A07"/>
    <w:rsid w:val="00440C16"/>
    <w:rsid w:val="0044344F"/>
    <w:rsid w:val="00443543"/>
    <w:rsid w:val="004439EA"/>
    <w:rsid w:val="004503FF"/>
    <w:rsid w:val="004508A8"/>
    <w:rsid w:val="00450A81"/>
    <w:rsid w:val="00450FC9"/>
    <w:rsid w:val="00457B93"/>
    <w:rsid w:val="00461570"/>
    <w:rsid w:val="00462880"/>
    <w:rsid w:val="00464A47"/>
    <w:rsid w:val="00471C44"/>
    <w:rsid w:val="00474891"/>
    <w:rsid w:val="00476F24"/>
    <w:rsid w:val="00481CAB"/>
    <w:rsid w:val="00486218"/>
    <w:rsid w:val="00491874"/>
    <w:rsid w:val="00491D48"/>
    <w:rsid w:val="00494C86"/>
    <w:rsid w:val="004A01E1"/>
    <w:rsid w:val="004A3B48"/>
    <w:rsid w:val="004A5A42"/>
    <w:rsid w:val="004A710C"/>
    <w:rsid w:val="004B5CB8"/>
    <w:rsid w:val="004B7BD1"/>
    <w:rsid w:val="004C17A3"/>
    <w:rsid w:val="004C55B0"/>
    <w:rsid w:val="004C6020"/>
    <w:rsid w:val="004C7E6C"/>
    <w:rsid w:val="004D05F2"/>
    <w:rsid w:val="004D104D"/>
    <w:rsid w:val="004D1200"/>
    <w:rsid w:val="004D218F"/>
    <w:rsid w:val="004E0225"/>
    <w:rsid w:val="004E2646"/>
    <w:rsid w:val="004E3B38"/>
    <w:rsid w:val="004E7FC4"/>
    <w:rsid w:val="004F2921"/>
    <w:rsid w:val="004F4666"/>
    <w:rsid w:val="004F51EB"/>
    <w:rsid w:val="004F6BA0"/>
    <w:rsid w:val="004F6F93"/>
    <w:rsid w:val="0050024A"/>
    <w:rsid w:val="0050032F"/>
    <w:rsid w:val="00500A2A"/>
    <w:rsid w:val="0050139C"/>
    <w:rsid w:val="00503502"/>
    <w:rsid w:val="00503BEA"/>
    <w:rsid w:val="0051082F"/>
    <w:rsid w:val="0051119E"/>
    <w:rsid w:val="00511975"/>
    <w:rsid w:val="0051321A"/>
    <w:rsid w:val="00513948"/>
    <w:rsid w:val="0052158B"/>
    <w:rsid w:val="00522C38"/>
    <w:rsid w:val="0052388B"/>
    <w:rsid w:val="00525122"/>
    <w:rsid w:val="00525402"/>
    <w:rsid w:val="0052781B"/>
    <w:rsid w:val="005313DA"/>
    <w:rsid w:val="00532544"/>
    <w:rsid w:val="005325A1"/>
    <w:rsid w:val="00533616"/>
    <w:rsid w:val="0053476B"/>
    <w:rsid w:val="00534CD8"/>
    <w:rsid w:val="005358AC"/>
    <w:rsid w:val="00535A42"/>
    <w:rsid w:val="00535ABA"/>
    <w:rsid w:val="00537661"/>
    <w:rsid w:val="0053768B"/>
    <w:rsid w:val="00540922"/>
    <w:rsid w:val="00540CB3"/>
    <w:rsid w:val="005411DB"/>
    <w:rsid w:val="005420F2"/>
    <w:rsid w:val="0054285C"/>
    <w:rsid w:val="00544B2B"/>
    <w:rsid w:val="00544D1E"/>
    <w:rsid w:val="00546492"/>
    <w:rsid w:val="00547A69"/>
    <w:rsid w:val="00547AE1"/>
    <w:rsid w:val="00551E35"/>
    <w:rsid w:val="005527C4"/>
    <w:rsid w:val="00555C94"/>
    <w:rsid w:val="00557675"/>
    <w:rsid w:val="00560430"/>
    <w:rsid w:val="0056099F"/>
    <w:rsid w:val="00560FF2"/>
    <w:rsid w:val="005615D6"/>
    <w:rsid w:val="005621CE"/>
    <w:rsid w:val="00563019"/>
    <w:rsid w:val="00564231"/>
    <w:rsid w:val="00565524"/>
    <w:rsid w:val="00565FF5"/>
    <w:rsid w:val="0056714C"/>
    <w:rsid w:val="0057123D"/>
    <w:rsid w:val="00571784"/>
    <w:rsid w:val="00572BEC"/>
    <w:rsid w:val="00575E30"/>
    <w:rsid w:val="0057782B"/>
    <w:rsid w:val="00580140"/>
    <w:rsid w:val="00582E17"/>
    <w:rsid w:val="00584173"/>
    <w:rsid w:val="00585764"/>
    <w:rsid w:val="0058684F"/>
    <w:rsid w:val="00592139"/>
    <w:rsid w:val="00593106"/>
    <w:rsid w:val="00594AB9"/>
    <w:rsid w:val="005954A4"/>
    <w:rsid w:val="00595520"/>
    <w:rsid w:val="00595AEC"/>
    <w:rsid w:val="005962EF"/>
    <w:rsid w:val="005967D1"/>
    <w:rsid w:val="00597EE4"/>
    <w:rsid w:val="005A1FF2"/>
    <w:rsid w:val="005A3431"/>
    <w:rsid w:val="005A44B9"/>
    <w:rsid w:val="005A5EF5"/>
    <w:rsid w:val="005B0543"/>
    <w:rsid w:val="005B11D1"/>
    <w:rsid w:val="005B1BA0"/>
    <w:rsid w:val="005B3743"/>
    <w:rsid w:val="005B3DB3"/>
    <w:rsid w:val="005B4519"/>
    <w:rsid w:val="005B5AE7"/>
    <w:rsid w:val="005C5B66"/>
    <w:rsid w:val="005D15CA"/>
    <w:rsid w:val="005D3082"/>
    <w:rsid w:val="005D44DE"/>
    <w:rsid w:val="005D55FB"/>
    <w:rsid w:val="005D6941"/>
    <w:rsid w:val="005E0439"/>
    <w:rsid w:val="005E17AB"/>
    <w:rsid w:val="005E1FAA"/>
    <w:rsid w:val="005E4DA0"/>
    <w:rsid w:val="005E6463"/>
    <w:rsid w:val="005F17B1"/>
    <w:rsid w:val="005F3066"/>
    <w:rsid w:val="005F3E61"/>
    <w:rsid w:val="00602793"/>
    <w:rsid w:val="00603567"/>
    <w:rsid w:val="00604DDD"/>
    <w:rsid w:val="00604F09"/>
    <w:rsid w:val="0060687D"/>
    <w:rsid w:val="006074A8"/>
    <w:rsid w:val="006115CC"/>
    <w:rsid w:val="00611FC4"/>
    <w:rsid w:val="006144C0"/>
    <w:rsid w:val="00615DE7"/>
    <w:rsid w:val="00616669"/>
    <w:rsid w:val="006169A0"/>
    <w:rsid w:val="00617364"/>
    <w:rsid w:val="00617552"/>
    <w:rsid w:val="006176FB"/>
    <w:rsid w:val="00617D14"/>
    <w:rsid w:val="00620CB9"/>
    <w:rsid w:val="0062308A"/>
    <w:rsid w:val="00623103"/>
    <w:rsid w:val="00626EF1"/>
    <w:rsid w:val="0062712E"/>
    <w:rsid w:val="00630884"/>
    <w:rsid w:val="00630FCB"/>
    <w:rsid w:val="006333E1"/>
    <w:rsid w:val="006401E3"/>
    <w:rsid w:val="00640B26"/>
    <w:rsid w:val="00643278"/>
    <w:rsid w:val="00645DEA"/>
    <w:rsid w:val="00646B90"/>
    <w:rsid w:val="00651BAD"/>
    <w:rsid w:val="006528FE"/>
    <w:rsid w:val="0065349F"/>
    <w:rsid w:val="00654F06"/>
    <w:rsid w:val="00657AAB"/>
    <w:rsid w:val="00665148"/>
    <w:rsid w:val="00666111"/>
    <w:rsid w:val="00666163"/>
    <w:rsid w:val="006661B2"/>
    <w:rsid w:val="006673EC"/>
    <w:rsid w:val="0066740B"/>
    <w:rsid w:val="00670F9D"/>
    <w:rsid w:val="00673C3B"/>
    <w:rsid w:val="00673CE1"/>
    <w:rsid w:val="006770B2"/>
    <w:rsid w:val="00680F69"/>
    <w:rsid w:val="00683F34"/>
    <w:rsid w:val="00687D7F"/>
    <w:rsid w:val="00693948"/>
    <w:rsid w:val="006940E1"/>
    <w:rsid w:val="00694F10"/>
    <w:rsid w:val="006A3C72"/>
    <w:rsid w:val="006A5C4D"/>
    <w:rsid w:val="006A7392"/>
    <w:rsid w:val="006B03A1"/>
    <w:rsid w:val="006B203C"/>
    <w:rsid w:val="006B254C"/>
    <w:rsid w:val="006B4661"/>
    <w:rsid w:val="006B602D"/>
    <w:rsid w:val="006B67D9"/>
    <w:rsid w:val="006B6890"/>
    <w:rsid w:val="006C2D82"/>
    <w:rsid w:val="006C3FCC"/>
    <w:rsid w:val="006C4490"/>
    <w:rsid w:val="006C5535"/>
    <w:rsid w:val="006C6D93"/>
    <w:rsid w:val="006C7DD6"/>
    <w:rsid w:val="006D0589"/>
    <w:rsid w:val="006D08D5"/>
    <w:rsid w:val="006D1B1C"/>
    <w:rsid w:val="006D1B3A"/>
    <w:rsid w:val="006E117C"/>
    <w:rsid w:val="006E387F"/>
    <w:rsid w:val="006E3CAD"/>
    <w:rsid w:val="006E564B"/>
    <w:rsid w:val="006E60DF"/>
    <w:rsid w:val="006E7154"/>
    <w:rsid w:val="006F0872"/>
    <w:rsid w:val="006F6FEE"/>
    <w:rsid w:val="006F72BE"/>
    <w:rsid w:val="007003CD"/>
    <w:rsid w:val="00706370"/>
    <w:rsid w:val="007069C9"/>
    <w:rsid w:val="00706F15"/>
    <w:rsid w:val="0070701E"/>
    <w:rsid w:val="0070734F"/>
    <w:rsid w:val="00711339"/>
    <w:rsid w:val="007134EC"/>
    <w:rsid w:val="007158DF"/>
    <w:rsid w:val="00715945"/>
    <w:rsid w:val="00716966"/>
    <w:rsid w:val="0072086C"/>
    <w:rsid w:val="0072632A"/>
    <w:rsid w:val="007332CC"/>
    <w:rsid w:val="00734563"/>
    <w:rsid w:val="00734B4B"/>
    <w:rsid w:val="007358E8"/>
    <w:rsid w:val="00736ECE"/>
    <w:rsid w:val="007372B3"/>
    <w:rsid w:val="007421D2"/>
    <w:rsid w:val="00742DE0"/>
    <w:rsid w:val="0074533B"/>
    <w:rsid w:val="00746CFE"/>
    <w:rsid w:val="0075196F"/>
    <w:rsid w:val="007524C1"/>
    <w:rsid w:val="00754197"/>
    <w:rsid w:val="00754A36"/>
    <w:rsid w:val="00757206"/>
    <w:rsid w:val="00757F72"/>
    <w:rsid w:val="00760602"/>
    <w:rsid w:val="00763212"/>
    <w:rsid w:val="00764339"/>
    <w:rsid w:val="007643BC"/>
    <w:rsid w:val="00765807"/>
    <w:rsid w:val="00767421"/>
    <w:rsid w:val="00767DCD"/>
    <w:rsid w:val="007718F0"/>
    <w:rsid w:val="00773492"/>
    <w:rsid w:val="00774AB0"/>
    <w:rsid w:val="007753EE"/>
    <w:rsid w:val="007768B9"/>
    <w:rsid w:val="00776BFB"/>
    <w:rsid w:val="00776CA2"/>
    <w:rsid w:val="00780EEB"/>
    <w:rsid w:val="0078259B"/>
    <w:rsid w:val="007856ED"/>
    <w:rsid w:val="0079466F"/>
    <w:rsid w:val="00794749"/>
    <w:rsid w:val="007959FE"/>
    <w:rsid w:val="007976B1"/>
    <w:rsid w:val="007979F6"/>
    <w:rsid w:val="007A0CF1"/>
    <w:rsid w:val="007A229D"/>
    <w:rsid w:val="007A44C2"/>
    <w:rsid w:val="007A72D5"/>
    <w:rsid w:val="007B0DC1"/>
    <w:rsid w:val="007B1027"/>
    <w:rsid w:val="007B1FEA"/>
    <w:rsid w:val="007B4F67"/>
    <w:rsid w:val="007B51FD"/>
    <w:rsid w:val="007B6BA5"/>
    <w:rsid w:val="007C031D"/>
    <w:rsid w:val="007C1CAE"/>
    <w:rsid w:val="007C20E7"/>
    <w:rsid w:val="007C3390"/>
    <w:rsid w:val="007C42D8"/>
    <w:rsid w:val="007C4F4B"/>
    <w:rsid w:val="007C57ED"/>
    <w:rsid w:val="007D4DC3"/>
    <w:rsid w:val="007D5003"/>
    <w:rsid w:val="007D7362"/>
    <w:rsid w:val="007E06CE"/>
    <w:rsid w:val="007E187D"/>
    <w:rsid w:val="007E4DEC"/>
    <w:rsid w:val="007F0A0C"/>
    <w:rsid w:val="007F1CCE"/>
    <w:rsid w:val="007F4D1D"/>
    <w:rsid w:val="007F5CE2"/>
    <w:rsid w:val="007F6611"/>
    <w:rsid w:val="007F6BBB"/>
    <w:rsid w:val="00800264"/>
    <w:rsid w:val="00802E78"/>
    <w:rsid w:val="00810BAC"/>
    <w:rsid w:val="0081145D"/>
    <w:rsid w:val="008123B3"/>
    <w:rsid w:val="008126E7"/>
    <w:rsid w:val="008129FE"/>
    <w:rsid w:val="00812CB2"/>
    <w:rsid w:val="00813B0F"/>
    <w:rsid w:val="0081512A"/>
    <w:rsid w:val="00815254"/>
    <w:rsid w:val="008164E1"/>
    <w:rsid w:val="00817510"/>
    <w:rsid w:val="008175E9"/>
    <w:rsid w:val="00820F04"/>
    <w:rsid w:val="00821E39"/>
    <w:rsid w:val="008242D7"/>
    <w:rsid w:val="0082526F"/>
    <w:rsid w:val="0082577B"/>
    <w:rsid w:val="00825B7D"/>
    <w:rsid w:val="00830063"/>
    <w:rsid w:val="0083507A"/>
    <w:rsid w:val="00835274"/>
    <w:rsid w:val="0084069B"/>
    <w:rsid w:val="00840C1E"/>
    <w:rsid w:val="0084427E"/>
    <w:rsid w:val="00846978"/>
    <w:rsid w:val="0085005D"/>
    <w:rsid w:val="008500BD"/>
    <w:rsid w:val="0085144D"/>
    <w:rsid w:val="008606DF"/>
    <w:rsid w:val="0086512D"/>
    <w:rsid w:val="00865292"/>
    <w:rsid w:val="0086538D"/>
    <w:rsid w:val="00866893"/>
    <w:rsid w:val="00866F02"/>
    <w:rsid w:val="00867118"/>
    <w:rsid w:val="00867D18"/>
    <w:rsid w:val="00871520"/>
    <w:rsid w:val="008718C8"/>
    <w:rsid w:val="00871F9A"/>
    <w:rsid w:val="00871FD5"/>
    <w:rsid w:val="008749F3"/>
    <w:rsid w:val="00874CD9"/>
    <w:rsid w:val="0088172E"/>
    <w:rsid w:val="00881BB5"/>
    <w:rsid w:val="00881EFA"/>
    <w:rsid w:val="0088482A"/>
    <w:rsid w:val="00884A2F"/>
    <w:rsid w:val="008856F9"/>
    <w:rsid w:val="00885B0E"/>
    <w:rsid w:val="008879CB"/>
    <w:rsid w:val="00892D01"/>
    <w:rsid w:val="00894082"/>
    <w:rsid w:val="0089462B"/>
    <w:rsid w:val="008957F7"/>
    <w:rsid w:val="00895867"/>
    <w:rsid w:val="00896E46"/>
    <w:rsid w:val="00896E8E"/>
    <w:rsid w:val="008979B1"/>
    <w:rsid w:val="008A06D0"/>
    <w:rsid w:val="008A0D9E"/>
    <w:rsid w:val="008A18AB"/>
    <w:rsid w:val="008A1D68"/>
    <w:rsid w:val="008A6B25"/>
    <w:rsid w:val="008A6C4F"/>
    <w:rsid w:val="008A7509"/>
    <w:rsid w:val="008B389E"/>
    <w:rsid w:val="008B44BE"/>
    <w:rsid w:val="008C09BA"/>
    <w:rsid w:val="008C0C7D"/>
    <w:rsid w:val="008C50F1"/>
    <w:rsid w:val="008C517B"/>
    <w:rsid w:val="008C6585"/>
    <w:rsid w:val="008D045E"/>
    <w:rsid w:val="008D13F6"/>
    <w:rsid w:val="008D3479"/>
    <w:rsid w:val="008D3F25"/>
    <w:rsid w:val="008D4D82"/>
    <w:rsid w:val="008E01FB"/>
    <w:rsid w:val="008E08C2"/>
    <w:rsid w:val="008E0E46"/>
    <w:rsid w:val="008E16F3"/>
    <w:rsid w:val="008E47AF"/>
    <w:rsid w:val="008E6FDF"/>
    <w:rsid w:val="008E7116"/>
    <w:rsid w:val="008F143B"/>
    <w:rsid w:val="008F1DD5"/>
    <w:rsid w:val="008F2022"/>
    <w:rsid w:val="008F3882"/>
    <w:rsid w:val="008F3A96"/>
    <w:rsid w:val="008F4B7C"/>
    <w:rsid w:val="008F6533"/>
    <w:rsid w:val="009017EB"/>
    <w:rsid w:val="00911891"/>
    <w:rsid w:val="00915735"/>
    <w:rsid w:val="00915E52"/>
    <w:rsid w:val="00916281"/>
    <w:rsid w:val="0092087A"/>
    <w:rsid w:val="00922F35"/>
    <w:rsid w:val="0092351B"/>
    <w:rsid w:val="00924349"/>
    <w:rsid w:val="00925BDA"/>
    <w:rsid w:val="00926E47"/>
    <w:rsid w:val="009327C3"/>
    <w:rsid w:val="0093289C"/>
    <w:rsid w:val="0093326F"/>
    <w:rsid w:val="0093398A"/>
    <w:rsid w:val="00937727"/>
    <w:rsid w:val="00937B75"/>
    <w:rsid w:val="00945118"/>
    <w:rsid w:val="00945E1C"/>
    <w:rsid w:val="00947162"/>
    <w:rsid w:val="0095042F"/>
    <w:rsid w:val="0095093A"/>
    <w:rsid w:val="00951DB3"/>
    <w:rsid w:val="00952C9E"/>
    <w:rsid w:val="00955C22"/>
    <w:rsid w:val="00956935"/>
    <w:rsid w:val="00956F2A"/>
    <w:rsid w:val="00957FE8"/>
    <w:rsid w:val="009610D0"/>
    <w:rsid w:val="0096375C"/>
    <w:rsid w:val="00965475"/>
    <w:rsid w:val="009662E6"/>
    <w:rsid w:val="0096679C"/>
    <w:rsid w:val="009703F7"/>
    <w:rsid w:val="0097095E"/>
    <w:rsid w:val="00971335"/>
    <w:rsid w:val="0097312B"/>
    <w:rsid w:val="009732FC"/>
    <w:rsid w:val="00973AC1"/>
    <w:rsid w:val="009753CD"/>
    <w:rsid w:val="009772EA"/>
    <w:rsid w:val="00980055"/>
    <w:rsid w:val="0098592B"/>
    <w:rsid w:val="00985FC4"/>
    <w:rsid w:val="00987CE1"/>
    <w:rsid w:val="00990766"/>
    <w:rsid w:val="00991003"/>
    <w:rsid w:val="00991261"/>
    <w:rsid w:val="00993146"/>
    <w:rsid w:val="009964C4"/>
    <w:rsid w:val="00996AFF"/>
    <w:rsid w:val="0099716C"/>
    <w:rsid w:val="00997A37"/>
    <w:rsid w:val="009A02C0"/>
    <w:rsid w:val="009A3FE7"/>
    <w:rsid w:val="009A409F"/>
    <w:rsid w:val="009A6013"/>
    <w:rsid w:val="009A7B81"/>
    <w:rsid w:val="009B2C15"/>
    <w:rsid w:val="009B7A53"/>
    <w:rsid w:val="009C1D1F"/>
    <w:rsid w:val="009C2DA3"/>
    <w:rsid w:val="009C6082"/>
    <w:rsid w:val="009C6690"/>
    <w:rsid w:val="009C7256"/>
    <w:rsid w:val="009D01C0"/>
    <w:rsid w:val="009D17DD"/>
    <w:rsid w:val="009D1E9A"/>
    <w:rsid w:val="009D3CC4"/>
    <w:rsid w:val="009D648B"/>
    <w:rsid w:val="009D64A7"/>
    <w:rsid w:val="009D6A08"/>
    <w:rsid w:val="009E0A16"/>
    <w:rsid w:val="009E3A36"/>
    <w:rsid w:val="009E5FE6"/>
    <w:rsid w:val="009E635C"/>
    <w:rsid w:val="009E6CB7"/>
    <w:rsid w:val="009E7345"/>
    <w:rsid w:val="009E7970"/>
    <w:rsid w:val="009E7F76"/>
    <w:rsid w:val="009F02B1"/>
    <w:rsid w:val="009F0A4E"/>
    <w:rsid w:val="009F17B2"/>
    <w:rsid w:val="009F2EAC"/>
    <w:rsid w:val="009F49E9"/>
    <w:rsid w:val="009F57E3"/>
    <w:rsid w:val="00A02D36"/>
    <w:rsid w:val="00A060F6"/>
    <w:rsid w:val="00A067E0"/>
    <w:rsid w:val="00A072D4"/>
    <w:rsid w:val="00A104EB"/>
    <w:rsid w:val="00A105B3"/>
    <w:rsid w:val="00A10F4F"/>
    <w:rsid w:val="00A11067"/>
    <w:rsid w:val="00A12706"/>
    <w:rsid w:val="00A1494D"/>
    <w:rsid w:val="00A14B07"/>
    <w:rsid w:val="00A1520A"/>
    <w:rsid w:val="00A1704A"/>
    <w:rsid w:val="00A21115"/>
    <w:rsid w:val="00A22F12"/>
    <w:rsid w:val="00A236AB"/>
    <w:rsid w:val="00A24745"/>
    <w:rsid w:val="00A257B2"/>
    <w:rsid w:val="00A275F3"/>
    <w:rsid w:val="00A31485"/>
    <w:rsid w:val="00A3184E"/>
    <w:rsid w:val="00A33B1E"/>
    <w:rsid w:val="00A37206"/>
    <w:rsid w:val="00A41449"/>
    <w:rsid w:val="00A425EB"/>
    <w:rsid w:val="00A431AB"/>
    <w:rsid w:val="00A4333A"/>
    <w:rsid w:val="00A43BC2"/>
    <w:rsid w:val="00A45950"/>
    <w:rsid w:val="00A469ED"/>
    <w:rsid w:val="00A50BCD"/>
    <w:rsid w:val="00A512C3"/>
    <w:rsid w:val="00A52DDB"/>
    <w:rsid w:val="00A53670"/>
    <w:rsid w:val="00A54505"/>
    <w:rsid w:val="00A549A0"/>
    <w:rsid w:val="00A610B5"/>
    <w:rsid w:val="00A6171D"/>
    <w:rsid w:val="00A64DF4"/>
    <w:rsid w:val="00A6586C"/>
    <w:rsid w:val="00A66B5F"/>
    <w:rsid w:val="00A67F90"/>
    <w:rsid w:val="00A72F22"/>
    <w:rsid w:val="00A73127"/>
    <w:rsid w:val="00A733BC"/>
    <w:rsid w:val="00A73ACA"/>
    <w:rsid w:val="00A748A6"/>
    <w:rsid w:val="00A74C81"/>
    <w:rsid w:val="00A76A69"/>
    <w:rsid w:val="00A77B4A"/>
    <w:rsid w:val="00A80317"/>
    <w:rsid w:val="00A80B7D"/>
    <w:rsid w:val="00A81635"/>
    <w:rsid w:val="00A83059"/>
    <w:rsid w:val="00A84440"/>
    <w:rsid w:val="00A869B9"/>
    <w:rsid w:val="00A879A4"/>
    <w:rsid w:val="00A87B74"/>
    <w:rsid w:val="00A9114F"/>
    <w:rsid w:val="00A91621"/>
    <w:rsid w:val="00A91E95"/>
    <w:rsid w:val="00A921F6"/>
    <w:rsid w:val="00A96695"/>
    <w:rsid w:val="00A973DE"/>
    <w:rsid w:val="00AA0FF8"/>
    <w:rsid w:val="00AA485B"/>
    <w:rsid w:val="00AA49D1"/>
    <w:rsid w:val="00AA4AFD"/>
    <w:rsid w:val="00AA7F3D"/>
    <w:rsid w:val="00AB212E"/>
    <w:rsid w:val="00AB2307"/>
    <w:rsid w:val="00AB3CA1"/>
    <w:rsid w:val="00AB752A"/>
    <w:rsid w:val="00AC0F2C"/>
    <w:rsid w:val="00AC502A"/>
    <w:rsid w:val="00AC51C6"/>
    <w:rsid w:val="00AC6531"/>
    <w:rsid w:val="00AC6FC1"/>
    <w:rsid w:val="00AD04C4"/>
    <w:rsid w:val="00AD14B4"/>
    <w:rsid w:val="00AD3882"/>
    <w:rsid w:val="00AD4639"/>
    <w:rsid w:val="00AD502D"/>
    <w:rsid w:val="00AD72AE"/>
    <w:rsid w:val="00AE44B1"/>
    <w:rsid w:val="00AF17CF"/>
    <w:rsid w:val="00AF18FA"/>
    <w:rsid w:val="00AF452B"/>
    <w:rsid w:val="00AF4907"/>
    <w:rsid w:val="00AF50B9"/>
    <w:rsid w:val="00AF58C1"/>
    <w:rsid w:val="00AF6B2E"/>
    <w:rsid w:val="00B01DDB"/>
    <w:rsid w:val="00B0215A"/>
    <w:rsid w:val="00B02339"/>
    <w:rsid w:val="00B034C0"/>
    <w:rsid w:val="00B04A3F"/>
    <w:rsid w:val="00B051BD"/>
    <w:rsid w:val="00B057A2"/>
    <w:rsid w:val="00B058A7"/>
    <w:rsid w:val="00B06643"/>
    <w:rsid w:val="00B077E4"/>
    <w:rsid w:val="00B10F55"/>
    <w:rsid w:val="00B13AC5"/>
    <w:rsid w:val="00B14F04"/>
    <w:rsid w:val="00B15055"/>
    <w:rsid w:val="00B1646D"/>
    <w:rsid w:val="00B17834"/>
    <w:rsid w:val="00B24B29"/>
    <w:rsid w:val="00B26C80"/>
    <w:rsid w:val="00B30179"/>
    <w:rsid w:val="00B31A96"/>
    <w:rsid w:val="00B31D9F"/>
    <w:rsid w:val="00B322AD"/>
    <w:rsid w:val="00B347FC"/>
    <w:rsid w:val="00B365DA"/>
    <w:rsid w:val="00B37A3A"/>
    <w:rsid w:val="00B37B15"/>
    <w:rsid w:val="00B45C02"/>
    <w:rsid w:val="00B46BF8"/>
    <w:rsid w:val="00B476A4"/>
    <w:rsid w:val="00B52FCF"/>
    <w:rsid w:val="00B553AB"/>
    <w:rsid w:val="00B62917"/>
    <w:rsid w:val="00B63FF8"/>
    <w:rsid w:val="00B72A1E"/>
    <w:rsid w:val="00B72C9C"/>
    <w:rsid w:val="00B76608"/>
    <w:rsid w:val="00B76D4A"/>
    <w:rsid w:val="00B81E12"/>
    <w:rsid w:val="00B845E9"/>
    <w:rsid w:val="00B84947"/>
    <w:rsid w:val="00B9045C"/>
    <w:rsid w:val="00B93773"/>
    <w:rsid w:val="00B939AC"/>
    <w:rsid w:val="00B963BB"/>
    <w:rsid w:val="00BA11E0"/>
    <w:rsid w:val="00BA1912"/>
    <w:rsid w:val="00BA3151"/>
    <w:rsid w:val="00BA339B"/>
    <w:rsid w:val="00BA3BEA"/>
    <w:rsid w:val="00BA7239"/>
    <w:rsid w:val="00BB1CFC"/>
    <w:rsid w:val="00BB37D5"/>
    <w:rsid w:val="00BB3D46"/>
    <w:rsid w:val="00BC1E7E"/>
    <w:rsid w:val="00BC33D7"/>
    <w:rsid w:val="00BC45EB"/>
    <w:rsid w:val="00BC74E9"/>
    <w:rsid w:val="00BC7B3D"/>
    <w:rsid w:val="00BC7B52"/>
    <w:rsid w:val="00BC7F91"/>
    <w:rsid w:val="00BD2D5F"/>
    <w:rsid w:val="00BD7091"/>
    <w:rsid w:val="00BE07C4"/>
    <w:rsid w:val="00BE1BAC"/>
    <w:rsid w:val="00BE36A9"/>
    <w:rsid w:val="00BE4147"/>
    <w:rsid w:val="00BE5E89"/>
    <w:rsid w:val="00BE618E"/>
    <w:rsid w:val="00BE7BEC"/>
    <w:rsid w:val="00BF0A5A"/>
    <w:rsid w:val="00BF0E63"/>
    <w:rsid w:val="00BF12A3"/>
    <w:rsid w:val="00BF16D7"/>
    <w:rsid w:val="00BF227A"/>
    <w:rsid w:val="00BF2373"/>
    <w:rsid w:val="00BF4DFA"/>
    <w:rsid w:val="00BF6395"/>
    <w:rsid w:val="00BF6D0F"/>
    <w:rsid w:val="00BF7C93"/>
    <w:rsid w:val="00C026A4"/>
    <w:rsid w:val="00C044E2"/>
    <w:rsid w:val="00C048CB"/>
    <w:rsid w:val="00C05052"/>
    <w:rsid w:val="00C066F3"/>
    <w:rsid w:val="00C10411"/>
    <w:rsid w:val="00C12128"/>
    <w:rsid w:val="00C14C5D"/>
    <w:rsid w:val="00C155D6"/>
    <w:rsid w:val="00C15669"/>
    <w:rsid w:val="00C21913"/>
    <w:rsid w:val="00C223EC"/>
    <w:rsid w:val="00C252BE"/>
    <w:rsid w:val="00C25400"/>
    <w:rsid w:val="00C34EC5"/>
    <w:rsid w:val="00C35747"/>
    <w:rsid w:val="00C35F91"/>
    <w:rsid w:val="00C376DE"/>
    <w:rsid w:val="00C40960"/>
    <w:rsid w:val="00C463DD"/>
    <w:rsid w:val="00C46D56"/>
    <w:rsid w:val="00C50C13"/>
    <w:rsid w:val="00C50EC5"/>
    <w:rsid w:val="00C51BC4"/>
    <w:rsid w:val="00C54967"/>
    <w:rsid w:val="00C56C5D"/>
    <w:rsid w:val="00C6157F"/>
    <w:rsid w:val="00C61943"/>
    <w:rsid w:val="00C6228D"/>
    <w:rsid w:val="00C62ECF"/>
    <w:rsid w:val="00C6389E"/>
    <w:rsid w:val="00C64CAF"/>
    <w:rsid w:val="00C72D4A"/>
    <w:rsid w:val="00C73285"/>
    <w:rsid w:val="00C745C3"/>
    <w:rsid w:val="00C753FE"/>
    <w:rsid w:val="00C77F0D"/>
    <w:rsid w:val="00C804FF"/>
    <w:rsid w:val="00C8114E"/>
    <w:rsid w:val="00C81A07"/>
    <w:rsid w:val="00C87AB0"/>
    <w:rsid w:val="00C919F9"/>
    <w:rsid w:val="00C92817"/>
    <w:rsid w:val="00C92F82"/>
    <w:rsid w:val="00C93232"/>
    <w:rsid w:val="00C94F15"/>
    <w:rsid w:val="00C95653"/>
    <w:rsid w:val="00C961D6"/>
    <w:rsid w:val="00CA08F0"/>
    <w:rsid w:val="00CA1156"/>
    <w:rsid w:val="00CA2195"/>
    <w:rsid w:val="00CA24A4"/>
    <w:rsid w:val="00CA26C6"/>
    <w:rsid w:val="00CB11E8"/>
    <w:rsid w:val="00CB348D"/>
    <w:rsid w:val="00CB500F"/>
    <w:rsid w:val="00CB681C"/>
    <w:rsid w:val="00CC2477"/>
    <w:rsid w:val="00CC46EC"/>
    <w:rsid w:val="00CD46F5"/>
    <w:rsid w:val="00CE199D"/>
    <w:rsid w:val="00CE313F"/>
    <w:rsid w:val="00CE4868"/>
    <w:rsid w:val="00CE4A8F"/>
    <w:rsid w:val="00CE6BA0"/>
    <w:rsid w:val="00CF071D"/>
    <w:rsid w:val="00CF1007"/>
    <w:rsid w:val="00CF13B2"/>
    <w:rsid w:val="00CF1AC2"/>
    <w:rsid w:val="00CF2EA9"/>
    <w:rsid w:val="00CF68AB"/>
    <w:rsid w:val="00D00B39"/>
    <w:rsid w:val="00D03C0A"/>
    <w:rsid w:val="00D03F02"/>
    <w:rsid w:val="00D048B0"/>
    <w:rsid w:val="00D051B6"/>
    <w:rsid w:val="00D060E2"/>
    <w:rsid w:val="00D121FC"/>
    <w:rsid w:val="00D131E4"/>
    <w:rsid w:val="00D1585B"/>
    <w:rsid w:val="00D15B04"/>
    <w:rsid w:val="00D2031B"/>
    <w:rsid w:val="00D21F66"/>
    <w:rsid w:val="00D23DDF"/>
    <w:rsid w:val="00D25189"/>
    <w:rsid w:val="00D25F17"/>
    <w:rsid w:val="00D25FE2"/>
    <w:rsid w:val="00D264DA"/>
    <w:rsid w:val="00D3048E"/>
    <w:rsid w:val="00D30675"/>
    <w:rsid w:val="00D31266"/>
    <w:rsid w:val="00D323A4"/>
    <w:rsid w:val="00D35A92"/>
    <w:rsid w:val="00D3657E"/>
    <w:rsid w:val="00D37483"/>
    <w:rsid w:val="00D37DA9"/>
    <w:rsid w:val="00D406A7"/>
    <w:rsid w:val="00D41193"/>
    <w:rsid w:val="00D41304"/>
    <w:rsid w:val="00D41664"/>
    <w:rsid w:val="00D43252"/>
    <w:rsid w:val="00D44D86"/>
    <w:rsid w:val="00D45173"/>
    <w:rsid w:val="00D50A5C"/>
    <w:rsid w:val="00D50B7D"/>
    <w:rsid w:val="00D52012"/>
    <w:rsid w:val="00D545DF"/>
    <w:rsid w:val="00D6366C"/>
    <w:rsid w:val="00D6565E"/>
    <w:rsid w:val="00D65BED"/>
    <w:rsid w:val="00D65D57"/>
    <w:rsid w:val="00D676B5"/>
    <w:rsid w:val="00D67EA9"/>
    <w:rsid w:val="00D704E5"/>
    <w:rsid w:val="00D72727"/>
    <w:rsid w:val="00D7580D"/>
    <w:rsid w:val="00D809F0"/>
    <w:rsid w:val="00D83703"/>
    <w:rsid w:val="00D83AF4"/>
    <w:rsid w:val="00D86534"/>
    <w:rsid w:val="00D87CEE"/>
    <w:rsid w:val="00D87CF5"/>
    <w:rsid w:val="00D91D6B"/>
    <w:rsid w:val="00D946F5"/>
    <w:rsid w:val="00D96EFE"/>
    <w:rsid w:val="00D97763"/>
    <w:rsid w:val="00D978C6"/>
    <w:rsid w:val="00DA0956"/>
    <w:rsid w:val="00DA357F"/>
    <w:rsid w:val="00DA3E12"/>
    <w:rsid w:val="00DA62F2"/>
    <w:rsid w:val="00DA67E8"/>
    <w:rsid w:val="00DA6E72"/>
    <w:rsid w:val="00DB2CA5"/>
    <w:rsid w:val="00DB3259"/>
    <w:rsid w:val="00DB33DE"/>
    <w:rsid w:val="00DC1024"/>
    <w:rsid w:val="00DC18AD"/>
    <w:rsid w:val="00DC1F40"/>
    <w:rsid w:val="00DC23E5"/>
    <w:rsid w:val="00DD10A8"/>
    <w:rsid w:val="00DD1D23"/>
    <w:rsid w:val="00DD482F"/>
    <w:rsid w:val="00DD4CE5"/>
    <w:rsid w:val="00DE1795"/>
    <w:rsid w:val="00DE3C07"/>
    <w:rsid w:val="00DF27C6"/>
    <w:rsid w:val="00DF2859"/>
    <w:rsid w:val="00DF3DB9"/>
    <w:rsid w:val="00DF4D55"/>
    <w:rsid w:val="00DF511E"/>
    <w:rsid w:val="00DF7CAE"/>
    <w:rsid w:val="00E02767"/>
    <w:rsid w:val="00E06A8A"/>
    <w:rsid w:val="00E0790E"/>
    <w:rsid w:val="00E113CD"/>
    <w:rsid w:val="00E16B55"/>
    <w:rsid w:val="00E20590"/>
    <w:rsid w:val="00E209EE"/>
    <w:rsid w:val="00E215D1"/>
    <w:rsid w:val="00E24BCE"/>
    <w:rsid w:val="00E3137D"/>
    <w:rsid w:val="00E31A98"/>
    <w:rsid w:val="00E31A9A"/>
    <w:rsid w:val="00E351B6"/>
    <w:rsid w:val="00E35C60"/>
    <w:rsid w:val="00E3771B"/>
    <w:rsid w:val="00E41F7B"/>
    <w:rsid w:val="00E423C0"/>
    <w:rsid w:val="00E4272F"/>
    <w:rsid w:val="00E4324C"/>
    <w:rsid w:val="00E45233"/>
    <w:rsid w:val="00E455DE"/>
    <w:rsid w:val="00E505CB"/>
    <w:rsid w:val="00E51C34"/>
    <w:rsid w:val="00E5207D"/>
    <w:rsid w:val="00E52C92"/>
    <w:rsid w:val="00E5322D"/>
    <w:rsid w:val="00E54188"/>
    <w:rsid w:val="00E54742"/>
    <w:rsid w:val="00E57A44"/>
    <w:rsid w:val="00E61599"/>
    <w:rsid w:val="00E62164"/>
    <w:rsid w:val="00E6414C"/>
    <w:rsid w:val="00E653E3"/>
    <w:rsid w:val="00E65ADB"/>
    <w:rsid w:val="00E706C1"/>
    <w:rsid w:val="00E71964"/>
    <w:rsid w:val="00E71CA5"/>
    <w:rsid w:val="00E7260F"/>
    <w:rsid w:val="00E76DEC"/>
    <w:rsid w:val="00E80E6C"/>
    <w:rsid w:val="00E81A94"/>
    <w:rsid w:val="00E83134"/>
    <w:rsid w:val="00E8702D"/>
    <w:rsid w:val="00E916A9"/>
    <w:rsid w:val="00E916DE"/>
    <w:rsid w:val="00E9191D"/>
    <w:rsid w:val="00E925AD"/>
    <w:rsid w:val="00E93AED"/>
    <w:rsid w:val="00E950B1"/>
    <w:rsid w:val="00E95DE1"/>
    <w:rsid w:val="00E96630"/>
    <w:rsid w:val="00E978B0"/>
    <w:rsid w:val="00E97FC0"/>
    <w:rsid w:val="00EB6FA1"/>
    <w:rsid w:val="00EB76E9"/>
    <w:rsid w:val="00EC0964"/>
    <w:rsid w:val="00ED0D23"/>
    <w:rsid w:val="00ED18DC"/>
    <w:rsid w:val="00ED6201"/>
    <w:rsid w:val="00ED7A2A"/>
    <w:rsid w:val="00ED7DCD"/>
    <w:rsid w:val="00EE075C"/>
    <w:rsid w:val="00EE1060"/>
    <w:rsid w:val="00EE51CC"/>
    <w:rsid w:val="00EE6488"/>
    <w:rsid w:val="00EF06BE"/>
    <w:rsid w:val="00EF1D7F"/>
    <w:rsid w:val="00EF520B"/>
    <w:rsid w:val="00EF573A"/>
    <w:rsid w:val="00EF651D"/>
    <w:rsid w:val="00F0137E"/>
    <w:rsid w:val="00F051DA"/>
    <w:rsid w:val="00F05EFB"/>
    <w:rsid w:val="00F13F4D"/>
    <w:rsid w:val="00F166A8"/>
    <w:rsid w:val="00F20CA6"/>
    <w:rsid w:val="00F20DA4"/>
    <w:rsid w:val="00F21786"/>
    <w:rsid w:val="00F233EA"/>
    <w:rsid w:val="00F307BC"/>
    <w:rsid w:val="00F31C36"/>
    <w:rsid w:val="00F32E62"/>
    <w:rsid w:val="00F35C95"/>
    <w:rsid w:val="00F3742B"/>
    <w:rsid w:val="00F404EA"/>
    <w:rsid w:val="00F41FDB"/>
    <w:rsid w:val="00F43D98"/>
    <w:rsid w:val="00F44221"/>
    <w:rsid w:val="00F47320"/>
    <w:rsid w:val="00F507EC"/>
    <w:rsid w:val="00F50ABF"/>
    <w:rsid w:val="00F5228C"/>
    <w:rsid w:val="00F54112"/>
    <w:rsid w:val="00F54347"/>
    <w:rsid w:val="00F549E0"/>
    <w:rsid w:val="00F54D16"/>
    <w:rsid w:val="00F56D63"/>
    <w:rsid w:val="00F57A6A"/>
    <w:rsid w:val="00F57D5B"/>
    <w:rsid w:val="00F609A9"/>
    <w:rsid w:val="00F64334"/>
    <w:rsid w:val="00F64EF0"/>
    <w:rsid w:val="00F6511E"/>
    <w:rsid w:val="00F712CC"/>
    <w:rsid w:val="00F72BCD"/>
    <w:rsid w:val="00F73D73"/>
    <w:rsid w:val="00F7757A"/>
    <w:rsid w:val="00F77DD7"/>
    <w:rsid w:val="00F80283"/>
    <w:rsid w:val="00F8071E"/>
    <w:rsid w:val="00F80C99"/>
    <w:rsid w:val="00F839AB"/>
    <w:rsid w:val="00F852DB"/>
    <w:rsid w:val="00F85650"/>
    <w:rsid w:val="00F867EC"/>
    <w:rsid w:val="00F872F0"/>
    <w:rsid w:val="00F87554"/>
    <w:rsid w:val="00F91B2B"/>
    <w:rsid w:val="00F91C99"/>
    <w:rsid w:val="00F942B0"/>
    <w:rsid w:val="00F96AC9"/>
    <w:rsid w:val="00F97B37"/>
    <w:rsid w:val="00F97B81"/>
    <w:rsid w:val="00FA0059"/>
    <w:rsid w:val="00FA2759"/>
    <w:rsid w:val="00FA5948"/>
    <w:rsid w:val="00FA6E80"/>
    <w:rsid w:val="00FB0280"/>
    <w:rsid w:val="00FB0324"/>
    <w:rsid w:val="00FC03CD"/>
    <w:rsid w:val="00FC0646"/>
    <w:rsid w:val="00FC14CD"/>
    <w:rsid w:val="00FC3494"/>
    <w:rsid w:val="00FC68B7"/>
    <w:rsid w:val="00FD25F8"/>
    <w:rsid w:val="00FD2DD0"/>
    <w:rsid w:val="00FD40F9"/>
    <w:rsid w:val="00FD5149"/>
    <w:rsid w:val="00FD5548"/>
    <w:rsid w:val="00FD67F1"/>
    <w:rsid w:val="00FE0C58"/>
    <w:rsid w:val="00FE1EB3"/>
    <w:rsid w:val="00FE6936"/>
    <w:rsid w:val="00FE6985"/>
    <w:rsid w:val="00FE6E06"/>
    <w:rsid w:val="00FE7307"/>
    <w:rsid w:val="00FF27D8"/>
    <w:rsid w:val="00FF42DE"/>
    <w:rsid w:val="00FF5F7A"/>
    <w:rsid w:val="00FF6B17"/>
    <w:rsid w:val="00FF75A3"/>
    <w:rsid w:val="00FF793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78D4F2"/>
  <w15:docId w15:val="{B494F485-E738-4B9B-A2B1-93CC5A609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link w:val="HeaderChar"/>
    <w:uiPriority w:val="99"/>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NormalWeb">
    <w:name w:val="Normal (Web)"/>
    <w:basedOn w:val="Normal"/>
    <w:uiPriority w:val="99"/>
    <w:semiHidden/>
    <w:unhideWhenUsed/>
    <w:rsid w:val="007753EE"/>
    <w:pPr>
      <w:suppressAutoHyphens w:val="0"/>
      <w:spacing w:before="100" w:beforeAutospacing="1" w:after="100" w:afterAutospacing="1" w:line="240" w:lineRule="auto"/>
    </w:pPr>
    <w:rPr>
      <w:rFonts w:eastAsiaTheme="minorEastAsia"/>
      <w:sz w:val="24"/>
      <w:szCs w:val="24"/>
      <w:lang w:val="en-US"/>
    </w:rPr>
  </w:style>
  <w:style w:type="character" w:customStyle="1" w:styleId="HeaderChar">
    <w:name w:val="Header Char"/>
    <w:aliases w:val="6_G Char"/>
    <w:basedOn w:val="DefaultParagraphFont"/>
    <w:link w:val="Header"/>
    <w:uiPriority w:val="99"/>
    <w:rsid w:val="007753EE"/>
    <w:rPr>
      <w:b/>
      <w:sz w:val="18"/>
      <w:lang w:eastAsia="en-US"/>
    </w:rPr>
  </w:style>
  <w:style w:type="paragraph" w:styleId="ListParagraph">
    <w:name w:val="List Paragraph"/>
    <w:basedOn w:val="Normal"/>
    <w:uiPriority w:val="34"/>
    <w:qFormat/>
    <w:rsid w:val="00AF17CF"/>
    <w:pPr>
      <w:ind w:left="720"/>
      <w:contextualSpacing/>
    </w:pPr>
  </w:style>
  <w:style w:type="character" w:customStyle="1" w:styleId="SingleTxtGChar">
    <w:name w:val="_ Single Txt_G Char"/>
    <w:link w:val="SingleTxtG"/>
    <w:qFormat/>
    <w:rsid w:val="008E47AF"/>
    <w:rPr>
      <w:lang w:eastAsia="en-US"/>
    </w:rPr>
  </w:style>
  <w:style w:type="paragraph" w:styleId="BalloonText">
    <w:name w:val="Balloon Text"/>
    <w:basedOn w:val="Normal"/>
    <w:link w:val="BalloonTextChar"/>
    <w:semiHidden/>
    <w:unhideWhenUsed/>
    <w:rsid w:val="00BB1CF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B1CFC"/>
    <w:rPr>
      <w:rFonts w:ascii="Segoe UI" w:hAnsi="Segoe UI" w:cs="Segoe UI"/>
      <w:sz w:val="18"/>
      <w:szCs w:val="18"/>
      <w:lang w:eastAsia="en-US"/>
    </w:rPr>
  </w:style>
  <w:style w:type="character" w:customStyle="1" w:styleId="FootnoteTextChar">
    <w:name w:val="Footnote Text Char"/>
    <w:aliases w:val="5_G Char"/>
    <w:basedOn w:val="DefaultParagraphFont"/>
    <w:link w:val="FootnoteText"/>
    <w:rsid w:val="00A1494D"/>
    <w:rPr>
      <w:sz w:val="18"/>
      <w:lang w:eastAsia="en-US"/>
    </w:rPr>
  </w:style>
  <w:style w:type="paragraph" w:styleId="Caption">
    <w:name w:val="caption"/>
    <w:basedOn w:val="Normal"/>
    <w:next w:val="Normal"/>
    <w:unhideWhenUsed/>
    <w:qFormat/>
    <w:rsid w:val="004F2921"/>
    <w:pPr>
      <w:spacing w:after="200" w:line="240" w:lineRule="auto"/>
    </w:pPr>
    <w:rPr>
      <w:i/>
      <w:iCs/>
      <w:color w:val="1F497D" w:themeColor="text2"/>
      <w:sz w:val="18"/>
      <w:szCs w:val="18"/>
    </w:rPr>
  </w:style>
  <w:style w:type="character" w:styleId="CommentReference">
    <w:name w:val="annotation reference"/>
    <w:basedOn w:val="DefaultParagraphFont"/>
    <w:semiHidden/>
    <w:unhideWhenUsed/>
    <w:rsid w:val="0082526F"/>
    <w:rPr>
      <w:sz w:val="16"/>
      <w:szCs w:val="16"/>
    </w:rPr>
  </w:style>
  <w:style w:type="paragraph" w:styleId="CommentText">
    <w:name w:val="annotation text"/>
    <w:basedOn w:val="Normal"/>
    <w:link w:val="CommentTextChar"/>
    <w:semiHidden/>
    <w:unhideWhenUsed/>
    <w:rsid w:val="0082526F"/>
    <w:pPr>
      <w:spacing w:line="240" w:lineRule="auto"/>
    </w:pPr>
  </w:style>
  <w:style w:type="character" w:customStyle="1" w:styleId="CommentTextChar">
    <w:name w:val="Comment Text Char"/>
    <w:basedOn w:val="DefaultParagraphFont"/>
    <w:link w:val="CommentText"/>
    <w:semiHidden/>
    <w:rsid w:val="0082526F"/>
    <w:rPr>
      <w:lang w:eastAsia="en-US"/>
    </w:rPr>
  </w:style>
  <w:style w:type="paragraph" w:styleId="CommentSubject">
    <w:name w:val="annotation subject"/>
    <w:basedOn w:val="CommentText"/>
    <w:next w:val="CommentText"/>
    <w:link w:val="CommentSubjectChar"/>
    <w:semiHidden/>
    <w:unhideWhenUsed/>
    <w:rsid w:val="0082526F"/>
    <w:rPr>
      <w:b/>
      <w:bCs/>
    </w:rPr>
  </w:style>
  <w:style w:type="character" w:customStyle="1" w:styleId="CommentSubjectChar">
    <w:name w:val="Comment Subject Char"/>
    <w:basedOn w:val="CommentTextChar"/>
    <w:link w:val="CommentSubject"/>
    <w:semiHidden/>
    <w:rsid w:val="0082526F"/>
    <w:rPr>
      <w:b/>
      <w:bCs/>
      <w:lang w:eastAsia="en-US"/>
    </w:rPr>
  </w:style>
  <w:style w:type="character" w:styleId="UnresolvedMention">
    <w:name w:val="Unresolved Mention"/>
    <w:basedOn w:val="DefaultParagraphFont"/>
    <w:uiPriority w:val="99"/>
    <w:semiHidden/>
    <w:unhideWhenUsed/>
    <w:rsid w:val="008C0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nece.org/list-agreeme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lley\AppData\Roaming\Microsoft\Templates\ECE+PlainPage\ECE_E.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nece-fs1.unog.un.org\data\Shares\Groups\Tran\TEMPORARY%20ITC\Official%20documents\Regional%20accession%20dynamics\border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nece-fs1.unog.un.org\data\Shares\Groups\Tran\TEMPORARY%20ITC\Official%20documents\Regional%20accession%20dynamics\safety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0"/>
          <c:order val="0"/>
          <c:tx>
            <c:strRef>
              <c:f>border2!$B$1</c:f>
              <c:strCache>
                <c:ptCount val="1"/>
                <c:pt idx="0">
                  <c:v>ECLAC</c:v>
                </c:pt>
              </c:strCache>
            </c:strRef>
          </c:tx>
          <c:spPr>
            <a:solidFill>
              <a:schemeClr val="accent1"/>
            </a:solidFill>
            <a:ln>
              <a:noFill/>
            </a:ln>
            <a:effectLst/>
          </c:spPr>
          <c:cat>
            <c:numRef>
              <c:f>border2!$A$2:$A$65</c:f>
              <c:numCache>
                <c:formatCode>General</c:formatCode>
                <c:ptCount val="64"/>
                <c:pt idx="0">
                  <c:v>1955</c:v>
                </c:pt>
                <c:pt idx="1">
                  <c:v>1956</c:v>
                </c:pt>
                <c:pt idx="2">
                  <c:v>1957</c:v>
                </c:pt>
                <c:pt idx="3">
                  <c:v>1958</c:v>
                </c:pt>
                <c:pt idx="4">
                  <c:v>1959</c:v>
                </c:pt>
                <c:pt idx="5">
                  <c:v>1960</c:v>
                </c:pt>
                <c:pt idx="6">
                  <c:v>1961</c:v>
                </c:pt>
                <c:pt idx="7">
                  <c:v>1962</c:v>
                </c:pt>
                <c:pt idx="8">
                  <c:v>1963</c:v>
                </c:pt>
                <c:pt idx="9">
                  <c:v>1964</c:v>
                </c:pt>
                <c:pt idx="10">
                  <c:v>1965</c:v>
                </c:pt>
                <c:pt idx="11">
                  <c:v>1966</c:v>
                </c:pt>
                <c:pt idx="12">
                  <c:v>1967</c:v>
                </c:pt>
                <c:pt idx="13">
                  <c:v>1968</c:v>
                </c:pt>
                <c:pt idx="14">
                  <c:v>1969</c:v>
                </c:pt>
                <c:pt idx="15">
                  <c:v>1970</c:v>
                </c:pt>
                <c:pt idx="16">
                  <c:v>1971</c:v>
                </c:pt>
                <c:pt idx="17">
                  <c:v>1972</c:v>
                </c:pt>
                <c:pt idx="18">
                  <c:v>1973</c:v>
                </c:pt>
                <c:pt idx="19">
                  <c:v>1974</c:v>
                </c:pt>
                <c:pt idx="20">
                  <c:v>1975</c:v>
                </c:pt>
                <c:pt idx="21">
                  <c:v>1976</c:v>
                </c:pt>
                <c:pt idx="22">
                  <c:v>1977</c:v>
                </c:pt>
                <c:pt idx="23">
                  <c:v>1978</c:v>
                </c:pt>
                <c:pt idx="24">
                  <c:v>1979</c:v>
                </c:pt>
                <c:pt idx="25">
                  <c:v>1980</c:v>
                </c:pt>
                <c:pt idx="26">
                  <c:v>1981</c:v>
                </c:pt>
                <c:pt idx="27">
                  <c:v>1982</c:v>
                </c:pt>
                <c:pt idx="28">
                  <c:v>1983</c:v>
                </c:pt>
                <c:pt idx="29">
                  <c:v>1984</c:v>
                </c:pt>
                <c:pt idx="30">
                  <c:v>1985</c:v>
                </c:pt>
                <c:pt idx="31">
                  <c:v>1986</c:v>
                </c:pt>
                <c:pt idx="32">
                  <c:v>1987</c:v>
                </c:pt>
                <c:pt idx="33">
                  <c:v>1988</c:v>
                </c:pt>
                <c:pt idx="34">
                  <c:v>1989</c:v>
                </c:pt>
                <c:pt idx="35">
                  <c:v>1990</c:v>
                </c:pt>
                <c:pt idx="36">
                  <c:v>1991</c:v>
                </c:pt>
                <c:pt idx="37">
                  <c:v>1992</c:v>
                </c:pt>
                <c:pt idx="38">
                  <c:v>1993</c:v>
                </c:pt>
                <c:pt idx="39">
                  <c:v>1994</c:v>
                </c:pt>
                <c:pt idx="40">
                  <c:v>1995</c:v>
                </c:pt>
                <c:pt idx="41">
                  <c:v>1996</c:v>
                </c:pt>
                <c:pt idx="42">
                  <c:v>1997</c:v>
                </c:pt>
                <c:pt idx="43">
                  <c:v>1998</c:v>
                </c:pt>
                <c:pt idx="44">
                  <c:v>1999</c:v>
                </c:pt>
                <c:pt idx="45">
                  <c:v>2000</c:v>
                </c:pt>
                <c:pt idx="46">
                  <c:v>2001</c:v>
                </c:pt>
                <c:pt idx="47">
                  <c:v>2002</c:v>
                </c:pt>
                <c:pt idx="48">
                  <c:v>2003</c:v>
                </c:pt>
                <c:pt idx="49">
                  <c:v>2004</c:v>
                </c:pt>
                <c:pt idx="50">
                  <c:v>2005</c:v>
                </c:pt>
                <c:pt idx="51">
                  <c:v>2006</c:v>
                </c:pt>
                <c:pt idx="52">
                  <c:v>2007</c:v>
                </c:pt>
                <c:pt idx="53">
                  <c:v>2008</c:v>
                </c:pt>
                <c:pt idx="54">
                  <c:v>2009</c:v>
                </c:pt>
                <c:pt idx="55">
                  <c:v>2010</c:v>
                </c:pt>
                <c:pt idx="56">
                  <c:v>2011</c:v>
                </c:pt>
                <c:pt idx="57">
                  <c:v>2012</c:v>
                </c:pt>
                <c:pt idx="58">
                  <c:v>2013</c:v>
                </c:pt>
                <c:pt idx="59">
                  <c:v>2014</c:v>
                </c:pt>
                <c:pt idx="60">
                  <c:v>2015</c:v>
                </c:pt>
                <c:pt idx="61">
                  <c:v>2016</c:v>
                </c:pt>
                <c:pt idx="62">
                  <c:v>2017</c:v>
                </c:pt>
                <c:pt idx="63">
                  <c:v>2018</c:v>
                </c:pt>
              </c:numCache>
            </c:numRef>
          </c:cat>
          <c:val>
            <c:numRef>
              <c:f>border2!$B$2:$B$65</c:f>
              <c:numCache>
                <c:formatCode>General</c:formatCode>
                <c:ptCount val="64"/>
                <c:pt idx="0">
                  <c:v>0</c:v>
                </c:pt>
                <c:pt idx="1">
                  <c:v>0</c:v>
                </c:pt>
                <c:pt idx="2">
                  <c:v>2</c:v>
                </c:pt>
                <c:pt idx="3">
                  <c:v>6</c:v>
                </c:pt>
                <c:pt idx="4">
                  <c:v>8</c:v>
                </c:pt>
                <c:pt idx="5">
                  <c:v>8</c:v>
                </c:pt>
                <c:pt idx="6">
                  <c:v>8</c:v>
                </c:pt>
                <c:pt idx="7">
                  <c:v>10</c:v>
                </c:pt>
                <c:pt idx="8">
                  <c:v>18</c:v>
                </c:pt>
                <c:pt idx="9">
                  <c:v>19</c:v>
                </c:pt>
                <c:pt idx="10">
                  <c:v>21</c:v>
                </c:pt>
                <c:pt idx="11">
                  <c:v>25</c:v>
                </c:pt>
                <c:pt idx="12">
                  <c:v>25</c:v>
                </c:pt>
                <c:pt idx="13">
                  <c:v>25</c:v>
                </c:pt>
                <c:pt idx="14">
                  <c:v>25</c:v>
                </c:pt>
                <c:pt idx="15">
                  <c:v>25</c:v>
                </c:pt>
                <c:pt idx="16">
                  <c:v>27</c:v>
                </c:pt>
                <c:pt idx="17">
                  <c:v>27</c:v>
                </c:pt>
                <c:pt idx="18">
                  <c:v>27</c:v>
                </c:pt>
                <c:pt idx="19">
                  <c:v>29</c:v>
                </c:pt>
                <c:pt idx="20">
                  <c:v>29</c:v>
                </c:pt>
                <c:pt idx="21">
                  <c:v>29</c:v>
                </c:pt>
                <c:pt idx="22">
                  <c:v>29</c:v>
                </c:pt>
                <c:pt idx="23">
                  <c:v>29</c:v>
                </c:pt>
                <c:pt idx="24">
                  <c:v>29</c:v>
                </c:pt>
                <c:pt idx="25">
                  <c:v>30</c:v>
                </c:pt>
                <c:pt idx="26">
                  <c:v>30</c:v>
                </c:pt>
                <c:pt idx="27">
                  <c:v>32</c:v>
                </c:pt>
                <c:pt idx="28">
                  <c:v>32</c:v>
                </c:pt>
                <c:pt idx="29">
                  <c:v>33</c:v>
                </c:pt>
                <c:pt idx="30">
                  <c:v>33</c:v>
                </c:pt>
                <c:pt idx="31">
                  <c:v>34</c:v>
                </c:pt>
                <c:pt idx="32">
                  <c:v>35</c:v>
                </c:pt>
                <c:pt idx="33">
                  <c:v>36</c:v>
                </c:pt>
                <c:pt idx="34">
                  <c:v>36</c:v>
                </c:pt>
                <c:pt idx="35">
                  <c:v>37</c:v>
                </c:pt>
                <c:pt idx="36">
                  <c:v>37</c:v>
                </c:pt>
                <c:pt idx="37">
                  <c:v>38</c:v>
                </c:pt>
                <c:pt idx="38">
                  <c:v>38</c:v>
                </c:pt>
                <c:pt idx="39">
                  <c:v>38</c:v>
                </c:pt>
                <c:pt idx="40">
                  <c:v>39</c:v>
                </c:pt>
                <c:pt idx="41">
                  <c:v>42</c:v>
                </c:pt>
                <c:pt idx="42">
                  <c:v>42</c:v>
                </c:pt>
                <c:pt idx="43">
                  <c:v>42</c:v>
                </c:pt>
                <c:pt idx="44">
                  <c:v>42</c:v>
                </c:pt>
                <c:pt idx="45">
                  <c:v>42</c:v>
                </c:pt>
                <c:pt idx="46">
                  <c:v>42</c:v>
                </c:pt>
                <c:pt idx="47">
                  <c:v>42</c:v>
                </c:pt>
                <c:pt idx="48">
                  <c:v>42</c:v>
                </c:pt>
                <c:pt idx="49">
                  <c:v>42</c:v>
                </c:pt>
                <c:pt idx="50">
                  <c:v>42</c:v>
                </c:pt>
                <c:pt idx="51">
                  <c:v>42</c:v>
                </c:pt>
                <c:pt idx="52">
                  <c:v>42</c:v>
                </c:pt>
                <c:pt idx="53">
                  <c:v>42</c:v>
                </c:pt>
                <c:pt idx="54">
                  <c:v>42</c:v>
                </c:pt>
                <c:pt idx="55">
                  <c:v>42</c:v>
                </c:pt>
                <c:pt idx="56">
                  <c:v>42</c:v>
                </c:pt>
                <c:pt idx="57">
                  <c:v>42</c:v>
                </c:pt>
                <c:pt idx="58">
                  <c:v>42</c:v>
                </c:pt>
                <c:pt idx="59">
                  <c:v>42</c:v>
                </c:pt>
                <c:pt idx="60">
                  <c:v>42</c:v>
                </c:pt>
                <c:pt idx="61">
                  <c:v>42</c:v>
                </c:pt>
                <c:pt idx="62">
                  <c:v>42</c:v>
                </c:pt>
                <c:pt idx="63">
                  <c:v>43</c:v>
                </c:pt>
              </c:numCache>
            </c:numRef>
          </c:val>
          <c:extLst>
            <c:ext xmlns:c16="http://schemas.microsoft.com/office/drawing/2014/chart" uri="{C3380CC4-5D6E-409C-BE32-E72D297353CC}">
              <c16:uniqueId val="{00000000-0CED-4DBE-B295-6BDC95D6468F}"/>
            </c:ext>
          </c:extLst>
        </c:ser>
        <c:ser>
          <c:idx val="1"/>
          <c:order val="1"/>
          <c:tx>
            <c:strRef>
              <c:f>border2!$C$1</c:f>
              <c:strCache>
                <c:ptCount val="1"/>
                <c:pt idx="0">
                  <c:v>ESCAP</c:v>
                </c:pt>
              </c:strCache>
            </c:strRef>
          </c:tx>
          <c:spPr>
            <a:solidFill>
              <a:schemeClr val="accent2"/>
            </a:solidFill>
            <a:ln>
              <a:noFill/>
            </a:ln>
            <a:effectLst/>
          </c:spPr>
          <c:cat>
            <c:numRef>
              <c:f>border2!$A$2:$A$65</c:f>
              <c:numCache>
                <c:formatCode>General</c:formatCode>
                <c:ptCount val="64"/>
                <c:pt idx="0">
                  <c:v>1955</c:v>
                </c:pt>
                <c:pt idx="1">
                  <c:v>1956</c:v>
                </c:pt>
                <c:pt idx="2">
                  <c:v>1957</c:v>
                </c:pt>
                <c:pt idx="3">
                  <c:v>1958</c:v>
                </c:pt>
                <c:pt idx="4">
                  <c:v>1959</c:v>
                </c:pt>
                <c:pt idx="5">
                  <c:v>1960</c:v>
                </c:pt>
                <c:pt idx="6">
                  <c:v>1961</c:v>
                </c:pt>
                <c:pt idx="7">
                  <c:v>1962</c:v>
                </c:pt>
                <c:pt idx="8">
                  <c:v>1963</c:v>
                </c:pt>
                <c:pt idx="9">
                  <c:v>1964</c:v>
                </c:pt>
                <c:pt idx="10">
                  <c:v>1965</c:v>
                </c:pt>
                <c:pt idx="11">
                  <c:v>1966</c:v>
                </c:pt>
                <c:pt idx="12">
                  <c:v>1967</c:v>
                </c:pt>
                <c:pt idx="13">
                  <c:v>1968</c:v>
                </c:pt>
                <c:pt idx="14">
                  <c:v>1969</c:v>
                </c:pt>
                <c:pt idx="15">
                  <c:v>1970</c:v>
                </c:pt>
                <c:pt idx="16">
                  <c:v>1971</c:v>
                </c:pt>
                <c:pt idx="17">
                  <c:v>1972</c:v>
                </c:pt>
                <c:pt idx="18">
                  <c:v>1973</c:v>
                </c:pt>
                <c:pt idx="19">
                  <c:v>1974</c:v>
                </c:pt>
                <c:pt idx="20">
                  <c:v>1975</c:v>
                </c:pt>
                <c:pt idx="21">
                  <c:v>1976</c:v>
                </c:pt>
                <c:pt idx="22">
                  <c:v>1977</c:v>
                </c:pt>
                <c:pt idx="23">
                  <c:v>1978</c:v>
                </c:pt>
                <c:pt idx="24">
                  <c:v>1979</c:v>
                </c:pt>
                <c:pt idx="25">
                  <c:v>1980</c:v>
                </c:pt>
                <c:pt idx="26">
                  <c:v>1981</c:v>
                </c:pt>
                <c:pt idx="27">
                  <c:v>1982</c:v>
                </c:pt>
                <c:pt idx="28">
                  <c:v>1983</c:v>
                </c:pt>
                <c:pt idx="29">
                  <c:v>1984</c:v>
                </c:pt>
                <c:pt idx="30">
                  <c:v>1985</c:v>
                </c:pt>
                <c:pt idx="31">
                  <c:v>1986</c:v>
                </c:pt>
                <c:pt idx="32">
                  <c:v>1987</c:v>
                </c:pt>
                <c:pt idx="33">
                  <c:v>1988</c:v>
                </c:pt>
                <c:pt idx="34">
                  <c:v>1989</c:v>
                </c:pt>
                <c:pt idx="35">
                  <c:v>1990</c:v>
                </c:pt>
                <c:pt idx="36">
                  <c:v>1991</c:v>
                </c:pt>
                <c:pt idx="37">
                  <c:v>1992</c:v>
                </c:pt>
                <c:pt idx="38">
                  <c:v>1993</c:v>
                </c:pt>
                <c:pt idx="39">
                  <c:v>1994</c:v>
                </c:pt>
                <c:pt idx="40">
                  <c:v>1995</c:v>
                </c:pt>
                <c:pt idx="41">
                  <c:v>1996</c:v>
                </c:pt>
                <c:pt idx="42">
                  <c:v>1997</c:v>
                </c:pt>
                <c:pt idx="43">
                  <c:v>1998</c:v>
                </c:pt>
                <c:pt idx="44">
                  <c:v>1999</c:v>
                </c:pt>
                <c:pt idx="45">
                  <c:v>2000</c:v>
                </c:pt>
                <c:pt idx="46">
                  <c:v>2001</c:v>
                </c:pt>
                <c:pt idx="47">
                  <c:v>2002</c:v>
                </c:pt>
                <c:pt idx="48">
                  <c:v>2003</c:v>
                </c:pt>
                <c:pt idx="49">
                  <c:v>2004</c:v>
                </c:pt>
                <c:pt idx="50">
                  <c:v>2005</c:v>
                </c:pt>
                <c:pt idx="51">
                  <c:v>2006</c:v>
                </c:pt>
                <c:pt idx="52">
                  <c:v>2007</c:v>
                </c:pt>
                <c:pt idx="53">
                  <c:v>2008</c:v>
                </c:pt>
                <c:pt idx="54">
                  <c:v>2009</c:v>
                </c:pt>
                <c:pt idx="55">
                  <c:v>2010</c:v>
                </c:pt>
                <c:pt idx="56">
                  <c:v>2011</c:v>
                </c:pt>
                <c:pt idx="57">
                  <c:v>2012</c:v>
                </c:pt>
                <c:pt idx="58">
                  <c:v>2013</c:v>
                </c:pt>
                <c:pt idx="59">
                  <c:v>2014</c:v>
                </c:pt>
                <c:pt idx="60">
                  <c:v>2015</c:v>
                </c:pt>
                <c:pt idx="61">
                  <c:v>2016</c:v>
                </c:pt>
                <c:pt idx="62">
                  <c:v>2017</c:v>
                </c:pt>
                <c:pt idx="63">
                  <c:v>2018</c:v>
                </c:pt>
              </c:numCache>
            </c:numRef>
          </c:cat>
          <c:val>
            <c:numRef>
              <c:f>border2!$C$2:$C$65</c:f>
              <c:numCache>
                <c:formatCode>General</c:formatCode>
                <c:ptCount val="64"/>
                <c:pt idx="0">
                  <c:v>2</c:v>
                </c:pt>
                <c:pt idx="1">
                  <c:v>2</c:v>
                </c:pt>
                <c:pt idx="2">
                  <c:v>3</c:v>
                </c:pt>
                <c:pt idx="3">
                  <c:v>6</c:v>
                </c:pt>
                <c:pt idx="4">
                  <c:v>8</c:v>
                </c:pt>
                <c:pt idx="5">
                  <c:v>12</c:v>
                </c:pt>
                <c:pt idx="6">
                  <c:v>12</c:v>
                </c:pt>
                <c:pt idx="7">
                  <c:v>14</c:v>
                </c:pt>
                <c:pt idx="8">
                  <c:v>14</c:v>
                </c:pt>
                <c:pt idx="9">
                  <c:v>15</c:v>
                </c:pt>
                <c:pt idx="10">
                  <c:v>15</c:v>
                </c:pt>
                <c:pt idx="11">
                  <c:v>18</c:v>
                </c:pt>
                <c:pt idx="12">
                  <c:v>21</c:v>
                </c:pt>
                <c:pt idx="13">
                  <c:v>23</c:v>
                </c:pt>
                <c:pt idx="14">
                  <c:v>24</c:v>
                </c:pt>
                <c:pt idx="15">
                  <c:v>24</c:v>
                </c:pt>
                <c:pt idx="16">
                  <c:v>28</c:v>
                </c:pt>
                <c:pt idx="17">
                  <c:v>30</c:v>
                </c:pt>
                <c:pt idx="18">
                  <c:v>30</c:v>
                </c:pt>
                <c:pt idx="19">
                  <c:v>31</c:v>
                </c:pt>
                <c:pt idx="20">
                  <c:v>32</c:v>
                </c:pt>
                <c:pt idx="21">
                  <c:v>32</c:v>
                </c:pt>
                <c:pt idx="22">
                  <c:v>35</c:v>
                </c:pt>
                <c:pt idx="23">
                  <c:v>35</c:v>
                </c:pt>
                <c:pt idx="24">
                  <c:v>35</c:v>
                </c:pt>
                <c:pt idx="25">
                  <c:v>35</c:v>
                </c:pt>
                <c:pt idx="26">
                  <c:v>39</c:v>
                </c:pt>
                <c:pt idx="27">
                  <c:v>41</c:v>
                </c:pt>
                <c:pt idx="28">
                  <c:v>41</c:v>
                </c:pt>
                <c:pt idx="29">
                  <c:v>43</c:v>
                </c:pt>
                <c:pt idx="30">
                  <c:v>43</c:v>
                </c:pt>
                <c:pt idx="31">
                  <c:v>44</c:v>
                </c:pt>
                <c:pt idx="32">
                  <c:v>44</c:v>
                </c:pt>
                <c:pt idx="33">
                  <c:v>44</c:v>
                </c:pt>
                <c:pt idx="34">
                  <c:v>46</c:v>
                </c:pt>
                <c:pt idx="35">
                  <c:v>46</c:v>
                </c:pt>
                <c:pt idx="36">
                  <c:v>46</c:v>
                </c:pt>
                <c:pt idx="37">
                  <c:v>46</c:v>
                </c:pt>
                <c:pt idx="38">
                  <c:v>46</c:v>
                </c:pt>
                <c:pt idx="39">
                  <c:v>46</c:v>
                </c:pt>
                <c:pt idx="40">
                  <c:v>48</c:v>
                </c:pt>
                <c:pt idx="41">
                  <c:v>54</c:v>
                </c:pt>
                <c:pt idx="42">
                  <c:v>54</c:v>
                </c:pt>
                <c:pt idx="43">
                  <c:v>57</c:v>
                </c:pt>
                <c:pt idx="44">
                  <c:v>58</c:v>
                </c:pt>
                <c:pt idx="45">
                  <c:v>60</c:v>
                </c:pt>
                <c:pt idx="46">
                  <c:v>60</c:v>
                </c:pt>
                <c:pt idx="47">
                  <c:v>61</c:v>
                </c:pt>
                <c:pt idx="48">
                  <c:v>61</c:v>
                </c:pt>
                <c:pt idx="49">
                  <c:v>61</c:v>
                </c:pt>
                <c:pt idx="50">
                  <c:v>64</c:v>
                </c:pt>
                <c:pt idx="51">
                  <c:v>64</c:v>
                </c:pt>
                <c:pt idx="52">
                  <c:v>66</c:v>
                </c:pt>
                <c:pt idx="53">
                  <c:v>67</c:v>
                </c:pt>
                <c:pt idx="54">
                  <c:v>67</c:v>
                </c:pt>
                <c:pt idx="55">
                  <c:v>68</c:v>
                </c:pt>
                <c:pt idx="56">
                  <c:v>69</c:v>
                </c:pt>
                <c:pt idx="57">
                  <c:v>69</c:v>
                </c:pt>
                <c:pt idx="58">
                  <c:v>69</c:v>
                </c:pt>
                <c:pt idx="59">
                  <c:v>69</c:v>
                </c:pt>
                <c:pt idx="60">
                  <c:v>70</c:v>
                </c:pt>
                <c:pt idx="61">
                  <c:v>72</c:v>
                </c:pt>
                <c:pt idx="62">
                  <c:v>73</c:v>
                </c:pt>
                <c:pt idx="63">
                  <c:v>73</c:v>
                </c:pt>
              </c:numCache>
            </c:numRef>
          </c:val>
          <c:extLst>
            <c:ext xmlns:c16="http://schemas.microsoft.com/office/drawing/2014/chart" uri="{C3380CC4-5D6E-409C-BE32-E72D297353CC}">
              <c16:uniqueId val="{00000001-0CED-4DBE-B295-6BDC95D6468F}"/>
            </c:ext>
          </c:extLst>
        </c:ser>
        <c:ser>
          <c:idx val="2"/>
          <c:order val="2"/>
          <c:tx>
            <c:strRef>
              <c:f>border2!$D$1</c:f>
              <c:strCache>
                <c:ptCount val="1"/>
                <c:pt idx="0">
                  <c:v>ESCWA</c:v>
                </c:pt>
              </c:strCache>
            </c:strRef>
          </c:tx>
          <c:spPr>
            <a:solidFill>
              <a:schemeClr val="accent3"/>
            </a:solidFill>
            <a:ln>
              <a:noFill/>
            </a:ln>
            <a:effectLst/>
          </c:spPr>
          <c:cat>
            <c:numRef>
              <c:f>border2!$A$2:$A$65</c:f>
              <c:numCache>
                <c:formatCode>General</c:formatCode>
                <c:ptCount val="64"/>
                <c:pt idx="0">
                  <c:v>1955</c:v>
                </c:pt>
                <c:pt idx="1">
                  <c:v>1956</c:v>
                </c:pt>
                <c:pt idx="2">
                  <c:v>1957</c:v>
                </c:pt>
                <c:pt idx="3">
                  <c:v>1958</c:v>
                </c:pt>
                <c:pt idx="4">
                  <c:v>1959</c:v>
                </c:pt>
                <c:pt idx="5">
                  <c:v>1960</c:v>
                </c:pt>
                <c:pt idx="6">
                  <c:v>1961</c:v>
                </c:pt>
                <c:pt idx="7">
                  <c:v>1962</c:v>
                </c:pt>
                <c:pt idx="8">
                  <c:v>1963</c:v>
                </c:pt>
                <c:pt idx="9">
                  <c:v>1964</c:v>
                </c:pt>
                <c:pt idx="10">
                  <c:v>1965</c:v>
                </c:pt>
                <c:pt idx="11">
                  <c:v>1966</c:v>
                </c:pt>
                <c:pt idx="12">
                  <c:v>1967</c:v>
                </c:pt>
                <c:pt idx="13">
                  <c:v>1968</c:v>
                </c:pt>
                <c:pt idx="14">
                  <c:v>1969</c:v>
                </c:pt>
                <c:pt idx="15">
                  <c:v>1970</c:v>
                </c:pt>
                <c:pt idx="16">
                  <c:v>1971</c:v>
                </c:pt>
                <c:pt idx="17">
                  <c:v>1972</c:v>
                </c:pt>
                <c:pt idx="18">
                  <c:v>1973</c:v>
                </c:pt>
                <c:pt idx="19">
                  <c:v>1974</c:v>
                </c:pt>
                <c:pt idx="20">
                  <c:v>1975</c:v>
                </c:pt>
                <c:pt idx="21">
                  <c:v>1976</c:v>
                </c:pt>
                <c:pt idx="22">
                  <c:v>1977</c:v>
                </c:pt>
                <c:pt idx="23">
                  <c:v>1978</c:v>
                </c:pt>
                <c:pt idx="24">
                  <c:v>1979</c:v>
                </c:pt>
                <c:pt idx="25">
                  <c:v>1980</c:v>
                </c:pt>
                <c:pt idx="26">
                  <c:v>1981</c:v>
                </c:pt>
                <c:pt idx="27">
                  <c:v>1982</c:v>
                </c:pt>
                <c:pt idx="28">
                  <c:v>1983</c:v>
                </c:pt>
                <c:pt idx="29">
                  <c:v>1984</c:v>
                </c:pt>
                <c:pt idx="30">
                  <c:v>1985</c:v>
                </c:pt>
                <c:pt idx="31">
                  <c:v>1986</c:v>
                </c:pt>
                <c:pt idx="32">
                  <c:v>1987</c:v>
                </c:pt>
                <c:pt idx="33">
                  <c:v>1988</c:v>
                </c:pt>
                <c:pt idx="34">
                  <c:v>1989</c:v>
                </c:pt>
                <c:pt idx="35">
                  <c:v>1990</c:v>
                </c:pt>
                <c:pt idx="36">
                  <c:v>1991</c:v>
                </c:pt>
                <c:pt idx="37">
                  <c:v>1992</c:v>
                </c:pt>
                <c:pt idx="38">
                  <c:v>1993</c:v>
                </c:pt>
                <c:pt idx="39">
                  <c:v>1994</c:v>
                </c:pt>
                <c:pt idx="40">
                  <c:v>1995</c:v>
                </c:pt>
                <c:pt idx="41">
                  <c:v>1996</c:v>
                </c:pt>
                <c:pt idx="42">
                  <c:v>1997</c:v>
                </c:pt>
                <c:pt idx="43">
                  <c:v>1998</c:v>
                </c:pt>
                <c:pt idx="44">
                  <c:v>1999</c:v>
                </c:pt>
                <c:pt idx="45">
                  <c:v>2000</c:v>
                </c:pt>
                <c:pt idx="46">
                  <c:v>2001</c:v>
                </c:pt>
                <c:pt idx="47">
                  <c:v>2002</c:v>
                </c:pt>
                <c:pt idx="48">
                  <c:v>2003</c:v>
                </c:pt>
                <c:pt idx="49">
                  <c:v>2004</c:v>
                </c:pt>
                <c:pt idx="50">
                  <c:v>2005</c:v>
                </c:pt>
                <c:pt idx="51">
                  <c:v>2006</c:v>
                </c:pt>
                <c:pt idx="52">
                  <c:v>2007</c:v>
                </c:pt>
                <c:pt idx="53">
                  <c:v>2008</c:v>
                </c:pt>
                <c:pt idx="54">
                  <c:v>2009</c:v>
                </c:pt>
                <c:pt idx="55">
                  <c:v>2010</c:v>
                </c:pt>
                <c:pt idx="56">
                  <c:v>2011</c:v>
                </c:pt>
                <c:pt idx="57">
                  <c:v>2012</c:v>
                </c:pt>
                <c:pt idx="58">
                  <c:v>2013</c:v>
                </c:pt>
                <c:pt idx="59">
                  <c:v>2014</c:v>
                </c:pt>
                <c:pt idx="60">
                  <c:v>2015</c:v>
                </c:pt>
                <c:pt idx="61">
                  <c:v>2016</c:v>
                </c:pt>
                <c:pt idx="62">
                  <c:v>2017</c:v>
                </c:pt>
                <c:pt idx="63">
                  <c:v>2018</c:v>
                </c:pt>
              </c:numCache>
            </c:numRef>
          </c:cat>
          <c:val>
            <c:numRef>
              <c:f>border2!$D$2:$D$65</c:f>
              <c:numCache>
                <c:formatCode>General</c:formatCode>
                <c:ptCount val="64"/>
                <c:pt idx="0">
                  <c:v>0</c:v>
                </c:pt>
                <c:pt idx="1">
                  <c:v>0</c:v>
                </c:pt>
                <c:pt idx="2">
                  <c:v>6</c:v>
                </c:pt>
                <c:pt idx="3">
                  <c:v>6</c:v>
                </c:pt>
                <c:pt idx="4">
                  <c:v>8</c:v>
                </c:pt>
                <c:pt idx="5">
                  <c:v>8</c:v>
                </c:pt>
                <c:pt idx="6">
                  <c:v>8</c:v>
                </c:pt>
                <c:pt idx="7">
                  <c:v>8</c:v>
                </c:pt>
                <c:pt idx="8">
                  <c:v>8</c:v>
                </c:pt>
                <c:pt idx="9">
                  <c:v>8</c:v>
                </c:pt>
                <c:pt idx="10">
                  <c:v>8</c:v>
                </c:pt>
                <c:pt idx="11">
                  <c:v>8</c:v>
                </c:pt>
                <c:pt idx="12">
                  <c:v>8</c:v>
                </c:pt>
                <c:pt idx="13">
                  <c:v>8</c:v>
                </c:pt>
                <c:pt idx="14">
                  <c:v>8</c:v>
                </c:pt>
                <c:pt idx="15">
                  <c:v>8</c:v>
                </c:pt>
                <c:pt idx="16">
                  <c:v>9</c:v>
                </c:pt>
                <c:pt idx="17">
                  <c:v>9</c:v>
                </c:pt>
                <c:pt idx="18">
                  <c:v>10</c:v>
                </c:pt>
                <c:pt idx="19">
                  <c:v>12</c:v>
                </c:pt>
                <c:pt idx="20">
                  <c:v>13</c:v>
                </c:pt>
                <c:pt idx="21">
                  <c:v>13</c:v>
                </c:pt>
                <c:pt idx="22">
                  <c:v>15</c:v>
                </c:pt>
                <c:pt idx="23">
                  <c:v>15</c:v>
                </c:pt>
                <c:pt idx="24">
                  <c:v>15</c:v>
                </c:pt>
                <c:pt idx="25">
                  <c:v>15</c:v>
                </c:pt>
                <c:pt idx="26">
                  <c:v>15</c:v>
                </c:pt>
                <c:pt idx="27">
                  <c:v>15</c:v>
                </c:pt>
                <c:pt idx="28">
                  <c:v>17</c:v>
                </c:pt>
                <c:pt idx="29">
                  <c:v>17</c:v>
                </c:pt>
                <c:pt idx="30">
                  <c:v>18</c:v>
                </c:pt>
                <c:pt idx="31">
                  <c:v>18</c:v>
                </c:pt>
                <c:pt idx="32">
                  <c:v>18</c:v>
                </c:pt>
                <c:pt idx="33">
                  <c:v>18</c:v>
                </c:pt>
                <c:pt idx="34">
                  <c:v>18</c:v>
                </c:pt>
                <c:pt idx="35">
                  <c:v>19</c:v>
                </c:pt>
                <c:pt idx="36">
                  <c:v>19</c:v>
                </c:pt>
                <c:pt idx="37">
                  <c:v>19</c:v>
                </c:pt>
                <c:pt idx="38">
                  <c:v>19</c:v>
                </c:pt>
                <c:pt idx="39">
                  <c:v>19</c:v>
                </c:pt>
                <c:pt idx="40">
                  <c:v>19</c:v>
                </c:pt>
                <c:pt idx="41">
                  <c:v>19</c:v>
                </c:pt>
                <c:pt idx="42">
                  <c:v>20</c:v>
                </c:pt>
                <c:pt idx="43">
                  <c:v>20</c:v>
                </c:pt>
                <c:pt idx="44">
                  <c:v>21</c:v>
                </c:pt>
                <c:pt idx="45">
                  <c:v>21</c:v>
                </c:pt>
                <c:pt idx="46">
                  <c:v>21</c:v>
                </c:pt>
                <c:pt idx="47">
                  <c:v>21</c:v>
                </c:pt>
                <c:pt idx="48">
                  <c:v>24</c:v>
                </c:pt>
                <c:pt idx="49">
                  <c:v>24</c:v>
                </c:pt>
                <c:pt idx="50">
                  <c:v>24</c:v>
                </c:pt>
                <c:pt idx="51">
                  <c:v>24</c:v>
                </c:pt>
                <c:pt idx="52">
                  <c:v>26</c:v>
                </c:pt>
                <c:pt idx="53">
                  <c:v>28</c:v>
                </c:pt>
                <c:pt idx="54">
                  <c:v>30</c:v>
                </c:pt>
                <c:pt idx="55">
                  <c:v>30</c:v>
                </c:pt>
                <c:pt idx="56">
                  <c:v>30</c:v>
                </c:pt>
                <c:pt idx="57">
                  <c:v>31</c:v>
                </c:pt>
                <c:pt idx="58">
                  <c:v>32</c:v>
                </c:pt>
                <c:pt idx="59">
                  <c:v>32</c:v>
                </c:pt>
                <c:pt idx="60">
                  <c:v>32</c:v>
                </c:pt>
                <c:pt idx="61">
                  <c:v>32</c:v>
                </c:pt>
                <c:pt idx="62">
                  <c:v>33</c:v>
                </c:pt>
                <c:pt idx="63">
                  <c:v>36</c:v>
                </c:pt>
              </c:numCache>
            </c:numRef>
          </c:val>
          <c:extLst>
            <c:ext xmlns:c16="http://schemas.microsoft.com/office/drawing/2014/chart" uri="{C3380CC4-5D6E-409C-BE32-E72D297353CC}">
              <c16:uniqueId val="{00000002-0CED-4DBE-B295-6BDC95D6468F}"/>
            </c:ext>
          </c:extLst>
        </c:ser>
        <c:ser>
          <c:idx val="3"/>
          <c:order val="3"/>
          <c:tx>
            <c:strRef>
              <c:f>border2!$E$1</c:f>
              <c:strCache>
                <c:ptCount val="1"/>
                <c:pt idx="0">
                  <c:v>ECA</c:v>
                </c:pt>
              </c:strCache>
            </c:strRef>
          </c:tx>
          <c:spPr>
            <a:solidFill>
              <a:schemeClr val="accent4"/>
            </a:solidFill>
            <a:ln>
              <a:noFill/>
            </a:ln>
            <a:effectLst/>
          </c:spPr>
          <c:cat>
            <c:numRef>
              <c:f>border2!$A$2:$A$65</c:f>
              <c:numCache>
                <c:formatCode>General</c:formatCode>
                <c:ptCount val="64"/>
                <c:pt idx="0">
                  <c:v>1955</c:v>
                </c:pt>
                <c:pt idx="1">
                  <c:v>1956</c:v>
                </c:pt>
                <c:pt idx="2">
                  <c:v>1957</c:v>
                </c:pt>
                <c:pt idx="3">
                  <c:v>1958</c:v>
                </c:pt>
                <c:pt idx="4">
                  <c:v>1959</c:v>
                </c:pt>
                <c:pt idx="5">
                  <c:v>1960</c:v>
                </c:pt>
                <c:pt idx="6">
                  <c:v>1961</c:v>
                </c:pt>
                <c:pt idx="7">
                  <c:v>1962</c:v>
                </c:pt>
                <c:pt idx="8">
                  <c:v>1963</c:v>
                </c:pt>
                <c:pt idx="9">
                  <c:v>1964</c:v>
                </c:pt>
                <c:pt idx="10">
                  <c:v>1965</c:v>
                </c:pt>
                <c:pt idx="11">
                  <c:v>1966</c:v>
                </c:pt>
                <c:pt idx="12">
                  <c:v>1967</c:v>
                </c:pt>
                <c:pt idx="13">
                  <c:v>1968</c:v>
                </c:pt>
                <c:pt idx="14">
                  <c:v>1969</c:v>
                </c:pt>
                <c:pt idx="15">
                  <c:v>1970</c:v>
                </c:pt>
                <c:pt idx="16">
                  <c:v>1971</c:v>
                </c:pt>
                <c:pt idx="17">
                  <c:v>1972</c:v>
                </c:pt>
                <c:pt idx="18">
                  <c:v>1973</c:v>
                </c:pt>
                <c:pt idx="19">
                  <c:v>1974</c:v>
                </c:pt>
                <c:pt idx="20">
                  <c:v>1975</c:v>
                </c:pt>
                <c:pt idx="21">
                  <c:v>1976</c:v>
                </c:pt>
                <c:pt idx="22">
                  <c:v>1977</c:v>
                </c:pt>
                <c:pt idx="23">
                  <c:v>1978</c:v>
                </c:pt>
                <c:pt idx="24">
                  <c:v>1979</c:v>
                </c:pt>
                <c:pt idx="25">
                  <c:v>1980</c:v>
                </c:pt>
                <c:pt idx="26">
                  <c:v>1981</c:v>
                </c:pt>
                <c:pt idx="27">
                  <c:v>1982</c:v>
                </c:pt>
                <c:pt idx="28">
                  <c:v>1983</c:v>
                </c:pt>
                <c:pt idx="29">
                  <c:v>1984</c:v>
                </c:pt>
                <c:pt idx="30">
                  <c:v>1985</c:v>
                </c:pt>
                <c:pt idx="31">
                  <c:v>1986</c:v>
                </c:pt>
                <c:pt idx="32">
                  <c:v>1987</c:v>
                </c:pt>
                <c:pt idx="33">
                  <c:v>1988</c:v>
                </c:pt>
                <c:pt idx="34">
                  <c:v>1989</c:v>
                </c:pt>
                <c:pt idx="35">
                  <c:v>1990</c:v>
                </c:pt>
                <c:pt idx="36">
                  <c:v>1991</c:v>
                </c:pt>
                <c:pt idx="37">
                  <c:v>1992</c:v>
                </c:pt>
                <c:pt idx="38">
                  <c:v>1993</c:v>
                </c:pt>
                <c:pt idx="39">
                  <c:v>1994</c:v>
                </c:pt>
                <c:pt idx="40">
                  <c:v>1995</c:v>
                </c:pt>
                <c:pt idx="41">
                  <c:v>1996</c:v>
                </c:pt>
                <c:pt idx="42">
                  <c:v>1997</c:v>
                </c:pt>
                <c:pt idx="43">
                  <c:v>1998</c:v>
                </c:pt>
                <c:pt idx="44">
                  <c:v>1999</c:v>
                </c:pt>
                <c:pt idx="45">
                  <c:v>2000</c:v>
                </c:pt>
                <c:pt idx="46">
                  <c:v>2001</c:v>
                </c:pt>
                <c:pt idx="47">
                  <c:v>2002</c:v>
                </c:pt>
                <c:pt idx="48">
                  <c:v>2003</c:v>
                </c:pt>
                <c:pt idx="49">
                  <c:v>2004</c:v>
                </c:pt>
                <c:pt idx="50">
                  <c:v>2005</c:v>
                </c:pt>
                <c:pt idx="51">
                  <c:v>2006</c:v>
                </c:pt>
                <c:pt idx="52">
                  <c:v>2007</c:v>
                </c:pt>
                <c:pt idx="53">
                  <c:v>2008</c:v>
                </c:pt>
                <c:pt idx="54">
                  <c:v>2009</c:v>
                </c:pt>
                <c:pt idx="55">
                  <c:v>2010</c:v>
                </c:pt>
                <c:pt idx="56">
                  <c:v>2011</c:v>
                </c:pt>
                <c:pt idx="57">
                  <c:v>2012</c:v>
                </c:pt>
                <c:pt idx="58">
                  <c:v>2013</c:v>
                </c:pt>
                <c:pt idx="59">
                  <c:v>2014</c:v>
                </c:pt>
                <c:pt idx="60">
                  <c:v>2015</c:v>
                </c:pt>
                <c:pt idx="61">
                  <c:v>2016</c:v>
                </c:pt>
                <c:pt idx="62">
                  <c:v>2017</c:v>
                </c:pt>
                <c:pt idx="63">
                  <c:v>2018</c:v>
                </c:pt>
              </c:numCache>
            </c:numRef>
          </c:cat>
          <c:val>
            <c:numRef>
              <c:f>border2!$E$2:$E$65</c:f>
              <c:numCache>
                <c:formatCode>General</c:formatCode>
                <c:ptCount val="64"/>
                <c:pt idx="0">
                  <c:v>0</c:v>
                </c:pt>
                <c:pt idx="1">
                  <c:v>0</c:v>
                </c:pt>
                <c:pt idx="2">
                  <c:v>4</c:v>
                </c:pt>
                <c:pt idx="3">
                  <c:v>6</c:v>
                </c:pt>
                <c:pt idx="4">
                  <c:v>6</c:v>
                </c:pt>
                <c:pt idx="5">
                  <c:v>6</c:v>
                </c:pt>
                <c:pt idx="6">
                  <c:v>8</c:v>
                </c:pt>
                <c:pt idx="7">
                  <c:v>16</c:v>
                </c:pt>
                <c:pt idx="8">
                  <c:v>22</c:v>
                </c:pt>
                <c:pt idx="9">
                  <c:v>25</c:v>
                </c:pt>
                <c:pt idx="10">
                  <c:v>27</c:v>
                </c:pt>
                <c:pt idx="11">
                  <c:v>27</c:v>
                </c:pt>
                <c:pt idx="12">
                  <c:v>27</c:v>
                </c:pt>
                <c:pt idx="13">
                  <c:v>27</c:v>
                </c:pt>
                <c:pt idx="14">
                  <c:v>32</c:v>
                </c:pt>
                <c:pt idx="15">
                  <c:v>32</c:v>
                </c:pt>
                <c:pt idx="16">
                  <c:v>32</c:v>
                </c:pt>
                <c:pt idx="17">
                  <c:v>34</c:v>
                </c:pt>
                <c:pt idx="18">
                  <c:v>34</c:v>
                </c:pt>
                <c:pt idx="19">
                  <c:v>38</c:v>
                </c:pt>
                <c:pt idx="20">
                  <c:v>39</c:v>
                </c:pt>
                <c:pt idx="21">
                  <c:v>39</c:v>
                </c:pt>
                <c:pt idx="22">
                  <c:v>40</c:v>
                </c:pt>
                <c:pt idx="23">
                  <c:v>41</c:v>
                </c:pt>
                <c:pt idx="24">
                  <c:v>41</c:v>
                </c:pt>
                <c:pt idx="25">
                  <c:v>41</c:v>
                </c:pt>
                <c:pt idx="26">
                  <c:v>41</c:v>
                </c:pt>
                <c:pt idx="27">
                  <c:v>41</c:v>
                </c:pt>
                <c:pt idx="28">
                  <c:v>42</c:v>
                </c:pt>
                <c:pt idx="29">
                  <c:v>42</c:v>
                </c:pt>
                <c:pt idx="30">
                  <c:v>42</c:v>
                </c:pt>
                <c:pt idx="31">
                  <c:v>42</c:v>
                </c:pt>
                <c:pt idx="32">
                  <c:v>43</c:v>
                </c:pt>
                <c:pt idx="33">
                  <c:v>44</c:v>
                </c:pt>
                <c:pt idx="34">
                  <c:v>45</c:v>
                </c:pt>
                <c:pt idx="35">
                  <c:v>46</c:v>
                </c:pt>
                <c:pt idx="36">
                  <c:v>46</c:v>
                </c:pt>
                <c:pt idx="37">
                  <c:v>46</c:v>
                </c:pt>
                <c:pt idx="38">
                  <c:v>46</c:v>
                </c:pt>
                <c:pt idx="39">
                  <c:v>46</c:v>
                </c:pt>
                <c:pt idx="40">
                  <c:v>46</c:v>
                </c:pt>
                <c:pt idx="41">
                  <c:v>46</c:v>
                </c:pt>
                <c:pt idx="42">
                  <c:v>46</c:v>
                </c:pt>
                <c:pt idx="43">
                  <c:v>47</c:v>
                </c:pt>
                <c:pt idx="44">
                  <c:v>47</c:v>
                </c:pt>
                <c:pt idx="45">
                  <c:v>47</c:v>
                </c:pt>
                <c:pt idx="46">
                  <c:v>47</c:v>
                </c:pt>
                <c:pt idx="47">
                  <c:v>47</c:v>
                </c:pt>
                <c:pt idx="48">
                  <c:v>48</c:v>
                </c:pt>
                <c:pt idx="49">
                  <c:v>48</c:v>
                </c:pt>
                <c:pt idx="50">
                  <c:v>54</c:v>
                </c:pt>
                <c:pt idx="51">
                  <c:v>54</c:v>
                </c:pt>
                <c:pt idx="52">
                  <c:v>54</c:v>
                </c:pt>
                <c:pt idx="53">
                  <c:v>54</c:v>
                </c:pt>
                <c:pt idx="54">
                  <c:v>56</c:v>
                </c:pt>
                <c:pt idx="55">
                  <c:v>56</c:v>
                </c:pt>
                <c:pt idx="56">
                  <c:v>56</c:v>
                </c:pt>
                <c:pt idx="57">
                  <c:v>57</c:v>
                </c:pt>
                <c:pt idx="58">
                  <c:v>57</c:v>
                </c:pt>
                <c:pt idx="59">
                  <c:v>57</c:v>
                </c:pt>
                <c:pt idx="60">
                  <c:v>57</c:v>
                </c:pt>
                <c:pt idx="61">
                  <c:v>57</c:v>
                </c:pt>
                <c:pt idx="62">
                  <c:v>57</c:v>
                </c:pt>
                <c:pt idx="63">
                  <c:v>57</c:v>
                </c:pt>
              </c:numCache>
            </c:numRef>
          </c:val>
          <c:extLst>
            <c:ext xmlns:c16="http://schemas.microsoft.com/office/drawing/2014/chart" uri="{C3380CC4-5D6E-409C-BE32-E72D297353CC}">
              <c16:uniqueId val="{00000003-0CED-4DBE-B295-6BDC95D6468F}"/>
            </c:ext>
          </c:extLst>
        </c:ser>
        <c:dLbls>
          <c:showLegendKey val="0"/>
          <c:showVal val="0"/>
          <c:showCatName val="0"/>
          <c:showSerName val="0"/>
          <c:showPercent val="0"/>
          <c:showBubbleSize val="0"/>
        </c:dLbls>
        <c:axId val="664693400"/>
        <c:axId val="664692744"/>
      </c:areaChart>
      <c:catAx>
        <c:axId val="6646934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4692744"/>
        <c:crosses val="autoZero"/>
        <c:auto val="1"/>
        <c:lblAlgn val="ctr"/>
        <c:lblOffset val="100"/>
        <c:noMultiLvlLbl val="0"/>
      </c:catAx>
      <c:valAx>
        <c:axId val="664692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4693400"/>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0"/>
          <c:order val="0"/>
          <c:tx>
            <c:strRef>
              <c:f>safety2!$B$1</c:f>
              <c:strCache>
                <c:ptCount val="1"/>
                <c:pt idx="0">
                  <c:v>ECLAC</c:v>
                </c:pt>
              </c:strCache>
            </c:strRef>
          </c:tx>
          <c:spPr>
            <a:solidFill>
              <a:schemeClr val="accent1"/>
            </a:solidFill>
            <a:ln>
              <a:noFill/>
            </a:ln>
            <a:effectLst/>
          </c:spPr>
          <c:cat>
            <c:numRef>
              <c:f>safety2!$A$2:$A$65</c:f>
              <c:numCache>
                <c:formatCode>General</c:formatCode>
                <c:ptCount val="64"/>
                <c:pt idx="0">
                  <c:v>1955</c:v>
                </c:pt>
                <c:pt idx="1">
                  <c:v>1956</c:v>
                </c:pt>
                <c:pt idx="2">
                  <c:v>1957</c:v>
                </c:pt>
                <c:pt idx="3">
                  <c:v>1958</c:v>
                </c:pt>
                <c:pt idx="4">
                  <c:v>1959</c:v>
                </c:pt>
                <c:pt idx="5">
                  <c:v>1960</c:v>
                </c:pt>
                <c:pt idx="6">
                  <c:v>1961</c:v>
                </c:pt>
                <c:pt idx="7">
                  <c:v>1962</c:v>
                </c:pt>
                <c:pt idx="8">
                  <c:v>1963</c:v>
                </c:pt>
                <c:pt idx="9">
                  <c:v>1964</c:v>
                </c:pt>
                <c:pt idx="10">
                  <c:v>1965</c:v>
                </c:pt>
                <c:pt idx="11">
                  <c:v>1966</c:v>
                </c:pt>
                <c:pt idx="12">
                  <c:v>1967</c:v>
                </c:pt>
                <c:pt idx="13">
                  <c:v>1968</c:v>
                </c:pt>
                <c:pt idx="14">
                  <c:v>1969</c:v>
                </c:pt>
                <c:pt idx="15">
                  <c:v>1970</c:v>
                </c:pt>
                <c:pt idx="16">
                  <c:v>1971</c:v>
                </c:pt>
                <c:pt idx="17">
                  <c:v>1972</c:v>
                </c:pt>
                <c:pt idx="18">
                  <c:v>1973</c:v>
                </c:pt>
                <c:pt idx="19">
                  <c:v>1974</c:v>
                </c:pt>
                <c:pt idx="20">
                  <c:v>1975</c:v>
                </c:pt>
                <c:pt idx="21">
                  <c:v>1976</c:v>
                </c:pt>
                <c:pt idx="22">
                  <c:v>1977</c:v>
                </c:pt>
                <c:pt idx="23">
                  <c:v>1978</c:v>
                </c:pt>
                <c:pt idx="24">
                  <c:v>1979</c:v>
                </c:pt>
                <c:pt idx="25">
                  <c:v>1980</c:v>
                </c:pt>
                <c:pt idx="26">
                  <c:v>1981</c:v>
                </c:pt>
                <c:pt idx="27">
                  <c:v>1982</c:v>
                </c:pt>
                <c:pt idx="28">
                  <c:v>1983</c:v>
                </c:pt>
                <c:pt idx="29">
                  <c:v>1984</c:v>
                </c:pt>
                <c:pt idx="30">
                  <c:v>1985</c:v>
                </c:pt>
                <c:pt idx="31">
                  <c:v>1986</c:v>
                </c:pt>
                <c:pt idx="32">
                  <c:v>1987</c:v>
                </c:pt>
                <c:pt idx="33">
                  <c:v>1988</c:v>
                </c:pt>
                <c:pt idx="34">
                  <c:v>1989</c:v>
                </c:pt>
                <c:pt idx="35">
                  <c:v>1990</c:v>
                </c:pt>
                <c:pt idx="36">
                  <c:v>1991</c:v>
                </c:pt>
                <c:pt idx="37">
                  <c:v>1992</c:v>
                </c:pt>
                <c:pt idx="38">
                  <c:v>1993</c:v>
                </c:pt>
                <c:pt idx="39">
                  <c:v>1994</c:v>
                </c:pt>
                <c:pt idx="40">
                  <c:v>1995</c:v>
                </c:pt>
                <c:pt idx="41">
                  <c:v>1996</c:v>
                </c:pt>
                <c:pt idx="42">
                  <c:v>1997</c:v>
                </c:pt>
                <c:pt idx="43">
                  <c:v>1998</c:v>
                </c:pt>
                <c:pt idx="44">
                  <c:v>1999</c:v>
                </c:pt>
                <c:pt idx="45">
                  <c:v>2000</c:v>
                </c:pt>
                <c:pt idx="46">
                  <c:v>2001</c:v>
                </c:pt>
                <c:pt idx="47">
                  <c:v>2002</c:v>
                </c:pt>
                <c:pt idx="48">
                  <c:v>2003</c:v>
                </c:pt>
                <c:pt idx="49">
                  <c:v>2004</c:v>
                </c:pt>
                <c:pt idx="50">
                  <c:v>2005</c:v>
                </c:pt>
                <c:pt idx="51">
                  <c:v>2006</c:v>
                </c:pt>
                <c:pt idx="52">
                  <c:v>2007</c:v>
                </c:pt>
                <c:pt idx="53">
                  <c:v>2008</c:v>
                </c:pt>
                <c:pt idx="54">
                  <c:v>2009</c:v>
                </c:pt>
                <c:pt idx="55">
                  <c:v>2010</c:v>
                </c:pt>
                <c:pt idx="56">
                  <c:v>2011</c:v>
                </c:pt>
                <c:pt idx="57">
                  <c:v>2012</c:v>
                </c:pt>
                <c:pt idx="58">
                  <c:v>2013</c:v>
                </c:pt>
                <c:pt idx="59">
                  <c:v>2014</c:v>
                </c:pt>
                <c:pt idx="60">
                  <c:v>2015</c:v>
                </c:pt>
                <c:pt idx="61">
                  <c:v>2016</c:v>
                </c:pt>
                <c:pt idx="62">
                  <c:v>2017</c:v>
                </c:pt>
                <c:pt idx="63">
                  <c:v>2018</c:v>
                </c:pt>
              </c:numCache>
            </c:numRef>
          </c:cat>
          <c:val>
            <c:numRef>
              <c:f>safety2!$B$2:$B$65</c:f>
              <c:numCache>
                <c:formatCode>General</c:formatCode>
                <c:ptCount val="64"/>
                <c:pt idx="0">
                  <c:v>0</c:v>
                </c:pt>
                <c:pt idx="1">
                  <c:v>0</c:v>
                </c:pt>
                <c:pt idx="2">
                  <c:v>2</c:v>
                </c:pt>
                <c:pt idx="3">
                  <c:v>6</c:v>
                </c:pt>
                <c:pt idx="4">
                  <c:v>8</c:v>
                </c:pt>
                <c:pt idx="5">
                  <c:v>8</c:v>
                </c:pt>
                <c:pt idx="6">
                  <c:v>8</c:v>
                </c:pt>
                <c:pt idx="7">
                  <c:v>10</c:v>
                </c:pt>
                <c:pt idx="8">
                  <c:v>18</c:v>
                </c:pt>
                <c:pt idx="9">
                  <c:v>19</c:v>
                </c:pt>
                <c:pt idx="10">
                  <c:v>21</c:v>
                </c:pt>
                <c:pt idx="11">
                  <c:v>25</c:v>
                </c:pt>
                <c:pt idx="12">
                  <c:v>25</c:v>
                </c:pt>
                <c:pt idx="13">
                  <c:v>25</c:v>
                </c:pt>
                <c:pt idx="14">
                  <c:v>25</c:v>
                </c:pt>
                <c:pt idx="15">
                  <c:v>25</c:v>
                </c:pt>
                <c:pt idx="16">
                  <c:v>27</c:v>
                </c:pt>
                <c:pt idx="17">
                  <c:v>27</c:v>
                </c:pt>
                <c:pt idx="18">
                  <c:v>27</c:v>
                </c:pt>
                <c:pt idx="19">
                  <c:v>29</c:v>
                </c:pt>
                <c:pt idx="20">
                  <c:v>29</c:v>
                </c:pt>
                <c:pt idx="21">
                  <c:v>29</c:v>
                </c:pt>
                <c:pt idx="22">
                  <c:v>29</c:v>
                </c:pt>
                <c:pt idx="23">
                  <c:v>29</c:v>
                </c:pt>
                <c:pt idx="24">
                  <c:v>29</c:v>
                </c:pt>
                <c:pt idx="25">
                  <c:v>30</c:v>
                </c:pt>
                <c:pt idx="26">
                  <c:v>30</c:v>
                </c:pt>
                <c:pt idx="27">
                  <c:v>32</c:v>
                </c:pt>
                <c:pt idx="28">
                  <c:v>32</c:v>
                </c:pt>
                <c:pt idx="29">
                  <c:v>33</c:v>
                </c:pt>
                <c:pt idx="30">
                  <c:v>33</c:v>
                </c:pt>
                <c:pt idx="31">
                  <c:v>34</c:v>
                </c:pt>
                <c:pt idx="32">
                  <c:v>35</c:v>
                </c:pt>
                <c:pt idx="33">
                  <c:v>36</c:v>
                </c:pt>
                <c:pt idx="34">
                  <c:v>36</c:v>
                </c:pt>
                <c:pt idx="35">
                  <c:v>37</c:v>
                </c:pt>
                <c:pt idx="36">
                  <c:v>37</c:v>
                </c:pt>
                <c:pt idx="37">
                  <c:v>38</c:v>
                </c:pt>
                <c:pt idx="38">
                  <c:v>38</c:v>
                </c:pt>
                <c:pt idx="39">
                  <c:v>38</c:v>
                </c:pt>
                <c:pt idx="40">
                  <c:v>39</c:v>
                </c:pt>
                <c:pt idx="41">
                  <c:v>42</c:v>
                </c:pt>
                <c:pt idx="42">
                  <c:v>42</c:v>
                </c:pt>
                <c:pt idx="43">
                  <c:v>42</c:v>
                </c:pt>
                <c:pt idx="44">
                  <c:v>42</c:v>
                </c:pt>
                <c:pt idx="45">
                  <c:v>42</c:v>
                </c:pt>
                <c:pt idx="46">
                  <c:v>42</c:v>
                </c:pt>
                <c:pt idx="47">
                  <c:v>42</c:v>
                </c:pt>
                <c:pt idx="48">
                  <c:v>42</c:v>
                </c:pt>
                <c:pt idx="49">
                  <c:v>42</c:v>
                </c:pt>
                <c:pt idx="50">
                  <c:v>42</c:v>
                </c:pt>
                <c:pt idx="51">
                  <c:v>42</c:v>
                </c:pt>
                <c:pt idx="52">
                  <c:v>42</c:v>
                </c:pt>
                <c:pt idx="53">
                  <c:v>42</c:v>
                </c:pt>
                <c:pt idx="54">
                  <c:v>42</c:v>
                </c:pt>
                <c:pt idx="55">
                  <c:v>42</c:v>
                </c:pt>
                <c:pt idx="56">
                  <c:v>42</c:v>
                </c:pt>
                <c:pt idx="57">
                  <c:v>42</c:v>
                </c:pt>
                <c:pt idx="58">
                  <c:v>42</c:v>
                </c:pt>
                <c:pt idx="59">
                  <c:v>42</c:v>
                </c:pt>
                <c:pt idx="60">
                  <c:v>42</c:v>
                </c:pt>
                <c:pt idx="61">
                  <c:v>42</c:v>
                </c:pt>
                <c:pt idx="62">
                  <c:v>42</c:v>
                </c:pt>
                <c:pt idx="63">
                  <c:v>43</c:v>
                </c:pt>
              </c:numCache>
            </c:numRef>
          </c:val>
          <c:extLst>
            <c:ext xmlns:c16="http://schemas.microsoft.com/office/drawing/2014/chart" uri="{C3380CC4-5D6E-409C-BE32-E72D297353CC}">
              <c16:uniqueId val="{00000000-3ED4-4725-9478-0DC1600B59A6}"/>
            </c:ext>
          </c:extLst>
        </c:ser>
        <c:ser>
          <c:idx val="1"/>
          <c:order val="1"/>
          <c:tx>
            <c:strRef>
              <c:f>safety2!$C$1</c:f>
              <c:strCache>
                <c:ptCount val="1"/>
                <c:pt idx="0">
                  <c:v>ESCAP</c:v>
                </c:pt>
              </c:strCache>
            </c:strRef>
          </c:tx>
          <c:spPr>
            <a:solidFill>
              <a:schemeClr val="accent2"/>
            </a:solidFill>
            <a:ln>
              <a:noFill/>
            </a:ln>
            <a:effectLst/>
          </c:spPr>
          <c:cat>
            <c:numRef>
              <c:f>safety2!$A$2:$A$65</c:f>
              <c:numCache>
                <c:formatCode>General</c:formatCode>
                <c:ptCount val="64"/>
                <c:pt idx="0">
                  <c:v>1955</c:v>
                </c:pt>
                <c:pt idx="1">
                  <c:v>1956</c:v>
                </c:pt>
                <c:pt idx="2">
                  <c:v>1957</c:v>
                </c:pt>
                <c:pt idx="3">
                  <c:v>1958</c:v>
                </c:pt>
                <c:pt idx="4">
                  <c:v>1959</c:v>
                </c:pt>
                <c:pt idx="5">
                  <c:v>1960</c:v>
                </c:pt>
                <c:pt idx="6">
                  <c:v>1961</c:v>
                </c:pt>
                <c:pt idx="7">
                  <c:v>1962</c:v>
                </c:pt>
                <c:pt idx="8">
                  <c:v>1963</c:v>
                </c:pt>
                <c:pt idx="9">
                  <c:v>1964</c:v>
                </c:pt>
                <c:pt idx="10">
                  <c:v>1965</c:v>
                </c:pt>
                <c:pt idx="11">
                  <c:v>1966</c:v>
                </c:pt>
                <c:pt idx="12">
                  <c:v>1967</c:v>
                </c:pt>
                <c:pt idx="13">
                  <c:v>1968</c:v>
                </c:pt>
                <c:pt idx="14">
                  <c:v>1969</c:v>
                </c:pt>
                <c:pt idx="15">
                  <c:v>1970</c:v>
                </c:pt>
                <c:pt idx="16">
                  <c:v>1971</c:v>
                </c:pt>
                <c:pt idx="17">
                  <c:v>1972</c:v>
                </c:pt>
                <c:pt idx="18">
                  <c:v>1973</c:v>
                </c:pt>
                <c:pt idx="19">
                  <c:v>1974</c:v>
                </c:pt>
                <c:pt idx="20">
                  <c:v>1975</c:v>
                </c:pt>
                <c:pt idx="21">
                  <c:v>1976</c:v>
                </c:pt>
                <c:pt idx="22">
                  <c:v>1977</c:v>
                </c:pt>
                <c:pt idx="23">
                  <c:v>1978</c:v>
                </c:pt>
                <c:pt idx="24">
                  <c:v>1979</c:v>
                </c:pt>
                <c:pt idx="25">
                  <c:v>1980</c:v>
                </c:pt>
                <c:pt idx="26">
                  <c:v>1981</c:v>
                </c:pt>
                <c:pt idx="27">
                  <c:v>1982</c:v>
                </c:pt>
                <c:pt idx="28">
                  <c:v>1983</c:v>
                </c:pt>
                <c:pt idx="29">
                  <c:v>1984</c:v>
                </c:pt>
                <c:pt idx="30">
                  <c:v>1985</c:v>
                </c:pt>
                <c:pt idx="31">
                  <c:v>1986</c:v>
                </c:pt>
                <c:pt idx="32">
                  <c:v>1987</c:v>
                </c:pt>
                <c:pt idx="33">
                  <c:v>1988</c:v>
                </c:pt>
                <c:pt idx="34">
                  <c:v>1989</c:v>
                </c:pt>
                <c:pt idx="35">
                  <c:v>1990</c:v>
                </c:pt>
                <c:pt idx="36">
                  <c:v>1991</c:v>
                </c:pt>
                <c:pt idx="37">
                  <c:v>1992</c:v>
                </c:pt>
                <c:pt idx="38">
                  <c:v>1993</c:v>
                </c:pt>
                <c:pt idx="39">
                  <c:v>1994</c:v>
                </c:pt>
                <c:pt idx="40">
                  <c:v>1995</c:v>
                </c:pt>
                <c:pt idx="41">
                  <c:v>1996</c:v>
                </c:pt>
                <c:pt idx="42">
                  <c:v>1997</c:v>
                </c:pt>
                <c:pt idx="43">
                  <c:v>1998</c:v>
                </c:pt>
                <c:pt idx="44">
                  <c:v>1999</c:v>
                </c:pt>
                <c:pt idx="45">
                  <c:v>2000</c:v>
                </c:pt>
                <c:pt idx="46">
                  <c:v>2001</c:v>
                </c:pt>
                <c:pt idx="47">
                  <c:v>2002</c:v>
                </c:pt>
                <c:pt idx="48">
                  <c:v>2003</c:v>
                </c:pt>
                <c:pt idx="49">
                  <c:v>2004</c:v>
                </c:pt>
                <c:pt idx="50">
                  <c:v>2005</c:v>
                </c:pt>
                <c:pt idx="51">
                  <c:v>2006</c:v>
                </c:pt>
                <c:pt idx="52">
                  <c:v>2007</c:v>
                </c:pt>
                <c:pt idx="53">
                  <c:v>2008</c:v>
                </c:pt>
                <c:pt idx="54">
                  <c:v>2009</c:v>
                </c:pt>
                <c:pt idx="55">
                  <c:v>2010</c:v>
                </c:pt>
                <c:pt idx="56">
                  <c:v>2011</c:v>
                </c:pt>
                <c:pt idx="57">
                  <c:v>2012</c:v>
                </c:pt>
                <c:pt idx="58">
                  <c:v>2013</c:v>
                </c:pt>
                <c:pt idx="59">
                  <c:v>2014</c:v>
                </c:pt>
                <c:pt idx="60">
                  <c:v>2015</c:v>
                </c:pt>
                <c:pt idx="61">
                  <c:v>2016</c:v>
                </c:pt>
                <c:pt idx="62">
                  <c:v>2017</c:v>
                </c:pt>
                <c:pt idx="63">
                  <c:v>2018</c:v>
                </c:pt>
              </c:numCache>
            </c:numRef>
          </c:cat>
          <c:val>
            <c:numRef>
              <c:f>safety2!$C$2:$C$65</c:f>
              <c:numCache>
                <c:formatCode>General</c:formatCode>
                <c:ptCount val="64"/>
                <c:pt idx="0">
                  <c:v>2</c:v>
                </c:pt>
                <c:pt idx="1">
                  <c:v>2</c:v>
                </c:pt>
                <c:pt idx="2">
                  <c:v>3</c:v>
                </c:pt>
                <c:pt idx="3">
                  <c:v>6</c:v>
                </c:pt>
                <c:pt idx="4">
                  <c:v>8</c:v>
                </c:pt>
                <c:pt idx="5">
                  <c:v>12</c:v>
                </c:pt>
                <c:pt idx="6">
                  <c:v>12</c:v>
                </c:pt>
                <c:pt idx="7">
                  <c:v>14</c:v>
                </c:pt>
                <c:pt idx="8">
                  <c:v>14</c:v>
                </c:pt>
                <c:pt idx="9">
                  <c:v>15</c:v>
                </c:pt>
                <c:pt idx="10">
                  <c:v>15</c:v>
                </c:pt>
                <c:pt idx="11">
                  <c:v>18</c:v>
                </c:pt>
                <c:pt idx="12">
                  <c:v>21</c:v>
                </c:pt>
                <c:pt idx="13">
                  <c:v>23</c:v>
                </c:pt>
                <c:pt idx="14">
                  <c:v>24</c:v>
                </c:pt>
                <c:pt idx="15">
                  <c:v>24</c:v>
                </c:pt>
                <c:pt idx="16">
                  <c:v>28</c:v>
                </c:pt>
                <c:pt idx="17">
                  <c:v>30</c:v>
                </c:pt>
                <c:pt idx="18">
                  <c:v>30</c:v>
                </c:pt>
                <c:pt idx="19">
                  <c:v>31</c:v>
                </c:pt>
                <c:pt idx="20">
                  <c:v>32</c:v>
                </c:pt>
                <c:pt idx="21">
                  <c:v>32</c:v>
                </c:pt>
                <c:pt idx="22">
                  <c:v>35</c:v>
                </c:pt>
                <c:pt idx="23">
                  <c:v>35</c:v>
                </c:pt>
                <c:pt idx="24">
                  <c:v>35</c:v>
                </c:pt>
                <c:pt idx="25">
                  <c:v>35</c:v>
                </c:pt>
                <c:pt idx="26">
                  <c:v>39</c:v>
                </c:pt>
                <c:pt idx="27">
                  <c:v>41</c:v>
                </c:pt>
                <c:pt idx="28">
                  <c:v>41</c:v>
                </c:pt>
                <c:pt idx="29">
                  <c:v>43</c:v>
                </c:pt>
                <c:pt idx="30">
                  <c:v>43</c:v>
                </c:pt>
                <c:pt idx="31">
                  <c:v>44</c:v>
                </c:pt>
                <c:pt idx="32">
                  <c:v>44</c:v>
                </c:pt>
                <c:pt idx="33">
                  <c:v>44</c:v>
                </c:pt>
                <c:pt idx="34">
                  <c:v>46</c:v>
                </c:pt>
                <c:pt idx="35">
                  <c:v>46</c:v>
                </c:pt>
                <c:pt idx="36">
                  <c:v>46</c:v>
                </c:pt>
                <c:pt idx="37">
                  <c:v>46</c:v>
                </c:pt>
                <c:pt idx="38">
                  <c:v>46</c:v>
                </c:pt>
                <c:pt idx="39">
                  <c:v>46</c:v>
                </c:pt>
                <c:pt idx="40">
                  <c:v>48</c:v>
                </c:pt>
                <c:pt idx="41">
                  <c:v>54</c:v>
                </c:pt>
                <c:pt idx="42">
                  <c:v>54</c:v>
                </c:pt>
                <c:pt idx="43">
                  <c:v>57</c:v>
                </c:pt>
                <c:pt idx="44">
                  <c:v>58</c:v>
                </c:pt>
                <c:pt idx="45">
                  <c:v>60</c:v>
                </c:pt>
                <c:pt idx="46">
                  <c:v>60</c:v>
                </c:pt>
                <c:pt idx="47">
                  <c:v>61</c:v>
                </c:pt>
                <c:pt idx="48">
                  <c:v>61</c:v>
                </c:pt>
                <c:pt idx="49">
                  <c:v>61</c:v>
                </c:pt>
                <c:pt idx="50">
                  <c:v>64</c:v>
                </c:pt>
                <c:pt idx="51">
                  <c:v>64</c:v>
                </c:pt>
                <c:pt idx="52">
                  <c:v>66</c:v>
                </c:pt>
                <c:pt idx="53">
                  <c:v>67</c:v>
                </c:pt>
                <c:pt idx="54">
                  <c:v>67</c:v>
                </c:pt>
                <c:pt idx="55">
                  <c:v>68</c:v>
                </c:pt>
                <c:pt idx="56">
                  <c:v>69</c:v>
                </c:pt>
                <c:pt idx="57">
                  <c:v>69</c:v>
                </c:pt>
                <c:pt idx="58">
                  <c:v>69</c:v>
                </c:pt>
                <c:pt idx="59">
                  <c:v>69</c:v>
                </c:pt>
                <c:pt idx="60">
                  <c:v>70</c:v>
                </c:pt>
                <c:pt idx="61">
                  <c:v>72</c:v>
                </c:pt>
                <c:pt idx="62">
                  <c:v>73</c:v>
                </c:pt>
                <c:pt idx="63">
                  <c:v>73</c:v>
                </c:pt>
              </c:numCache>
            </c:numRef>
          </c:val>
          <c:extLst>
            <c:ext xmlns:c16="http://schemas.microsoft.com/office/drawing/2014/chart" uri="{C3380CC4-5D6E-409C-BE32-E72D297353CC}">
              <c16:uniqueId val="{00000001-3ED4-4725-9478-0DC1600B59A6}"/>
            </c:ext>
          </c:extLst>
        </c:ser>
        <c:ser>
          <c:idx val="2"/>
          <c:order val="2"/>
          <c:tx>
            <c:strRef>
              <c:f>safety2!$D$1</c:f>
              <c:strCache>
                <c:ptCount val="1"/>
                <c:pt idx="0">
                  <c:v>ESCWA</c:v>
                </c:pt>
              </c:strCache>
            </c:strRef>
          </c:tx>
          <c:spPr>
            <a:solidFill>
              <a:schemeClr val="accent3"/>
            </a:solidFill>
            <a:ln>
              <a:noFill/>
            </a:ln>
            <a:effectLst/>
          </c:spPr>
          <c:cat>
            <c:numRef>
              <c:f>safety2!$A$2:$A$65</c:f>
              <c:numCache>
                <c:formatCode>General</c:formatCode>
                <c:ptCount val="64"/>
                <c:pt idx="0">
                  <c:v>1955</c:v>
                </c:pt>
                <c:pt idx="1">
                  <c:v>1956</c:v>
                </c:pt>
                <c:pt idx="2">
                  <c:v>1957</c:v>
                </c:pt>
                <c:pt idx="3">
                  <c:v>1958</c:v>
                </c:pt>
                <c:pt idx="4">
                  <c:v>1959</c:v>
                </c:pt>
                <c:pt idx="5">
                  <c:v>1960</c:v>
                </c:pt>
                <c:pt idx="6">
                  <c:v>1961</c:v>
                </c:pt>
                <c:pt idx="7">
                  <c:v>1962</c:v>
                </c:pt>
                <c:pt idx="8">
                  <c:v>1963</c:v>
                </c:pt>
                <c:pt idx="9">
                  <c:v>1964</c:v>
                </c:pt>
                <c:pt idx="10">
                  <c:v>1965</c:v>
                </c:pt>
                <c:pt idx="11">
                  <c:v>1966</c:v>
                </c:pt>
                <c:pt idx="12">
                  <c:v>1967</c:v>
                </c:pt>
                <c:pt idx="13">
                  <c:v>1968</c:v>
                </c:pt>
                <c:pt idx="14">
                  <c:v>1969</c:v>
                </c:pt>
                <c:pt idx="15">
                  <c:v>1970</c:v>
                </c:pt>
                <c:pt idx="16">
                  <c:v>1971</c:v>
                </c:pt>
                <c:pt idx="17">
                  <c:v>1972</c:v>
                </c:pt>
                <c:pt idx="18">
                  <c:v>1973</c:v>
                </c:pt>
                <c:pt idx="19">
                  <c:v>1974</c:v>
                </c:pt>
                <c:pt idx="20">
                  <c:v>1975</c:v>
                </c:pt>
                <c:pt idx="21">
                  <c:v>1976</c:v>
                </c:pt>
                <c:pt idx="22">
                  <c:v>1977</c:v>
                </c:pt>
                <c:pt idx="23">
                  <c:v>1978</c:v>
                </c:pt>
                <c:pt idx="24">
                  <c:v>1979</c:v>
                </c:pt>
                <c:pt idx="25">
                  <c:v>1980</c:v>
                </c:pt>
                <c:pt idx="26">
                  <c:v>1981</c:v>
                </c:pt>
                <c:pt idx="27">
                  <c:v>1982</c:v>
                </c:pt>
                <c:pt idx="28">
                  <c:v>1983</c:v>
                </c:pt>
                <c:pt idx="29">
                  <c:v>1984</c:v>
                </c:pt>
                <c:pt idx="30">
                  <c:v>1985</c:v>
                </c:pt>
                <c:pt idx="31">
                  <c:v>1986</c:v>
                </c:pt>
                <c:pt idx="32">
                  <c:v>1987</c:v>
                </c:pt>
                <c:pt idx="33">
                  <c:v>1988</c:v>
                </c:pt>
                <c:pt idx="34">
                  <c:v>1989</c:v>
                </c:pt>
                <c:pt idx="35">
                  <c:v>1990</c:v>
                </c:pt>
                <c:pt idx="36">
                  <c:v>1991</c:v>
                </c:pt>
                <c:pt idx="37">
                  <c:v>1992</c:v>
                </c:pt>
                <c:pt idx="38">
                  <c:v>1993</c:v>
                </c:pt>
                <c:pt idx="39">
                  <c:v>1994</c:v>
                </c:pt>
                <c:pt idx="40">
                  <c:v>1995</c:v>
                </c:pt>
                <c:pt idx="41">
                  <c:v>1996</c:v>
                </c:pt>
                <c:pt idx="42">
                  <c:v>1997</c:v>
                </c:pt>
                <c:pt idx="43">
                  <c:v>1998</c:v>
                </c:pt>
                <c:pt idx="44">
                  <c:v>1999</c:v>
                </c:pt>
                <c:pt idx="45">
                  <c:v>2000</c:v>
                </c:pt>
                <c:pt idx="46">
                  <c:v>2001</c:v>
                </c:pt>
                <c:pt idx="47">
                  <c:v>2002</c:v>
                </c:pt>
                <c:pt idx="48">
                  <c:v>2003</c:v>
                </c:pt>
                <c:pt idx="49">
                  <c:v>2004</c:v>
                </c:pt>
                <c:pt idx="50">
                  <c:v>2005</c:v>
                </c:pt>
                <c:pt idx="51">
                  <c:v>2006</c:v>
                </c:pt>
                <c:pt idx="52">
                  <c:v>2007</c:v>
                </c:pt>
                <c:pt idx="53">
                  <c:v>2008</c:v>
                </c:pt>
                <c:pt idx="54">
                  <c:v>2009</c:v>
                </c:pt>
                <c:pt idx="55">
                  <c:v>2010</c:v>
                </c:pt>
                <c:pt idx="56">
                  <c:v>2011</c:v>
                </c:pt>
                <c:pt idx="57">
                  <c:v>2012</c:v>
                </c:pt>
                <c:pt idx="58">
                  <c:v>2013</c:v>
                </c:pt>
                <c:pt idx="59">
                  <c:v>2014</c:v>
                </c:pt>
                <c:pt idx="60">
                  <c:v>2015</c:v>
                </c:pt>
                <c:pt idx="61">
                  <c:v>2016</c:v>
                </c:pt>
                <c:pt idx="62">
                  <c:v>2017</c:v>
                </c:pt>
                <c:pt idx="63">
                  <c:v>2018</c:v>
                </c:pt>
              </c:numCache>
            </c:numRef>
          </c:cat>
          <c:val>
            <c:numRef>
              <c:f>safety2!$D$2:$D$65</c:f>
              <c:numCache>
                <c:formatCode>General</c:formatCode>
                <c:ptCount val="64"/>
                <c:pt idx="0">
                  <c:v>0</c:v>
                </c:pt>
                <c:pt idx="1">
                  <c:v>0</c:v>
                </c:pt>
                <c:pt idx="2">
                  <c:v>6</c:v>
                </c:pt>
                <c:pt idx="3">
                  <c:v>6</c:v>
                </c:pt>
                <c:pt idx="4">
                  <c:v>8</c:v>
                </c:pt>
                <c:pt idx="5">
                  <c:v>8</c:v>
                </c:pt>
                <c:pt idx="6">
                  <c:v>8</c:v>
                </c:pt>
                <c:pt idx="7">
                  <c:v>8</c:v>
                </c:pt>
                <c:pt idx="8">
                  <c:v>8</c:v>
                </c:pt>
                <c:pt idx="9">
                  <c:v>8</c:v>
                </c:pt>
                <c:pt idx="10">
                  <c:v>8</c:v>
                </c:pt>
                <c:pt idx="11">
                  <c:v>8</c:v>
                </c:pt>
                <c:pt idx="12">
                  <c:v>8</c:v>
                </c:pt>
                <c:pt idx="13">
                  <c:v>8</c:v>
                </c:pt>
                <c:pt idx="14">
                  <c:v>8</c:v>
                </c:pt>
                <c:pt idx="15">
                  <c:v>8</c:v>
                </c:pt>
                <c:pt idx="16">
                  <c:v>9</c:v>
                </c:pt>
                <c:pt idx="17">
                  <c:v>9</c:v>
                </c:pt>
                <c:pt idx="18">
                  <c:v>10</c:v>
                </c:pt>
                <c:pt idx="19">
                  <c:v>12</c:v>
                </c:pt>
                <c:pt idx="20">
                  <c:v>13</c:v>
                </c:pt>
                <c:pt idx="21">
                  <c:v>13</c:v>
                </c:pt>
                <c:pt idx="22">
                  <c:v>15</c:v>
                </c:pt>
                <c:pt idx="23">
                  <c:v>15</c:v>
                </c:pt>
                <c:pt idx="24">
                  <c:v>15</c:v>
                </c:pt>
                <c:pt idx="25">
                  <c:v>15</c:v>
                </c:pt>
                <c:pt idx="26">
                  <c:v>15</c:v>
                </c:pt>
                <c:pt idx="27">
                  <c:v>15</c:v>
                </c:pt>
                <c:pt idx="28">
                  <c:v>17</c:v>
                </c:pt>
                <c:pt idx="29">
                  <c:v>17</c:v>
                </c:pt>
                <c:pt idx="30">
                  <c:v>18</c:v>
                </c:pt>
                <c:pt idx="31">
                  <c:v>18</c:v>
                </c:pt>
                <c:pt idx="32">
                  <c:v>18</c:v>
                </c:pt>
                <c:pt idx="33">
                  <c:v>18</c:v>
                </c:pt>
                <c:pt idx="34">
                  <c:v>18</c:v>
                </c:pt>
                <c:pt idx="35">
                  <c:v>19</c:v>
                </c:pt>
                <c:pt idx="36">
                  <c:v>19</c:v>
                </c:pt>
                <c:pt idx="37">
                  <c:v>19</c:v>
                </c:pt>
                <c:pt idx="38">
                  <c:v>19</c:v>
                </c:pt>
                <c:pt idx="39">
                  <c:v>19</c:v>
                </c:pt>
                <c:pt idx="40">
                  <c:v>19</c:v>
                </c:pt>
                <c:pt idx="41">
                  <c:v>19</c:v>
                </c:pt>
                <c:pt idx="42">
                  <c:v>20</c:v>
                </c:pt>
                <c:pt idx="43">
                  <c:v>20</c:v>
                </c:pt>
                <c:pt idx="44">
                  <c:v>21</c:v>
                </c:pt>
                <c:pt idx="45">
                  <c:v>21</c:v>
                </c:pt>
                <c:pt idx="46">
                  <c:v>21</c:v>
                </c:pt>
                <c:pt idx="47">
                  <c:v>21</c:v>
                </c:pt>
                <c:pt idx="48">
                  <c:v>24</c:v>
                </c:pt>
                <c:pt idx="49">
                  <c:v>24</c:v>
                </c:pt>
                <c:pt idx="50">
                  <c:v>24</c:v>
                </c:pt>
                <c:pt idx="51">
                  <c:v>24</c:v>
                </c:pt>
                <c:pt idx="52">
                  <c:v>26</c:v>
                </c:pt>
                <c:pt idx="53">
                  <c:v>28</c:v>
                </c:pt>
                <c:pt idx="54">
                  <c:v>30</c:v>
                </c:pt>
                <c:pt idx="55">
                  <c:v>30</c:v>
                </c:pt>
                <c:pt idx="56">
                  <c:v>30</c:v>
                </c:pt>
                <c:pt idx="57">
                  <c:v>31</c:v>
                </c:pt>
                <c:pt idx="58">
                  <c:v>32</c:v>
                </c:pt>
                <c:pt idx="59">
                  <c:v>32</c:v>
                </c:pt>
                <c:pt idx="60">
                  <c:v>32</c:v>
                </c:pt>
                <c:pt idx="61">
                  <c:v>32</c:v>
                </c:pt>
                <c:pt idx="62">
                  <c:v>33</c:v>
                </c:pt>
                <c:pt idx="63">
                  <c:v>36</c:v>
                </c:pt>
              </c:numCache>
            </c:numRef>
          </c:val>
          <c:extLst>
            <c:ext xmlns:c16="http://schemas.microsoft.com/office/drawing/2014/chart" uri="{C3380CC4-5D6E-409C-BE32-E72D297353CC}">
              <c16:uniqueId val="{00000002-3ED4-4725-9478-0DC1600B59A6}"/>
            </c:ext>
          </c:extLst>
        </c:ser>
        <c:ser>
          <c:idx val="3"/>
          <c:order val="3"/>
          <c:tx>
            <c:strRef>
              <c:f>safety2!$E$1</c:f>
              <c:strCache>
                <c:ptCount val="1"/>
                <c:pt idx="0">
                  <c:v>ECA</c:v>
                </c:pt>
              </c:strCache>
            </c:strRef>
          </c:tx>
          <c:spPr>
            <a:solidFill>
              <a:schemeClr val="accent4"/>
            </a:solidFill>
            <a:ln>
              <a:noFill/>
            </a:ln>
            <a:effectLst/>
          </c:spPr>
          <c:cat>
            <c:numRef>
              <c:f>safety2!$A$2:$A$65</c:f>
              <c:numCache>
                <c:formatCode>General</c:formatCode>
                <c:ptCount val="64"/>
                <c:pt idx="0">
                  <c:v>1955</c:v>
                </c:pt>
                <c:pt idx="1">
                  <c:v>1956</c:v>
                </c:pt>
                <c:pt idx="2">
                  <c:v>1957</c:v>
                </c:pt>
                <c:pt idx="3">
                  <c:v>1958</c:v>
                </c:pt>
                <c:pt idx="4">
                  <c:v>1959</c:v>
                </c:pt>
                <c:pt idx="5">
                  <c:v>1960</c:v>
                </c:pt>
                <c:pt idx="6">
                  <c:v>1961</c:v>
                </c:pt>
                <c:pt idx="7">
                  <c:v>1962</c:v>
                </c:pt>
                <c:pt idx="8">
                  <c:v>1963</c:v>
                </c:pt>
                <c:pt idx="9">
                  <c:v>1964</c:v>
                </c:pt>
                <c:pt idx="10">
                  <c:v>1965</c:v>
                </c:pt>
                <c:pt idx="11">
                  <c:v>1966</c:v>
                </c:pt>
                <c:pt idx="12">
                  <c:v>1967</c:v>
                </c:pt>
                <c:pt idx="13">
                  <c:v>1968</c:v>
                </c:pt>
                <c:pt idx="14">
                  <c:v>1969</c:v>
                </c:pt>
                <c:pt idx="15">
                  <c:v>1970</c:v>
                </c:pt>
                <c:pt idx="16">
                  <c:v>1971</c:v>
                </c:pt>
                <c:pt idx="17">
                  <c:v>1972</c:v>
                </c:pt>
                <c:pt idx="18">
                  <c:v>1973</c:v>
                </c:pt>
                <c:pt idx="19">
                  <c:v>1974</c:v>
                </c:pt>
                <c:pt idx="20">
                  <c:v>1975</c:v>
                </c:pt>
                <c:pt idx="21">
                  <c:v>1976</c:v>
                </c:pt>
                <c:pt idx="22">
                  <c:v>1977</c:v>
                </c:pt>
                <c:pt idx="23">
                  <c:v>1978</c:v>
                </c:pt>
                <c:pt idx="24">
                  <c:v>1979</c:v>
                </c:pt>
                <c:pt idx="25">
                  <c:v>1980</c:v>
                </c:pt>
                <c:pt idx="26">
                  <c:v>1981</c:v>
                </c:pt>
                <c:pt idx="27">
                  <c:v>1982</c:v>
                </c:pt>
                <c:pt idx="28">
                  <c:v>1983</c:v>
                </c:pt>
                <c:pt idx="29">
                  <c:v>1984</c:v>
                </c:pt>
                <c:pt idx="30">
                  <c:v>1985</c:v>
                </c:pt>
                <c:pt idx="31">
                  <c:v>1986</c:v>
                </c:pt>
                <c:pt idx="32">
                  <c:v>1987</c:v>
                </c:pt>
                <c:pt idx="33">
                  <c:v>1988</c:v>
                </c:pt>
                <c:pt idx="34">
                  <c:v>1989</c:v>
                </c:pt>
                <c:pt idx="35">
                  <c:v>1990</c:v>
                </c:pt>
                <c:pt idx="36">
                  <c:v>1991</c:v>
                </c:pt>
                <c:pt idx="37">
                  <c:v>1992</c:v>
                </c:pt>
                <c:pt idx="38">
                  <c:v>1993</c:v>
                </c:pt>
                <c:pt idx="39">
                  <c:v>1994</c:v>
                </c:pt>
                <c:pt idx="40">
                  <c:v>1995</c:v>
                </c:pt>
                <c:pt idx="41">
                  <c:v>1996</c:v>
                </c:pt>
                <c:pt idx="42">
                  <c:v>1997</c:v>
                </c:pt>
                <c:pt idx="43">
                  <c:v>1998</c:v>
                </c:pt>
                <c:pt idx="44">
                  <c:v>1999</c:v>
                </c:pt>
                <c:pt idx="45">
                  <c:v>2000</c:v>
                </c:pt>
                <c:pt idx="46">
                  <c:v>2001</c:v>
                </c:pt>
                <c:pt idx="47">
                  <c:v>2002</c:v>
                </c:pt>
                <c:pt idx="48">
                  <c:v>2003</c:v>
                </c:pt>
                <c:pt idx="49">
                  <c:v>2004</c:v>
                </c:pt>
                <c:pt idx="50">
                  <c:v>2005</c:v>
                </c:pt>
                <c:pt idx="51">
                  <c:v>2006</c:v>
                </c:pt>
                <c:pt idx="52">
                  <c:v>2007</c:v>
                </c:pt>
                <c:pt idx="53">
                  <c:v>2008</c:v>
                </c:pt>
                <c:pt idx="54">
                  <c:v>2009</c:v>
                </c:pt>
                <c:pt idx="55">
                  <c:v>2010</c:v>
                </c:pt>
                <c:pt idx="56">
                  <c:v>2011</c:v>
                </c:pt>
                <c:pt idx="57">
                  <c:v>2012</c:v>
                </c:pt>
                <c:pt idx="58">
                  <c:v>2013</c:v>
                </c:pt>
                <c:pt idx="59">
                  <c:v>2014</c:v>
                </c:pt>
                <c:pt idx="60">
                  <c:v>2015</c:v>
                </c:pt>
                <c:pt idx="61">
                  <c:v>2016</c:v>
                </c:pt>
                <c:pt idx="62">
                  <c:v>2017</c:v>
                </c:pt>
                <c:pt idx="63">
                  <c:v>2018</c:v>
                </c:pt>
              </c:numCache>
            </c:numRef>
          </c:cat>
          <c:val>
            <c:numRef>
              <c:f>safety2!$E$2:$E$65</c:f>
              <c:numCache>
                <c:formatCode>General</c:formatCode>
                <c:ptCount val="64"/>
                <c:pt idx="0">
                  <c:v>0</c:v>
                </c:pt>
                <c:pt idx="1">
                  <c:v>0</c:v>
                </c:pt>
                <c:pt idx="2">
                  <c:v>4</c:v>
                </c:pt>
                <c:pt idx="3">
                  <c:v>6</c:v>
                </c:pt>
                <c:pt idx="4">
                  <c:v>6</c:v>
                </c:pt>
                <c:pt idx="5">
                  <c:v>6</c:v>
                </c:pt>
                <c:pt idx="6">
                  <c:v>8</c:v>
                </c:pt>
                <c:pt idx="7">
                  <c:v>16</c:v>
                </c:pt>
                <c:pt idx="8">
                  <c:v>22</c:v>
                </c:pt>
                <c:pt idx="9">
                  <c:v>25</c:v>
                </c:pt>
                <c:pt idx="10">
                  <c:v>27</c:v>
                </c:pt>
                <c:pt idx="11">
                  <c:v>27</c:v>
                </c:pt>
                <c:pt idx="12">
                  <c:v>27</c:v>
                </c:pt>
                <c:pt idx="13">
                  <c:v>27</c:v>
                </c:pt>
                <c:pt idx="14">
                  <c:v>32</c:v>
                </c:pt>
                <c:pt idx="15">
                  <c:v>32</c:v>
                </c:pt>
                <c:pt idx="16">
                  <c:v>32</c:v>
                </c:pt>
                <c:pt idx="17">
                  <c:v>34</c:v>
                </c:pt>
                <c:pt idx="18">
                  <c:v>34</c:v>
                </c:pt>
                <c:pt idx="19">
                  <c:v>38</c:v>
                </c:pt>
                <c:pt idx="20">
                  <c:v>39</c:v>
                </c:pt>
                <c:pt idx="21">
                  <c:v>39</c:v>
                </c:pt>
                <c:pt idx="22">
                  <c:v>40</c:v>
                </c:pt>
                <c:pt idx="23">
                  <c:v>41</c:v>
                </c:pt>
                <c:pt idx="24">
                  <c:v>41</c:v>
                </c:pt>
                <c:pt idx="25">
                  <c:v>41</c:v>
                </c:pt>
                <c:pt idx="26">
                  <c:v>41</c:v>
                </c:pt>
                <c:pt idx="27">
                  <c:v>41</c:v>
                </c:pt>
                <c:pt idx="28">
                  <c:v>42</c:v>
                </c:pt>
                <c:pt idx="29">
                  <c:v>42</c:v>
                </c:pt>
                <c:pt idx="30">
                  <c:v>42</c:v>
                </c:pt>
                <c:pt idx="31">
                  <c:v>42</c:v>
                </c:pt>
                <c:pt idx="32">
                  <c:v>43</c:v>
                </c:pt>
                <c:pt idx="33">
                  <c:v>44</c:v>
                </c:pt>
                <c:pt idx="34">
                  <c:v>45</c:v>
                </c:pt>
                <c:pt idx="35">
                  <c:v>46</c:v>
                </c:pt>
                <c:pt idx="36">
                  <c:v>46</c:v>
                </c:pt>
                <c:pt idx="37">
                  <c:v>46</c:v>
                </c:pt>
                <c:pt idx="38">
                  <c:v>46</c:v>
                </c:pt>
                <c:pt idx="39">
                  <c:v>46</c:v>
                </c:pt>
                <c:pt idx="40">
                  <c:v>46</c:v>
                </c:pt>
                <c:pt idx="41">
                  <c:v>46</c:v>
                </c:pt>
                <c:pt idx="42">
                  <c:v>46</c:v>
                </c:pt>
                <c:pt idx="43">
                  <c:v>47</c:v>
                </c:pt>
                <c:pt idx="44">
                  <c:v>47</c:v>
                </c:pt>
                <c:pt idx="45">
                  <c:v>47</c:v>
                </c:pt>
                <c:pt idx="46">
                  <c:v>47</c:v>
                </c:pt>
                <c:pt idx="47">
                  <c:v>47</c:v>
                </c:pt>
                <c:pt idx="48">
                  <c:v>48</c:v>
                </c:pt>
                <c:pt idx="49">
                  <c:v>48</c:v>
                </c:pt>
                <c:pt idx="50">
                  <c:v>54</c:v>
                </c:pt>
                <c:pt idx="51">
                  <c:v>54</c:v>
                </c:pt>
                <c:pt idx="52">
                  <c:v>54</c:v>
                </c:pt>
                <c:pt idx="53">
                  <c:v>54</c:v>
                </c:pt>
                <c:pt idx="54">
                  <c:v>56</c:v>
                </c:pt>
                <c:pt idx="55">
                  <c:v>56</c:v>
                </c:pt>
                <c:pt idx="56">
                  <c:v>56</c:v>
                </c:pt>
                <c:pt idx="57">
                  <c:v>57</c:v>
                </c:pt>
                <c:pt idx="58">
                  <c:v>57</c:v>
                </c:pt>
                <c:pt idx="59">
                  <c:v>57</c:v>
                </c:pt>
                <c:pt idx="60">
                  <c:v>57</c:v>
                </c:pt>
                <c:pt idx="61">
                  <c:v>57</c:v>
                </c:pt>
                <c:pt idx="62">
                  <c:v>57</c:v>
                </c:pt>
                <c:pt idx="63">
                  <c:v>57</c:v>
                </c:pt>
              </c:numCache>
            </c:numRef>
          </c:val>
          <c:extLst>
            <c:ext xmlns:c16="http://schemas.microsoft.com/office/drawing/2014/chart" uri="{C3380CC4-5D6E-409C-BE32-E72D297353CC}">
              <c16:uniqueId val="{00000003-3ED4-4725-9478-0DC1600B59A6}"/>
            </c:ext>
          </c:extLst>
        </c:ser>
        <c:dLbls>
          <c:showLegendKey val="0"/>
          <c:showVal val="0"/>
          <c:showCatName val="0"/>
          <c:showSerName val="0"/>
          <c:showPercent val="0"/>
          <c:showBubbleSize val="0"/>
        </c:dLbls>
        <c:axId val="583860232"/>
        <c:axId val="583860560"/>
      </c:areaChart>
      <c:catAx>
        <c:axId val="58386023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3860560"/>
        <c:crosses val="autoZero"/>
        <c:auto val="1"/>
        <c:lblAlgn val="ctr"/>
        <c:lblOffset val="100"/>
        <c:noMultiLvlLbl val="0"/>
      </c:catAx>
      <c:valAx>
        <c:axId val="583860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3860232"/>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3496A-B5ED-4D2D-917C-008F8D0D66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71301C-6FD6-4DC8-8394-54392A153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5DF65E-4DAF-4307-8F6A-90F8815543D2}">
  <ds:schemaRefs>
    <ds:schemaRef ds:uri="http://schemas.microsoft.com/sharepoint/v3/contenttype/forms"/>
  </ds:schemaRefs>
</ds:datastoreItem>
</file>

<file path=customXml/itemProps4.xml><?xml version="1.0" encoding="utf-8"?>
<ds:datastoreItem xmlns:ds="http://schemas.openxmlformats.org/officeDocument/2006/customXml" ds:itemID="{9DF4B095-D383-4F4C-A87F-F9C1A7974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0</TotalTime>
  <Pages>5</Pages>
  <Words>1853</Words>
  <Characters>10070</Characters>
  <Application>Microsoft Office Word</Application>
  <DocSecurity>0</DocSecurity>
  <Lines>174</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ECE/TRANS/2021/12</dc:title>
  <dc:subject>2017124</dc:subject>
  <dc:creator>Carole Marilley</dc:creator>
  <cp:keywords/>
  <dc:description/>
  <cp:lastModifiedBy>Don MARTIN</cp:lastModifiedBy>
  <cp:revision>2</cp:revision>
  <cp:lastPrinted>2017-01-24T14:00:00Z</cp:lastPrinted>
  <dcterms:created xsi:type="dcterms:W3CDTF">2020-12-18T15:16:00Z</dcterms:created>
  <dcterms:modified xsi:type="dcterms:W3CDTF">2020-12-18T15:16:00Z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6453400</vt:r8>
  </property>
</Properties>
</file>