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DB58B5" w:rsidTr="00495A7B">
        <w:trPr>
          <w:trHeight w:hRule="exact" w:val="851"/>
        </w:trPr>
        <w:tc>
          <w:tcPr>
            <w:tcW w:w="9639" w:type="dxa"/>
            <w:gridSpan w:val="2"/>
            <w:tcBorders>
              <w:bottom w:val="single" w:sz="4" w:space="0" w:color="auto"/>
            </w:tcBorders>
            <w:shd w:val="clear" w:color="auto" w:fill="auto"/>
            <w:vAlign w:val="bottom"/>
          </w:tcPr>
          <w:p w:rsidR="00421A10" w:rsidRPr="00DB58B5" w:rsidRDefault="000314C7" w:rsidP="00E22F3D">
            <w:pPr>
              <w:jc w:val="right"/>
            </w:pPr>
            <w:r w:rsidRPr="00495A7B">
              <w:rPr>
                <w:sz w:val="40"/>
              </w:rPr>
              <w:t>E</w:t>
            </w:r>
            <w:r>
              <w:t>/ECE/324/</w:t>
            </w:r>
            <w:r w:rsidR="000F17F6">
              <w:t>Rev.1/</w:t>
            </w:r>
            <w:r>
              <w:t>Add.</w:t>
            </w:r>
            <w:r w:rsidR="00F031F2">
              <w:t>47</w:t>
            </w:r>
            <w:r>
              <w:t>/Rev.</w:t>
            </w:r>
            <w:r w:rsidR="00F031F2">
              <w:t>1</w:t>
            </w:r>
            <w:r w:rsidR="00E22F3D">
              <w:t>1</w:t>
            </w:r>
            <w:r>
              <w:t>/Amend.</w:t>
            </w:r>
            <w:r w:rsidR="00E22F3D">
              <w:t>1</w:t>
            </w:r>
            <w:r>
              <w:t>−</w:t>
            </w:r>
            <w:r w:rsidRPr="00495A7B">
              <w:rPr>
                <w:sz w:val="40"/>
              </w:rPr>
              <w:t>E</w:t>
            </w:r>
            <w:r>
              <w:t>/ECE/TRANS/505</w:t>
            </w:r>
            <w:r w:rsidR="00F031F2">
              <w:t>/Rev.1/Add.47/Rev.1</w:t>
            </w:r>
            <w:r w:rsidR="00E22F3D">
              <w:t>1</w:t>
            </w:r>
            <w:r w:rsidR="00F031F2">
              <w:t>/Amend.</w:t>
            </w:r>
            <w:r w:rsidR="00E22F3D">
              <w:t>1</w:t>
            </w:r>
          </w:p>
        </w:tc>
      </w:tr>
      <w:tr w:rsidR="00421A10" w:rsidRPr="00DB58B5" w:rsidTr="00495A7B">
        <w:trPr>
          <w:trHeight w:hRule="exact" w:val="2835"/>
        </w:trPr>
        <w:tc>
          <w:tcPr>
            <w:tcW w:w="6804" w:type="dxa"/>
            <w:tcBorders>
              <w:top w:val="single" w:sz="4" w:space="0" w:color="auto"/>
              <w:bottom w:val="single" w:sz="12" w:space="0" w:color="auto"/>
            </w:tcBorders>
            <w:shd w:val="clear" w:color="auto" w:fill="auto"/>
          </w:tcPr>
          <w:p w:rsidR="00421A10" w:rsidRPr="00A574B7" w:rsidRDefault="00421A10" w:rsidP="00495A7B">
            <w:pPr>
              <w:spacing w:before="120" w:line="380" w:lineRule="exact"/>
            </w:pPr>
          </w:p>
        </w:tc>
        <w:tc>
          <w:tcPr>
            <w:tcW w:w="2835" w:type="dxa"/>
            <w:tcBorders>
              <w:top w:val="single" w:sz="4" w:space="0" w:color="auto"/>
              <w:bottom w:val="single" w:sz="12" w:space="0" w:color="auto"/>
            </w:tcBorders>
            <w:shd w:val="clear" w:color="auto" w:fill="auto"/>
          </w:tcPr>
          <w:p w:rsidR="00421A10" w:rsidRDefault="00421A10" w:rsidP="00495A7B">
            <w:pPr>
              <w:spacing w:before="480" w:line="240" w:lineRule="exact"/>
            </w:pPr>
          </w:p>
          <w:p w:rsidR="00522E73" w:rsidRPr="00DB58B5" w:rsidRDefault="00F14F92" w:rsidP="00495A7B">
            <w:pPr>
              <w:spacing w:before="480" w:line="240" w:lineRule="exact"/>
            </w:pPr>
            <w:r>
              <w:t>22</w:t>
            </w:r>
            <w:bookmarkStart w:id="0" w:name="_GoBack"/>
            <w:bookmarkEnd w:id="0"/>
            <w:r w:rsidR="00522E73">
              <w:t xml:space="preserve"> juin 2015</w:t>
            </w:r>
          </w:p>
        </w:tc>
      </w:tr>
    </w:tbl>
    <w:p w:rsidR="00421A10" w:rsidRPr="006549FF" w:rsidRDefault="0029791D" w:rsidP="00242268">
      <w:pPr>
        <w:pStyle w:val="HChG"/>
        <w:spacing w:before="320" w:after="220" w:line="260" w:lineRule="exact"/>
      </w:pPr>
      <w:r>
        <w:tab/>
      </w:r>
      <w:r>
        <w:tab/>
      </w:r>
      <w:r w:rsidR="00421A10" w:rsidRPr="006549FF">
        <w:t>Accord</w:t>
      </w:r>
    </w:p>
    <w:p w:rsidR="00421A10" w:rsidRPr="00583D68" w:rsidRDefault="0029791D" w:rsidP="00242268">
      <w:pPr>
        <w:pStyle w:val="H1G"/>
        <w:spacing w:before="340" w:after="220" w:line="260" w:lineRule="exact"/>
      </w:pPr>
      <w:r>
        <w:tab/>
      </w:r>
      <w:r>
        <w:tab/>
      </w:r>
      <w:r w:rsidR="00421A10" w:rsidRPr="00583D68">
        <w:t>Concernant l’adoption de prescriptions techniques uniformes applicables aux véhicules à roues, aux équipements et aux pièces susceptibles d’être montés ou utilisés sur un véhicule à roues</w:t>
      </w:r>
      <w:r w:rsidR="00421A10">
        <w:br/>
      </w:r>
      <w:r w:rsidR="00421A10" w:rsidRPr="00583D68">
        <w:t>et les conditions de reconnaissance réciproque des homologations délivrées conformément à ces prescriptions</w:t>
      </w:r>
      <w:r w:rsidRPr="00037B3F">
        <w:rPr>
          <w:b w:val="0"/>
          <w:sz w:val="20"/>
        </w:rPr>
        <w:t>*</w:t>
      </w:r>
    </w:p>
    <w:p w:rsidR="00421A10" w:rsidRPr="00A12483" w:rsidRDefault="00421A10" w:rsidP="00242268">
      <w:pPr>
        <w:pStyle w:val="SingleTxtG"/>
        <w:spacing w:after="100" w:line="220" w:lineRule="atLeast"/>
        <w:jc w:val="left"/>
        <w:rPr>
          <w:b/>
          <w:sz w:val="24"/>
          <w:szCs w:val="24"/>
        </w:rPr>
      </w:pPr>
      <w:r w:rsidRPr="006549FF">
        <w:t xml:space="preserve">(Révision </w:t>
      </w:r>
      <w:r w:rsidR="000314C7">
        <w:t>2</w:t>
      </w:r>
      <w:r w:rsidRPr="006549FF">
        <w:t>, comprenant les amen</w:t>
      </w:r>
      <w:r>
        <w:t xml:space="preserve">dements entrés en vigueur le 16 </w:t>
      </w:r>
      <w:r w:rsidRPr="006549FF">
        <w:t>octobre 1995)</w:t>
      </w:r>
    </w:p>
    <w:p w:rsidR="00421A10" w:rsidRPr="006549FF" w:rsidRDefault="0029791D" w:rsidP="00242268">
      <w:pPr>
        <w:spacing w:line="220" w:lineRule="atLeast"/>
        <w:jc w:val="center"/>
      </w:pPr>
      <w:r>
        <w:t>_______________</w:t>
      </w:r>
    </w:p>
    <w:p w:rsidR="00421A10" w:rsidRPr="006549FF" w:rsidRDefault="0029791D" w:rsidP="00242268">
      <w:pPr>
        <w:pStyle w:val="HChG"/>
        <w:spacing w:before="200" w:after="100" w:line="260" w:lineRule="exact"/>
      </w:pPr>
      <w:r>
        <w:tab/>
      </w:r>
      <w:r>
        <w:tab/>
      </w:r>
      <w:r w:rsidR="00421A10" w:rsidRPr="006549FF">
        <w:t xml:space="preserve">Additif </w:t>
      </w:r>
      <w:r w:rsidR="00F031F2">
        <w:t>47</w:t>
      </w:r>
      <w:r w:rsidR="00421A10" w:rsidRPr="006549FF">
        <w:t>: Règlement</w:t>
      </w:r>
      <w:r w:rsidR="00421A10">
        <w:t xml:space="preserve"> </w:t>
      </w:r>
      <w:r w:rsidR="00421A10" w:rsidRPr="00B371BF">
        <w:t>n</w:t>
      </w:r>
      <w:r w:rsidR="00421A10" w:rsidRPr="00B371BF">
        <w:rPr>
          <w:vertAlign w:val="superscript"/>
        </w:rPr>
        <w:t>o</w:t>
      </w:r>
      <w:r w:rsidR="00421A10">
        <w:t> </w:t>
      </w:r>
      <w:r w:rsidR="00F031F2">
        <w:t>48</w:t>
      </w:r>
    </w:p>
    <w:p w:rsidR="00421A10" w:rsidRPr="006549FF" w:rsidRDefault="0029791D" w:rsidP="00242268">
      <w:pPr>
        <w:pStyle w:val="H1G"/>
        <w:spacing w:before="220" w:after="100" w:line="240" w:lineRule="exact"/>
      </w:pPr>
      <w:r>
        <w:tab/>
      </w:r>
      <w:r>
        <w:tab/>
      </w:r>
      <w:r w:rsidR="00421A10" w:rsidRPr="006549FF">
        <w:t xml:space="preserve">Révision </w:t>
      </w:r>
      <w:r w:rsidR="00F031F2">
        <w:t>1</w:t>
      </w:r>
      <w:r w:rsidR="00E22F3D">
        <w:t>1</w:t>
      </w:r>
      <w:r w:rsidR="000314C7">
        <w:t xml:space="preserve"> − Amendement </w:t>
      </w:r>
      <w:r w:rsidR="00F031F2">
        <w:t>1</w:t>
      </w:r>
    </w:p>
    <w:p w:rsidR="00015650" w:rsidRPr="00631BAB" w:rsidRDefault="003A58D8" w:rsidP="00242268">
      <w:pPr>
        <w:pStyle w:val="SingleTxtG"/>
        <w:spacing w:after="100" w:line="200" w:lineRule="atLeast"/>
        <w:jc w:val="left"/>
      </w:pPr>
      <w:r>
        <w:t xml:space="preserve">Complément </w:t>
      </w:r>
      <w:r w:rsidR="00E22F3D">
        <w:t>7</w:t>
      </w:r>
      <w:r w:rsidR="00F031F2">
        <w:t xml:space="preserve"> </w:t>
      </w:r>
      <w:r>
        <w:t>à la s</w:t>
      </w:r>
      <w:r w:rsidR="00015650" w:rsidRPr="00631BAB">
        <w:t xml:space="preserve">érie </w:t>
      </w:r>
      <w:r w:rsidR="00A92017">
        <w:t>0</w:t>
      </w:r>
      <w:r w:rsidR="00E22F3D">
        <w:t>5</w:t>
      </w:r>
      <w:r w:rsidR="00015650" w:rsidRPr="00631BAB">
        <w:t xml:space="preserve"> d</w:t>
      </w:r>
      <w:r w:rsidR="00015650">
        <w:t>’</w:t>
      </w:r>
      <w:r w:rsidR="00015650" w:rsidRPr="00631BAB">
        <w:t>amendements au Règlement − Date d</w:t>
      </w:r>
      <w:r w:rsidR="00015650">
        <w:t>’entrée en vigueur: 15 </w:t>
      </w:r>
      <w:r w:rsidR="00015650" w:rsidRPr="00631BAB">
        <w:t>jui</w:t>
      </w:r>
      <w:r w:rsidR="00A92017">
        <w:t>n 2015</w:t>
      </w:r>
      <w:r w:rsidR="00015650" w:rsidRPr="00631BAB">
        <w:t xml:space="preserve"> </w:t>
      </w:r>
    </w:p>
    <w:p w:rsidR="00DD1ED8" w:rsidRPr="00F031F2" w:rsidRDefault="00DD1ED8" w:rsidP="00F031F2">
      <w:pPr>
        <w:pStyle w:val="H1G"/>
        <w:spacing w:before="340" w:after="220" w:line="260" w:lineRule="exact"/>
      </w:pPr>
      <w:r>
        <w:tab/>
      </w:r>
      <w:r>
        <w:tab/>
      </w:r>
      <w:r w:rsidR="00F031F2" w:rsidRPr="00F031F2">
        <w:t>Prescriptions uniformes relatives à l'homologation des véhicules en ce qui concerne l'installation des dispositifs d'éclairage et de signalisation lumineuse</w:t>
      </w:r>
    </w:p>
    <w:p w:rsidR="000F17F6" w:rsidRPr="008D3D79" w:rsidRDefault="001D3393" w:rsidP="00F031F2">
      <w:pPr>
        <w:pStyle w:val="SingleTxtG"/>
        <w:rPr>
          <w:u w:val="single"/>
        </w:rPr>
      </w:pPr>
      <w:r w:rsidRPr="001D3393">
        <w:rPr>
          <w:lang w:val="en-GB" w:eastAsia="en-GB"/>
        </w:rPr>
        <w:t>Ce document constitue un outil de documentation. Le texte authentique et contraignant juridique est ECE/TRANS/WP.29/201</w:t>
      </w:r>
      <w:r w:rsidR="00F031F2">
        <w:rPr>
          <w:lang w:val="en-GB" w:eastAsia="en-GB"/>
        </w:rPr>
        <w:t>4</w:t>
      </w:r>
      <w:r w:rsidRPr="001D3393">
        <w:rPr>
          <w:lang w:val="en-GB" w:eastAsia="en-GB"/>
        </w:rPr>
        <w:t>/</w:t>
      </w:r>
      <w:r w:rsidR="00F031F2">
        <w:rPr>
          <w:lang w:val="en-GB" w:eastAsia="en-GB"/>
        </w:rPr>
        <w:t>5</w:t>
      </w:r>
      <w:r w:rsidR="00E22F3D">
        <w:rPr>
          <w:lang w:val="en-GB" w:eastAsia="en-GB"/>
        </w:rPr>
        <w:t>8</w:t>
      </w:r>
    </w:p>
    <w:p w:rsidR="00E22F3D" w:rsidRPr="00D5325D" w:rsidRDefault="00F031F2" w:rsidP="00E22F3D">
      <w:pPr>
        <w:pStyle w:val="SingleTxtG"/>
      </w:pPr>
      <w:r>
        <w:rPr>
          <w:u w:val="single"/>
        </w:rPr>
        <w:br w:type="page"/>
      </w:r>
      <w:r w:rsidR="00E22F3D" w:rsidRPr="006A45C2">
        <w:rPr>
          <w:i/>
          <w:iCs/>
        </w:rPr>
        <w:lastRenderedPageBreak/>
        <w:t xml:space="preserve">Paragraphe </w:t>
      </w:r>
      <w:r w:rsidR="00E22F3D" w:rsidRPr="006A45C2">
        <w:rPr>
          <w:i/>
        </w:rPr>
        <w:t>2.7.16.4</w:t>
      </w:r>
      <w:r w:rsidR="00E22F3D" w:rsidRPr="00D5325D">
        <w:t xml:space="preserve">, </w:t>
      </w:r>
      <w:r w:rsidR="00E22F3D" w:rsidRPr="0065563C">
        <w:t>lire:</w:t>
      </w:r>
    </w:p>
    <w:p w:rsidR="00E22F3D" w:rsidRPr="00D5325D" w:rsidRDefault="00E22F3D" w:rsidP="00E22F3D">
      <w:pPr>
        <w:pStyle w:val="SingleTxtG"/>
        <w:ind w:left="2268" w:hanging="1134"/>
      </w:pPr>
      <w:r>
        <w:t>«</w:t>
      </w:r>
      <w:r w:rsidRPr="00D5325D">
        <w:t>2.7.16.4</w:t>
      </w:r>
      <w:r w:rsidRPr="00D5325D">
        <w:tab/>
      </w:r>
      <w:r w:rsidRPr="0065563C">
        <w:t xml:space="preserve">Les matériaux rétroréfléchissants homologués en classes D, E ou F selon le Règlement </w:t>
      </w:r>
      <w:r>
        <w:rPr>
          <w:rFonts w:eastAsia="MS Mincho"/>
        </w:rPr>
        <w:t>n</w:t>
      </w:r>
      <w:r>
        <w:rPr>
          <w:rFonts w:eastAsia="MS Mincho"/>
          <w:vertAlign w:val="superscript"/>
        </w:rPr>
        <w:t>o</w:t>
      </w:r>
      <w:r>
        <w:t> </w:t>
      </w:r>
      <w:r w:rsidRPr="0065563C">
        <w:t>104 et utilisés à d’autres fins conformément aux prescriptions nationales.».</w:t>
      </w:r>
    </w:p>
    <w:p w:rsidR="00E22F3D" w:rsidRPr="00D5325D" w:rsidRDefault="00E22F3D" w:rsidP="00E22F3D">
      <w:pPr>
        <w:pStyle w:val="SingleTxtG"/>
      </w:pPr>
      <w:r w:rsidRPr="00BA03CF">
        <w:rPr>
          <w:i/>
        </w:rPr>
        <w:t>Paragraphe 2.7.30.1</w:t>
      </w:r>
      <w:r w:rsidRPr="00D5325D">
        <w:t xml:space="preserve">, </w:t>
      </w:r>
      <w:r>
        <w:t>lire</w:t>
      </w:r>
      <w:r w:rsidRPr="00D5325D">
        <w:t>:</w:t>
      </w:r>
    </w:p>
    <w:p w:rsidR="00E22F3D" w:rsidRPr="00D5325D" w:rsidRDefault="00E22F3D" w:rsidP="00E22F3D">
      <w:pPr>
        <w:pStyle w:val="SingleTxtG"/>
        <w:ind w:left="2268" w:hanging="1134"/>
        <w:rPr>
          <w:iCs/>
        </w:rPr>
      </w:pPr>
      <w:r>
        <w:t>«</w:t>
      </w:r>
      <w:r w:rsidRPr="00D5325D">
        <w:t>2.7.30.1</w:t>
      </w:r>
      <w:r w:rsidRPr="00D5325D">
        <w:tab/>
      </w:r>
      <w:r w:rsidRPr="0065563C">
        <w:t>“</w:t>
      </w:r>
      <w:r w:rsidRPr="0065563C">
        <w:rPr>
          <w:i/>
        </w:rPr>
        <w:t>Feu interdépendant marqué «Y»</w:t>
      </w:r>
      <w:r w:rsidRPr="0065563C">
        <w:t>”, un dispositif fonctionnant comme un élément d’un système de feux interdépendants. Les feux interdépendants fonctionnent ensemble lorsqu’ils sont activés, ont des surfaces apparentes dans la direction de l’axe de référence distinctes et des boîtiers dist</w:t>
      </w:r>
      <w:r>
        <w:t>incts, et </w:t>
      </w:r>
      <w:r w:rsidRPr="0065563C">
        <w:t>peuvent avoir une ou plusieurs sources lumineuses distinctes.».</w:t>
      </w:r>
    </w:p>
    <w:p w:rsidR="00E22F3D" w:rsidRPr="00D5325D" w:rsidRDefault="00E22F3D" w:rsidP="00E22F3D">
      <w:pPr>
        <w:pStyle w:val="SingleTxtG"/>
      </w:pPr>
      <w:r w:rsidRPr="00BA03CF">
        <w:rPr>
          <w:i/>
        </w:rPr>
        <w:t>Ajouter le nouveau paragraphe 2.7.32</w:t>
      </w:r>
      <w:r w:rsidRPr="00D5325D">
        <w:t xml:space="preserve">, </w:t>
      </w:r>
      <w:r>
        <w:t>libellé comme suit</w:t>
      </w:r>
      <w:r w:rsidRPr="00D5325D">
        <w:t>:</w:t>
      </w:r>
    </w:p>
    <w:p w:rsidR="00E22F3D" w:rsidRPr="00D5325D" w:rsidRDefault="00E22F3D" w:rsidP="00E22F3D">
      <w:pPr>
        <w:pStyle w:val="SingleTxtG"/>
        <w:ind w:left="2268" w:hanging="1134"/>
      </w:pPr>
      <w:r>
        <w:t>«</w:t>
      </w:r>
      <w:r w:rsidRPr="00D5325D">
        <w:t>2.7.32</w:t>
      </w:r>
      <w:r w:rsidRPr="00D5325D">
        <w:tab/>
      </w:r>
      <w:r w:rsidRPr="0065563C">
        <w:t>“</w:t>
      </w:r>
      <w:r w:rsidRPr="0065563C">
        <w:rPr>
          <w:i/>
        </w:rPr>
        <w:t>Feux marqués «D»</w:t>
      </w:r>
      <w:r w:rsidRPr="0065563C">
        <w:t>”, des feux indépendants, homologués en tant qu’entités distinctes, de manière qu’ils puissent être utilisés séparément ou par assemblage de deux feux considéré comme un “feu simple”.»</w:t>
      </w:r>
      <w:r>
        <w:t>.</w:t>
      </w:r>
    </w:p>
    <w:p w:rsidR="00E22F3D" w:rsidRPr="00D5325D" w:rsidRDefault="00E22F3D" w:rsidP="00E22F3D">
      <w:pPr>
        <w:pStyle w:val="SingleTxtG"/>
      </w:pPr>
      <w:r w:rsidRPr="00BA03CF">
        <w:rPr>
          <w:i/>
        </w:rPr>
        <w:t>Paragraphe 2.16.1</w:t>
      </w:r>
      <w:r w:rsidRPr="00D5325D">
        <w:t xml:space="preserve">, </w:t>
      </w:r>
      <w:r>
        <w:t>lire</w:t>
      </w:r>
      <w:r w:rsidRPr="00D5325D">
        <w:t>:</w:t>
      </w:r>
    </w:p>
    <w:p w:rsidR="00E22F3D" w:rsidRPr="0065563C" w:rsidRDefault="00E22F3D" w:rsidP="00E22F3D">
      <w:pPr>
        <w:pStyle w:val="SingleTxtG"/>
        <w:ind w:left="2268" w:hanging="1134"/>
      </w:pPr>
      <w:r>
        <w:t>«</w:t>
      </w:r>
      <w:r w:rsidRPr="00D5325D">
        <w:t>2.16.1</w:t>
      </w:r>
      <w:r w:rsidRPr="00D5325D">
        <w:tab/>
      </w:r>
      <w:r w:rsidRPr="0065563C">
        <w:t>Par “</w:t>
      </w:r>
      <w:r w:rsidRPr="0065563C">
        <w:rPr>
          <w:i/>
        </w:rPr>
        <w:t>feu simple</w:t>
      </w:r>
      <w:r w:rsidRPr="0065563C">
        <w:t>”, on entend:</w:t>
      </w:r>
    </w:p>
    <w:p w:rsidR="00E22F3D" w:rsidRPr="0065563C" w:rsidRDefault="00E22F3D" w:rsidP="00E22F3D">
      <w:pPr>
        <w:pStyle w:val="SingleTxtG"/>
        <w:ind w:left="2835" w:hanging="567"/>
      </w:pPr>
      <w:r w:rsidRPr="0065563C">
        <w:t>a)</w:t>
      </w:r>
      <w:r w:rsidRPr="0065563C">
        <w:tab/>
        <w:t>Un dispositif ou la partie d’un dispositif ne possédant qu’une fonction d’éclairage ou de signalisation lumineuse, une ou plusieurs sources lumineuses et une surface apparente dans la direction de l’axe de référence, qui peut être continue ou composée de deux parties distinctes ou plus; ou</w:t>
      </w:r>
    </w:p>
    <w:p w:rsidR="00E22F3D" w:rsidRPr="0065563C" w:rsidRDefault="00E22F3D" w:rsidP="00E22F3D">
      <w:pPr>
        <w:pStyle w:val="SingleTxtG"/>
        <w:ind w:left="2835" w:hanging="567"/>
        <w:rPr>
          <w:strike/>
        </w:rPr>
      </w:pPr>
      <w:r w:rsidRPr="0065563C">
        <w:t>b)</w:t>
      </w:r>
      <w:r w:rsidRPr="0065563C">
        <w:tab/>
      </w:r>
      <w:r w:rsidRPr="0065563C">
        <w:rPr>
          <w:bCs/>
        </w:rPr>
        <w:t>Tout assemblage de deux feux marqués “D”, identiques ou non, ayant la même fonction; ou</w:t>
      </w:r>
    </w:p>
    <w:p w:rsidR="00E22F3D" w:rsidRPr="0065563C" w:rsidRDefault="00E22F3D" w:rsidP="00E22F3D">
      <w:pPr>
        <w:pStyle w:val="SingleTxtG"/>
        <w:ind w:left="2835" w:hanging="567"/>
        <w:rPr>
          <w:strike/>
        </w:rPr>
      </w:pPr>
      <w:r w:rsidRPr="0065563C">
        <w:t>c)</w:t>
      </w:r>
      <w:r w:rsidRPr="0065563C">
        <w:tab/>
      </w:r>
      <w:r w:rsidRPr="0065563C">
        <w:rPr>
          <w:bCs/>
        </w:rPr>
        <w:t>Tout assemblage de deux catadioptres indépendants, identiques ou non, qui ont été homologués séparément; ou</w:t>
      </w:r>
    </w:p>
    <w:p w:rsidR="00E22F3D" w:rsidRPr="00D5325D" w:rsidRDefault="00E22F3D" w:rsidP="00E22F3D">
      <w:pPr>
        <w:pStyle w:val="SingleTxtG"/>
        <w:ind w:left="2835" w:hanging="567"/>
      </w:pPr>
      <w:r w:rsidRPr="0065563C">
        <w:t>d)</w:t>
      </w:r>
      <w:r w:rsidRPr="0065563C">
        <w:tab/>
        <w:t>Tout système</w:t>
      </w:r>
      <w:r w:rsidRPr="0065563C">
        <w:rPr>
          <w:b/>
        </w:rPr>
        <w:t xml:space="preserve"> </w:t>
      </w:r>
      <w:r w:rsidRPr="0065563C">
        <w:t xml:space="preserve">de feux interdépendants constitué de deux ou trois feux interdépendants </w:t>
      </w:r>
      <w:r w:rsidRPr="0065563C">
        <w:rPr>
          <w:bCs/>
        </w:rPr>
        <w:t xml:space="preserve">marqués “Y” qui ont été homologués ensemble et qui ont </w:t>
      </w:r>
      <w:r w:rsidRPr="0065563C">
        <w:t>la même fonction.».</w:t>
      </w:r>
    </w:p>
    <w:p w:rsidR="00E22F3D" w:rsidRPr="00D5325D" w:rsidRDefault="00E22F3D" w:rsidP="00E22F3D">
      <w:pPr>
        <w:pStyle w:val="SingleTxtG"/>
      </w:pPr>
      <w:r w:rsidRPr="00582093">
        <w:rPr>
          <w:i/>
        </w:rPr>
        <w:t>Paragraphe 2.16.2</w:t>
      </w:r>
      <w:r w:rsidRPr="00D5325D">
        <w:t xml:space="preserve">, </w:t>
      </w:r>
      <w:r>
        <w:t>lire</w:t>
      </w:r>
      <w:r w:rsidRPr="00D5325D">
        <w:t>:</w:t>
      </w:r>
    </w:p>
    <w:p w:rsidR="00E22F3D" w:rsidRPr="00D5325D" w:rsidRDefault="00E22F3D" w:rsidP="00E22F3D">
      <w:pPr>
        <w:pStyle w:val="SingleTxtG"/>
        <w:ind w:left="2268" w:hanging="1134"/>
      </w:pPr>
      <w:r>
        <w:t>«</w:t>
      </w:r>
      <w:r w:rsidRPr="00D5325D">
        <w:t>2.16.2</w:t>
      </w:r>
      <w:r w:rsidRPr="00D5325D">
        <w:tab/>
      </w:r>
      <w:r w:rsidRPr="00D440E8">
        <w:rPr>
          <w:bCs/>
          <w:lang w:val="fr-FR"/>
        </w:rPr>
        <w:t>“</w:t>
      </w:r>
      <w:r w:rsidRPr="004D3835">
        <w:rPr>
          <w:bCs/>
          <w:i/>
          <w:lang w:val="fr-FR"/>
        </w:rPr>
        <w:t>Deux feux</w:t>
      </w:r>
      <w:r w:rsidRPr="0065563C">
        <w:rPr>
          <w:bCs/>
          <w:lang w:val="fr-FR"/>
        </w:rPr>
        <w:t>” ou “</w:t>
      </w:r>
      <w:r w:rsidRPr="004D3835">
        <w:rPr>
          <w:bCs/>
          <w:i/>
          <w:lang w:val="fr-FR"/>
        </w:rPr>
        <w:t>un nombre pair de feux</w:t>
      </w:r>
      <w:r w:rsidRPr="0065563C">
        <w:rPr>
          <w:bCs/>
          <w:lang w:val="fr-FR"/>
        </w:rPr>
        <w:t>”</w:t>
      </w:r>
      <w:r w:rsidRPr="0065563C">
        <w:rPr>
          <w:lang w:val="fr-FR"/>
        </w:rPr>
        <w:t xml:space="preserve"> </w:t>
      </w:r>
      <w:r w:rsidRPr="0065563C">
        <w:rPr>
          <w:bCs/>
          <w:lang w:val="fr-FR"/>
        </w:rPr>
        <w:t xml:space="preserve">ayant </w:t>
      </w:r>
      <w:r w:rsidRPr="0065563C">
        <w:rPr>
          <w:lang w:val="fr-FR"/>
        </w:rPr>
        <w:t>la forme d’une bande, deux feux présentant</w:t>
      </w:r>
      <w:r w:rsidRPr="0065563C">
        <w:rPr>
          <w:bCs/>
          <w:lang w:val="fr-FR"/>
        </w:rPr>
        <w:t xml:space="preserve"> une seule surface apparente</w:t>
      </w:r>
      <w:r w:rsidRPr="0065563C">
        <w:t xml:space="preserve">, </w:t>
      </w:r>
      <w:r w:rsidRPr="0065563C">
        <w:rPr>
          <w:lang w:val="fr-FR"/>
        </w:rPr>
        <w:t>pour autant que cette bande soit située symétriquement par rapport au plan longitudinal médian du véhicule</w:t>
      </w:r>
      <w:r w:rsidRPr="0065563C">
        <w:t>.».</w:t>
      </w:r>
    </w:p>
    <w:p w:rsidR="00E22F3D" w:rsidRPr="0065563C" w:rsidRDefault="00E22F3D" w:rsidP="00E22F3D">
      <w:pPr>
        <w:pStyle w:val="SingleTxtG"/>
      </w:pPr>
      <w:r w:rsidRPr="00F81B1E">
        <w:rPr>
          <w:i/>
        </w:rPr>
        <w:t>Paragraphe 5.7</w:t>
      </w:r>
      <w:r w:rsidRPr="0065563C">
        <w:t>, lire:</w:t>
      </w:r>
    </w:p>
    <w:p w:rsidR="00E22F3D" w:rsidRPr="0065563C" w:rsidRDefault="00E22F3D" w:rsidP="00E22F3D">
      <w:pPr>
        <w:pStyle w:val="SingleTxtG"/>
        <w:ind w:left="2268" w:hanging="1134"/>
        <w:rPr>
          <w:color w:val="000000"/>
        </w:rPr>
      </w:pPr>
      <w:r w:rsidRPr="0065563C">
        <w:rPr>
          <w:color w:val="000000"/>
        </w:rPr>
        <w:t>«5.7</w:t>
      </w:r>
      <w:r w:rsidRPr="0065563C">
        <w:rPr>
          <w:color w:val="000000"/>
        </w:rPr>
        <w:tab/>
        <w:t xml:space="preserve">Feux groupés, combinés, mutuellement incorporés </w:t>
      </w:r>
      <w:r w:rsidRPr="0065563C">
        <w:rPr>
          <w:bCs/>
          <w:color w:val="000000"/>
        </w:rPr>
        <w:t>ou simples</w:t>
      </w:r>
      <w:r w:rsidRPr="0065563C">
        <w:rPr>
          <w:color w:val="000000"/>
        </w:rPr>
        <w:t>».</w:t>
      </w:r>
    </w:p>
    <w:p w:rsidR="00E22F3D" w:rsidRPr="0065563C" w:rsidRDefault="00E22F3D" w:rsidP="00E22F3D">
      <w:pPr>
        <w:pStyle w:val="SingleTxtG"/>
      </w:pPr>
      <w:r w:rsidRPr="00F81B1E">
        <w:rPr>
          <w:i/>
        </w:rPr>
        <w:t>Paragraphe 5.7.2</w:t>
      </w:r>
      <w:r w:rsidRPr="0065563C">
        <w:t>, lire:</w:t>
      </w:r>
    </w:p>
    <w:p w:rsidR="00E22F3D" w:rsidRPr="0065563C" w:rsidRDefault="00E22F3D" w:rsidP="00E22F3D">
      <w:pPr>
        <w:pStyle w:val="SingleTxtG"/>
        <w:ind w:left="2268" w:hanging="1134"/>
      </w:pPr>
      <w:r w:rsidRPr="0065563C">
        <w:t>«5.7.2</w:t>
      </w:r>
      <w:r w:rsidRPr="0065563C">
        <w:tab/>
        <w:t>Feux simples».</w:t>
      </w:r>
    </w:p>
    <w:p w:rsidR="00E22F3D" w:rsidRPr="0065563C" w:rsidRDefault="00E22F3D" w:rsidP="00E22F3D">
      <w:pPr>
        <w:pStyle w:val="SingleTxtG"/>
      </w:pPr>
      <w:r w:rsidRPr="00F81B1E">
        <w:rPr>
          <w:i/>
        </w:rPr>
        <w:t>Paragraphe 5.7.2.1</w:t>
      </w:r>
      <w:r w:rsidRPr="0065563C">
        <w:t>, lire:</w:t>
      </w:r>
    </w:p>
    <w:p w:rsidR="00E22F3D" w:rsidRPr="0065563C" w:rsidRDefault="00E22F3D" w:rsidP="00E22F3D">
      <w:pPr>
        <w:pStyle w:val="SingleTxtG"/>
        <w:ind w:left="2268" w:hanging="1134"/>
        <w:rPr>
          <w:iCs/>
        </w:rPr>
      </w:pPr>
      <w:r w:rsidRPr="0065563C">
        <w:t>«5.7.2.1</w:t>
      </w:r>
      <w:r w:rsidRPr="0065563C">
        <w:tab/>
      </w:r>
      <w:r w:rsidRPr="0065563C">
        <w:rPr>
          <w:b/>
          <w:iCs/>
        </w:rPr>
        <w:tab/>
      </w:r>
      <w:r w:rsidRPr="0065563C">
        <w:rPr>
          <w:iCs/>
        </w:rPr>
        <w:t>Les feux simples définis à l’alinéa </w:t>
      </w:r>
      <w:r w:rsidRPr="0065563C">
        <w:rPr>
          <w:i/>
          <w:iCs/>
        </w:rPr>
        <w:t>a</w:t>
      </w:r>
      <w:r w:rsidRPr="0065563C">
        <w:rPr>
          <w:iCs/>
        </w:rPr>
        <w:t xml:space="preserve"> du paragraphe 2.16.1, qui sont constitués de deux parties distinctes ou plus, doivent être ins</w:t>
      </w:r>
      <w:r>
        <w:rPr>
          <w:iCs/>
        </w:rPr>
        <w:t xml:space="preserve">tallés de </w:t>
      </w:r>
      <w:r w:rsidRPr="0065563C">
        <w:rPr>
          <w:iCs/>
        </w:rPr>
        <w:t>façon:</w:t>
      </w:r>
    </w:p>
    <w:p w:rsidR="00E22F3D" w:rsidRPr="0065563C" w:rsidRDefault="00E22F3D" w:rsidP="00E22F3D">
      <w:pPr>
        <w:pStyle w:val="SingleTxtG"/>
        <w:ind w:left="2835" w:hanging="567"/>
        <w:rPr>
          <w:iCs/>
        </w:rPr>
      </w:pPr>
      <w:r w:rsidRPr="0065563C">
        <w:rPr>
          <w:iCs/>
        </w:rPr>
        <w:t>a)</w:t>
      </w:r>
      <w:r w:rsidRPr="0065563C">
        <w:rPr>
          <w:iCs/>
        </w:rPr>
        <w:tab/>
        <w:t>Que la superficie totale de la projection des parties distinctes sur un plan tangent à la surface extérieure de la glace extérieure et perpendiculaire à l’axe de référence occupe au moins 60 % du plus petit quadrilatère circonscrivant ladite projection; ou</w:t>
      </w:r>
    </w:p>
    <w:p w:rsidR="00E22F3D" w:rsidRPr="00D5325D" w:rsidRDefault="00E22F3D" w:rsidP="00E22F3D">
      <w:pPr>
        <w:pStyle w:val="SingleTxtG"/>
        <w:ind w:left="2835" w:hanging="567"/>
        <w:rPr>
          <w:iCs/>
        </w:rPr>
      </w:pPr>
      <w:r w:rsidRPr="0065563C">
        <w:rPr>
          <w:iCs/>
        </w:rPr>
        <w:lastRenderedPageBreak/>
        <w:t>b)</w:t>
      </w:r>
      <w:r w:rsidRPr="0065563C">
        <w:rPr>
          <w:iCs/>
        </w:rPr>
        <w:tab/>
        <w:t>Que la distance minimum entre les côtés en regard des deux parties distinctes adjacentes/tangentes n’excède pas 75 mm lorsque la mesure est effectuée perpendiculairement à l’axe de référence.</w:t>
      </w:r>
    </w:p>
    <w:p w:rsidR="00E22F3D" w:rsidRPr="00D5325D" w:rsidRDefault="00E22F3D" w:rsidP="00E22F3D">
      <w:pPr>
        <w:pStyle w:val="SingleTxtG"/>
        <w:ind w:left="2268" w:hanging="1134"/>
        <w:rPr>
          <w:iCs/>
        </w:rPr>
      </w:pPr>
      <w:r>
        <w:rPr>
          <w:iCs/>
        </w:rPr>
        <w:tab/>
      </w:r>
      <w:r w:rsidRPr="0065563C">
        <w:rPr>
          <w:iCs/>
        </w:rPr>
        <w:t>Ces prescriptions ne s’appliquent pas à un catadioptre simple.».</w:t>
      </w:r>
    </w:p>
    <w:p w:rsidR="00E22F3D" w:rsidRPr="0065563C" w:rsidRDefault="00E22F3D" w:rsidP="00E22F3D">
      <w:pPr>
        <w:pStyle w:val="SingleTxtG"/>
      </w:pPr>
      <w:r w:rsidRPr="00EE4C7A">
        <w:rPr>
          <w:i/>
        </w:rPr>
        <w:t>Paragraphe 5.7.2.2</w:t>
      </w:r>
      <w:r w:rsidRPr="0065563C">
        <w:t>, lire:</w:t>
      </w:r>
    </w:p>
    <w:p w:rsidR="00E22F3D" w:rsidRPr="0065563C" w:rsidRDefault="00E22F3D" w:rsidP="00E22F3D">
      <w:pPr>
        <w:pStyle w:val="SingleTxtG"/>
        <w:ind w:left="2268" w:hanging="1134"/>
      </w:pPr>
      <w:r w:rsidRPr="0065563C">
        <w:t>«5.7.2.2</w:t>
      </w:r>
      <w:r w:rsidRPr="0065563C">
        <w:tab/>
        <w:t>Les feux simples définis à l’alinéa </w:t>
      </w:r>
      <w:r w:rsidRPr="0065563C">
        <w:rPr>
          <w:i/>
        </w:rPr>
        <w:t xml:space="preserve">b </w:t>
      </w:r>
      <w:r w:rsidRPr="0065563C">
        <w:t>ou</w:t>
      </w:r>
      <w:r w:rsidRPr="0065563C">
        <w:rPr>
          <w:i/>
        </w:rPr>
        <w:t xml:space="preserve"> c</w:t>
      </w:r>
      <w:r w:rsidRPr="0065563C">
        <w:t xml:space="preserve"> du paragraphe 2.16.1, qui sont </w:t>
      </w:r>
      <w:r>
        <w:t xml:space="preserve">constitués de deux feux marqués </w:t>
      </w:r>
      <w:r w:rsidRPr="0065563C">
        <w:t>“D” ou de deux catadioptres indépendants, doivent être installés de façon:</w:t>
      </w:r>
    </w:p>
    <w:p w:rsidR="00E22F3D" w:rsidRPr="0065563C" w:rsidRDefault="00E22F3D" w:rsidP="00E22F3D">
      <w:pPr>
        <w:pStyle w:val="SingleTxtG"/>
        <w:ind w:left="2835" w:hanging="567"/>
      </w:pPr>
      <w:r w:rsidRPr="0065563C">
        <w:t>a)</w:t>
      </w:r>
      <w:r w:rsidRPr="0065563C">
        <w:tab/>
        <w:t>Que la projection de leurs surfaces apparentes dans la direction de l’axe de référence des deux feux ou catadioptres occupe au moins 60 % du plus petit quadrilatère circonscrit à la projection de ces surfaces apparentes dans la direction de l’axe de référence; ou</w:t>
      </w:r>
    </w:p>
    <w:p w:rsidR="00E22F3D" w:rsidRPr="00D5325D" w:rsidRDefault="00E22F3D" w:rsidP="00E22F3D">
      <w:pPr>
        <w:pStyle w:val="SingleTxtG"/>
        <w:ind w:left="2835" w:hanging="567"/>
      </w:pPr>
      <w:r w:rsidRPr="0065563C">
        <w:t>b)</w:t>
      </w:r>
      <w:r w:rsidRPr="0065563C">
        <w:tab/>
        <w:t>Q</w:t>
      </w:r>
      <w:r w:rsidRPr="0065563C">
        <w:rPr>
          <w:iCs/>
        </w:rPr>
        <w:t>ue</w:t>
      </w:r>
      <w:r w:rsidRPr="0065563C">
        <w:t xml:space="preserve"> la distance minimum entre les côtés en regard des surfaces apparentes dans la direction de l’axe de référence des deux feux ou des deux catadioptres indépendants n’excède pas 75 mm lorsque la mesure est effectuée perpendiculairement à l’axe de référence.».</w:t>
      </w:r>
    </w:p>
    <w:p w:rsidR="00E22F3D" w:rsidRPr="00D5325D" w:rsidRDefault="00E22F3D" w:rsidP="00E22F3D">
      <w:pPr>
        <w:pStyle w:val="SingleTxtG"/>
      </w:pPr>
      <w:r w:rsidRPr="008E175B">
        <w:rPr>
          <w:i/>
        </w:rPr>
        <w:t>Ajouter le nouveau paragraphe 5.7.2.3</w:t>
      </w:r>
      <w:r w:rsidRPr="00D5325D">
        <w:t xml:space="preserve">, </w:t>
      </w:r>
      <w:r>
        <w:t>libellé comme suit</w:t>
      </w:r>
      <w:r w:rsidRPr="00D5325D">
        <w:t>:</w:t>
      </w:r>
    </w:p>
    <w:p w:rsidR="00E22F3D" w:rsidRPr="0065563C" w:rsidRDefault="00E22F3D" w:rsidP="00E22F3D">
      <w:pPr>
        <w:pStyle w:val="SingleTxtG"/>
        <w:ind w:left="2268" w:hanging="1134"/>
      </w:pPr>
      <w:r>
        <w:t>«</w:t>
      </w:r>
      <w:r w:rsidRPr="0065563C">
        <w:t>5.7.2.3</w:t>
      </w:r>
      <w:r w:rsidRPr="0065563C">
        <w:tab/>
        <w:t>Les feux simples définis à l’alinéa </w:t>
      </w:r>
      <w:r w:rsidRPr="0065563C">
        <w:rPr>
          <w:i/>
        </w:rPr>
        <w:t>d</w:t>
      </w:r>
      <w:r w:rsidRPr="0065563C">
        <w:t xml:space="preserve"> du paragraphe 2.16.1 doivent satisfaire aux prescriptions du paragraphe 5.7.2.1.</w:t>
      </w:r>
    </w:p>
    <w:p w:rsidR="00E22F3D" w:rsidRPr="0065563C" w:rsidRDefault="00E22F3D" w:rsidP="00E22F3D">
      <w:pPr>
        <w:pStyle w:val="SingleTxtG"/>
        <w:ind w:left="2268"/>
      </w:pPr>
      <w:r w:rsidRPr="0065563C">
        <w:t>Deux feux ou plus et/ou deux surfaces apparentes distinctes ou plus montés dans le même boîtier et/ou ayant une glace extérieure commune ne sont pas considérés comme un système de feux interdépendants.</w:t>
      </w:r>
    </w:p>
    <w:p w:rsidR="00E22F3D" w:rsidRPr="00D5325D" w:rsidRDefault="00E22F3D" w:rsidP="00E22F3D">
      <w:pPr>
        <w:pStyle w:val="SingleTxtG"/>
        <w:ind w:left="2268"/>
      </w:pPr>
      <w:r w:rsidRPr="0065563C">
        <w:t>Toutefois, un feu ayant la forme d’u</w:t>
      </w:r>
      <w:r>
        <w:t xml:space="preserve">ne bande peut faire partie d’un </w:t>
      </w:r>
      <w:r w:rsidRPr="0065563C">
        <w:t>système de feux interdépendants.».</w:t>
      </w:r>
    </w:p>
    <w:p w:rsidR="00E22F3D" w:rsidRPr="00D5325D" w:rsidRDefault="00E22F3D" w:rsidP="00E22F3D">
      <w:pPr>
        <w:pStyle w:val="SingleTxtG"/>
      </w:pPr>
      <w:r w:rsidRPr="00ED02E4">
        <w:rPr>
          <w:i/>
        </w:rPr>
        <w:t>Ajouter le nouveau paragraphe 5.7.2.4</w:t>
      </w:r>
      <w:r w:rsidRPr="00D5325D">
        <w:t xml:space="preserve">, </w:t>
      </w:r>
      <w:r w:rsidRPr="00081948">
        <w:t>libellé comme suit</w:t>
      </w:r>
      <w:r w:rsidRPr="00D5325D">
        <w:t>:</w:t>
      </w:r>
    </w:p>
    <w:p w:rsidR="00E22F3D" w:rsidRPr="00D5325D" w:rsidRDefault="00E22F3D" w:rsidP="00E22F3D">
      <w:pPr>
        <w:pStyle w:val="SingleTxtG"/>
        <w:ind w:left="2268" w:hanging="1134"/>
      </w:pPr>
      <w:r>
        <w:t>«</w:t>
      </w:r>
      <w:r w:rsidRPr="00D5325D">
        <w:t>5.7.2.4</w:t>
      </w:r>
      <w:r w:rsidRPr="00D5325D">
        <w:tab/>
      </w:r>
      <w:r w:rsidRPr="0065563C">
        <w:t xml:space="preserve">Deux feux ou un nombre pair de feux </w:t>
      </w:r>
      <w:r w:rsidRPr="0065563C">
        <w:rPr>
          <w:bCs/>
        </w:rPr>
        <w:t>ayant la forme d’une bande</w:t>
      </w:r>
      <w:r w:rsidRPr="0065563C">
        <w:t xml:space="preserve"> doivent être situés symétriquement par rapport</w:t>
      </w:r>
      <w:r>
        <w:t xml:space="preserve"> au plan longitudinal médian du </w:t>
      </w:r>
      <w:r w:rsidRPr="0065563C">
        <w:t>véhicule, s’étendant au moins jusqu’à 0,40 m de l’extrémité de la largeur hors tout du véhicule, de chaque côté de celui-ci, en ayant une longueur minimale de 0,80 m; l’éclairage de cette s</w:t>
      </w:r>
      <w:r>
        <w:t xml:space="preserve">urface devra être assuré par au </w:t>
      </w:r>
      <w:r w:rsidRPr="0065563C">
        <w:t>moins deux sources de lumière situées le plus près possible de ses extrémités. La surface apparente peut être constituée par un ensemble d’éléments juxtaposés, pour autant que les projections des diverses surfaces apparentes élémentaires sur un plan transversal satisfassent aux prescriptions du paragraphe 5.7.2.1.».</w:t>
      </w:r>
    </w:p>
    <w:p w:rsidR="00E22F3D" w:rsidRPr="00D5325D" w:rsidRDefault="00E22F3D" w:rsidP="00E22F3D">
      <w:pPr>
        <w:pStyle w:val="SingleTxtG"/>
        <w:rPr>
          <w:b/>
          <w:sz w:val="22"/>
          <w:szCs w:val="22"/>
        </w:rPr>
      </w:pPr>
      <w:r w:rsidRPr="00BB1099">
        <w:rPr>
          <w:i/>
        </w:rPr>
        <w:t>Paragraphe 5.18.4</w:t>
      </w:r>
      <w:r w:rsidR="00AE3153">
        <w:rPr>
          <w:i/>
        </w:rPr>
        <w:t>, alinéa</w:t>
      </w:r>
      <w:r w:rsidRPr="00BB1099">
        <w:rPr>
          <w:i/>
        </w:rPr>
        <w:t xml:space="preserve"> b)</w:t>
      </w:r>
      <w:r w:rsidRPr="00D5325D">
        <w:t xml:space="preserve">, </w:t>
      </w:r>
      <w:r>
        <w:t>lire</w:t>
      </w:r>
      <w:r w:rsidRPr="00D5325D">
        <w:t>:</w:t>
      </w:r>
    </w:p>
    <w:p w:rsidR="00E22F3D" w:rsidRPr="00D5325D" w:rsidRDefault="00E22F3D" w:rsidP="00E22F3D">
      <w:pPr>
        <w:pStyle w:val="SingleTxtG"/>
        <w:ind w:left="2268" w:hanging="1134"/>
      </w:pPr>
      <w:r>
        <w:t>«</w:t>
      </w:r>
      <w:r w:rsidRPr="00D5325D">
        <w:t>5.18.4</w:t>
      </w:r>
      <w:r w:rsidRPr="00D5325D">
        <w:tab/>
      </w:r>
      <w:r w:rsidRPr="00D5325D">
        <w:tab/>
        <w:t>…</w:t>
      </w:r>
    </w:p>
    <w:p w:rsidR="00E22F3D" w:rsidRDefault="00E22F3D" w:rsidP="00E22F3D">
      <w:pPr>
        <w:pStyle w:val="SingleTxtG"/>
        <w:ind w:left="2835" w:hanging="567"/>
      </w:pPr>
      <w:r w:rsidRPr="00D5325D">
        <w:t>b)</w:t>
      </w:r>
      <w:r w:rsidRPr="00D5325D">
        <w:tab/>
      </w:r>
      <w:r w:rsidRPr="0065563C">
        <w:t>Soit le système de feux interdépendants est monté pour partie sur l’élément fixe et pour partie sur un</w:t>
      </w:r>
      <w:r>
        <w:t xml:space="preserve"> élément mobile. Dans ce cas, à </w:t>
      </w:r>
      <w:r w:rsidRPr="0065563C">
        <w:t xml:space="preserve">l’exception des feux indicateurs de direction, le ou les feux interdépendants spécifiés par le demandeur lors de la procédure d’homologation du dispositif </w:t>
      </w:r>
      <w:r>
        <w:t>doivent satisfaire à toutes les </w:t>
      </w:r>
      <w:r w:rsidRPr="0065563C">
        <w:t>prescriptions concernant la position,</w:t>
      </w:r>
      <w:r>
        <w:t xml:space="preserve"> la visibilité géométrique vers </w:t>
      </w:r>
      <w:r w:rsidRPr="0065563C">
        <w:t>l’extérieur ainsi que les caractéristiques colorimétriques et photométriques applicables à ces feux, dans toutes les positions fixes du ou des éléments mobiles.</w:t>
      </w:r>
      <w:r w:rsidRPr="00D5325D">
        <w:t xml:space="preserve"> </w:t>
      </w:r>
      <w:r w:rsidRPr="0065563C">
        <w:t>La ou les prescriptions concernant la</w:t>
      </w:r>
      <w:r>
        <w:t> </w:t>
      </w:r>
      <w:r w:rsidRPr="0065563C">
        <w:t>visibilité géométrique vers l’intérieur sont réputées être satisfaites lorsque ce ou ces feux interdépendants sont conformes aux valeurs photométriques prescrites dans le champ de répartition de la lumière pour l’homologation du dispositif, dans toutes les positions fixes du ou des éléments mobiles.</w:t>
      </w:r>
    </w:p>
    <w:p w:rsidR="00E22F3D" w:rsidRDefault="00E22F3D" w:rsidP="00E22F3D">
      <w:pPr>
        <w:pStyle w:val="SingleTxtG"/>
        <w:ind w:left="2835"/>
      </w:pPr>
      <w:r w:rsidRPr="0065563C">
        <w:t xml:space="preserve">Dans le cas des feux indicateurs de direction, le ou les feux interdépendants spécifiés par le demandeur lors de la procédure d’homologation du dispositif </w:t>
      </w:r>
      <w:r>
        <w:t>doivent satisfaire à toutes les </w:t>
      </w:r>
      <w:r w:rsidRPr="0065563C">
        <w:t xml:space="preserve">prescriptions concernant la position, la visibilité géométrique ainsi que les caractéristiques photométriques et colorimétriques dans toutes les positions fixes du ou des éléments mobiles. </w:t>
      </w:r>
      <w:r>
        <w:t>Cela ne s’applique pas </w:t>
      </w:r>
      <w:r w:rsidRPr="0065563C">
        <w:t>lorsque des feux supplémentaires sont allumés pour assurer l’angle de visibilité géométrique dans toutes les positions fixes du ou des éléments mobiles, pour autant que ces feux supplémentaires satisfassent aussi à toutes les prescript</w:t>
      </w:r>
      <w:r>
        <w:t>ions concernant la position, la </w:t>
      </w:r>
      <w:r w:rsidRPr="0065563C">
        <w:t>visibilité géométrique ainsi que les caractéristiques photométriques et colorimétriques applicables aux feux indicateurs de direction installés sur l’élément mobile.»</w:t>
      </w:r>
      <w:r>
        <w:t>.</w:t>
      </w:r>
    </w:p>
    <w:p w:rsidR="00E22F3D" w:rsidRPr="00B924CF" w:rsidRDefault="00E22F3D" w:rsidP="00E22F3D">
      <w:pPr>
        <w:pStyle w:val="SingleTxtG"/>
        <w:spacing w:before="240" w:after="0"/>
        <w:jc w:val="center"/>
        <w:rPr>
          <w:u w:val="single"/>
        </w:rPr>
      </w:pPr>
      <w:r>
        <w:rPr>
          <w:u w:val="single"/>
        </w:rPr>
        <w:tab/>
      </w:r>
      <w:r>
        <w:rPr>
          <w:u w:val="single"/>
        </w:rPr>
        <w:tab/>
      </w:r>
      <w:r>
        <w:rPr>
          <w:u w:val="single"/>
        </w:rPr>
        <w:tab/>
      </w:r>
    </w:p>
    <w:p w:rsidR="00F031F2" w:rsidRPr="001D6451" w:rsidRDefault="00F031F2" w:rsidP="00E22F3D">
      <w:pPr>
        <w:pStyle w:val="SingleTxtG"/>
        <w:keepNext/>
        <w:rPr>
          <w:u w:val="single"/>
        </w:rPr>
      </w:pPr>
    </w:p>
    <w:p w:rsidR="005F0207" w:rsidRPr="00DD1ED8" w:rsidRDefault="005F0207" w:rsidP="001C08ED">
      <w:pPr>
        <w:pStyle w:val="SingleTxtG"/>
        <w:rPr>
          <w:u w:val="single"/>
        </w:rPr>
      </w:pPr>
    </w:p>
    <w:sectPr w:rsidR="005F0207" w:rsidRPr="00DD1ED8" w:rsidSect="000314C7">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96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9EB" w:rsidRDefault="000109EB"/>
  </w:endnote>
  <w:endnote w:type="continuationSeparator" w:id="0">
    <w:p w:rsidR="000109EB" w:rsidRDefault="000109EB">
      <w:pPr>
        <w:pStyle w:val="Footer"/>
      </w:pPr>
    </w:p>
  </w:endnote>
  <w:endnote w:type="continuationNotice" w:id="1">
    <w:p w:rsidR="000109EB" w:rsidRPr="00C451B9" w:rsidRDefault="000109EB"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74" w:rsidRPr="000314C7" w:rsidRDefault="00710974" w:rsidP="000314C7">
    <w:pPr>
      <w:pStyle w:val="Footer"/>
      <w:tabs>
        <w:tab w:val="right" w:pos="9638"/>
      </w:tabs>
    </w:pPr>
    <w:r w:rsidRPr="000314C7">
      <w:rPr>
        <w:b/>
        <w:sz w:val="18"/>
      </w:rPr>
      <w:fldChar w:fldCharType="begin"/>
    </w:r>
    <w:r w:rsidRPr="000314C7">
      <w:rPr>
        <w:b/>
        <w:sz w:val="18"/>
      </w:rPr>
      <w:instrText xml:space="preserve"> PAGE  \* MERGEFORMAT </w:instrText>
    </w:r>
    <w:r w:rsidRPr="000314C7">
      <w:rPr>
        <w:b/>
        <w:sz w:val="18"/>
      </w:rPr>
      <w:fldChar w:fldCharType="separate"/>
    </w:r>
    <w:r w:rsidR="00F14F92">
      <w:rPr>
        <w:b/>
        <w:noProof/>
        <w:sz w:val="18"/>
      </w:rPr>
      <w:t>4</w:t>
    </w:r>
    <w:r w:rsidRPr="000314C7">
      <w:rPr>
        <w:b/>
        <w:sz w:val="18"/>
      </w:rPr>
      <w:fldChar w:fldCharType="end"/>
    </w:r>
    <w:r>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74" w:rsidRPr="000314C7" w:rsidRDefault="00710974" w:rsidP="000314C7">
    <w:pPr>
      <w:pStyle w:val="Footer"/>
      <w:tabs>
        <w:tab w:val="right" w:pos="9638"/>
      </w:tabs>
      <w:rPr>
        <w:b/>
        <w:sz w:val="18"/>
      </w:rPr>
    </w:pPr>
    <w:r>
      <w:tab/>
    </w:r>
    <w:r w:rsidRPr="000314C7">
      <w:rPr>
        <w:b/>
        <w:sz w:val="18"/>
      </w:rPr>
      <w:fldChar w:fldCharType="begin"/>
    </w:r>
    <w:r w:rsidRPr="000314C7">
      <w:rPr>
        <w:b/>
        <w:sz w:val="18"/>
      </w:rPr>
      <w:instrText xml:space="preserve"> PAGE  \* MERGEFORMAT </w:instrText>
    </w:r>
    <w:r w:rsidRPr="000314C7">
      <w:rPr>
        <w:b/>
        <w:sz w:val="18"/>
      </w:rPr>
      <w:fldChar w:fldCharType="separate"/>
    </w:r>
    <w:r w:rsidR="00F14F92">
      <w:rPr>
        <w:b/>
        <w:noProof/>
        <w:sz w:val="18"/>
      </w:rPr>
      <w:t>3</w:t>
    </w:r>
    <w:r w:rsidRPr="000314C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74" w:rsidRPr="0029791D" w:rsidRDefault="00F14F92" w:rsidP="00E97E2C">
    <w:pPr>
      <w:ind w:left="1134" w:right="1134"/>
      <w:jc w:val="cente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40.15pt;margin-top:651.95pt;width:86.95pt;height:18.35pt;z-index:251657728;mso-position-horizontal-relative:margin;mso-position-vertical-relative:margin">
          <v:imagedata r:id="rId1" o:title="recycle_French"/>
          <w10:wrap anchorx="margin" anchory="margin"/>
        </v:shape>
      </w:pict>
    </w:r>
    <w:r w:rsidR="00710974">
      <w:t>_______________</w:t>
    </w:r>
  </w:p>
  <w:p w:rsidR="00710974" w:rsidRDefault="00F14F92" w:rsidP="00E97E2C">
    <w:pPr>
      <w:jc w:val="center"/>
      <w:rPr>
        <w:b/>
        <w:bCs/>
        <w:sz w:val="22"/>
      </w:rPr>
    </w:pPr>
    <w:r>
      <w:pict>
        <v:shape id="_x0000_i1025" type="#_x0000_t75" style="width:1in;height:60.6pt;mso-wrap-distance-bottom:10.8pt" o:allowoverlap="f" fillcolor="window">
          <v:imagedata r:id="rId2" o:title="" cropleft="-4986f" cropright="-4986f"/>
        </v:shape>
      </w:pict>
    </w:r>
  </w:p>
  <w:p w:rsidR="00710974" w:rsidRPr="0029791D" w:rsidRDefault="00710974" w:rsidP="00E97E2C">
    <w:pPr>
      <w:jc w:val="center"/>
      <w:rPr>
        <w:sz w:val="24"/>
        <w:szCs w:val="24"/>
      </w:rPr>
    </w:pPr>
    <w:r w:rsidRPr="0029791D">
      <w:rPr>
        <w:b/>
        <w:bCs/>
        <w:sz w:val="24"/>
        <w:szCs w:val="24"/>
      </w:rPr>
      <w:t>Nations Unies</w:t>
    </w:r>
  </w:p>
  <w:p w:rsidR="00710974" w:rsidRPr="0029791D" w:rsidRDefault="00710974" w:rsidP="00E97E2C">
    <w:pPr>
      <w:pStyle w:val="FootnoteText"/>
      <w:tabs>
        <w:tab w:val="clear" w:pos="1021"/>
        <w:tab w:val="right" w:pos="2155"/>
      </w:tabs>
      <w:spacing w:after="80" w:line="240" w:lineRule="atLeast"/>
      <w:ind w:left="680" w:right="0" w:firstLine="0"/>
      <w:rPr>
        <w:u w:val="single"/>
      </w:rPr>
    </w:pPr>
    <w:r>
      <w:rPr>
        <w:u w:val="single"/>
      </w:rPr>
      <w:tab/>
    </w:r>
  </w:p>
  <w:p w:rsidR="00710974" w:rsidRDefault="00710974" w:rsidP="00242268">
    <w:pPr>
      <w:pStyle w:val="FootnoteText"/>
      <w:spacing w:after="240" w:line="200" w:lineRule="exact"/>
    </w:pPr>
    <w:r>
      <w:tab/>
    </w:r>
    <w:r w:rsidRPr="0029791D">
      <w:rPr>
        <w:rStyle w:val="FootnoteReference"/>
        <w:sz w:val="20"/>
        <w:vertAlign w:val="baseline"/>
      </w:rPr>
      <w:t>*</w:t>
    </w:r>
    <w:r>
      <w:rPr>
        <w:sz w:val="20"/>
      </w:rPr>
      <w:tab/>
    </w:r>
    <w:r w:rsidRPr="007817A7">
      <w:t>Ancien titre de l</w:t>
    </w:r>
    <w:r>
      <w:t>’</w:t>
    </w:r>
    <w:r w:rsidRPr="007817A7">
      <w:t>Accor</w:t>
    </w:r>
    <w:r>
      <w:t>d: Accord concernant l’a</w:t>
    </w:r>
    <w:r w:rsidRPr="007817A7">
      <w:t>doption de conditions uniformes d</w:t>
    </w:r>
    <w:r>
      <w:t>’</w:t>
    </w:r>
    <w:r w:rsidRPr="007817A7">
      <w:t>homologation et la</w:t>
    </w:r>
    <w:r>
      <w:t> </w:t>
    </w:r>
    <w:r w:rsidRPr="007817A7">
      <w:t>reconnaissance réciproque de l</w:t>
    </w:r>
    <w:r>
      <w:t>’</w:t>
    </w:r>
    <w:r w:rsidRPr="007817A7">
      <w:t>homologation des équipements et pièces de véhicules à m</w:t>
    </w:r>
    <w:r>
      <w:t xml:space="preserve">oteur, en date, à Genève, du 20 </w:t>
    </w:r>
    <w:r w:rsidRPr="007817A7">
      <w:t>mars 1958.</w:t>
    </w:r>
  </w:p>
  <w:p w:rsidR="00710974" w:rsidRPr="000314C7" w:rsidRDefault="00710974" w:rsidP="000314C7">
    <w:pPr>
      <w:pStyle w:val="Footer"/>
      <w:spacing w:before="120"/>
      <w:rPr>
        <w:sz w:val="20"/>
      </w:rPr>
    </w:pPr>
    <w:r>
      <w:rPr>
        <w:sz w:val="20"/>
      </w:rPr>
      <w:t>GE</w:t>
    </w:r>
    <w:r w:rsidR="004750C7">
      <w:rPr>
        <w:sz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9EB" w:rsidRPr="00D27D5E" w:rsidRDefault="000109EB" w:rsidP="00D27D5E">
      <w:pPr>
        <w:tabs>
          <w:tab w:val="right" w:pos="2155"/>
        </w:tabs>
        <w:spacing w:after="80"/>
        <w:ind w:left="680"/>
        <w:rPr>
          <w:u w:val="single"/>
        </w:rPr>
      </w:pPr>
      <w:r>
        <w:rPr>
          <w:u w:val="single"/>
        </w:rPr>
        <w:tab/>
      </w:r>
    </w:p>
  </w:footnote>
  <w:footnote w:type="continuationSeparator" w:id="0">
    <w:p w:rsidR="000109EB" w:rsidRPr="00D171D4" w:rsidRDefault="000109EB" w:rsidP="00D171D4">
      <w:pPr>
        <w:tabs>
          <w:tab w:val="right" w:pos="2155"/>
        </w:tabs>
        <w:spacing w:after="80"/>
        <w:ind w:left="680"/>
        <w:rPr>
          <w:u w:val="single"/>
        </w:rPr>
      </w:pPr>
      <w:r w:rsidRPr="00D171D4">
        <w:rPr>
          <w:u w:val="single"/>
        </w:rPr>
        <w:tab/>
      </w:r>
    </w:p>
  </w:footnote>
  <w:footnote w:type="continuationNotice" w:id="1">
    <w:p w:rsidR="000109EB" w:rsidRPr="00C451B9" w:rsidRDefault="000109EB" w:rsidP="00C451B9">
      <w:pPr>
        <w:spacing w:line="240" w:lineRule="auto"/>
        <w:rPr>
          <w:sz w:val="2"/>
          <w:szCs w:val="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74" w:rsidRPr="000314C7" w:rsidRDefault="00710974">
    <w:pPr>
      <w:pStyle w:val="Header"/>
    </w:pPr>
    <w:r>
      <w:t>E/ECE/324</w:t>
    </w:r>
    <w:r w:rsidR="00F031F2">
      <w:t>/Rev.1/Add.47/Rev.1</w:t>
    </w:r>
    <w:r w:rsidR="00E22F3D">
      <w:t>1</w:t>
    </w:r>
    <w:r w:rsidR="00F031F2">
      <w:t>/Amend.</w:t>
    </w:r>
    <w:r w:rsidR="00E22F3D">
      <w:t>1</w:t>
    </w:r>
    <w:r>
      <w:br/>
      <w:t>E/ECE/TRANS/505</w:t>
    </w:r>
    <w:r w:rsidR="00F031F2">
      <w:t>/Rev.1/Add.47/Rev.1</w:t>
    </w:r>
    <w:r w:rsidR="00E22F3D">
      <w:t>1</w:t>
    </w:r>
    <w:r w:rsidR="00F031F2">
      <w:t>/Amend.</w:t>
    </w:r>
    <w:r w:rsidR="00E22F3D">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74" w:rsidRPr="000314C7" w:rsidRDefault="00710974" w:rsidP="000314C7">
    <w:pPr>
      <w:pStyle w:val="Header"/>
      <w:jc w:val="right"/>
    </w:pPr>
    <w:r>
      <w:t>E/ECE/324</w:t>
    </w:r>
    <w:r w:rsidR="00F031F2">
      <w:t>/Rev.1/Add.47/Rev.1</w:t>
    </w:r>
    <w:r w:rsidR="00E22F3D">
      <w:t>1</w:t>
    </w:r>
    <w:r w:rsidR="00F031F2">
      <w:t>/Amend.</w:t>
    </w:r>
    <w:r w:rsidR="00E22F3D">
      <w:t>1</w:t>
    </w:r>
    <w:r>
      <w:br/>
      <w:t>E/ECE/TRANS/505</w:t>
    </w:r>
    <w:r w:rsidR="00F031F2">
      <w:t>/Rev.1/Add.47/Rev.1</w:t>
    </w:r>
    <w:r w:rsidR="00E22F3D">
      <w:t>1</w:t>
    </w:r>
    <w:r w:rsidR="00F031F2">
      <w:t>/Amend.</w:t>
    </w:r>
    <w:r w:rsidR="00E22F3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B594"/>
    <w:lvl w:ilvl="0">
      <w:start w:val="1"/>
      <w:numFmt w:val="decimal"/>
      <w:lvlText w:val="%1."/>
      <w:lvlJc w:val="left"/>
      <w:pPr>
        <w:tabs>
          <w:tab w:val="num" w:pos="1492"/>
        </w:tabs>
        <w:ind w:left="1492" w:hanging="360"/>
      </w:pPr>
    </w:lvl>
  </w:abstractNum>
  <w:abstractNum w:abstractNumId="1">
    <w:nsid w:val="FFFFFF7D"/>
    <w:multiLevelType w:val="singleLevel"/>
    <w:tmpl w:val="C674D702"/>
    <w:lvl w:ilvl="0">
      <w:start w:val="1"/>
      <w:numFmt w:val="decimal"/>
      <w:lvlText w:val="%1."/>
      <w:lvlJc w:val="left"/>
      <w:pPr>
        <w:tabs>
          <w:tab w:val="num" w:pos="1209"/>
        </w:tabs>
        <w:ind w:left="1209" w:hanging="360"/>
      </w:pPr>
    </w:lvl>
  </w:abstractNum>
  <w:abstractNum w:abstractNumId="2">
    <w:nsid w:val="FFFFFF7E"/>
    <w:multiLevelType w:val="singleLevel"/>
    <w:tmpl w:val="F0D6E17A"/>
    <w:lvl w:ilvl="0">
      <w:start w:val="1"/>
      <w:numFmt w:val="decimal"/>
      <w:lvlText w:val="%1."/>
      <w:lvlJc w:val="left"/>
      <w:pPr>
        <w:tabs>
          <w:tab w:val="num" w:pos="926"/>
        </w:tabs>
        <w:ind w:left="926" w:hanging="360"/>
      </w:pPr>
    </w:lvl>
  </w:abstractNum>
  <w:abstractNum w:abstractNumId="3">
    <w:nsid w:val="FFFFFF7F"/>
    <w:multiLevelType w:val="singleLevel"/>
    <w:tmpl w:val="C934554E"/>
    <w:lvl w:ilvl="0">
      <w:start w:val="1"/>
      <w:numFmt w:val="decimal"/>
      <w:lvlText w:val="%1."/>
      <w:lvlJc w:val="left"/>
      <w:pPr>
        <w:tabs>
          <w:tab w:val="num" w:pos="643"/>
        </w:tabs>
        <w:ind w:left="643" w:hanging="360"/>
      </w:pPr>
    </w:lvl>
  </w:abstractNum>
  <w:abstractNum w:abstractNumId="4">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D81E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2CF9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B8D1B0"/>
    <w:lvl w:ilvl="0">
      <w:start w:val="1"/>
      <w:numFmt w:val="decimal"/>
      <w:lvlText w:val="%1."/>
      <w:lvlJc w:val="left"/>
      <w:pPr>
        <w:tabs>
          <w:tab w:val="num" w:pos="360"/>
        </w:tabs>
        <w:ind w:left="360" w:hanging="360"/>
      </w:pPr>
    </w:lvl>
  </w:abstractNum>
  <w:abstractNum w:abstractNumId="9">
    <w:nsid w:val="FFFFFF89"/>
    <w:multiLevelType w:val="singleLevel"/>
    <w:tmpl w:val="951CCE1A"/>
    <w:lvl w:ilvl="0">
      <w:start w:val="1"/>
      <w:numFmt w:val="bullet"/>
      <w:lvlText w:val=""/>
      <w:lvlJc w:val="left"/>
      <w:pPr>
        <w:tabs>
          <w:tab w:val="num" w:pos="360"/>
        </w:tabs>
        <w:ind w:left="360" w:hanging="360"/>
      </w:pPr>
      <w:rPr>
        <w:rFonts w:ascii="Symbol" w:hAnsi="Symbol" w:hint="default"/>
      </w:rPr>
    </w:lvl>
  </w:abstractNum>
  <w:abstractNum w:abstractNumId="10">
    <w:nsid w:val="01C05691"/>
    <w:multiLevelType w:val="singleLevel"/>
    <w:tmpl w:val="36084DBE"/>
    <w:lvl w:ilvl="0">
      <w:start w:val="1"/>
      <w:numFmt w:val="decimal"/>
      <w:lvlText w:val="%1."/>
      <w:lvlJc w:val="left"/>
      <w:pPr>
        <w:tabs>
          <w:tab w:val="num" w:pos="1440"/>
        </w:tabs>
        <w:ind w:left="1440" w:hanging="720"/>
      </w:pPr>
    </w:lvl>
  </w:abstractNum>
  <w:abstractNum w:abstractNumId="11">
    <w:nsid w:val="08CE72D2"/>
    <w:multiLevelType w:val="singleLevel"/>
    <w:tmpl w:val="0409000F"/>
    <w:lvl w:ilvl="0">
      <w:start w:val="1"/>
      <w:numFmt w:val="decimal"/>
      <w:lvlText w:val="%1."/>
      <w:lvlJc w:val="left"/>
      <w:pPr>
        <w:tabs>
          <w:tab w:val="num" w:pos="360"/>
        </w:tabs>
        <w:ind w:left="360" w:hanging="360"/>
      </w:pPr>
    </w:lvl>
  </w:abstractNum>
  <w:abstractNum w:abstractNumId="12">
    <w:nsid w:val="0AC26C62"/>
    <w:multiLevelType w:val="singleLevel"/>
    <w:tmpl w:val="561E0F3E"/>
    <w:lvl w:ilvl="0">
      <w:start w:val="1"/>
      <w:numFmt w:val="decimal"/>
      <w:lvlText w:val="%1."/>
      <w:lvlJc w:val="left"/>
      <w:pPr>
        <w:tabs>
          <w:tab w:val="num" w:pos="720"/>
        </w:tabs>
        <w:ind w:left="720" w:hanging="720"/>
      </w:pPr>
    </w:lvl>
  </w:abstractNum>
  <w:abstractNum w:abstractNumId="13">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170C549E"/>
    <w:multiLevelType w:val="singleLevel"/>
    <w:tmpl w:val="01325DD6"/>
    <w:lvl w:ilvl="0">
      <w:start w:val="1"/>
      <w:numFmt w:val="lowerLetter"/>
      <w:lvlText w:val="(%1)"/>
      <w:lvlJc w:val="left"/>
      <w:pPr>
        <w:tabs>
          <w:tab w:val="num" w:pos="720"/>
        </w:tabs>
        <w:ind w:left="720" w:hanging="720"/>
      </w:pPr>
    </w:lvl>
  </w:abstractNum>
  <w:abstractNum w:abstractNumId="16">
    <w:nsid w:val="1E4D37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A123C58"/>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3F49C6"/>
    <w:multiLevelType w:val="singleLevel"/>
    <w:tmpl w:val="720CB540"/>
    <w:lvl w:ilvl="0">
      <w:start w:val="1"/>
      <w:numFmt w:val="lowerRoman"/>
      <w:lvlText w:val="(%1)"/>
      <w:lvlJc w:val="right"/>
      <w:pPr>
        <w:tabs>
          <w:tab w:val="num" w:pos="2160"/>
        </w:tabs>
        <w:ind w:left="2160" w:hanging="516"/>
      </w:pPr>
    </w:lvl>
  </w:abstractNum>
  <w:abstractNum w:abstractNumId="19">
    <w:nsid w:val="302A75A7"/>
    <w:multiLevelType w:val="singleLevel"/>
    <w:tmpl w:val="3496DD40"/>
    <w:lvl w:ilvl="0">
      <w:start w:val="1"/>
      <w:numFmt w:val="decimal"/>
      <w:lvlText w:val="(%1)"/>
      <w:lvlJc w:val="left"/>
      <w:pPr>
        <w:tabs>
          <w:tab w:val="num" w:pos="1440"/>
        </w:tabs>
        <w:ind w:left="1440" w:hanging="720"/>
      </w:pPr>
    </w:lvl>
  </w:abstractNum>
  <w:abstractNum w:abstractNumId="20">
    <w:nsid w:val="36255761"/>
    <w:multiLevelType w:val="singleLevel"/>
    <w:tmpl w:val="0409000F"/>
    <w:lvl w:ilvl="0">
      <w:start w:val="1"/>
      <w:numFmt w:val="decimal"/>
      <w:lvlText w:val="%1."/>
      <w:lvlJc w:val="left"/>
      <w:pPr>
        <w:tabs>
          <w:tab w:val="num" w:pos="360"/>
        </w:tabs>
        <w:ind w:left="360" w:hanging="360"/>
      </w:pPr>
    </w:lvl>
  </w:abstractNum>
  <w:abstractNum w:abstractNumId="21">
    <w:nsid w:val="3A3B2524"/>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3">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4">
    <w:nsid w:val="3EF500B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40221049"/>
    <w:multiLevelType w:val="singleLevel"/>
    <w:tmpl w:val="04D4B0C4"/>
    <w:lvl w:ilvl="0">
      <w:start w:val="1"/>
      <w:numFmt w:val="decimal"/>
      <w:lvlText w:val="%1."/>
      <w:lvlJc w:val="left"/>
      <w:pPr>
        <w:tabs>
          <w:tab w:val="num" w:pos="360"/>
        </w:tabs>
        <w:ind w:left="360" w:hanging="360"/>
      </w:pPr>
    </w:lvl>
  </w:abstractNum>
  <w:abstractNum w:abstractNumId="26">
    <w:nsid w:val="452D144C"/>
    <w:multiLevelType w:val="singleLevel"/>
    <w:tmpl w:val="7C4C0A7C"/>
    <w:lvl w:ilvl="0">
      <w:start w:val="1"/>
      <w:numFmt w:val="decimal"/>
      <w:lvlText w:val="(%1)"/>
      <w:lvlJc w:val="left"/>
      <w:pPr>
        <w:tabs>
          <w:tab w:val="num" w:pos="720"/>
        </w:tabs>
        <w:ind w:left="720" w:hanging="720"/>
      </w:pPr>
    </w:lvl>
  </w:abstractNum>
  <w:abstractNum w:abstractNumId="27">
    <w:nsid w:val="45AC29BB"/>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75545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0">
    <w:nsid w:val="4DF455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EFA2598"/>
    <w:multiLevelType w:val="singleLevel"/>
    <w:tmpl w:val="0409000F"/>
    <w:lvl w:ilvl="0">
      <w:start w:val="1"/>
      <w:numFmt w:val="decimal"/>
      <w:lvlText w:val="%1."/>
      <w:lvlJc w:val="left"/>
      <w:pPr>
        <w:tabs>
          <w:tab w:val="num" w:pos="360"/>
        </w:tabs>
        <w:ind w:left="360" w:hanging="360"/>
      </w:pPr>
    </w:lvl>
  </w:abstractNum>
  <w:abstractNum w:abstractNumId="32">
    <w:nsid w:val="53791BC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4">
    <w:nsid w:val="6260382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5D15DFE"/>
    <w:multiLevelType w:val="singleLevel"/>
    <w:tmpl w:val="475E6D3C"/>
    <w:lvl w:ilvl="0">
      <w:start w:val="1"/>
      <w:numFmt w:val="decimal"/>
      <w:lvlText w:val="%1."/>
      <w:lvlJc w:val="left"/>
      <w:pPr>
        <w:tabs>
          <w:tab w:val="num" w:pos="360"/>
        </w:tabs>
        <w:ind w:left="360" w:hanging="360"/>
      </w:pPr>
    </w:lvl>
  </w:abstractNum>
  <w:abstractNum w:abstractNumId="36">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7">
    <w:nsid w:val="779C6E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ACA643D"/>
    <w:multiLevelType w:val="singleLevel"/>
    <w:tmpl w:val="0409000F"/>
    <w:lvl w:ilvl="0">
      <w:start w:val="1"/>
      <w:numFmt w:val="decimal"/>
      <w:lvlText w:val="%1."/>
      <w:lvlJc w:val="left"/>
      <w:pPr>
        <w:tabs>
          <w:tab w:val="num" w:pos="360"/>
        </w:tabs>
        <w:ind w:left="360" w:hanging="360"/>
      </w:pPr>
    </w:lvl>
  </w:abstractNum>
  <w:abstractNum w:abstractNumId="39">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1">
    <w:nsid w:val="7DBF6B58"/>
    <w:multiLevelType w:val="singleLevel"/>
    <w:tmpl w:val="0409000F"/>
    <w:lvl w:ilvl="0">
      <w:start w:val="1"/>
      <w:numFmt w:val="decimal"/>
      <w:lvlText w:val="%1."/>
      <w:lvlJc w:val="left"/>
      <w:pPr>
        <w:tabs>
          <w:tab w:val="num" w:pos="360"/>
        </w:tabs>
        <w:ind w:left="360" w:hanging="360"/>
      </w:pPr>
    </w:lvl>
  </w:abstractNum>
  <w:num w:numId="1">
    <w:abstractNumId w:val="40"/>
  </w:num>
  <w:num w:numId="2">
    <w:abstractNumId w:val="18"/>
  </w:num>
  <w:num w:numId="3">
    <w:abstractNumId w:val="40"/>
  </w:num>
  <w:num w:numId="4">
    <w:abstractNumId w:val="18"/>
  </w:num>
  <w:num w:numId="5">
    <w:abstractNumId w:val="11"/>
  </w:num>
  <w:num w:numId="6">
    <w:abstractNumId w:val="20"/>
  </w:num>
  <w:num w:numId="7">
    <w:abstractNumId w:val="25"/>
  </w:num>
  <w:num w:numId="8">
    <w:abstractNumId w:val="38"/>
  </w:num>
  <w:num w:numId="9">
    <w:abstractNumId w:val="31"/>
  </w:num>
  <w:num w:numId="10">
    <w:abstractNumId w:val="41"/>
  </w:num>
  <w:num w:numId="11">
    <w:abstractNumId w:val="25"/>
  </w:num>
  <w:num w:numId="12">
    <w:abstractNumId w:val="29"/>
  </w:num>
  <w:num w:numId="13">
    <w:abstractNumId w:val="29"/>
  </w:num>
  <w:num w:numId="14">
    <w:abstractNumId w:val="35"/>
  </w:num>
  <w:num w:numId="15">
    <w:abstractNumId w:val="23"/>
  </w:num>
  <w:num w:numId="16">
    <w:abstractNumId w:val="23"/>
  </w:num>
  <w:num w:numId="17">
    <w:abstractNumId w:val="40"/>
  </w:num>
  <w:num w:numId="18">
    <w:abstractNumId w:val="18"/>
  </w:num>
  <w:num w:numId="19">
    <w:abstractNumId w:val="1"/>
  </w:num>
  <w:num w:numId="20">
    <w:abstractNumId w:val="0"/>
  </w:num>
  <w:num w:numId="21">
    <w:abstractNumId w:val="19"/>
  </w:num>
  <w:num w:numId="22">
    <w:abstractNumId w:val="10"/>
  </w:num>
  <w:num w:numId="23">
    <w:abstractNumId w:val="15"/>
  </w:num>
  <w:num w:numId="24">
    <w:abstractNumId w:val="12"/>
  </w:num>
  <w:num w:numId="25">
    <w:abstractNumId w:val="26"/>
  </w:num>
  <w:num w:numId="26">
    <w:abstractNumId w:val="33"/>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3"/>
  </w:num>
  <w:num w:numId="36">
    <w:abstractNumId w:val="39"/>
  </w:num>
  <w:num w:numId="37">
    <w:abstractNumId w:val="36"/>
  </w:num>
  <w:num w:numId="38">
    <w:abstractNumId w:val="22"/>
  </w:num>
  <w:num w:numId="39">
    <w:abstractNumId w:val="28"/>
  </w:num>
  <w:num w:numId="40">
    <w:abstractNumId w:val="37"/>
  </w:num>
  <w:num w:numId="41">
    <w:abstractNumId w:val="16"/>
  </w:num>
  <w:num w:numId="42">
    <w:abstractNumId w:val="24"/>
  </w:num>
  <w:num w:numId="43">
    <w:abstractNumId w:val="32"/>
  </w:num>
  <w:num w:numId="44">
    <w:abstractNumId w:val="21"/>
  </w:num>
  <w:num w:numId="45">
    <w:abstractNumId w:val="34"/>
  </w:num>
  <w:num w:numId="46">
    <w:abstractNumId w:val="30"/>
  </w:num>
  <w:num w:numId="47">
    <w:abstractNumId w:val="27"/>
  </w:num>
  <w:num w:numId="48">
    <w:abstractNumId w:val="17"/>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7"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8CD"/>
    <w:rsid w:val="000109EB"/>
    <w:rsid w:val="0001470D"/>
    <w:rsid w:val="00015650"/>
    <w:rsid w:val="00016165"/>
    <w:rsid w:val="00016AC5"/>
    <w:rsid w:val="00021126"/>
    <w:rsid w:val="00021907"/>
    <w:rsid w:val="000233A5"/>
    <w:rsid w:val="0002445D"/>
    <w:rsid w:val="00024C50"/>
    <w:rsid w:val="00025E92"/>
    <w:rsid w:val="000276A3"/>
    <w:rsid w:val="000314C7"/>
    <w:rsid w:val="00032060"/>
    <w:rsid w:val="00037B3F"/>
    <w:rsid w:val="00040539"/>
    <w:rsid w:val="00040598"/>
    <w:rsid w:val="00047F10"/>
    <w:rsid w:val="00052157"/>
    <w:rsid w:val="0005346D"/>
    <w:rsid w:val="00055FE4"/>
    <w:rsid w:val="000641CE"/>
    <w:rsid w:val="00067310"/>
    <w:rsid w:val="00077E35"/>
    <w:rsid w:val="0008669E"/>
    <w:rsid w:val="00090599"/>
    <w:rsid w:val="00090B60"/>
    <w:rsid w:val="000A1501"/>
    <w:rsid w:val="000A2494"/>
    <w:rsid w:val="000A6B7E"/>
    <w:rsid w:val="000C6CDB"/>
    <w:rsid w:val="000D5C25"/>
    <w:rsid w:val="000E4F06"/>
    <w:rsid w:val="000E5601"/>
    <w:rsid w:val="000F17F6"/>
    <w:rsid w:val="000F41F2"/>
    <w:rsid w:val="0010373B"/>
    <w:rsid w:val="0011415F"/>
    <w:rsid w:val="00125446"/>
    <w:rsid w:val="001358D9"/>
    <w:rsid w:val="00141E26"/>
    <w:rsid w:val="00143EB9"/>
    <w:rsid w:val="00152C5A"/>
    <w:rsid w:val="0015389C"/>
    <w:rsid w:val="00160540"/>
    <w:rsid w:val="00166C68"/>
    <w:rsid w:val="00174814"/>
    <w:rsid w:val="00181A90"/>
    <w:rsid w:val="00190D5D"/>
    <w:rsid w:val="00192EEB"/>
    <w:rsid w:val="00194484"/>
    <w:rsid w:val="001A2040"/>
    <w:rsid w:val="001A20FB"/>
    <w:rsid w:val="001A376F"/>
    <w:rsid w:val="001B09BB"/>
    <w:rsid w:val="001C08ED"/>
    <w:rsid w:val="001C3D8D"/>
    <w:rsid w:val="001C6497"/>
    <w:rsid w:val="001D3393"/>
    <w:rsid w:val="001D7F8A"/>
    <w:rsid w:val="001E0447"/>
    <w:rsid w:val="001E1495"/>
    <w:rsid w:val="001E34CB"/>
    <w:rsid w:val="001E3FEB"/>
    <w:rsid w:val="001E4541"/>
    <w:rsid w:val="001E4A02"/>
    <w:rsid w:val="001E4E3F"/>
    <w:rsid w:val="001E653B"/>
    <w:rsid w:val="001E6DF0"/>
    <w:rsid w:val="001F3E68"/>
    <w:rsid w:val="001F4931"/>
    <w:rsid w:val="002000CD"/>
    <w:rsid w:val="00200CBA"/>
    <w:rsid w:val="00204B66"/>
    <w:rsid w:val="002059CE"/>
    <w:rsid w:val="00206AD4"/>
    <w:rsid w:val="00224B8B"/>
    <w:rsid w:val="00225A8C"/>
    <w:rsid w:val="00230ED3"/>
    <w:rsid w:val="00231A7F"/>
    <w:rsid w:val="00242268"/>
    <w:rsid w:val="00242BBD"/>
    <w:rsid w:val="00244817"/>
    <w:rsid w:val="0024586F"/>
    <w:rsid w:val="00246BC8"/>
    <w:rsid w:val="00251F95"/>
    <w:rsid w:val="00252317"/>
    <w:rsid w:val="002659F1"/>
    <w:rsid w:val="00271E41"/>
    <w:rsid w:val="00284C19"/>
    <w:rsid w:val="00286E23"/>
    <w:rsid w:val="002876A1"/>
    <w:rsid w:val="00287CA6"/>
    <w:rsid w:val="00287E79"/>
    <w:rsid w:val="002928F9"/>
    <w:rsid w:val="00294D5B"/>
    <w:rsid w:val="0029791D"/>
    <w:rsid w:val="002A2A2C"/>
    <w:rsid w:val="002A5D07"/>
    <w:rsid w:val="002D25CA"/>
    <w:rsid w:val="002D3DA4"/>
    <w:rsid w:val="002E2F5C"/>
    <w:rsid w:val="002E487C"/>
    <w:rsid w:val="002F0C48"/>
    <w:rsid w:val="003016B7"/>
    <w:rsid w:val="0030754C"/>
    <w:rsid w:val="00317E54"/>
    <w:rsid w:val="00322DF1"/>
    <w:rsid w:val="00324EBF"/>
    <w:rsid w:val="0032556C"/>
    <w:rsid w:val="00330508"/>
    <w:rsid w:val="0033286A"/>
    <w:rsid w:val="00333130"/>
    <w:rsid w:val="0034178D"/>
    <w:rsid w:val="00346E32"/>
    <w:rsid w:val="003515AA"/>
    <w:rsid w:val="00364F13"/>
    <w:rsid w:val="0036776C"/>
    <w:rsid w:val="00372A7A"/>
    <w:rsid w:val="00372D1D"/>
    <w:rsid w:val="00374106"/>
    <w:rsid w:val="0037679A"/>
    <w:rsid w:val="0038047C"/>
    <w:rsid w:val="00390EEF"/>
    <w:rsid w:val="00394410"/>
    <w:rsid w:val="003976D5"/>
    <w:rsid w:val="003A58D8"/>
    <w:rsid w:val="003B53B6"/>
    <w:rsid w:val="003D6C68"/>
    <w:rsid w:val="003E01D0"/>
    <w:rsid w:val="003E49B9"/>
    <w:rsid w:val="003E5E5B"/>
    <w:rsid w:val="003E5F12"/>
    <w:rsid w:val="003E786C"/>
    <w:rsid w:val="003F2A89"/>
    <w:rsid w:val="003F4A54"/>
    <w:rsid w:val="0040144C"/>
    <w:rsid w:val="004067AE"/>
    <w:rsid w:val="00410521"/>
    <w:rsid w:val="00413BB0"/>
    <w:rsid w:val="004159D0"/>
    <w:rsid w:val="00417326"/>
    <w:rsid w:val="00421A10"/>
    <w:rsid w:val="00422499"/>
    <w:rsid w:val="00430EFC"/>
    <w:rsid w:val="00433FA6"/>
    <w:rsid w:val="004342E2"/>
    <w:rsid w:val="00434354"/>
    <w:rsid w:val="00440BC8"/>
    <w:rsid w:val="00454F8D"/>
    <w:rsid w:val="004567EB"/>
    <w:rsid w:val="00460E72"/>
    <w:rsid w:val="00464191"/>
    <w:rsid w:val="00467412"/>
    <w:rsid w:val="004726BE"/>
    <w:rsid w:val="004750C7"/>
    <w:rsid w:val="00476265"/>
    <w:rsid w:val="00490F56"/>
    <w:rsid w:val="00491F39"/>
    <w:rsid w:val="00495A7B"/>
    <w:rsid w:val="004A49A5"/>
    <w:rsid w:val="004A66A2"/>
    <w:rsid w:val="004B261D"/>
    <w:rsid w:val="004B51CD"/>
    <w:rsid w:val="004B576C"/>
    <w:rsid w:val="004C54C0"/>
    <w:rsid w:val="004C56B2"/>
    <w:rsid w:val="004D00B2"/>
    <w:rsid w:val="004E4963"/>
    <w:rsid w:val="004E6809"/>
    <w:rsid w:val="004E7F24"/>
    <w:rsid w:val="005111B1"/>
    <w:rsid w:val="0051457E"/>
    <w:rsid w:val="0051714B"/>
    <w:rsid w:val="00520F80"/>
    <w:rsid w:val="00522E73"/>
    <w:rsid w:val="005239FF"/>
    <w:rsid w:val="00523DB8"/>
    <w:rsid w:val="00533150"/>
    <w:rsid w:val="00543B57"/>
    <w:rsid w:val="00543C47"/>
    <w:rsid w:val="00543D5E"/>
    <w:rsid w:val="00552260"/>
    <w:rsid w:val="00552777"/>
    <w:rsid w:val="00555494"/>
    <w:rsid w:val="00555CBA"/>
    <w:rsid w:val="00556C1A"/>
    <w:rsid w:val="00563071"/>
    <w:rsid w:val="00565B29"/>
    <w:rsid w:val="00571BC1"/>
    <w:rsid w:val="00571F41"/>
    <w:rsid w:val="00575476"/>
    <w:rsid w:val="005757A7"/>
    <w:rsid w:val="00583A20"/>
    <w:rsid w:val="00584373"/>
    <w:rsid w:val="0059061F"/>
    <w:rsid w:val="00591DB3"/>
    <w:rsid w:val="005939ED"/>
    <w:rsid w:val="005947BC"/>
    <w:rsid w:val="00595E8A"/>
    <w:rsid w:val="005A0268"/>
    <w:rsid w:val="005A6014"/>
    <w:rsid w:val="005B473C"/>
    <w:rsid w:val="005C549A"/>
    <w:rsid w:val="005C5A47"/>
    <w:rsid w:val="005D7719"/>
    <w:rsid w:val="005E1B9B"/>
    <w:rsid w:val="005E32D1"/>
    <w:rsid w:val="005E5D1F"/>
    <w:rsid w:val="005F0207"/>
    <w:rsid w:val="0061113B"/>
    <w:rsid w:val="00611D43"/>
    <w:rsid w:val="00612D48"/>
    <w:rsid w:val="00613A5E"/>
    <w:rsid w:val="00616B45"/>
    <w:rsid w:val="006241C6"/>
    <w:rsid w:val="00630D9B"/>
    <w:rsid w:val="00631953"/>
    <w:rsid w:val="0063208D"/>
    <w:rsid w:val="00643814"/>
    <w:rsid w:val="006439EC"/>
    <w:rsid w:val="00645090"/>
    <w:rsid w:val="00646671"/>
    <w:rsid w:val="00647059"/>
    <w:rsid w:val="00647162"/>
    <w:rsid w:val="0065029A"/>
    <w:rsid w:val="006553F9"/>
    <w:rsid w:val="00661E96"/>
    <w:rsid w:val="00662A48"/>
    <w:rsid w:val="00665786"/>
    <w:rsid w:val="00671C93"/>
    <w:rsid w:val="00671F00"/>
    <w:rsid w:val="006729C8"/>
    <w:rsid w:val="00675501"/>
    <w:rsid w:val="0068055F"/>
    <w:rsid w:val="0068562A"/>
    <w:rsid w:val="006A62F8"/>
    <w:rsid w:val="006A6B31"/>
    <w:rsid w:val="006A6C95"/>
    <w:rsid w:val="006A7B29"/>
    <w:rsid w:val="006B0EB2"/>
    <w:rsid w:val="006B0FF8"/>
    <w:rsid w:val="006B4590"/>
    <w:rsid w:val="006C27D3"/>
    <w:rsid w:val="006C340C"/>
    <w:rsid w:val="006D5EAB"/>
    <w:rsid w:val="006F1D0B"/>
    <w:rsid w:val="006F27A8"/>
    <w:rsid w:val="006F3493"/>
    <w:rsid w:val="006F3544"/>
    <w:rsid w:val="0070347C"/>
    <w:rsid w:val="00707FE6"/>
    <w:rsid w:val="007102D2"/>
    <w:rsid w:val="00710974"/>
    <w:rsid w:val="00714A66"/>
    <w:rsid w:val="007176C1"/>
    <w:rsid w:val="00720BC0"/>
    <w:rsid w:val="0072116B"/>
    <w:rsid w:val="00725063"/>
    <w:rsid w:val="00732E72"/>
    <w:rsid w:val="00741D90"/>
    <w:rsid w:val="007529FC"/>
    <w:rsid w:val="007607B1"/>
    <w:rsid w:val="00765296"/>
    <w:rsid w:val="00765DCF"/>
    <w:rsid w:val="00766D28"/>
    <w:rsid w:val="007723C2"/>
    <w:rsid w:val="007815B9"/>
    <w:rsid w:val="00785F1F"/>
    <w:rsid w:val="007869B6"/>
    <w:rsid w:val="00790B9D"/>
    <w:rsid w:val="00796316"/>
    <w:rsid w:val="007A1C58"/>
    <w:rsid w:val="007A20D2"/>
    <w:rsid w:val="007A79CD"/>
    <w:rsid w:val="007D2668"/>
    <w:rsid w:val="007D3119"/>
    <w:rsid w:val="007E3CBD"/>
    <w:rsid w:val="007F1867"/>
    <w:rsid w:val="007F1EC4"/>
    <w:rsid w:val="007F55CB"/>
    <w:rsid w:val="007F768E"/>
    <w:rsid w:val="008021D4"/>
    <w:rsid w:val="008149F9"/>
    <w:rsid w:val="008245B7"/>
    <w:rsid w:val="0082755E"/>
    <w:rsid w:val="00831A18"/>
    <w:rsid w:val="008345F4"/>
    <w:rsid w:val="00837345"/>
    <w:rsid w:val="00844750"/>
    <w:rsid w:val="00851A74"/>
    <w:rsid w:val="00853AB8"/>
    <w:rsid w:val="00854C34"/>
    <w:rsid w:val="0085586A"/>
    <w:rsid w:val="00856DB2"/>
    <w:rsid w:val="00895DE5"/>
    <w:rsid w:val="008A00CA"/>
    <w:rsid w:val="008A0FA8"/>
    <w:rsid w:val="008A1EC0"/>
    <w:rsid w:val="008B44C4"/>
    <w:rsid w:val="008C322B"/>
    <w:rsid w:val="008C4B74"/>
    <w:rsid w:val="008D1156"/>
    <w:rsid w:val="008D59DB"/>
    <w:rsid w:val="008E0319"/>
    <w:rsid w:val="008E1A59"/>
    <w:rsid w:val="008E4DE2"/>
    <w:rsid w:val="008E7CE2"/>
    <w:rsid w:val="008E7FAE"/>
    <w:rsid w:val="00911BF7"/>
    <w:rsid w:val="0091594A"/>
    <w:rsid w:val="009230F1"/>
    <w:rsid w:val="00926925"/>
    <w:rsid w:val="00935490"/>
    <w:rsid w:val="009418DE"/>
    <w:rsid w:val="009516B7"/>
    <w:rsid w:val="009545F1"/>
    <w:rsid w:val="0095705B"/>
    <w:rsid w:val="00957CE5"/>
    <w:rsid w:val="009624E2"/>
    <w:rsid w:val="00974DD2"/>
    <w:rsid w:val="00977EC8"/>
    <w:rsid w:val="00996562"/>
    <w:rsid w:val="009A3048"/>
    <w:rsid w:val="009A6C26"/>
    <w:rsid w:val="009B17AD"/>
    <w:rsid w:val="009B3F8C"/>
    <w:rsid w:val="009B45E0"/>
    <w:rsid w:val="009B540F"/>
    <w:rsid w:val="009D3A8C"/>
    <w:rsid w:val="009E1BA9"/>
    <w:rsid w:val="009E2876"/>
    <w:rsid w:val="009E2F0B"/>
    <w:rsid w:val="009E7956"/>
    <w:rsid w:val="009F072F"/>
    <w:rsid w:val="009F26C1"/>
    <w:rsid w:val="009F3F95"/>
    <w:rsid w:val="00A023FC"/>
    <w:rsid w:val="00A0338D"/>
    <w:rsid w:val="00A05DD1"/>
    <w:rsid w:val="00A077E9"/>
    <w:rsid w:val="00A2492E"/>
    <w:rsid w:val="00A31163"/>
    <w:rsid w:val="00A34593"/>
    <w:rsid w:val="00A364DB"/>
    <w:rsid w:val="00A45E90"/>
    <w:rsid w:val="00A4770F"/>
    <w:rsid w:val="00A50D6B"/>
    <w:rsid w:val="00A51050"/>
    <w:rsid w:val="00A56945"/>
    <w:rsid w:val="00A57027"/>
    <w:rsid w:val="00A5750C"/>
    <w:rsid w:val="00A72C35"/>
    <w:rsid w:val="00A752BB"/>
    <w:rsid w:val="00A76263"/>
    <w:rsid w:val="00A81F93"/>
    <w:rsid w:val="00A92017"/>
    <w:rsid w:val="00A9247E"/>
    <w:rsid w:val="00A952AD"/>
    <w:rsid w:val="00AA0DCA"/>
    <w:rsid w:val="00AA7796"/>
    <w:rsid w:val="00AC67A1"/>
    <w:rsid w:val="00AC7977"/>
    <w:rsid w:val="00AC7E56"/>
    <w:rsid w:val="00AE2617"/>
    <w:rsid w:val="00AE3153"/>
    <w:rsid w:val="00AE352C"/>
    <w:rsid w:val="00AE79AC"/>
    <w:rsid w:val="00B01AAD"/>
    <w:rsid w:val="00B101DB"/>
    <w:rsid w:val="00B21751"/>
    <w:rsid w:val="00B256F0"/>
    <w:rsid w:val="00B31D7D"/>
    <w:rsid w:val="00B32E2D"/>
    <w:rsid w:val="00B416B8"/>
    <w:rsid w:val="00B43741"/>
    <w:rsid w:val="00B45642"/>
    <w:rsid w:val="00B52F29"/>
    <w:rsid w:val="00B5388D"/>
    <w:rsid w:val="00B61990"/>
    <w:rsid w:val="00B6249B"/>
    <w:rsid w:val="00B70CCD"/>
    <w:rsid w:val="00B75E66"/>
    <w:rsid w:val="00B773BF"/>
    <w:rsid w:val="00B804B7"/>
    <w:rsid w:val="00BC3F20"/>
    <w:rsid w:val="00BD13E6"/>
    <w:rsid w:val="00BD28B2"/>
    <w:rsid w:val="00BD5A8D"/>
    <w:rsid w:val="00BD7343"/>
    <w:rsid w:val="00BF0556"/>
    <w:rsid w:val="00BF37EE"/>
    <w:rsid w:val="00BF41E8"/>
    <w:rsid w:val="00C024A1"/>
    <w:rsid w:val="00C02C42"/>
    <w:rsid w:val="00C10FB1"/>
    <w:rsid w:val="00C11282"/>
    <w:rsid w:val="00C14108"/>
    <w:rsid w:val="00C231A5"/>
    <w:rsid w:val="00C261F8"/>
    <w:rsid w:val="00C27662"/>
    <w:rsid w:val="00C32914"/>
    <w:rsid w:val="00C33100"/>
    <w:rsid w:val="00C42EDB"/>
    <w:rsid w:val="00C451B9"/>
    <w:rsid w:val="00C51D9C"/>
    <w:rsid w:val="00C54DA4"/>
    <w:rsid w:val="00C55118"/>
    <w:rsid w:val="00C577D1"/>
    <w:rsid w:val="00C57A2D"/>
    <w:rsid w:val="00C6018C"/>
    <w:rsid w:val="00C67D23"/>
    <w:rsid w:val="00C71827"/>
    <w:rsid w:val="00C75D25"/>
    <w:rsid w:val="00C825E5"/>
    <w:rsid w:val="00C95EB8"/>
    <w:rsid w:val="00CB02C5"/>
    <w:rsid w:val="00CB0D41"/>
    <w:rsid w:val="00CB39CD"/>
    <w:rsid w:val="00CC2A62"/>
    <w:rsid w:val="00CC7CE6"/>
    <w:rsid w:val="00CD044C"/>
    <w:rsid w:val="00CD1A71"/>
    <w:rsid w:val="00CD1FBB"/>
    <w:rsid w:val="00CE033D"/>
    <w:rsid w:val="00CE08E5"/>
    <w:rsid w:val="00D016B5"/>
    <w:rsid w:val="00D034F1"/>
    <w:rsid w:val="00D04527"/>
    <w:rsid w:val="00D05828"/>
    <w:rsid w:val="00D06712"/>
    <w:rsid w:val="00D14C21"/>
    <w:rsid w:val="00D14F42"/>
    <w:rsid w:val="00D171D4"/>
    <w:rsid w:val="00D244CB"/>
    <w:rsid w:val="00D27D5E"/>
    <w:rsid w:val="00D32B08"/>
    <w:rsid w:val="00D407D1"/>
    <w:rsid w:val="00D43E5F"/>
    <w:rsid w:val="00D51CE6"/>
    <w:rsid w:val="00D62AC5"/>
    <w:rsid w:val="00D639BD"/>
    <w:rsid w:val="00D65777"/>
    <w:rsid w:val="00D66E0D"/>
    <w:rsid w:val="00D7425A"/>
    <w:rsid w:val="00D74F7E"/>
    <w:rsid w:val="00D7695F"/>
    <w:rsid w:val="00D9039B"/>
    <w:rsid w:val="00D93582"/>
    <w:rsid w:val="00DA41A2"/>
    <w:rsid w:val="00DA43A1"/>
    <w:rsid w:val="00DA5E1D"/>
    <w:rsid w:val="00DC3628"/>
    <w:rsid w:val="00DC4F43"/>
    <w:rsid w:val="00DC5038"/>
    <w:rsid w:val="00DD1ED8"/>
    <w:rsid w:val="00DE6D90"/>
    <w:rsid w:val="00DF002F"/>
    <w:rsid w:val="00DF1D90"/>
    <w:rsid w:val="00E01123"/>
    <w:rsid w:val="00E0244D"/>
    <w:rsid w:val="00E026DF"/>
    <w:rsid w:val="00E02F48"/>
    <w:rsid w:val="00E03712"/>
    <w:rsid w:val="00E06B3F"/>
    <w:rsid w:val="00E10A73"/>
    <w:rsid w:val="00E14F27"/>
    <w:rsid w:val="00E171D2"/>
    <w:rsid w:val="00E22F3D"/>
    <w:rsid w:val="00E25534"/>
    <w:rsid w:val="00E319B6"/>
    <w:rsid w:val="00E32145"/>
    <w:rsid w:val="00E32F5A"/>
    <w:rsid w:val="00E43CB0"/>
    <w:rsid w:val="00E510F3"/>
    <w:rsid w:val="00E51874"/>
    <w:rsid w:val="00E55223"/>
    <w:rsid w:val="00E56AD9"/>
    <w:rsid w:val="00E60012"/>
    <w:rsid w:val="00E606BF"/>
    <w:rsid w:val="00E62CFF"/>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B407B"/>
    <w:rsid w:val="00EB77B9"/>
    <w:rsid w:val="00EB7D07"/>
    <w:rsid w:val="00ED3A26"/>
    <w:rsid w:val="00EF70BB"/>
    <w:rsid w:val="00F02FA9"/>
    <w:rsid w:val="00F031F2"/>
    <w:rsid w:val="00F06660"/>
    <w:rsid w:val="00F07AE1"/>
    <w:rsid w:val="00F116EB"/>
    <w:rsid w:val="00F14F92"/>
    <w:rsid w:val="00F1794E"/>
    <w:rsid w:val="00F211AF"/>
    <w:rsid w:val="00F25EC3"/>
    <w:rsid w:val="00F32ADB"/>
    <w:rsid w:val="00F32C98"/>
    <w:rsid w:val="00F37E12"/>
    <w:rsid w:val="00F424BD"/>
    <w:rsid w:val="00F45D41"/>
    <w:rsid w:val="00F515AD"/>
    <w:rsid w:val="00F57DD7"/>
    <w:rsid w:val="00F636AD"/>
    <w:rsid w:val="00F734D9"/>
    <w:rsid w:val="00F73F83"/>
    <w:rsid w:val="00F74902"/>
    <w:rsid w:val="00F85A4E"/>
    <w:rsid w:val="00F9353A"/>
    <w:rsid w:val="00F965C2"/>
    <w:rsid w:val="00FA27D4"/>
    <w:rsid w:val="00FA5A79"/>
    <w:rsid w:val="00FB0BFE"/>
    <w:rsid w:val="00FB4300"/>
    <w:rsid w:val="00FB4C51"/>
    <w:rsid w:val="00FB734D"/>
    <w:rsid w:val="00FC2227"/>
    <w:rsid w:val="00FC58CD"/>
    <w:rsid w:val="00FD02A2"/>
    <w:rsid w:val="00FD5E64"/>
    <w:rsid w:val="00FD7985"/>
    <w:rsid w:val="00FE2E9C"/>
    <w:rsid w:val="00FE6526"/>
    <w:rsid w:val="00FF1DBD"/>
    <w:rsid w:val="00FF1E4B"/>
    <w:rsid w:val="00FF3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A8C"/>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A50D6B"/>
    <w:pPr>
      <w:keepNext/>
      <w:keepLines/>
      <w:spacing w:after="0" w:line="240" w:lineRule="auto"/>
      <w:ind w:right="0"/>
      <w:jc w:val="left"/>
      <w:outlineLvl w:val="0"/>
    </w:pPr>
  </w:style>
  <w:style w:type="paragraph" w:styleId="Heading2">
    <w:name w:val="heading 2"/>
    <w:basedOn w:val="Normal"/>
    <w:next w:val="Normal"/>
    <w:qFormat/>
    <w:rsid w:val="00287E79"/>
    <w:pPr>
      <w:outlineLvl w:val="1"/>
    </w:pPr>
  </w:style>
  <w:style w:type="paragraph" w:styleId="Heading3">
    <w:name w:val="heading 3"/>
    <w:basedOn w:val="Normal"/>
    <w:next w:val="Normal"/>
    <w:qFormat/>
    <w:rsid w:val="00287E79"/>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1D7F8A"/>
    <w:pPr>
      <w:spacing w:after="120"/>
      <w:ind w:left="1134" w:right="1134"/>
      <w:jc w:val="both"/>
    </w:pPr>
  </w:style>
  <w:style w:type="paragraph" w:styleId="EndnoteText">
    <w:name w:val="endnote text"/>
    <w:aliases w:val="2_G"/>
    <w:basedOn w:val="FootnoteText"/>
    <w:rsid w:val="00D016B5"/>
  </w:style>
  <w:style w:type="paragraph" w:styleId="FootnoteText">
    <w:name w:val="footnote text"/>
    <w:aliases w:val="5_G"/>
    <w:basedOn w:val="Normal"/>
    <w:rsid w:val="00C10FB1"/>
    <w:pPr>
      <w:tabs>
        <w:tab w:val="right" w:pos="1021"/>
      </w:tabs>
      <w:spacing w:line="220" w:lineRule="exact"/>
      <w:ind w:left="1134" w:right="1134" w:hanging="1134"/>
    </w:pPr>
    <w:rPr>
      <w:sz w:val="18"/>
    </w:rPr>
  </w:style>
  <w:style w:type="paragraph" w:styleId="Footer">
    <w:name w:val="footer"/>
    <w:aliases w:val="3_G"/>
    <w:basedOn w:val="Normal"/>
    <w:next w:val="Normal"/>
    <w:rsid w:val="001D7F8A"/>
    <w:pPr>
      <w:spacing w:line="240" w:lineRule="auto"/>
    </w:pPr>
    <w:rPr>
      <w:sz w:val="16"/>
    </w:rPr>
  </w:style>
  <w:style w:type="character" w:styleId="EndnoteReference">
    <w:name w:val="endnote reference"/>
    <w:aliases w:val="1_G"/>
    <w:rsid w:val="00D016B5"/>
    <w:rPr>
      <w:rFonts w:ascii="Times New Roman" w:hAnsi="Times New Roman"/>
      <w:sz w:val="18"/>
      <w:vertAlign w:val="superscript"/>
      <w:lang w:val="fr-CH"/>
    </w:rPr>
  </w:style>
  <w:style w:type="character" w:styleId="FootnoteReference">
    <w:name w:val="footnote reference"/>
    <w:aliases w:val="4_G"/>
    <w:rsid w:val="00D016B5"/>
    <w:rPr>
      <w:rFonts w:ascii="Times New Roman" w:hAnsi="Times New Roman"/>
      <w:sz w:val="18"/>
      <w:vertAlign w:val="superscript"/>
      <w:lang w:val="fr-CH"/>
    </w:rPr>
  </w:style>
  <w:style w:type="character" w:styleId="PageNumber">
    <w:name w:val="page number"/>
    <w:aliases w:val="7_G"/>
    <w:rsid w:val="00287E79"/>
    <w:rPr>
      <w:rFonts w:ascii="Times New Roman" w:hAnsi="Times New Roman"/>
      <w:b/>
      <w:sz w:val="18"/>
      <w:lang w:val="fr-CH"/>
    </w:rPr>
  </w:style>
  <w:style w:type="paragraph" w:styleId="Header">
    <w:name w:val="header"/>
    <w:aliases w:val="6_G"/>
    <w:basedOn w:val="Normal"/>
    <w:next w:val="Normal"/>
    <w:rsid w:val="007723C2"/>
    <w:pPr>
      <w:pBdr>
        <w:bottom w:val="single" w:sz="4" w:space="4" w:color="auto"/>
      </w:pBdr>
      <w:spacing w:line="240" w:lineRule="auto"/>
    </w:pPr>
    <w:rPr>
      <w:b/>
      <w:sz w:val="18"/>
    </w:rPr>
  </w:style>
  <w:style w:type="paragraph" w:customStyle="1" w:styleId="H1G">
    <w:name w:val="_ H_1_G"/>
    <w:basedOn w:val="Normal"/>
    <w:next w:val="Normal"/>
    <w:rsid w:val="00D016B5"/>
    <w:pPr>
      <w:keepNext/>
      <w:keepLines/>
      <w:tabs>
        <w:tab w:val="right" w:pos="851"/>
      </w:tabs>
      <w:spacing w:before="360" w:after="240" w:line="270" w:lineRule="exact"/>
      <w:ind w:left="1134" w:right="1134" w:hanging="1134"/>
    </w:pPr>
    <w:rPr>
      <w:b/>
      <w:sz w:val="24"/>
    </w:rPr>
  </w:style>
  <w:style w:type="paragraph" w:customStyle="1" w:styleId="HChG">
    <w:name w:val="_ H _Ch_G"/>
    <w:basedOn w:val="Normal"/>
    <w:next w:val="Normal"/>
    <w:rsid w:val="00D016B5"/>
    <w:pPr>
      <w:keepNext/>
      <w:keepLines/>
      <w:tabs>
        <w:tab w:val="right" w:pos="851"/>
      </w:tabs>
      <w:spacing w:before="360" w:after="240" w:line="300" w:lineRule="exact"/>
      <w:ind w:left="1134" w:right="1134" w:hanging="1134"/>
    </w:pPr>
    <w:rPr>
      <w:b/>
      <w:sz w:val="28"/>
    </w:rPr>
  </w:style>
  <w:style w:type="paragraph" w:customStyle="1" w:styleId="HMG">
    <w:name w:val="_ H __M_G"/>
    <w:basedOn w:val="Normal"/>
    <w:next w:val="Normal"/>
    <w:rsid w:val="00D016B5"/>
    <w:pPr>
      <w:keepNext/>
      <w:keepLines/>
      <w:tabs>
        <w:tab w:val="right" w:pos="851"/>
      </w:tabs>
      <w:spacing w:before="240" w:after="240" w:line="360" w:lineRule="exact"/>
      <w:ind w:left="1134" w:right="1134" w:hanging="1134"/>
    </w:pPr>
    <w:rPr>
      <w:b/>
      <w:sz w:val="34"/>
    </w:rPr>
  </w:style>
  <w:style w:type="paragraph" w:customStyle="1" w:styleId="H23G">
    <w:name w:val="_ H_2/3_G"/>
    <w:basedOn w:val="Normal"/>
    <w:next w:val="Normal"/>
    <w:rsid w:val="00D016B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016B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D016B5"/>
    <w:pPr>
      <w:keepNext/>
      <w:keepLines/>
      <w:tabs>
        <w:tab w:val="right" w:pos="851"/>
      </w:tabs>
      <w:spacing w:before="240" w:after="120" w:line="240" w:lineRule="exact"/>
      <w:ind w:left="1134" w:right="1134" w:hanging="1134"/>
    </w:pPr>
  </w:style>
  <w:style w:type="paragraph" w:customStyle="1" w:styleId="SMG">
    <w:name w:val="__S_M_G"/>
    <w:basedOn w:val="Normal"/>
    <w:next w:val="Normal"/>
    <w:rsid w:val="001D7F8A"/>
    <w:pPr>
      <w:keepNext/>
      <w:keepLines/>
      <w:spacing w:before="240" w:after="240" w:line="420" w:lineRule="exact"/>
      <w:ind w:left="1134" w:right="1134"/>
    </w:pPr>
    <w:rPr>
      <w:b/>
      <w:sz w:val="40"/>
    </w:rPr>
  </w:style>
  <w:style w:type="paragraph" w:customStyle="1" w:styleId="SLG">
    <w:name w:val="__S_L_G"/>
    <w:basedOn w:val="Normal"/>
    <w:next w:val="Normal"/>
    <w:rsid w:val="001D7F8A"/>
    <w:pPr>
      <w:keepNext/>
      <w:keepLines/>
      <w:spacing w:before="240" w:after="240" w:line="580" w:lineRule="exact"/>
      <w:ind w:left="1134" w:right="1134"/>
    </w:pPr>
    <w:rPr>
      <w:b/>
      <w:sz w:val="56"/>
    </w:rPr>
  </w:style>
  <w:style w:type="paragraph" w:customStyle="1" w:styleId="SSG">
    <w:name w:val="__S_S_G"/>
    <w:basedOn w:val="Normal"/>
    <w:next w:val="Normal"/>
    <w:rsid w:val="001D7F8A"/>
    <w:pPr>
      <w:keepNext/>
      <w:keepLines/>
      <w:spacing w:before="240" w:after="240" w:line="300" w:lineRule="exact"/>
      <w:ind w:left="1134" w:right="1134"/>
    </w:pPr>
    <w:rPr>
      <w:b/>
      <w:sz w:val="28"/>
    </w:rPr>
  </w:style>
  <w:style w:type="paragraph" w:customStyle="1" w:styleId="XLargeG">
    <w:name w:val="__XLarge_G"/>
    <w:basedOn w:val="Normal"/>
    <w:next w:val="Normal"/>
    <w:rsid w:val="001D7F8A"/>
    <w:pPr>
      <w:keepNext/>
      <w:keepLines/>
      <w:spacing w:before="240" w:after="240" w:line="420" w:lineRule="exact"/>
      <w:ind w:left="1134" w:right="1134"/>
    </w:pPr>
    <w:rPr>
      <w:b/>
      <w:sz w:val="40"/>
    </w:rPr>
  </w:style>
  <w:style w:type="paragraph" w:customStyle="1" w:styleId="Bullet1G">
    <w:name w:val="_Bullet 1_G"/>
    <w:basedOn w:val="Normal"/>
    <w:rsid w:val="00D016B5"/>
    <w:pPr>
      <w:numPr>
        <w:numId w:val="37"/>
      </w:numPr>
      <w:spacing w:after="120"/>
      <w:ind w:right="1134"/>
      <w:jc w:val="both"/>
    </w:pPr>
  </w:style>
  <w:style w:type="paragraph" w:customStyle="1" w:styleId="Bullet2G">
    <w:name w:val="_Bullet 2_G"/>
    <w:basedOn w:val="Normal"/>
    <w:rsid w:val="00D016B5"/>
    <w:pPr>
      <w:numPr>
        <w:numId w:val="38"/>
      </w:numPr>
      <w:spacing w:after="120"/>
      <w:ind w:right="1134"/>
      <w:jc w:val="both"/>
    </w:pPr>
  </w:style>
  <w:style w:type="table" w:styleId="TableGrid">
    <w:name w:val="Table Grid"/>
    <w:basedOn w:val="TableNormal"/>
    <w:semiHidden/>
    <w:rsid w:val="00372D1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421A10"/>
    <w:rPr>
      <w:lang w:val="fr-CH" w:eastAsia="en-US" w:bidi="ar-SA"/>
    </w:rPr>
  </w:style>
  <w:style w:type="character" w:styleId="Hyperlink">
    <w:name w:val="Hyperlink"/>
    <w:semiHidden/>
    <w:rsid w:val="00491F39"/>
    <w:rPr>
      <w:color w:val="auto"/>
      <w:u w:val="none"/>
    </w:rPr>
  </w:style>
  <w:style w:type="character" w:styleId="FollowedHyperlink">
    <w:name w:val="FollowedHyperlink"/>
    <w:semiHidden/>
    <w:rsid w:val="00491F39"/>
    <w:rPr>
      <w:color w:val="auto"/>
      <w:u w:val="none"/>
    </w:rPr>
  </w:style>
  <w:style w:type="paragraph" w:customStyle="1" w:styleId="ParNoG">
    <w:name w:val="_ParNo_G"/>
    <w:basedOn w:val="SingleTxtG"/>
    <w:rsid w:val="00FE2E9C"/>
    <w:pPr>
      <w:numPr>
        <w:numId w:val="49"/>
      </w:numPr>
    </w:pPr>
  </w:style>
  <w:style w:type="character" w:customStyle="1" w:styleId="Heading1Char">
    <w:name w:val="Heading 1 Char"/>
    <w:aliases w:val="Table_G Char"/>
    <w:link w:val="Heading1"/>
    <w:rsid w:val="001C08ED"/>
    <w:rPr>
      <w:lang w:val="fr-CH" w:eastAsia="en-US"/>
    </w:rPr>
  </w:style>
  <w:style w:type="paragraph" w:styleId="BalloonText">
    <w:name w:val="Balloon Text"/>
    <w:basedOn w:val="Normal"/>
    <w:link w:val="BalloonTextChar"/>
    <w:rsid w:val="00F031F2"/>
    <w:pPr>
      <w:spacing w:line="240" w:lineRule="auto"/>
    </w:pPr>
    <w:rPr>
      <w:rFonts w:ascii="Tahoma" w:hAnsi="Tahoma" w:cs="Tahoma"/>
      <w:sz w:val="16"/>
      <w:szCs w:val="16"/>
    </w:rPr>
  </w:style>
  <w:style w:type="character" w:customStyle="1" w:styleId="BalloonTextChar">
    <w:name w:val="Balloon Text Char"/>
    <w:link w:val="BalloonText"/>
    <w:rsid w:val="00F031F2"/>
    <w:rPr>
      <w:rFonts w:ascii="Tahoma" w:hAnsi="Tahoma" w:cs="Tahoma"/>
      <w:sz w:val="16"/>
      <w:szCs w:val="16"/>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6293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E/ECE/324/Rev.2/Add.100/Rev.3/Amend.1</vt:lpstr>
      <vt:lpstr>E/ECE/324/Rev.2/Add.100/Rev.3/Amend.1</vt:lpstr>
    </vt:vector>
  </TitlesOfParts>
  <Company>CSD</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E/ECE/324/Rev.2/Add.100/Rev.3/Amend.1</dc:title>
  <dc:subject>final</dc:subject>
  <dc:creator>Lamy</dc:creator>
  <cp:lastModifiedBy>04</cp:lastModifiedBy>
  <cp:revision>3</cp:revision>
  <cp:lastPrinted>2015-06-05T09:51:00Z</cp:lastPrinted>
  <dcterms:created xsi:type="dcterms:W3CDTF">2015-06-15T09:24:00Z</dcterms:created>
  <dcterms:modified xsi:type="dcterms:W3CDTF">2015-06-22T09:41:00Z</dcterms:modified>
</cp:coreProperties>
</file>