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64636E" w:rsidTr="00165E82">
        <w:trPr>
          <w:cantSplit/>
          <w:trHeight w:hRule="exact" w:val="851"/>
        </w:trPr>
        <w:tc>
          <w:tcPr>
            <w:tcW w:w="1276" w:type="dxa"/>
            <w:tcBorders>
              <w:bottom w:val="single" w:sz="4" w:space="0" w:color="auto"/>
            </w:tcBorders>
            <w:vAlign w:val="bottom"/>
          </w:tcPr>
          <w:p w:rsidR="0064636E" w:rsidRDefault="0064636E" w:rsidP="003C3936"/>
        </w:tc>
        <w:tc>
          <w:tcPr>
            <w:tcW w:w="8363" w:type="dxa"/>
            <w:gridSpan w:val="2"/>
            <w:tcBorders>
              <w:bottom w:val="single" w:sz="4" w:space="0" w:color="auto"/>
            </w:tcBorders>
            <w:vAlign w:val="bottom"/>
          </w:tcPr>
          <w:p w:rsidR="0064636E" w:rsidRPr="00D47EEA" w:rsidRDefault="0064636E" w:rsidP="00976F08">
            <w:pPr>
              <w:jc w:val="right"/>
            </w:pPr>
            <w:r w:rsidRPr="00014D07">
              <w:rPr>
                <w:sz w:val="40"/>
              </w:rPr>
              <w:t>E</w:t>
            </w:r>
            <w:r>
              <w:t>/ECE/324/</w:t>
            </w:r>
            <w:r w:rsidR="00841EB5">
              <w:t>Rev.</w:t>
            </w:r>
            <w:r w:rsidR="00976F08">
              <w:t>1</w:t>
            </w:r>
            <w:r w:rsidR="00841EB5">
              <w:t>/</w:t>
            </w:r>
            <w:r>
              <w:t>Add.</w:t>
            </w:r>
            <w:r w:rsidR="00976F08">
              <w:t>43</w:t>
            </w:r>
            <w:r>
              <w:t>/Rev.</w:t>
            </w:r>
            <w:r w:rsidR="00976F08">
              <w:t>3</w:t>
            </w:r>
            <w:r>
              <w:t>/</w:t>
            </w:r>
            <w:r w:rsidR="00D623A7">
              <w:t>Amend.</w:t>
            </w:r>
            <w:r w:rsidR="00976F08">
              <w:t>2</w:t>
            </w:r>
            <w:r>
              <w:t>−</w:t>
            </w:r>
            <w:r w:rsidRPr="00014D07">
              <w:rPr>
                <w:sz w:val="40"/>
              </w:rPr>
              <w:t>E</w:t>
            </w:r>
            <w:r>
              <w:t>/ECE/TRANS/505</w:t>
            </w:r>
            <w:r w:rsidR="00976F08">
              <w:t>/Rev.1/Add.43/Rev.3/Amend.2</w:t>
            </w:r>
          </w:p>
        </w:tc>
      </w:tr>
      <w:tr w:rsidR="003C3936" w:rsidTr="00BB0907">
        <w:trPr>
          <w:cantSplit/>
          <w:trHeight w:hRule="exact" w:val="2697"/>
        </w:trPr>
        <w:tc>
          <w:tcPr>
            <w:tcW w:w="1276" w:type="dxa"/>
            <w:tcBorders>
              <w:top w:val="single" w:sz="4" w:space="0" w:color="auto"/>
              <w:bottom w:val="single" w:sz="12" w:space="0" w:color="auto"/>
            </w:tcBorders>
          </w:tcPr>
          <w:p w:rsidR="003C3936" w:rsidRDefault="003C3936" w:rsidP="003C3936">
            <w:pPr>
              <w:spacing w:before="120"/>
            </w:pPr>
          </w:p>
        </w:tc>
        <w:tc>
          <w:tcPr>
            <w:tcW w:w="5528" w:type="dxa"/>
            <w:tcBorders>
              <w:top w:val="single" w:sz="4" w:space="0" w:color="auto"/>
              <w:bottom w:val="single" w:sz="12" w:space="0" w:color="auto"/>
            </w:tcBorders>
          </w:tcPr>
          <w:p w:rsidR="003C3936" w:rsidRPr="00D773DF" w:rsidRDefault="003C3936" w:rsidP="003C3936">
            <w:pPr>
              <w:spacing w:before="120"/>
            </w:pPr>
          </w:p>
        </w:tc>
        <w:tc>
          <w:tcPr>
            <w:tcW w:w="2835" w:type="dxa"/>
            <w:tcBorders>
              <w:top w:val="single" w:sz="4" w:space="0" w:color="auto"/>
              <w:bottom w:val="single" w:sz="12" w:space="0" w:color="auto"/>
            </w:tcBorders>
          </w:tcPr>
          <w:p w:rsidR="003C3936" w:rsidRDefault="003C3936" w:rsidP="003C3936">
            <w:pPr>
              <w:spacing w:before="120"/>
            </w:pPr>
          </w:p>
          <w:p w:rsidR="00D623A7" w:rsidRDefault="00D623A7" w:rsidP="003C3936">
            <w:pPr>
              <w:spacing w:before="120"/>
            </w:pPr>
          </w:p>
          <w:p w:rsidR="00C84414" w:rsidRDefault="00C84414" w:rsidP="003C3936">
            <w:pPr>
              <w:spacing w:before="120"/>
            </w:pPr>
          </w:p>
          <w:p w:rsidR="00C84414" w:rsidRDefault="006070B2" w:rsidP="003C3936">
            <w:pPr>
              <w:spacing w:before="120"/>
            </w:pPr>
            <w:r>
              <w:t>22</w:t>
            </w:r>
            <w:bookmarkStart w:id="0" w:name="_GoBack"/>
            <w:bookmarkEnd w:id="0"/>
            <w:r w:rsidR="00D22BB3" w:rsidRPr="00D22BB3">
              <w:t xml:space="preserve"> June 2015</w:t>
            </w:r>
          </w:p>
        </w:tc>
      </w:tr>
    </w:tbl>
    <w:p w:rsidR="00C711C7" w:rsidRPr="00392A12" w:rsidRDefault="00C711C7" w:rsidP="00C711C7">
      <w:pPr>
        <w:pStyle w:val="HChG"/>
      </w:pPr>
      <w:r w:rsidRPr="00392A12">
        <w:tab/>
      </w:r>
      <w:r w:rsidRPr="00392A12">
        <w:tab/>
      </w:r>
      <w:bookmarkStart w:id="1" w:name="_Toc340666199"/>
      <w:bookmarkStart w:id="2" w:name="_Toc340745062"/>
      <w:r w:rsidRPr="00392A12">
        <w:t>Agreement</w:t>
      </w:r>
      <w:bookmarkEnd w:id="1"/>
      <w:bookmarkEnd w:id="2"/>
    </w:p>
    <w:p w:rsidR="00C711C7" w:rsidRPr="00392A12" w:rsidRDefault="00C711C7" w:rsidP="00BB0907">
      <w:pPr>
        <w:pStyle w:val="H1G"/>
        <w:spacing w:before="240"/>
      </w:pPr>
      <w:r w:rsidRPr="00F173C4">
        <w:rPr>
          <w:rStyle w:val="H1GChar"/>
        </w:rPr>
        <w:tab/>
      </w:r>
      <w:r w:rsidRPr="00F173C4">
        <w:rPr>
          <w:rStyle w:val="H1GChar"/>
        </w:rPr>
        <w:tab/>
      </w:r>
      <w:r w:rsidRPr="006A6FBE">
        <w:t xml:space="preserve">Concerning the Adoption of Uniform Technical Prescriptions for Wheeled Vehicles, Equipment and Parts which can be </w:t>
      </w:r>
      <w:r w:rsidR="00EA0ED6">
        <w:t>F</w:t>
      </w:r>
      <w:r w:rsidRPr="006A6FBE">
        <w:t xml:space="preserve">itted and/or be </w:t>
      </w:r>
      <w:r w:rsidR="00EA0ED6">
        <w:t>U</w:t>
      </w:r>
      <w:r w:rsidRPr="006A6FBE">
        <w:t>sed on Wheeled Vehicles and the Conditions for Reciprocal Recognition of Approvals Granted on the Basis of these Prescriptions</w:t>
      </w:r>
      <w:r w:rsidRPr="009E5D87">
        <w:rPr>
          <w:rStyle w:val="FootnoteReference"/>
          <w:b w:val="0"/>
          <w:sz w:val="20"/>
          <w:vertAlign w:val="baseline"/>
        </w:rPr>
        <w:footnoteReference w:customMarkFollows="1" w:id="2"/>
        <w:t>*</w:t>
      </w:r>
    </w:p>
    <w:p w:rsidR="00C711C7" w:rsidRPr="00392A12" w:rsidRDefault="00C711C7" w:rsidP="00C711C7">
      <w:pPr>
        <w:pStyle w:val="SingleTxtG"/>
        <w:spacing w:before="120"/>
      </w:pPr>
      <w:r w:rsidRPr="00392A12">
        <w:t>(Revision 2, including the amendments which entered into force on 16 October 1995)</w:t>
      </w:r>
    </w:p>
    <w:p w:rsidR="0064636E" w:rsidRDefault="00C711C7" w:rsidP="0064636E">
      <w:pPr>
        <w:pStyle w:val="H1G"/>
        <w:ind w:left="0" w:right="0" w:firstLine="0"/>
        <w:jc w:val="center"/>
      </w:pPr>
      <w:r>
        <w:t>_________</w:t>
      </w:r>
    </w:p>
    <w:p w:rsidR="0064636E" w:rsidRDefault="0064636E" w:rsidP="0064636E">
      <w:pPr>
        <w:pStyle w:val="H1G"/>
      </w:pPr>
      <w:r>
        <w:tab/>
      </w:r>
      <w:r>
        <w:tab/>
        <w:t xml:space="preserve">Addendum </w:t>
      </w:r>
      <w:r w:rsidR="00E724F0">
        <w:t>43</w:t>
      </w:r>
      <w:r>
        <w:t xml:space="preserve"> – Regulation No.</w:t>
      </w:r>
      <w:r w:rsidR="00271A7F">
        <w:t xml:space="preserve"> </w:t>
      </w:r>
      <w:r w:rsidR="00E724F0">
        <w:t>44</w:t>
      </w:r>
    </w:p>
    <w:p w:rsidR="0064636E" w:rsidRPr="00014D07" w:rsidRDefault="0064636E" w:rsidP="0064636E">
      <w:pPr>
        <w:pStyle w:val="H1G"/>
      </w:pPr>
      <w:r>
        <w:tab/>
      </w:r>
      <w:r>
        <w:tab/>
      </w:r>
      <w:r w:rsidRPr="00014D07">
        <w:t xml:space="preserve">Revision </w:t>
      </w:r>
      <w:r w:rsidR="00E724F0">
        <w:t>3</w:t>
      </w:r>
      <w:r w:rsidRPr="00014D07">
        <w:t xml:space="preserve"> - </w:t>
      </w:r>
      <w:r w:rsidR="00D623A7">
        <w:t>Amendment</w:t>
      </w:r>
      <w:r w:rsidRPr="00014D07">
        <w:t xml:space="preserve"> </w:t>
      </w:r>
      <w:r w:rsidR="00E724F0">
        <w:t>2</w:t>
      </w:r>
    </w:p>
    <w:p w:rsidR="0064636E" w:rsidRPr="00272880" w:rsidRDefault="00D623A7" w:rsidP="0064636E">
      <w:pPr>
        <w:pStyle w:val="SingleTxtG"/>
        <w:spacing w:after="360"/>
        <w:rPr>
          <w:spacing w:val="-2"/>
        </w:rPr>
      </w:pPr>
      <w:r>
        <w:rPr>
          <w:spacing w:val="-2"/>
        </w:rPr>
        <w:t xml:space="preserve">Supplement </w:t>
      </w:r>
      <w:r w:rsidR="00E724F0">
        <w:rPr>
          <w:spacing w:val="-2"/>
        </w:rPr>
        <w:t>9</w:t>
      </w:r>
      <w:r>
        <w:rPr>
          <w:spacing w:val="-2"/>
        </w:rPr>
        <w:t xml:space="preserve"> to </w:t>
      </w:r>
      <w:r w:rsidR="00271A7F">
        <w:rPr>
          <w:spacing w:val="-2"/>
        </w:rPr>
        <w:t xml:space="preserve">the </w:t>
      </w:r>
      <w:r w:rsidR="00E724F0">
        <w:rPr>
          <w:spacing w:val="-2"/>
        </w:rPr>
        <w:t>04</w:t>
      </w:r>
      <w:r>
        <w:rPr>
          <w:spacing w:val="-2"/>
        </w:rPr>
        <w:t xml:space="preserve"> series of amendments</w:t>
      </w:r>
      <w:r w:rsidR="0064636E" w:rsidRPr="00272880">
        <w:rPr>
          <w:spacing w:val="-2"/>
        </w:rPr>
        <w:t xml:space="preserve"> – Date of entry into force: </w:t>
      </w:r>
      <w:r w:rsidR="000D0247">
        <w:t>15 June 2015</w:t>
      </w:r>
    </w:p>
    <w:p w:rsidR="0064636E" w:rsidRDefault="0064636E" w:rsidP="0064636E">
      <w:pPr>
        <w:pStyle w:val="H1G"/>
        <w:rPr>
          <w:lang w:val="en-US"/>
        </w:rPr>
      </w:pPr>
      <w:r>
        <w:rPr>
          <w:lang w:val="en-US"/>
        </w:rPr>
        <w:tab/>
      </w:r>
      <w:r>
        <w:rPr>
          <w:lang w:val="en-US"/>
        </w:rPr>
        <w:tab/>
      </w:r>
      <w:r w:rsidR="00E724F0" w:rsidRPr="00E724F0">
        <w:rPr>
          <w:lang w:val="en-US"/>
        </w:rPr>
        <w:t>Uniform provisions concerning the approval of restraining devices for child occupants of power-driven vehicles ("Child Restraint Systems")</w:t>
      </w:r>
    </w:p>
    <w:p w:rsidR="000D0247" w:rsidRDefault="000D0247" w:rsidP="000D0247">
      <w:pPr>
        <w:pStyle w:val="SingleTxtG"/>
        <w:rPr>
          <w:spacing w:val="-6"/>
          <w:lang w:eastAsia="en-GB"/>
        </w:rPr>
      </w:pPr>
      <w:r>
        <w:rPr>
          <w:lang w:eastAsia="en-GB"/>
        </w:rPr>
        <w:t xml:space="preserve">This document is meant purely as documentation tool. The authentic and legal binding text is: </w:t>
      </w:r>
      <w:r>
        <w:rPr>
          <w:spacing w:val="-6"/>
          <w:lang w:eastAsia="en-GB"/>
        </w:rPr>
        <w:t>ECE/TRANS/WP.29/2014/</w:t>
      </w:r>
      <w:r w:rsidR="004D7098">
        <w:rPr>
          <w:spacing w:val="-6"/>
          <w:lang w:eastAsia="en-GB"/>
        </w:rPr>
        <w:t>7</w:t>
      </w:r>
      <w:r>
        <w:rPr>
          <w:spacing w:val="-6"/>
          <w:lang w:eastAsia="en-GB"/>
        </w:rPr>
        <w:t>3</w:t>
      </w:r>
      <w:r w:rsidR="004D7098">
        <w:rPr>
          <w:spacing w:val="-6"/>
          <w:lang w:eastAsia="en-GB"/>
        </w:rPr>
        <w:t>.</w:t>
      </w:r>
    </w:p>
    <w:p w:rsidR="000D3A4F" w:rsidRPr="000D3A4F" w:rsidRDefault="000D3A4F" w:rsidP="000D3A4F">
      <w:pPr>
        <w:suppressAutoHyphens w:val="0"/>
        <w:spacing w:line="240" w:lineRule="auto"/>
        <w:jc w:val="center"/>
        <w:rPr>
          <w:b/>
          <w:sz w:val="24"/>
        </w:rPr>
      </w:pPr>
      <w:r w:rsidRPr="000D3A4F">
        <w:rPr>
          <w:b/>
          <w:sz w:val="24"/>
        </w:rPr>
        <w:t>_________</w:t>
      </w:r>
    </w:p>
    <w:p w:rsidR="000D3A4F" w:rsidRPr="000D3A4F" w:rsidRDefault="006070B2" w:rsidP="000D3A4F">
      <w:pPr>
        <w:suppressAutoHyphens w:val="0"/>
        <w:spacing w:line="240" w:lineRule="auto"/>
        <w:rPr>
          <w:b/>
          <w:sz w:val="24"/>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margin-left:200pt;margin-top:13.4pt;width:81pt;height:65.1pt;z-index:251656704;visibility:visible;mso-wrap-distance-bottom:10.8pt">
            <v:imagedata r:id="rId8" o:title="" cropleft="-4983f" cropright="-4983f"/>
            <w10:wrap type="topAndBottom"/>
          </v:shape>
        </w:pict>
      </w:r>
    </w:p>
    <w:p w:rsidR="000D3A4F" w:rsidRPr="000D3A4F" w:rsidRDefault="000D3A4F" w:rsidP="000D3A4F">
      <w:pPr>
        <w:suppressAutoHyphens w:val="0"/>
        <w:spacing w:line="240" w:lineRule="auto"/>
        <w:jc w:val="center"/>
        <w:rPr>
          <w:b/>
          <w:sz w:val="24"/>
        </w:rPr>
      </w:pPr>
      <w:r w:rsidRPr="000D3A4F">
        <w:rPr>
          <w:b/>
          <w:sz w:val="24"/>
        </w:rPr>
        <w:t>UNITED NATIONS</w:t>
      </w:r>
    </w:p>
    <w:p w:rsidR="00D623A7" w:rsidRDefault="00D623A7">
      <w:pPr>
        <w:suppressAutoHyphens w:val="0"/>
        <w:spacing w:line="240" w:lineRule="auto"/>
      </w:pPr>
    </w:p>
    <w:p w:rsidR="00E724F0" w:rsidRPr="00E724F0" w:rsidRDefault="00E724F0" w:rsidP="00E724F0">
      <w:pPr>
        <w:spacing w:after="120"/>
        <w:ind w:left="1134" w:right="1134"/>
        <w:jc w:val="both"/>
      </w:pPr>
      <w:r w:rsidRPr="00E724F0">
        <w:rPr>
          <w:i/>
        </w:rPr>
        <w:t>Paragraph 2.7.,</w:t>
      </w:r>
      <w:r w:rsidRPr="00E724F0">
        <w:t xml:space="preserve"> amend to read:</w:t>
      </w:r>
    </w:p>
    <w:p w:rsidR="00E724F0" w:rsidRPr="00E724F0" w:rsidRDefault="00E724F0" w:rsidP="00E724F0">
      <w:pPr>
        <w:spacing w:after="120"/>
        <w:ind w:left="2268" w:right="1134" w:hanging="1134"/>
        <w:jc w:val="both"/>
      </w:pPr>
      <w:r w:rsidRPr="00E724F0">
        <w:t>"2.7.</w:t>
      </w:r>
      <w:r w:rsidRPr="00E724F0">
        <w:tab/>
        <w:t>"</w:t>
      </w:r>
      <w:r w:rsidRPr="00E724F0">
        <w:rPr>
          <w:i/>
        </w:rPr>
        <w:t>Impact shield</w:t>
      </w:r>
      <w:r w:rsidRPr="00E724F0">
        <w:t>" means a device secured in front of the child and designed to distribute the restraining forces over the greater part of the height of the child's body in the event of a frontal impact.</w:t>
      </w:r>
    </w:p>
    <w:p w:rsidR="00E724F0" w:rsidRPr="00E724F0" w:rsidRDefault="00E724F0" w:rsidP="00E724F0">
      <w:pPr>
        <w:spacing w:after="120"/>
        <w:ind w:left="2268" w:right="1134"/>
        <w:jc w:val="both"/>
      </w:pPr>
      <w:r w:rsidRPr="00E724F0">
        <w:t>With reference to paragraph 2.1.3., these are divided in two classes:</w:t>
      </w:r>
    </w:p>
    <w:p w:rsidR="00E724F0" w:rsidRPr="00E724F0" w:rsidRDefault="00E724F0" w:rsidP="00E724F0">
      <w:pPr>
        <w:spacing w:after="120"/>
        <w:ind w:left="2268" w:right="1134"/>
        <w:jc w:val="both"/>
      </w:pPr>
      <w:r w:rsidRPr="00E724F0">
        <w:t>Class A: Integral</w:t>
      </w:r>
    </w:p>
    <w:p w:rsidR="00E724F0" w:rsidRPr="00E724F0" w:rsidRDefault="00E724F0" w:rsidP="00E724F0">
      <w:pPr>
        <w:spacing w:after="120"/>
        <w:ind w:left="2268" w:right="1134"/>
        <w:jc w:val="both"/>
      </w:pPr>
      <w:r w:rsidRPr="00E724F0">
        <w:t>Class B: Non integral."</w:t>
      </w:r>
    </w:p>
    <w:p w:rsidR="00E724F0" w:rsidRPr="00E724F0" w:rsidRDefault="00E724F0" w:rsidP="00E724F0">
      <w:pPr>
        <w:spacing w:after="120"/>
        <w:ind w:left="1134" w:right="1134"/>
        <w:jc w:val="both"/>
        <w:rPr>
          <w:i/>
          <w:iCs/>
        </w:rPr>
      </w:pPr>
      <w:r w:rsidRPr="00E724F0">
        <w:rPr>
          <w:i/>
          <w:iCs/>
        </w:rPr>
        <w:t xml:space="preserve">Paragraphs 6.1.5. and 6.1.6., </w:t>
      </w:r>
      <w:r w:rsidRPr="00E724F0">
        <w:rPr>
          <w:iCs/>
        </w:rPr>
        <w:t>amend to read:</w:t>
      </w:r>
    </w:p>
    <w:p w:rsidR="00E724F0" w:rsidRPr="00E724F0" w:rsidRDefault="00E724F0" w:rsidP="00E724F0">
      <w:pPr>
        <w:spacing w:after="120"/>
        <w:ind w:left="2268" w:right="1134" w:hanging="1134"/>
        <w:jc w:val="both"/>
        <w:rPr>
          <w:bCs/>
        </w:rPr>
      </w:pPr>
      <w:r w:rsidRPr="00E724F0">
        <w:rPr>
          <w:bCs/>
        </w:rPr>
        <w:t>"</w:t>
      </w:r>
      <w:r w:rsidRPr="00E724F0">
        <w:t>6.1.5.</w:t>
      </w:r>
      <w:r w:rsidRPr="00E724F0">
        <w:tab/>
        <w:t>The child restraint manufacturer has to declare in written form that the toxicity of materials used in the manufacture of restraint systems and accessible to the restrained child is in conformity with the relevant parts of EN 71:2009, part 3. Tests confirming the validity of the declaration may be carried out at the discretion of the test authority. This paragraph does not apply to restraint devices of groups II and III.</w:t>
      </w:r>
    </w:p>
    <w:p w:rsidR="00E724F0" w:rsidRPr="00E724F0" w:rsidRDefault="00E724F0" w:rsidP="00E724F0">
      <w:pPr>
        <w:spacing w:after="120"/>
        <w:ind w:left="2268" w:right="1134" w:hanging="1134"/>
        <w:jc w:val="both"/>
      </w:pPr>
      <w:r w:rsidRPr="00E724F0">
        <w:t>6.1.6.</w:t>
      </w:r>
      <w:r w:rsidRPr="00E724F0">
        <w:tab/>
        <w:t>The child restraint manufacturer has to declare in written form that the flammability of materials used to manufacture the restraint system is in conformity with the relevant parts of EN 71:2009 part 2. Tests confirming the validity of the declaration may be carried out at the discretion of the test authority."</w:t>
      </w:r>
    </w:p>
    <w:p w:rsidR="00E724F0" w:rsidRPr="00E724F0" w:rsidRDefault="00E724F0" w:rsidP="00E724F0">
      <w:pPr>
        <w:spacing w:after="120"/>
        <w:ind w:left="1134" w:right="1134"/>
        <w:jc w:val="both"/>
      </w:pPr>
      <w:r w:rsidRPr="00E724F0">
        <w:rPr>
          <w:i/>
        </w:rPr>
        <w:t>Paragraph 6.1.12</w:t>
      </w:r>
      <w:r w:rsidRPr="00E724F0">
        <w:t>., amend to read:</w:t>
      </w:r>
    </w:p>
    <w:p w:rsidR="00E724F0" w:rsidRPr="00E724F0" w:rsidRDefault="00E724F0" w:rsidP="00E724F0">
      <w:pPr>
        <w:spacing w:after="120"/>
        <w:ind w:left="2268" w:right="1134" w:hanging="1134"/>
        <w:jc w:val="both"/>
      </w:pPr>
      <w:r w:rsidRPr="00E724F0">
        <w:t>"6.1.12.</w:t>
      </w:r>
      <w:r w:rsidRPr="00E724F0">
        <w:tab/>
        <w:t>Child restraint systems of group I shall belong to the integral class unless they are fitted with an impact shield of Class B, as defined in paragraph 2.7. of this Regulation."</w:t>
      </w:r>
    </w:p>
    <w:p w:rsidR="00E724F0" w:rsidRPr="00E724F0" w:rsidRDefault="00E724F0" w:rsidP="00E724F0">
      <w:pPr>
        <w:spacing w:after="120"/>
        <w:ind w:left="1134" w:right="1134"/>
        <w:jc w:val="both"/>
        <w:rPr>
          <w:i/>
          <w:iCs/>
        </w:rPr>
      </w:pPr>
      <w:r w:rsidRPr="00E724F0">
        <w:rPr>
          <w:i/>
          <w:iCs/>
        </w:rPr>
        <w:t xml:space="preserve">Paragraph 7.1.4.1.8., </w:t>
      </w:r>
      <w:r w:rsidRPr="00E724F0">
        <w:rPr>
          <w:iCs/>
        </w:rPr>
        <w:t>amend to read:</w:t>
      </w:r>
    </w:p>
    <w:p w:rsidR="00E724F0" w:rsidRPr="00E724F0" w:rsidRDefault="00E724F0" w:rsidP="00E724F0">
      <w:pPr>
        <w:spacing w:after="120"/>
        <w:ind w:left="2268" w:right="1134" w:hanging="1134"/>
        <w:jc w:val="both"/>
      </w:pPr>
      <w:r w:rsidRPr="00E724F0">
        <w:rPr>
          <w:bCs/>
        </w:rPr>
        <w:t>"</w:t>
      </w:r>
      <w:r w:rsidRPr="00E724F0">
        <w:t>7.1.4.1.8.</w:t>
      </w:r>
      <w:r w:rsidRPr="00E724F0">
        <w:tab/>
        <w:t>During the dynamic tests, the standard safety-belt used to install an integral child restraint shall not become disengaged from any guide or locking device utilized for the test conducted.</w:t>
      </w:r>
    </w:p>
    <w:p w:rsidR="00E724F0" w:rsidRPr="00E724F0" w:rsidRDefault="00E724F0" w:rsidP="00E724F0">
      <w:pPr>
        <w:spacing w:before="120" w:after="120"/>
        <w:ind w:left="2268" w:right="1134" w:hanging="1134"/>
        <w:jc w:val="both"/>
        <w:rPr>
          <w:bCs/>
        </w:rPr>
      </w:pPr>
      <w:r w:rsidRPr="00E724F0">
        <w:tab/>
        <w:t>During the dynamic tests, the standard safety-belt used to install a non-integral child restraint, shall not become disengaged from any guide or locking device utilized for the test conducted; however, for the shoulder portion of the standard safety-belt this shall be judged up to the moment that the maximum horizontal head excursion of the dummy is reached. Furthermore during the dynamic test of a non-integral child restraint, the limit of acceptable movement of the shoulder belt is that the lower edge of the shoulder portion of the standard safety-belt shall not be lower than the dummy's elbow at the point of maximum horizontal head excursion of the dummy.</w:t>
      </w:r>
      <w:r w:rsidRPr="00E724F0">
        <w:rPr>
          <w:bCs/>
        </w:rPr>
        <w:t>"</w:t>
      </w:r>
    </w:p>
    <w:p w:rsidR="00E724F0" w:rsidRPr="00E724F0" w:rsidRDefault="00E724F0" w:rsidP="00E724F0">
      <w:pPr>
        <w:spacing w:after="120"/>
        <w:ind w:left="1134" w:right="1134"/>
        <w:jc w:val="both"/>
      </w:pPr>
      <w:r w:rsidRPr="00E724F0">
        <w:rPr>
          <w:i/>
        </w:rPr>
        <w:t>Paragraph 7.1.4.4.1.2.3</w:t>
      </w:r>
      <w:r w:rsidRPr="00E724F0">
        <w:t>., amend to read:</w:t>
      </w:r>
    </w:p>
    <w:p w:rsidR="00E724F0" w:rsidRPr="00E724F0" w:rsidRDefault="00E724F0" w:rsidP="00E724F0">
      <w:pPr>
        <w:spacing w:after="120"/>
        <w:ind w:left="2268" w:right="1134" w:hanging="1134"/>
        <w:jc w:val="both"/>
      </w:pPr>
      <w:r w:rsidRPr="00E724F0">
        <w:t>"7.1.4.4.1.2.3.</w:t>
      </w:r>
      <w:r>
        <w:t xml:space="preserve">  </w:t>
      </w:r>
      <w:r w:rsidRPr="00E724F0">
        <w:t>Child restraints other than group 0 not supported by the dashboard:</w:t>
      </w:r>
    </w:p>
    <w:p w:rsidR="00E724F0" w:rsidRPr="00E724F0" w:rsidRDefault="00E724F0" w:rsidP="00E724F0">
      <w:pPr>
        <w:tabs>
          <w:tab w:val="left" w:pos="1134"/>
        </w:tabs>
        <w:spacing w:after="120"/>
        <w:ind w:left="2268" w:right="1134" w:hanging="1134"/>
        <w:jc w:val="both"/>
      </w:pPr>
      <w:r w:rsidRPr="00E724F0">
        <w:tab/>
      </w:r>
      <w:r w:rsidRPr="00E724F0">
        <w:tab/>
        <w:t>The head of the manikin shall not pass the planes FD, FG and DE, as shown in Figure 4 below and there shall be no direct contact of the manikin head with the bar. This shall be judged up to 300 ms or the moment that the manikin has come to a definitive standstill whatever occurs first.</w:t>
      </w:r>
    </w:p>
    <w:p w:rsidR="00E724F0" w:rsidRPr="00E724F0" w:rsidRDefault="00E724F0" w:rsidP="00E724F0">
      <w:pPr>
        <w:spacing w:after="120"/>
        <w:ind w:left="2268" w:right="1134"/>
        <w:jc w:val="both"/>
      </w:pPr>
      <w:r w:rsidRPr="00E724F0">
        <w:t>In the case …"</w:t>
      </w:r>
    </w:p>
    <w:p w:rsidR="00615B09" w:rsidRDefault="00615B09" w:rsidP="00E724F0">
      <w:pPr>
        <w:keepNext/>
        <w:keepLines/>
        <w:spacing w:after="120"/>
        <w:ind w:left="1134" w:right="1134"/>
        <w:jc w:val="both"/>
        <w:rPr>
          <w:i/>
        </w:rPr>
      </w:pPr>
    </w:p>
    <w:p w:rsidR="00E724F0" w:rsidRPr="00E724F0" w:rsidRDefault="00E724F0" w:rsidP="00E724F0">
      <w:pPr>
        <w:keepNext/>
        <w:keepLines/>
        <w:spacing w:after="120"/>
        <w:ind w:left="1134" w:right="1134"/>
        <w:jc w:val="both"/>
      </w:pPr>
      <w:r w:rsidRPr="00E724F0">
        <w:rPr>
          <w:i/>
        </w:rPr>
        <w:t>Paragraph 8.1.3.7.6</w:t>
      </w:r>
      <w:r w:rsidRPr="00E724F0">
        <w:t>., amend to read:</w:t>
      </w:r>
    </w:p>
    <w:p w:rsidR="00E724F0" w:rsidRPr="00E724F0" w:rsidRDefault="00E724F0" w:rsidP="00E724F0">
      <w:pPr>
        <w:keepNext/>
        <w:keepLines/>
        <w:spacing w:after="120"/>
        <w:ind w:left="2268" w:right="1134" w:hanging="1134"/>
        <w:jc w:val="both"/>
        <w:rPr>
          <w:strike/>
        </w:rPr>
      </w:pPr>
      <w:r w:rsidRPr="00E724F0">
        <w:t xml:space="preserve">"8.1.3.7.6. </w:t>
      </w:r>
      <w:r w:rsidRPr="00E724F0">
        <w:tab/>
        <w:t>If the child restraint system is suitable for two or more mass groups, the tests shall be carried out using the lightest and heaviest manikins specified above for each of the groups concerned."</w:t>
      </w:r>
    </w:p>
    <w:p w:rsidR="00E724F0" w:rsidRPr="00E724F0" w:rsidRDefault="00E724F0" w:rsidP="00E724F0">
      <w:pPr>
        <w:spacing w:after="120"/>
        <w:ind w:left="1134" w:right="1134"/>
        <w:jc w:val="both"/>
      </w:pPr>
      <w:r w:rsidRPr="00E724F0">
        <w:rPr>
          <w:i/>
        </w:rPr>
        <w:t>Paragraph 8.1.3.7.10</w:t>
      </w:r>
      <w:r w:rsidRPr="00E724F0">
        <w:t>., amend to read:</w:t>
      </w:r>
    </w:p>
    <w:p w:rsidR="00E724F0" w:rsidRPr="00E724F0" w:rsidRDefault="00E724F0" w:rsidP="00E724F0">
      <w:pPr>
        <w:spacing w:after="120"/>
        <w:ind w:left="2268" w:right="1134" w:hanging="1134"/>
        <w:jc w:val="both"/>
      </w:pPr>
      <w:r w:rsidRPr="00E724F0">
        <w:t>"8.1.3.7.10.</w:t>
      </w:r>
      <w:r w:rsidRPr="00E724F0">
        <w:tab/>
        <w:t>The test specified in paragraph 7.1.4.1.10.1.2. above shall only be carried out with the largest manikin for which the child restraint is designed. Where multiple configurations of the child restraint system are possible (e.g. upright/reclined), the configuration which generates the worst case horizontal head excursion shall be used for this test."</w:t>
      </w:r>
    </w:p>
    <w:p w:rsidR="00E724F0" w:rsidRPr="00E724F0" w:rsidRDefault="00E724F0" w:rsidP="00E724F0">
      <w:pPr>
        <w:spacing w:after="120"/>
        <w:ind w:left="1134" w:right="1134"/>
        <w:jc w:val="both"/>
      </w:pPr>
      <w:r w:rsidRPr="00E724F0">
        <w:rPr>
          <w:i/>
        </w:rPr>
        <w:t>Paragraph 11.2.</w:t>
      </w:r>
      <w:r w:rsidRPr="00E724F0">
        <w:t>, amend to read:</w:t>
      </w:r>
    </w:p>
    <w:p w:rsidR="00E724F0" w:rsidRPr="00E724F0" w:rsidRDefault="00E724F0" w:rsidP="00E724F0">
      <w:pPr>
        <w:tabs>
          <w:tab w:val="left" w:pos="2268"/>
        </w:tabs>
        <w:spacing w:after="120"/>
        <w:ind w:left="1134" w:right="1134"/>
        <w:jc w:val="both"/>
        <w:rPr>
          <w:color w:val="595959"/>
          <w:u w:val="single"/>
        </w:rPr>
      </w:pPr>
      <w:r w:rsidRPr="00E724F0">
        <w:t>"11.2.</w:t>
      </w:r>
      <w:r w:rsidRPr="00E724F0">
        <w:tab/>
        <w:t xml:space="preserve">Qualifying the production of child restraint systems </w:t>
      </w:r>
    </w:p>
    <w:p w:rsidR="00E724F0" w:rsidRPr="00E724F0" w:rsidRDefault="00E724F0" w:rsidP="00E724F0">
      <w:pPr>
        <w:spacing w:after="120"/>
        <w:ind w:left="2268" w:right="1134"/>
        <w:jc w:val="both"/>
      </w:pPr>
      <w:r w:rsidRPr="00E724F0">
        <w:t>The production of ...</w:t>
      </w:r>
    </w:p>
    <w:p w:rsidR="00E724F0" w:rsidRPr="00E724F0" w:rsidRDefault="00E724F0" w:rsidP="00E724F0">
      <w:pPr>
        <w:spacing w:after="120"/>
        <w:ind w:left="2268" w:right="1134"/>
        <w:jc w:val="both"/>
      </w:pPr>
      <w:r w:rsidRPr="00E724F0">
        <w:t xml:space="preserve">For this purpose, a random sample of 5 child restraint systems will be taken from the first production batch by the </w:t>
      </w:r>
      <w:r w:rsidR="00615B09">
        <w:t>T</w:t>
      </w:r>
      <w:r w:rsidR="00615B09" w:rsidRPr="00E724F0">
        <w:t xml:space="preserve">echnical </w:t>
      </w:r>
      <w:r w:rsidR="00615B09">
        <w:t>S</w:t>
      </w:r>
      <w:r w:rsidR="00615B09" w:rsidRPr="00E724F0">
        <w:t xml:space="preserve">ervice </w:t>
      </w:r>
      <w:r w:rsidRPr="00E724F0">
        <w:t xml:space="preserve">who conducted the approval tests, or by a </w:t>
      </w:r>
      <w:r w:rsidR="00615B09">
        <w:t>T</w:t>
      </w:r>
      <w:r w:rsidR="00615B09" w:rsidRPr="00E724F0">
        <w:t xml:space="preserve">echnical </w:t>
      </w:r>
      <w:r w:rsidR="00615B09">
        <w:t>S</w:t>
      </w:r>
      <w:r w:rsidR="00615B09" w:rsidRPr="00E724F0">
        <w:t xml:space="preserve">ervice </w:t>
      </w:r>
      <w:r w:rsidRPr="00E724F0">
        <w:t xml:space="preserve">appointed by the same </w:t>
      </w:r>
      <w:r w:rsidR="00615B09">
        <w:t xml:space="preserve">Type Approval </w:t>
      </w:r>
      <w:r w:rsidRPr="00E724F0">
        <w:t xml:space="preserve">Authority who will grant the approval, or by </w:t>
      </w:r>
      <w:r w:rsidR="00615B09">
        <w:t xml:space="preserve">the Type Approval </w:t>
      </w:r>
      <w:r w:rsidRPr="00E724F0">
        <w:t>Authority itself.</w:t>
      </w:r>
    </w:p>
    <w:p w:rsidR="00E724F0" w:rsidRPr="00E724F0" w:rsidRDefault="00E724F0" w:rsidP="00E724F0">
      <w:pPr>
        <w:spacing w:after="120"/>
        <w:ind w:left="2268" w:right="1134"/>
        <w:jc w:val="both"/>
      </w:pPr>
      <w:r w:rsidRPr="00E724F0">
        <w:t xml:space="preserve">Six sample units may be selected randomly in case that the condition of </w:t>
      </w:r>
      <w:r w:rsidR="0013722F">
        <w:t xml:space="preserve">paragraph </w:t>
      </w:r>
      <w:r w:rsidRPr="00E724F0">
        <w:t>7.1.4.4.1.2.3.</w:t>
      </w:r>
      <w:r w:rsidR="000D0247">
        <w:t xml:space="preserve"> </w:t>
      </w:r>
      <w:r w:rsidRPr="00E724F0">
        <w:t>above is selected as the test condition of conducting a test described in 11.2.1.1.).</w:t>
      </w:r>
    </w:p>
    <w:p w:rsidR="00E724F0" w:rsidRPr="00E724F0" w:rsidRDefault="00E724F0" w:rsidP="00E724F0">
      <w:pPr>
        <w:spacing w:after="120"/>
        <w:ind w:left="2268" w:right="1134"/>
        <w:jc w:val="both"/>
      </w:pPr>
      <w:r w:rsidRPr="00E724F0">
        <w:t>The first production batch ..."</w:t>
      </w:r>
    </w:p>
    <w:p w:rsidR="00E724F0" w:rsidRPr="00E724F0" w:rsidRDefault="00E724F0" w:rsidP="00E724F0">
      <w:pPr>
        <w:spacing w:after="120"/>
        <w:ind w:left="1134" w:right="1134"/>
        <w:jc w:val="both"/>
      </w:pPr>
      <w:r w:rsidRPr="00E724F0">
        <w:rPr>
          <w:i/>
        </w:rPr>
        <w:t>Paragraph 11.2.1.1</w:t>
      </w:r>
      <w:r w:rsidRPr="00E724F0">
        <w:t>., amend to read:</w:t>
      </w:r>
    </w:p>
    <w:p w:rsidR="00E724F0" w:rsidRPr="00E724F0" w:rsidRDefault="00E724F0" w:rsidP="00E724F0">
      <w:pPr>
        <w:spacing w:after="120"/>
        <w:ind w:left="2268" w:right="1134" w:hanging="1134"/>
        <w:jc w:val="both"/>
      </w:pPr>
      <w:r w:rsidRPr="00E724F0">
        <w:t>"11.2.1.1.</w:t>
      </w:r>
      <w:r w:rsidRPr="00E724F0">
        <w:tab/>
        <w:t xml:space="preserve">Five child restraint systems shall be subjected to the dynamic test described in paragraph 8.1.3.  The Technical Service that conducted the type approval tests shall choose the conditions that produced the maximum horizontal head excursion during the type approval dynamic tests, excluding the conditions described in paragraphs 7.1.4.4.1.2.3. above, that refers to the test without 100 mm bar configuration only, and </w:t>
      </w:r>
      <w:r w:rsidR="0013722F">
        <w:t xml:space="preserve">paragraph </w:t>
      </w:r>
      <w:r w:rsidRPr="00E724F0">
        <w:t>7.1.4.1.10.1.2. above. All the five child restraint systems shall be tested under the same conditions.</w:t>
      </w:r>
    </w:p>
    <w:p w:rsidR="00E724F0" w:rsidRPr="00E724F0" w:rsidRDefault="00E724F0" w:rsidP="00E724F0">
      <w:pPr>
        <w:spacing w:after="120"/>
        <w:ind w:left="2268" w:right="1134"/>
        <w:jc w:val="both"/>
      </w:pPr>
      <w:r w:rsidRPr="00E724F0">
        <w:t>If, during at least one of the five tests performed, the CRS touches the bar, a further test shall be performed in the condition described in paragraph 7.1.4.4.1.2.3 above which refers to the test without 100 mm bar. This further test shall not be used for the calculation described in paragraph 11.2.1.3.</w:t>
      </w:r>
      <w:r w:rsidR="00424D66">
        <w:t xml:space="preserve">, subparagraph </w:t>
      </w:r>
      <w:r w:rsidRPr="00E724F0">
        <w:t>(a) below."</w:t>
      </w:r>
    </w:p>
    <w:p w:rsidR="00E724F0" w:rsidRPr="00E724F0" w:rsidRDefault="00E724F0" w:rsidP="00E724F0">
      <w:pPr>
        <w:spacing w:after="120"/>
        <w:ind w:left="1134" w:right="1134"/>
        <w:jc w:val="both"/>
        <w:rPr>
          <w:i/>
        </w:rPr>
      </w:pPr>
      <w:r w:rsidRPr="00E724F0">
        <w:rPr>
          <w:i/>
        </w:rPr>
        <w:t>Annex 13,</w:t>
      </w:r>
    </w:p>
    <w:p w:rsidR="00E724F0" w:rsidRPr="00E724F0" w:rsidRDefault="00E724F0" w:rsidP="00E724F0">
      <w:pPr>
        <w:spacing w:after="120"/>
        <w:ind w:left="1134" w:right="1134"/>
        <w:jc w:val="both"/>
      </w:pPr>
      <w:r w:rsidRPr="00E724F0">
        <w:rPr>
          <w:i/>
        </w:rPr>
        <w:t xml:space="preserve">Paragraphs 2. and 3., </w:t>
      </w:r>
      <w:r w:rsidRPr="00E724F0">
        <w:t>amend to read:</w:t>
      </w:r>
    </w:p>
    <w:p w:rsidR="00E724F0" w:rsidRPr="00E724F0" w:rsidRDefault="00E724F0" w:rsidP="00E724F0">
      <w:pPr>
        <w:spacing w:after="120"/>
        <w:ind w:left="2268" w:right="1134" w:hanging="1134"/>
        <w:jc w:val="both"/>
      </w:pPr>
      <w:r w:rsidRPr="00E724F0">
        <w:t>"2.</w:t>
      </w:r>
      <w:r w:rsidRPr="00E724F0">
        <w:tab/>
      </w:r>
      <w:r w:rsidRPr="00E724F0">
        <w:tab/>
        <w:t>The three-point retracting belt has the following rigid parts: a retractor (R), a pillar loop (P), two anchorage points (A1 and A2) (see Figure 1b)…</w:t>
      </w:r>
    </w:p>
    <w:p w:rsidR="00E724F0" w:rsidRPr="00E724F0" w:rsidRDefault="00E724F0" w:rsidP="00E724F0">
      <w:pPr>
        <w:spacing w:after="120"/>
        <w:ind w:left="2268" w:right="1134" w:hanging="1134"/>
        <w:jc w:val="both"/>
      </w:pPr>
      <w:r w:rsidRPr="00E724F0">
        <w:t>3.</w:t>
      </w:r>
      <w:r w:rsidRPr="00E724F0">
        <w:tab/>
        <w:t>…</w:t>
      </w:r>
    </w:p>
    <w:p w:rsidR="00E724F0" w:rsidRPr="00E724F0" w:rsidRDefault="00E724F0" w:rsidP="00E724F0">
      <w:pPr>
        <w:spacing w:after="120"/>
        <w:ind w:left="2268" w:right="1134" w:hanging="1134"/>
        <w:jc w:val="both"/>
      </w:pPr>
      <w:r w:rsidRPr="00E724F0">
        <w:tab/>
        <w:t>The value of X in Figure 1b below…"</w:t>
      </w:r>
    </w:p>
    <w:p w:rsidR="00615B09" w:rsidRDefault="00615B09" w:rsidP="00615B09">
      <w:pPr>
        <w:keepNext/>
        <w:keepLines/>
        <w:spacing w:after="120"/>
        <w:ind w:left="1134" w:right="1134"/>
        <w:jc w:val="both"/>
        <w:rPr>
          <w:i/>
        </w:rPr>
      </w:pPr>
    </w:p>
    <w:p w:rsidR="00E724F0" w:rsidRPr="00E724F0" w:rsidRDefault="00E724F0" w:rsidP="00615B09">
      <w:pPr>
        <w:keepNext/>
        <w:keepLines/>
        <w:spacing w:after="120"/>
        <w:ind w:left="1134" w:right="1134"/>
        <w:jc w:val="both"/>
      </w:pPr>
      <w:r w:rsidRPr="00E724F0">
        <w:rPr>
          <w:i/>
        </w:rPr>
        <w:t>Paragraphs 5. and 6.</w:t>
      </w:r>
      <w:r w:rsidRPr="00E724F0">
        <w:t>, amend to read:</w:t>
      </w:r>
    </w:p>
    <w:p w:rsidR="00E724F0" w:rsidRPr="00E724F0" w:rsidRDefault="00E724F0" w:rsidP="00E724F0">
      <w:pPr>
        <w:tabs>
          <w:tab w:val="left" w:pos="2268"/>
        </w:tabs>
        <w:spacing w:after="120"/>
        <w:ind w:left="1134" w:right="1134"/>
        <w:jc w:val="both"/>
      </w:pPr>
      <w:r w:rsidRPr="00E724F0">
        <w:t>"5.</w:t>
      </w:r>
      <w:r w:rsidRPr="00E724F0">
        <w:tab/>
        <w:t xml:space="preserve">The two-point static belt as shown in Figure 1a </w:t>
      </w:r>
      <w:r w:rsidR="00615B09" w:rsidRPr="00E724F0">
        <w:t>consists</w:t>
      </w:r>
      <w:r w:rsidRPr="00E724F0">
        <w:t xml:space="preserve"> of …</w:t>
      </w:r>
    </w:p>
    <w:p w:rsidR="00E724F0" w:rsidRPr="00E724F0" w:rsidRDefault="00E724F0" w:rsidP="00E724F0">
      <w:pPr>
        <w:tabs>
          <w:tab w:val="left" w:pos="2268"/>
        </w:tabs>
        <w:spacing w:after="120"/>
        <w:ind w:left="1134" w:right="1134"/>
        <w:jc w:val="both"/>
      </w:pPr>
      <w:r w:rsidRPr="00E724F0">
        <w:t>6.</w:t>
      </w:r>
      <w:r w:rsidRPr="00E724F0">
        <w:tab/>
        <w:t>…</w:t>
      </w:r>
      <w:r w:rsidR="00615B09">
        <w:t xml:space="preserve"> </w:t>
      </w:r>
      <w:r w:rsidRPr="00E724F0">
        <w:t>The value of Y in Figure 1a is …"</w:t>
      </w:r>
    </w:p>
    <w:p w:rsidR="00E724F0" w:rsidRPr="00E724F0" w:rsidRDefault="00E724F0" w:rsidP="00E724F0">
      <w:pPr>
        <w:spacing w:after="120"/>
        <w:ind w:left="1134" w:right="1134"/>
        <w:jc w:val="both"/>
      </w:pPr>
      <w:r w:rsidRPr="00E724F0">
        <w:rPr>
          <w:i/>
        </w:rPr>
        <w:t xml:space="preserve">Figure 1, </w:t>
      </w:r>
      <w:r w:rsidRPr="00E724F0">
        <w:t>amend to read:</w:t>
      </w:r>
      <w:r w:rsidRPr="00E724F0">
        <w:rPr>
          <w:i/>
        </w:rPr>
        <w:t xml:space="preserve"> </w:t>
      </w:r>
    </w:p>
    <w:p w:rsidR="00E724F0" w:rsidRPr="00E724F0" w:rsidRDefault="00E724F0" w:rsidP="00E724F0">
      <w:pPr>
        <w:spacing w:line="240" w:lineRule="auto"/>
        <w:ind w:left="1134"/>
        <w:outlineLvl w:val="0"/>
      </w:pPr>
      <w:r w:rsidRPr="00E724F0">
        <w:t>"Figures 1a and 1b</w:t>
      </w:r>
    </w:p>
    <w:p w:rsidR="00E724F0" w:rsidRPr="00E724F0" w:rsidRDefault="00E724F0" w:rsidP="00E724F0">
      <w:pPr>
        <w:spacing w:after="120"/>
        <w:ind w:left="1134" w:right="1134"/>
        <w:jc w:val="both"/>
        <w:rPr>
          <w:b/>
        </w:rPr>
      </w:pPr>
      <w:r w:rsidRPr="00E724F0">
        <w:rPr>
          <w:b/>
        </w:rPr>
        <w:t>Standard seat belt configurations</w:t>
      </w:r>
    </w:p>
    <w:p w:rsidR="00E724F0" w:rsidRPr="00E724F0" w:rsidRDefault="00E724F0" w:rsidP="00E724F0">
      <w:pPr>
        <w:spacing w:after="120"/>
        <w:ind w:left="1134" w:right="1134"/>
        <w:rPr>
          <w:b/>
        </w:rPr>
      </w:pPr>
      <w:r w:rsidRPr="00E724F0">
        <w:t>Figure 1a</w:t>
      </w:r>
      <w:r w:rsidRPr="00E724F0">
        <w:br/>
      </w:r>
      <w:r w:rsidRPr="00E724F0">
        <w:rPr>
          <w:b/>
        </w:rPr>
        <w:t>Two-point static belt</w:t>
      </w:r>
    </w:p>
    <w:p w:rsidR="00E724F0" w:rsidRPr="00E724F0" w:rsidRDefault="006070B2" w:rsidP="00E724F0">
      <w:pPr>
        <w:tabs>
          <w:tab w:val="left" w:pos="-1440"/>
          <w:tab w:val="left" w:pos="-720"/>
          <w:tab w:val="left" w:pos="1560"/>
        </w:tabs>
        <w:ind w:left="1560" w:hanging="1560"/>
        <w:jc w:val="center"/>
      </w:pPr>
      <w:r>
        <w:pict>
          <v:shape id="Immagine 1" o:spid="_x0000_s1031" type="#_x0000_t75" style="width:356.4pt;height:93.4pt;rotation:-169672fd;visibility:visible;mso-left-percent:-10001;mso-top-percent:-10001;mso-position-horizontal:absolute;mso-position-horizontal-relative:char;mso-position-vertical:absolute;mso-position-vertical-relative:line;mso-left-percent:-10001;mso-top-percent:-10001">
            <v:imagedata r:id="rId9" o:title=""/>
            <w10:wrap type="none"/>
            <w10:anchorlock/>
          </v:shape>
        </w:pict>
      </w:r>
    </w:p>
    <w:p w:rsidR="00E724F0" w:rsidRPr="00E724F0" w:rsidRDefault="00E724F0" w:rsidP="00E724F0">
      <w:pPr>
        <w:spacing w:after="120"/>
        <w:ind w:left="1134" w:right="1134"/>
        <w:rPr>
          <w:b/>
        </w:rPr>
      </w:pPr>
      <w:r w:rsidRPr="00E724F0">
        <w:t>Figure 1b</w:t>
      </w:r>
      <w:r w:rsidRPr="00E724F0">
        <w:br/>
      </w:r>
      <w:r w:rsidRPr="00E724F0">
        <w:rPr>
          <w:b/>
        </w:rPr>
        <w:t>Three-point retracting belt</w:t>
      </w:r>
    </w:p>
    <w:p w:rsidR="00E724F0" w:rsidRPr="00E724F0" w:rsidRDefault="006070B2" w:rsidP="00E724F0">
      <w:pPr>
        <w:spacing w:after="120"/>
        <w:ind w:left="1134" w:right="1134"/>
        <w:jc w:val="right"/>
      </w:pPr>
      <w:r>
        <w:pict>
          <v:shape id="_x0000_s1030" type="#_x0000_t75" style="position:absolute;left:0;text-align:left;margin-left:50.3pt;margin-top:1.4pt;width:264.25pt;height:272.9pt;z-index:251657728">
            <v:imagedata r:id="rId10" o:title=""/>
            <w10:wrap type="topAndBottom" anchorx="page"/>
          </v:shape>
          <o:OLEObject Type="Embed" ProgID="MSPhotoEd.3" ShapeID="_x0000_s1030" DrawAspect="Content" ObjectID="_1496478295" r:id="rId11"/>
        </w:pict>
      </w:r>
      <w:r w:rsidR="00E724F0" w:rsidRPr="00E724F0">
        <w:t>"</w:t>
      </w:r>
    </w:p>
    <w:p w:rsidR="00E724F0" w:rsidRPr="00E724F0" w:rsidRDefault="00E724F0" w:rsidP="00E724F0">
      <w:pPr>
        <w:tabs>
          <w:tab w:val="right" w:pos="851"/>
        </w:tabs>
        <w:spacing w:before="240"/>
        <w:ind w:left="1134" w:right="1134"/>
        <w:jc w:val="center"/>
        <w:rPr>
          <w:sz w:val="28"/>
          <w:u w:val="single"/>
        </w:rPr>
      </w:pPr>
      <w:r w:rsidRPr="00E724F0">
        <w:rPr>
          <w:sz w:val="28"/>
          <w:u w:val="single"/>
        </w:rPr>
        <w:tab/>
      </w:r>
      <w:r w:rsidRPr="00E724F0">
        <w:rPr>
          <w:sz w:val="28"/>
          <w:u w:val="single"/>
        </w:rPr>
        <w:tab/>
      </w:r>
      <w:r w:rsidRPr="00E724F0">
        <w:rPr>
          <w:sz w:val="28"/>
          <w:u w:val="single"/>
        </w:rPr>
        <w:tab/>
      </w:r>
    </w:p>
    <w:p w:rsidR="00776D12" w:rsidRDefault="00776D12" w:rsidP="00E724F0">
      <w:pPr>
        <w:jc w:val="center"/>
      </w:pPr>
    </w:p>
    <w:sectPr w:rsidR="00776D12" w:rsidSect="008311A3">
      <w:headerReference w:type="even" r:id="rId12"/>
      <w:headerReference w:type="default" r:id="rId13"/>
      <w:footerReference w:type="even" r:id="rId14"/>
      <w:footerReference w:type="default" r:id="rId15"/>
      <w:footerReference w:type="first" r:id="rId16"/>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A38" w:rsidRDefault="00B55A38"/>
  </w:endnote>
  <w:endnote w:type="continuationSeparator" w:id="0">
    <w:p w:rsidR="00B55A38" w:rsidRDefault="00B55A38"/>
  </w:endnote>
  <w:endnote w:type="continuationNotice" w:id="1">
    <w:p w:rsidR="00B55A38" w:rsidRDefault="00B55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6070B2">
      <w:rPr>
        <w:b/>
        <w:noProof/>
        <w:sz w:val="18"/>
        <w:szCs w:val="18"/>
      </w:rPr>
      <w:t>4</w:t>
    </w:r>
    <w:r w:rsidRPr="00D623A7">
      <w:rPr>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6070B2">
      <w:rPr>
        <w:b/>
        <w:noProof/>
        <w:sz w:val="18"/>
        <w:szCs w:val="18"/>
      </w:rPr>
      <w:t>3</w:t>
    </w:r>
    <w:r w:rsidRPr="00776D12">
      <w:rPr>
        <w:b/>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B3" w:rsidRDefault="006070B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recycle_English" style="position:absolute;margin-left:405.4pt;margin-top:-6.25pt;width:73.25pt;height:18.15pt;z-index:251657728;visibility:visible">
          <v:imagedata r:id="rId1" o:title="recycle_English"/>
          <w10:anchorlock/>
        </v:shape>
      </w:pict>
    </w:r>
    <w:r w:rsidR="00B701B3">
      <w:t>GE.15-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A38" w:rsidRPr="000B175B" w:rsidRDefault="00B55A38" w:rsidP="000B175B">
      <w:pPr>
        <w:tabs>
          <w:tab w:val="right" w:pos="2155"/>
        </w:tabs>
        <w:spacing w:after="80"/>
        <w:ind w:left="680"/>
        <w:rPr>
          <w:u w:val="single"/>
        </w:rPr>
      </w:pPr>
      <w:r>
        <w:rPr>
          <w:u w:val="single"/>
        </w:rPr>
        <w:tab/>
      </w:r>
    </w:p>
  </w:footnote>
  <w:footnote w:type="continuationSeparator" w:id="0">
    <w:p w:rsidR="00B55A38" w:rsidRPr="00FC68B7" w:rsidRDefault="00B55A38" w:rsidP="00FC68B7">
      <w:pPr>
        <w:tabs>
          <w:tab w:val="left" w:pos="2155"/>
        </w:tabs>
        <w:spacing w:after="80"/>
        <w:ind w:left="680"/>
        <w:rPr>
          <w:u w:val="single"/>
        </w:rPr>
      </w:pPr>
      <w:r>
        <w:rPr>
          <w:u w:val="single"/>
        </w:rPr>
        <w:tab/>
      </w:r>
    </w:p>
  </w:footnote>
  <w:footnote w:type="continuationNotice" w:id="1">
    <w:p w:rsidR="00B55A38" w:rsidRDefault="00B55A38"/>
  </w:footnote>
  <w:footnote w:id="2">
    <w:p w:rsidR="00B701B3" w:rsidRPr="009E5D87" w:rsidRDefault="00B701B3" w:rsidP="00C711C7">
      <w:pPr>
        <w:pStyle w:val="FootnoteText"/>
        <w:rPr>
          <w:lang w:val="fr-CH"/>
        </w:rPr>
      </w:pPr>
      <w:r>
        <w:tab/>
      </w:r>
      <w:r w:rsidRPr="009E5D87">
        <w:rPr>
          <w:rStyle w:val="FootnoteReference"/>
          <w:sz w:val="20"/>
          <w:vertAlign w:val="baseline"/>
        </w:rPr>
        <w:t>*</w:t>
      </w:r>
      <w:r>
        <w:rPr>
          <w:sz w:val="20"/>
        </w:rPr>
        <w:tab/>
      </w:r>
      <w:r w:rsidRPr="00014D07">
        <w:t xml:space="preserve">Former title of the Agreement: Agreement Concerning the Adoption of Uniform Conditions of Approval and Reciprocal Recognition of Approval for Motor Vehicle Equipment and Parts, </w:t>
      </w:r>
      <w:r>
        <w:t>d</w:t>
      </w:r>
      <w:r w:rsidRPr="00014D07">
        <w:t>on</w:t>
      </w:r>
      <w:r>
        <w:t>e at Geneva on</w:t>
      </w:r>
      <w:r w:rsidRPr="00014D07">
        <w:t xml:space="preserve"> 20 March 1958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B3" w:rsidRDefault="00B701B3">
    <w:pPr>
      <w:pStyle w:val="Header"/>
    </w:pPr>
    <w:r w:rsidRPr="00D623A7">
      <w:t>E/ECE/324</w:t>
    </w:r>
    <w:r w:rsidR="00976F08">
      <w:t>/Rev.1/Add.43/Rev.3/Amend.2</w:t>
    </w:r>
    <w:r>
      <w:br/>
    </w:r>
    <w:r w:rsidRPr="00D623A7">
      <w:t>E/ECE/TRANS/505</w:t>
    </w:r>
    <w:r w:rsidR="00976F08">
      <w:t>/Rev.1/Add.43/Rev.3/Amend.2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B3" w:rsidRDefault="00976F08" w:rsidP="00776D12">
    <w:pPr>
      <w:pStyle w:val="Header"/>
      <w:jc w:val="right"/>
    </w:pPr>
    <w:r w:rsidRPr="00D623A7">
      <w:t>E/ECE/324</w:t>
    </w:r>
    <w:r>
      <w:t>/Rev.1/Add.43/Rev.3/Amend.2</w:t>
    </w:r>
    <w:r>
      <w:br/>
    </w:r>
    <w:r w:rsidRPr="00D623A7">
      <w:t>E/ECE/TRANS/505</w:t>
    </w:r>
    <w:r>
      <w:t>/Rev.1/Add.43/Rev.3/Amend.2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F08"/>
    <w:rsid w:val="00044DBF"/>
    <w:rsid w:val="00050F6B"/>
    <w:rsid w:val="00072C8C"/>
    <w:rsid w:val="000931C0"/>
    <w:rsid w:val="000B175B"/>
    <w:rsid w:val="000B3A0F"/>
    <w:rsid w:val="000D0247"/>
    <w:rsid w:val="000D3A4F"/>
    <w:rsid w:val="000E0415"/>
    <w:rsid w:val="001220B8"/>
    <w:rsid w:val="00134B40"/>
    <w:rsid w:val="001352D9"/>
    <w:rsid w:val="0013722F"/>
    <w:rsid w:val="00165E82"/>
    <w:rsid w:val="001B4B04"/>
    <w:rsid w:val="001C6663"/>
    <w:rsid w:val="001C7895"/>
    <w:rsid w:val="001D26DF"/>
    <w:rsid w:val="00211E0B"/>
    <w:rsid w:val="002405A7"/>
    <w:rsid w:val="00271A7F"/>
    <w:rsid w:val="0029376C"/>
    <w:rsid w:val="002A1E3A"/>
    <w:rsid w:val="002F453A"/>
    <w:rsid w:val="003107FA"/>
    <w:rsid w:val="003229D8"/>
    <w:rsid w:val="0032418E"/>
    <w:rsid w:val="0033745A"/>
    <w:rsid w:val="0039277A"/>
    <w:rsid w:val="003972E0"/>
    <w:rsid w:val="003C2CC4"/>
    <w:rsid w:val="003C3936"/>
    <w:rsid w:val="003D4B23"/>
    <w:rsid w:val="003F1ED3"/>
    <w:rsid w:val="00424D66"/>
    <w:rsid w:val="004325CB"/>
    <w:rsid w:val="00446DE4"/>
    <w:rsid w:val="004A41CA"/>
    <w:rsid w:val="004D7098"/>
    <w:rsid w:val="004E3FEB"/>
    <w:rsid w:val="00503228"/>
    <w:rsid w:val="00505384"/>
    <w:rsid w:val="005420F2"/>
    <w:rsid w:val="0054561B"/>
    <w:rsid w:val="005B3DB3"/>
    <w:rsid w:val="006070B2"/>
    <w:rsid w:val="00611FC4"/>
    <w:rsid w:val="00615B09"/>
    <w:rsid w:val="006176FB"/>
    <w:rsid w:val="00627ED0"/>
    <w:rsid w:val="00640B26"/>
    <w:rsid w:val="0064636E"/>
    <w:rsid w:val="00665595"/>
    <w:rsid w:val="0069341E"/>
    <w:rsid w:val="006A7392"/>
    <w:rsid w:val="006E564B"/>
    <w:rsid w:val="00713BD8"/>
    <w:rsid w:val="0072632A"/>
    <w:rsid w:val="00743CD6"/>
    <w:rsid w:val="00750602"/>
    <w:rsid w:val="00776D12"/>
    <w:rsid w:val="007B6BA5"/>
    <w:rsid w:val="007C3390"/>
    <w:rsid w:val="007C4F4B"/>
    <w:rsid w:val="007F0B83"/>
    <w:rsid w:val="007F6611"/>
    <w:rsid w:val="008175E9"/>
    <w:rsid w:val="008242D7"/>
    <w:rsid w:val="00827E05"/>
    <w:rsid w:val="008311A3"/>
    <w:rsid w:val="00841EB5"/>
    <w:rsid w:val="00871FD5"/>
    <w:rsid w:val="008979B1"/>
    <w:rsid w:val="008A6B25"/>
    <w:rsid w:val="008A6C4F"/>
    <w:rsid w:val="008E0E46"/>
    <w:rsid w:val="00907AD2"/>
    <w:rsid w:val="00963CBA"/>
    <w:rsid w:val="00974A8D"/>
    <w:rsid w:val="00976F08"/>
    <w:rsid w:val="00991261"/>
    <w:rsid w:val="009F3A17"/>
    <w:rsid w:val="00A1427D"/>
    <w:rsid w:val="00A569D6"/>
    <w:rsid w:val="00A72F22"/>
    <w:rsid w:val="00A748A6"/>
    <w:rsid w:val="00A85956"/>
    <w:rsid w:val="00A879A4"/>
    <w:rsid w:val="00B30179"/>
    <w:rsid w:val="00B33EC0"/>
    <w:rsid w:val="00B55A38"/>
    <w:rsid w:val="00B701B3"/>
    <w:rsid w:val="00B81E12"/>
    <w:rsid w:val="00BB0907"/>
    <w:rsid w:val="00BC2683"/>
    <w:rsid w:val="00BC358D"/>
    <w:rsid w:val="00BC74E9"/>
    <w:rsid w:val="00BD2146"/>
    <w:rsid w:val="00BD538F"/>
    <w:rsid w:val="00BE4F74"/>
    <w:rsid w:val="00BE618E"/>
    <w:rsid w:val="00C17699"/>
    <w:rsid w:val="00C41A28"/>
    <w:rsid w:val="00C463DD"/>
    <w:rsid w:val="00C711C7"/>
    <w:rsid w:val="00C745C3"/>
    <w:rsid w:val="00C84414"/>
    <w:rsid w:val="00C9232A"/>
    <w:rsid w:val="00CE4A8F"/>
    <w:rsid w:val="00D2031B"/>
    <w:rsid w:val="00D22BB3"/>
    <w:rsid w:val="00D25FE2"/>
    <w:rsid w:val="00D317BB"/>
    <w:rsid w:val="00D43252"/>
    <w:rsid w:val="00D5540C"/>
    <w:rsid w:val="00D623A7"/>
    <w:rsid w:val="00D6614F"/>
    <w:rsid w:val="00D978C6"/>
    <w:rsid w:val="00DA67AD"/>
    <w:rsid w:val="00DB5D0F"/>
    <w:rsid w:val="00DC3F07"/>
    <w:rsid w:val="00DF12F7"/>
    <w:rsid w:val="00E02C81"/>
    <w:rsid w:val="00E130AB"/>
    <w:rsid w:val="00E506F0"/>
    <w:rsid w:val="00E52BB9"/>
    <w:rsid w:val="00E724F0"/>
    <w:rsid w:val="00E7260F"/>
    <w:rsid w:val="00E87921"/>
    <w:rsid w:val="00E96630"/>
    <w:rsid w:val="00EA0ED6"/>
    <w:rsid w:val="00EA264E"/>
    <w:rsid w:val="00ED7A2A"/>
    <w:rsid w:val="00EF1D7F"/>
    <w:rsid w:val="00F53EDA"/>
    <w:rsid w:val="00F7753D"/>
    <w:rsid w:val="00F85F34"/>
    <w:rsid w:val="00FA06F7"/>
    <w:rsid w:val="00FB171A"/>
    <w:rsid w:val="00FC68B7"/>
    <w:rsid w:val="00FD7BF6"/>
    <w:rsid w:val="00FF1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6" w:qFormat="1"/>
    <w:lsdException w:name="footer" w:uiPriority="99"/>
    <w:lsdException w:name="caption" w:semiHidden="1" w:unhideWhenUsed="1" w:qFormat="1"/>
    <w:lsdException w:name="Subtitle" w:qFormat="1"/>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rsid w:val="00503228"/>
    <w:pPr>
      <w:spacing w:line="240" w:lineRule="auto"/>
      <w:outlineLvl w:val="1"/>
    </w:pPr>
  </w:style>
  <w:style w:type="paragraph" w:styleId="Heading3">
    <w:name w:val="heading 3"/>
    <w:basedOn w:val="Normal"/>
    <w:next w:val="Normal"/>
    <w:rsid w:val="00503228"/>
    <w:pPr>
      <w:spacing w:line="240" w:lineRule="auto"/>
      <w:outlineLvl w:val="2"/>
    </w:pPr>
  </w:style>
  <w:style w:type="paragraph" w:styleId="Heading4">
    <w:name w:val="heading 4"/>
    <w:basedOn w:val="Normal"/>
    <w:next w:val="Normal"/>
    <w:rsid w:val="00503228"/>
    <w:pPr>
      <w:spacing w:line="240" w:lineRule="auto"/>
      <w:outlineLvl w:val="3"/>
    </w:pPr>
  </w:style>
  <w:style w:type="paragraph" w:styleId="Heading5">
    <w:name w:val="heading 5"/>
    <w:basedOn w:val="Normal"/>
    <w:next w:val="Normal"/>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rsid w:val="00503228"/>
    <w:pPr>
      <w:spacing w:line="240" w:lineRule="auto"/>
      <w:outlineLvl w:val="6"/>
    </w:pPr>
  </w:style>
  <w:style w:type="paragraph" w:styleId="Heading8">
    <w:name w:val="heading 8"/>
    <w:basedOn w:val="Normal"/>
    <w:next w:val="Normal"/>
    <w:rsid w:val="00503228"/>
    <w:pPr>
      <w:spacing w:line="240" w:lineRule="auto"/>
      <w:outlineLvl w:val="7"/>
    </w:pPr>
  </w:style>
  <w:style w:type="paragraph" w:styleId="Heading9">
    <w:name w:val="heading 9"/>
    <w:basedOn w:val="Normal"/>
    <w:next w:val="Normal"/>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rsid w:val="00C711C7"/>
    <w:rPr>
      <w:lang w:eastAsia="en-US"/>
    </w:rPr>
  </w:style>
  <w:style w:type="character" w:customStyle="1" w:styleId="FootnoteTextChar">
    <w:name w:val="Footnote Text Char"/>
    <w:aliases w:val="5_G Char,PP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styleId="CommentReference">
    <w:name w:val="annotation reference"/>
    <w:rsid w:val="00B701B3"/>
    <w:rPr>
      <w:sz w:val="16"/>
      <w:szCs w:val="16"/>
    </w:rPr>
  </w:style>
  <w:style w:type="paragraph" w:styleId="CommentText">
    <w:name w:val="annotation text"/>
    <w:basedOn w:val="Normal"/>
    <w:link w:val="CommentTextChar"/>
    <w:rsid w:val="00B701B3"/>
  </w:style>
  <w:style w:type="character" w:customStyle="1" w:styleId="CommentTextChar">
    <w:name w:val="Comment Text Char"/>
    <w:link w:val="CommentText"/>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AMEN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 template.dot</Template>
  <TotalTime>0</TotalTime>
  <Pages>4</Pages>
  <Words>951</Words>
  <Characters>5426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04</cp:lastModifiedBy>
  <cp:revision>3</cp:revision>
  <cp:lastPrinted>2015-06-05T12:18:00Z</cp:lastPrinted>
  <dcterms:created xsi:type="dcterms:W3CDTF">2015-06-15T12:04:00Z</dcterms:created>
  <dcterms:modified xsi:type="dcterms:W3CDTF">2015-06-22T09:38:00Z</dcterms:modified>
</cp:coreProperties>
</file>