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3F35E" w14:textId="476ED3FB" w:rsidR="00AC74F7" w:rsidRPr="00B060C6" w:rsidRDefault="00DF0E34" w:rsidP="00DD5F08">
      <w:pPr>
        <w:pStyle w:val="HChG"/>
        <w:ind w:firstLine="0"/>
        <w:jc w:val="center"/>
        <w:rPr>
          <w:rFonts w:asciiTheme="majorBidi" w:hAnsiTheme="majorBidi" w:cstheme="majorBidi"/>
        </w:rPr>
      </w:pPr>
      <w:r w:rsidRPr="00B060C6">
        <w:rPr>
          <w:rFonts w:asciiTheme="majorBidi" w:hAnsiTheme="majorBidi" w:cstheme="majorBidi"/>
        </w:rPr>
        <w:t xml:space="preserve">Proposal for </w:t>
      </w:r>
      <w:r w:rsidR="00AC74F7" w:rsidRPr="00B060C6">
        <w:rPr>
          <w:rFonts w:asciiTheme="majorBidi" w:hAnsiTheme="majorBidi" w:cstheme="majorBidi"/>
        </w:rPr>
        <w:t xml:space="preserve">changes to document </w:t>
      </w:r>
      <w:r w:rsidR="00B242C6" w:rsidRPr="00B060C6">
        <w:rPr>
          <w:rFonts w:asciiTheme="majorBidi" w:hAnsiTheme="majorBidi" w:cstheme="majorBidi"/>
        </w:rPr>
        <w:t>GRSG/2020/14</w:t>
      </w:r>
      <w:r w:rsidRPr="00B060C6">
        <w:rPr>
          <w:rFonts w:asciiTheme="majorBidi" w:hAnsiTheme="majorBidi" w:cstheme="majorBidi"/>
        </w:rPr>
        <w:t xml:space="preserve"> </w:t>
      </w:r>
    </w:p>
    <w:p w14:paraId="5F7ED9A8" w14:textId="417263B8" w:rsidR="00DF0E34" w:rsidRPr="00B060C6" w:rsidRDefault="00B242C6" w:rsidP="00DD5F08">
      <w:pPr>
        <w:pStyle w:val="HChG"/>
        <w:ind w:firstLine="0"/>
        <w:jc w:val="center"/>
        <w:rPr>
          <w:rFonts w:asciiTheme="majorBidi" w:hAnsiTheme="majorBidi" w:cstheme="majorBidi"/>
        </w:rPr>
      </w:pPr>
      <w:r w:rsidRPr="00B060C6">
        <w:rPr>
          <w:rFonts w:asciiTheme="majorBidi" w:hAnsiTheme="majorBidi" w:cstheme="majorBidi"/>
        </w:rPr>
        <w:t>Consolidated Resolution R.E.3</w:t>
      </w:r>
    </w:p>
    <w:p w14:paraId="6D1966CB" w14:textId="77777777" w:rsidR="00DD5F08" w:rsidRPr="00B060C6" w:rsidRDefault="00DD5F08" w:rsidP="00DF0E34">
      <w:pPr>
        <w:pStyle w:val="H1G"/>
        <w:tabs>
          <w:tab w:val="clear" w:pos="851"/>
        </w:tabs>
        <w:ind w:firstLine="0"/>
        <w:rPr>
          <w:rFonts w:asciiTheme="majorBidi" w:hAnsiTheme="majorBidi" w:cstheme="majorBidi"/>
        </w:rPr>
      </w:pPr>
    </w:p>
    <w:p w14:paraId="2070FB91" w14:textId="1D7FB8B0" w:rsidR="00DF0E34" w:rsidRPr="00B060C6" w:rsidRDefault="00DF0E34" w:rsidP="00DF0E34">
      <w:pPr>
        <w:pStyle w:val="H1G"/>
        <w:tabs>
          <w:tab w:val="clear" w:pos="851"/>
        </w:tabs>
        <w:ind w:firstLine="0"/>
        <w:rPr>
          <w:rFonts w:asciiTheme="majorBidi" w:hAnsiTheme="majorBidi" w:cstheme="majorBidi"/>
          <w:vertAlign w:val="superscript"/>
        </w:rPr>
      </w:pPr>
      <w:r w:rsidRPr="00B060C6">
        <w:rPr>
          <w:rFonts w:asciiTheme="majorBidi" w:hAnsiTheme="majorBidi" w:cstheme="majorBidi"/>
        </w:rPr>
        <w:t xml:space="preserve">Submitted by the experts of </w:t>
      </w:r>
      <w:r w:rsidR="00AC74F7" w:rsidRPr="00B060C6">
        <w:rPr>
          <w:rFonts w:asciiTheme="majorBidi" w:hAnsiTheme="majorBidi" w:cstheme="majorBidi"/>
        </w:rPr>
        <w:t>OICA</w:t>
      </w:r>
    </w:p>
    <w:p w14:paraId="6EADD5E2" w14:textId="77777777" w:rsidR="00DD5F08" w:rsidRPr="00B060C6" w:rsidRDefault="00DD5F08" w:rsidP="00DF0E34">
      <w:pPr>
        <w:tabs>
          <w:tab w:val="left" w:pos="8505"/>
        </w:tabs>
        <w:ind w:left="1134" w:right="1134" w:firstLine="567"/>
        <w:jc w:val="both"/>
        <w:rPr>
          <w:rFonts w:asciiTheme="majorBidi" w:hAnsiTheme="majorBidi" w:cstheme="majorBidi"/>
        </w:rPr>
      </w:pPr>
    </w:p>
    <w:p w14:paraId="296FB4FB" w14:textId="54AC8A66" w:rsidR="00DF0E34" w:rsidRPr="00B060C6" w:rsidRDefault="00DF0E34" w:rsidP="00DF0E34">
      <w:pPr>
        <w:tabs>
          <w:tab w:val="left" w:pos="8505"/>
        </w:tabs>
        <w:ind w:left="1134" w:right="1134" w:firstLine="567"/>
        <w:jc w:val="both"/>
        <w:rPr>
          <w:rFonts w:asciiTheme="majorBidi" w:hAnsiTheme="majorBidi" w:cstheme="majorBidi"/>
        </w:rPr>
      </w:pPr>
      <w:r w:rsidRPr="00B060C6">
        <w:rPr>
          <w:rFonts w:asciiTheme="majorBidi" w:hAnsiTheme="majorBidi" w:cstheme="majorBidi"/>
        </w:rPr>
        <w:t xml:space="preserve">The text reproduced below was prepared by the </w:t>
      </w:r>
      <w:r w:rsidR="00AC74F7" w:rsidRPr="00B060C6">
        <w:rPr>
          <w:rFonts w:asciiTheme="majorBidi" w:hAnsiTheme="majorBidi" w:cstheme="majorBidi"/>
        </w:rPr>
        <w:t>experts from OICA</w:t>
      </w:r>
      <w:r w:rsidRPr="00B060C6">
        <w:rPr>
          <w:rFonts w:asciiTheme="majorBidi" w:hAnsiTheme="majorBidi" w:cstheme="majorBidi"/>
        </w:rPr>
        <w:t xml:space="preserve">. </w:t>
      </w:r>
      <w:r w:rsidR="00DD5F08" w:rsidRPr="00B060C6">
        <w:rPr>
          <w:rFonts w:asciiTheme="majorBidi" w:hAnsiTheme="majorBidi" w:cstheme="majorBidi"/>
        </w:rPr>
        <w:t>This pr</w:t>
      </w:r>
      <w:bookmarkStart w:id="0" w:name="_GoBack"/>
      <w:bookmarkEnd w:id="0"/>
      <w:r w:rsidR="00DD5F08" w:rsidRPr="00B060C6">
        <w:rPr>
          <w:rFonts w:asciiTheme="majorBidi" w:hAnsiTheme="majorBidi" w:cstheme="majorBidi"/>
        </w:rPr>
        <w:t>oposal amends the working document referenced</w:t>
      </w:r>
      <w:r w:rsidRPr="00B060C6">
        <w:rPr>
          <w:rFonts w:asciiTheme="majorBidi" w:hAnsiTheme="majorBidi" w:cstheme="majorBidi"/>
        </w:rPr>
        <w:t xml:space="preserve"> </w:t>
      </w:r>
      <w:r w:rsidR="00DD5F08" w:rsidRPr="00B060C6">
        <w:rPr>
          <w:rFonts w:asciiTheme="majorBidi" w:hAnsiTheme="majorBidi" w:cstheme="majorBidi"/>
        </w:rPr>
        <w:t>ECE</w:t>
      </w:r>
      <w:r w:rsidR="00AC74F7" w:rsidRPr="00B060C6">
        <w:rPr>
          <w:rFonts w:asciiTheme="majorBidi" w:hAnsiTheme="majorBidi" w:cstheme="majorBidi"/>
        </w:rPr>
        <w:t>/</w:t>
      </w:r>
      <w:r w:rsidR="00DD5F08" w:rsidRPr="00B060C6">
        <w:rPr>
          <w:rFonts w:asciiTheme="majorBidi" w:hAnsiTheme="majorBidi" w:cstheme="majorBidi"/>
        </w:rPr>
        <w:t>TRANS</w:t>
      </w:r>
      <w:r w:rsidR="00AC74F7" w:rsidRPr="00B060C6">
        <w:rPr>
          <w:rFonts w:asciiTheme="majorBidi" w:hAnsiTheme="majorBidi" w:cstheme="majorBidi"/>
        </w:rPr>
        <w:t>/</w:t>
      </w:r>
      <w:r w:rsidR="00DD5F08" w:rsidRPr="00B060C6">
        <w:rPr>
          <w:rFonts w:asciiTheme="majorBidi" w:hAnsiTheme="majorBidi" w:cstheme="majorBidi"/>
        </w:rPr>
        <w:t>WP.29</w:t>
      </w:r>
      <w:r w:rsidR="00AC74F7" w:rsidRPr="00B060C6">
        <w:rPr>
          <w:rFonts w:asciiTheme="majorBidi" w:hAnsiTheme="majorBidi" w:cstheme="majorBidi"/>
        </w:rPr>
        <w:t>/</w:t>
      </w:r>
      <w:r w:rsidR="00DD5F08" w:rsidRPr="00B060C6">
        <w:rPr>
          <w:rFonts w:asciiTheme="majorBidi" w:hAnsiTheme="majorBidi" w:cstheme="majorBidi"/>
        </w:rPr>
        <w:t>GRSG</w:t>
      </w:r>
      <w:r w:rsidR="00AC74F7" w:rsidRPr="00B060C6">
        <w:rPr>
          <w:rFonts w:asciiTheme="majorBidi" w:hAnsiTheme="majorBidi" w:cstheme="majorBidi"/>
        </w:rPr>
        <w:t>/</w:t>
      </w:r>
      <w:r w:rsidR="00DD5F08" w:rsidRPr="00B060C6">
        <w:rPr>
          <w:rFonts w:asciiTheme="majorBidi" w:hAnsiTheme="majorBidi" w:cstheme="majorBidi"/>
        </w:rPr>
        <w:t>2020</w:t>
      </w:r>
      <w:r w:rsidR="00AC74F7" w:rsidRPr="00B060C6">
        <w:rPr>
          <w:rFonts w:asciiTheme="majorBidi" w:hAnsiTheme="majorBidi" w:cstheme="majorBidi"/>
        </w:rPr>
        <w:t>/</w:t>
      </w:r>
      <w:r w:rsidR="00B242C6" w:rsidRPr="00B060C6">
        <w:rPr>
          <w:rFonts w:asciiTheme="majorBidi" w:hAnsiTheme="majorBidi" w:cstheme="majorBidi"/>
        </w:rPr>
        <w:t>14</w:t>
      </w:r>
      <w:r w:rsidR="00DD5F08" w:rsidRPr="00B060C6">
        <w:rPr>
          <w:rFonts w:asciiTheme="majorBidi" w:hAnsiTheme="majorBidi" w:cstheme="majorBidi"/>
        </w:rPr>
        <w:t>.</w:t>
      </w:r>
      <w:r w:rsidRPr="00B060C6">
        <w:rPr>
          <w:rFonts w:asciiTheme="majorBidi" w:hAnsiTheme="majorBidi" w:cstheme="majorBidi"/>
        </w:rPr>
        <w:t xml:space="preserve"> The modifications to the current</w:t>
      </w:r>
      <w:r w:rsidR="00DD5F08" w:rsidRPr="00B060C6">
        <w:rPr>
          <w:rFonts w:asciiTheme="majorBidi" w:hAnsiTheme="majorBidi" w:cstheme="majorBidi"/>
        </w:rPr>
        <w:t xml:space="preserve"> </w:t>
      </w:r>
      <w:r w:rsidR="00AC74F7" w:rsidRPr="00B060C6">
        <w:rPr>
          <w:rFonts w:asciiTheme="majorBidi" w:hAnsiTheme="majorBidi" w:cstheme="majorBidi"/>
        </w:rPr>
        <w:t>proposal ECE/TRANS/WP.29/GRSG/2020/</w:t>
      </w:r>
      <w:r w:rsidR="00B242C6" w:rsidRPr="00B060C6">
        <w:rPr>
          <w:rFonts w:asciiTheme="majorBidi" w:hAnsiTheme="majorBidi" w:cstheme="majorBidi"/>
        </w:rPr>
        <w:t xml:space="preserve">14 </w:t>
      </w:r>
      <w:r w:rsidRPr="00B060C6">
        <w:rPr>
          <w:rFonts w:asciiTheme="majorBidi" w:hAnsiTheme="majorBidi" w:cstheme="majorBidi"/>
        </w:rPr>
        <w:t xml:space="preserve">are marked in </w:t>
      </w:r>
      <w:r w:rsidR="00DD5F08" w:rsidRPr="00B060C6">
        <w:rPr>
          <w:rFonts w:asciiTheme="majorBidi" w:hAnsiTheme="majorBidi" w:cstheme="majorBidi"/>
        </w:rPr>
        <w:t>red</w:t>
      </w:r>
      <w:r w:rsidRPr="00B060C6">
        <w:rPr>
          <w:rFonts w:asciiTheme="majorBidi" w:hAnsiTheme="majorBidi" w:cstheme="majorBidi"/>
        </w:rPr>
        <w:t xml:space="preserve"> characters.</w:t>
      </w:r>
    </w:p>
    <w:p w14:paraId="50B62D92" w14:textId="7A6A67F7" w:rsidR="00DF0E34" w:rsidRPr="00B060C6" w:rsidRDefault="00B9350C" w:rsidP="00B9350C">
      <w:pPr>
        <w:pStyle w:val="HChG"/>
        <w:rPr>
          <w:rFonts w:asciiTheme="majorBidi" w:hAnsiTheme="majorBidi" w:cstheme="majorBidi"/>
          <w:b w:val="0"/>
          <w:szCs w:val="28"/>
        </w:rPr>
      </w:pPr>
      <w:r w:rsidRPr="00B060C6">
        <w:rPr>
          <w:rFonts w:asciiTheme="majorBidi" w:hAnsiTheme="majorBidi" w:cstheme="majorBidi"/>
          <w:szCs w:val="28"/>
        </w:rPr>
        <w:tab/>
      </w:r>
      <w:r w:rsidR="00DF0E34" w:rsidRPr="00B060C6">
        <w:rPr>
          <w:rFonts w:asciiTheme="majorBidi" w:hAnsiTheme="majorBidi" w:cstheme="majorBidi"/>
          <w:szCs w:val="28"/>
        </w:rPr>
        <w:t>I.</w:t>
      </w:r>
      <w:r w:rsidR="00DF0E34" w:rsidRPr="00B060C6">
        <w:rPr>
          <w:rFonts w:asciiTheme="majorBidi" w:hAnsiTheme="majorBidi" w:cstheme="majorBidi"/>
          <w:szCs w:val="28"/>
        </w:rPr>
        <w:tab/>
      </w:r>
      <w:r w:rsidR="00DF0E34" w:rsidRPr="00B060C6">
        <w:t>Proposal</w:t>
      </w:r>
    </w:p>
    <w:p w14:paraId="2A6A53C2" w14:textId="26CB4B8F" w:rsidR="00B242C6" w:rsidRPr="00B060C6" w:rsidRDefault="00B242C6" w:rsidP="00B242C6">
      <w:pPr>
        <w:spacing w:after="120"/>
        <w:ind w:left="2268" w:right="1134" w:hanging="1134"/>
        <w:jc w:val="both"/>
      </w:pPr>
      <w:bookmarkStart w:id="1" w:name="_Hlk51159359"/>
      <w:r w:rsidRPr="00C04768">
        <w:rPr>
          <w:i/>
          <w:iCs/>
        </w:rPr>
        <w:t>Proposed new paragraph 1.14</w:t>
      </w:r>
      <w:r w:rsidRPr="00B060C6">
        <w:t>, delete</w:t>
      </w:r>
    </w:p>
    <w:bookmarkEnd w:id="1"/>
    <w:p w14:paraId="03355545" w14:textId="56AD8138" w:rsidR="00B242C6" w:rsidRPr="00B060C6" w:rsidRDefault="00B242C6" w:rsidP="00B242C6">
      <w:pPr>
        <w:spacing w:after="120"/>
        <w:ind w:left="2268" w:right="1134" w:hanging="1134"/>
        <w:jc w:val="both"/>
        <w:rPr>
          <w:b/>
          <w:bCs/>
        </w:rPr>
      </w:pPr>
      <w:r w:rsidRPr="00B060C6">
        <w:rPr>
          <w:b/>
          <w:bCs/>
        </w:rPr>
        <w:t>“</w:t>
      </w:r>
      <w:r w:rsidRPr="00B060C6">
        <w:rPr>
          <w:b/>
          <w:bCs/>
          <w:strike/>
          <w:color w:val="FF0000"/>
        </w:rPr>
        <w:t>1.14.</w:t>
      </w:r>
      <w:r w:rsidRPr="00B060C6">
        <w:rPr>
          <w:b/>
          <w:bCs/>
          <w:strike/>
          <w:color w:val="FF0000"/>
        </w:rPr>
        <w:tab/>
      </w:r>
      <w:r w:rsidRPr="00B060C6">
        <w:rPr>
          <w:b/>
          <w:bCs/>
          <w:i/>
          <w:iCs/>
          <w:strike/>
          <w:color w:val="FF0000"/>
        </w:rPr>
        <w:t>"Manufacturer’s representative"</w:t>
      </w:r>
      <w:r w:rsidRPr="00B060C6">
        <w:rPr>
          <w:b/>
          <w:bCs/>
          <w:strike/>
          <w:color w:val="FF0000"/>
        </w:rPr>
        <w:t xml:space="preserve"> means any natural or legal person established in the Community who is duly appointed by the manufacturer to represent him to the approval authority and to act on his behalf in matters covered by the UN Regulations requirements for approval ,and where reference is made to the term ‘manufacturer’, it is to be understood as indicating either the manufacturer or his representative;</w:t>
      </w:r>
      <w:r w:rsidRPr="00B060C6">
        <w:rPr>
          <w:b/>
          <w:bCs/>
        </w:rPr>
        <w:t>”</w:t>
      </w:r>
    </w:p>
    <w:p w14:paraId="594323E0" w14:textId="5892D927" w:rsidR="00B242C6" w:rsidRPr="00B060C6" w:rsidRDefault="00B242C6" w:rsidP="00B242C6">
      <w:pPr>
        <w:spacing w:after="120"/>
        <w:ind w:left="2268" w:right="1134" w:hanging="1134"/>
        <w:jc w:val="both"/>
        <w:rPr>
          <w:b/>
          <w:bCs/>
        </w:rPr>
      </w:pPr>
    </w:p>
    <w:p w14:paraId="14A18882" w14:textId="47F73F94" w:rsidR="00B060C6" w:rsidRPr="00B060C6" w:rsidRDefault="00B060C6" w:rsidP="00B242C6">
      <w:pPr>
        <w:spacing w:after="120"/>
        <w:ind w:left="2268" w:right="1134" w:hanging="1134"/>
        <w:jc w:val="both"/>
      </w:pPr>
      <w:r w:rsidRPr="00C04768">
        <w:rPr>
          <w:i/>
          <w:iCs/>
        </w:rPr>
        <w:t>Proposed new paragraph 1.17</w:t>
      </w:r>
      <w:r w:rsidRPr="00B060C6">
        <w:t>, delete</w:t>
      </w:r>
    </w:p>
    <w:p w14:paraId="07919A0E" w14:textId="7DBC01DD" w:rsidR="00B060C6" w:rsidRPr="00B060C6" w:rsidRDefault="00B060C6" w:rsidP="00B060C6">
      <w:pPr>
        <w:spacing w:after="120"/>
        <w:ind w:left="2268" w:right="1134" w:hanging="1134"/>
        <w:jc w:val="both"/>
        <w:rPr>
          <w:b/>
          <w:bCs/>
          <w:lang w:eastAsia="fr-FR"/>
        </w:rPr>
      </w:pPr>
      <w:r>
        <w:rPr>
          <w:b/>
          <w:bCs/>
          <w:lang w:eastAsia="fr-FR"/>
        </w:rPr>
        <w:t>“</w:t>
      </w:r>
      <w:r w:rsidRPr="00B060C6">
        <w:rPr>
          <w:b/>
          <w:bCs/>
          <w:strike/>
          <w:color w:val="FF0000"/>
          <w:lang w:eastAsia="fr-FR"/>
        </w:rPr>
        <w:t>1.17.</w:t>
      </w:r>
      <w:r w:rsidRPr="00B060C6">
        <w:rPr>
          <w:b/>
          <w:bCs/>
          <w:strike/>
          <w:color w:val="FF0000"/>
          <w:lang w:eastAsia="fr-FR"/>
        </w:rPr>
        <w:tab/>
      </w:r>
      <w:r w:rsidRPr="00B060C6">
        <w:rPr>
          <w:b/>
          <w:bCs/>
          <w:i/>
          <w:iCs/>
          <w:strike/>
          <w:color w:val="FF0000"/>
          <w:lang w:eastAsia="fr-FR"/>
        </w:rPr>
        <w:t>"Original parts or equipment</w:t>
      </w:r>
      <w:r w:rsidRPr="00B060C6">
        <w:rPr>
          <w:b/>
          <w:bCs/>
          <w:strike/>
          <w:color w:val="FF0000"/>
          <w:lang w:eastAsia="fr-FR"/>
        </w:rPr>
        <w:t xml:space="preserve">" means parts or equipment which are manufactured according to the specifications and production standards provided by the vehicle manufacturer </w:t>
      </w:r>
      <w:proofErr w:type="gramStart"/>
      <w:r w:rsidRPr="00B060C6">
        <w:rPr>
          <w:b/>
          <w:bCs/>
          <w:strike/>
          <w:color w:val="FF0000"/>
          <w:lang w:eastAsia="fr-FR"/>
        </w:rPr>
        <w:t>for the production of</w:t>
      </w:r>
      <w:proofErr w:type="gramEnd"/>
      <w:r w:rsidRPr="00B060C6">
        <w:rPr>
          <w:b/>
          <w:bCs/>
          <w:strike/>
          <w:color w:val="FF0000"/>
          <w:lang w:eastAsia="fr-FR"/>
        </w:rPr>
        <w:t xml:space="preserve"> parts or equipment for the assembly of the vehicle in question. This includes parts or equipment which are manufactured on the same production line as these parts or equipment. It is presumed unless the contrary is proven, that parts constitute original parts if the part manufacturer certifies that the parts match the quality of the components used for the assembly of the vehicle in question and have been manufactured according to the Un regulations requirements and specifications and production standards of the vehicle manufacturer</w:t>
      </w:r>
      <w:r w:rsidRPr="00B060C6">
        <w:rPr>
          <w:b/>
          <w:bCs/>
          <w:lang w:eastAsia="fr-FR"/>
        </w:rPr>
        <w:t>;</w:t>
      </w:r>
      <w:r>
        <w:rPr>
          <w:b/>
          <w:bCs/>
          <w:lang w:eastAsia="fr-FR"/>
        </w:rPr>
        <w:t>”</w:t>
      </w:r>
    </w:p>
    <w:p w14:paraId="4D877B3F" w14:textId="77777777" w:rsidR="00C7297D" w:rsidRDefault="00C7297D" w:rsidP="00B156BC">
      <w:pPr>
        <w:pStyle w:val="SingleTxtG"/>
        <w:ind w:left="2268" w:hanging="1134"/>
      </w:pPr>
    </w:p>
    <w:p w14:paraId="2B62D1CC" w14:textId="48D6305D" w:rsidR="00C7297D" w:rsidRDefault="00C7297D" w:rsidP="00C7297D">
      <w:pPr>
        <w:keepNext/>
        <w:keepLines/>
        <w:spacing w:after="120"/>
        <w:ind w:left="1134" w:right="1134"/>
        <w:jc w:val="both"/>
      </w:pPr>
      <w:r w:rsidRPr="00C04768">
        <w:rPr>
          <w:i/>
          <w:iCs/>
        </w:rPr>
        <w:t>Proposed paragraphs 2.8.3.1., 2.8.3.2. and 2.8.3.3</w:t>
      </w:r>
      <w:r>
        <w:t xml:space="preserve">., </w:t>
      </w:r>
      <w:bookmarkStart w:id="2" w:name="_Hlk52564101"/>
      <w:r>
        <w:t>amend to read (keep the reference to the year)</w:t>
      </w:r>
      <w:bookmarkEnd w:id="2"/>
    </w:p>
    <w:p w14:paraId="5D228075" w14:textId="679A966C" w:rsidR="00C7297D" w:rsidRPr="005A3FA7" w:rsidRDefault="00C04768" w:rsidP="00C7297D">
      <w:pPr>
        <w:keepNext/>
        <w:keepLines/>
        <w:spacing w:after="120"/>
        <w:ind w:left="2268" w:right="1134" w:hanging="1134"/>
        <w:jc w:val="both"/>
      </w:pPr>
      <w:r>
        <w:t>“</w:t>
      </w:r>
      <w:r w:rsidR="00C7297D" w:rsidRPr="005A3FA7">
        <w:t>2.8.3.1.</w:t>
      </w:r>
      <w:r w:rsidR="00C7297D" w:rsidRPr="005A3FA7">
        <w:tab/>
        <w:t>"</w:t>
      </w:r>
      <w:r w:rsidR="00C7297D" w:rsidRPr="005A3FA7">
        <w:rPr>
          <w:i/>
        </w:rPr>
        <w:t>Approach angle</w:t>
      </w:r>
      <w:r w:rsidR="00C7297D" w:rsidRPr="005A3FA7">
        <w:t xml:space="preserve">" – see Standard </w:t>
      </w:r>
      <w:r w:rsidR="00C7297D" w:rsidRPr="00C7297D">
        <w:rPr>
          <w:color w:val="FF0000"/>
        </w:rPr>
        <w:t>ISO 612:1978</w:t>
      </w:r>
      <w:r w:rsidR="00C7297D" w:rsidRPr="00C7297D">
        <w:t xml:space="preserve"> </w:t>
      </w:r>
      <w:r w:rsidR="00C7297D" w:rsidRPr="005A3FA7">
        <w:t>term No. 6.10.</w:t>
      </w:r>
    </w:p>
    <w:p w14:paraId="0FA6F920" w14:textId="77777777" w:rsidR="00C7297D" w:rsidRPr="00EE3633" w:rsidRDefault="00C7297D" w:rsidP="00C7297D">
      <w:pPr>
        <w:keepNext/>
        <w:keepLines/>
        <w:spacing w:after="120"/>
        <w:ind w:left="2200" w:right="1134" w:firstLine="68"/>
        <w:jc w:val="both"/>
      </w:pPr>
      <w:r>
        <w:rPr>
          <w:noProof/>
          <w:lang w:val="en-US"/>
        </w:rPr>
        <w:drawing>
          <wp:inline distT="0" distB="0" distL="0" distR="0" wp14:anchorId="13AFF454" wp14:editId="603CFABA">
            <wp:extent cx="2991485" cy="1046480"/>
            <wp:effectExtent l="0" t="0" r="0" b="1270"/>
            <wp:docPr id="2" name="Picture 2" descr="64-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4-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1485" cy="1046480"/>
                    </a:xfrm>
                    <a:prstGeom prst="rect">
                      <a:avLst/>
                    </a:prstGeom>
                    <a:noFill/>
                    <a:ln>
                      <a:noFill/>
                    </a:ln>
                  </pic:spPr>
                </pic:pic>
              </a:graphicData>
            </a:graphic>
          </wp:inline>
        </w:drawing>
      </w:r>
    </w:p>
    <w:p w14:paraId="6D38118C" w14:textId="77777777" w:rsidR="00C7297D" w:rsidRDefault="00C7297D" w:rsidP="00B156BC">
      <w:pPr>
        <w:pStyle w:val="SingleTxtG"/>
        <w:ind w:left="2268" w:hanging="1134"/>
      </w:pPr>
    </w:p>
    <w:p w14:paraId="55168CC0" w14:textId="0B52CA6F" w:rsidR="00C7297D" w:rsidRDefault="00C7297D" w:rsidP="00B156BC">
      <w:pPr>
        <w:pStyle w:val="SingleTxtG"/>
        <w:ind w:left="2268" w:hanging="1134"/>
      </w:pPr>
    </w:p>
    <w:p w14:paraId="0A489EB9" w14:textId="77777777" w:rsidR="00C7297D" w:rsidRPr="005A3FA7" w:rsidRDefault="00C7297D" w:rsidP="00C7297D">
      <w:pPr>
        <w:ind w:left="2200" w:right="1134" w:hanging="1066"/>
        <w:jc w:val="both"/>
      </w:pPr>
      <w:r w:rsidRPr="005A3FA7">
        <w:t>2.8.3.2.</w:t>
      </w:r>
      <w:r w:rsidRPr="005A3FA7">
        <w:tab/>
        <w:t>"</w:t>
      </w:r>
      <w:r w:rsidRPr="005A3FA7">
        <w:rPr>
          <w:i/>
        </w:rPr>
        <w:t>Departure angle</w:t>
      </w:r>
      <w:r w:rsidRPr="005A3FA7">
        <w:t xml:space="preserve">" – see Standard </w:t>
      </w:r>
      <w:r w:rsidRPr="00C7297D">
        <w:rPr>
          <w:color w:val="FF0000"/>
        </w:rPr>
        <w:t xml:space="preserve">ISO 612:1978 </w:t>
      </w:r>
      <w:r w:rsidRPr="005A3FA7">
        <w:t>term No. 6.11.</w:t>
      </w:r>
    </w:p>
    <w:p w14:paraId="1EFDCDD1" w14:textId="77777777" w:rsidR="00C7297D" w:rsidRPr="00EE3633" w:rsidRDefault="00C7297D" w:rsidP="00C7297D">
      <w:pPr>
        <w:spacing w:after="120"/>
        <w:ind w:left="1134" w:right="1134" w:firstLine="1134"/>
        <w:jc w:val="both"/>
      </w:pPr>
      <w:r>
        <w:rPr>
          <w:noProof/>
          <w:lang w:val="en-US"/>
        </w:rPr>
        <w:drawing>
          <wp:inline distT="0" distB="0" distL="0" distR="0" wp14:anchorId="4197B3D7" wp14:editId="73DB0995">
            <wp:extent cx="3155315" cy="1231265"/>
            <wp:effectExtent l="0" t="0" r="6985" b="6985"/>
            <wp:docPr id="3" name="Picture 3" descr="1-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5315" cy="1231265"/>
                    </a:xfrm>
                    <a:prstGeom prst="rect">
                      <a:avLst/>
                    </a:prstGeom>
                    <a:noFill/>
                    <a:ln>
                      <a:noFill/>
                    </a:ln>
                  </pic:spPr>
                </pic:pic>
              </a:graphicData>
            </a:graphic>
          </wp:inline>
        </w:drawing>
      </w:r>
    </w:p>
    <w:p w14:paraId="09CD7DA8" w14:textId="60C38A22" w:rsidR="00C7297D" w:rsidRPr="005A3FA7" w:rsidRDefault="00C7297D" w:rsidP="00C7297D">
      <w:pPr>
        <w:keepNext/>
        <w:keepLines/>
        <w:spacing w:after="120"/>
        <w:ind w:left="1134" w:right="1134"/>
        <w:jc w:val="both"/>
      </w:pPr>
      <w:r w:rsidRPr="005A3FA7">
        <w:t>2.8.3.3.</w:t>
      </w:r>
      <w:r w:rsidRPr="005A3FA7">
        <w:tab/>
        <w:t>"</w:t>
      </w:r>
      <w:r w:rsidRPr="005A3FA7">
        <w:rPr>
          <w:i/>
        </w:rPr>
        <w:t>Ramp angle</w:t>
      </w:r>
      <w:r w:rsidRPr="005A3FA7">
        <w:t xml:space="preserve">" – see Standard </w:t>
      </w:r>
      <w:r w:rsidRPr="00C7297D">
        <w:rPr>
          <w:color w:val="FF0000"/>
        </w:rPr>
        <w:t>ISO 612:1978</w:t>
      </w:r>
      <w:r w:rsidRPr="00C7297D">
        <w:t xml:space="preserve"> </w:t>
      </w:r>
      <w:r w:rsidRPr="005A3FA7">
        <w:t>term No. 6.9.</w:t>
      </w:r>
    </w:p>
    <w:p w14:paraId="2B5A4862" w14:textId="1BEEF0D0" w:rsidR="00C7297D" w:rsidRPr="00EE3633" w:rsidRDefault="00C7297D" w:rsidP="00C7297D">
      <w:pPr>
        <w:spacing w:after="120"/>
        <w:ind w:left="2268" w:right="1134"/>
        <w:jc w:val="both"/>
      </w:pPr>
      <w:r>
        <w:rPr>
          <w:noProof/>
          <w:lang w:val="en-US"/>
        </w:rPr>
        <w:drawing>
          <wp:inline distT="0" distB="0" distL="0" distR="0" wp14:anchorId="350B8819" wp14:editId="16710160">
            <wp:extent cx="2568575" cy="1569720"/>
            <wp:effectExtent l="0" t="0" r="3175" b="0"/>
            <wp:docPr id="4" name="Picture 4" descr="3-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8575" cy="1569720"/>
                    </a:xfrm>
                    <a:prstGeom prst="rect">
                      <a:avLst/>
                    </a:prstGeom>
                    <a:noFill/>
                    <a:ln>
                      <a:noFill/>
                    </a:ln>
                  </pic:spPr>
                </pic:pic>
              </a:graphicData>
            </a:graphic>
          </wp:inline>
        </w:drawing>
      </w:r>
      <w:r w:rsidR="00C04768">
        <w:t>”</w:t>
      </w:r>
    </w:p>
    <w:p w14:paraId="634D1F85" w14:textId="77777777" w:rsidR="00C04768" w:rsidRDefault="00C04768" w:rsidP="00C04768">
      <w:pPr>
        <w:spacing w:after="120"/>
        <w:ind w:left="2268" w:right="1134" w:hanging="1134"/>
        <w:jc w:val="both"/>
      </w:pPr>
    </w:p>
    <w:p w14:paraId="0BC130F3" w14:textId="389911D0" w:rsidR="00C04768" w:rsidRDefault="00C04768" w:rsidP="00C04768">
      <w:pPr>
        <w:spacing w:after="120"/>
        <w:ind w:left="2268" w:right="1134" w:hanging="1134"/>
        <w:jc w:val="both"/>
      </w:pPr>
      <w:r w:rsidRPr="00C04768">
        <w:rPr>
          <w:i/>
          <w:iCs/>
        </w:rPr>
        <w:t>Paragraph 2.9.1.1.</w:t>
      </w:r>
      <w:r>
        <w:t xml:space="preserve">, </w:t>
      </w:r>
      <w:r w:rsidRPr="00C04768">
        <w:t>amend to read (keep the reference to the year)</w:t>
      </w:r>
    </w:p>
    <w:p w14:paraId="763524DC" w14:textId="4DDDF354" w:rsidR="00C04768" w:rsidRPr="00EE3633" w:rsidRDefault="00C04768" w:rsidP="00C04768">
      <w:pPr>
        <w:spacing w:after="120"/>
        <w:ind w:left="2268" w:right="1134" w:hanging="1134"/>
        <w:jc w:val="both"/>
      </w:pPr>
      <w:r>
        <w:t>“</w:t>
      </w:r>
      <w:r w:rsidRPr="00EE3633">
        <w:t>2.9.1.1</w:t>
      </w:r>
      <w:r w:rsidRPr="00EE3633">
        <w:tab/>
      </w:r>
      <w:r w:rsidRPr="00EE3633">
        <w:tab/>
        <w:t>AA Saloon:</w:t>
      </w:r>
    </w:p>
    <w:p w14:paraId="6FD40168" w14:textId="008DD410" w:rsidR="00C04768" w:rsidRPr="005A3FA7" w:rsidRDefault="00C04768" w:rsidP="00C04768">
      <w:pPr>
        <w:spacing w:after="120"/>
        <w:ind w:left="2268" w:right="1134"/>
        <w:jc w:val="both"/>
      </w:pPr>
      <w:r w:rsidRPr="005A3FA7">
        <w:t xml:space="preserve">Standard </w:t>
      </w:r>
      <w:r w:rsidRPr="00C04768">
        <w:rPr>
          <w:color w:val="FF0000"/>
        </w:rPr>
        <w:t xml:space="preserve">ISO 3833:1977 </w:t>
      </w:r>
      <w:r w:rsidRPr="005A3FA7">
        <w:t>term No. 3.1.1.1</w:t>
      </w:r>
      <w:proofErr w:type="gramStart"/>
      <w:r w:rsidRPr="005A3FA7">
        <w:t>., but</w:t>
      </w:r>
      <w:proofErr w:type="gramEnd"/>
      <w:r w:rsidRPr="005A3FA7">
        <w:t xml:space="preserve"> including also vehicles with more than 4 side windows.</w:t>
      </w:r>
      <w:r>
        <w:t>”</w:t>
      </w:r>
    </w:p>
    <w:p w14:paraId="198CB3C0" w14:textId="77777777" w:rsidR="00C04768" w:rsidRDefault="00C04768" w:rsidP="00B156BC">
      <w:pPr>
        <w:pStyle w:val="SingleTxtG"/>
        <w:ind w:left="2268" w:hanging="1134"/>
      </w:pPr>
    </w:p>
    <w:p w14:paraId="022CC0B8" w14:textId="1706508E" w:rsidR="00C7297D" w:rsidRDefault="00C04768" w:rsidP="00B156BC">
      <w:pPr>
        <w:pStyle w:val="SingleTxtG"/>
        <w:ind w:left="2268" w:hanging="1134"/>
      </w:pPr>
      <w:r w:rsidRPr="00C04768">
        <w:rPr>
          <w:i/>
          <w:iCs/>
        </w:rPr>
        <w:t>Paragraphs 2.9.1.3, 2.1.9.4, 2.1.9.5</w:t>
      </w:r>
      <w:r>
        <w:t xml:space="preserve">, </w:t>
      </w:r>
      <w:r w:rsidRPr="00C04768">
        <w:t>amend to read (keep the reference to the year)</w:t>
      </w:r>
    </w:p>
    <w:p w14:paraId="0434FB1C" w14:textId="61BC4B9F" w:rsidR="00C04768" w:rsidRPr="005A3FA7" w:rsidRDefault="00C04768" w:rsidP="00C04768">
      <w:pPr>
        <w:spacing w:after="120"/>
        <w:ind w:left="2268" w:right="1134" w:hanging="1134"/>
        <w:jc w:val="both"/>
      </w:pPr>
      <w:r>
        <w:t>“</w:t>
      </w:r>
      <w:r w:rsidRPr="00EE3633">
        <w:t>2.9.1.3.</w:t>
      </w:r>
      <w:r w:rsidRPr="00EE3633">
        <w:tab/>
      </w:r>
      <w:r w:rsidRPr="005A3FA7">
        <w:t>AC Station Wagon (Estate car)</w:t>
      </w:r>
    </w:p>
    <w:p w14:paraId="7F921000" w14:textId="77777777" w:rsidR="00C04768" w:rsidRPr="005A3FA7" w:rsidRDefault="00C04768" w:rsidP="00C04768">
      <w:pPr>
        <w:spacing w:after="120"/>
        <w:ind w:left="2268" w:right="1134" w:hanging="1134"/>
        <w:jc w:val="both"/>
      </w:pPr>
      <w:r w:rsidRPr="005A3FA7">
        <w:tab/>
      </w:r>
      <w:r w:rsidRPr="005A3FA7">
        <w:tab/>
        <w:t xml:space="preserve">Standard </w:t>
      </w:r>
      <w:r w:rsidRPr="00C04768">
        <w:rPr>
          <w:color w:val="FF0000"/>
        </w:rPr>
        <w:t>ISO 3833</w:t>
      </w:r>
      <w:bookmarkStart w:id="3" w:name="_Hlk30412957"/>
      <w:r w:rsidRPr="00C04768">
        <w:rPr>
          <w:color w:val="FF0000"/>
        </w:rPr>
        <w:t>:1977</w:t>
      </w:r>
      <w:bookmarkEnd w:id="3"/>
      <w:r w:rsidRPr="005A3FA7">
        <w:t>, term No. 3.1.1.4.</w:t>
      </w:r>
    </w:p>
    <w:p w14:paraId="217CBDFF" w14:textId="77777777" w:rsidR="00C04768" w:rsidRPr="005A3FA7" w:rsidRDefault="00C04768" w:rsidP="00C04768">
      <w:pPr>
        <w:spacing w:after="120"/>
        <w:ind w:left="2268" w:right="1134" w:hanging="1134"/>
        <w:jc w:val="both"/>
      </w:pPr>
      <w:r w:rsidRPr="005A3FA7">
        <w:t>2.9.1.4.</w:t>
      </w:r>
      <w:r w:rsidRPr="005A3FA7">
        <w:tab/>
      </w:r>
      <w:r w:rsidRPr="005A3FA7">
        <w:tab/>
        <w:t>AD Coupé</w:t>
      </w:r>
    </w:p>
    <w:p w14:paraId="4991ABFD" w14:textId="77777777" w:rsidR="00C04768" w:rsidRPr="005A3FA7" w:rsidRDefault="00C04768" w:rsidP="00C04768">
      <w:pPr>
        <w:spacing w:after="120"/>
        <w:ind w:left="2268" w:right="1134" w:hanging="1134"/>
        <w:jc w:val="both"/>
      </w:pPr>
      <w:r w:rsidRPr="005A3FA7">
        <w:tab/>
      </w:r>
      <w:r w:rsidRPr="005A3FA7">
        <w:tab/>
        <w:t xml:space="preserve">Standard </w:t>
      </w:r>
      <w:r w:rsidRPr="00C04768">
        <w:rPr>
          <w:color w:val="FF0000"/>
        </w:rPr>
        <w:t xml:space="preserve">ISO 3833:1977 </w:t>
      </w:r>
      <w:r w:rsidRPr="005A3FA7">
        <w:t>term No. 3.1.1.5.</w:t>
      </w:r>
    </w:p>
    <w:p w14:paraId="747FE645" w14:textId="77777777" w:rsidR="00C04768" w:rsidRPr="005A3FA7" w:rsidRDefault="00C04768" w:rsidP="00C04768">
      <w:pPr>
        <w:keepNext/>
        <w:keepLines/>
        <w:spacing w:after="120"/>
        <w:ind w:left="2268" w:right="1134" w:hanging="1134"/>
        <w:jc w:val="both"/>
      </w:pPr>
      <w:r w:rsidRPr="005A3FA7">
        <w:t>2.9.1.5.</w:t>
      </w:r>
      <w:r w:rsidRPr="005A3FA7">
        <w:tab/>
      </w:r>
      <w:r w:rsidRPr="005A3FA7">
        <w:tab/>
        <w:t>AE Convertible</w:t>
      </w:r>
    </w:p>
    <w:p w14:paraId="69B1CB57" w14:textId="6DDC43B1" w:rsidR="00C04768" w:rsidRPr="005A3FA7" w:rsidRDefault="00C04768" w:rsidP="00C04768">
      <w:pPr>
        <w:spacing w:after="120"/>
        <w:ind w:left="2268" w:right="1134" w:hanging="1134"/>
        <w:jc w:val="both"/>
      </w:pPr>
      <w:r w:rsidRPr="005A3FA7">
        <w:tab/>
      </w:r>
      <w:r w:rsidRPr="005A3FA7">
        <w:tab/>
        <w:t xml:space="preserve">Standard </w:t>
      </w:r>
      <w:r w:rsidRPr="00C04768">
        <w:rPr>
          <w:color w:val="FF0000"/>
        </w:rPr>
        <w:t xml:space="preserve">ISO 3833:1977 </w:t>
      </w:r>
      <w:r w:rsidRPr="005A3FA7">
        <w:t>term No. 3.1.1.6.</w:t>
      </w:r>
      <w:r>
        <w:t>”</w:t>
      </w:r>
    </w:p>
    <w:p w14:paraId="74516ED2" w14:textId="77777777" w:rsidR="00C7297D" w:rsidRDefault="00C7297D" w:rsidP="00B156BC">
      <w:pPr>
        <w:pStyle w:val="SingleTxtG"/>
        <w:ind w:left="2268" w:hanging="1134"/>
      </w:pPr>
    </w:p>
    <w:p w14:paraId="50721B47" w14:textId="1B06206C" w:rsidR="00AC74F7" w:rsidRDefault="00B060C6" w:rsidP="00B156BC">
      <w:pPr>
        <w:pStyle w:val="SingleTxtG"/>
        <w:ind w:left="2268" w:hanging="1134"/>
      </w:pPr>
      <w:r w:rsidRPr="00C04768">
        <w:rPr>
          <w:i/>
          <w:iCs/>
        </w:rPr>
        <w:t>Proposed paragraph 2.10</w:t>
      </w:r>
      <w:r>
        <w:t>, delete:</w:t>
      </w:r>
    </w:p>
    <w:p w14:paraId="01872DE0" w14:textId="77777777" w:rsidR="00B060C6" w:rsidRPr="00B060C6" w:rsidRDefault="00B060C6" w:rsidP="00B060C6">
      <w:pPr>
        <w:spacing w:after="120"/>
        <w:ind w:left="2268" w:right="1134" w:hanging="1134"/>
        <w:jc w:val="both"/>
        <w:rPr>
          <w:b/>
          <w:bCs/>
          <w:i/>
          <w:iCs/>
          <w:strike/>
          <w:color w:val="FF0000"/>
          <w:lang w:eastAsia="fr-FR"/>
        </w:rPr>
      </w:pPr>
      <w:r>
        <w:t>“</w:t>
      </w:r>
      <w:r w:rsidRPr="00B060C6">
        <w:rPr>
          <w:b/>
          <w:bCs/>
          <w:i/>
          <w:iCs/>
          <w:strike/>
          <w:color w:val="FF0000"/>
          <w:lang w:eastAsia="fr-FR"/>
        </w:rPr>
        <w:t>2.10.</w:t>
      </w:r>
      <w:r w:rsidRPr="00B060C6">
        <w:rPr>
          <w:b/>
          <w:bCs/>
          <w:i/>
          <w:iCs/>
          <w:strike/>
          <w:color w:val="FF0000"/>
          <w:lang w:eastAsia="fr-FR"/>
        </w:rPr>
        <w:tab/>
        <w:t xml:space="preserve">Vehicle Identification Number (VIN): </w:t>
      </w:r>
    </w:p>
    <w:p w14:paraId="39F79B87" w14:textId="2C9A936E" w:rsidR="00B060C6" w:rsidRPr="00B060C6" w:rsidRDefault="00B060C6" w:rsidP="00B060C6">
      <w:pPr>
        <w:spacing w:after="120"/>
        <w:ind w:left="2268" w:right="1134"/>
        <w:jc w:val="both"/>
        <w:rPr>
          <w:b/>
          <w:bCs/>
          <w:i/>
          <w:iCs/>
          <w:strike/>
          <w:color w:val="FF0000"/>
          <w:lang w:eastAsia="fr-FR"/>
        </w:rPr>
      </w:pPr>
      <w:r w:rsidRPr="00B060C6">
        <w:rPr>
          <w:b/>
          <w:bCs/>
          <w:i/>
          <w:iCs/>
          <w:strike/>
          <w:color w:val="FF0000"/>
          <w:lang w:eastAsia="fr-FR"/>
        </w:rPr>
        <w:t xml:space="preserve">The content and structure of a vehicle identification number (VIN) in order to establish, on a world-wide basis, a uniform identification numbering system applied for vehicles categories (M, N, O1, O2, L, T, etc.) </w:t>
      </w:r>
    </w:p>
    <w:p w14:paraId="64478E3C" w14:textId="474DE4E3" w:rsidR="00B060C6" w:rsidRPr="00B060C6" w:rsidRDefault="00B060C6" w:rsidP="00B060C6">
      <w:pPr>
        <w:spacing w:after="120"/>
        <w:ind w:left="2268" w:right="1134"/>
        <w:jc w:val="both"/>
      </w:pPr>
      <w:r w:rsidRPr="00B060C6">
        <w:rPr>
          <w:b/>
          <w:bCs/>
          <w:i/>
          <w:iCs/>
          <w:strike/>
          <w:color w:val="FF0000"/>
          <w:lang w:eastAsia="fr-FR"/>
        </w:rPr>
        <w:t>VIN is a structured combination of characters assigned to a vehicle by the manufacturer for identification purposes, according to ISO 3779, ISO 4033, ISO 3780</w:t>
      </w:r>
      <w:r w:rsidRPr="00B060C6">
        <w:rPr>
          <w:b/>
          <w:bCs/>
          <w:lang w:val="en-US"/>
        </w:rPr>
        <w:t>.</w:t>
      </w:r>
      <w:r>
        <w:rPr>
          <w:b/>
          <w:bCs/>
          <w:lang w:val="en-US"/>
        </w:rPr>
        <w:t>”</w:t>
      </w:r>
    </w:p>
    <w:p w14:paraId="27BF24A0" w14:textId="77777777" w:rsidR="00AC74F7" w:rsidRPr="00B060C6" w:rsidRDefault="00AC74F7" w:rsidP="00B477C3">
      <w:pPr>
        <w:pStyle w:val="SingleTxtG"/>
        <w:ind w:left="2268"/>
        <w:rPr>
          <w:rFonts w:asciiTheme="majorBidi" w:hAnsiTheme="majorBidi" w:cstheme="majorBidi"/>
          <w:b/>
        </w:rPr>
      </w:pPr>
    </w:p>
    <w:p w14:paraId="2967EA26" w14:textId="21CF6DD8" w:rsidR="00DF0E34" w:rsidRPr="00B060C6" w:rsidRDefault="00B9350C" w:rsidP="00B9350C">
      <w:pPr>
        <w:pStyle w:val="HChG"/>
        <w:rPr>
          <w:rFonts w:asciiTheme="majorBidi" w:hAnsiTheme="majorBidi" w:cstheme="majorBidi"/>
          <w:b w:val="0"/>
          <w:szCs w:val="28"/>
        </w:rPr>
      </w:pPr>
      <w:r w:rsidRPr="00B060C6">
        <w:rPr>
          <w:rFonts w:asciiTheme="majorBidi" w:hAnsiTheme="majorBidi" w:cstheme="majorBidi"/>
          <w:szCs w:val="28"/>
        </w:rPr>
        <w:lastRenderedPageBreak/>
        <w:tab/>
      </w:r>
      <w:r w:rsidR="00DF0E34" w:rsidRPr="00B060C6">
        <w:rPr>
          <w:rFonts w:asciiTheme="majorBidi" w:hAnsiTheme="majorBidi" w:cstheme="majorBidi"/>
          <w:szCs w:val="28"/>
        </w:rPr>
        <w:t>II</w:t>
      </w:r>
      <w:r w:rsidRPr="00B060C6">
        <w:rPr>
          <w:rFonts w:asciiTheme="majorBidi" w:hAnsiTheme="majorBidi" w:cstheme="majorBidi"/>
          <w:szCs w:val="28"/>
        </w:rPr>
        <w:t>.</w:t>
      </w:r>
      <w:r w:rsidR="00DF0E34" w:rsidRPr="00B060C6">
        <w:rPr>
          <w:rFonts w:asciiTheme="majorBidi" w:hAnsiTheme="majorBidi" w:cstheme="majorBidi"/>
          <w:szCs w:val="28"/>
        </w:rPr>
        <w:tab/>
      </w:r>
      <w:r w:rsidRPr="00B060C6">
        <w:rPr>
          <w:rFonts w:asciiTheme="majorBidi" w:hAnsiTheme="majorBidi" w:cstheme="majorBidi"/>
          <w:szCs w:val="28"/>
        </w:rPr>
        <w:tab/>
      </w:r>
      <w:r w:rsidR="00DF0E34" w:rsidRPr="00B060C6">
        <w:rPr>
          <w:rFonts w:asciiTheme="majorBidi" w:hAnsiTheme="majorBidi" w:cstheme="majorBidi"/>
          <w:szCs w:val="28"/>
        </w:rPr>
        <w:t>Justification</w:t>
      </w:r>
    </w:p>
    <w:p w14:paraId="0AE7F4E2" w14:textId="2EAB6082" w:rsidR="00B242C6" w:rsidRPr="00B060C6" w:rsidRDefault="00B242C6" w:rsidP="008F7A22">
      <w:pPr>
        <w:pStyle w:val="SingleTxtG"/>
        <w:numPr>
          <w:ilvl w:val="0"/>
          <w:numId w:val="27"/>
        </w:numPr>
      </w:pPr>
      <w:r w:rsidRPr="00B060C6">
        <w:t>Paragraph 1.14: Whilst “manufacturer’s representative” is seldom used in UN Regulations, beside the expression “applicant”, there is no such definition in the 58 Agreement. The wording “</w:t>
      </w:r>
      <w:r w:rsidRPr="00B060C6">
        <w:rPr>
          <w:b/>
          <w:bCs/>
        </w:rPr>
        <w:t xml:space="preserve">legal person established in the Community” </w:t>
      </w:r>
      <w:r w:rsidRPr="00B060C6">
        <w:t xml:space="preserve">seems strange in the UNECE context. </w:t>
      </w:r>
    </w:p>
    <w:p w14:paraId="5372B9B8" w14:textId="35771C1C" w:rsidR="00AC74F7" w:rsidRDefault="00B060C6" w:rsidP="00AC74F7">
      <w:pPr>
        <w:pStyle w:val="SingleTxtG"/>
        <w:numPr>
          <w:ilvl w:val="0"/>
          <w:numId w:val="27"/>
        </w:numPr>
      </w:pPr>
      <w:r>
        <w:t xml:space="preserve">paragraph 1.17: this proposed definition is in contradiction with those of UN R90 for “original brake lining”, “original brake lining assembly”, </w:t>
      </w:r>
      <w:r w:rsidRPr="00B060C6">
        <w:t>"</w:t>
      </w:r>
      <w:r>
        <w:t>o</w:t>
      </w:r>
      <w:r w:rsidRPr="00B060C6">
        <w:t>riginal drum brake lining"</w:t>
      </w:r>
      <w:r>
        <w:t>, “o</w:t>
      </w:r>
      <w:r w:rsidRPr="00B060C6">
        <w:t>riginal brake disc/brake drum</w:t>
      </w:r>
      <w:r>
        <w:t>” and “o</w:t>
      </w:r>
      <w:r w:rsidRPr="00B060C6">
        <w:t>riginal replacement brake discs and brake drums</w:t>
      </w:r>
      <w:r>
        <w:t>”</w:t>
      </w:r>
      <w:r w:rsidR="00D9479F" w:rsidRPr="00B060C6">
        <w:t xml:space="preserve">. </w:t>
      </w:r>
    </w:p>
    <w:p w14:paraId="30AC1771" w14:textId="5A30CC9A" w:rsidR="00C7297D" w:rsidRDefault="00C7297D" w:rsidP="00AC74F7">
      <w:pPr>
        <w:pStyle w:val="SingleTxtG"/>
        <w:numPr>
          <w:ilvl w:val="0"/>
          <w:numId w:val="27"/>
        </w:numPr>
      </w:pPr>
      <w:r>
        <w:t xml:space="preserve">Paragraphs 2.8.3.1., 2.8.3.2., 2.8.3.3.: the references to the ISO standards should remain with the information on the revision since this makes a stable reference as needed in a reference document like RE3. It is indeed important that </w:t>
      </w:r>
      <w:r w:rsidR="005A55FE">
        <w:t>the UN regulations keep some autonomy versus the ISO standards, and that the regulators at UNECE have a visibility on the standards they are referring to.</w:t>
      </w:r>
    </w:p>
    <w:p w14:paraId="1D261028" w14:textId="53BABC51" w:rsidR="00B65755" w:rsidRDefault="00C04768" w:rsidP="00AC74F7">
      <w:pPr>
        <w:pStyle w:val="SingleTxtG"/>
        <w:numPr>
          <w:ilvl w:val="0"/>
          <w:numId w:val="27"/>
        </w:numPr>
      </w:pPr>
      <w:r>
        <w:t xml:space="preserve">paragraphs </w:t>
      </w:r>
      <w:r w:rsidRPr="00C04768">
        <w:t xml:space="preserve">2.9.1.1, </w:t>
      </w:r>
      <w:bookmarkStart w:id="4" w:name="_Hlk52564113"/>
      <w:r w:rsidRPr="00C04768">
        <w:t>2.9.1.3, 2.1.9.4, 2.1.9.5</w:t>
      </w:r>
      <w:bookmarkEnd w:id="4"/>
      <w:r>
        <w:t>: see item 3 above</w:t>
      </w:r>
    </w:p>
    <w:p w14:paraId="357E323E" w14:textId="668252B7" w:rsidR="00B060C6" w:rsidRDefault="00C7297D" w:rsidP="00AC74F7">
      <w:pPr>
        <w:pStyle w:val="SingleTxtG"/>
        <w:numPr>
          <w:ilvl w:val="0"/>
          <w:numId w:val="27"/>
        </w:numPr>
      </w:pPr>
      <w:r>
        <w:t>Paragraph 2.10: while there indeed exist an ISO definition for the Vehicle Identification Number (VIN), it is regulated domestically at national level. Some international harmonization of these domestic rules should be first established before introducing provisions for VIN into the RE3. The reference to ISO 4033 in the document GRSG/2020/14 should also be revisited (should be ISO 4030)</w:t>
      </w:r>
    </w:p>
    <w:p w14:paraId="63C59B7C" w14:textId="77777777" w:rsidR="00C7297D" w:rsidRPr="00B060C6" w:rsidRDefault="00C7297D" w:rsidP="00C04768">
      <w:pPr>
        <w:pStyle w:val="SingleTxtG"/>
        <w:ind w:left="1494"/>
      </w:pPr>
    </w:p>
    <w:p w14:paraId="3CC6F144" w14:textId="77777777" w:rsidR="00AC74F7" w:rsidRPr="00B060C6" w:rsidRDefault="00AC74F7" w:rsidP="006E324D">
      <w:pPr>
        <w:pStyle w:val="SingleTxtG"/>
      </w:pPr>
    </w:p>
    <w:p w14:paraId="6AE0E1D9" w14:textId="386CE4A6" w:rsidR="00F607C0" w:rsidRPr="00B060C6" w:rsidRDefault="00F607C0" w:rsidP="006E324D">
      <w:pPr>
        <w:pStyle w:val="SingleTxtG"/>
        <w:ind w:left="0"/>
        <w:rPr>
          <w:rFonts w:asciiTheme="majorBidi" w:hAnsiTheme="majorBidi" w:cstheme="majorBidi"/>
          <w:u w:val="single"/>
        </w:rPr>
      </w:pPr>
    </w:p>
    <w:sectPr w:rsidR="00F607C0" w:rsidRPr="00B060C6" w:rsidSect="00151208">
      <w:headerReference w:type="first" r:id="rId14"/>
      <w:footerReference w:type="first" r:id="rId15"/>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035B3" w14:textId="77777777" w:rsidR="008D71B1" w:rsidRDefault="008D71B1" w:rsidP="00203C11">
      <w:pPr>
        <w:spacing w:line="240" w:lineRule="auto"/>
      </w:pPr>
      <w:r>
        <w:separator/>
      </w:r>
    </w:p>
  </w:endnote>
  <w:endnote w:type="continuationSeparator" w:id="0">
    <w:p w14:paraId="4F9BD61E" w14:textId="77777777" w:rsidR="008D71B1" w:rsidRDefault="008D71B1" w:rsidP="0020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1BCB" w14:textId="77777777" w:rsidR="00D06F91" w:rsidRPr="00D06F91" w:rsidRDefault="00D06F91">
    <w:pPr>
      <w:pStyle w:val="Footer"/>
      <w:rPr>
        <w:b/>
        <w:bCs/>
        <w:sz w:val="18"/>
        <w:szCs w:val="18"/>
        <w:lang w:val="fr-CH"/>
      </w:rPr>
    </w:pPr>
    <w:r w:rsidRPr="00D06F91">
      <w:rPr>
        <w:b/>
        <w:bCs/>
        <w:sz w:val="18"/>
        <w:szCs w:val="18"/>
        <w:lang w:val="fr-CH"/>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3F843" w14:textId="77777777" w:rsidR="008D71B1" w:rsidRPr="00E378AC" w:rsidRDefault="008D71B1" w:rsidP="00E378AC">
      <w:pPr>
        <w:tabs>
          <w:tab w:val="right" w:pos="2155"/>
        </w:tabs>
        <w:spacing w:after="80"/>
        <w:ind w:left="680"/>
        <w:rPr>
          <w:u w:val="single"/>
        </w:rPr>
      </w:pPr>
      <w:r>
        <w:rPr>
          <w:u w:val="single"/>
        </w:rPr>
        <w:tab/>
      </w:r>
    </w:p>
  </w:footnote>
  <w:footnote w:type="continuationSeparator" w:id="0">
    <w:p w14:paraId="37E02FC3" w14:textId="77777777" w:rsidR="008D71B1" w:rsidRDefault="008D7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ook w:val="04A0" w:firstRow="1" w:lastRow="0" w:firstColumn="1" w:lastColumn="0" w:noHBand="0" w:noVBand="1"/>
    </w:tblPr>
    <w:tblGrid>
      <w:gridCol w:w="4253"/>
      <w:gridCol w:w="5245"/>
    </w:tblGrid>
    <w:tr w:rsidR="00B156BC" w:rsidRPr="00DD5F08" w14:paraId="2B30589E" w14:textId="77777777" w:rsidTr="002E70EC">
      <w:tc>
        <w:tcPr>
          <w:tcW w:w="4253" w:type="dxa"/>
          <w:hideMark/>
        </w:tcPr>
        <w:p w14:paraId="47DD0A6F" w14:textId="77777777" w:rsidR="00B156BC" w:rsidRPr="00DD5F08" w:rsidRDefault="00B156BC" w:rsidP="00B156BC">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Pr>
              <w:rFonts w:eastAsia="Calibri"/>
              <w:kern w:val="2"/>
            </w:rPr>
            <w:t>OICA</w:t>
          </w:r>
        </w:p>
      </w:tc>
      <w:tc>
        <w:tcPr>
          <w:tcW w:w="5245" w:type="dxa"/>
          <w:hideMark/>
        </w:tcPr>
        <w:p w14:paraId="05E61DA5" w14:textId="4087AB67" w:rsidR="00B156BC" w:rsidRPr="00DD5F08" w:rsidRDefault="00B156BC" w:rsidP="00B156BC">
          <w:pPr>
            <w:suppressAutoHyphens w:val="0"/>
            <w:spacing w:line="240" w:lineRule="auto"/>
            <w:ind w:left="2155"/>
            <w:jc w:val="right"/>
            <w:rPr>
              <w:rFonts w:eastAsia="Calibri"/>
              <w:b/>
              <w:bCs/>
              <w:kern w:val="2"/>
            </w:rPr>
          </w:pPr>
          <w:r w:rsidRPr="00DD5F08">
            <w:rPr>
              <w:rFonts w:eastAsia="Calibri"/>
              <w:kern w:val="2"/>
              <w:u w:val="single"/>
            </w:rPr>
            <w:t>Informal document</w:t>
          </w:r>
          <w:r w:rsidRPr="00DD5F08">
            <w:rPr>
              <w:rFonts w:eastAsia="Calibri"/>
              <w:kern w:val="2"/>
            </w:rPr>
            <w:t xml:space="preserve"> </w:t>
          </w:r>
          <w:r w:rsidRPr="00DD5F08">
            <w:rPr>
              <w:rFonts w:eastAsia="Calibri"/>
              <w:b/>
              <w:bCs/>
              <w:kern w:val="2"/>
            </w:rPr>
            <w:t>GRSG-1</w:t>
          </w:r>
          <w:r>
            <w:rPr>
              <w:rFonts w:eastAsia="Calibri"/>
              <w:b/>
              <w:bCs/>
              <w:kern w:val="2"/>
            </w:rPr>
            <w:t>19</w:t>
          </w:r>
          <w:r w:rsidRPr="00DD5F08">
            <w:rPr>
              <w:rFonts w:eastAsia="Calibri"/>
              <w:b/>
              <w:bCs/>
              <w:kern w:val="2"/>
            </w:rPr>
            <w:t>-</w:t>
          </w:r>
          <w:r w:rsidR="00F417B0">
            <w:rPr>
              <w:rFonts w:eastAsia="Calibri"/>
              <w:b/>
              <w:bCs/>
              <w:kern w:val="2"/>
            </w:rPr>
            <w:t>24</w:t>
          </w:r>
        </w:p>
        <w:p w14:paraId="680BE3D5" w14:textId="55C11E89" w:rsidR="00B156BC" w:rsidRPr="00DD5F08" w:rsidRDefault="00B156BC" w:rsidP="00B156BC">
          <w:pPr>
            <w:tabs>
              <w:tab w:val="center" w:pos="4536"/>
              <w:tab w:val="right" w:pos="9072"/>
            </w:tabs>
            <w:suppressAutoHyphens w:val="0"/>
            <w:spacing w:line="240" w:lineRule="auto"/>
            <w:ind w:left="2155"/>
            <w:jc w:val="right"/>
            <w:rPr>
              <w:rFonts w:eastAsia="Calibri"/>
              <w:kern w:val="2"/>
            </w:rPr>
          </w:pPr>
          <w:r w:rsidRPr="00DD5F08">
            <w:rPr>
              <w:rFonts w:eastAsia="Calibri"/>
              <w:kern w:val="2"/>
            </w:rPr>
            <w:t>(11</w:t>
          </w:r>
          <w:r>
            <w:rPr>
              <w:rFonts w:eastAsia="Calibri"/>
              <w:kern w:val="2"/>
            </w:rPr>
            <w:t>9</w:t>
          </w:r>
          <w:r w:rsidRPr="00C04768">
            <w:rPr>
              <w:rFonts w:eastAsia="Calibri"/>
              <w:kern w:val="2"/>
              <w:vertAlign w:val="superscript"/>
            </w:rPr>
            <w:t>th</w:t>
          </w:r>
          <w:r w:rsidR="00C04768">
            <w:rPr>
              <w:rFonts w:eastAsia="Calibri"/>
              <w:kern w:val="2"/>
            </w:rPr>
            <w:t xml:space="preserve"> </w:t>
          </w:r>
          <w:r w:rsidRPr="00DD5F08">
            <w:rPr>
              <w:rFonts w:eastAsia="Calibri"/>
              <w:kern w:val="2"/>
            </w:rPr>
            <w:t xml:space="preserve">GRSG, </w:t>
          </w:r>
          <w:r>
            <w:rPr>
              <w:rFonts w:eastAsia="Calibri"/>
              <w:kern w:val="2"/>
            </w:rPr>
            <w:t>6</w:t>
          </w:r>
          <w:r w:rsidRPr="00DD5F08">
            <w:rPr>
              <w:rFonts w:eastAsia="Calibri"/>
              <w:kern w:val="2"/>
            </w:rPr>
            <w:t>-</w:t>
          </w:r>
          <w:r>
            <w:rPr>
              <w:rFonts w:eastAsia="Calibri"/>
              <w:kern w:val="2"/>
            </w:rPr>
            <w:t>9</w:t>
          </w:r>
          <w:r w:rsidRPr="00DD5F08">
            <w:rPr>
              <w:rFonts w:eastAsia="Calibri"/>
              <w:kern w:val="2"/>
            </w:rPr>
            <w:t xml:space="preserve"> </w:t>
          </w:r>
          <w:r>
            <w:rPr>
              <w:rFonts w:eastAsia="Calibri"/>
              <w:kern w:val="2"/>
            </w:rPr>
            <w:t>October</w:t>
          </w:r>
          <w:r w:rsidRPr="00DD5F08">
            <w:rPr>
              <w:rFonts w:eastAsia="Calibri"/>
              <w:kern w:val="2"/>
            </w:rPr>
            <w:t xml:space="preserve"> 2020</w:t>
          </w:r>
          <w:r>
            <w:rPr>
              <w:rFonts w:eastAsia="Calibri"/>
              <w:kern w:val="2"/>
            </w:rPr>
            <w:t xml:space="preserve"> </w:t>
          </w:r>
          <w:r w:rsidRPr="00DD5F08">
            <w:rPr>
              <w:rFonts w:eastAsia="Calibri"/>
              <w:kern w:val="2"/>
            </w:rPr>
            <w:t xml:space="preserve">Agenda item </w:t>
          </w:r>
          <w:r w:rsidR="00B242C6">
            <w:rPr>
              <w:rFonts w:eastAsia="Calibri"/>
              <w:kern w:val="2"/>
            </w:rPr>
            <w:t>1</w:t>
          </w:r>
          <w:r w:rsidRPr="00DD5F08">
            <w:rPr>
              <w:rFonts w:eastAsia="Calibri"/>
              <w:kern w:val="2"/>
            </w:rPr>
            <w:t>2)</w:t>
          </w:r>
        </w:p>
      </w:tc>
    </w:tr>
  </w:tbl>
  <w:p w14:paraId="5DE79F76" w14:textId="62003EB9" w:rsidR="00D06F91" w:rsidRPr="006E324D" w:rsidRDefault="00D06F91" w:rsidP="006E3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C0435"/>
    <w:multiLevelType w:val="hybridMultilevel"/>
    <w:tmpl w:val="137AA68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FCD060B"/>
    <w:multiLevelType w:val="hybridMultilevel"/>
    <w:tmpl w:val="0AF0E9FC"/>
    <w:lvl w:ilvl="0" w:tplc="0CEE5736">
      <w:start w:val="4"/>
      <w:numFmt w:val="bullet"/>
      <w:lvlText w:val="-"/>
      <w:lvlJc w:val="left"/>
      <w:pPr>
        <w:ind w:left="360" w:hanging="360"/>
      </w:pPr>
      <w:rPr>
        <w:rFonts w:ascii="Calibri" w:eastAsia="MS Mincho"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7"/>
  </w:num>
  <w:num w:numId="23">
    <w:abstractNumId w:val="14"/>
  </w:num>
  <w:num w:numId="24">
    <w:abstractNumId w:val="16"/>
  </w:num>
  <w:num w:numId="25">
    <w:abstractNumId w:val="15"/>
  </w:num>
  <w:num w:numId="26">
    <w:abstractNumId w:val="13"/>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2C73"/>
    <w:rsid w:val="0005715A"/>
    <w:rsid w:val="000C75E6"/>
    <w:rsid w:val="000D367D"/>
    <w:rsid w:val="001309F4"/>
    <w:rsid w:val="00143D77"/>
    <w:rsid w:val="00151208"/>
    <w:rsid w:val="00170E8B"/>
    <w:rsid w:val="001A33AD"/>
    <w:rsid w:val="001B5B00"/>
    <w:rsid w:val="001D6C5C"/>
    <w:rsid w:val="001F1DCE"/>
    <w:rsid w:val="00203BAB"/>
    <w:rsid w:val="00203C11"/>
    <w:rsid w:val="00214421"/>
    <w:rsid w:val="00222D9F"/>
    <w:rsid w:val="00242021"/>
    <w:rsid w:val="00255851"/>
    <w:rsid w:val="0027542D"/>
    <w:rsid w:val="002B4811"/>
    <w:rsid w:val="002E6B62"/>
    <w:rsid w:val="00326F61"/>
    <w:rsid w:val="00340A6E"/>
    <w:rsid w:val="00343F08"/>
    <w:rsid w:val="00351879"/>
    <w:rsid w:val="0039598B"/>
    <w:rsid w:val="003F6115"/>
    <w:rsid w:val="00411DA6"/>
    <w:rsid w:val="00416C08"/>
    <w:rsid w:val="00461D8F"/>
    <w:rsid w:val="00494339"/>
    <w:rsid w:val="0049466C"/>
    <w:rsid w:val="004A29E9"/>
    <w:rsid w:val="004A5BFD"/>
    <w:rsid w:val="004D5A4F"/>
    <w:rsid w:val="004E652D"/>
    <w:rsid w:val="00541748"/>
    <w:rsid w:val="005762BC"/>
    <w:rsid w:val="00592DED"/>
    <w:rsid w:val="005A55FE"/>
    <w:rsid w:val="005B3E3F"/>
    <w:rsid w:val="005D37CC"/>
    <w:rsid w:val="006321A9"/>
    <w:rsid w:val="00686461"/>
    <w:rsid w:val="006B40F3"/>
    <w:rsid w:val="006E324D"/>
    <w:rsid w:val="006F13D9"/>
    <w:rsid w:val="006F2B2E"/>
    <w:rsid w:val="006F6664"/>
    <w:rsid w:val="00785AC2"/>
    <w:rsid w:val="007D1613"/>
    <w:rsid w:val="007D1EE3"/>
    <w:rsid w:val="008058D9"/>
    <w:rsid w:val="0082103C"/>
    <w:rsid w:val="00851340"/>
    <w:rsid w:val="00852CAE"/>
    <w:rsid w:val="00896C5E"/>
    <w:rsid w:val="008D28DC"/>
    <w:rsid w:val="008D5A13"/>
    <w:rsid w:val="008D71B1"/>
    <w:rsid w:val="008F3F56"/>
    <w:rsid w:val="00926B71"/>
    <w:rsid w:val="00941811"/>
    <w:rsid w:val="00955848"/>
    <w:rsid w:val="0097132E"/>
    <w:rsid w:val="00973A7E"/>
    <w:rsid w:val="009B279C"/>
    <w:rsid w:val="009C5365"/>
    <w:rsid w:val="009D0DA6"/>
    <w:rsid w:val="009E646F"/>
    <w:rsid w:val="009E6A52"/>
    <w:rsid w:val="00A51A2B"/>
    <w:rsid w:val="00AC4428"/>
    <w:rsid w:val="00AC74F7"/>
    <w:rsid w:val="00AE439A"/>
    <w:rsid w:val="00AE6268"/>
    <w:rsid w:val="00B060C6"/>
    <w:rsid w:val="00B156BC"/>
    <w:rsid w:val="00B242C6"/>
    <w:rsid w:val="00B477C3"/>
    <w:rsid w:val="00B65755"/>
    <w:rsid w:val="00B9350C"/>
    <w:rsid w:val="00B975D5"/>
    <w:rsid w:val="00BA2AF9"/>
    <w:rsid w:val="00BE7A0C"/>
    <w:rsid w:val="00C04768"/>
    <w:rsid w:val="00C0489C"/>
    <w:rsid w:val="00C7297D"/>
    <w:rsid w:val="00CD29FA"/>
    <w:rsid w:val="00D06F91"/>
    <w:rsid w:val="00D55DBE"/>
    <w:rsid w:val="00D87D12"/>
    <w:rsid w:val="00D87F6B"/>
    <w:rsid w:val="00D9262A"/>
    <w:rsid w:val="00D9479F"/>
    <w:rsid w:val="00DC0D2A"/>
    <w:rsid w:val="00DC43CA"/>
    <w:rsid w:val="00DD5F08"/>
    <w:rsid w:val="00DF0C11"/>
    <w:rsid w:val="00DF0E34"/>
    <w:rsid w:val="00E01D68"/>
    <w:rsid w:val="00E378AC"/>
    <w:rsid w:val="00E43A91"/>
    <w:rsid w:val="00E8137B"/>
    <w:rsid w:val="00E866A5"/>
    <w:rsid w:val="00E967C3"/>
    <w:rsid w:val="00ED2A2A"/>
    <w:rsid w:val="00F00C55"/>
    <w:rsid w:val="00F417B0"/>
    <w:rsid w:val="00F44D0B"/>
    <w:rsid w:val="00F607C0"/>
    <w:rsid w:val="00F7502A"/>
    <w:rsid w:val="00FC5A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9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9304D-1F6D-4A34-8235-C3A3C89BF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5FBAA-1E48-46F0-870B-B39E34E54A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FB23B-20B3-4F92-BC8A-0C5BC30AE715}">
  <ds:schemaRefs>
    <ds:schemaRef ds:uri="http://schemas.microsoft.com/sharepoint/v3/contenttype/forms"/>
  </ds:schemaRefs>
</ds:datastoreItem>
</file>

<file path=customXml/itemProps4.xml><?xml version="1.0" encoding="utf-8"?>
<ds:datastoreItem xmlns:ds="http://schemas.openxmlformats.org/officeDocument/2006/customXml" ds:itemID="{58B056BE-14EC-4089-B09C-BF0EC5CD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3634</Characters>
  <Application>Microsoft Office Word</Application>
  <DocSecurity>0</DocSecurity>
  <Lines>30</Lines>
  <Paragraphs>8</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ECE/TRANS/WP.29/GRSG/2020/19</vt:lpstr>
      <vt:lpstr>ECE/TRANS/WP.29/GRSG/2019/34</vt:lpstr>
      <vt:lpstr>ECE/TRANS/WP.29/GRSG/2019/34</vt:lpstr>
    </vt:vector>
  </TitlesOfParts>
  <Company>MIT</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ECE/TRANS/WP.29/GRSG/2020/19</dc:title>
  <dc:subject>2010004</dc:subject>
  <dc:creator>MIT</dc:creator>
  <cp:keywords/>
  <dc:description/>
  <cp:lastModifiedBy>WN</cp:lastModifiedBy>
  <cp:revision>3</cp:revision>
  <cp:lastPrinted>2019-07-19T11:29:00Z</cp:lastPrinted>
  <dcterms:created xsi:type="dcterms:W3CDTF">2020-10-05T13:07:00Z</dcterms:created>
  <dcterms:modified xsi:type="dcterms:W3CDTF">2020-10-05T13:07:00Z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ies>
</file>