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454FA" w14:textId="77777777" w:rsidR="003A0E13" w:rsidRDefault="00C62288" w:rsidP="00C62288">
      <w:pPr>
        <w:pStyle w:val="BodyText"/>
        <w:spacing w:before="135" w:line="276" w:lineRule="auto"/>
        <w:ind w:left="116" w:right="-1780"/>
      </w:pPr>
      <w:r>
        <w:t>Submitted by the expert from The Netherlands</w:t>
      </w:r>
    </w:p>
    <w:p w14:paraId="3A5B73AC" w14:textId="05CCADE2" w:rsidR="003A0E13" w:rsidRPr="00C62288" w:rsidRDefault="00C62288" w:rsidP="00C62288">
      <w:pPr>
        <w:spacing w:before="76"/>
        <w:ind w:left="116"/>
        <w:rPr>
          <w:b/>
          <w:sz w:val="20"/>
        </w:rPr>
      </w:pPr>
      <w:r>
        <w:br w:type="column"/>
      </w:r>
      <w:r>
        <w:rPr>
          <w:sz w:val="20"/>
          <w:u w:val="single"/>
        </w:rPr>
        <w:t>Informal document</w:t>
      </w:r>
      <w:r>
        <w:rPr>
          <w:sz w:val="20"/>
        </w:rPr>
        <w:t xml:space="preserve"> </w:t>
      </w:r>
      <w:r>
        <w:rPr>
          <w:b/>
          <w:sz w:val="20"/>
        </w:rPr>
        <w:t>GRSG-119-15</w:t>
      </w:r>
    </w:p>
    <w:p w14:paraId="61715F87" w14:textId="18376650" w:rsidR="003A0E13" w:rsidRDefault="00C62288">
      <w:pPr>
        <w:pStyle w:val="BodyText"/>
        <w:ind w:left="116"/>
      </w:pPr>
      <w:r>
        <w:t>(</w:t>
      </w:r>
      <w:r>
        <w:t>119th GRSG, 6-9 October 2020,</w:t>
      </w:r>
      <w:bookmarkStart w:id="0" w:name="_GoBack"/>
      <w:bookmarkEnd w:id="0"/>
    </w:p>
    <w:p w14:paraId="556ABA46" w14:textId="77777777" w:rsidR="003A0E13" w:rsidRDefault="00C62288">
      <w:pPr>
        <w:pStyle w:val="BodyText"/>
        <w:spacing w:before="34"/>
        <w:ind w:left="116"/>
      </w:pPr>
      <w:r>
        <w:t>Agenda item 5)</w:t>
      </w:r>
    </w:p>
    <w:p w14:paraId="7A78EF69" w14:textId="77777777" w:rsidR="003A0E13" w:rsidRDefault="003A0E13">
      <w:pPr>
        <w:sectPr w:rsidR="003A0E13" w:rsidSect="00C62288">
          <w:type w:val="continuous"/>
          <w:pgSz w:w="11920" w:h="16850"/>
          <w:pgMar w:top="1240" w:right="1100" w:bottom="280" w:left="1300" w:header="720" w:footer="720" w:gutter="0"/>
          <w:cols w:num="2" w:space="4008" w:equalWidth="0">
            <w:col w:w="2473" w:space="3888"/>
            <w:col w:w="3159"/>
          </w:cols>
        </w:sectPr>
      </w:pPr>
    </w:p>
    <w:p w14:paraId="0C858323" w14:textId="77777777" w:rsidR="003A0E13" w:rsidRDefault="003A0E13">
      <w:pPr>
        <w:pStyle w:val="BodyText"/>
        <w:spacing w:before="2"/>
        <w:rPr>
          <w:sz w:val="23"/>
        </w:rPr>
      </w:pPr>
    </w:p>
    <w:p w14:paraId="79049015" w14:textId="77777777" w:rsidR="003A0E13" w:rsidRDefault="00C62288">
      <w:pPr>
        <w:pStyle w:val="Title"/>
      </w:pPr>
      <w:r>
        <w:t>Proposal for amendments to Regulation No. 58.03</w:t>
      </w:r>
    </w:p>
    <w:p w14:paraId="3F186293" w14:textId="77777777" w:rsidR="003A0E13" w:rsidRDefault="00C62288">
      <w:pPr>
        <w:pStyle w:val="Heading1"/>
        <w:spacing w:before="56"/>
        <w:ind w:left="1779" w:right="1759" w:firstLine="0"/>
        <w:jc w:val="center"/>
      </w:pPr>
      <w:bookmarkStart w:id="1" w:name="Rear_Underrun_Protection_Device"/>
      <w:bookmarkEnd w:id="1"/>
      <w:r>
        <w:t>Rear Underrun Protection Device</w:t>
      </w:r>
    </w:p>
    <w:p w14:paraId="258A7F70" w14:textId="77777777" w:rsidR="003A0E13" w:rsidRDefault="003A0E13">
      <w:pPr>
        <w:pStyle w:val="BodyText"/>
        <w:rPr>
          <w:b/>
          <w:sz w:val="26"/>
        </w:rPr>
      </w:pPr>
    </w:p>
    <w:p w14:paraId="4D47C3F4" w14:textId="77777777" w:rsidR="003A0E13" w:rsidRDefault="00C62288">
      <w:pPr>
        <w:pStyle w:val="BodyText"/>
        <w:ind w:left="115" w:right="143"/>
      </w:pPr>
      <w:r>
        <w:t xml:space="preserve">The text reproduced below is prepared by the Netherlands </w:t>
      </w:r>
      <w:r>
        <w:rPr>
          <w:spacing w:val="-4"/>
        </w:rPr>
        <w:t xml:space="preserve">for </w:t>
      </w:r>
      <w:r>
        <w:t xml:space="preserve">an </w:t>
      </w:r>
      <w:r>
        <w:rPr>
          <w:spacing w:val="-3"/>
        </w:rPr>
        <w:t xml:space="preserve">amendment of Part </w:t>
      </w:r>
      <w:r>
        <w:t xml:space="preserve">II and III </w:t>
      </w:r>
      <w:r>
        <w:rPr>
          <w:spacing w:val="-3"/>
        </w:rPr>
        <w:t xml:space="preserve">of </w:t>
      </w:r>
      <w:r>
        <w:t xml:space="preserve">a </w:t>
      </w:r>
      <w:r>
        <w:rPr>
          <w:spacing w:val="-3"/>
        </w:rPr>
        <w:t xml:space="preserve">type </w:t>
      </w:r>
      <w:r>
        <w:t>of rear underrun</w:t>
      </w:r>
      <w:r>
        <w:rPr>
          <w:spacing w:val="-3"/>
        </w:rPr>
        <w:t xml:space="preserve"> protective </w:t>
      </w:r>
      <w:r>
        <w:t xml:space="preserve">device (RUPD) pursuant to </w:t>
      </w:r>
      <w:r>
        <w:rPr>
          <w:spacing w:val="-4"/>
        </w:rPr>
        <w:t xml:space="preserve">UN </w:t>
      </w:r>
      <w:r>
        <w:t>Regulation</w:t>
      </w:r>
      <w:r>
        <w:rPr>
          <w:spacing w:val="-3"/>
        </w:rPr>
        <w:t xml:space="preserve"> No. </w:t>
      </w:r>
      <w:r>
        <w:t xml:space="preserve">58. The modifications to the </w:t>
      </w:r>
      <w:r>
        <w:rPr>
          <w:spacing w:val="-3"/>
        </w:rPr>
        <w:t xml:space="preserve">current </w:t>
      </w:r>
      <w:r>
        <w:t xml:space="preserve">text </w:t>
      </w:r>
      <w:r>
        <w:rPr>
          <w:spacing w:val="-3"/>
        </w:rPr>
        <w:t xml:space="preserve">of </w:t>
      </w:r>
      <w:r>
        <w:rPr>
          <w:spacing w:val="-7"/>
        </w:rPr>
        <w:t xml:space="preserve">UN </w:t>
      </w:r>
      <w:r>
        <w:t xml:space="preserve">Regulation </w:t>
      </w:r>
      <w:r>
        <w:rPr>
          <w:spacing w:val="-3"/>
        </w:rPr>
        <w:t xml:space="preserve">No. </w:t>
      </w:r>
      <w:r>
        <w:t xml:space="preserve">58 are marked in </w:t>
      </w:r>
      <w:r>
        <w:rPr>
          <w:spacing w:val="-3"/>
        </w:rPr>
        <w:t xml:space="preserve">bold </w:t>
      </w:r>
      <w:r>
        <w:t xml:space="preserve">characters and in </w:t>
      </w:r>
      <w:r>
        <w:rPr>
          <w:spacing w:val="-3"/>
        </w:rPr>
        <w:t xml:space="preserve">strikethrough </w:t>
      </w:r>
      <w:r>
        <w:rPr>
          <w:spacing w:val="-4"/>
        </w:rPr>
        <w:t xml:space="preserve">for </w:t>
      </w:r>
      <w:r>
        <w:t xml:space="preserve">deleted </w:t>
      </w:r>
      <w:r>
        <w:rPr>
          <w:spacing w:val="-3"/>
        </w:rPr>
        <w:t>characters.</w:t>
      </w:r>
    </w:p>
    <w:p w14:paraId="5535406E" w14:textId="77777777" w:rsidR="003A0E13" w:rsidRDefault="003A0E13">
      <w:pPr>
        <w:pStyle w:val="BodyText"/>
        <w:rPr>
          <w:sz w:val="22"/>
        </w:rPr>
      </w:pPr>
    </w:p>
    <w:p w14:paraId="76F59F2A" w14:textId="77777777" w:rsidR="003A0E13" w:rsidRDefault="003A0E13">
      <w:pPr>
        <w:pStyle w:val="BodyText"/>
        <w:rPr>
          <w:sz w:val="22"/>
        </w:rPr>
      </w:pPr>
    </w:p>
    <w:p w14:paraId="47E7FAFB" w14:textId="77777777" w:rsidR="003A0E13" w:rsidRDefault="003A0E13">
      <w:pPr>
        <w:pStyle w:val="BodyText"/>
        <w:spacing w:before="3"/>
        <w:rPr>
          <w:sz w:val="19"/>
        </w:rPr>
      </w:pPr>
    </w:p>
    <w:p w14:paraId="2994383E" w14:textId="77777777" w:rsidR="003A0E13" w:rsidRDefault="00C62288">
      <w:pPr>
        <w:pStyle w:val="Heading1"/>
        <w:numPr>
          <w:ilvl w:val="0"/>
          <w:numId w:val="1"/>
        </w:numPr>
        <w:tabs>
          <w:tab w:val="left" w:pos="332"/>
        </w:tabs>
        <w:ind w:hanging="217"/>
      </w:pPr>
      <w:bookmarkStart w:id="2" w:name="I._Proposal"/>
      <w:bookmarkEnd w:id="2"/>
      <w:r>
        <w:t>Proposal</w:t>
      </w:r>
    </w:p>
    <w:p w14:paraId="363E59D2" w14:textId="77777777" w:rsidR="003A0E13" w:rsidRDefault="00C62288">
      <w:pPr>
        <w:pStyle w:val="Heading2"/>
        <w:spacing w:before="232" w:line="465" w:lineRule="auto"/>
        <w:ind w:left="116"/>
        <w:rPr>
          <w:i w:val="0"/>
        </w:rPr>
      </w:pPr>
      <w:r>
        <w:t xml:space="preserve">Part </w:t>
      </w:r>
      <w:r>
        <w:rPr>
          <w:spacing w:val="-3"/>
        </w:rPr>
        <w:t xml:space="preserve">II, </w:t>
      </w:r>
      <w:r>
        <w:rPr>
          <w:spacing w:val="-5"/>
        </w:rPr>
        <w:t xml:space="preserve">Approval </w:t>
      </w:r>
      <w:r>
        <w:rPr>
          <w:spacing w:val="-3"/>
        </w:rPr>
        <w:t xml:space="preserve">of </w:t>
      </w:r>
      <w:r>
        <w:t xml:space="preserve">a </w:t>
      </w:r>
      <w:r>
        <w:rPr>
          <w:spacing w:val="-5"/>
        </w:rPr>
        <w:t xml:space="preserve">vehicle </w:t>
      </w:r>
      <w:r>
        <w:rPr>
          <w:spacing w:val="-6"/>
        </w:rPr>
        <w:t>with</w:t>
      </w:r>
      <w:r>
        <w:rPr>
          <w:spacing w:val="-5"/>
        </w:rPr>
        <w:t xml:space="preserve"> regard </w:t>
      </w:r>
      <w:r>
        <w:t xml:space="preserve">to </w:t>
      </w:r>
      <w:r>
        <w:rPr>
          <w:spacing w:val="-3"/>
        </w:rPr>
        <w:t xml:space="preserve">the </w:t>
      </w:r>
      <w:r>
        <w:rPr>
          <w:spacing w:val="-6"/>
        </w:rPr>
        <w:t xml:space="preserve">installation </w:t>
      </w:r>
      <w:r>
        <w:rPr>
          <w:spacing w:val="-3"/>
        </w:rPr>
        <w:t xml:space="preserve">of an </w:t>
      </w:r>
      <w:r>
        <w:rPr>
          <w:spacing w:val="-6"/>
        </w:rPr>
        <w:t xml:space="preserve">RUPD </w:t>
      </w:r>
      <w:r>
        <w:rPr>
          <w:spacing w:val="-3"/>
        </w:rPr>
        <w:t xml:space="preserve">of an </w:t>
      </w:r>
      <w:r>
        <w:rPr>
          <w:spacing w:val="-6"/>
        </w:rPr>
        <w:t xml:space="preserve">approved type, </w:t>
      </w:r>
      <w:r>
        <w:t xml:space="preserve">Article 16.4., </w:t>
      </w:r>
      <w:r>
        <w:rPr>
          <w:i w:val="0"/>
          <w:spacing w:val="-4"/>
        </w:rPr>
        <w:t xml:space="preserve">Amend </w:t>
      </w:r>
      <w:r>
        <w:rPr>
          <w:i w:val="0"/>
        </w:rPr>
        <w:t xml:space="preserve">to </w:t>
      </w:r>
      <w:r>
        <w:rPr>
          <w:i w:val="0"/>
          <w:spacing w:val="-3"/>
        </w:rPr>
        <w:t>read:</w:t>
      </w:r>
    </w:p>
    <w:p w14:paraId="1108A914" w14:textId="77777777" w:rsidR="003A0E13" w:rsidRDefault="00C62288">
      <w:pPr>
        <w:pStyle w:val="BodyText"/>
        <w:spacing w:before="16"/>
        <w:ind w:left="115" w:right="138" w:firstLine="24"/>
      </w:pPr>
      <w:r>
        <w:rPr>
          <w:spacing w:val="-3"/>
        </w:rPr>
        <w:t xml:space="preserve">For </w:t>
      </w:r>
      <w:r>
        <w:t xml:space="preserve">vehicles </w:t>
      </w:r>
      <w:r>
        <w:rPr>
          <w:spacing w:val="-3"/>
        </w:rPr>
        <w:t xml:space="preserve">of </w:t>
      </w:r>
      <w:r>
        <w:t xml:space="preserve">categories M, </w:t>
      </w:r>
      <w:r>
        <w:rPr>
          <w:spacing w:val="-3"/>
        </w:rPr>
        <w:t xml:space="preserve">N1, </w:t>
      </w:r>
      <w:r>
        <w:t xml:space="preserve">N2 </w:t>
      </w:r>
      <w:r>
        <w:rPr>
          <w:spacing w:val="-3"/>
        </w:rPr>
        <w:t xml:space="preserve">with </w:t>
      </w:r>
      <w:r>
        <w:t xml:space="preserve">a maximum mass not exceeding 8 t, </w:t>
      </w:r>
      <w:r>
        <w:rPr>
          <w:spacing w:val="-4"/>
        </w:rPr>
        <w:t xml:space="preserve">O1 </w:t>
      </w:r>
      <w:r>
        <w:t xml:space="preserve">and O2, the device shall </w:t>
      </w:r>
      <w:r>
        <w:rPr>
          <w:spacing w:val="-3"/>
        </w:rPr>
        <w:t xml:space="preserve">be </w:t>
      </w:r>
      <w:r>
        <w:t xml:space="preserve">so fitted that the horizontal distance </w:t>
      </w:r>
      <w:r>
        <w:rPr>
          <w:spacing w:val="-3"/>
        </w:rPr>
        <w:t xml:space="preserve">between </w:t>
      </w:r>
      <w:r>
        <w:t xml:space="preserve">the rear </w:t>
      </w:r>
      <w:r>
        <w:rPr>
          <w:spacing w:val="-3"/>
        </w:rPr>
        <w:t xml:space="preserve">of </w:t>
      </w:r>
      <w:r>
        <w:t xml:space="preserve">the cross-member </w:t>
      </w:r>
      <w:r>
        <w:rPr>
          <w:spacing w:val="-3"/>
        </w:rPr>
        <w:t xml:space="preserve">of </w:t>
      </w:r>
      <w:r>
        <w:t>the device and the most rearward point at the rear extremity of the vehicle, including</w:t>
      </w:r>
      <w:r>
        <w:t xml:space="preserve"> any platform lift </w:t>
      </w:r>
      <w:r>
        <w:rPr>
          <w:spacing w:val="-3"/>
        </w:rPr>
        <w:t xml:space="preserve">system, </w:t>
      </w:r>
      <w:r>
        <w:t xml:space="preserve">does not </w:t>
      </w:r>
      <w:r>
        <w:rPr>
          <w:spacing w:val="-3"/>
        </w:rPr>
        <w:t xml:space="preserve">exceed </w:t>
      </w:r>
      <w:r>
        <w:t xml:space="preserve">400 mm diminished </w:t>
      </w:r>
      <w:r>
        <w:rPr>
          <w:spacing w:val="-3"/>
        </w:rPr>
        <w:t xml:space="preserve">by </w:t>
      </w:r>
      <w:r>
        <w:t xml:space="preserve">the largest total deformation including </w:t>
      </w:r>
      <w:r>
        <w:rPr>
          <w:spacing w:val="-3"/>
        </w:rPr>
        <w:t xml:space="preserve">both </w:t>
      </w:r>
      <w:r>
        <w:t xml:space="preserve">plastic and elastic deformation (paragraph 7.3. </w:t>
      </w:r>
      <w:r>
        <w:rPr>
          <w:spacing w:val="-3"/>
        </w:rPr>
        <w:t xml:space="preserve">of </w:t>
      </w:r>
      <w:r>
        <w:t>Part I) measured and recorded during the test at any of the points where the test forces are app</w:t>
      </w:r>
      <w:r>
        <w:t xml:space="preserve">lied (Annex </w:t>
      </w:r>
      <w:r>
        <w:rPr>
          <w:spacing w:val="-3"/>
        </w:rPr>
        <w:t xml:space="preserve">1, </w:t>
      </w:r>
      <w:r>
        <w:t xml:space="preserve">item 8) during the type approval </w:t>
      </w:r>
      <w:r>
        <w:rPr>
          <w:spacing w:val="-3"/>
        </w:rPr>
        <w:t xml:space="preserve">of </w:t>
      </w:r>
      <w:r>
        <w:t xml:space="preserve">the rear underrun protective device in conformity </w:t>
      </w:r>
      <w:r>
        <w:rPr>
          <w:spacing w:val="-3"/>
        </w:rPr>
        <w:t xml:space="preserve">with </w:t>
      </w:r>
      <w:r>
        <w:t xml:space="preserve">the provisions </w:t>
      </w:r>
      <w:r>
        <w:rPr>
          <w:spacing w:val="-3"/>
        </w:rPr>
        <w:t xml:space="preserve">of </w:t>
      </w:r>
      <w:r>
        <w:t xml:space="preserve">Part I </w:t>
      </w:r>
      <w:r>
        <w:rPr>
          <w:spacing w:val="-3"/>
        </w:rPr>
        <w:t xml:space="preserve">of </w:t>
      </w:r>
      <w:r>
        <w:t xml:space="preserve">this Regulation and recorded in the </w:t>
      </w:r>
      <w:r>
        <w:rPr>
          <w:spacing w:val="-3"/>
        </w:rPr>
        <w:t xml:space="preserve">type </w:t>
      </w:r>
      <w:r>
        <w:t xml:space="preserve">approval communication form. </w:t>
      </w:r>
      <w:r>
        <w:rPr>
          <w:spacing w:val="-3"/>
        </w:rPr>
        <w:t xml:space="preserve">In </w:t>
      </w:r>
      <w:r>
        <w:t xml:space="preserve">measuring this distance, any part </w:t>
      </w:r>
      <w:r>
        <w:rPr>
          <w:spacing w:val="-3"/>
        </w:rPr>
        <w:t xml:space="preserve">of </w:t>
      </w:r>
      <w:r>
        <w:t xml:space="preserve">the vehicle </w:t>
      </w:r>
      <w:r>
        <w:t xml:space="preserve">which is more than 2 m above the ground </w:t>
      </w:r>
      <w:r>
        <w:rPr>
          <w:spacing w:val="-4"/>
        </w:rPr>
        <w:t xml:space="preserve">for </w:t>
      </w:r>
      <w:r>
        <w:t xml:space="preserve">every loading condition of the vehicle shall </w:t>
      </w:r>
      <w:r>
        <w:rPr>
          <w:spacing w:val="-3"/>
        </w:rPr>
        <w:t>be</w:t>
      </w:r>
      <w:r>
        <w:rPr>
          <w:spacing w:val="-21"/>
        </w:rPr>
        <w:t xml:space="preserve"> </w:t>
      </w:r>
      <w:r>
        <w:t>excluded.</w:t>
      </w:r>
    </w:p>
    <w:p w14:paraId="144B2B4D" w14:textId="77777777" w:rsidR="003A0E13" w:rsidRDefault="003A0E13">
      <w:pPr>
        <w:pStyle w:val="BodyText"/>
        <w:spacing w:before="10"/>
        <w:rPr>
          <w:sz w:val="22"/>
        </w:rPr>
      </w:pPr>
    </w:p>
    <w:p w14:paraId="22C8E3F1" w14:textId="77777777" w:rsidR="003A0E13" w:rsidRDefault="00C62288">
      <w:pPr>
        <w:pStyle w:val="BodyText"/>
        <w:ind w:left="115" w:right="143"/>
      </w:pPr>
      <w:r>
        <w:t xml:space="preserve">For vehicles of categories N2 with a maximum mass exceeding 8 t, N3, and vehicles of categories O3 and O4, equipped with a platform lift </w:t>
      </w:r>
      <w:r>
        <w:rPr>
          <w:b/>
        </w:rPr>
        <w:t>and access ramps</w:t>
      </w:r>
      <w:r>
        <w:rPr>
          <w:b/>
        </w:rPr>
        <w:t xml:space="preserve"> </w:t>
      </w:r>
      <w:r>
        <w:t>or being designed as a tipping trailer, the same requirement as above applies; however, for vehicles of these categories, the horizontal distance shall not exceed 300 mm measured to the rear of the cross-member before the test forces are applied.</w:t>
      </w:r>
    </w:p>
    <w:p w14:paraId="0FDD6C85" w14:textId="77777777" w:rsidR="003A0E13" w:rsidRDefault="003A0E13">
      <w:pPr>
        <w:pStyle w:val="BodyText"/>
        <w:spacing w:before="1"/>
        <w:rPr>
          <w:sz w:val="23"/>
        </w:rPr>
      </w:pPr>
    </w:p>
    <w:p w14:paraId="3C98E73C" w14:textId="77777777" w:rsidR="003A0E13" w:rsidRDefault="00C62288">
      <w:pPr>
        <w:pStyle w:val="BodyText"/>
        <w:ind w:left="115" w:right="191"/>
        <w:jc w:val="both"/>
      </w:pPr>
      <w:r>
        <w:t>For veh</w:t>
      </w:r>
      <w:r>
        <w:t xml:space="preserve">icles of categories O3 and O4, without any platform lift system </w:t>
      </w:r>
      <w:r>
        <w:rPr>
          <w:b/>
        </w:rPr>
        <w:t xml:space="preserve">or access ramps </w:t>
      </w:r>
      <w:r>
        <w:t>and not being designed as a tipping-trailer, the maximum horizontal distances are reduced to 200 mm before the test forces have been applied and 300 mm diminished by the larges</w:t>
      </w:r>
      <w:r>
        <w:t>t total deformation including both plastic and elastic deformation (paragraph</w:t>
      </w:r>
    </w:p>
    <w:p w14:paraId="50EBB61F" w14:textId="77777777" w:rsidR="003A0E13" w:rsidRDefault="00C62288">
      <w:pPr>
        <w:pStyle w:val="BodyText"/>
        <w:spacing w:before="2"/>
        <w:ind w:left="115" w:right="149"/>
      </w:pPr>
      <w:r>
        <w:t>7.3. of Part I) measured and recorded during the test at any of the points where the test forces are applied (Annex 1, item 8). In any case non-structural protrusions such as tai</w:t>
      </w:r>
      <w:r>
        <w:t>l lamps and those of less than 50 mm of size in any direction, such as rubber bumpers, resilient buffers, hinges and latches shall be excluded from the determination of the most rearward point at the rear extremity.</w:t>
      </w:r>
    </w:p>
    <w:p w14:paraId="7DB6AE7B" w14:textId="77777777" w:rsidR="003A0E13" w:rsidRDefault="003A0E13">
      <w:pPr>
        <w:pStyle w:val="BodyText"/>
        <w:spacing w:before="1"/>
        <w:rPr>
          <w:sz w:val="23"/>
        </w:rPr>
      </w:pPr>
    </w:p>
    <w:p w14:paraId="6450A21D" w14:textId="77777777" w:rsidR="003A0E13" w:rsidRDefault="00C62288">
      <w:pPr>
        <w:pStyle w:val="BodyText"/>
        <w:spacing w:line="247" w:lineRule="auto"/>
        <w:ind w:left="115" w:right="232"/>
      </w:pPr>
      <w:r>
        <w:t>Before the application of the test forc</w:t>
      </w:r>
      <w:r>
        <w:t>es, the maximum allowed horizontal distance of a single, a segmented or an inclined cross-member of a RUPD is 100 mm between the rear of the cross-member measured at the most forward point and the rear of the cross-member measured at the most rearward poin</w:t>
      </w:r>
      <w:r>
        <w:t>t, measured in the longitudinal plane of the vehicle.</w:t>
      </w:r>
    </w:p>
    <w:p w14:paraId="04680F13" w14:textId="77777777" w:rsidR="003A0E13" w:rsidRDefault="003A0E13">
      <w:pPr>
        <w:pStyle w:val="BodyText"/>
        <w:rPr>
          <w:sz w:val="22"/>
        </w:rPr>
      </w:pPr>
    </w:p>
    <w:p w14:paraId="27170BE5" w14:textId="77777777" w:rsidR="003A0E13" w:rsidRDefault="003A0E13">
      <w:pPr>
        <w:pStyle w:val="BodyText"/>
        <w:spacing w:before="4"/>
        <w:rPr>
          <w:sz w:val="18"/>
        </w:rPr>
      </w:pPr>
    </w:p>
    <w:p w14:paraId="3A300850" w14:textId="77777777" w:rsidR="003A0E13" w:rsidRDefault="00C62288">
      <w:pPr>
        <w:pStyle w:val="Heading2"/>
        <w:spacing w:line="477" w:lineRule="auto"/>
        <w:ind w:right="2577"/>
        <w:rPr>
          <w:i w:val="0"/>
        </w:rPr>
      </w:pPr>
      <w:r>
        <w:t xml:space="preserve">Part </w:t>
      </w:r>
      <w:r>
        <w:rPr>
          <w:spacing w:val="-3"/>
        </w:rPr>
        <w:t xml:space="preserve">III, </w:t>
      </w:r>
      <w:r>
        <w:rPr>
          <w:spacing w:val="-6"/>
        </w:rPr>
        <w:t xml:space="preserve">Approval </w:t>
      </w:r>
      <w:r>
        <w:rPr>
          <w:spacing w:val="-5"/>
        </w:rPr>
        <w:t xml:space="preserve">of </w:t>
      </w:r>
      <w:r>
        <w:t xml:space="preserve">a </w:t>
      </w:r>
      <w:r>
        <w:rPr>
          <w:spacing w:val="-5"/>
        </w:rPr>
        <w:t xml:space="preserve">vehicle </w:t>
      </w:r>
      <w:r>
        <w:rPr>
          <w:spacing w:val="-6"/>
        </w:rPr>
        <w:t xml:space="preserve">with </w:t>
      </w:r>
      <w:r>
        <w:rPr>
          <w:spacing w:val="-5"/>
        </w:rPr>
        <w:t xml:space="preserve">regard </w:t>
      </w:r>
      <w:r>
        <w:t xml:space="preserve">to </w:t>
      </w:r>
      <w:r>
        <w:rPr>
          <w:spacing w:val="-5"/>
        </w:rPr>
        <w:t xml:space="preserve">its rear </w:t>
      </w:r>
      <w:r>
        <w:rPr>
          <w:spacing w:val="-6"/>
        </w:rPr>
        <w:t xml:space="preserve">underrun protection </w:t>
      </w:r>
      <w:r>
        <w:rPr>
          <w:spacing w:val="-5"/>
        </w:rPr>
        <w:t xml:space="preserve">(RUP), </w:t>
      </w:r>
      <w:r>
        <w:t xml:space="preserve">Article 25.3, </w:t>
      </w:r>
      <w:r>
        <w:rPr>
          <w:i w:val="0"/>
          <w:spacing w:val="-5"/>
        </w:rPr>
        <w:t xml:space="preserve">Amend </w:t>
      </w:r>
      <w:r>
        <w:rPr>
          <w:i w:val="0"/>
          <w:spacing w:val="2"/>
        </w:rPr>
        <w:t xml:space="preserve">to </w:t>
      </w:r>
      <w:r>
        <w:rPr>
          <w:i w:val="0"/>
          <w:spacing w:val="-3"/>
        </w:rPr>
        <w:t>read:</w:t>
      </w:r>
    </w:p>
    <w:p w14:paraId="5FBBC0C6" w14:textId="77777777" w:rsidR="003A0E13" w:rsidRDefault="00C62288">
      <w:pPr>
        <w:pStyle w:val="BodyText"/>
        <w:spacing w:line="216" w:lineRule="exact"/>
        <w:ind w:left="116"/>
      </w:pPr>
      <w:r>
        <w:t>For vehicles of categories M, N</w:t>
      </w:r>
      <w:r>
        <w:rPr>
          <w:sz w:val="13"/>
        </w:rPr>
        <w:t>1</w:t>
      </w:r>
      <w:r>
        <w:t>, N</w:t>
      </w:r>
      <w:r>
        <w:rPr>
          <w:sz w:val="13"/>
        </w:rPr>
        <w:t xml:space="preserve">2 </w:t>
      </w:r>
      <w:r>
        <w:t>with a maximum mass not exceeding 8 t, O</w:t>
      </w:r>
      <w:r>
        <w:rPr>
          <w:sz w:val="13"/>
        </w:rPr>
        <w:t xml:space="preserve">1 </w:t>
      </w:r>
      <w:r>
        <w:t>and O</w:t>
      </w:r>
      <w:r>
        <w:rPr>
          <w:sz w:val="13"/>
        </w:rPr>
        <w:t>2</w:t>
      </w:r>
      <w:r>
        <w:t>, the RUP shall be situated</w:t>
      </w:r>
    </w:p>
    <w:p w14:paraId="40DF525B" w14:textId="77777777" w:rsidR="003A0E13" w:rsidRDefault="00C62288">
      <w:pPr>
        <w:pStyle w:val="BodyText"/>
        <w:ind w:left="115" w:right="126"/>
      </w:pPr>
      <w:r>
        <w:t>as close to the rear of the vehicle as possible. The maximum horizontal distance between the rear of the device and the most rearward point at the rear extremity of the vehicle, in</w:t>
      </w:r>
      <w:r>
        <w:t>cluding any platform lift system, does not exceed 400 mm measured to the rear of the cross-member and recorded during the test when the test forces are applied.</w:t>
      </w:r>
    </w:p>
    <w:p w14:paraId="52675283" w14:textId="77777777" w:rsidR="003A0E13" w:rsidRDefault="003A0E13">
      <w:pPr>
        <w:pStyle w:val="BodyText"/>
        <w:spacing w:before="9"/>
        <w:rPr>
          <w:sz w:val="19"/>
        </w:rPr>
      </w:pPr>
    </w:p>
    <w:p w14:paraId="60D5432E" w14:textId="77777777" w:rsidR="003A0E13" w:rsidRDefault="00C62288">
      <w:pPr>
        <w:pStyle w:val="BodyText"/>
        <w:ind w:left="115" w:right="143" w:hanging="1"/>
      </w:pPr>
      <w:r>
        <w:t>For vehicles of categories N</w:t>
      </w:r>
      <w:r>
        <w:rPr>
          <w:sz w:val="13"/>
        </w:rPr>
        <w:t xml:space="preserve">2 </w:t>
      </w:r>
      <w:r>
        <w:t>with a maximum mass exceeding 8 t, N</w:t>
      </w:r>
      <w:r>
        <w:rPr>
          <w:sz w:val="13"/>
        </w:rPr>
        <w:t>3</w:t>
      </w:r>
      <w:r>
        <w:t>, and vehicles of categorie</w:t>
      </w:r>
      <w:r>
        <w:t>s O</w:t>
      </w:r>
      <w:r>
        <w:rPr>
          <w:sz w:val="13"/>
        </w:rPr>
        <w:t xml:space="preserve">3 </w:t>
      </w:r>
      <w:r>
        <w:t>and O</w:t>
      </w:r>
      <w:r>
        <w:rPr>
          <w:sz w:val="13"/>
        </w:rPr>
        <w:t>4</w:t>
      </w:r>
      <w:r>
        <w:t xml:space="preserve">, equipped with a platform lift </w:t>
      </w:r>
      <w:r>
        <w:rPr>
          <w:b/>
        </w:rPr>
        <w:t xml:space="preserve">and access ramps </w:t>
      </w:r>
      <w:r>
        <w:t>or being designed as a tipping trailer, the same requirement as above applies; however, for vehicles of these categories, the horizontal distance shall not exceed 300 mm measured to the rear of th</w:t>
      </w:r>
      <w:r>
        <w:t>e cross-member before the test forces are applied.</w:t>
      </w:r>
    </w:p>
    <w:p w14:paraId="707F2283" w14:textId="77777777" w:rsidR="003A0E13" w:rsidRDefault="003A0E13">
      <w:pPr>
        <w:sectPr w:rsidR="003A0E13">
          <w:type w:val="continuous"/>
          <w:pgSz w:w="11920" w:h="16850"/>
          <w:pgMar w:top="1240" w:right="1100" w:bottom="280" w:left="1300" w:header="720" w:footer="720" w:gutter="0"/>
          <w:cols w:space="720"/>
        </w:sectPr>
      </w:pPr>
    </w:p>
    <w:p w14:paraId="585BDD85" w14:textId="77777777" w:rsidR="003A0E13" w:rsidRDefault="00C62288">
      <w:pPr>
        <w:pStyle w:val="BodyText"/>
        <w:spacing w:before="67"/>
        <w:ind w:left="116" w:right="125" w:hanging="1"/>
      </w:pPr>
      <w:r>
        <w:lastRenderedPageBreak/>
        <w:t>For RUP for vehicles of categories O</w:t>
      </w:r>
      <w:r>
        <w:rPr>
          <w:sz w:val="13"/>
        </w:rPr>
        <w:t xml:space="preserve">3 </w:t>
      </w:r>
      <w:r>
        <w:t>and O</w:t>
      </w:r>
      <w:r>
        <w:rPr>
          <w:sz w:val="13"/>
        </w:rPr>
        <w:t>4</w:t>
      </w:r>
      <w:r>
        <w:t xml:space="preserve">, without any platform lift system </w:t>
      </w:r>
      <w:r>
        <w:rPr>
          <w:b/>
        </w:rPr>
        <w:t xml:space="preserve">or access ramps </w:t>
      </w:r>
      <w:r>
        <w:t>and not being designed as a tipping-trailer, the maximum horizontal distance is reduced to 200 mm before and 300 mm during the test when the test forces are applied. In any case nonstructural protrusions such as tail lamps and those of less than 50 mm of s</w:t>
      </w:r>
      <w:r>
        <w:t>ize in any direction, such as rubber bumpers, resilient buffers, hinges and latches shall be excluded from the determination of the most rearward point at the rear extremity.</w:t>
      </w:r>
    </w:p>
    <w:p w14:paraId="574E20BD" w14:textId="77777777" w:rsidR="003A0E13" w:rsidRDefault="003A0E13">
      <w:pPr>
        <w:pStyle w:val="BodyText"/>
        <w:spacing w:before="4"/>
      </w:pPr>
    </w:p>
    <w:p w14:paraId="6B4AE24D" w14:textId="77777777" w:rsidR="003A0E13" w:rsidRDefault="00C62288">
      <w:pPr>
        <w:pStyle w:val="BodyText"/>
        <w:spacing w:line="237" w:lineRule="auto"/>
        <w:ind w:left="116" w:right="231"/>
      </w:pPr>
      <w:r>
        <w:t>Before the application of the test forces the maximum allowed horizontal distanc</w:t>
      </w:r>
      <w:r>
        <w:t>e of a single, a segmented or an inclined cross-member of a RUPD is 100 mm between the rear of the cross-member measured at the most forward point and the rear of the cross-member measured at the most rearward point, measured in the longitudinal plane of t</w:t>
      </w:r>
      <w:r>
        <w:t>he vehicle.</w:t>
      </w:r>
    </w:p>
    <w:p w14:paraId="32D8968A" w14:textId="77777777" w:rsidR="003A0E13" w:rsidRDefault="003A0E13">
      <w:pPr>
        <w:pStyle w:val="BodyText"/>
        <w:rPr>
          <w:sz w:val="22"/>
        </w:rPr>
      </w:pPr>
    </w:p>
    <w:p w14:paraId="3A13FBA2" w14:textId="77777777" w:rsidR="003A0E13" w:rsidRDefault="003A0E13">
      <w:pPr>
        <w:pStyle w:val="BodyText"/>
        <w:spacing w:before="1"/>
        <w:rPr>
          <w:sz w:val="18"/>
        </w:rPr>
      </w:pPr>
    </w:p>
    <w:p w14:paraId="2BA944FA" w14:textId="77777777" w:rsidR="003A0E13" w:rsidRDefault="00C62288">
      <w:pPr>
        <w:pStyle w:val="Heading1"/>
        <w:numPr>
          <w:ilvl w:val="0"/>
          <w:numId w:val="1"/>
        </w:numPr>
        <w:tabs>
          <w:tab w:val="left" w:pos="424"/>
        </w:tabs>
        <w:ind w:left="423" w:hanging="309"/>
      </w:pPr>
      <w:r>
        <w:rPr>
          <w:spacing w:val="-3"/>
        </w:rPr>
        <w:t>Justification</w:t>
      </w:r>
    </w:p>
    <w:p w14:paraId="17C7FD78" w14:textId="77777777" w:rsidR="003A0E13" w:rsidRDefault="003A0E13">
      <w:pPr>
        <w:pStyle w:val="BodyText"/>
        <w:spacing w:before="6"/>
        <w:rPr>
          <w:b/>
          <w:sz w:val="23"/>
        </w:rPr>
      </w:pPr>
    </w:p>
    <w:p w14:paraId="6E53A57B" w14:textId="77777777" w:rsidR="003A0E13" w:rsidRDefault="00C62288">
      <w:pPr>
        <w:pStyle w:val="BodyText"/>
        <w:ind w:left="116" w:right="269" w:hanging="1"/>
      </w:pPr>
      <w:r>
        <w:t>In EU Commission Regulation No. 1230/2012 for masses and dimensions of motor vehicles and their trailers, the platform lift, access ramps and similar equipment are excluded for the determination of the vehicle length (see appen</w:t>
      </w:r>
      <w:r>
        <w:t>dix 1, table 1, item 9 (max 300mm)). The RUPD is not excluded for the determination of the vehicle length.</w:t>
      </w:r>
    </w:p>
    <w:p w14:paraId="1A004510" w14:textId="77777777" w:rsidR="003A0E13" w:rsidRDefault="003A0E13">
      <w:pPr>
        <w:pStyle w:val="BodyText"/>
        <w:spacing w:before="2"/>
      </w:pPr>
    </w:p>
    <w:p w14:paraId="17664783" w14:textId="77777777" w:rsidR="003A0E13" w:rsidRDefault="00C62288">
      <w:pPr>
        <w:pStyle w:val="BodyText"/>
        <w:ind w:left="116"/>
      </w:pPr>
      <w:r>
        <w:t>The installation requirements for the RUPD in ECE R58.03;</w:t>
      </w:r>
    </w:p>
    <w:p w14:paraId="49D2381E" w14:textId="77777777" w:rsidR="003A0E13" w:rsidRDefault="003A0E13">
      <w:pPr>
        <w:pStyle w:val="BodyText"/>
        <w:spacing w:before="7"/>
        <w:rPr>
          <w:sz w:val="19"/>
        </w:rPr>
      </w:pPr>
    </w:p>
    <w:p w14:paraId="20BFB456" w14:textId="77777777" w:rsidR="003A0E13" w:rsidRDefault="00C62288">
      <w:pPr>
        <w:pStyle w:val="BodyText"/>
        <w:tabs>
          <w:tab w:val="left" w:pos="1321"/>
        </w:tabs>
        <w:ind w:left="1316" w:right="169" w:hanging="1201"/>
      </w:pPr>
      <w:r>
        <w:t>General:</w:t>
      </w:r>
      <w:r>
        <w:tab/>
      </w:r>
      <w:r>
        <w:tab/>
        <w:t xml:space="preserve">The device shall </w:t>
      </w:r>
      <w:r>
        <w:rPr>
          <w:spacing w:val="-3"/>
        </w:rPr>
        <w:t xml:space="preserve">be </w:t>
      </w:r>
      <w:r>
        <w:t xml:space="preserve">so fitted that the horizontal distance </w:t>
      </w:r>
      <w:r>
        <w:rPr>
          <w:spacing w:val="-3"/>
        </w:rPr>
        <w:t xml:space="preserve">between </w:t>
      </w:r>
      <w:r>
        <w:t xml:space="preserve">the rear </w:t>
      </w:r>
      <w:r>
        <w:rPr>
          <w:spacing w:val="-3"/>
        </w:rPr>
        <w:t xml:space="preserve">of </w:t>
      </w:r>
      <w:r>
        <w:t xml:space="preserve">the cross-member </w:t>
      </w:r>
      <w:r>
        <w:rPr>
          <w:spacing w:val="-3"/>
        </w:rPr>
        <w:t xml:space="preserve">of </w:t>
      </w:r>
      <w:r>
        <w:t xml:space="preserve">the device and the most rearward point at the rear extremity of the vehicle, including any platform lift system, does not </w:t>
      </w:r>
      <w:r>
        <w:rPr>
          <w:spacing w:val="-3"/>
        </w:rPr>
        <w:t xml:space="preserve">exceed </w:t>
      </w:r>
      <w:r>
        <w:t xml:space="preserve">400 mm diminished </w:t>
      </w:r>
      <w:r>
        <w:rPr>
          <w:spacing w:val="-3"/>
        </w:rPr>
        <w:t xml:space="preserve">by </w:t>
      </w:r>
      <w:r>
        <w:t>the largest total</w:t>
      </w:r>
      <w:r>
        <w:rPr>
          <w:spacing w:val="9"/>
        </w:rPr>
        <w:t xml:space="preserve"> </w:t>
      </w:r>
      <w:r>
        <w:t>deformation</w:t>
      </w:r>
    </w:p>
    <w:p w14:paraId="75760E1F" w14:textId="77777777" w:rsidR="003A0E13" w:rsidRDefault="003A0E13">
      <w:pPr>
        <w:pStyle w:val="BodyText"/>
        <w:spacing w:before="2"/>
      </w:pPr>
    </w:p>
    <w:p w14:paraId="4D08B505" w14:textId="77777777" w:rsidR="003A0E13" w:rsidRDefault="00C62288">
      <w:pPr>
        <w:pStyle w:val="BodyText"/>
        <w:tabs>
          <w:tab w:val="left" w:pos="1320"/>
        </w:tabs>
        <w:ind w:left="1316" w:right="169" w:hanging="1201"/>
      </w:pPr>
      <w:r>
        <w:t>Additional:</w:t>
      </w:r>
      <w:r>
        <w:tab/>
      </w:r>
      <w:r>
        <w:tab/>
        <w:t xml:space="preserve">(1) </w:t>
      </w:r>
      <w:r>
        <w:rPr>
          <w:spacing w:val="-3"/>
        </w:rPr>
        <w:t xml:space="preserve">For </w:t>
      </w:r>
      <w:r>
        <w:t xml:space="preserve">vehicles </w:t>
      </w:r>
      <w:r>
        <w:rPr>
          <w:spacing w:val="-3"/>
        </w:rPr>
        <w:t xml:space="preserve">of </w:t>
      </w:r>
      <w:r>
        <w:t xml:space="preserve">categories N2 </w:t>
      </w:r>
      <w:r>
        <w:rPr>
          <w:spacing w:val="-3"/>
        </w:rPr>
        <w:t xml:space="preserve">with </w:t>
      </w:r>
      <w:r>
        <w:t xml:space="preserve">a maximum mass exceeding 8 t, </w:t>
      </w:r>
      <w:r>
        <w:rPr>
          <w:spacing w:val="-3"/>
        </w:rPr>
        <w:t xml:space="preserve">N3, </w:t>
      </w:r>
      <w:r>
        <w:t xml:space="preserve">and vehicles </w:t>
      </w:r>
      <w:r>
        <w:rPr>
          <w:spacing w:val="-3"/>
        </w:rPr>
        <w:t xml:space="preserve">of </w:t>
      </w:r>
      <w:r>
        <w:t xml:space="preserve">categories O3 and O4, equipped </w:t>
      </w:r>
      <w:r>
        <w:rPr>
          <w:spacing w:val="-3"/>
        </w:rPr>
        <w:t xml:space="preserve">with </w:t>
      </w:r>
      <w:r>
        <w:t xml:space="preserve">a platform lift </w:t>
      </w:r>
      <w:r>
        <w:rPr>
          <w:spacing w:val="-3"/>
        </w:rPr>
        <w:t xml:space="preserve">or </w:t>
      </w:r>
      <w:r>
        <w:t xml:space="preserve">being designed as a tipping trailer, the same requirement as above  applies; however, </w:t>
      </w:r>
      <w:r>
        <w:rPr>
          <w:spacing w:val="-4"/>
        </w:rPr>
        <w:t xml:space="preserve">for </w:t>
      </w:r>
      <w:r>
        <w:t xml:space="preserve">vehicles </w:t>
      </w:r>
      <w:r>
        <w:rPr>
          <w:spacing w:val="-3"/>
        </w:rPr>
        <w:t xml:space="preserve">of </w:t>
      </w:r>
      <w:r>
        <w:t>these categories, the horizont</w:t>
      </w:r>
      <w:r>
        <w:t xml:space="preserve">al distance shall not </w:t>
      </w:r>
      <w:r>
        <w:rPr>
          <w:spacing w:val="-3"/>
        </w:rPr>
        <w:t xml:space="preserve">exceed </w:t>
      </w:r>
      <w:r>
        <w:t xml:space="preserve">300 mm measured to the rear </w:t>
      </w:r>
      <w:r>
        <w:rPr>
          <w:spacing w:val="-3"/>
        </w:rPr>
        <w:t xml:space="preserve">of </w:t>
      </w:r>
      <w:r>
        <w:t xml:space="preserve">the cross-member before the test </w:t>
      </w:r>
      <w:r>
        <w:rPr>
          <w:spacing w:val="-3"/>
        </w:rPr>
        <w:t xml:space="preserve">forces </w:t>
      </w:r>
      <w:r>
        <w:t>are</w:t>
      </w:r>
      <w:r>
        <w:rPr>
          <w:spacing w:val="18"/>
        </w:rPr>
        <w:t xml:space="preserve"> </w:t>
      </w:r>
      <w:r>
        <w:t>applied</w:t>
      </w:r>
    </w:p>
    <w:p w14:paraId="62156119" w14:textId="77777777" w:rsidR="003A0E13" w:rsidRDefault="003A0E13">
      <w:pPr>
        <w:pStyle w:val="BodyText"/>
        <w:spacing w:before="4"/>
      </w:pPr>
    </w:p>
    <w:p w14:paraId="693AE594" w14:textId="77777777" w:rsidR="003A0E13" w:rsidRDefault="00C62288">
      <w:pPr>
        <w:pStyle w:val="BodyText"/>
        <w:spacing w:line="237" w:lineRule="auto"/>
        <w:ind w:left="1316" w:right="130"/>
      </w:pPr>
      <w:r>
        <w:t xml:space="preserve">(2) </w:t>
      </w:r>
      <w:r>
        <w:rPr>
          <w:spacing w:val="-3"/>
        </w:rPr>
        <w:t xml:space="preserve">For </w:t>
      </w:r>
      <w:r>
        <w:t xml:space="preserve">vehicles </w:t>
      </w:r>
      <w:r>
        <w:rPr>
          <w:spacing w:val="-3"/>
        </w:rPr>
        <w:t xml:space="preserve">of </w:t>
      </w:r>
      <w:r>
        <w:t xml:space="preserve">categories O3 and O4, without any platform lift </w:t>
      </w:r>
      <w:r>
        <w:rPr>
          <w:spacing w:val="-3"/>
        </w:rPr>
        <w:t xml:space="preserve">system </w:t>
      </w:r>
      <w:r>
        <w:t xml:space="preserve">and not being designed as a tipping-trailer, the maximum horizontal </w:t>
      </w:r>
      <w:r>
        <w:t xml:space="preserve">distances are reduced to 200 mm before the test </w:t>
      </w:r>
      <w:r>
        <w:rPr>
          <w:spacing w:val="-3"/>
        </w:rPr>
        <w:t xml:space="preserve">forces </w:t>
      </w:r>
      <w:r>
        <w:t>have been</w:t>
      </w:r>
      <w:r>
        <w:rPr>
          <w:spacing w:val="5"/>
        </w:rPr>
        <w:t xml:space="preserve"> </w:t>
      </w:r>
      <w:r>
        <w:t>applied.</w:t>
      </w:r>
    </w:p>
    <w:p w14:paraId="13865561" w14:textId="77777777" w:rsidR="003A0E13" w:rsidRDefault="003A0E13">
      <w:pPr>
        <w:pStyle w:val="BodyText"/>
        <w:spacing w:before="5"/>
        <w:rPr>
          <w:sz w:val="23"/>
        </w:rPr>
      </w:pPr>
    </w:p>
    <w:p w14:paraId="23863252" w14:textId="77777777" w:rsidR="003A0E13" w:rsidRDefault="00C62288">
      <w:pPr>
        <w:pStyle w:val="BodyText"/>
        <w:spacing w:before="1"/>
        <w:ind w:left="116" w:right="269" w:hanging="1"/>
      </w:pPr>
      <w:r>
        <w:t>We believe that the additional requirement (1) is meant to make it possible to exclude the platform lift system (max 300 mm.) in the vehicle length in relation to EU Regulation 1230</w:t>
      </w:r>
      <w:r>
        <w:t>/2012. the “access ramps and similar equipment” seems to be forgotten.</w:t>
      </w:r>
    </w:p>
    <w:p w14:paraId="6E454396" w14:textId="77777777" w:rsidR="003A0E13" w:rsidRDefault="00C62288">
      <w:pPr>
        <w:pStyle w:val="BodyText"/>
        <w:spacing w:before="1" w:line="460" w:lineRule="atLeast"/>
        <w:ind w:left="116" w:right="3848" w:hanging="1"/>
      </w:pPr>
      <w:r>
        <w:t>The problem that now occurs has been illustrated in figure 1 below. In situation (A)</w:t>
      </w:r>
    </w:p>
    <w:p w14:paraId="723EBC7D" w14:textId="77777777" w:rsidR="003A0E13" w:rsidRDefault="00C62288">
      <w:pPr>
        <w:pStyle w:val="BodyText"/>
        <w:spacing w:before="2"/>
        <w:ind w:left="116"/>
      </w:pPr>
      <w:r>
        <w:t>A trailer equipped with access ramps and an ECE R58.02 approved RUPD. The vehicle complies with</w:t>
      </w:r>
    </w:p>
    <w:p w14:paraId="6BD1EFEF" w14:textId="77777777" w:rsidR="003A0E13" w:rsidRDefault="00C62288">
      <w:pPr>
        <w:pStyle w:val="BodyText"/>
        <w:ind w:left="116" w:right="436"/>
      </w:pPr>
      <w:r>
        <w:t>EU R</w:t>
      </w:r>
      <w:r>
        <w:t>egulation 1230/2012 as the vehicle length is max. 12 meter. The access ramps are excluded for 300 mm in length.</w:t>
      </w:r>
    </w:p>
    <w:p w14:paraId="6FEE8CA5" w14:textId="77777777" w:rsidR="003A0E13" w:rsidRDefault="003A0E13">
      <w:pPr>
        <w:pStyle w:val="BodyText"/>
        <w:spacing w:before="8"/>
        <w:rPr>
          <w:sz w:val="19"/>
        </w:rPr>
      </w:pPr>
    </w:p>
    <w:p w14:paraId="2D969AA4" w14:textId="77777777" w:rsidR="003A0E13" w:rsidRDefault="00C62288">
      <w:pPr>
        <w:pStyle w:val="BodyText"/>
        <w:ind w:left="116"/>
      </w:pPr>
      <w:r>
        <w:t>In situation (B)</w:t>
      </w:r>
    </w:p>
    <w:p w14:paraId="05B7536F" w14:textId="77777777" w:rsidR="003A0E13" w:rsidRDefault="00C62288">
      <w:pPr>
        <w:pStyle w:val="BodyText"/>
        <w:spacing w:before="1"/>
        <w:ind w:left="116" w:right="232"/>
      </w:pPr>
      <w:r>
        <w:t xml:space="preserve">The same trailer equipped </w:t>
      </w:r>
      <w:r>
        <w:rPr>
          <w:spacing w:val="-3"/>
        </w:rPr>
        <w:t xml:space="preserve">with </w:t>
      </w:r>
      <w:r>
        <w:t xml:space="preserve">access ramps but now an </w:t>
      </w:r>
      <w:r>
        <w:rPr>
          <w:spacing w:val="-3"/>
        </w:rPr>
        <w:t xml:space="preserve">ECE </w:t>
      </w:r>
      <w:r>
        <w:t xml:space="preserve">R58.03 approved </w:t>
      </w:r>
      <w:r>
        <w:rPr>
          <w:spacing w:val="-3"/>
        </w:rPr>
        <w:t xml:space="preserve">RUPD. </w:t>
      </w:r>
      <w:r>
        <w:t xml:space="preserve">Vehicle </w:t>
      </w:r>
      <w:r>
        <w:rPr>
          <w:spacing w:val="-3"/>
        </w:rPr>
        <w:t xml:space="preserve">does </w:t>
      </w:r>
      <w:r>
        <w:t xml:space="preserve">not complies with EU Regulation </w:t>
      </w:r>
      <w:r>
        <w:t xml:space="preserve">1230/2012 as the vehicle length now is 12,1 meter. The access ramps are excluded </w:t>
      </w:r>
      <w:r>
        <w:rPr>
          <w:spacing w:val="-4"/>
        </w:rPr>
        <w:t xml:space="preserve">for </w:t>
      </w:r>
      <w:r>
        <w:t xml:space="preserve">300 mm in </w:t>
      </w:r>
      <w:r>
        <w:rPr>
          <w:spacing w:val="-2"/>
        </w:rPr>
        <w:t xml:space="preserve">length </w:t>
      </w:r>
      <w:r>
        <w:t xml:space="preserve">but because the </w:t>
      </w:r>
      <w:r>
        <w:rPr>
          <w:spacing w:val="-4"/>
        </w:rPr>
        <w:t xml:space="preserve">RUPD </w:t>
      </w:r>
      <w:r>
        <w:t>is now installed as additional requirement (2) the same vehicle becomes 12,1 meter.</w:t>
      </w:r>
    </w:p>
    <w:p w14:paraId="6508723C" w14:textId="77777777" w:rsidR="003A0E13" w:rsidRDefault="003A0E13">
      <w:pPr>
        <w:pStyle w:val="BodyText"/>
        <w:spacing w:before="2"/>
      </w:pPr>
    </w:p>
    <w:p w14:paraId="10134862" w14:textId="77777777" w:rsidR="003A0E13" w:rsidRDefault="00C62288">
      <w:pPr>
        <w:pStyle w:val="BodyText"/>
        <w:ind w:left="116" w:right="402"/>
      </w:pPr>
      <w:r>
        <w:t>By amending the articles 16.4. and 25.3. as sugg</w:t>
      </w:r>
      <w:r>
        <w:t>ested we have a common relation between ECE R58.03 and EU Regulation 1230/2012.</w:t>
      </w:r>
    </w:p>
    <w:p w14:paraId="4ECC903F" w14:textId="77777777" w:rsidR="003A0E13" w:rsidRDefault="003A0E13">
      <w:pPr>
        <w:sectPr w:rsidR="003A0E13">
          <w:pgSz w:w="11920" w:h="16850"/>
          <w:pgMar w:top="1260" w:right="1100" w:bottom="280" w:left="1300" w:header="720" w:footer="720" w:gutter="0"/>
          <w:cols w:space="720"/>
        </w:sectPr>
      </w:pPr>
    </w:p>
    <w:p w14:paraId="18C6A704" w14:textId="77777777" w:rsidR="003A0E13" w:rsidRDefault="00C62288">
      <w:pPr>
        <w:spacing w:before="82"/>
        <w:ind w:left="116"/>
        <w:rPr>
          <w:b/>
          <w:sz w:val="20"/>
        </w:rPr>
      </w:pPr>
      <w:r>
        <w:rPr>
          <w:b/>
          <w:sz w:val="20"/>
        </w:rPr>
        <w:lastRenderedPageBreak/>
        <w:t>Figure 1.</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598"/>
      </w:tblGrid>
      <w:tr w:rsidR="003A0E13" w14:paraId="5720F27C" w14:textId="77777777">
        <w:trPr>
          <w:trHeight w:val="690"/>
        </w:trPr>
        <w:tc>
          <w:tcPr>
            <w:tcW w:w="4675" w:type="dxa"/>
          </w:tcPr>
          <w:p w14:paraId="18020E09" w14:textId="77777777" w:rsidR="003A0E13" w:rsidRDefault="00C62288">
            <w:pPr>
              <w:pStyle w:val="TableParagraph"/>
              <w:ind w:right="178"/>
              <w:rPr>
                <w:b/>
                <w:sz w:val="20"/>
              </w:rPr>
            </w:pPr>
            <w:r>
              <w:rPr>
                <w:b/>
                <w:sz w:val="20"/>
              </w:rPr>
              <w:t>Situation (A) of vehicles with access ramps, in relation ECE R58.02 and EU Regulation 1230/2012</w:t>
            </w:r>
          </w:p>
        </w:tc>
        <w:tc>
          <w:tcPr>
            <w:tcW w:w="4598" w:type="dxa"/>
          </w:tcPr>
          <w:p w14:paraId="21E130FC" w14:textId="77777777" w:rsidR="003A0E13" w:rsidRDefault="00C62288">
            <w:pPr>
              <w:pStyle w:val="TableParagraph"/>
              <w:spacing w:line="230" w:lineRule="atLeast"/>
              <w:ind w:right="574"/>
              <w:rPr>
                <w:b/>
                <w:sz w:val="20"/>
              </w:rPr>
            </w:pPr>
            <w:r>
              <w:rPr>
                <w:b/>
                <w:sz w:val="20"/>
              </w:rPr>
              <w:t>Situation (B) of vehicles with access ramps, in relation ECE R58.03 and EU Regulation 1230/2012</w:t>
            </w:r>
          </w:p>
        </w:tc>
      </w:tr>
      <w:tr w:rsidR="003A0E13" w14:paraId="6CC8A7DB" w14:textId="77777777">
        <w:trPr>
          <w:trHeight w:val="6465"/>
        </w:trPr>
        <w:tc>
          <w:tcPr>
            <w:tcW w:w="9273" w:type="dxa"/>
            <w:gridSpan w:val="2"/>
          </w:tcPr>
          <w:p w14:paraId="26036F11" w14:textId="77777777" w:rsidR="003A0E13" w:rsidRDefault="00C62288">
            <w:pPr>
              <w:pStyle w:val="TableParagraph"/>
              <w:ind w:left="1602"/>
              <w:rPr>
                <w:sz w:val="20"/>
              </w:rPr>
            </w:pPr>
            <w:r>
              <w:rPr>
                <w:noProof/>
                <w:sz w:val="20"/>
              </w:rPr>
              <w:drawing>
                <wp:inline distT="0" distB="0" distL="0" distR="0" wp14:anchorId="69050C20" wp14:editId="01AF1A1F">
                  <wp:extent cx="3774162" cy="40335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74162" cy="4033551"/>
                          </a:xfrm>
                          <a:prstGeom prst="rect">
                            <a:avLst/>
                          </a:prstGeom>
                        </pic:spPr>
                      </pic:pic>
                    </a:graphicData>
                  </a:graphic>
                </wp:inline>
              </w:drawing>
            </w:r>
          </w:p>
        </w:tc>
      </w:tr>
    </w:tbl>
    <w:p w14:paraId="68DC5DBD" w14:textId="77777777" w:rsidR="00000000" w:rsidRDefault="00C62288"/>
    <w:sectPr w:rsidR="00000000">
      <w:pgSz w:w="11920" w:h="16850"/>
      <w:pgMar w:top="1480" w:right="11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93339"/>
    <w:multiLevelType w:val="hybridMultilevel"/>
    <w:tmpl w:val="824E86BA"/>
    <w:lvl w:ilvl="0" w:tplc="118EDCDE">
      <w:start w:val="1"/>
      <w:numFmt w:val="upperRoman"/>
      <w:lvlText w:val="%1."/>
      <w:lvlJc w:val="left"/>
      <w:pPr>
        <w:ind w:left="332" w:hanging="216"/>
        <w:jc w:val="left"/>
      </w:pPr>
      <w:rPr>
        <w:rFonts w:ascii="Times New Roman" w:eastAsia="Times New Roman" w:hAnsi="Times New Roman" w:cs="Times New Roman" w:hint="default"/>
        <w:b/>
        <w:bCs/>
        <w:spacing w:val="-3"/>
        <w:w w:val="99"/>
        <w:sz w:val="24"/>
        <w:szCs w:val="24"/>
      </w:rPr>
    </w:lvl>
    <w:lvl w:ilvl="1" w:tplc="ACB05C94">
      <w:numFmt w:val="bullet"/>
      <w:lvlText w:val="•"/>
      <w:lvlJc w:val="left"/>
      <w:pPr>
        <w:ind w:left="1320" w:hanging="216"/>
      </w:pPr>
      <w:rPr>
        <w:rFonts w:hint="default"/>
      </w:rPr>
    </w:lvl>
    <w:lvl w:ilvl="2" w:tplc="F280CA4A">
      <w:numFmt w:val="bullet"/>
      <w:lvlText w:val="•"/>
      <w:lvlJc w:val="left"/>
      <w:pPr>
        <w:ind w:left="2230" w:hanging="216"/>
      </w:pPr>
      <w:rPr>
        <w:rFonts w:hint="default"/>
      </w:rPr>
    </w:lvl>
    <w:lvl w:ilvl="3" w:tplc="2B1EA95E">
      <w:numFmt w:val="bullet"/>
      <w:lvlText w:val="•"/>
      <w:lvlJc w:val="left"/>
      <w:pPr>
        <w:ind w:left="3141" w:hanging="216"/>
      </w:pPr>
      <w:rPr>
        <w:rFonts w:hint="default"/>
      </w:rPr>
    </w:lvl>
    <w:lvl w:ilvl="4" w:tplc="05DC0948">
      <w:numFmt w:val="bullet"/>
      <w:lvlText w:val="•"/>
      <w:lvlJc w:val="left"/>
      <w:pPr>
        <w:ind w:left="4052" w:hanging="216"/>
      </w:pPr>
      <w:rPr>
        <w:rFonts w:hint="default"/>
      </w:rPr>
    </w:lvl>
    <w:lvl w:ilvl="5" w:tplc="6052A4B6">
      <w:numFmt w:val="bullet"/>
      <w:lvlText w:val="•"/>
      <w:lvlJc w:val="left"/>
      <w:pPr>
        <w:ind w:left="4963" w:hanging="216"/>
      </w:pPr>
      <w:rPr>
        <w:rFonts w:hint="default"/>
      </w:rPr>
    </w:lvl>
    <w:lvl w:ilvl="6" w:tplc="87A41014">
      <w:numFmt w:val="bullet"/>
      <w:lvlText w:val="•"/>
      <w:lvlJc w:val="left"/>
      <w:pPr>
        <w:ind w:left="5874" w:hanging="216"/>
      </w:pPr>
      <w:rPr>
        <w:rFonts w:hint="default"/>
      </w:rPr>
    </w:lvl>
    <w:lvl w:ilvl="7" w:tplc="40D0C0FA">
      <w:numFmt w:val="bullet"/>
      <w:lvlText w:val="•"/>
      <w:lvlJc w:val="left"/>
      <w:pPr>
        <w:ind w:left="6785" w:hanging="216"/>
      </w:pPr>
      <w:rPr>
        <w:rFonts w:hint="default"/>
      </w:rPr>
    </w:lvl>
    <w:lvl w:ilvl="8" w:tplc="AB100B84">
      <w:numFmt w:val="bullet"/>
      <w:lvlText w:val="•"/>
      <w:lvlJc w:val="left"/>
      <w:pPr>
        <w:ind w:left="7696" w:hanging="21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A0E13"/>
    <w:rsid w:val="003A0E13"/>
    <w:rsid w:val="00C622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A456"/>
  <w15:docId w15:val="{C1E5EA5F-BE58-4D72-B17F-D7811CAD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32" w:hanging="309"/>
      <w:outlineLvl w:val="0"/>
    </w:pPr>
    <w:rPr>
      <w:b/>
      <w:bCs/>
      <w:sz w:val="24"/>
      <w:szCs w:val="24"/>
    </w:rPr>
  </w:style>
  <w:style w:type="paragraph" w:styleId="Heading2">
    <w:name w:val="heading 2"/>
    <w:basedOn w:val="Normal"/>
    <w:uiPriority w:val="9"/>
    <w:unhideWhenUsed/>
    <w:qFormat/>
    <w:pPr>
      <w:ind w:left="115" w:right="943"/>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7"/>
      <w:ind w:left="1779" w:right="1759"/>
      <w:jc w:val="center"/>
    </w:pPr>
    <w:rPr>
      <w:b/>
      <w:bCs/>
      <w:sz w:val="28"/>
      <w:szCs w:val="28"/>
    </w:rPr>
  </w:style>
  <w:style w:type="paragraph" w:styleId="ListParagraph">
    <w:name w:val="List Paragraph"/>
    <w:basedOn w:val="Normal"/>
    <w:uiPriority w:val="1"/>
    <w:qFormat/>
    <w:pPr>
      <w:ind w:left="332" w:hanging="309"/>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6327</Characters>
  <Application>Microsoft Office Word</Application>
  <DocSecurity>0</DocSecurity>
  <Lines>52</Lines>
  <Paragraphs>14</Paragraphs>
  <ScaleCrop>false</ScaleCrop>
  <Company>UNOG</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Kors, Richard</dc:creator>
  <cp:lastModifiedBy>Nikola SAHOVIC</cp:lastModifiedBy>
  <cp:revision>2</cp:revision>
  <dcterms:created xsi:type="dcterms:W3CDTF">2020-10-02T13:58:00Z</dcterms:created>
  <dcterms:modified xsi:type="dcterms:W3CDTF">2020-10-02T14:58:00Z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Acrobat PDFMaker 11 voor Word</vt:lpwstr>
  </property>
  <property fmtid="{D5CDD505-2E9C-101B-9397-08002B2CF9AE}" pid="4" name="LastSaved">
    <vt:filetime>2020-10-02T00:00:00Z</vt:filetime>
  </property>
</Properties>
</file>