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2B3CA2" w:rsidP="002B3CA2">
            <w:pPr>
              <w:jc w:val="right"/>
            </w:pPr>
            <w:r w:rsidRPr="002B3CA2">
              <w:rPr>
                <w:sz w:val="40"/>
              </w:rPr>
              <w:t>ECE</w:t>
            </w:r>
            <w:r>
              <w:t>/TRANS/WP.15/AC.1/2020/14</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2B3CA2" w:rsidP="002B3CA2">
            <w:pPr>
              <w:spacing w:before="240" w:line="240" w:lineRule="exact"/>
            </w:pPr>
            <w:r>
              <w:t>Distr.: General</w:t>
            </w:r>
          </w:p>
          <w:p w:rsidR="002B3CA2" w:rsidRDefault="00D222B8" w:rsidP="002B3CA2">
            <w:pPr>
              <w:spacing w:line="240" w:lineRule="exact"/>
            </w:pPr>
            <w:r>
              <w:t>27</w:t>
            </w:r>
            <w:bookmarkStart w:id="0" w:name="_GoBack"/>
            <w:bookmarkEnd w:id="0"/>
            <w:r w:rsidR="002B3CA2">
              <w:t xml:space="preserve"> December 2019</w:t>
            </w:r>
          </w:p>
          <w:p w:rsidR="002B3CA2" w:rsidRDefault="002B3CA2" w:rsidP="002B3CA2">
            <w:pPr>
              <w:spacing w:line="240" w:lineRule="exact"/>
            </w:pPr>
          </w:p>
          <w:p w:rsidR="002B3CA2" w:rsidRDefault="002B3CA2" w:rsidP="002B3CA2">
            <w:pPr>
              <w:spacing w:line="240" w:lineRule="exact"/>
            </w:pPr>
            <w:r>
              <w:t>Original: English</w:t>
            </w:r>
          </w:p>
        </w:tc>
      </w:tr>
    </w:tbl>
    <w:p w:rsidR="00DC14B9" w:rsidRDefault="00DC14B9" w:rsidP="00DC14B9">
      <w:pPr>
        <w:spacing w:before="120"/>
        <w:rPr>
          <w:b/>
          <w:sz w:val="28"/>
          <w:szCs w:val="28"/>
        </w:rPr>
      </w:pPr>
      <w:r>
        <w:rPr>
          <w:b/>
          <w:sz w:val="28"/>
          <w:szCs w:val="28"/>
        </w:rPr>
        <w:t>Economic Commission for Europe</w:t>
      </w:r>
    </w:p>
    <w:p w:rsidR="00DC14B9" w:rsidRDefault="00DC14B9" w:rsidP="00DC14B9">
      <w:pPr>
        <w:spacing w:before="120"/>
        <w:rPr>
          <w:sz w:val="28"/>
          <w:szCs w:val="28"/>
        </w:rPr>
      </w:pPr>
      <w:r>
        <w:rPr>
          <w:sz w:val="28"/>
          <w:szCs w:val="28"/>
        </w:rPr>
        <w:t>Inland Transport Committee</w:t>
      </w:r>
    </w:p>
    <w:p w:rsidR="00DC14B9" w:rsidRDefault="00DC14B9" w:rsidP="00DC14B9">
      <w:pPr>
        <w:spacing w:before="120" w:after="120"/>
        <w:rPr>
          <w:b/>
          <w:sz w:val="24"/>
          <w:szCs w:val="24"/>
        </w:rPr>
      </w:pPr>
      <w:r>
        <w:rPr>
          <w:b/>
          <w:sz w:val="24"/>
          <w:szCs w:val="24"/>
        </w:rPr>
        <w:t>Working Party on the Transport of Dangerous Goods</w:t>
      </w:r>
    </w:p>
    <w:p w:rsidR="00DC14B9" w:rsidRDefault="00DC14B9" w:rsidP="00DC14B9">
      <w:pPr>
        <w:rPr>
          <w:b/>
          <w:bCs/>
        </w:rPr>
      </w:pPr>
      <w:r>
        <w:rPr>
          <w:b/>
          <w:bCs/>
        </w:rPr>
        <w:t>Joint Meeting of the RID Committee of Experts and the</w:t>
      </w:r>
      <w:r>
        <w:rPr>
          <w:b/>
          <w:bCs/>
        </w:rPr>
        <w:br/>
        <w:t>Working Party on the Transport of Dangerous Goods</w:t>
      </w:r>
    </w:p>
    <w:p w:rsidR="00DC14B9" w:rsidRDefault="00DC14B9" w:rsidP="00DC14B9">
      <w:r>
        <w:t>Bern, 16–20 March 2020</w:t>
      </w:r>
    </w:p>
    <w:p w:rsidR="00DC14B9" w:rsidRDefault="00DC14B9" w:rsidP="00DC14B9">
      <w:r>
        <w:t>Item 5 (b) of the provisional agenda</w:t>
      </w:r>
    </w:p>
    <w:p w:rsidR="00DC14B9" w:rsidRDefault="00DC14B9" w:rsidP="00DC14B9">
      <w:pPr>
        <w:rPr>
          <w:b/>
          <w:bCs/>
        </w:rPr>
      </w:pPr>
      <w:r>
        <w:rPr>
          <w:b/>
          <w:bCs/>
        </w:rPr>
        <w:t>Proposals for amendments to RID/ADR/ADN</w:t>
      </w:r>
    </w:p>
    <w:p w:rsidR="00DC14B9" w:rsidRDefault="00DC14B9" w:rsidP="00DC14B9">
      <w:pPr>
        <w:rPr>
          <w:b/>
          <w:bCs/>
        </w:rPr>
      </w:pPr>
      <w:r>
        <w:rPr>
          <w:b/>
          <w:bCs/>
        </w:rPr>
        <w:t>new proposals</w:t>
      </w:r>
    </w:p>
    <w:p w:rsidR="00DC14B9" w:rsidRDefault="00DC14B9" w:rsidP="00DC14B9">
      <w:pPr>
        <w:pStyle w:val="HChG"/>
      </w:pPr>
      <w:r>
        <w:tab/>
      </w:r>
      <w:r>
        <w:tab/>
      </w:r>
      <w:r>
        <w:rPr>
          <w:lang w:val="en-US"/>
        </w:rPr>
        <w:t>Referencing the Inland TDG Risk Management Framework in RID/ADR/ADN</w:t>
      </w:r>
    </w:p>
    <w:p w:rsidR="00DC14B9" w:rsidRDefault="00DC14B9" w:rsidP="008E3AD9">
      <w:pPr>
        <w:spacing w:before="120" w:after="120"/>
        <w:rPr>
          <w:b/>
          <w:bCs/>
        </w:rPr>
      </w:pPr>
      <w:r>
        <w:rPr>
          <w:rStyle w:val="H1GChar"/>
        </w:rPr>
        <w:tab/>
      </w:r>
      <w:r>
        <w:rPr>
          <w:rStyle w:val="H1GChar"/>
        </w:rPr>
        <w:tab/>
      </w:r>
      <w:r w:rsidRPr="00DC14B9">
        <w:rPr>
          <w:rStyle w:val="H1GChar"/>
        </w:rPr>
        <w:t>Transmitted by the European Union Agency for Railways</w:t>
      </w:r>
      <w:r>
        <w:rPr>
          <w:rStyle w:val="H1GChar"/>
        </w:rPr>
        <w:t xml:space="preserve"> (ERA)</w:t>
      </w:r>
      <w:r>
        <w:rPr>
          <w:rStyle w:val="PlaceholderText"/>
        </w:rPr>
        <w:t xml:space="preserve"> </w:t>
      </w:r>
      <w:r w:rsidRPr="00DC14B9">
        <w:rPr>
          <w:rStyle w:val="FootnoteReference"/>
          <w:b/>
          <w:bCs/>
          <w:sz w:val="20"/>
        </w:rPr>
        <w:footnoteReference w:customMarkFollows="1" w:id="2"/>
        <w:t>*</w:t>
      </w:r>
      <w:r w:rsidRPr="00DC14B9">
        <w:rPr>
          <w:b/>
          <w:bCs/>
          <w:vertAlign w:val="superscript"/>
        </w:rPr>
        <w:t xml:space="preserve">, </w:t>
      </w:r>
      <w:r w:rsidRPr="00DC14B9">
        <w:rPr>
          <w:rStyle w:val="FootnoteReference"/>
          <w:b/>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DC14B9" w:rsidRPr="00835C1F" w:rsidTr="000D3E90">
        <w:trPr>
          <w:jc w:val="center"/>
        </w:trPr>
        <w:tc>
          <w:tcPr>
            <w:tcW w:w="9629" w:type="dxa"/>
            <w:tcBorders>
              <w:bottom w:val="nil"/>
            </w:tcBorders>
            <w:shd w:val="clear" w:color="auto" w:fill="auto"/>
          </w:tcPr>
          <w:p w:rsidR="00DC14B9" w:rsidRPr="00E62341" w:rsidRDefault="00DC14B9" w:rsidP="000D3E90">
            <w:pPr>
              <w:tabs>
                <w:tab w:val="left" w:pos="255"/>
              </w:tabs>
              <w:spacing w:before="120"/>
              <w:rPr>
                <w:rFonts w:eastAsia="Arial"/>
                <w:sz w:val="24"/>
              </w:rPr>
            </w:pPr>
            <w:r>
              <w:br w:type="page"/>
            </w:r>
          </w:p>
        </w:tc>
      </w:tr>
      <w:tr w:rsidR="00DC14B9" w:rsidRPr="00E62341" w:rsidTr="000D3E90">
        <w:trPr>
          <w:jc w:val="center"/>
        </w:trPr>
        <w:tc>
          <w:tcPr>
            <w:tcW w:w="9629" w:type="dxa"/>
            <w:tcBorders>
              <w:top w:val="nil"/>
              <w:bottom w:val="nil"/>
            </w:tcBorders>
            <w:shd w:val="clear" w:color="auto" w:fill="auto"/>
          </w:tcPr>
          <w:p w:rsidR="00DC14B9" w:rsidRPr="0025362A" w:rsidRDefault="00DC14B9" w:rsidP="000D3E90">
            <w:pPr>
              <w:pStyle w:val="SingleTxtG"/>
              <w:ind w:left="3402" w:hanging="2268"/>
              <w:rPr>
                <w:b/>
                <w:szCs w:val="22"/>
                <w:lang w:val="en-US"/>
              </w:rPr>
            </w:pPr>
            <w:r w:rsidRPr="00835C1F">
              <w:rPr>
                <w:b/>
                <w:szCs w:val="22"/>
              </w:rPr>
              <w:t>Executive</w:t>
            </w:r>
            <w:r w:rsidRPr="00E62341">
              <w:rPr>
                <w:b/>
                <w:szCs w:val="22"/>
              </w:rPr>
              <w:t xml:space="preserve"> summary</w:t>
            </w:r>
            <w:r w:rsidRPr="00E62341">
              <w:rPr>
                <w:szCs w:val="22"/>
              </w:rPr>
              <w:t>:</w:t>
            </w:r>
            <w:r w:rsidRPr="00E62341">
              <w:rPr>
                <w:szCs w:val="22"/>
              </w:rPr>
              <w:tab/>
            </w:r>
            <w:r w:rsidRPr="00CD58D5">
              <w:rPr>
                <w:szCs w:val="22"/>
                <w:lang w:val="en-US"/>
              </w:rPr>
              <w:t>T</w:t>
            </w:r>
            <w:r>
              <w:rPr>
                <w:szCs w:val="22"/>
                <w:lang w:val="en-US"/>
              </w:rPr>
              <w:t>he Joint Meeting delegates are invited to decide on the inclusion of a footnote reference to the guides of the Inland TDG Risk Management Framework in RID/ADR/ADN.</w:t>
            </w:r>
            <w:r w:rsidRPr="0025362A">
              <w:rPr>
                <w:szCs w:val="22"/>
                <w:lang w:val="en-US"/>
              </w:rPr>
              <w:t xml:space="preserve"> </w:t>
            </w:r>
          </w:p>
        </w:tc>
      </w:tr>
      <w:tr w:rsidR="00DC14B9" w:rsidRPr="00E62341" w:rsidTr="000D3E90">
        <w:trPr>
          <w:jc w:val="center"/>
        </w:trPr>
        <w:tc>
          <w:tcPr>
            <w:tcW w:w="9629" w:type="dxa"/>
            <w:tcBorders>
              <w:top w:val="nil"/>
            </w:tcBorders>
            <w:shd w:val="clear" w:color="auto" w:fill="auto"/>
          </w:tcPr>
          <w:p w:rsidR="00DC14B9" w:rsidRPr="00E62341" w:rsidRDefault="00DC14B9" w:rsidP="000D3E90">
            <w:pPr>
              <w:rPr>
                <w:rFonts w:eastAsia="Arial"/>
              </w:rPr>
            </w:pPr>
          </w:p>
        </w:tc>
      </w:tr>
    </w:tbl>
    <w:p w:rsidR="00DC14B9" w:rsidRPr="00E746D9" w:rsidRDefault="00DC14B9" w:rsidP="00DC14B9">
      <w:pPr>
        <w:pStyle w:val="HChG"/>
      </w:pPr>
      <w:r>
        <w:tab/>
      </w:r>
      <w:r>
        <w:tab/>
        <w:t>Background</w:t>
      </w:r>
    </w:p>
    <w:p w:rsidR="00DC14B9" w:rsidRDefault="00DC14B9" w:rsidP="00DC14B9">
      <w:pPr>
        <w:pStyle w:val="SingleTxtG"/>
        <w:rPr>
          <w:lang w:val="en-US"/>
        </w:rPr>
      </w:pPr>
      <w:r>
        <w:rPr>
          <w:lang w:val="en-US"/>
        </w:rPr>
        <w:t>1.</w:t>
      </w:r>
      <w:r>
        <w:rPr>
          <w:lang w:val="en-US"/>
        </w:rPr>
        <w:tab/>
        <w:t xml:space="preserve">At the autumn 2019 session the Joint Meeting delegates were informed of the publication of the Inland TDG Risk Management Framework which was welcomed by several delegations. </w:t>
      </w:r>
    </w:p>
    <w:p w:rsidR="00DC14B9" w:rsidRDefault="00DC14B9" w:rsidP="00DC14B9">
      <w:pPr>
        <w:pStyle w:val="SingleTxtG"/>
        <w:rPr>
          <w:lang w:val="en-US"/>
        </w:rPr>
      </w:pPr>
      <w:r>
        <w:rPr>
          <w:lang w:val="en-US"/>
        </w:rPr>
        <w:t>2.</w:t>
      </w:r>
      <w:r>
        <w:rPr>
          <w:lang w:val="en-US"/>
        </w:rPr>
        <w:tab/>
        <w:t xml:space="preserve">The Joint Meeting also welcomed the starting development of a collaborative IT platform (prototyping phase) to further assist the users of the guidelines (see para. X. A. 1 and 2 of </w:t>
      </w:r>
      <w:r w:rsidRPr="00356654">
        <w:rPr>
          <w:lang w:val="en-US"/>
        </w:rPr>
        <w:t>ECE</w:t>
      </w:r>
      <w:r w:rsidR="00A112A6">
        <w:rPr>
          <w:lang w:val="en-US"/>
        </w:rPr>
        <w:t>/</w:t>
      </w:r>
      <w:r w:rsidRPr="00356654">
        <w:rPr>
          <w:lang w:val="en-US"/>
        </w:rPr>
        <w:t>TRANS</w:t>
      </w:r>
      <w:r w:rsidR="00A112A6">
        <w:rPr>
          <w:lang w:val="en-US"/>
        </w:rPr>
        <w:t>/</w:t>
      </w:r>
      <w:r w:rsidRPr="00356654">
        <w:rPr>
          <w:lang w:val="en-US"/>
        </w:rPr>
        <w:t>WP</w:t>
      </w:r>
      <w:r w:rsidR="008E3AD9">
        <w:rPr>
          <w:lang w:val="en-US"/>
        </w:rPr>
        <w:t>.</w:t>
      </w:r>
      <w:r w:rsidRPr="00356654">
        <w:rPr>
          <w:lang w:val="en-US"/>
        </w:rPr>
        <w:t>15</w:t>
      </w:r>
      <w:r w:rsidR="00A112A6">
        <w:rPr>
          <w:lang w:val="en-US"/>
        </w:rPr>
        <w:t>/</w:t>
      </w:r>
      <w:r w:rsidRPr="00356654">
        <w:rPr>
          <w:lang w:val="en-US"/>
        </w:rPr>
        <w:t>AC</w:t>
      </w:r>
      <w:r w:rsidR="008E3AD9">
        <w:rPr>
          <w:lang w:val="en-US"/>
        </w:rPr>
        <w:t>.</w:t>
      </w:r>
      <w:r w:rsidRPr="00356654">
        <w:rPr>
          <w:lang w:val="en-US"/>
        </w:rPr>
        <w:t>1</w:t>
      </w:r>
      <w:r w:rsidR="00A112A6">
        <w:rPr>
          <w:lang w:val="en-US"/>
        </w:rPr>
        <w:t>/</w:t>
      </w:r>
      <w:r w:rsidRPr="00356654">
        <w:rPr>
          <w:lang w:val="en-US"/>
        </w:rPr>
        <w:t>156</w:t>
      </w:r>
      <w:r>
        <w:rPr>
          <w:lang w:val="en-US"/>
        </w:rPr>
        <w:t xml:space="preserve">). </w:t>
      </w:r>
    </w:p>
    <w:p w:rsidR="00DC14B9" w:rsidRPr="00E746D9" w:rsidRDefault="00DC14B9" w:rsidP="00DC14B9">
      <w:pPr>
        <w:pStyle w:val="HChG"/>
      </w:pPr>
      <w:r>
        <w:tab/>
      </w:r>
      <w:r>
        <w:tab/>
        <w:t>Introduction</w:t>
      </w:r>
    </w:p>
    <w:p w:rsidR="00DC14B9" w:rsidRDefault="00DC14B9" w:rsidP="00DC14B9">
      <w:pPr>
        <w:pStyle w:val="SingleTxtG"/>
        <w:rPr>
          <w:lang w:val="en-US"/>
        </w:rPr>
      </w:pPr>
      <w:r>
        <w:rPr>
          <w:lang w:val="en-US"/>
        </w:rPr>
        <w:t>3.</w:t>
      </w:r>
      <w:r>
        <w:rPr>
          <w:lang w:val="en-US"/>
        </w:rPr>
        <w:tab/>
        <w:t xml:space="preserve">The Inland TDG Risk Management Framework was developed with the collaboration of Joint Meeting delegates and with the administrative and technical support of the European Union Agency for Railways. </w:t>
      </w:r>
    </w:p>
    <w:p w:rsidR="00DC14B9" w:rsidRDefault="00DC14B9" w:rsidP="00DC14B9">
      <w:pPr>
        <w:pStyle w:val="SingleTxtG"/>
        <w:rPr>
          <w:lang w:val="en-US"/>
        </w:rPr>
      </w:pPr>
      <w:r>
        <w:rPr>
          <w:lang w:val="en-US"/>
        </w:rPr>
        <w:lastRenderedPageBreak/>
        <w:t>4.</w:t>
      </w:r>
      <w:r>
        <w:rPr>
          <w:lang w:val="en-US"/>
        </w:rPr>
        <w:tab/>
        <w:t>This framework is maintained and continuously improved by the Expert Users and Development Group, which also involves volunteer Joint Meeting delegates and experts. The functioning of this group is facilitated by the European Union Agency for Railways under the auspices of the European Commission.</w:t>
      </w:r>
    </w:p>
    <w:p w:rsidR="00DC14B9" w:rsidRDefault="00DC14B9" w:rsidP="00DC14B9">
      <w:pPr>
        <w:pStyle w:val="SingleTxtG"/>
        <w:rPr>
          <w:lang w:val="en-US"/>
        </w:rPr>
      </w:pPr>
      <w:r>
        <w:rPr>
          <w:lang w:val="en-US"/>
        </w:rPr>
        <w:t>5.</w:t>
      </w:r>
      <w:r>
        <w:rPr>
          <w:lang w:val="en-US"/>
        </w:rPr>
        <w:tab/>
        <w:t xml:space="preserve">The framework is a comprehensive </w:t>
      </w:r>
      <w:r w:rsidR="00A112A6">
        <w:rPr>
          <w:lang w:val="en-US"/>
        </w:rPr>
        <w:t>set</w:t>
      </w:r>
      <w:r>
        <w:rPr>
          <w:lang w:val="en-US"/>
        </w:rPr>
        <w:t xml:space="preserve"> of guides in the technical field of risk management for Inland Transport of Dangerous Goods and aims to be used for the three transport modes within the scope of RID/ADR/ADN.</w:t>
      </w:r>
    </w:p>
    <w:p w:rsidR="00DC14B9" w:rsidRDefault="00DC14B9" w:rsidP="00DC14B9">
      <w:pPr>
        <w:pStyle w:val="SingleTxtG"/>
        <w:rPr>
          <w:lang w:val="en-US"/>
        </w:rPr>
      </w:pPr>
      <w:r>
        <w:rPr>
          <w:lang w:val="en-US"/>
        </w:rPr>
        <w:t>6.</w:t>
      </w:r>
      <w:r>
        <w:rPr>
          <w:lang w:val="en-US"/>
        </w:rPr>
        <w:tab/>
        <w:t xml:space="preserve">It provides all the categories of potential users, including authorities, with a </w:t>
      </w:r>
      <w:proofErr w:type="spellStart"/>
      <w:r>
        <w:rPr>
          <w:lang w:val="en-US"/>
        </w:rPr>
        <w:t>harmonised</w:t>
      </w:r>
      <w:proofErr w:type="spellEnd"/>
      <w:r>
        <w:rPr>
          <w:lang w:val="en-US"/>
        </w:rPr>
        <w:t xml:space="preserve"> risk estimation method and with </w:t>
      </w:r>
      <w:proofErr w:type="spellStart"/>
      <w:r>
        <w:rPr>
          <w:lang w:val="en-US"/>
        </w:rPr>
        <w:t>harmonised</w:t>
      </w:r>
      <w:proofErr w:type="spellEnd"/>
      <w:r>
        <w:rPr>
          <w:lang w:val="en-US"/>
        </w:rPr>
        <w:t xml:space="preserve"> decision-making process and principles to be considered for the preparation of robust risk management decisions.</w:t>
      </w:r>
    </w:p>
    <w:p w:rsidR="00DC14B9" w:rsidRDefault="00DC14B9" w:rsidP="00DC14B9">
      <w:pPr>
        <w:pStyle w:val="SingleTxtG"/>
        <w:rPr>
          <w:lang w:val="en-US"/>
        </w:rPr>
      </w:pPr>
      <w:r>
        <w:rPr>
          <w:lang w:val="en-US"/>
        </w:rPr>
        <w:t>7.</w:t>
      </w:r>
      <w:r>
        <w:rPr>
          <w:lang w:val="en-US"/>
        </w:rPr>
        <w:tab/>
        <w:t xml:space="preserve">From July 2018 to October 2019, the European Union Agency for Railways organized, with the kind collaboration of volunteer countries (Luxembourg, Spain, Switzerland and Germany) public dissemination workshops presenting the framework methodology to more than 150 participants covering all the categories of targeted users and the inland modes of transport. The quality of the methodology described in the framework was confirmed by the participants. </w:t>
      </w:r>
    </w:p>
    <w:p w:rsidR="00DC14B9" w:rsidRDefault="00DC14B9" w:rsidP="00DC14B9">
      <w:pPr>
        <w:pStyle w:val="SingleTxtG"/>
        <w:rPr>
          <w:lang w:val="en-US"/>
        </w:rPr>
      </w:pPr>
      <w:r>
        <w:rPr>
          <w:lang w:val="en-US"/>
        </w:rPr>
        <w:t>8.</w:t>
      </w:r>
      <w:r>
        <w:rPr>
          <w:lang w:val="en-US"/>
        </w:rPr>
        <w:tab/>
        <w:t>To date, the framework webpages have been consulted by more than 1500 potential users.</w:t>
      </w:r>
    </w:p>
    <w:p w:rsidR="00DC14B9" w:rsidRDefault="00DC14B9" w:rsidP="00DC14B9">
      <w:pPr>
        <w:pStyle w:val="SingleTxtG"/>
        <w:rPr>
          <w:lang w:val="en-US"/>
        </w:rPr>
      </w:pPr>
      <w:r>
        <w:rPr>
          <w:lang w:val="en-US"/>
        </w:rPr>
        <w:t>9.</w:t>
      </w:r>
      <w:r>
        <w:rPr>
          <w:lang w:val="en-US"/>
        </w:rPr>
        <w:tab/>
        <w:t xml:space="preserve">In order to allow the full visibility of the framework and to provide up to date reference to users, it is suggested to introduce a reference to the framework in RID/ADR/ADN. </w:t>
      </w:r>
    </w:p>
    <w:p w:rsidR="00DC14B9" w:rsidRDefault="00DC14B9" w:rsidP="00DC14B9">
      <w:pPr>
        <w:pStyle w:val="SingleTxtG"/>
        <w:rPr>
          <w:lang w:val="en-US"/>
        </w:rPr>
      </w:pPr>
      <w:r>
        <w:rPr>
          <w:lang w:val="en-US"/>
        </w:rPr>
        <w:t>10.</w:t>
      </w:r>
      <w:r>
        <w:rPr>
          <w:lang w:val="en-US"/>
        </w:rPr>
        <w:tab/>
        <w:t>Two alternative proposals are</w:t>
      </w:r>
      <w:r w:rsidRPr="0099129F">
        <w:rPr>
          <w:lang w:val="en-US"/>
        </w:rPr>
        <w:t xml:space="preserve"> </w:t>
      </w:r>
      <w:r>
        <w:rPr>
          <w:lang w:val="en-US"/>
        </w:rPr>
        <w:t>described hereinafter.</w:t>
      </w:r>
    </w:p>
    <w:p w:rsidR="00DC14B9" w:rsidRPr="003F6C7A" w:rsidRDefault="00DC14B9" w:rsidP="00DC14B9">
      <w:pPr>
        <w:pStyle w:val="HChG"/>
        <w:ind w:left="1132" w:firstLine="0"/>
        <w:rPr>
          <w:lang w:val="en-US"/>
        </w:rPr>
      </w:pPr>
      <w:r w:rsidRPr="00216624">
        <w:rPr>
          <w:lang w:val="en-US"/>
        </w:rPr>
        <w:t>Proposal</w:t>
      </w:r>
      <w:r>
        <w:rPr>
          <w:lang w:val="en-US"/>
        </w:rPr>
        <w:t xml:space="preserve"> 1</w:t>
      </w:r>
    </w:p>
    <w:p w:rsidR="00DC14B9" w:rsidRDefault="00DC14B9" w:rsidP="00DC14B9">
      <w:pPr>
        <w:pStyle w:val="SingleTxtG"/>
        <w:spacing w:before="120"/>
        <w:rPr>
          <w:lang w:val="en-US"/>
        </w:rPr>
      </w:pPr>
      <w:r>
        <w:rPr>
          <w:lang w:val="en-US"/>
        </w:rPr>
        <w:t>[RID]</w:t>
      </w:r>
    </w:p>
    <w:p w:rsidR="00DC14B9" w:rsidRDefault="00DC14B9" w:rsidP="00DC14B9">
      <w:pPr>
        <w:pStyle w:val="SingleTxtG"/>
        <w:spacing w:before="120"/>
        <w:rPr>
          <w:lang w:val="en-US"/>
        </w:rPr>
      </w:pPr>
      <w:r>
        <w:rPr>
          <w:lang w:val="en-US"/>
        </w:rPr>
        <w:t xml:space="preserve">In section 1.9.3 of Chapter 1.9, after footnote 20 </w:t>
      </w:r>
      <w:r w:rsidRPr="00C31F4F">
        <w:rPr>
          <w:u w:val="single"/>
          <w:lang w:val="en-US"/>
        </w:rPr>
        <w:t>add</w:t>
      </w:r>
      <w:r>
        <w:rPr>
          <w:lang w:val="en-US"/>
        </w:rPr>
        <w:t xml:space="preserve"> a footnote 21 </w:t>
      </w:r>
      <w:r w:rsidR="00A112A6">
        <w:rPr>
          <w:lang w:val="en-US"/>
        </w:rPr>
        <w:t>to</w:t>
      </w:r>
      <w:r>
        <w:rPr>
          <w:lang w:val="en-US"/>
        </w:rPr>
        <w:t xml:space="preserve"> read: </w:t>
      </w:r>
    </w:p>
    <w:p w:rsidR="00DC14B9" w:rsidRDefault="00DC14B9" w:rsidP="00DC14B9">
      <w:pPr>
        <w:pStyle w:val="SingleTxtG"/>
        <w:spacing w:before="120"/>
        <w:rPr>
          <w:lang w:val="en-US"/>
        </w:rPr>
      </w:pPr>
      <w:r>
        <w:rPr>
          <w:lang w:val="en-US"/>
        </w:rPr>
        <w:t>“</w:t>
      </w:r>
      <w:r>
        <w:rPr>
          <w:vertAlign w:val="superscript"/>
          <w:lang w:val="en-US"/>
        </w:rPr>
        <w:t>21</w:t>
      </w:r>
      <w:r w:rsidR="00A112A6">
        <w:rPr>
          <w:vertAlign w:val="superscript"/>
          <w:lang w:val="en-US"/>
        </w:rPr>
        <w:tab/>
      </w:r>
      <w:r>
        <w:rPr>
          <w:lang w:val="en-US"/>
        </w:rPr>
        <w:t>The Inland TDG Risk Management Framework may be consulted on the website of the Directorate General for Mobility and Transport of the European Commission (</w:t>
      </w:r>
      <w:hyperlink r:id="rId9" w:history="1">
        <w:r w:rsidRPr="00DA0B79">
          <w:rPr>
            <w:rStyle w:val="Hyperlink"/>
            <w:lang w:val="en-US"/>
          </w:rPr>
          <w:t>https://ec.europa.eu/transport/themes/dangerous_good/risk_management_framework_en</w:t>
        </w:r>
        <w:r w:rsidRPr="007E6F91">
          <w:rPr>
            <w:rStyle w:val="Hyperlink"/>
            <w:lang w:val="en-US"/>
          </w:rPr>
          <w:t>)</w:t>
        </w:r>
      </w:hyperlink>
      <w:r>
        <w:rPr>
          <w:lang w:val="en-US"/>
        </w:rPr>
        <w:t xml:space="preserve">. or directly on the European Union for Railway </w:t>
      </w:r>
      <w:proofErr w:type="spellStart"/>
      <w:r>
        <w:rPr>
          <w:lang w:val="en-US"/>
        </w:rPr>
        <w:t>Agengy</w:t>
      </w:r>
      <w:proofErr w:type="spellEnd"/>
      <w:r>
        <w:rPr>
          <w:lang w:val="en-US"/>
        </w:rPr>
        <w:t xml:space="preserve"> website (</w:t>
      </w:r>
      <w:hyperlink r:id="rId10" w:history="1">
        <w:r w:rsidRPr="00DF12CE">
          <w:rPr>
            <w:rStyle w:val="Hyperlink"/>
            <w:lang w:val="en-US"/>
          </w:rPr>
          <w:t>https://www.era.europa.eu/activities/transport-dangerous-goods/inland-tdg_en</w:t>
        </w:r>
      </w:hyperlink>
      <w:r>
        <w:rPr>
          <w:lang w:val="en-US"/>
        </w:rPr>
        <w:t>)”</w:t>
      </w:r>
    </w:p>
    <w:p w:rsidR="00DC14B9" w:rsidRDefault="00DC14B9" w:rsidP="00DC14B9">
      <w:pPr>
        <w:pStyle w:val="SingleTxtG"/>
        <w:spacing w:before="120"/>
        <w:rPr>
          <w:lang w:val="en-US"/>
        </w:rPr>
      </w:pPr>
      <w:r>
        <w:rPr>
          <w:lang w:val="en-US"/>
        </w:rPr>
        <w:t>[ADR]</w:t>
      </w:r>
    </w:p>
    <w:p w:rsidR="00DC14B9" w:rsidRDefault="00DC14B9" w:rsidP="00DC14B9">
      <w:pPr>
        <w:pStyle w:val="SingleTxtG"/>
        <w:spacing w:before="120"/>
        <w:rPr>
          <w:lang w:val="en-US"/>
        </w:rPr>
      </w:pPr>
      <w:r>
        <w:rPr>
          <w:lang w:val="en-US"/>
        </w:rPr>
        <w:t>In section 1.9.4 of Chapter 1.9</w:t>
      </w:r>
      <w:r w:rsidR="00A112A6">
        <w:rPr>
          <w:lang w:val="en-US"/>
        </w:rPr>
        <w:t>,</w:t>
      </w:r>
      <w:r>
        <w:rPr>
          <w:lang w:val="en-US"/>
        </w:rPr>
        <w:t xml:space="preserve"> after footnote 1, </w:t>
      </w:r>
      <w:r w:rsidRPr="00C31F4F">
        <w:rPr>
          <w:u w:val="single"/>
          <w:lang w:val="en-US"/>
        </w:rPr>
        <w:t>add</w:t>
      </w:r>
      <w:r>
        <w:rPr>
          <w:lang w:val="en-US"/>
        </w:rPr>
        <w:t xml:space="preserve"> a footnote 2 </w:t>
      </w:r>
      <w:r w:rsidR="00A112A6">
        <w:rPr>
          <w:lang w:val="en-US"/>
        </w:rPr>
        <w:t>to</w:t>
      </w:r>
      <w:r>
        <w:rPr>
          <w:lang w:val="en-US"/>
        </w:rPr>
        <w:t xml:space="preserve"> read: </w:t>
      </w:r>
    </w:p>
    <w:p w:rsidR="00DC14B9" w:rsidRDefault="00DC14B9" w:rsidP="00DC14B9">
      <w:pPr>
        <w:pStyle w:val="SingleTxtG"/>
        <w:spacing w:before="120"/>
        <w:rPr>
          <w:lang w:val="en-US"/>
        </w:rPr>
      </w:pPr>
      <w:r>
        <w:rPr>
          <w:lang w:val="en-US"/>
        </w:rPr>
        <w:t>“</w:t>
      </w:r>
      <w:r>
        <w:rPr>
          <w:vertAlign w:val="superscript"/>
          <w:lang w:val="en-US"/>
        </w:rPr>
        <w:t>2</w:t>
      </w:r>
      <w:r w:rsidR="00A112A6">
        <w:rPr>
          <w:vertAlign w:val="superscript"/>
          <w:lang w:val="en-US"/>
        </w:rPr>
        <w:tab/>
      </w:r>
      <w:r>
        <w:rPr>
          <w:lang w:val="en-US"/>
        </w:rPr>
        <w:t>The Inland TDG Risk Management Framework may be consulted on the website of the Directorate General for Mobility and Transport of the European Commission (</w:t>
      </w:r>
      <w:hyperlink r:id="rId11" w:history="1">
        <w:r w:rsidRPr="00DA0B79">
          <w:rPr>
            <w:rStyle w:val="Hyperlink"/>
            <w:lang w:val="en-US"/>
          </w:rPr>
          <w:t>https://ec.europa.eu/transport/themes/dangerous_good/risk_management_framework_en</w:t>
        </w:r>
        <w:r w:rsidRPr="007E6F91">
          <w:rPr>
            <w:rStyle w:val="Hyperlink"/>
            <w:lang w:val="en-US"/>
          </w:rPr>
          <w:t>)</w:t>
        </w:r>
      </w:hyperlink>
      <w:r>
        <w:rPr>
          <w:lang w:val="en-US"/>
        </w:rPr>
        <w:t>.”</w:t>
      </w:r>
    </w:p>
    <w:p w:rsidR="00DC14B9" w:rsidRDefault="00DC14B9" w:rsidP="00DC14B9">
      <w:pPr>
        <w:pStyle w:val="SingleTxtG"/>
        <w:spacing w:before="120"/>
        <w:rPr>
          <w:lang w:val="en-US"/>
        </w:rPr>
      </w:pPr>
      <w:r>
        <w:rPr>
          <w:lang w:val="en-US"/>
        </w:rPr>
        <w:t>[ADN]</w:t>
      </w:r>
    </w:p>
    <w:p w:rsidR="00DC14B9" w:rsidRDefault="00DC14B9" w:rsidP="00DC14B9">
      <w:pPr>
        <w:pStyle w:val="SingleTxtG"/>
        <w:spacing w:before="120"/>
        <w:rPr>
          <w:lang w:val="en-US"/>
        </w:rPr>
      </w:pPr>
      <w:r>
        <w:rPr>
          <w:lang w:val="en-US"/>
        </w:rPr>
        <w:t>At the end of section 1.9.4 of Chapter 1.9</w:t>
      </w:r>
      <w:r w:rsidR="00A112A6">
        <w:rPr>
          <w:lang w:val="en-US"/>
        </w:rPr>
        <w:t>.</w:t>
      </w:r>
      <w:r>
        <w:rPr>
          <w:lang w:val="en-US"/>
        </w:rPr>
        <w:t xml:space="preserve"> </w:t>
      </w:r>
      <w:r w:rsidRPr="00C31F4F">
        <w:rPr>
          <w:u w:val="single"/>
          <w:lang w:val="en-US"/>
        </w:rPr>
        <w:t>add</w:t>
      </w:r>
      <w:r>
        <w:rPr>
          <w:lang w:val="en-US"/>
        </w:rPr>
        <w:t xml:space="preserve"> a footnote </w:t>
      </w:r>
      <w:r w:rsidR="00A112A6">
        <w:rPr>
          <w:lang w:val="en-US"/>
        </w:rPr>
        <w:t>1 to</w:t>
      </w:r>
      <w:r>
        <w:rPr>
          <w:lang w:val="en-US"/>
        </w:rPr>
        <w:t xml:space="preserve"> read: </w:t>
      </w:r>
    </w:p>
    <w:p w:rsidR="00DC14B9" w:rsidRDefault="00DC14B9" w:rsidP="00DC14B9">
      <w:pPr>
        <w:pStyle w:val="SingleTxtG"/>
        <w:spacing w:before="120"/>
        <w:rPr>
          <w:lang w:val="en-US"/>
        </w:rPr>
      </w:pPr>
      <w:r>
        <w:rPr>
          <w:lang w:val="en-US"/>
        </w:rPr>
        <w:t>“</w:t>
      </w:r>
      <w:r>
        <w:rPr>
          <w:vertAlign w:val="superscript"/>
          <w:lang w:val="en-US"/>
        </w:rPr>
        <w:t>1</w:t>
      </w:r>
      <w:r w:rsidR="00A112A6">
        <w:rPr>
          <w:vertAlign w:val="superscript"/>
          <w:lang w:val="en-US"/>
        </w:rPr>
        <w:tab/>
      </w:r>
      <w:r>
        <w:rPr>
          <w:lang w:val="en-US"/>
        </w:rPr>
        <w:t>The Inland TDG Risk Management Framework may be consulted on the website of the Directorate General for Mobility and Transport of the European Commission (</w:t>
      </w:r>
      <w:hyperlink r:id="rId12" w:history="1">
        <w:r w:rsidRPr="0003031E">
          <w:rPr>
            <w:rStyle w:val="Hyperlink"/>
            <w:lang w:val="en-US"/>
          </w:rPr>
          <w:t>https://ec.europa.eu/transport/themes/dangerous_good/risk_management_framework_en</w:t>
        </w:r>
      </w:hyperlink>
      <w:r>
        <w:rPr>
          <w:lang w:val="en-US"/>
        </w:rPr>
        <w:t>).”</w:t>
      </w:r>
    </w:p>
    <w:p w:rsidR="00DC14B9" w:rsidRPr="003F6C7A" w:rsidRDefault="00DC14B9" w:rsidP="00DC14B9">
      <w:pPr>
        <w:pStyle w:val="HChG"/>
        <w:rPr>
          <w:lang w:val="en-US"/>
        </w:rPr>
      </w:pPr>
      <w:r>
        <w:rPr>
          <w:lang w:val="en-US"/>
        </w:rPr>
        <w:tab/>
      </w:r>
      <w:r>
        <w:rPr>
          <w:lang w:val="en-US"/>
        </w:rPr>
        <w:tab/>
      </w:r>
      <w:r w:rsidRPr="00216624">
        <w:rPr>
          <w:lang w:val="en-US"/>
        </w:rPr>
        <w:t>Proposal</w:t>
      </w:r>
      <w:r>
        <w:rPr>
          <w:lang w:val="en-US"/>
        </w:rPr>
        <w:t xml:space="preserve"> 2</w:t>
      </w:r>
    </w:p>
    <w:p w:rsidR="00DC14B9" w:rsidRDefault="00A112A6" w:rsidP="00DC14B9">
      <w:pPr>
        <w:pStyle w:val="SingleTxtG"/>
        <w:rPr>
          <w:highlight w:val="yellow"/>
          <w:lang w:val="en-US"/>
        </w:rPr>
      </w:pPr>
      <w:r>
        <w:rPr>
          <w:lang w:val="en-US"/>
        </w:rPr>
        <w:t>Replace</w:t>
      </w:r>
      <w:r w:rsidR="00DC14B9">
        <w:rPr>
          <w:lang w:val="en-US"/>
        </w:rPr>
        <w:t xml:space="preserve"> the text of the existing footnote 20 in 1.9.3 RID and footnote 1 in 1.9.4 ADR</w:t>
      </w:r>
      <w:r w:rsidR="00DC14B9" w:rsidRPr="00CD4A78" w:rsidDel="006A1E52">
        <w:rPr>
          <w:lang w:val="en-US"/>
        </w:rPr>
        <w:t xml:space="preserve"> </w:t>
      </w:r>
      <w:r w:rsidR="00DC14B9" w:rsidRPr="00CD4A78">
        <w:rPr>
          <w:lang w:val="en-US"/>
        </w:rPr>
        <w:t>with the texts proposed</w:t>
      </w:r>
      <w:r w:rsidR="00DC14B9">
        <w:rPr>
          <w:lang w:val="en-US"/>
        </w:rPr>
        <w:t xml:space="preserve"> above</w:t>
      </w:r>
      <w:r w:rsidR="00DC14B9" w:rsidRPr="00CD4A78">
        <w:rPr>
          <w:lang w:val="en-US"/>
        </w:rPr>
        <w:t>.</w:t>
      </w:r>
    </w:p>
    <w:p w:rsidR="00DC14B9" w:rsidRDefault="00DC14B9" w:rsidP="00DC14B9">
      <w:pPr>
        <w:pStyle w:val="SingleTxtG"/>
        <w:rPr>
          <w:lang w:val="en-US"/>
        </w:rPr>
      </w:pPr>
      <w:r>
        <w:rPr>
          <w:lang w:val="en-US"/>
        </w:rPr>
        <w:t>For ADN, the text proposed above should be adopted without further amendments.</w:t>
      </w:r>
    </w:p>
    <w:p w:rsidR="00DC14B9" w:rsidRDefault="00DC14B9" w:rsidP="00DC14B9">
      <w:pPr>
        <w:pStyle w:val="SingleTxtG"/>
        <w:rPr>
          <w:lang w:val="en-US"/>
        </w:rPr>
      </w:pPr>
      <w:r w:rsidRPr="00CD4A78">
        <w:rPr>
          <w:lang w:val="en-US"/>
        </w:rPr>
        <w:t>Consequential amendments</w:t>
      </w:r>
      <w:r>
        <w:rPr>
          <w:lang w:val="en-US"/>
        </w:rPr>
        <w:t>: Provide the links to the new guidelines on OTIF and UNECE websites.</w:t>
      </w:r>
    </w:p>
    <w:p w:rsidR="00DC14B9" w:rsidRPr="003F6C7A" w:rsidRDefault="00DC14B9" w:rsidP="00DC14B9">
      <w:pPr>
        <w:pStyle w:val="HChG"/>
        <w:rPr>
          <w:lang w:val="en-US"/>
        </w:rPr>
      </w:pPr>
      <w:r>
        <w:lastRenderedPageBreak/>
        <w:tab/>
      </w:r>
      <w:r>
        <w:tab/>
      </w:r>
      <w:r w:rsidRPr="00216624">
        <w:rPr>
          <w:lang w:val="en-US"/>
        </w:rPr>
        <w:t>Justification</w:t>
      </w:r>
      <w:r>
        <w:rPr>
          <w:lang w:val="en-US"/>
        </w:rPr>
        <w:t>s</w:t>
      </w:r>
    </w:p>
    <w:p w:rsidR="00DC14B9" w:rsidRDefault="00DC14B9" w:rsidP="00DC14B9">
      <w:pPr>
        <w:pStyle w:val="SingleTxtG"/>
        <w:spacing w:before="120"/>
        <w:rPr>
          <w:lang w:val="en-US"/>
        </w:rPr>
      </w:pPr>
      <w:r w:rsidRPr="00CD58D5">
        <w:rPr>
          <w:u w:val="single"/>
          <w:lang w:val="en-US"/>
        </w:rPr>
        <w:t>Proposal 1</w:t>
      </w:r>
      <w:r>
        <w:rPr>
          <w:lang w:val="en-US"/>
        </w:rPr>
        <w:t xml:space="preserve">: </w:t>
      </w:r>
      <w:r>
        <w:rPr>
          <w:lang w:val="en-US"/>
        </w:rPr>
        <w:tab/>
      </w:r>
    </w:p>
    <w:p w:rsidR="00DC14B9" w:rsidRDefault="00DC14B9" w:rsidP="00DC14B9">
      <w:pPr>
        <w:pStyle w:val="SingleTxtG"/>
        <w:spacing w:before="120"/>
        <w:rPr>
          <w:lang w:val="en-US"/>
        </w:rPr>
      </w:pPr>
      <w:r>
        <w:rPr>
          <w:lang w:val="en-US"/>
        </w:rPr>
        <w:t xml:space="preserve">The proposal does not have negative impacts as the framework is compatible with the current legislation and practices, as confirmed during the dissemination workshops and EUDG meetings. Its implementation is voluntary for any category of user. </w:t>
      </w:r>
    </w:p>
    <w:p w:rsidR="00DC14B9" w:rsidRDefault="00DC14B9" w:rsidP="00DC14B9">
      <w:pPr>
        <w:pStyle w:val="SingleTxtG"/>
        <w:spacing w:before="120"/>
        <w:rPr>
          <w:lang w:val="en-US"/>
        </w:rPr>
      </w:pPr>
      <w:r>
        <w:rPr>
          <w:lang w:val="en-US"/>
        </w:rPr>
        <w:t xml:space="preserve">It provides a </w:t>
      </w:r>
      <w:proofErr w:type="spellStart"/>
      <w:r>
        <w:rPr>
          <w:lang w:val="en-US"/>
        </w:rPr>
        <w:t>harmonised</w:t>
      </w:r>
      <w:proofErr w:type="spellEnd"/>
      <w:r>
        <w:rPr>
          <w:lang w:val="en-US"/>
        </w:rPr>
        <w:t xml:space="preserve"> and comprehensive methodology to new potential users who would like to start using risk management techniques.</w:t>
      </w:r>
    </w:p>
    <w:p w:rsidR="00DC14B9" w:rsidRDefault="00DC14B9" w:rsidP="00DC14B9">
      <w:pPr>
        <w:pStyle w:val="SingleTxtG"/>
        <w:spacing w:before="120"/>
        <w:rPr>
          <w:lang w:val="en-US"/>
        </w:rPr>
      </w:pPr>
      <w:r w:rsidRPr="00CD58D5">
        <w:rPr>
          <w:u w:val="single"/>
          <w:lang w:val="en-US"/>
        </w:rPr>
        <w:t>Proposal 2</w:t>
      </w:r>
      <w:r>
        <w:rPr>
          <w:lang w:val="en-US"/>
        </w:rPr>
        <w:t xml:space="preserve">: </w:t>
      </w:r>
    </w:p>
    <w:p w:rsidR="00DC14B9" w:rsidRDefault="00DC14B9" w:rsidP="00DC14B9">
      <w:pPr>
        <w:pStyle w:val="SingleTxtG"/>
        <w:spacing w:before="120"/>
        <w:rPr>
          <w:lang w:val="en-US"/>
        </w:rPr>
      </w:pPr>
      <w:r>
        <w:rPr>
          <w:lang w:val="en-US"/>
        </w:rPr>
        <w:t xml:space="preserve">The proposal to replace the existing references to the </w:t>
      </w:r>
      <w:r w:rsidR="00A112A6">
        <w:rPr>
          <w:lang w:val="en-US"/>
        </w:rPr>
        <w:t>g</w:t>
      </w:r>
      <w:r>
        <w:rPr>
          <w:lang w:val="en-US"/>
        </w:rPr>
        <w:t xml:space="preserve">eneric </w:t>
      </w:r>
      <w:r w:rsidR="00A112A6">
        <w:rPr>
          <w:lang w:val="en-US"/>
        </w:rPr>
        <w:t>g</w:t>
      </w:r>
      <w:r>
        <w:rPr>
          <w:lang w:val="en-US"/>
        </w:rPr>
        <w:t xml:space="preserve">uidelines </w:t>
      </w:r>
      <w:proofErr w:type="gramStart"/>
      <w:r>
        <w:rPr>
          <w:lang w:val="en-US"/>
        </w:rPr>
        <w:t>currently  referred</w:t>
      </w:r>
      <w:proofErr w:type="gramEnd"/>
      <w:r>
        <w:rPr>
          <w:lang w:val="en-US"/>
        </w:rPr>
        <w:t xml:space="preserve"> to in the footnotes of Chapter 1.9 (RID 2019 /ADR 2019) is due to the fact that the information contained therein is superseded by the newly established framework which describes more in depth the </w:t>
      </w:r>
      <w:r w:rsidR="00A112A6">
        <w:rPr>
          <w:lang w:val="en-US"/>
        </w:rPr>
        <w:t>r</w:t>
      </w:r>
      <w:r>
        <w:rPr>
          <w:lang w:val="en-US"/>
        </w:rPr>
        <w:t xml:space="preserve">isk </w:t>
      </w:r>
      <w:r w:rsidR="00A112A6">
        <w:rPr>
          <w:lang w:val="en-US"/>
        </w:rPr>
        <w:t>m</w:t>
      </w:r>
      <w:r>
        <w:rPr>
          <w:lang w:val="en-US"/>
        </w:rPr>
        <w:t xml:space="preserve">anagement techniques. The previous </w:t>
      </w:r>
      <w:r w:rsidR="00A112A6">
        <w:rPr>
          <w:lang w:val="en-US"/>
        </w:rPr>
        <w:t>g</w:t>
      </w:r>
      <w:r>
        <w:rPr>
          <w:lang w:val="en-US"/>
        </w:rPr>
        <w:t>uidelines are less instructive for the users</w:t>
      </w:r>
      <w:r w:rsidRPr="0018242E">
        <w:rPr>
          <w:lang w:val="en-US"/>
        </w:rPr>
        <w:t xml:space="preserve"> </w:t>
      </w:r>
      <w:r>
        <w:rPr>
          <w:lang w:val="en-US"/>
        </w:rPr>
        <w:t xml:space="preserve">than the newly established </w:t>
      </w:r>
      <w:proofErr w:type="gramStart"/>
      <w:r>
        <w:rPr>
          <w:lang w:val="en-US"/>
        </w:rPr>
        <w:t>framework, and</w:t>
      </w:r>
      <w:proofErr w:type="gramEnd"/>
      <w:r>
        <w:rPr>
          <w:lang w:val="en-US"/>
        </w:rPr>
        <w:t xml:space="preserve"> have not been maintained since their first publication (i.e. May and October 2008), thus may contain outdated elements. </w:t>
      </w:r>
    </w:p>
    <w:p w:rsidR="00DC14B9" w:rsidRDefault="00DC14B9" w:rsidP="00DC14B9">
      <w:pPr>
        <w:pStyle w:val="SingleTxtG"/>
        <w:spacing w:before="120"/>
        <w:rPr>
          <w:lang w:val="en-US"/>
        </w:rPr>
      </w:pPr>
      <w:r>
        <w:rPr>
          <w:lang w:val="en-US"/>
        </w:rPr>
        <w:t>This approach would simplify the approach for the implementation of Chapter 1.9 in the three modes with only one multimodal methodology to be considered by the potential users.</w:t>
      </w:r>
    </w:p>
    <w:p w:rsidR="00DC14B9" w:rsidRDefault="00DC14B9" w:rsidP="00DC14B9">
      <w:pPr>
        <w:pStyle w:val="HChG"/>
        <w:rPr>
          <w:lang w:val="en-US"/>
        </w:rPr>
      </w:pPr>
      <w:r>
        <w:rPr>
          <w:lang w:val="en-US"/>
        </w:rPr>
        <w:tab/>
      </w:r>
      <w:r>
        <w:rPr>
          <w:lang w:val="en-US"/>
        </w:rPr>
        <w:tab/>
      </w:r>
      <w:r w:rsidRPr="00DA0B79">
        <w:rPr>
          <w:lang w:val="en-US"/>
        </w:rPr>
        <w:t xml:space="preserve">Direct links to the </w:t>
      </w:r>
      <w:r>
        <w:rPr>
          <w:lang w:val="en-US"/>
        </w:rPr>
        <w:t>framework guides</w:t>
      </w:r>
    </w:p>
    <w:p w:rsidR="00DC14B9" w:rsidRPr="00DC14B9" w:rsidRDefault="00D222B8" w:rsidP="00DC14B9">
      <w:pPr>
        <w:pStyle w:val="SingleTxtG"/>
        <w:rPr>
          <w:rFonts w:asciiTheme="majorBidi" w:hAnsiTheme="majorBidi" w:cstheme="majorBidi"/>
          <w:lang w:val="en"/>
        </w:rPr>
      </w:pPr>
      <w:hyperlink r:id="rId13" w:history="1">
        <w:r w:rsidR="00DC14B9" w:rsidRPr="00DC14B9">
          <w:rPr>
            <w:rStyle w:val="Hyperlink"/>
            <w:rFonts w:asciiTheme="majorBidi" w:hAnsiTheme="majorBidi" w:cstheme="majorBidi"/>
            <w:lang w:val="en"/>
          </w:rPr>
          <w:t>Framework guide (overview)</w:t>
        </w:r>
      </w:hyperlink>
      <w:r w:rsidR="00DC14B9" w:rsidRPr="00DC14B9">
        <w:rPr>
          <w:rFonts w:asciiTheme="majorBidi" w:hAnsiTheme="majorBidi" w:cstheme="majorBidi"/>
          <w:lang w:val="en"/>
        </w:rPr>
        <w:t xml:space="preserve"> </w:t>
      </w:r>
    </w:p>
    <w:p w:rsidR="00DC14B9" w:rsidRPr="00DC14B9" w:rsidRDefault="00D222B8" w:rsidP="00DC14B9">
      <w:pPr>
        <w:pStyle w:val="SingleTxtG"/>
        <w:rPr>
          <w:rStyle w:val="Hyperlink"/>
          <w:rFonts w:asciiTheme="majorBidi" w:hAnsiTheme="majorBidi" w:cstheme="majorBidi"/>
        </w:rPr>
      </w:pPr>
      <w:hyperlink r:id="rId14" w:history="1">
        <w:r w:rsidR="00DC14B9" w:rsidRPr="00DC14B9">
          <w:rPr>
            <w:rStyle w:val="Hyperlink"/>
            <w:rFonts w:asciiTheme="majorBidi" w:hAnsiTheme="majorBidi" w:cstheme="majorBidi"/>
            <w:lang w:val="en"/>
          </w:rPr>
          <w:t>Guide for risk estimation</w:t>
        </w:r>
      </w:hyperlink>
      <w:r w:rsidR="00DC14B9" w:rsidRPr="00DC14B9">
        <w:rPr>
          <w:rStyle w:val="Hyperlink"/>
          <w:rFonts w:asciiTheme="majorBidi" w:hAnsiTheme="majorBidi" w:cstheme="majorBidi"/>
        </w:rPr>
        <w:t xml:space="preserve"> </w:t>
      </w:r>
    </w:p>
    <w:p w:rsidR="00DC14B9" w:rsidRPr="00DC14B9" w:rsidRDefault="00D222B8" w:rsidP="00DC14B9">
      <w:pPr>
        <w:pStyle w:val="SingleTxtG"/>
        <w:rPr>
          <w:rStyle w:val="Hyperlink"/>
          <w:rFonts w:asciiTheme="majorBidi" w:hAnsiTheme="majorBidi" w:cstheme="majorBidi"/>
        </w:rPr>
      </w:pPr>
      <w:hyperlink r:id="rId15" w:history="1">
        <w:r w:rsidR="00DC14B9" w:rsidRPr="00DC14B9">
          <w:rPr>
            <w:rStyle w:val="Hyperlink"/>
            <w:rFonts w:asciiTheme="majorBidi" w:hAnsiTheme="majorBidi" w:cstheme="majorBidi"/>
            <w:lang w:val="en"/>
          </w:rPr>
          <w:t xml:space="preserve">Guide for </w:t>
        </w:r>
        <w:proofErr w:type="spellStart"/>
        <w:r w:rsidR="00DC14B9" w:rsidRPr="00DC14B9">
          <w:rPr>
            <w:rStyle w:val="Hyperlink"/>
            <w:rFonts w:asciiTheme="majorBidi" w:hAnsiTheme="majorBidi" w:cstheme="majorBidi"/>
            <w:lang w:val="en"/>
          </w:rPr>
          <w:t>decison</w:t>
        </w:r>
        <w:proofErr w:type="spellEnd"/>
        <w:r w:rsidR="00DC14B9" w:rsidRPr="00DC14B9">
          <w:rPr>
            <w:rStyle w:val="Hyperlink"/>
            <w:rFonts w:asciiTheme="majorBidi" w:hAnsiTheme="majorBidi" w:cstheme="majorBidi"/>
            <w:lang w:val="en"/>
          </w:rPr>
          <w:t>-making</w:t>
        </w:r>
      </w:hyperlink>
      <w:r w:rsidR="00DC14B9" w:rsidRPr="00DC14B9">
        <w:rPr>
          <w:rStyle w:val="Hyperlink"/>
          <w:rFonts w:asciiTheme="majorBidi" w:hAnsiTheme="majorBidi" w:cstheme="majorBidi"/>
        </w:rPr>
        <w:t xml:space="preserve"> </w:t>
      </w:r>
    </w:p>
    <w:p w:rsidR="00DC14B9" w:rsidRPr="00DC14B9" w:rsidRDefault="00D222B8" w:rsidP="00DC14B9">
      <w:pPr>
        <w:pStyle w:val="SingleTxtG"/>
        <w:rPr>
          <w:rStyle w:val="Hyperlink"/>
          <w:rFonts w:asciiTheme="majorBidi" w:hAnsiTheme="majorBidi" w:cstheme="majorBidi"/>
        </w:rPr>
      </w:pPr>
      <w:hyperlink r:id="rId16" w:history="1">
        <w:r w:rsidR="00DC14B9" w:rsidRPr="00DC14B9">
          <w:rPr>
            <w:rStyle w:val="Hyperlink"/>
            <w:rFonts w:asciiTheme="majorBidi" w:hAnsiTheme="majorBidi" w:cstheme="majorBidi"/>
            <w:lang w:val="en"/>
          </w:rPr>
          <w:t>Framework Glossary</w:t>
        </w:r>
      </w:hyperlink>
      <w:r w:rsidR="00DC14B9" w:rsidRPr="00DC14B9">
        <w:rPr>
          <w:rStyle w:val="Hyperlink"/>
          <w:rFonts w:asciiTheme="majorBidi" w:hAnsiTheme="majorBidi" w:cstheme="majorBidi"/>
        </w:rPr>
        <w:t xml:space="preserve"> </w:t>
      </w:r>
    </w:p>
    <w:p w:rsidR="00DC14B9" w:rsidRPr="00DC14B9" w:rsidRDefault="00DC14B9" w:rsidP="00DC14B9">
      <w:pPr>
        <w:spacing w:before="240"/>
        <w:jc w:val="center"/>
        <w:rPr>
          <w:u w:val="single"/>
          <w:lang w:val="en-US"/>
        </w:rPr>
      </w:pPr>
      <w:r>
        <w:rPr>
          <w:u w:val="single"/>
          <w:lang w:val="en-US"/>
        </w:rPr>
        <w:tab/>
      </w:r>
      <w:r>
        <w:rPr>
          <w:u w:val="single"/>
          <w:lang w:val="en-US"/>
        </w:rPr>
        <w:tab/>
      </w:r>
      <w:r>
        <w:rPr>
          <w:u w:val="single"/>
          <w:lang w:val="en-US"/>
        </w:rPr>
        <w:tab/>
      </w:r>
    </w:p>
    <w:p w:rsidR="00DC14B9" w:rsidRPr="00A94C2A" w:rsidRDefault="00DC14B9" w:rsidP="00DC14B9">
      <w:pPr>
        <w:rPr>
          <w:lang w:val="en-US"/>
        </w:rPr>
      </w:pPr>
    </w:p>
    <w:p w:rsidR="001C6663" w:rsidRPr="002B3CA2" w:rsidRDefault="001C6663" w:rsidP="00C411EB"/>
    <w:sectPr w:rsidR="001C6663" w:rsidRPr="002B3CA2" w:rsidSect="002B3CA2">
      <w:headerReference w:type="even" r:id="rId17"/>
      <w:headerReference w:type="default" r:id="rId18"/>
      <w:footerReference w:type="even" r:id="rId19"/>
      <w:footerReference w:type="defaul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CA2" w:rsidRDefault="002B3CA2"/>
  </w:endnote>
  <w:endnote w:type="continuationSeparator" w:id="0">
    <w:p w:rsidR="002B3CA2" w:rsidRDefault="002B3CA2"/>
  </w:endnote>
  <w:endnote w:type="continuationNotice" w:id="1">
    <w:p w:rsidR="002B3CA2" w:rsidRDefault="002B3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A2" w:rsidRPr="002B3CA2" w:rsidRDefault="002B3CA2" w:rsidP="002B3CA2">
    <w:pPr>
      <w:pStyle w:val="Footer"/>
      <w:tabs>
        <w:tab w:val="right" w:pos="9638"/>
      </w:tabs>
      <w:rPr>
        <w:sz w:val="18"/>
      </w:rPr>
    </w:pPr>
    <w:r w:rsidRPr="002B3CA2">
      <w:rPr>
        <w:b/>
        <w:sz w:val="18"/>
      </w:rPr>
      <w:fldChar w:fldCharType="begin"/>
    </w:r>
    <w:r w:rsidRPr="002B3CA2">
      <w:rPr>
        <w:b/>
        <w:sz w:val="18"/>
      </w:rPr>
      <w:instrText xml:space="preserve"> PAGE  \* MERGEFORMAT </w:instrText>
    </w:r>
    <w:r w:rsidRPr="002B3CA2">
      <w:rPr>
        <w:b/>
        <w:sz w:val="18"/>
      </w:rPr>
      <w:fldChar w:fldCharType="separate"/>
    </w:r>
    <w:r w:rsidRPr="002B3CA2">
      <w:rPr>
        <w:b/>
        <w:noProof/>
        <w:sz w:val="18"/>
      </w:rPr>
      <w:t>2</w:t>
    </w:r>
    <w:r w:rsidRPr="002B3C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A2" w:rsidRPr="002B3CA2" w:rsidRDefault="002B3CA2" w:rsidP="002B3CA2">
    <w:pPr>
      <w:pStyle w:val="Footer"/>
      <w:tabs>
        <w:tab w:val="right" w:pos="9638"/>
      </w:tabs>
      <w:rPr>
        <w:b/>
        <w:sz w:val="18"/>
      </w:rPr>
    </w:pPr>
    <w:r>
      <w:tab/>
    </w:r>
    <w:r w:rsidRPr="002B3CA2">
      <w:rPr>
        <w:b/>
        <w:sz w:val="18"/>
      </w:rPr>
      <w:fldChar w:fldCharType="begin"/>
    </w:r>
    <w:r w:rsidRPr="002B3CA2">
      <w:rPr>
        <w:b/>
        <w:sz w:val="18"/>
      </w:rPr>
      <w:instrText xml:space="preserve"> PAGE  \* MERGEFORMAT </w:instrText>
    </w:r>
    <w:r w:rsidRPr="002B3CA2">
      <w:rPr>
        <w:b/>
        <w:sz w:val="18"/>
      </w:rPr>
      <w:fldChar w:fldCharType="separate"/>
    </w:r>
    <w:r w:rsidRPr="002B3CA2">
      <w:rPr>
        <w:b/>
        <w:noProof/>
        <w:sz w:val="18"/>
      </w:rPr>
      <w:t>3</w:t>
    </w:r>
    <w:r w:rsidRPr="002B3CA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CA2" w:rsidRPr="000B175B" w:rsidRDefault="002B3CA2" w:rsidP="000B175B">
      <w:pPr>
        <w:tabs>
          <w:tab w:val="right" w:pos="2155"/>
        </w:tabs>
        <w:spacing w:after="80"/>
        <w:ind w:left="680"/>
        <w:rPr>
          <w:u w:val="single"/>
        </w:rPr>
      </w:pPr>
      <w:r>
        <w:rPr>
          <w:u w:val="single"/>
        </w:rPr>
        <w:tab/>
      </w:r>
    </w:p>
  </w:footnote>
  <w:footnote w:type="continuationSeparator" w:id="0">
    <w:p w:rsidR="002B3CA2" w:rsidRPr="00FC68B7" w:rsidRDefault="002B3CA2" w:rsidP="00FC68B7">
      <w:pPr>
        <w:tabs>
          <w:tab w:val="left" w:pos="2155"/>
        </w:tabs>
        <w:spacing w:after="80"/>
        <w:ind w:left="680"/>
        <w:rPr>
          <w:u w:val="single"/>
        </w:rPr>
      </w:pPr>
      <w:r>
        <w:rPr>
          <w:u w:val="single"/>
        </w:rPr>
        <w:tab/>
      </w:r>
    </w:p>
  </w:footnote>
  <w:footnote w:type="continuationNotice" w:id="1">
    <w:p w:rsidR="002B3CA2" w:rsidRDefault="002B3CA2"/>
  </w:footnote>
  <w:footnote w:id="2">
    <w:p w:rsidR="00DC14B9" w:rsidRDefault="00DC14B9" w:rsidP="00DC14B9">
      <w:pPr>
        <w:pStyle w:val="FootnoteText"/>
        <w:rPr>
          <w:sz w:val="20"/>
          <w:lang w:val="fr-CH"/>
        </w:rPr>
      </w:pPr>
      <w:r>
        <w:rPr>
          <w:sz w:val="20"/>
        </w:rPr>
        <w:tab/>
      </w:r>
      <w:r>
        <w:rPr>
          <w:rStyle w:val="FootnoteReference"/>
          <w:sz w:val="20"/>
        </w:rPr>
        <w:t>*</w:t>
      </w:r>
      <w:r>
        <w:rPr>
          <w:sz w:val="20"/>
        </w:rPr>
        <w:tab/>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 w:id="3">
    <w:p w:rsidR="00DC14B9" w:rsidRDefault="00DC14B9" w:rsidP="00DC14B9">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A2" w:rsidRPr="002B3CA2" w:rsidRDefault="00D222B8">
    <w:pPr>
      <w:pStyle w:val="Header"/>
    </w:pPr>
    <w:r>
      <w:fldChar w:fldCharType="begin"/>
    </w:r>
    <w:r>
      <w:instrText xml:space="preserve"> TITLE  \* MERGEFORMAT </w:instrText>
    </w:r>
    <w:r>
      <w:fldChar w:fldCharType="separate"/>
    </w:r>
    <w:r w:rsidR="008E3AD9">
      <w:t>ECE/TRANS/WP.15/AC.1/2020/14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A2" w:rsidRPr="002B3CA2" w:rsidRDefault="00D222B8" w:rsidP="002B3CA2">
    <w:pPr>
      <w:pStyle w:val="Header"/>
      <w:jc w:val="right"/>
    </w:pPr>
    <w:r>
      <w:fldChar w:fldCharType="begin"/>
    </w:r>
    <w:r>
      <w:instrText xml:space="preserve"> TITLE  \* MERGEFORMAT </w:instrText>
    </w:r>
    <w:r>
      <w:fldChar w:fldCharType="separate"/>
    </w:r>
    <w:r w:rsidR="008E3AD9">
      <w:t>ECE/TRANS/WP.15/AC.1/2020/14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A2"/>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B3CA2"/>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3AD9"/>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12A6"/>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22B8"/>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4B9"/>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3F248"/>
  <w15:docId w15:val="{A48883ED-06F6-437F-8D46-91920208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10"/>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DC14B9"/>
    <w:rPr>
      <w:sz w:val="18"/>
      <w:lang w:val="en-GB"/>
    </w:rPr>
  </w:style>
  <w:style w:type="character" w:customStyle="1" w:styleId="HChGChar">
    <w:name w:val="_ H _Ch_G Char"/>
    <w:link w:val="HChG"/>
    <w:locked/>
    <w:rsid w:val="00DC14B9"/>
    <w:rPr>
      <w:b/>
      <w:sz w:val="28"/>
      <w:lang w:val="en-GB"/>
    </w:rPr>
  </w:style>
  <w:style w:type="character" w:customStyle="1" w:styleId="H1GChar">
    <w:name w:val="_ H_1_G Char"/>
    <w:link w:val="H1G"/>
    <w:locked/>
    <w:rsid w:val="00DC14B9"/>
    <w:rPr>
      <w:b/>
      <w:sz w:val="24"/>
      <w:lang w:val="en-GB"/>
    </w:rPr>
  </w:style>
  <w:style w:type="character" w:styleId="PlaceholderText">
    <w:name w:val="Placeholder Text"/>
    <w:basedOn w:val="DefaultParagraphFont"/>
    <w:uiPriority w:val="99"/>
    <w:semiHidden/>
    <w:rsid w:val="00DC14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1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ra.europa.eu/sites/default/files/activities/docs/framework_guide_overview.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transport/themes/dangerous_good/risk_management_framework_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ra.europa.eu/sites/default/files/activities/docs/framework_glossary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ransport/themes/dangerous_good/risk_management_framework_en)" TargetMode="External"/><Relationship Id="rId5" Type="http://schemas.openxmlformats.org/officeDocument/2006/relationships/webSettings" Target="webSettings.xml"/><Relationship Id="rId15" Type="http://schemas.openxmlformats.org/officeDocument/2006/relationships/hyperlink" Target="https://www.era.europa.eu/sites/default/files/activities/docs/guide_for_decison-making.pdf" TargetMode="External"/><Relationship Id="rId10" Type="http://schemas.openxmlformats.org/officeDocument/2006/relationships/hyperlink" Target="https://www.era.europa.eu/activities/transport-dangerous-goods/inland-tdg_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transport/themes/dangerous_good/risk_management_framework_en)" TargetMode="External"/><Relationship Id="rId14" Type="http://schemas.openxmlformats.org/officeDocument/2006/relationships/hyperlink" Target="https://www.era.europa.eu/sites/default/files/activities/docs/guide_for_risk_estimation.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FF77-6A5A-4621-BE78-D333C77D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16</TotalTime>
  <Pages>3</Pages>
  <Words>1007</Words>
  <Characters>5481</Characters>
  <Application>Microsoft Office Word</Application>
  <DocSecurity>0</DocSecurity>
  <Lines>130</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ECE/TRANS/WP.15/AC.1/2020/14</vt:lpstr>
      <vt:lpstr/>
    </vt:vector>
  </TitlesOfParts>
  <Company>CSD</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ECE/TRANS/WP.15/AC.1/2020/14</dc:title>
  <dc:creator>Christine Barrio-Champeau</dc:creator>
  <cp:lastModifiedBy>Christine Barrio-Champeau</cp:lastModifiedBy>
  <cp:revision>5</cp:revision>
  <cp:lastPrinted>2019-12-18T11:27:00Z</cp:lastPrinted>
  <dcterms:created xsi:type="dcterms:W3CDTF">2019-12-18T11:19:00Z</dcterms:created>
  <dcterms:modified xsi:type="dcterms:W3CDTF">2019-12-27T08:13:00Z</dcterms:modified>
</cp:coreProperties>
</file>