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830267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F87DEF1" w14:textId="77777777" w:rsidR="002D5AAC" w:rsidRDefault="002D5AAC" w:rsidP="003562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A80926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17C4A04" w14:textId="77777777" w:rsidR="002D5AAC" w:rsidRDefault="00356252" w:rsidP="00356252">
            <w:pPr>
              <w:jc w:val="right"/>
            </w:pPr>
            <w:r w:rsidRPr="00356252">
              <w:rPr>
                <w:sz w:val="40"/>
              </w:rPr>
              <w:t>ECE</w:t>
            </w:r>
            <w:r>
              <w:t>/TRANS/WP.29/2019/81</w:t>
            </w:r>
          </w:p>
        </w:tc>
      </w:tr>
      <w:tr w:rsidR="002D5AAC" w:rsidRPr="00356252" w14:paraId="3774249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4060C0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2C4C52" wp14:editId="0D78B64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2CC5E1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542AF56" w14:textId="77777777" w:rsidR="002D5AAC" w:rsidRDefault="0035625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A4D504E" w14:textId="77777777" w:rsidR="00356252" w:rsidRDefault="00356252" w:rsidP="003562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29 August 2019</w:t>
            </w:r>
          </w:p>
          <w:p w14:paraId="130EA6EA" w14:textId="77777777" w:rsidR="00356252" w:rsidRDefault="00356252" w:rsidP="003562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4262C09" w14:textId="77777777" w:rsidR="00356252" w:rsidRPr="008D53B6" w:rsidRDefault="00356252" w:rsidP="0035625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DADA8F2" w14:textId="77777777" w:rsidR="00356252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0A374D2B" w14:textId="77777777" w:rsidR="00356252" w:rsidRPr="00356252" w:rsidRDefault="00356252" w:rsidP="00356252">
      <w:pPr>
        <w:spacing w:before="120"/>
        <w:rPr>
          <w:sz w:val="28"/>
          <w:szCs w:val="28"/>
        </w:rPr>
      </w:pPr>
      <w:r w:rsidRPr="00356252">
        <w:rPr>
          <w:sz w:val="28"/>
          <w:szCs w:val="28"/>
        </w:rPr>
        <w:t>Комитет по внутреннему транспорту</w:t>
      </w:r>
    </w:p>
    <w:p w14:paraId="06982AD7" w14:textId="77777777" w:rsidR="00356252" w:rsidRPr="00356252" w:rsidRDefault="00356252" w:rsidP="00356252">
      <w:pPr>
        <w:spacing w:before="120"/>
        <w:rPr>
          <w:b/>
          <w:sz w:val="24"/>
          <w:szCs w:val="24"/>
        </w:rPr>
      </w:pPr>
      <w:r w:rsidRPr="00356252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356252">
        <w:rPr>
          <w:b/>
          <w:bCs/>
          <w:sz w:val="24"/>
          <w:szCs w:val="24"/>
        </w:rPr>
        <w:t>в области транспортных средств</w:t>
      </w:r>
    </w:p>
    <w:p w14:paraId="16B020C5" w14:textId="77777777" w:rsidR="00356252" w:rsidRPr="007C02CB" w:rsidRDefault="00356252" w:rsidP="00356252">
      <w:pPr>
        <w:tabs>
          <w:tab w:val="center" w:pos="4819"/>
        </w:tabs>
        <w:spacing w:before="120"/>
        <w:rPr>
          <w:b/>
        </w:rPr>
      </w:pPr>
      <w:r>
        <w:rPr>
          <w:b/>
          <w:bCs/>
        </w:rPr>
        <w:t>179-я сессия</w:t>
      </w:r>
    </w:p>
    <w:p w14:paraId="7DE5F4E9" w14:textId="77777777" w:rsidR="00356252" w:rsidRPr="007C02CB" w:rsidRDefault="00356252" w:rsidP="00356252">
      <w:r>
        <w:t>Женева, 12–14 ноября 2019 года</w:t>
      </w:r>
    </w:p>
    <w:p w14:paraId="79F19C8E" w14:textId="77777777" w:rsidR="00356252" w:rsidRPr="007C02CB" w:rsidRDefault="00356252" w:rsidP="00356252">
      <w:r>
        <w:t>Пункт 4.6.3 предварительной повестки дня</w:t>
      </w:r>
    </w:p>
    <w:p w14:paraId="450FF4FD" w14:textId="77777777" w:rsidR="00E12C5F" w:rsidRDefault="00356252" w:rsidP="00356252">
      <w:r>
        <w:rPr>
          <w:b/>
          <w:bCs/>
        </w:rPr>
        <w:t xml:space="preserve">Соглашение 1958 года: рассмотрение проектов поправок </w:t>
      </w:r>
      <w:r>
        <w:rPr>
          <w:b/>
          <w:bCs/>
        </w:rPr>
        <w:br/>
        <w:t>к существующим правилам ООН, представленных GRE</w:t>
      </w:r>
    </w:p>
    <w:p w14:paraId="10365C10" w14:textId="77777777" w:rsidR="00356252" w:rsidRPr="007C02CB" w:rsidRDefault="00356252" w:rsidP="00356252">
      <w:pPr>
        <w:pStyle w:val="HChG"/>
      </w:pPr>
      <w:r>
        <w:rPr>
          <w:bCs/>
        </w:rPr>
        <w:tab/>
      </w:r>
      <w:r>
        <w:rPr>
          <w:bCs/>
        </w:rPr>
        <w:tab/>
        <w:t>Предложение по дополнению 1 к Правилам № [148] ООН (устройства световой сигнализации)</w:t>
      </w:r>
      <w:r>
        <w:t xml:space="preserve"> </w:t>
      </w:r>
    </w:p>
    <w:p w14:paraId="1076969A" w14:textId="77777777" w:rsidR="00356252" w:rsidRPr="007C02CB" w:rsidRDefault="00356252" w:rsidP="00356252">
      <w:pPr>
        <w:pStyle w:val="H1G"/>
        <w:ind w:firstLine="0"/>
        <w:rPr>
          <w:szCs w:val="24"/>
        </w:rPr>
      </w:pPr>
      <w:r>
        <w:rPr>
          <w:bCs/>
        </w:rPr>
        <w:t>Представлено Рабочей группой по вопросам освещения и световой сигнализации</w:t>
      </w:r>
      <w:r w:rsidRPr="004A70AD">
        <w:rPr>
          <w:b w:val="0"/>
          <w:bCs/>
          <w:sz w:val="20"/>
        </w:rPr>
        <w:footnoteReference w:customMarkFollows="1" w:id="1"/>
        <w:t>*</w:t>
      </w:r>
    </w:p>
    <w:p w14:paraId="307C3BAF" w14:textId="77777777" w:rsidR="00356252" w:rsidRPr="007C02CB" w:rsidRDefault="00356252" w:rsidP="00356252">
      <w:pPr>
        <w:pStyle w:val="SingleTxtG"/>
      </w:pPr>
      <w:r>
        <w:tab/>
      </w:r>
      <w:r>
        <w:tab/>
        <w:t xml:space="preserve">Воспроизведенный ниже текст был принят Рабочей группой по вопросам освещения и световой сигнализации (GRE) на ее восьмидесятой сессии (ECE/TRANS/WP.29/GRE/80, пункты 11, 12, 20 и 28). В его основу положены документы ECE/TRANS/WP.29/GRE/2018/33, ECE/TRANS/WP.29/GRE/2018/36, ECE/TRANS/WP.29/GRE/2018/42 с поправками, содержащимися в приложении III к докладу, и ECE/TRANS/WP.29/GRE/2018/50. Этот текст представляется Всемирному форуму для согласования правил в области транспортных средств (WP.29) и Административному комитету </w:t>
      </w:r>
      <w:r w:rsidR="00240481">
        <w:t>(</w:t>
      </w:r>
      <w:r>
        <w:t>АС.1</w:t>
      </w:r>
      <w:r w:rsidR="00240481">
        <w:t>)</w:t>
      </w:r>
      <w:r>
        <w:t xml:space="preserve"> для рассмотрения на их сессиях в ноябре 2019 года. </w:t>
      </w:r>
    </w:p>
    <w:p w14:paraId="290A62B8" w14:textId="77777777" w:rsidR="00356252" w:rsidRPr="007C02CB" w:rsidRDefault="00356252" w:rsidP="00356252">
      <w:pPr>
        <w:pStyle w:val="HChG"/>
      </w:pPr>
      <w:bookmarkStart w:id="1" w:name="_Toc354410587"/>
      <w:r w:rsidRPr="007C02CB">
        <w:br w:type="page"/>
      </w:r>
    </w:p>
    <w:p w14:paraId="0E7A04E3" w14:textId="77777777" w:rsidR="00356252" w:rsidRPr="007C02CB" w:rsidRDefault="00356252" w:rsidP="00356252">
      <w:pPr>
        <w:pStyle w:val="HChG"/>
      </w:pPr>
      <w:r>
        <w:lastRenderedPageBreak/>
        <w:tab/>
      </w:r>
      <w:r>
        <w:tab/>
      </w:r>
      <w:r>
        <w:rPr>
          <w:bCs/>
        </w:rPr>
        <w:t>Дополнение 1 к Правилам № [148] ООН (устройства световой сигнализации)</w:t>
      </w:r>
      <w:r>
        <w:t xml:space="preserve"> </w:t>
      </w:r>
      <w:bookmarkEnd w:id="1"/>
    </w:p>
    <w:p w14:paraId="7A1A3C59" w14:textId="77777777" w:rsidR="00356252" w:rsidRPr="007C02CB" w:rsidRDefault="00356252" w:rsidP="00356252">
      <w:pPr>
        <w:keepNext/>
        <w:tabs>
          <w:tab w:val="left" w:pos="-1242"/>
          <w:tab w:val="left" w:pos="-720"/>
        </w:tabs>
        <w:spacing w:before="120" w:after="120"/>
        <w:ind w:left="1134" w:right="-2"/>
      </w:pPr>
      <w:r w:rsidRPr="005B48F2">
        <w:rPr>
          <w:i/>
        </w:rPr>
        <w:t>Пункт 2.1</w:t>
      </w:r>
      <w:r>
        <w:t xml:space="preserve"> изменить следующим образом:</w:t>
      </w:r>
    </w:p>
    <w:p w14:paraId="5B8A11E6" w14:textId="77777777" w:rsidR="00356252" w:rsidRPr="007C02CB" w:rsidRDefault="00356252" w:rsidP="00356252">
      <w:pPr>
        <w:pStyle w:val="SingleTxtG"/>
        <w:ind w:left="2268" w:right="1467" w:hanging="1134"/>
        <w:rPr>
          <w:bCs/>
        </w:rPr>
      </w:pPr>
      <w:r>
        <w:t>«2.1</w:t>
      </w:r>
      <w:r>
        <w:tab/>
        <w:t>Применяются все определения, содержащиеся в последних сериях поправок к Правилам № 48 ООН, действующих на момент подачи заявки на официальное утверждение типа, если не предусмотрено иное в настоящих Правилах или в соответствующих положениях, касающихся установки, в правилах № 53, 74 и 86 ООН».</w:t>
      </w:r>
    </w:p>
    <w:p w14:paraId="5ADD903A" w14:textId="77777777" w:rsidR="00356252" w:rsidRPr="007C02CB" w:rsidRDefault="00356252" w:rsidP="00356252">
      <w:pPr>
        <w:spacing w:after="120"/>
        <w:ind w:left="2268" w:right="1134" w:hanging="1134"/>
        <w:jc w:val="both"/>
      </w:pPr>
      <w:r w:rsidRPr="00AD2073">
        <w:rPr>
          <w:i/>
        </w:rPr>
        <w:t>Пункт 2.2</w:t>
      </w:r>
      <w:r>
        <w:t xml:space="preserve"> изменить следующим образом:</w:t>
      </w:r>
    </w:p>
    <w:p w14:paraId="00F2DB96" w14:textId="77777777" w:rsidR="00356252" w:rsidRPr="007C02CB" w:rsidRDefault="00356252" w:rsidP="00356252">
      <w:pPr>
        <w:pStyle w:val="SingleTxtG"/>
        <w:ind w:left="2268" w:hanging="1134"/>
      </w:pPr>
      <w:bookmarkStart w:id="2" w:name="_Toc473483452"/>
      <w:r>
        <w:t>«2.2</w:t>
      </w:r>
      <w:r>
        <w:tab/>
        <w:t>"</w:t>
      </w:r>
      <w:r w:rsidRPr="00AD2073">
        <w:rPr>
          <w:i/>
        </w:rPr>
        <w:t>огни различных типов</w:t>
      </w:r>
      <w:r>
        <w:t>" означает ….</w:t>
      </w:r>
    </w:p>
    <w:p w14:paraId="7FDECD26" w14:textId="77777777" w:rsidR="00356252" w:rsidRPr="007C02CB" w:rsidRDefault="00356252" w:rsidP="00356252">
      <w:pPr>
        <w:pStyle w:val="SingleTxtG"/>
        <w:ind w:left="2268"/>
      </w:pPr>
      <w:r>
        <w:t>….</w:t>
      </w:r>
    </w:p>
    <w:p w14:paraId="21712BD6" w14:textId="77777777" w:rsidR="00356252" w:rsidRPr="007C02CB" w:rsidRDefault="00356252" w:rsidP="00356252">
      <w:pPr>
        <w:pStyle w:val="SingleTxtG"/>
        <w:ind w:left="2268"/>
        <w:rPr>
          <w:bCs/>
        </w:rPr>
      </w:pPr>
      <w:r>
        <w:t>Изменение цвета источника света или цвета любого фильтра не означает изменения типа.</w:t>
      </w:r>
    </w:p>
    <w:bookmarkEnd w:id="2"/>
    <w:p w14:paraId="0DAB6785" w14:textId="77777777" w:rsidR="00356252" w:rsidRPr="007C02CB" w:rsidRDefault="00356252" w:rsidP="00356252">
      <w:pPr>
        <w:pStyle w:val="para"/>
        <w:ind w:firstLine="0"/>
        <w:rPr>
          <w:bCs/>
          <w:lang w:val="ru-RU"/>
        </w:rPr>
      </w:pPr>
      <w:r>
        <w:rPr>
          <w:lang w:val="ru-RU"/>
        </w:rPr>
        <w:t>Использование альтернативного(</w:t>
      </w:r>
      <w:proofErr w:type="spellStart"/>
      <w:r>
        <w:rPr>
          <w:lang w:val="ru-RU"/>
        </w:rPr>
        <w:t>ых</w:t>
      </w:r>
      <w:proofErr w:type="spellEnd"/>
      <w:r>
        <w:rPr>
          <w:lang w:val="ru-RU"/>
        </w:rPr>
        <w:t>) источника(</w:t>
      </w:r>
      <w:proofErr w:type="spellStart"/>
      <w:r>
        <w:rPr>
          <w:lang w:val="ru-RU"/>
        </w:rPr>
        <w:t>ов</w:t>
      </w:r>
      <w:proofErr w:type="spellEnd"/>
      <w:r>
        <w:rPr>
          <w:lang w:val="ru-RU"/>
        </w:rPr>
        <w:t>) света на СИД не означает изменения типа. Вместе с тем применяется пункт 4.7.7».</w:t>
      </w:r>
    </w:p>
    <w:p w14:paraId="03AF0454" w14:textId="77777777" w:rsidR="00356252" w:rsidRPr="007C02CB" w:rsidRDefault="00356252" w:rsidP="00356252">
      <w:pPr>
        <w:widowControl w:val="0"/>
        <w:spacing w:after="120"/>
        <w:ind w:left="2268" w:right="1134" w:hanging="1134"/>
        <w:jc w:val="both"/>
        <w:rPr>
          <w:i/>
        </w:rPr>
      </w:pPr>
      <w:r w:rsidRPr="00AD2073">
        <w:rPr>
          <w:i/>
        </w:rPr>
        <w:t>Пункт 3.1.2.2</w:t>
      </w:r>
      <w:r>
        <w:t xml:space="preserve"> изменить следующим образом:</w:t>
      </w:r>
    </w:p>
    <w:p w14:paraId="6C45C808" w14:textId="77777777" w:rsidR="00356252" w:rsidRPr="007C02CB" w:rsidRDefault="00356252" w:rsidP="00356252">
      <w:pPr>
        <w:pStyle w:val="SingleTxtG"/>
        <w:ind w:left="2268" w:hanging="1134"/>
        <w:rPr>
          <w:bCs/>
        </w:rPr>
      </w:pPr>
      <w:r>
        <w:t>«3.1.2.2</w:t>
      </w:r>
      <w:r>
        <w:tab/>
        <w:t>краткое техническое описание, за исключением огней с несменными источниками света, с указанием, в частности:</w:t>
      </w:r>
    </w:p>
    <w:p w14:paraId="4C17B99D" w14:textId="77777777" w:rsidR="00356252" w:rsidRPr="007C02CB" w:rsidRDefault="00356252" w:rsidP="00356252">
      <w:pPr>
        <w:pStyle w:val="SingleTxtG"/>
        <w:ind w:left="2835" w:hanging="567"/>
        <w:rPr>
          <w:bCs/>
        </w:rPr>
      </w:pPr>
      <w:r>
        <w:t>a)</w:t>
      </w:r>
      <w:r>
        <w:tab/>
        <w:t>категории или категорий предписанного(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с нитью накала; эта категория источника света с нитью накала должна соответствовать одной из категорий, предусмотренных в Правилах № 37;</w:t>
      </w:r>
    </w:p>
    <w:p w14:paraId="4538ACA7" w14:textId="77777777" w:rsidR="00356252" w:rsidRPr="007C02CB" w:rsidRDefault="00356252" w:rsidP="00356252">
      <w:pPr>
        <w:pStyle w:val="SingleTxtG"/>
        <w:ind w:left="2835" w:hanging="567"/>
        <w:rPr>
          <w:bCs/>
        </w:rPr>
      </w:pPr>
      <w:r>
        <w:t>b)</w:t>
      </w:r>
      <w:r>
        <w:tab/>
        <w:t>категории или категорий предписанного(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на СИД; эта категория источника света на СИД должна соответствовать одной из категорий, предусмотренных в Правилах № 128;</w:t>
      </w:r>
    </w:p>
    <w:p w14:paraId="2A445CBC" w14:textId="77777777" w:rsidR="00356252" w:rsidRPr="007C02CB" w:rsidRDefault="00356252" w:rsidP="00356252">
      <w:pPr>
        <w:widowControl w:val="0"/>
        <w:spacing w:after="120"/>
        <w:ind w:left="2835" w:right="1134" w:hanging="567"/>
        <w:jc w:val="both"/>
        <w:rPr>
          <w:b/>
        </w:rPr>
      </w:pPr>
      <w:r>
        <w:t>c)</w:t>
      </w:r>
      <w:r>
        <w:tab/>
        <w:t>конкретного идентификационного кода модуля источника света;</w:t>
      </w:r>
    </w:p>
    <w:p w14:paraId="1BA65883" w14:textId="77777777" w:rsidR="00356252" w:rsidRPr="007C02CB" w:rsidRDefault="00356252" w:rsidP="00356252">
      <w:pPr>
        <w:pStyle w:val="SingleTxtG"/>
        <w:ind w:left="2835" w:hanging="567"/>
        <w:rPr>
          <w:bCs/>
        </w:rPr>
      </w:pPr>
      <w:r>
        <w:t>d)</w:t>
      </w:r>
      <w:r>
        <w:tab/>
        <w:t xml:space="preserve">если, по усмотрению заявителя, огонь также подлежит </w:t>
      </w:r>
      <w:r w:rsidRPr="00356252">
        <w:rPr>
          <w:spacing w:val="-4"/>
        </w:rPr>
        <w:t>официальному утверждению с альтернативным(и) источником(</w:t>
      </w:r>
      <w:proofErr w:type="spellStart"/>
      <w:r w:rsidRPr="00356252">
        <w:rPr>
          <w:spacing w:val="-4"/>
        </w:rPr>
        <w:t>ами</w:t>
      </w:r>
      <w:proofErr w:type="spellEnd"/>
      <w:r w:rsidRPr="00356252">
        <w:rPr>
          <w:spacing w:val="-4"/>
        </w:rPr>
        <w:t>)</w:t>
      </w:r>
      <w:r>
        <w:t xml:space="preserve"> света на СИД в соответствии с Правилами № 128, то это обстоятельство должно указываться в описании;</w:t>
      </w:r>
    </w:p>
    <w:p w14:paraId="579E669D" w14:textId="77777777" w:rsidR="00356252" w:rsidRPr="007C02CB" w:rsidRDefault="00356252" w:rsidP="00356252">
      <w:pPr>
        <w:pStyle w:val="SingleTxtG"/>
        <w:ind w:left="2835" w:hanging="567"/>
      </w:pPr>
      <w:r>
        <w:t>e)</w:t>
      </w:r>
      <w:r>
        <w:tab/>
        <w:t>в случае сигнала торможения категории S 3 или S 4, предназначенного для установки внутри транспортного средства, в техническом описании должно содержаться указание оптических характеристик (пропускание света, цвет, угол наклона и т. д.) заднего(их) окна (окон)».</w:t>
      </w:r>
    </w:p>
    <w:p w14:paraId="72D38ABF" w14:textId="77777777" w:rsidR="00356252" w:rsidRPr="007C02CB" w:rsidRDefault="00356252" w:rsidP="00356252">
      <w:pPr>
        <w:spacing w:after="120"/>
        <w:ind w:left="2268" w:right="1134" w:hanging="1134"/>
        <w:jc w:val="both"/>
      </w:pPr>
      <w:r w:rsidRPr="00AD2073">
        <w:rPr>
          <w:i/>
        </w:rPr>
        <w:t>Пункт 3.3.4.1.1</w:t>
      </w:r>
      <w:r>
        <w:t xml:space="preserve"> изменить следующим образом:</w:t>
      </w:r>
    </w:p>
    <w:p w14:paraId="387EA8F0" w14:textId="77777777" w:rsidR="00356252" w:rsidRPr="007C02CB" w:rsidRDefault="00356252" w:rsidP="00356252">
      <w:pPr>
        <w:spacing w:after="120"/>
        <w:ind w:left="2268" w:right="1134" w:hanging="1134"/>
        <w:jc w:val="both"/>
        <w:rPr>
          <w:shd w:val="pct15" w:color="auto" w:fill="FFFFFF"/>
        </w:rPr>
      </w:pPr>
      <w:r>
        <w:t>«3.3.4.1.1</w:t>
      </w:r>
      <w:r>
        <w:tab/>
        <w:t>В любом случае знак официального утверждения или уникальный идентификатор, а также предписанная(</w:t>
      </w:r>
      <w:proofErr w:type="spellStart"/>
      <w:r>
        <w:t>ые</w:t>
      </w:r>
      <w:proofErr w:type="spellEnd"/>
      <w:r>
        <w:t>) категория или категории 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на СИД, при наличии, должны быть видимы, когда огонь установлен на транспортном средстве или когда подвижная часть, такая как капот или крышка багажника либо дверь, находится в открытом положении».</w:t>
      </w:r>
    </w:p>
    <w:p w14:paraId="6E23DA39" w14:textId="77777777" w:rsidR="00356252" w:rsidRPr="007C02CB" w:rsidRDefault="00356252" w:rsidP="00356252">
      <w:pPr>
        <w:spacing w:after="120"/>
        <w:ind w:left="2268" w:right="1134" w:hanging="1134"/>
        <w:jc w:val="both"/>
      </w:pPr>
      <w:r w:rsidRPr="00AD2073">
        <w:rPr>
          <w:i/>
        </w:rPr>
        <w:t>Пункт 3.3.4.3</w:t>
      </w:r>
      <w:r>
        <w:t xml:space="preserve"> изменить следующим образом:</w:t>
      </w:r>
    </w:p>
    <w:p w14:paraId="7077B125" w14:textId="77777777" w:rsidR="00356252" w:rsidRPr="007C02CB" w:rsidRDefault="00356252" w:rsidP="00356252">
      <w:pPr>
        <w:pStyle w:val="para"/>
        <w:rPr>
          <w:lang w:val="ru-RU"/>
        </w:rPr>
      </w:pPr>
      <w:r>
        <w:rPr>
          <w:lang w:val="ru-RU"/>
        </w:rPr>
        <w:t>«3.3.4.3</w:t>
      </w:r>
      <w:r>
        <w:rPr>
          <w:lang w:val="ru-RU"/>
        </w:rPr>
        <w:tab/>
        <w:t>за исключением огней с несменными источниками света, должна быть нанесена четкая и нестираемая маркировка, указывающая:</w:t>
      </w:r>
    </w:p>
    <w:p w14:paraId="3AD3BCC5" w14:textId="77777777" w:rsidR="00356252" w:rsidRPr="007C02CB" w:rsidRDefault="00356252" w:rsidP="00356252">
      <w:pPr>
        <w:widowControl w:val="0"/>
        <w:spacing w:after="120"/>
        <w:ind w:left="2835" w:right="1134" w:hanging="567"/>
        <w:jc w:val="both"/>
        <w:rPr>
          <w:snapToGrid w:val="0"/>
        </w:rPr>
      </w:pPr>
      <w:r>
        <w:t>(a)</w:t>
      </w:r>
      <w:r>
        <w:tab/>
        <w:t>предписанную(</w:t>
      </w:r>
      <w:proofErr w:type="spellStart"/>
      <w:r>
        <w:t>ые</w:t>
      </w:r>
      <w:proofErr w:type="spellEnd"/>
      <w:r>
        <w:t>) категорию(</w:t>
      </w:r>
      <w:proofErr w:type="spellStart"/>
      <w:r>
        <w:t>ии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света; если данный огонь официально утвержден для 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 xml:space="preserve">) света на СИД, то также категорию или категории </w:t>
      </w:r>
      <w:r>
        <w:lastRenderedPageBreak/>
        <w:t>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на СИД; и/или</w:t>
      </w:r>
    </w:p>
    <w:p w14:paraId="67FDB3CC" w14:textId="77777777" w:rsidR="00356252" w:rsidRPr="007C02CB" w:rsidRDefault="00356252" w:rsidP="00356252">
      <w:pPr>
        <w:widowControl w:val="0"/>
        <w:spacing w:after="120"/>
        <w:ind w:left="2268" w:right="1134" w:hanging="1134"/>
        <w:jc w:val="both"/>
        <w:rPr>
          <w:b/>
        </w:rPr>
      </w:pPr>
      <w:r>
        <w:tab/>
        <w:t>b)</w:t>
      </w:r>
      <w:r>
        <w:tab/>
        <w:t>конкретный идентификационный код модуля источника света».</w:t>
      </w:r>
    </w:p>
    <w:p w14:paraId="0AE777F9" w14:textId="77777777" w:rsidR="00356252" w:rsidRPr="007C02CB" w:rsidRDefault="00356252" w:rsidP="00356252">
      <w:pPr>
        <w:spacing w:after="120"/>
        <w:ind w:left="2127" w:right="1134" w:hanging="993"/>
        <w:jc w:val="both"/>
        <w:rPr>
          <w:rFonts w:eastAsia="MS PMincho"/>
        </w:rPr>
      </w:pPr>
      <w:r w:rsidRPr="00AD2073">
        <w:rPr>
          <w:i/>
        </w:rPr>
        <w:t>Включить новый пункт 3.5.1.1.1</w:t>
      </w:r>
      <w:r>
        <w:t xml:space="preserve"> следующего содержания:</w:t>
      </w:r>
    </w:p>
    <w:p w14:paraId="6CF23D48" w14:textId="77777777" w:rsidR="00356252" w:rsidRPr="007C02CB" w:rsidRDefault="00356252" w:rsidP="00356252">
      <w:pPr>
        <w:spacing w:after="120"/>
        <w:ind w:left="2268" w:right="1134" w:hanging="1134"/>
        <w:jc w:val="both"/>
        <w:rPr>
          <w:rFonts w:eastAsia="MS PMincho"/>
        </w:rPr>
      </w:pPr>
      <w:r>
        <w:t>«3.5.1.1.1</w:t>
      </w:r>
      <w:r>
        <w:tab/>
        <w:t xml:space="preserve">В случае дневного ходового огня, максимальная сила света которого не превышает 700 кд, как указано в приложении 1, это значение в 700 кд применяется в качестве максимальной силы света для процедур обеспечения соответствия производства, предусмотренных в приложении 4». </w:t>
      </w:r>
    </w:p>
    <w:p w14:paraId="2425EB58" w14:textId="77777777" w:rsidR="00356252" w:rsidRPr="007C02CB" w:rsidRDefault="00356252" w:rsidP="00356252">
      <w:pPr>
        <w:spacing w:after="120"/>
        <w:ind w:left="2268" w:right="1134" w:hanging="1134"/>
        <w:jc w:val="both"/>
      </w:pPr>
      <w:r w:rsidRPr="0031383D">
        <w:rPr>
          <w:i/>
        </w:rPr>
        <w:t>Включить новый пункт 3.5.4</w:t>
      </w:r>
      <w:r>
        <w:t xml:space="preserve"> следующего содержания:</w:t>
      </w:r>
    </w:p>
    <w:p w14:paraId="5DC24FEE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>«3.5.4</w:t>
      </w:r>
      <w:r>
        <w:tab/>
        <w:t>На испытание с альтернативными источниками света на СИД не распространяется требование о проверке соответствия производства».</w:t>
      </w:r>
    </w:p>
    <w:p w14:paraId="028149D0" w14:textId="77777777" w:rsidR="00356252" w:rsidRPr="007C02CB" w:rsidRDefault="00356252" w:rsidP="00356252">
      <w:pPr>
        <w:spacing w:after="120"/>
        <w:ind w:left="2268" w:right="1134" w:hanging="1134"/>
        <w:jc w:val="both"/>
      </w:pPr>
      <w:r w:rsidRPr="0031383D">
        <w:rPr>
          <w:i/>
        </w:rPr>
        <w:t>Пункт 4.3.1.4</w:t>
      </w:r>
      <w:r>
        <w:t xml:space="preserve"> изменить следующим образом:</w:t>
      </w:r>
    </w:p>
    <w:p w14:paraId="34F956B4" w14:textId="77777777" w:rsidR="00356252" w:rsidRPr="007C02CB" w:rsidRDefault="00356252" w:rsidP="00356252">
      <w:pPr>
        <w:pStyle w:val="SingleTxtG"/>
        <w:ind w:left="2268" w:hanging="1134"/>
        <w:rPr>
          <w:rFonts w:asciiTheme="majorBidi" w:hAnsiTheme="majorBidi" w:cstheme="majorBidi"/>
        </w:rPr>
      </w:pPr>
      <w:r>
        <w:t>«4.3.1.4</w:t>
      </w:r>
      <w:r>
        <w:tab/>
      </w:r>
      <w:r>
        <w:tab/>
        <w:t>патрон источника(</w:t>
      </w:r>
      <w:proofErr w:type="spellStart"/>
      <w:r>
        <w:t>ов</w:t>
      </w:r>
      <w:proofErr w:type="spellEnd"/>
      <w:r>
        <w:t>) света должен соответствовать характеристикам, указанным в публикации 60061 МЭК. Применяются спецификации патрона, относящиеся к предписанной категории источника(</w:t>
      </w:r>
      <w:proofErr w:type="spellStart"/>
      <w:r>
        <w:t>ов</w:t>
      </w:r>
      <w:proofErr w:type="spellEnd"/>
      <w:r>
        <w:t>) света.</w:t>
      </w:r>
    </w:p>
    <w:p w14:paraId="5C7FFC53" w14:textId="77777777" w:rsidR="00356252" w:rsidRPr="007C02CB" w:rsidRDefault="00356252" w:rsidP="00356252">
      <w:pPr>
        <w:pStyle w:val="SingleTxtG"/>
        <w:ind w:left="2268"/>
        <w:rPr>
          <w:rFonts w:asciiTheme="majorBidi" w:hAnsiTheme="majorBidi" w:cstheme="majorBidi"/>
        </w:rPr>
      </w:pPr>
      <w:r>
        <w:t>В случае если предписана также категория 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на СИД, применяется спецификация патрона, относящаяся к категории 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света».</w:t>
      </w:r>
    </w:p>
    <w:p w14:paraId="34FFF131" w14:textId="77777777" w:rsidR="00356252" w:rsidRPr="007C02CB" w:rsidRDefault="00356252" w:rsidP="00356252">
      <w:pPr>
        <w:spacing w:after="120"/>
        <w:ind w:left="2268" w:right="1134" w:hanging="1134"/>
        <w:jc w:val="both"/>
      </w:pPr>
      <w:r w:rsidRPr="00974FA3">
        <w:rPr>
          <w:i/>
        </w:rPr>
        <w:t>Включить новый пункт 4.7.7</w:t>
      </w:r>
      <w:r>
        <w:t xml:space="preserve"> следующего содержания:</w:t>
      </w:r>
    </w:p>
    <w:p w14:paraId="59D4B400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>«4.7.7</w:t>
      </w:r>
      <w:r>
        <w:tab/>
        <w:t>Если, по усмотрению заявителя, огонь подлежит также официальному утверждению с альтернативным(и) источником(</w:t>
      </w:r>
      <w:proofErr w:type="spellStart"/>
      <w:r>
        <w:t>ами</w:t>
      </w:r>
      <w:proofErr w:type="spellEnd"/>
      <w:r>
        <w:t>) света на СИД, то все измерения – фотометрические и колориметрические – повторяются с использованием предписанного(</w:t>
      </w:r>
      <w:proofErr w:type="spellStart"/>
      <w:r>
        <w:t>ых</w:t>
      </w:r>
      <w:proofErr w:type="spellEnd"/>
      <w:r>
        <w:t>) 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на СИД».</w:t>
      </w:r>
    </w:p>
    <w:p w14:paraId="500A3D9D" w14:textId="77777777" w:rsidR="00356252" w:rsidRPr="007C02CB" w:rsidRDefault="00356252" w:rsidP="00356252">
      <w:pPr>
        <w:autoSpaceDE w:val="0"/>
        <w:autoSpaceDN w:val="0"/>
        <w:adjustRightInd w:val="0"/>
        <w:spacing w:after="120"/>
        <w:ind w:left="1134" w:right="1134"/>
        <w:jc w:val="both"/>
        <w:rPr>
          <w:i/>
        </w:rPr>
      </w:pPr>
      <w:r>
        <w:rPr>
          <w:i/>
          <w:iCs/>
        </w:rPr>
        <w:t>Приложение 1</w:t>
      </w:r>
      <w:r>
        <w:t xml:space="preserve"> </w:t>
      </w:r>
    </w:p>
    <w:p w14:paraId="33EA932B" w14:textId="77777777" w:rsidR="00356252" w:rsidRPr="007C02CB" w:rsidRDefault="00356252" w:rsidP="00356252">
      <w:pPr>
        <w:autoSpaceDE w:val="0"/>
        <w:autoSpaceDN w:val="0"/>
        <w:adjustRightInd w:val="0"/>
        <w:spacing w:after="120"/>
        <w:ind w:left="1134" w:right="1134"/>
        <w:jc w:val="both"/>
      </w:pPr>
      <w:r w:rsidRPr="00C2550E">
        <w:rPr>
          <w:i/>
        </w:rPr>
        <w:t>Включить новый пункт 9.1.5</w:t>
      </w:r>
      <w:r>
        <w:t xml:space="preserve"> следующего содержания:</w:t>
      </w:r>
    </w:p>
    <w:p w14:paraId="491C9803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>«9.1.5</w:t>
      </w:r>
      <w:r>
        <w:t xml:space="preserve">　　　</w:t>
      </w:r>
      <w:r>
        <w:t>дневной ходовой огонь:</w:t>
      </w:r>
    </w:p>
    <w:p w14:paraId="69007830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ab/>
      </w:r>
      <w:r>
        <w:tab/>
        <w:t>максимальная сила света не превышает 700 кд: да/нет»</w:t>
      </w:r>
    </w:p>
    <w:p w14:paraId="520FC61E" w14:textId="77777777" w:rsidR="00356252" w:rsidRPr="007C02CB" w:rsidRDefault="00356252" w:rsidP="00356252">
      <w:pPr>
        <w:spacing w:after="120"/>
        <w:ind w:left="2268" w:right="1134" w:hanging="1134"/>
        <w:jc w:val="both"/>
      </w:pPr>
      <w:r w:rsidRPr="00C2550E">
        <w:rPr>
          <w:i/>
        </w:rPr>
        <w:t>Приложение 1, пункт 9.2</w:t>
      </w:r>
      <w:r>
        <w:t xml:space="preserve"> изменить следующим образом:</w:t>
      </w:r>
    </w:p>
    <w:p w14:paraId="42305054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>«9.2</w:t>
      </w:r>
      <w:r>
        <w:tab/>
        <w:t>По функции световой сигнализации и категории:</w:t>
      </w:r>
    </w:p>
    <w:p w14:paraId="528681C7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ab/>
        <w:t>Для монтажа либо снаружи, либо внутри, либо в обоих положениях</w:t>
      </w:r>
      <w:r w:rsidRPr="00356252">
        <w:rPr>
          <w:sz w:val="18"/>
          <w:szCs w:val="18"/>
          <w:vertAlign w:val="superscript"/>
        </w:rPr>
        <w:t>2</w:t>
      </w:r>
    </w:p>
    <w:p w14:paraId="0D2D9247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ab/>
        <w:t>Цвет излучаемого света: красный/белый/</w:t>
      </w:r>
      <w:proofErr w:type="spellStart"/>
      <w:r>
        <w:t>автожелтый</w:t>
      </w:r>
      <w:proofErr w:type="spellEnd"/>
      <w:r>
        <w:t>/бесцветный</w:t>
      </w:r>
      <w:r w:rsidRPr="00356252">
        <w:rPr>
          <w:sz w:val="18"/>
          <w:szCs w:val="18"/>
          <w:vertAlign w:val="superscript"/>
        </w:rPr>
        <w:t>2</w:t>
      </w:r>
    </w:p>
    <w:p w14:paraId="28515F3F" w14:textId="77777777" w:rsidR="00356252" w:rsidRPr="007C02CB" w:rsidRDefault="00356252" w:rsidP="00356252">
      <w:pPr>
        <w:spacing w:after="120"/>
        <w:ind w:left="2268" w:right="1134"/>
        <w:jc w:val="both"/>
      </w:pPr>
      <w:r>
        <w:t>Число, категория и тип источника(</w:t>
      </w:r>
      <w:proofErr w:type="spellStart"/>
      <w:r>
        <w:t>ов</w:t>
      </w:r>
      <w:proofErr w:type="spellEnd"/>
      <w:r>
        <w:t>) света:</w:t>
      </w:r>
    </w:p>
    <w:p w14:paraId="54BFC93B" w14:textId="77777777" w:rsidR="00356252" w:rsidRPr="007C02CB" w:rsidRDefault="00356252" w:rsidP="00356252">
      <w:pPr>
        <w:spacing w:after="120"/>
        <w:ind w:left="2268" w:right="1134"/>
        <w:jc w:val="both"/>
      </w:pPr>
      <w:r>
        <w:t>Огонь официально утвержден для 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на СИД: да/нет</w:t>
      </w:r>
      <w:r>
        <w:tab/>
      </w:r>
    </w:p>
    <w:p w14:paraId="5C97B200" w14:textId="77777777" w:rsidR="00356252" w:rsidRPr="007C02CB" w:rsidRDefault="00356252" w:rsidP="00356252">
      <w:pPr>
        <w:spacing w:after="120"/>
        <w:ind w:left="2268" w:right="1134"/>
        <w:jc w:val="both"/>
      </w:pPr>
      <w:r>
        <w:t>Если да, то категория альтернативного(</w:t>
      </w:r>
      <w:proofErr w:type="spellStart"/>
      <w:r>
        <w:t>ых</w:t>
      </w:r>
      <w:proofErr w:type="spellEnd"/>
      <w:r>
        <w:t>) источника(</w:t>
      </w:r>
      <w:proofErr w:type="spellStart"/>
      <w:r>
        <w:t>ов</w:t>
      </w:r>
      <w:proofErr w:type="spellEnd"/>
      <w:r>
        <w:t>) света на СИД</w:t>
      </w:r>
    </w:p>
    <w:p w14:paraId="42949479" w14:textId="77777777" w:rsidR="00356252" w:rsidRPr="007C02CB" w:rsidRDefault="00356252" w:rsidP="00356252">
      <w:pPr>
        <w:spacing w:after="120"/>
        <w:ind w:left="2268" w:right="1134" w:hanging="1134"/>
        <w:jc w:val="both"/>
      </w:pPr>
      <w:r>
        <w:tab/>
        <w:t>Напряжение и мощность:</w:t>
      </w:r>
    </w:p>
    <w:p w14:paraId="5910C411" w14:textId="77777777" w:rsidR="00356252" w:rsidRPr="007C02CB" w:rsidRDefault="00356252" w:rsidP="00356252">
      <w:pPr>
        <w:spacing w:after="120"/>
        <w:ind w:left="2268" w:right="1134"/>
        <w:jc w:val="both"/>
      </w:pPr>
      <w:r>
        <w:t>….»</w:t>
      </w:r>
    </w:p>
    <w:p w14:paraId="733E9F68" w14:textId="77777777" w:rsidR="00356252" w:rsidRDefault="00356252">
      <w:pPr>
        <w:suppressAutoHyphens w:val="0"/>
        <w:spacing w:line="240" w:lineRule="auto"/>
        <w:rPr>
          <w:i/>
          <w:iCs/>
        </w:rPr>
      </w:pPr>
      <w:r>
        <w:rPr>
          <w:i/>
          <w:iCs/>
        </w:rPr>
        <w:br w:type="page"/>
      </w:r>
    </w:p>
    <w:p w14:paraId="447653D0" w14:textId="77777777" w:rsidR="00356252" w:rsidRPr="009C41A3" w:rsidRDefault="00356252" w:rsidP="009C41A3">
      <w:pPr>
        <w:pStyle w:val="SingleTxtG"/>
        <w:rPr>
          <w:i/>
        </w:rPr>
      </w:pPr>
      <w:r w:rsidRPr="009C41A3">
        <w:rPr>
          <w:i/>
        </w:rPr>
        <w:lastRenderedPageBreak/>
        <w:t xml:space="preserve">Приложение 2 </w:t>
      </w:r>
    </w:p>
    <w:p w14:paraId="0A7A364C" w14:textId="77777777" w:rsidR="00356252" w:rsidRPr="007C02CB" w:rsidRDefault="00356252" w:rsidP="009C41A3">
      <w:pPr>
        <w:pStyle w:val="SingleTxtG"/>
      </w:pPr>
      <w:r w:rsidRPr="00C2550E">
        <w:rPr>
          <w:i/>
        </w:rPr>
        <w:t>Таблица A2-1, строку «Задний габаритный огонь – парный (МR)»</w:t>
      </w:r>
      <w:r>
        <w:t xml:space="preserve"> изменить следующим образом:</w:t>
      </w:r>
    </w:p>
    <w:p w14:paraId="0D81AC06" w14:textId="77777777" w:rsidR="00356252" w:rsidRPr="00F748AA" w:rsidRDefault="00356252" w:rsidP="00356252">
      <w:pPr>
        <w:keepNext/>
        <w:tabs>
          <w:tab w:val="left" w:pos="-1242"/>
          <w:tab w:val="left" w:pos="-720"/>
        </w:tabs>
        <w:spacing w:before="120" w:after="120"/>
        <w:ind w:left="1134" w:right="-2"/>
        <w:rPr>
          <w:iCs/>
        </w:rPr>
      </w:pPr>
      <w:r>
        <w:rPr>
          <w:iCs/>
        </w:rPr>
        <w:t>«</w:t>
      </w:r>
    </w:p>
    <w:tbl>
      <w:tblPr>
        <w:tblStyle w:val="TableGrid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890"/>
        <w:gridCol w:w="1665"/>
        <w:gridCol w:w="1281"/>
      </w:tblGrid>
      <w:tr w:rsidR="00356252" w:rsidRPr="00356252" w14:paraId="120B22B2" w14:textId="77777777" w:rsidTr="009C41A3">
        <w:trPr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0E50" w14:textId="77777777" w:rsidR="00356252" w:rsidRPr="00356252" w:rsidRDefault="00356252" w:rsidP="00504135">
            <w:pPr>
              <w:spacing w:before="80" w:after="80" w:line="200" w:lineRule="exact"/>
              <w:ind w:left="57"/>
              <w:rPr>
                <w:rFonts w:cs="Times New Roman"/>
                <w:bCs/>
                <w:i/>
                <w:sz w:val="16"/>
              </w:rPr>
            </w:pPr>
            <w:r w:rsidRPr="00356252">
              <w:rPr>
                <w:rFonts w:cs="Times New Roman"/>
                <w:i/>
                <w:sz w:val="16"/>
              </w:rPr>
              <w:t>Огонь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EC61" w14:textId="77777777" w:rsidR="00356252" w:rsidRPr="00356252" w:rsidRDefault="00356252" w:rsidP="009C41A3">
            <w:pPr>
              <w:spacing w:before="80" w:after="80" w:line="200" w:lineRule="exact"/>
              <w:ind w:left="57"/>
              <w:rPr>
                <w:rFonts w:cs="Times New Roman"/>
                <w:bCs/>
                <w:i/>
                <w:sz w:val="16"/>
              </w:rPr>
            </w:pPr>
            <w:r w:rsidRPr="00356252">
              <w:rPr>
                <w:rFonts w:cs="Times New Roman"/>
                <w:i/>
                <w:sz w:val="16"/>
              </w:rPr>
              <w:t>Мин</w:t>
            </w:r>
            <w:r w:rsidR="009C41A3">
              <w:rPr>
                <w:rFonts w:cs="Times New Roman"/>
                <w:i/>
                <w:sz w:val="16"/>
              </w:rPr>
              <w:t>имальные</w:t>
            </w:r>
            <w:r w:rsidRPr="00356252">
              <w:rPr>
                <w:rFonts w:cs="Times New Roman"/>
                <w:i/>
                <w:sz w:val="16"/>
              </w:rPr>
              <w:t xml:space="preserve"> горизонтальные углы </w:t>
            </w:r>
            <w:r w:rsidR="009C41A3">
              <w:rPr>
                <w:rFonts w:cs="Times New Roman"/>
                <w:i/>
                <w:sz w:val="16"/>
              </w:rPr>
              <w:br/>
            </w:r>
            <w:r w:rsidRPr="00356252">
              <w:rPr>
                <w:rFonts w:cs="Times New Roman"/>
                <w:i/>
                <w:sz w:val="16"/>
              </w:rPr>
              <w:t>(внутри/снаружи)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0C7F" w14:textId="77777777" w:rsidR="00356252" w:rsidRPr="00356252" w:rsidRDefault="00356252" w:rsidP="009C41A3">
            <w:pPr>
              <w:spacing w:before="80" w:after="80" w:line="200" w:lineRule="exact"/>
              <w:ind w:left="57"/>
              <w:rPr>
                <w:rFonts w:cs="Times New Roman"/>
                <w:bCs/>
                <w:i/>
                <w:sz w:val="16"/>
              </w:rPr>
            </w:pPr>
            <w:r w:rsidRPr="00356252">
              <w:rPr>
                <w:rFonts w:cs="Times New Roman"/>
                <w:i/>
                <w:sz w:val="16"/>
              </w:rPr>
              <w:t>Минимальные вертикальные углы (выше/ниже)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3402" w14:textId="77777777" w:rsidR="00356252" w:rsidRPr="00356252" w:rsidRDefault="00356252" w:rsidP="009C41A3">
            <w:pPr>
              <w:spacing w:before="80" w:after="80" w:line="200" w:lineRule="exact"/>
              <w:ind w:left="57"/>
              <w:rPr>
                <w:rFonts w:cs="Times New Roman"/>
                <w:bCs/>
                <w:i/>
                <w:sz w:val="16"/>
              </w:rPr>
            </w:pPr>
            <w:r w:rsidRPr="00356252">
              <w:rPr>
                <w:rFonts w:cs="Times New Roman"/>
                <w:i/>
                <w:sz w:val="16"/>
              </w:rPr>
              <w:t>Дополнительная информация</w:t>
            </w:r>
          </w:p>
        </w:tc>
      </w:tr>
      <w:tr w:rsidR="00356252" w:rsidRPr="00356252" w14:paraId="4426387C" w14:textId="77777777" w:rsidTr="009C41A3">
        <w:trPr>
          <w:trHeight w:hRule="exact" w:val="113"/>
        </w:trPr>
        <w:tc>
          <w:tcPr>
            <w:tcW w:w="25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EC4C7" w14:textId="77777777" w:rsidR="00356252" w:rsidRPr="00356252" w:rsidRDefault="00356252" w:rsidP="00504135">
            <w:pPr>
              <w:spacing w:before="40" w:after="120"/>
              <w:ind w:left="57"/>
              <w:rPr>
                <w:rFonts w:cs="Times New Roman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F664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C039D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7B18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</w:rPr>
            </w:pPr>
          </w:p>
        </w:tc>
      </w:tr>
      <w:tr w:rsidR="00356252" w:rsidRPr="00356252" w14:paraId="1DBC03C4" w14:textId="77777777" w:rsidTr="009C41A3"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D50D" w14:textId="77777777" w:rsidR="00356252" w:rsidRPr="00356252" w:rsidRDefault="00356252" w:rsidP="00504135">
            <w:pPr>
              <w:spacing w:before="40" w:after="120"/>
              <w:ind w:left="57"/>
              <w:rPr>
                <w:rFonts w:cs="Times New Roman"/>
                <w:szCs w:val="18"/>
              </w:rPr>
            </w:pPr>
            <w:r w:rsidRPr="00356252">
              <w:rPr>
                <w:rFonts w:cs="Times New Roman"/>
              </w:rPr>
              <w:t>…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0BB2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7971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AC5B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</w:p>
        </w:tc>
      </w:tr>
      <w:tr w:rsidR="00356252" w:rsidRPr="00356252" w14:paraId="1BA80D1B" w14:textId="77777777" w:rsidTr="009C41A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2E79" w14:textId="77777777" w:rsidR="00356252" w:rsidRPr="00356252" w:rsidRDefault="00356252" w:rsidP="00504135">
            <w:pPr>
              <w:spacing w:before="40" w:after="120"/>
              <w:ind w:left="57"/>
              <w:rPr>
                <w:rFonts w:cs="Times New Roman"/>
                <w:szCs w:val="18"/>
              </w:rPr>
            </w:pPr>
            <w:r w:rsidRPr="00356252">
              <w:rPr>
                <w:rFonts w:cs="Times New Roman"/>
              </w:rPr>
              <w:t>Задний габаритный огонь – парный (МR)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C19C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  <w:r w:rsidRPr="00356252">
              <w:rPr>
                <w:rFonts w:cs="Times New Roman"/>
              </w:rPr>
              <w:t>20/80°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357F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  <w:r w:rsidRPr="00356252">
              <w:rPr>
                <w:rFonts w:cs="Times New Roman"/>
                <w:szCs w:val="18"/>
              </w:rPr>
              <w:t>15/15°</w:t>
            </w:r>
          </w:p>
          <w:p w14:paraId="68C908F9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  <w:r w:rsidRPr="00356252">
              <w:rPr>
                <w:rFonts w:cs="Times New Roman"/>
                <w:szCs w:val="18"/>
              </w:rPr>
              <w:t>15/5°</w:t>
            </w:r>
            <w:r w:rsidRPr="00356252">
              <w:rPr>
                <w:rFonts w:cs="Times New Roman"/>
                <w:szCs w:val="18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2F5F" w14:textId="77777777" w:rsidR="00356252" w:rsidRPr="00356252" w:rsidRDefault="009C41A3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–</w:t>
            </w:r>
          </w:p>
        </w:tc>
      </w:tr>
      <w:tr w:rsidR="00356252" w:rsidRPr="00356252" w14:paraId="4CFBCD99" w14:textId="77777777" w:rsidTr="009C41A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0B8420" w14:textId="77777777" w:rsidR="00356252" w:rsidRPr="00356252" w:rsidRDefault="00356252" w:rsidP="00504135">
            <w:pPr>
              <w:spacing w:before="40" w:after="120"/>
              <w:ind w:left="57"/>
              <w:rPr>
                <w:rFonts w:cs="Times New Roman"/>
                <w:szCs w:val="18"/>
              </w:rPr>
            </w:pPr>
            <w:r w:rsidRPr="00356252">
              <w:rPr>
                <w:rFonts w:cs="Times New Roman"/>
              </w:rPr>
              <w:t>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D885C1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903DEB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  <w:vertAlign w:val="superscript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A41D10" w14:textId="77777777" w:rsidR="00356252" w:rsidRPr="00356252" w:rsidRDefault="00356252" w:rsidP="009C41A3">
            <w:pPr>
              <w:spacing w:before="40" w:after="120"/>
              <w:ind w:left="57"/>
              <w:rPr>
                <w:rFonts w:cs="Times New Roman"/>
                <w:szCs w:val="18"/>
              </w:rPr>
            </w:pPr>
          </w:p>
        </w:tc>
      </w:tr>
    </w:tbl>
    <w:p w14:paraId="730B37CD" w14:textId="77777777" w:rsidR="00356252" w:rsidRDefault="009C41A3" w:rsidP="009C41A3">
      <w:pPr>
        <w:pStyle w:val="SingleTxtG"/>
        <w:jc w:val="right"/>
      </w:pPr>
      <w:r>
        <w:t>»</w:t>
      </w:r>
    </w:p>
    <w:p w14:paraId="1068AFC8" w14:textId="77777777" w:rsidR="00356252" w:rsidRPr="009C41A3" w:rsidRDefault="009C41A3" w:rsidP="009C41A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56252" w:rsidRPr="009C41A3" w:rsidSect="0035625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EEDC0" w14:textId="77777777" w:rsidR="00672907" w:rsidRPr="00A312BC" w:rsidRDefault="00672907" w:rsidP="00A312BC"/>
  </w:endnote>
  <w:endnote w:type="continuationSeparator" w:id="0">
    <w:p w14:paraId="2AD3253A" w14:textId="77777777" w:rsidR="00672907" w:rsidRPr="00A312BC" w:rsidRDefault="0067290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E5E9" w14:textId="77777777" w:rsidR="00356252" w:rsidRPr="00356252" w:rsidRDefault="00356252">
    <w:pPr>
      <w:pStyle w:val="Footer"/>
    </w:pPr>
    <w:r w:rsidRPr="00356252">
      <w:rPr>
        <w:b/>
        <w:sz w:val="18"/>
      </w:rPr>
      <w:fldChar w:fldCharType="begin"/>
    </w:r>
    <w:r w:rsidRPr="00356252">
      <w:rPr>
        <w:b/>
        <w:sz w:val="18"/>
      </w:rPr>
      <w:instrText xml:space="preserve"> PAGE  \* MERGEFORMAT </w:instrText>
    </w:r>
    <w:r w:rsidRPr="00356252">
      <w:rPr>
        <w:b/>
        <w:sz w:val="18"/>
      </w:rPr>
      <w:fldChar w:fldCharType="separate"/>
    </w:r>
    <w:r w:rsidR="007F587A">
      <w:rPr>
        <w:b/>
        <w:noProof/>
        <w:sz w:val="18"/>
      </w:rPr>
      <w:t>2</w:t>
    </w:r>
    <w:r w:rsidRPr="00356252">
      <w:rPr>
        <w:b/>
        <w:sz w:val="18"/>
      </w:rPr>
      <w:fldChar w:fldCharType="end"/>
    </w:r>
    <w:r>
      <w:rPr>
        <w:b/>
        <w:sz w:val="18"/>
      </w:rPr>
      <w:tab/>
    </w:r>
    <w:r>
      <w:t>GE.19-14753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956D" w14:textId="77777777" w:rsidR="00356252" w:rsidRPr="00356252" w:rsidRDefault="00356252" w:rsidP="00356252">
    <w:pPr>
      <w:pStyle w:val="Footer"/>
      <w:tabs>
        <w:tab w:val="clear" w:pos="9639"/>
        <w:tab w:val="right" w:pos="9638"/>
      </w:tabs>
      <w:rPr>
        <w:b/>
        <w:sz w:val="18"/>
      </w:rPr>
    </w:pPr>
    <w:r>
      <w:t>GE.19-14753</w:t>
    </w:r>
    <w:r>
      <w:tab/>
    </w:r>
    <w:r w:rsidRPr="00356252">
      <w:rPr>
        <w:b/>
        <w:sz w:val="18"/>
      </w:rPr>
      <w:fldChar w:fldCharType="begin"/>
    </w:r>
    <w:r w:rsidRPr="00356252">
      <w:rPr>
        <w:b/>
        <w:sz w:val="18"/>
      </w:rPr>
      <w:instrText xml:space="preserve"> PAGE  \* MERGEFORMAT </w:instrText>
    </w:r>
    <w:r w:rsidRPr="00356252">
      <w:rPr>
        <w:b/>
        <w:sz w:val="18"/>
      </w:rPr>
      <w:fldChar w:fldCharType="separate"/>
    </w:r>
    <w:r w:rsidR="007F587A">
      <w:rPr>
        <w:b/>
        <w:noProof/>
        <w:sz w:val="18"/>
      </w:rPr>
      <w:t>3</w:t>
    </w:r>
    <w:r w:rsidRPr="0035625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CDB4" w14:textId="77777777" w:rsidR="00042B72" w:rsidRPr="00356252" w:rsidRDefault="00356252" w:rsidP="00356252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75C09A31" wp14:editId="78E83FC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19-</w:t>
    </w:r>
    <w:proofErr w:type="gramStart"/>
    <w:r>
      <w:t>14753  (</w:t>
    </w:r>
    <w:proofErr w:type="gramEnd"/>
    <w:r>
      <w:t>R)</w:t>
    </w:r>
    <w:r>
      <w:rPr>
        <w:lang w:val="en-US"/>
      </w:rPr>
      <w:t xml:space="preserve">  090919  100919</w:t>
    </w:r>
    <w:r>
      <w:br/>
    </w:r>
    <w:r w:rsidRPr="00356252">
      <w:rPr>
        <w:rFonts w:ascii="C39T30Lfz" w:hAnsi="C39T30Lfz"/>
        <w:kern w:val="14"/>
        <w:sz w:val="56"/>
      </w:rPr>
      <w:t></w:t>
    </w:r>
    <w:r w:rsidRPr="00356252">
      <w:rPr>
        <w:rFonts w:ascii="C39T30Lfz" w:hAnsi="C39T30Lfz"/>
        <w:kern w:val="14"/>
        <w:sz w:val="56"/>
      </w:rPr>
      <w:t></w:t>
    </w:r>
    <w:r w:rsidRPr="00356252">
      <w:rPr>
        <w:rFonts w:ascii="C39T30Lfz" w:hAnsi="C39T30Lfz"/>
        <w:kern w:val="14"/>
        <w:sz w:val="56"/>
      </w:rPr>
      <w:t></w:t>
    </w:r>
    <w:r w:rsidRPr="00356252">
      <w:rPr>
        <w:rFonts w:ascii="C39T30Lfz" w:hAnsi="C39T30Lfz"/>
        <w:kern w:val="14"/>
        <w:sz w:val="56"/>
      </w:rPr>
      <w:t></w:t>
    </w:r>
    <w:r w:rsidRPr="00356252">
      <w:rPr>
        <w:rFonts w:ascii="C39T30Lfz" w:hAnsi="C39T30Lfz"/>
        <w:kern w:val="14"/>
        <w:sz w:val="56"/>
      </w:rPr>
      <w:t></w:t>
    </w:r>
    <w:r w:rsidRPr="00356252">
      <w:rPr>
        <w:rFonts w:ascii="C39T30Lfz" w:hAnsi="C39T30Lfz"/>
        <w:kern w:val="14"/>
        <w:sz w:val="56"/>
      </w:rPr>
      <w:t></w:t>
    </w:r>
    <w:r w:rsidRPr="00356252">
      <w:rPr>
        <w:rFonts w:ascii="C39T30Lfz" w:hAnsi="C39T30Lfz"/>
        <w:kern w:val="14"/>
        <w:sz w:val="56"/>
      </w:rPr>
      <w:t></w:t>
    </w:r>
    <w:r w:rsidRPr="00356252">
      <w:rPr>
        <w:rFonts w:ascii="C39T30Lfz" w:hAnsi="C39T30Lfz"/>
        <w:kern w:val="14"/>
        <w:sz w:val="56"/>
      </w:rPr>
      <w:t></w:t>
    </w:r>
    <w:r w:rsidRPr="00356252">
      <w:rPr>
        <w:rFonts w:ascii="C39T30Lfz" w:hAnsi="C39T30Lfz"/>
        <w:kern w:val="14"/>
        <w:sz w:val="56"/>
      </w:rPr>
      <w:t></w: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0E4EBB4" wp14:editId="6933037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CE/TRANS/WP.29/2019/81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2019/81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50553" w14:textId="77777777" w:rsidR="00672907" w:rsidRPr="001075E9" w:rsidRDefault="0067290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0AE9866" w14:textId="77777777" w:rsidR="00672907" w:rsidRDefault="0067290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51923CE" w14:textId="77777777" w:rsidR="00356252" w:rsidRPr="00706101" w:rsidRDefault="00356252" w:rsidP="00356252">
      <w:pPr>
        <w:pStyle w:val="FootnoteText"/>
      </w:pPr>
      <w:r>
        <w:tab/>
      </w:r>
      <w:r w:rsidRPr="00356252">
        <w:rPr>
          <w:sz w:val="20"/>
        </w:rPr>
        <w:t>*</w:t>
      </w:r>
      <w:r>
        <w:tab/>
        <w:t>В соответствии с программой работы Комитета по внутреннему транспорту на 2018–2019 годы (ECE/TRANS/274, пункт 123, и ECE/TRANS/2018/21/Add.1, направление деятельности 3.1)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3A6DD" w14:textId="244DE9AE" w:rsidR="00356252" w:rsidRPr="00356252" w:rsidRDefault="000B121E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ECE/TRANS/WP.29/2019/81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7F6C" w14:textId="181F819C" w:rsidR="00356252" w:rsidRPr="00356252" w:rsidRDefault="000B121E" w:rsidP="0035625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ECE/TRANS/WP.29/2019/81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07"/>
    <w:rsid w:val="00033EE1"/>
    <w:rsid w:val="00042B72"/>
    <w:rsid w:val="000558BD"/>
    <w:rsid w:val="000B121E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40481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625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04135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72907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F587A"/>
    <w:rsid w:val="00806737"/>
    <w:rsid w:val="00825F8D"/>
    <w:rsid w:val="00834B71"/>
    <w:rsid w:val="0086445C"/>
    <w:rsid w:val="00894693"/>
    <w:rsid w:val="008A08D7"/>
    <w:rsid w:val="008A0F06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41A3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397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E60E2"/>
  <w15:docId w15:val="{5B10ED04-459A-40D2-B82A-C9F4FB2B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link w:val="SingleTxtGChar"/>
    <w:qFormat/>
    <w:rsid w:val="00C71E84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617A43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617A43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617A43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,PP,Footnote Text Char,5_G_6"/>
    <w:basedOn w:val="Normal"/>
    <w:link w:val="FootnoteTextChar1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1">
    <w:name w:val="Footnote Text Char1"/>
    <w:aliases w:val="5_G Char,PP Char,Footnote Text Char Char,5_G_6 Char"/>
    <w:basedOn w:val="DefaultParagraphFont"/>
    <w:link w:val="FootnoteText"/>
    <w:rsid w:val="00617A43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617A43"/>
  </w:style>
  <w:style w:type="character" w:customStyle="1" w:styleId="EndnoteTextChar">
    <w:name w:val="Endnote Text Char"/>
    <w:aliases w:val="2_G Char"/>
    <w:basedOn w:val="DefaultParagraphFont"/>
    <w:link w:val="EndnoteText"/>
    <w:rsid w:val="00617A43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617A43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617A4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617A43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356252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rsid w:val="00356252"/>
    <w:rPr>
      <w:lang w:val="ru-RU" w:eastAsia="en-US"/>
    </w:rPr>
  </w:style>
  <w:style w:type="character" w:customStyle="1" w:styleId="HChGChar">
    <w:name w:val="_ H _Ch_G Char"/>
    <w:link w:val="HChG"/>
    <w:rsid w:val="00356252"/>
    <w:rPr>
      <w:b/>
      <w:sz w:val="28"/>
      <w:lang w:val="ru-RU" w:eastAsia="ru-RU"/>
    </w:rPr>
  </w:style>
  <w:style w:type="paragraph" w:customStyle="1" w:styleId="para">
    <w:name w:val="para"/>
    <w:basedOn w:val="SingleTxtG"/>
    <w:link w:val="paraChar"/>
    <w:qFormat/>
    <w:rsid w:val="00356252"/>
    <w:pPr>
      <w:ind w:left="2268" w:hanging="1134"/>
    </w:pPr>
    <w:rPr>
      <w:rFonts w:eastAsia="MS Mincho"/>
      <w:lang w:val="en-GB"/>
    </w:rPr>
  </w:style>
  <w:style w:type="character" w:customStyle="1" w:styleId="paraChar">
    <w:name w:val="para Char"/>
    <w:link w:val="para"/>
    <w:rsid w:val="00356252"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ECE/TRANS/WP.29/2019/81</vt:lpstr>
      <vt:lpstr>ECE/TRANS/WP.29/2019/81</vt:lpstr>
      <vt:lpstr>A/</vt:lpstr>
    </vt:vector>
  </TitlesOfParts>
  <Company>DCM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ECE/TRANS/WP.29/2019/81</dc:title>
  <dc:subject/>
  <dc:creator>Marina KOROTKOVA</dc:creator>
  <cp:keywords/>
  <cp:lastModifiedBy>Marie-Claude Collet</cp:lastModifiedBy>
  <cp:revision>3</cp:revision>
  <cp:lastPrinted>2019-10-01T11:45:00Z</cp:lastPrinted>
  <dcterms:created xsi:type="dcterms:W3CDTF">2019-10-01T11:45:00Z</dcterms:created>
  <dcterms:modified xsi:type="dcterms:W3CDTF">2019-10-01T11:46:00Z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