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5C37C2" w:rsidTr="000216CC">
        <w:trPr>
          <w:trHeight w:val="851"/>
        </w:trPr>
        <w:tc>
          <w:tcPr>
            <w:tcW w:w="1259" w:type="dxa"/>
            <w:tcBorders>
              <w:top w:val="nil"/>
              <w:left w:val="nil"/>
              <w:bottom w:val="single" w:sz="4" w:space="0" w:color="auto"/>
              <w:right w:val="nil"/>
            </w:tcBorders>
            <w:shd w:val="clear" w:color="auto" w:fill="auto"/>
          </w:tcPr>
          <w:p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302A3D" w:rsidRDefault="003003A7" w:rsidP="003003A7">
            <w:pPr>
              <w:jc w:val="right"/>
              <w:rPr>
                <w:b/>
                <w:sz w:val="40"/>
                <w:szCs w:val="40"/>
                <w:lang w:val="fr-FR"/>
              </w:rPr>
            </w:pPr>
            <w:r w:rsidRPr="00302A3D">
              <w:rPr>
                <w:b/>
                <w:sz w:val="40"/>
                <w:szCs w:val="40"/>
                <w:lang w:val="fr-FR"/>
              </w:rPr>
              <w:t>UN/SCETDG/</w:t>
            </w:r>
            <w:r w:rsidR="00FD5246">
              <w:rPr>
                <w:b/>
                <w:sz w:val="40"/>
                <w:szCs w:val="40"/>
                <w:lang w:val="fr-FR"/>
              </w:rPr>
              <w:t>56</w:t>
            </w:r>
            <w:r w:rsidRPr="00302A3D">
              <w:rPr>
                <w:b/>
                <w:sz w:val="40"/>
                <w:szCs w:val="40"/>
                <w:lang w:val="fr-FR"/>
              </w:rPr>
              <w:t>/INF.</w:t>
            </w:r>
            <w:r w:rsidR="00773E4B">
              <w:rPr>
                <w:b/>
                <w:sz w:val="40"/>
                <w:szCs w:val="40"/>
                <w:lang w:val="fr-FR"/>
              </w:rPr>
              <w:t>8</w:t>
            </w:r>
          </w:p>
          <w:p w:rsidR="003003A7" w:rsidRPr="00302A3D" w:rsidRDefault="003003A7" w:rsidP="003003A7">
            <w:pPr>
              <w:jc w:val="right"/>
              <w:rPr>
                <w:b/>
                <w:sz w:val="40"/>
                <w:szCs w:val="40"/>
                <w:lang w:val="fr-FR"/>
              </w:rPr>
            </w:pPr>
            <w:r w:rsidRPr="00302A3D">
              <w:rPr>
                <w:b/>
                <w:sz w:val="40"/>
                <w:szCs w:val="40"/>
                <w:lang w:val="fr-FR"/>
              </w:rPr>
              <w:t>UN/SCEGHS/</w:t>
            </w:r>
            <w:r w:rsidR="00FD5246">
              <w:rPr>
                <w:b/>
                <w:sz w:val="40"/>
                <w:szCs w:val="40"/>
                <w:lang w:val="fr-FR"/>
              </w:rPr>
              <w:t>38</w:t>
            </w:r>
            <w:r w:rsidRPr="00302A3D">
              <w:rPr>
                <w:b/>
                <w:sz w:val="40"/>
                <w:szCs w:val="40"/>
                <w:lang w:val="fr-FR"/>
              </w:rPr>
              <w:t>/INF.</w:t>
            </w:r>
            <w:r w:rsidR="00773E4B">
              <w:rPr>
                <w:b/>
                <w:sz w:val="40"/>
                <w:szCs w:val="40"/>
                <w:lang w:val="fr-FR"/>
              </w:rPr>
              <w:t>6</w:t>
            </w:r>
          </w:p>
          <w:p w:rsidR="003003A7" w:rsidRPr="00302A3D" w:rsidRDefault="003003A7" w:rsidP="003003A7">
            <w:pPr>
              <w:jc w:val="right"/>
              <w:rPr>
                <w:lang w:val="fr-FR"/>
              </w:rPr>
            </w:pPr>
          </w:p>
        </w:tc>
      </w:tr>
    </w:tbl>
    <w:p w:rsidR="000019B8" w:rsidRPr="00302A3D"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302A3D" w:rsidTr="00165735">
        <w:tc>
          <w:tcPr>
            <w:tcW w:w="9645" w:type="dxa"/>
            <w:gridSpan w:val="2"/>
            <w:tcMar>
              <w:top w:w="142" w:type="dxa"/>
              <w:left w:w="108" w:type="dxa"/>
              <w:bottom w:w="142" w:type="dxa"/>
              <w:right w:w="108" w:type="dxa"/>
            </w:tcMar>
          </w:tcPr>
          <w:p w:rsidR="00645A0B" w:rsidRPr="00302A3D" w:rsidRDefault="00645A0B" w:rsidP="00FD5246">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9958F0">
              <w:rPr>
                <w:b/>
              </w:rPr>
              <w:t>1 November</w:t>
            </w:r>
            <w:r w:rsidR="007932E3" w:rsidRPr="00302A3D">
              <w:rPr>
                <w:b/>
              </w:rPr>
              <w:t xml:space="preserve"> </w:t>
            </w:r>
            <w:r w:rsidR="00D42C29" w:rsidRPr="00302A3D">
              <w:rPr>
                <w:b/>
                <w:sz w:val="18"/>
                <w:szCs w:val="24"/>
              </w:rPr>
              <w:t>2019</w:t>
            </w:r>
          </w:p>
        </w:tc>
      </w:tr>
      <w:tr w:rsidR="003003A7" w:rsidRPr="00302A3D" w:rsidTr="00165735">
        <w:tc>
          <w:tcPr>
            <w:tcW w:w="4652"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Sub-Committee of Experts on the Globally Harmonized System of Classification and Labelling of Chemicals</w:t>
            </w:r>
          </w:p>
        </w:tc>
      </w:tr>
      <w:tr w:rsidR="003003A7" w:rsidRPr="00302A3D" w:rsidTr="00165735">
        <w:tc>
          <w:tcPr>
            <w:tcW w:w="4652"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Fifty-</w:t>
            </w:r>
            <w:r w:rsidR="00FD5246">
              <w:rPr>
                <w:b/>
              </w:rPr>
              <w:t>sixth</w:t>
            </w:r>
            <w:r w:rsidRPr="00302A3D">
              <w:rPr>
                <w:b/>
              </w:rPr>
              <w:t xml:space="preserve"> session</w:t>
            </w:r>
          </w:p>
        </w:tc>
        <w:tc>
          <w:tcPr>
            <w:tcW w:w="4993"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Thirty-</w:t>
            </w:r>
            <w:r w:rsidR="00FD5246">
              <w:rPr>
                <w:b/>
              </w:rPr>
              <w:t>eight</w:t>
            </w:r>
            <w:r w:rsidRPr="00302A3D">
              <w:rPr>
                <w:b/>
              </w:rPr>
              <w:t xml:space="preserve"> session </w:t>
            </w:r>
          </w:p>
        </w:tc>
      </w:tr>
      <w:tr w:rsidR="003003A7" w:rsidRPr="000B4919" w:rsidTr="00165735">
        <w:tc>
          <w:tcPr>
            <w:tcW w:w="4652" w:type="dxa"/>
            <w:tcMar>
              <w:top w:w="28" w:type="dxa"/>
              <w:left w:w="108" w:type="dxa"/>
              <w:bottom w:w="0" w:type="dxa"/>
              <w:right w:w="108" w:type="dxa"/>
            </w:tcMar>
          </w:tcPr>
          <w:p w:rsidR="00FD5246" w:rsidRDefault="00FD5246" w:rsidP="002F1915">
            <w:pPr>
              <w:spacing w:before="40"/>
            </w:pPr>
            <w:r w:rsidRPr="00FD5246">
              <w:t xml:space="preserve">Geneva, 2-11 December 2019 </w:t>
            </w:r>
          </w:p>
          <w:p w:rsidR="00FD5246" w:rsidRDefault="00FD5246" w:rsidP="002F1915">
            <w:pPr>
              <w:spacing w:before="40"/>
            </w:pPr>
            <w:r w:rsidRPr="00FD5246">
              <w:t xml:space="preserve">Item 10 (d) of the provisional agenda </w:t>
            </w:r>
          </w:p>
          <w:p w:rsidR="003003A7" w:rsidRPr="00FD5246" w:rsidRDefault="00FD5246" w:rsidP="002F1915">
            <w:pPr>
              <w:spacing w:before="40"/>
              <w:rPr>
                <w:b/>
                <w:bCs/>
              </w:rPr>
            </w:pPr>
            <w:r w:rsidRPr="00FD5246">
              <w:rPr>
                <w:b/>
              </w:rPr>
              <w:t>Issues relating to the Globally Harmonized System of Classification and Labelling of Chemicals: review of Chapter 2.1</w:t>
            </w:r>
          </w:p>
        </w:tc>
        <w:tc>
          <w:tcPr>
            <w:tcW w:w="4993" w:type="dxa"/>
            <w:tcMar>
              <w:top w:w="28" w:type="dxa"/>
              <w:left w:w="108" w:type="dxa"/>
              <w:bottom w:w="0" w:type="dxa"/>
              <w:right w:w="108" w:type="dxa"/>
            </w:tcMar>
          </w:tcPr>
          <w:p w:rsidR="003003A7" w:rsidRPr="00302A3D" w:rsidRDefault="003003A7" w:rsidP="003003A7">
            <w:pPr>
              <w:spacing w:before="40"/>
            </w:pPr>
            <w:r w:rsidRPr="00302A3D">
              <w:t xml:space="preserve">Geneva, </w:t>
            </w:r>
            <w:r w:rsidR="00FD5246">
              <w:t>11</w:t>
            </w:r>
            <w:r w:rsidR="00E26269" w:rsidRPr="00302A3D">
              <w:t>-1</w:t>
            </w:r>
            <w:r w:rsidR="00FD5246">
              <w:t>3</w:t>
            </w:r>
            <w:r w:rsidR="00E26269" w:rsidRPr="00302A3D">
              <w:t xml:space="preserve"> </w:t>
            </w:r>
            <w:r w:rsidR="00FD5246">
              <w:t>December</w:t>
            </w:r>
            <w:r w:rsidR="00E26269" w:rsidRPr="00302A3D">
              <w:t xml:space="preserve"> 2019</w:t>
            </w:r>
          </w:p>
          <w:p w:rsidR="003003A7" w:rsidRPr="00302A3D" w:rsidRDefault="003003A7" w:rsidP="003003A7">
            <w:pPr>
              <w:spacing w:before="40"/>
            </w:pPr>
            <w:r w:rsidRPr="00302A3D">
              <w:t xml:space="preserve">Item </w:t>
            </w:r>
            <w:r w:rsidR="00E26269" w:rsidRPr="00302A3D">
              <w:t>2</w:t>
            </w:r>
            <w:r w:rsidR="006B4518" w:rsidRPr="00302A3D">
              <w:t xml:space="preserve"> (b</w:t>
            </w:r>
            <w:r w:rsidRPr="00302A3D">
              <w:t>) of the provisional agenda</w:t>
            </w:r>
          </w:p>
          <w:p w:rsidR="003003A7" w:rsidRPr="006B4518" w:rsidRDefault="003003A7" w:rsidP="003003A7">
            <w:pPr>
              <w:spacing w:before="40"/>
              <w:rPr>
                <w:b/>
              </w:rPr>
            </w:pPr>
            <w:r w:rsidRPr="00302A3D">
              <w:rPr>
                <w:b/>
              </w:rPr>
              <w:t xml:space="preserve">Classification criteria and related hazard communication: </w:t>
            </w:r>
            <w:r w:rsidR="006B4518" w:rsidRPr="00302A3D">
              <w:rPr>
                <w:b/>
              </w:rPr>
              <w:t>review of Chapter 2.1</w:t>
            </w:r>
          </w:p>
        </w:tc>
      </w:tr>
    </w:tbl>
    <w:p w:rsidR="0086013A" w:rsidRPr="00E4220C" w:rsidRDefault="009958F0" w:rsidP="00CF6D3F">
      <w:pPr>
        <w:pStyle w:val="HChG"/>
        <w:rPr>
          <w:rFonts w:eastAsia="MS Mincho"/>
          <w:sz w:val="24"/>
          <w:lang w:val="en-GB" w:eastAsia="ja-JP"/>
        </w:rPr>
      </w:pPr>
      <w:r>
        <w:rPr>
          <w:rFonts w:eastAsia="MS Mincho"/>
          <w:lang w:val="en-GB" w:eastAsia="ja-JP"/>
        </w:rPr>
        <w:tab/>
      </w:r>
      <w:r>
        <w:rPr>
          <w:rFonts w:eastAsia="MS Mincho"/>
          <w:lang w:val="en-GB" w:eastAsia="ja-JP"/>
        </w:rPr>
        <w:tab/>
      </w:r>
      <w:r w:rsidR="00FD5246" w:rsidRPr="0053772A">
        <w:rPr>
          <w:rFonts w:eastAsia="MS Mincho"/>
          <w:lang w:val="en-GB" w:eastAsia="ja-JP"/>
        </w:rPr>
        <w:t>Advanced draft of a new Chapter 2.1</w:t>
      </w:r>
      <w:r w:rsidR="00280B48">
        <w:rPr>
          <w:rFonts w:eastAsia="MS Mincho"/>
          <w:lang w:val="en-GB" w:eastAsia="ja-JP"/>
        </w:rPr>
        <w:t xml:space="preserve"> for the GHS</w:t>
      </w:r>
    </w:p>
    <w:p w:rsidR="00FD5246" w:rsidRPr="008678DA" w:rsidRDefault="0086013A" w:rsidP="008678DA">
      <w:pPr>
        <w:pStyle w:val="H1G"/>
        <w:rPr>
          <w:rFonts w:eastAsia="MS Mincho"/>
          <w:sz w:val="20"/>
        </w:rPr>
      </w:pPr>
      <w:r w:rsidRPr="00DA3263">
        <w:rPr>
          <w:rFonts w:eastAsia="MS Mincho"/>
          <w:sz w:val="20"/>
        </w:rPr>
        <w:tab/>
      </w:r>
      <w:r w:rsidRPr="00DA3263">
        <w:rPr>
          <w:rFonts w:eastAsia="MS Mincho"/>
          <w:sz w:val="20"/>
        </w:rPr>
        <w:tab/>
      </w:r>
      <w:r w:rsidRPr="009152C9">
        <w:rPr>
          <w:rFonts w:eastAsia="MS Mincho"/>
        </w:rPr>
        <w:t xml:space="preserve">Transmitted by the </w:t>
      </w:r>
      <w:r>
        <w:t>expert from Sweden</w:t>
      </w:r>
    </w:p>
    <w:p w:rsidR="00FD5246" w:rsidRPr="00FD5246" w:rsidRDefault="009958F0" w:rsidP="009958F0">
      <w:pPr>
        <w:pStyle w:val="HChG"/>
      </w:pPr>
      <w:r>
        <w:tab/>
      </w:r>
      <w:r>
        <w:tab/>
      </w:r>
      <w:r w:rsidR="00A779F3">
        <w:t>Introduction</w:t>
      </w:r>
    </w:p>
    <w:p w:rsidR="00353524" w:rsidRPr="00D53210" w:rsidRDefault="00353524" w:rsidP="0086013A">
      <w:pPr>
        <w:pStyle w:val="SingleTxtG"/>
        <w:numPr>
          <w:ilvl w:val="0"/>
          <w:numId w:val="28"/>
        </w:numPr>
        <w:tabs>
          <w:tab w:val="right" w:pos="1710"/>
        </w:tabs>
        <w:ind w:left="1170" w:hanging="36"/>
      </w:pPr>
      <w:r>
        <w:rPr>
          <w:lang w:val="en-GB"/>
        </w:rPr>
        <w:t xml:space="preserve">In document </w:t>
      </w:r>
      <w:r w:rsidR="00D76C68">
        <w:rPr>
          <w:lang w:val="en-GB"/>
        </w:rPr>
        <w:t xml:space="preserve">ST/SG/AC.10/C.4/2019/10 </w:t>
      </w:r>
      <w:r>
        <w:rPr>
          <w:lang w:val="en-GB"/>
        </w:rPr>
        <w:t>to the 38</w:t>
      </w:r>
      <w:r w:rsidR="009958F0" w:rsidRPr="009958F0">
        <w:rPr>
          <w:vertAlign w:val="superscript"/>
          <w:lang w:val="en-GB"/>
        </w:rPr>
        <w:t>th</w:t>
      </w:r>
      <w:r w:rsidR="009958F0">
        <w:rPr>
          <w:lang w:val="en-GB"/>
        </w:rPr>
        <w:t xml:space="preserve"> </w:t>
      </w:r>
      <w:r>
        <w:rPr>
          <w:lang w:val="en-GB"/>
        </w:rPr>
        <w:t>session of the SCEGHS</w:t>
      </w:r>
      <w:r w:rsidR="009549D5">
        <w:rPr>
          <w:lang w:val="en-GB"/>
        </w:rPr>
        <w:t xml:space="preserve"> </w:t>
      </w:r>
      <w:r w:rsidR="00EF3FB0">
        <w:rPr>
          <w:rStyle w:val="FootnoteReference"/>
          <w:lang w:val="en-GB"/>
        </w:rPr>
        <w:footnoteReference w:id="2"/>
      </w:r>
      <w:r>
        <w:rPr>
          <w:lang w:val="en-GB"/>
        </w:rPr>
        <w:t>, a status report of the work on reviewing G</w:t>
      </w:r>
      <w:r w:rsidR="0053772A">
        <w:rPr>
          <w:lang w:val="en-GB"/>
        </w:rPr>
        <w:t xml:space="preserve">HS Chapter 2.1 </w:t>
      </w:r>
      <w:r w:rsidR="00280B48">
        <w:rPr>
          <w:lang w:val="en-GB"/>
        </w:rPr>
        <w:t xml:space="preserve">(explosives) </w:t>
      </w:r>
      <w:r w:rsidR="0053772A">
        <w:rPr>
          <w:lang w:val="en-GB"/>
        </w:rPr>
        <w:t>is given.</w:t>
      </w:r>
      <w:r w:rsidR="00EF3FB0">
        <w:rPr>
          <w:lang w:val="en-GB"/>
        </w:rPr>
        <w:t xml:space="preserve"> </w:t>
      </w:r>
      <w:r w:rsidR="0053772A">
        <w:rPr>
          <w:lang w:val="en-GB"/>
        </w:rPr>
        <w:t>In that</w:t>
      </w:r>
      <w:r>
        <w:rPr>
          <w:lang w:val="en-GB"/>
        </w:rPr>
        <w:t xml:space="preserve"> document it is also announced that an advance</w:t>
      </w:r>
      <w:r w:rsidR="00E61BB5">
        <w:rPr>
          <w:lang w:val="en-GB"/>
        </w:rPr>
        <w:t>d draft of a new Chapter 2.1 can</w:t>
      </w:r>
      <w:r>
        <w:rPr>
          <w:lang w:val="en-GB"/>
        </w:rPr>
        <w:t xml:space="preserve"> be expected to appear</w:t>
      </w:r>
      <w:r w:rsidR="00E61BB5">
        <w:rPr>
          <w:lang w:val="en-GB"/>
        </w:rPr>
        <w:t xml:space="preserve"> before the Sub-Committee</w:t>
      </w:r>
      <w:r w:rsidR="00EF3FB0">
        <w:rPr>
          <w:lang w:val="en-GB"/>
        </w:rPr>
        <w:t>(s)</w:t>
      </w:r>
      <w:r w:rsidR="00E61BB5">
        <w:rPr>
          <w:lang w:val="en-GB"/>
        </w:rPr>
        <w:t>.</w:t>
      </w:r>
      <w:r w:rsidR="00EF3FB0">
        <w:rPr>
          <w:rStyle w:val="FootnoteReference"/>
          <w:lang w:val="en-GB"/>
        </w:rPr>
        <w:footnoteReference w:id="3"/>
      </w:r>
      <w:r w:rsidR="00E61BB5">
        <w:rPr>
          <w:lang w:val="en-GB"/>
        </w:rPr>
        <w:t xml:space="preserve"> A</w:t>
      </w:r>
      <w:r>
        <w:rPr>
          <w:lang w:val="en-GB"/>
        </w:rPr>
        <w:t xml:space="preserve">nnex </w:t>
      </w:r>
      <w:r w:rsidR="00E60F60">
        <w:rPr>
          <w:lang w:val="en-GB"/>
        </w:rPr>
        <w:t xml:space="preserve">I </w:t>
      </w:r>
      <w:r>
        <w:rPr>
          <w:lang w:val="en-GB"/>
        </w:rPr>
        <w:t xml:space="preserve">to this informal </w:t>
      </w:r>
      <w:r w:rsidR="00E60F60">
        <w:rPr>
          <w:lang w:val="en-GB"/>
        </w:rPr>
        <w:t xml:space="preserve">document </w:t>
      </w:r>
      <w:r>
        <w:rPr>
          <w:lang w:val="en-GB"/>
        </w:rPr>
        <w:t>contains that draft new chapter.</w:t>
      </w:r>
    </w:p>
    <w:p w:rsidR="00D53210" w:rsidRPr="009549D5" w:rsidRDefault="005C37C2" w:rsidP="0086013A">
      <w:pPr>
        <w:pStyle w:val="SingleTxtG"/>
        <w:numPr>
          <w:ilvl w:val="0"/>
          <w:numId w:val="28"/>
        </w:numPr>
        <w:tabs>
          <w:tab w:val="right" w:pos="1710"/>
        </w:tabs>
        <w:ind w:left="1170" w:hanging="36"/>
      </w:pPr>
      <w:r w:rsidRPr="005C37C2">
        <w:rPr>
          <w:lang w:val="en-GB"/>
        </w:rPr>
        <w:t>T</w:t>
      </w:r>
      <w:r w:rsidR="00D53210">
        <w:rPr>
          <w:lang w:val="en-GB"/>
        </w:rPr>
        <w:t xml:space="preserve">his </w:t>
      </w:r>
      <w:r>
        <w:rPr>
          <w:lang w:val="en-GB"/>
        </w:rPr>
        <w:t>document</w:t>
      </w:r>
      <w:r w:rsidR="00D53210">
        <w:rPr>
          <w:lang w:val="en-GB"/>
        </w:rPr>
        <w:t xml:space="preserve"> </w:t>
      </w:r>
      <w:r>
        <w:rPr>
          <w:lang w:val="en-GB"/>
        </w:rPr>
        <w:t xml:space="preserve">has been written and submitted by the expert from Sweden in his capacity as leader of the Informal Correspondence Group for the review of GHS Chapter 2.1 (ICG). </w:t>
      </w:r>
      <w:r w:rsidR="0038545B">
        <w:rPr>
          <w:lang w:val="en-GB"/>
        </w:rPr>
        <w:t>While the ICG has not been part in the authoring of this paper, a</w:t>
      </w:r>
      <w:r>
        <w:rPr>
          <w:lang w:val="en-GB"/>
        </w:rPr>
        <w:t xml:space="preserve"> draft </w:t>
      </w:r>
      <w:r w:rsidR="0038545B">
        <w:rPr>
          <w:lang w:val="en-GB"/>
        </w:rPr>
        <w:t>of it</w:t>
      </w:r>
      <w:r>
        <w:rPr>
          <w:lang w:val="en-GB"/>
        </w:rPr>
        <w:t xml:space="preserve"> </w:t>
      </w:r>
      <w:r w:rsidR="00D53210">
        <w:rPr>
          <w:lang w:val="en-GB"/>
        </w:rPr>
        <w:t xml:space="preserve">was circulated within </w:t>
      </w:r>
      <w:r>
        <w:rPr>
          <w:lang w:val="en-GB"/>
        </w:rPr>
        <w:t xml:space="preserve">the </w:t>
      </w:r>
      <w:r w:rsidR="0038545B">
        <w:rPr>
          <w:lang w:val="en-GB"/>
        </w:rPr>
        <w:t xml:space="preserve">group </w:t>
      </w:r>
      <w:r w:rsidR="00D53210">
        <w:rPr>
          <w:lang w:val="en-GB"/>
        </w:rPr>
        <w:t xml:space="preserve">before </w:t>
      </w:r>
      <w:r>
        <w:rPr>
          <w:lang w:val="en-GB"/>
        </w:rPr>
        <w:t>its submission. A</w:t>
      </w:r>
      <w:r w:rsidR="0038545B">
        <w:rPr>
          <w:lang w:val="en-GB"/>
        </w:rPr>
        <w:t xml:space="preserve">ny explicit views expressed in this </w:t>
      </w:r>
      <w:r w:rsidR="00E60F60">
        <w:rPr>
          <w:lang w:val="en-GB"/>
        </w:rPr>
        <w:t xml:space="preserve">document </w:t>
      </w:r>
      <w:r w:rsidR="00D53210">
        <w:rPr>
          <w:lang w:val="en-GB"/>
        </w:rPr>
        <w:t>are</w:t>
      </w:r>
      <w:r w:rsidR="0038545B">
        <w:rPr>
          <w:lang w:val="en-GB"/>
        </w:rPr>
        <w:t xml:space="preserve"> therefore</w:t>
      </w:r>
      <w:r w:rsidR="00D53210">
        <w:rPr>
          <w:lang w:val="en-GB"/>
        </w:rPr>
        <w:t xml:space="preserve"> those of the expert from Sweden alone.</w:t>
      </w:r>
    </w:p>
    <w:p w:rsidR="0038545B" w:rsidRPr="0038545B" w:rsidRDefault="009549D5" w:rsidP="0086013A">
      <w:pPr>
        <w:pStyle w:val="SingleTxtG"/>
        <w:numPr>
          <w:ilvl w:val="0"/>
          <w:numId w:val="28"/>
        </w:numPr>
        <w:tabs>
          <w:tab w:val="right" w:pos="1710"/>
        </w:tabs>
        <w:ind w:left="1170" w:hanging="36"/>
      </w:pPr>
      <w:r w:rsidRPr="009549D5">
        <w:rPr>
          <w:lang w:val="en-GB"/>
        </w:rPr>
        <w:t xml:space="preserve">In </w:t>
      </w:r>
      <w:r>
        <w:rPr>
          <w:lang w:val="en-GB"/>
        </w:rPr>
        <w:t xml:space="preserve">the time that has </w:t>
      </w:r>
      <w:proofErr w:type="spellStart"/>
      <w:r>
        <w:rPr>
          <w:lang w:val="en-GB"/>
        </w:rPr>
        <w:t>past</w:t>
      </w:r>
      <w:proofErr w:type="spellEnd"/>
      <w:r>
        <w:rPr>
          <w:lang w:val="en-GB"/>
        </w:rPr>
        <w:t xml:space="preserve"> since </w:t>
      </w:r>
      <w:r w:rsidR="00D76C68">
        <w:rPr>
          <w:lang w:val="en-GB"/>
        </w:rPr>
        <w:t xml:space="preserve">document ST/SG/AC.10/C.4/2019/10 </w:t>
      </w:r>
      <w:r>
        <w:rPr>
          <w:lang w:val="en-GB"/>
        </w:rPr>
        <w:t xml:space="preserve">was submitted, there have been intense discussions between the more active members of the ICG </w:t>
      </w:r>
      <w:r w:rsidR="0053772A">
        <w:rPr>
          <w:lang w:val="en-GB"/>
        </w:rPr>
        <w:t>on a variety of topics. These were</w:t>
      </w:r>
      <w:r w:rsidR="0038545B">
        <w:rPr>
          <w:lang w:val="en-GB"/>
        </w:rPr>
        <w:t xml:space="preserve"> based on a</w:t>
      </w:r>
      <w:r>
        <w:rPr>
          <w:lang w:val="en-GB"/>
        </w:rPr>
        <w:t xml:space="preserve"> draft new Chapter 2.1 that the expert from Sweden sent out</w:t>
      </w:r>
      <w:r w:rsidR="0053772A">
        <w:rPr>
          <w:lang w:val="en-GB"/>
        </w:rPr>
        <w:t xml:space="preserve"> to the ICG</w:t>
      </w:r>
      <w:r>
        <w:rPr>
          <w:lang w:val="en-GB"/>
        </w:rPr>
        <w:t xml:space="preserve"> in the beginning of July 2019</w:t>
      </w:r>
      <w:r w:rsidR="00E61BB5">
        <w:rPr>
          <w:lang w:val="en-GB"/>
        </w:rPr>
        <w:t>, which was</w:t>
      </w:r>
      <w:r w:rsidR="001E020F">
        <w:rPr>
          <w:lang w:val="en-GB"/>
        </w:rPr>
        <w:t xml:space="preserve"> subsequently</w:t>
      </w:r>
      <w:r w:rsidR="00E61BB5">
        <w:rPr>
          <w:lang w:val="en-GB"/>
        </w:rPr>
        <w:t xml:space="preserve"> commented on by </w:t>
      </w:r>
      <w:r w:rsidR="00F57DD3">
        <w:rPr>
          <w:lang w:val="en-GB"/>
        </w:rPr>
        <w:t xml:space="preserve">some </w:t>
      </w:r>
      <w:r w:rsidR="00E61BB5">
        <w:rPr>
          <w:lang w:val="en-GB"/>
        </w:rPr>
        <w:t>ICG-members.</w:t>
      </w:r>
      <w:r w:rsidR="001E020F">
        <w:rPr>
          <w:lang w:val="en-GB"/>
        </w:rPr>
        <w:t xml:space="preserve"> The outcome</w:t>
      </w:r>
      <w:r w:rsidR="0038545B">
        <w:rPr>
          <w:lang w:val="en-GB"/>
        </w:rPr>
        <w:t xml:space="preserve"> of this process </w:t>
      </w:r>
      <w:r w:rsidR="001E020F">
        <w:rPr>
          <w:lang w:val="en-GB"/>
        </w:rPr>
        <w:t xml:space="preserve">is the draft Chapter 2.1 </w:t>
      </w:r>
      <w:r w:rsidR="0038545B">
        <w:rPr>
          <w:lang w:val="en-GB"/>
        </w:rPr>
        <w:t>as in</w:t>
      </w:r>
      <w:r w:rsidR="001E020F">
        <w:rPr>
          <w:lang w:val="en-GB"/>
        </w:rPr>
        <w:t xml:space="preserve"> annex </w:t>
      </w:r>
      <w:r w:rsidR="00E60F60">
        <w:rPr>
          <w:lang w:val="en-GB"/>
        </w:rPr>
        <w:t xml:space="preserve">I </w:t>
      </w:r>
      <w:r w:rsidR="001E020F">
        <w:rPr>
          <w:lang w:val="en-GB"/>
        </w:rPr>
        <w:t xml:space="preserve">to this </w:t>
      </w:r>
      <w:r w:rsidR="00FD546E">
        <w:rPr>
          <w:lang w:val="en-GB"/>
        </w:rPr>
        <w:t xml:space="preserve">informal </w:t>
      </w:r>
      <w:r w:rsidR="001E020F">
        <w:rPr>
          <w:lang w:val="en-GB"/>
        </w:rPr>
        <w:t xml:space="preserve">document. </w:t>
      </w:r>
    </w:p>
    <w:p w:rsidR="007B5460" w:rsidRPr="001E020F" w:rsidRDefault="0038545B" w:rsidP="0086013A">
      <w:pPr>
        <w:pStyle w:val="SingleTxtG"/>
        <w:numPr>
          <w:ilvl w:val="0"/>
          <w:numId w:val="28"/>
        </w:numPr>
        <w:tabs>
          <w:tab w:val="right" w:pos="1710"/>
        </w:tabs>
        <w:ind w:left="1170" w:hanging="36"/>
      </w:pPr>
      <w:r w:rsidRPr="0038545B">
        <w:rPr>
          <w:lang w:val="en-GB"/>
        </w:rPr>
        <w:t xml:space="preserve">In addition, </w:t>
      </w:r>
      <w:r w:rsidR="001E020F">
        <w:rPr>
          <w:lang w:val="en-GB"/>
        </w:rPr>
        <w:t xml:space="preserve">the expert from Sweden has sent out a document </w:t>
      </w:r>
      <w:r w:rsidR="00FD546E">
        <w:rPr>
          <w:lang w:val="en-GB"/>
        </w:rPr>
        <w:t xml:space="preserve">to the ICG </w:t>
      </w:r>
      <w:r w:rsidR="001E020F">
        <w:rPr>
          <w:lang w:val="en-GB"/>
        </w:rPr>
        <w:t>comparing the texts</w:t>
      </w:r>
      <w:r>
        <w:rPr>
          <w:lang w:val="en-GB"/>
        </w:rPr>
        <w:t xml:space="preserve"> as in </w:t>
      </w:r>
      <w:r w:rsidR="001E020F">
        <w:rPr>
          <w:lang w:val="en-GB"/>
        </w:rPr>
        <w:t xml:space="preserve">annex </w:t>
      </w:r>
      <w:r w:rsidR="00E60F60">
        <w:rPr>
          <w:lang w:val="en-GB"/>
        </w:rPr>
        <w:t xml:space="preserve">I </w:t>
      </w:r>
      <w:r>
        <w:rPr>
          <w:lang w:val="en-GB"/>
        </w:rPr>
        <w:t>to those of the</w:t>
      </w:r>
      <w:r w:rsidR="001E020F">
        <w:rPr>
          <w:lang w:val="en-GB"/>
        </w:rPr>
        <w:t xml:space="preserve"> July draft,</w:t>
      </w:r>
      <w:r>
        <w:rPr>
          <w:lang w:val="en-GB"/>
        </w:rPr>
        <w:t xml:space="preserve"> so that the changes can be scrutinised. </w:t>
      </w:r>
      <w:r w:rsidR="001E020F">
        <w:rPr>
          <w:lang w:val="en-GB"/>
        </w:rPr>
        <w:t>ICG-members have</w:t>
      </w:r>
      <w:r>
        <w:rPr>
          <w:lang w:val="en-GB"/>
        </w:rPr>
        <w:t>, however,</w:t>
      </w:r>
      <w:r w:rsidR="001E020F">
        <w:rPr>
          <w:lang w:val="en-GB"/>
        </w:rPr>
        <w:t xml:space="preserve"> not been given sufficient time to condense </w:t>
      </w:r>
      <w:r w:rsidR="00EF3FB0">
        <w:rPr>
          <w:lang w:val="en-GB"/>
        </w:rPr>
        <w:t xml:space="preserve">or comment on </w:t>
      </w:r>
      <w:r w:rsidR="001E020F">
        <w:rPr>
          <w:lang w:val="en-GB"/>
        </w:rPr>
        <w:t>the</w:t>
      </w:r>
      <w:r w:rsidR="00F57DD3">
        <w:rPr>
          <w:lang w:val="en-GB"/>
        </w:rPr>
        <w:t>se</w:t>
      </w:r>
      <w:r w:rsidR="001E020F">
        <w:rPr>
          <w:lang w:val="en-GB"/>
        </w:rPr>
        <w:t xml:space="preserve"> new texts </w:t>
      </w:r>
      <w:r w:rsidR="00EF3FB0">
        <w:rPr>
          <w:lang w:val="en-GB"/>
        </w:rPr>
        <w:t xml:space="preserve">before this </w:t>
      </w:r>
      <w:r w:rsidR="00CF484D">
        <w:rPr>
          <w:lang w:val="en-GB"/>
        </w:rPr>
        <w:t xml:space="preserve">informal </w:t>
      </w:r>
      <w:r w:rsidR="00EF3FB0">
        <w:rPr>
          <w:lang w:val="en-GB"/>
        </w:rPr>
        <w:t>document was submitted</w:t>
      </w:r>
      <w:r>
        <w:rPr>
          <w:lang w:val="en-GB"/>
        </w:rPr>
        <w:t>. The expert from Sweden has asked the ICG</w:t>
      </w:r>
      <w:r w:rsidR="00FD546E">
        <w:rPr>
          <w:lang w:val="en-GB"/>
        </w:rPr>
        <w:t>-members</w:t>
      </w:r>
      <w:r>
        <w:rPr>
          <w:lang w:val="en-GB"/>
        </w:rPr>
        <w:t xml:space="preserve"> to provide their comments to the new texts</w:t>
      </w:r>
      <w:r w:rsidR="00CF484D">
        <w:rPr>
          <w:lang w:val="en-GB"/>
        </w:rPr>
        <w:t xml:space="preserve"> </w:t>
      </w:r>
      <w:r>
        <w:rPr>
          <w:lang w:val="en-GB"/>
        </w:rPr>
        <w:t>before the 38</w:t>
      </w:r>
      <w:r w:rsidR="009C5330" w:rsidRPr="009C5330">
        <w:rPr>
          <w:vertAlign w:val="superscript"/>
          <w:lang w:val="en-GB"/>
        </w:rPr>
        <w:t>th</w:t>
      </w:r>
      <w:r w:rsidR="009C5330">
        <w:rPr>
          <w:lang w:val="en-GB"/>
        </w:rPr>
        <w:t xml:space="preserve"> </w:t>
      </w:r>
      <w:r>
        <w:rPr>
          <w:lang w:val="en-GB"/>
        </w:rPr>
        <w:t>session of the SCEGHS</w:t>
      </w:r>
      <w:r w:rsidR="00CF484D">
        <w:rPr>
          <w:lang w:val="en-GB"/>
        </w:rPr>
        <w:t>, so that they can be discussed at that meeting if needed.</w:t>
      </w:r>
    </w:p>
    <w:p w:rsidR="007B5460" w:rsidRPr="00202788" w:rsidRDefault="00202788" w:rsidP="001E020F">
      <w:pPr>
        <w:pStyle w:val="SingleTxtG"/>
        <w:numPr>
          <w:ilvl w:val="0"/>
          <w:numId w:val="28"/>
        </w:numPr>
        <w:tabs>
          <w:tab w:val="right" w:pos="1710"/>
        </w:tabs>
        <w:ind w:left="1170" w:hanging="36"/>
      </w:pPr>
      <w:r w:rsidRPr="001E020F">
        <w:rPr>
          <w:lang w:val="en-GB"/>
        </w:rPr>
        <w:t xml:space="preserve">As indicated in </w:t>
      </w:r>
      <w:r w:rsidR="00D76C68">
        <w:rPr>
          <w:lang w:val="en-GB"/>
        </w:rPr>
        <w:t>document ST/SG/AC.10/C.4/2019/10</w:t>
      </w:r>
      <w:r w:rsidRPr="001E020F">
        <w:rPr>
          <w:lang w:val="en-GB"/>
        </w:rPr>
        <w:t>, the classification criteria of the new system</w:t>
      </w:r>
      <w:r w:rsidR="00CF484D">
        <w:rPr>
          <w:lang w:val="en-GB"/>
        </w:rPr>
        <w:t>, including the scope of the hazard class,</w:t>
      </w:r>
      <w:r w:rsidRPr="001E020F">
        <w:rPr>
          <w:lang w:val="en-GB"/>
        </w:rPr>
        <w:t xml:space="preserve"> were in principle finalised at the combined meeting of the Working Group on Explo</w:t>
      </w:r>
      <w:r w:rsidR="0053772A" w:rsidRPr="001E020F">
        <w:rPr>
          <w:lang w:val="en-GB"/>
        </w:rPr>
        <w:t>sives (EWG) and the ICG that was</w:t>
      </w:r>
      <w:r w:rsidRPr="001E020F">
        <w:rPr>
          <w:lang w:val="en-GB"/>
        </w:rPr>
        <w:t xml:space="preserve"> held in parallel to the 55</w:t>
      </w:r>
      <w:r w:rsidR="009C5330" w:rsidRPr="009C5330">
        <w:rPr>
          <w:vertAlign w:val="superscript"/>
          <w:lang w:val="en-GB"/>
        </w:rPr>
        <w:t>th</w:t>
      </w:r>
      <w:r w:rsidR="009C5330">
        <w:rPr>
          <w:lang w:val="en-GB"/>
        </w:rPr>
        <w:t xml:space="preserve"> </w:t>
      </w:r>
      <w:r w:rsidRPr="001E020F">
        <w:rPr>
          <w:lang w:val="en-GB"/>
        </w:rPr>
        <w:t>session of the SCETDG in July 2019. What remained was</w:t>
      </w:r>
      <w:r w:rsidR="004E5BF6" w:rsidRPr="001E020F">
        <w:rPr>
          <w:lang w:val="en-GB"/>
        </w:rPr>
        <w:t xml:space="preserve"> </w:t>
      </w:r>
      <w:r w:rsidRPr="001E020F">
        <w:rPr>
          <w:lang w:val="en-GB"/>
        </w:rPr>
        <w:t>some fine-</w:t>
      </w:r>
      <w:r w:rsidRPr="001E020F">
        <w:rPr>
          <w:lang w:val="en-GB"/>
        </w:rPr>
        <w:lastRenderedPageBreak/>
        <w:t>tuning and</w:t>
      </w:r>
      <w:r w:rsidR="001E020F">
        <w:rPr>
          <w:lang w:val="en-GB"/>
        </w:rPr>
        <w:t xml:space="preserve"> possible</w:t>
      </w:r>
      <w:r w:rsidRPr="001E020F">
        <w:rPr>
          <w:lang w:val="en-GB"/>
        </w:rPr>
        <w:t xml:space="preserve"> redistributions of texts, and this has been worked </w:t>
      </w:r>
      <w:r w:rsidR="0053772A" w:rsidRPr="001E020F">
        <w:rPr>
          <w:lang w:val="en-GB"/>
        </w:rPr>
        <w:t xml:space="preserve">on </w:t>
      </w:r>
      <w:r w:rsidR="00CF484D">
        <w:rPr>
          <w:lang w:val="en-GB"/>
        </w:rPr>
        <w:t xml:space="preserve">in the ICG </w:t>
      </w:r>
      <w:r w:rsidRPr="001E020F">
        <w:rPr>
          <w:lang w:val="en-GB"/>
        </w:rPr>
        <w:t>ever since.</w:t>
      </w:r>
      <w:r w:rsidR="0053772A" w:rsidRPr="001E020F">
        <w:rPr>
          <w:lang w:val="en-GB"/>
        </w:rPr>
        <w:t xml:space="preserve"> The criteria of t</w:t>
      </w:r>
      <w:r w:rsidR="001E020F">
        <w:rPr>
          <w:lang w:val="en-GB"/>
        </w:rPr>
        <w:t>he new system</w:t>
      </w:r>
      <w:r w:rsidR="00CF484D">
        <w:rPr>
          <w:lang w:val="en-GB"/>
        </w:rPr>
        <w:t xml:space="preserve">, as displayed in the draft chapter in annex </w:t>
      </w:r>
      <w:r w:rsidR="00E60F60">
        <w:rPr>
          <w:lang w:val="en-GB"/>
        </w:rPr>
        <w:t>I</w:t>
      </w:r>
      <w:r w:rsidR="00CF484D">
        <w:rPr>
          <w:lang w:val="en-GB"/>
        </w:rPr>
        <w:t>,</w:t>
      </w:r>
      <w:r w:rsidR="0053772A" w:rsidRPr="001E020F">
        <w:rPr>
          <w:lang w:val="en-GB"/>
        </w:rPr>
        <w:t xml:space="preserve"> have</w:t>
      </w:r>
      <w:r w:rsidR="001E020F">
        <w:rPr>
          <w:lang w:val="en-GB"/>
        </w:rPr>
        <w:t xml:space="preserve"> indeed</w:t>
      </w:r>
      <w:r w:rsidR="0053772A" w:rsidRPr="001E020F">
        <w:rPr>
          <w:lang w:val="en-GB"/>
        </w:rPr>
        <w:t xml:space="preserve"> been somewhat reworded and redistributed, but remain the same as those a</w:t>
      </w:r>
      <w:r w:rsidR="001E020F">
        <w:rPr>
          <w:lang w:val="en-GB"/>
        </w:rPr>
        <w:t>ccepted</w:t>
      </w:r>
      <w:r w:rsidR="0053772A" w:rsidRPr="001E020F">
        <w:rPr>
          <w:lang w:val="en-GB"/>
        </w:rPr>
        <w:t xml:space="preserve"> </w:t>
      </w:r>
      <w:r w:rsidR="001E020F">
        <w:rPr>
          <w:lang w:val="en-GB"/>
        </w:rPr>
        <w:t>by the EWG</w:t>
      </w:r>
      <w:r w:rsidR="0053772A" w:rsidRPr="001E020F">
        <w:rPr>
          <w:lang w:val="en-GB"/>
        </w:rPr>
        <w:t xml:space="preserve"> (as reported in INF.24 and INF.21 to the 37</w:t>
      </w:r>
      <w:r w:rsidR="009C5330" w:rsidRPr="009C5330">
        <w:rPr>
          <w:vertAlign w:val="superscript"/>
          <w:lang w:val="en-GB"/>
        </w:rPr>
        <w:t>th</w:t>
      </w:r>
      <w:r w:rsidR="009C5330">
        <w:rPr>
          <w:lang w:val="en-GB"/>
        </w:rPr>
        <w:t xml:space="preserve"> </w:t>
      </w:r>
      <w:r w:rsidR="0053772A" w:rsidRPr="001E020F">
        <w:rPr>
          <w:lang w:val="en-GB"/>
        </w:rPr>
        <w:t>session of the SCEGHS).</w:t>
      </w:r>
    </w:p>
    <w:p w:rsidR="00202788" w:rsidRPr="00FD1904" w:rsidRDefault="001E020F" w:rsidP="00202788">
      <w:pPr>
        <w:pStyle w:val="SingleTxtG"/>
        <w:numPr>
          <w:ilvl w:val="0"/>
          <w:numId w:val="28"/>
        </w:numPr>
        <w:tabs>
          <w:tab w:val="right" w:pos="1710"/>
        </w:tabs>
        <w:ind w:left="1170" w:hanging="36"/>
      </w:pPr>
      <w:r w:rsidRPr="001E020F">
        <w:rPr>
          <w:lang w:val="en-GB"/>
        </w:rPr>
        <w:t xml:space="preserve">As also indicated in </w:t>
      </w:r>
      <w:r w:rsidR="00D76C68">
        <w:rPr>
          <w:lang w:val="en-GB"/>
        </w:rPr>
        <w:t>document ST/SG/AC.10/C.4/2019/10</w:t>
      </w:r>
      <w:r w:rsidRPr="001E020F">
        <w:rPr>
          <w:lang w:val="en-GB"/>
        </w:rPr>
        <w:t xml:space="preserve">, </w:t>
      </w:r>
      <w:r>
        <w:rPr>
          <w:lang w:val="en-GB"/>
        </w:rPr>
        <w:t>t</w:t>
      </w:r>
      <w:r w:rsidR="00202788">
        <w:rPr>
          <w:lang w:val="en-GB"/>
        </w:rPr>
        <w:t>he remai</w:t>
      </w:r>
      <w:r w:rsidR="00020BDA">
        <w:rPr>
          <w:lang w:val="en-GB"/>
        </w:rPr>
        <w:t>ning open issues of the chapter</w:t>
      </w:r>
      <w:r w:rsidR="00202788">
        <w:rPr>
          <w:lang w:val="en-GB"/>
        </w:rPr>
        <w:t xml:space="preserve"> </w:t>
      </w:r>
      <w:r w:rsidR="00D150F1">
        <w:rPr>
          <w:lang w:val="en-GB"/>
        </w:rPr>
        <w:t xml:space="preserve">mainly </w:t>
      </w:r>
      <w:r w:rsidR="00202788">
        <w:rPr>
          <w:lang w:val="en-GB"/>
        </w:rPr>
        <w:t>revolve around the hazard communication elements for the sub-categories within Category 2</w:t>
      </w:r>
      <w:r w:rsidR="00C8214E">
        <w:rPr>
          <w:lang w:val="en-GB"/>
        </w:rPr>
        <w:t xml:space="preserve"> of the new system</w:t>
      </w:r>
      <w:r w:rsidR="00202788">
        <w:rPr>
          <w:lang w:val="en-GB"/>
        </w:rPr>
        <w:t>. These were discussed at the meeting of the ICG held during the 37</w:t>
      </w:r>
      <w:r w:rsidR="009C5330" w:rsidRPr="009C5330">
        <w:rPr>
          <w:vertAlign w:val="superscript"/>
          <w:lang w:val="en-GB"/>
        </w:rPr>
        <w:t>th</w:t>
      </w:r>
      <w:r w:rsidR="009C5330">
        <w:rPr>
          <w:lang w:val="en-GB"/>
        </w:rPr>
        <w:t xml:space="preserve"> </w:t>
      </w:r>
      <w:r w:rsidR="00202788">
        <w:rPr>
          <w:lang w:val="en-GB"/>
        </w:rPr>
        <w:t xml:space="preserve">SCEGHS, </w:t>
      </w:r>
      <w:r>
        <w:rPr>
          <w:lang w:val="en-GB"/>
        </w:rPr>
        <w:t xml:space="preserve">and while most </w:t>
      </w:r>
      <w:r w:rsidR="0082178B">
        <w:rPr>
          <w:lang w:val="en-GB"/>
        </w:rPr>
        <w:t xml:space="preserve">elements </w:t>
      </w:r>
      <w:r>
        <w:rPr>
          <w:lang w:val="en-GB"/>
        </w:rPr>
        <w:t>could be tentatively a</w:t>
      </w:r>
      <w:r w:rsidR="00C8214E">
        <w:rPr>
          <w:lang w:val="en-GB"/>
        </w:rPr>
        <w:t>greed</w:t>
      </w:r>
      <w:r>
        <w:rPr>
          <w:lang w:val="en-GB"/>
        </w:rPr>
        <w:t xml:space="preserve"> then,</w:t>
      </w:r>
      <w:r w:rsidR="00202788">
        <w:rPr>
          <w:lang w:val="en-GB"/>
        </w:rPr>
        <w:t xml:space="preserve"> some of them </w:t>
      </w:r>
      <w:r>
        <w:rPr>
          <w:lang w:val="en-GB"/>
        </w:rPr>
        <w:t>remained</w:t>
      </w:r>
      <w:r w:rsidR="00202788">
        <w:rPr>
          <w:lang w:val="en-GB"/>
        </w:rPr>
        <w:t xml:space="preserve"> </w:t>
      </w:r>
      <w:r>
        <w:rPr>
          <w:lang w:val="en-GB"/>
        </w:rPr>
        <w:t>open</w:t>
      </w:r>
      <w:r w:rsidR="00202788">
        <w:rPr>
          <w:lang w:val="en-GB"/>
        </w:rPr>
        <w:t>.</w:t>
      </w:r>
      <w:r w:rsidR="0053772A">
        <w:rPr>
          <w:lang w:val="en-GB"/>
        </w:rPr>
        <w:t xml:space="preserve"> The outcome of that meeting is found in INF.26 to the 37</w:t>
      </w:r>
      <w:r w:rsidR="009C5330" w:rsidRPr="009C5330">
        <w:rPr>
          <w:vertAlign w:val="superscript"/>
          <w:lang w:val="en-GB"/>
        </w:rPr>
        <w:t>th</w:t>
      </w:r>
      <w:r w:rsidR="009C5330">
        <w:rPr>
          <w:lang w:val="en-GB"/>
        </w:rPr>
        <w:t xml:space="preserve"> </w:t>
      </w:r>
      <w:r w:rsidR="0053772A">
        <w:rPr>
          <w:lang w:val="en-GB"/>
        </w:rPr>
        <w:t>session of the SCEGHS</w:t>
      </w:r>
      <w:r w:rsidR="00020BDA">
        <w:rPr>
          <w:lang w:val="en-GB"/>
        </w:rPr>
        <w:t>, and these</w:t>
      </w:r>
      <w:r w:rsidR="00C34642">
        <w:rPr>
          <w:lang w:val="en-GB"/>
        </w:rPr>
        <w:t xml:space="preserve"> </w:t>
      </w:r>
      <w:r>
        <w:rPr>
          <w:lang w:val="en-GB"/>
        </w:rPr>
        <w:t xml:space="preserve">remaining </w:t>
      </w:r>
      <w:r w:rsidR="00C34642">
        <w:rPr>
          <w:lang w:val="en-GB"/>
        </w:rPr>
        <w:t>open</w:t>
      </w:r>
      <w:r w:rsidR="00202788">
        <w:rPr>
          <w:lang w:val="en-GB"/>
        </w:rPr>
        <w:t xml:space="preserve"> issues </w:t>
      </w:r>
      <w:r w:rsidR="001018ED">
        <w:rPr>
          <w:lang w:val="en-GB"/>
        </w:rPr>
        <w:t xml:space="preserve">on hazard communication </w:t>
      </w:r>
      <w:r w:rsidR="00202788">
        <w:rPr>
          <w:lang w:val="en-GB"/>
        </w:rPr>
        <w:t xml:space="preserve">are addressed in </w:t>
      </w:r>
      <w:r w:rsidR="00B75589">
        <w:rPr>
          <w:lang w:val="en-GB"/>
        </w:rPr>
        <w:t xml:space="preserve">some </w:t>
      </w:r>
      <w:r w:rsidR="00202788">
        <w:rPr>
          <w:lang w:val="en-GB"/>
        </w:rPr>
        <w:t>detail below.</w:t>
      </w:r>
      <w:r w:rsidR="0082178B">
        <w:rPr>
          <w:rStyle w:val="FootnoteReference"/>
          <w:lang w:val="en-GB"/>
        </w:rPr>
        <w:footnoteReference w:id="4"/>
      </w:r>
    </w:p>
    <w:p w:rsidR="00192A12" w:rsidRPr="00192A12" w:rsidRDefault="00192A12" w:rsidP="00192A12">
      <w:pPr>
        <w:pStyle w:val="SingleTxtG"/>
        <w:numPr>
          <w:ilvl w:val="0"/>
          <w:numId w:val="28"/>
        </w:numPr>
        <w:tabs>
          <w:tab w:val="right" w:pos="1710"/>
        </w:tabs>
        <w:ind w:left="1170" w:hanging="36"/>
      </w:pPr>
      <w:r>
        <w:rPr>
          <w:lang w:val="en-GB"/>
        </w:rPr>
        <w:t>As is immediately evident</w:t>
      </w:r>
      <w:r w:rsidR="00F0260E">
        <w:rPr>
          <w:lang w:val="en-GB"/>
        </w:rPr>
        <w:t xml:space="preserve"> by examining annex </w:t>
      </w:r>
      <w:r w:rsidR="00D76C68">
        <w:rPr>
          <w:lang w:val="en-GB"/>
        </w:rPr>
        <w:t>I</w:t>
      </w:r>
      <w:r>
        <w:rPr>
          <w:lang w:val="en-GB"/>
        </w:rPr>
        <w:t>, the draft new Chapter 2.1 is quite different to the current Chapter 2.1 (as in GHS Rev. 8)</w:t>
      </w:r>
      <w:r w:rsidR="00F0260E">
        <w:rPr>
          <w:lang w:val="en-GB"/>
        </w:rPr>
        <w:t>. This</w:t>
      </w:r>
      <w:r>
        <w:rPr>
          <w:lang w:val="en-GB"/>
        </w:rPr>
        <w:t xml:space="preserve"> mak</w:t>
      </w:r>
      <w:r w:rsidR="00F0260E">
        <w:rPr>
          <w:lang w:val="en-GB"/>
        </w:rPr>
        <w:t>e</w:t>
      </w:r>
      <w:r>
        <w:rPr>
          <w:lang w:val="en-GB"/>
        </w:rPr>
        <w:t xml:space="preserve"> it virtually impossible to provide a version where the changes are visible in a useful way. Instead</w:t>
      </w:r>
      <w:r w:rsidR="00F0260E">
        <w:rPr>
          <w:lang w:val="en-GB"/>
        </w:rPr>
        <w:t xml:space="preserve"> of showing all the changes</w:t>
      </w:r>
      <w:r>
        <w:rPr>
          <w:lang w:val="en-GB"/>
        </w:rPr>
        <w:t xml:space="preserve">, an overview of the main changes as compared to the current chapter is given in annex </w:t>
      </w:r>
      <w:r w:rsidR="00E60F60">
        <w:rPr>
          <w:lang w:val="en-GB"/>
        </w:rPr>
        <w:t xml:space="preserve">II </w:t>
      </w:r>
      <w:r>
        <w:rPr>
          <w:lang w:val="en-GB"/>
        </w:rPr>
        <w:t xml:space="preserve">to this document. </w:t>
      </w:r>
      <w:r w:rsidR="00CF484D">
        <w:rPr>
          <w:lang w:val="en-GB"/>
        </w:rPr>
        <w:t>The overarching change is of course the extended classification system as such, and the associated changes to the hazard communication elements.</w:t>
      </w:r>
    </w:p>
    <w:p w:rsidR="0053772A" w:rsidRDefault="00192A12" w:rsidP="008B7E35">
      <w:pPr>
        <w:pStyle w:val="SingleTxtG"/>
        <w:numPr>
          <w:ilvl w:val="0"/>
          <w:numId w:val="28"/>
        </w:numPr>
        <w:tabs>
          <w:tab w:val="right" w:pos="1710"/>
        </w:tabs>
        <w:ind w:left="1170" w:hanging="36"/>
      </w:pPr>
      <w:r>
        <w:rPr>
          <w:lang w:val="en-GB"/>
        </w:rPr>
        <w:t xml:space="preserve">Annex </w:t>
      </w:r>
      <w:r w:rsidR="00E60F60">
        <w:rPr>
          <w:lang w:val="en-GB"/>
        </w:rPr>
        <w:t xml:space="preserve">III </w:t>
      </w:r>
      <w:r>
        <w:rPr>
          <w:lang w:val="en-GB"/>
        </w:rPr>
        <w:t>to this document shows an alternative way of displaying the criteria for classification into the categories and sub-categories, by merging the tables in sections 2.1.2.1 and 2.1.2.3 of the chapter as in anne</w:t>
      </w:r>
      <w:r w:rsidR="0082178B">
        <w:rPr>
          <w:lang w:val="en-GB"/>
        </w:rPr>
        <w:t xml:space="preserve">x </w:t>
      </w:r>
      <w:r w:rsidR="00D76C68">
        <w:rPr>
          <w:lang w:val="en-GB"/>
        </w:rPr>
        <w:t>I</w:t>
      </w:r>
      <w:r w:rsidR="0082178B">
        <w:rPr>
          <w:lang w:val="en-GB"/>
        </w:rPr>
        <w:t xml:space="preserve">. This came up in the discussions within the ICG as an alternative which seemed preferable to some ICG-members. In this merged version, the criteria are </w:t>
      </w:r>
      <w:r>
        <w:rPr>
          <w:lang w:val="en-GB"/>
        </w:rPr>
        <w:t>intended</w:t>
      </w:r>
      <w:r w:rsidR="0082178B">
        <w:rPr>
          <w:lang w:val="en-GB"/>
        </w:rPr>
        <w:t xml:space="preserve"> to be exactly the same as those </w:t>
      </w:r>
      <w:r w:rsidR="007250E9">
        <w:rPr>
          <w:lang w:val="en-GB"/>
        </w:rPr>
        <w:t xml:space="preserve">of the chapter as </w:t>
      </w:r>
      <w:r w:rsidR="0082178B">
        <w:rPr>
          <w:lang w:val="en-GB"/>
        </w:rPr>
        <w:t xml:space="preserve">in annex </w:t>
      </w:r>
      <w:r w:rsidR="00D76C68">
        <w:rPr>
          <w:lang w:val="en-GB"/>
        </w:rPr>
        <w:t>I</w:t>
      </w:r>
      <w:r w:rsidR="0082178B">
        <w:rPr>
          <w:lang w:val="en-GB"/>
        </w:rPr>
        <w:t xml:space="preserve">. Further scrutiny is, however, needed to make sure that they </w:t>
      </w:r>
      <w:r w:rsidR="007250E9">
        <w:rPr>
          <w:lang w:val="en-GB"/>
        </w:rPr>
        <w:t xml:space="preserve">actually are the same, </w:t>
      </w:r>
      <w:r w:rsidR="003308C6">
        <w:rPr>
          <w:lang w:val="en-GB"/>
        </w:rPr>
        <w:t xml:space="preserve">so annex </w:t>
      </w:r>
      <w:r w:rsidR="00D76C68">
        <w:rPr>
          <w:lang w:val="en-GB"/>
        </w:rPr>
        <w:t xml:space="preserve">III </w:t>
      </w:r>
      <w:r w:rsidR="003308C6">
        <w:rPr>
          <w:lang w:val="en-GB"/>
        </w:rPr>
        <w:t>is to be taken as a possible alternat</w:t>
      </w:r>
      <w:r w:rsidR="007250E9">
        <w:rPr>
          <w:lang w:val="en-GB"/>
        </w:rPr>
        <w:t>ive layout of the criteria only</w:t>
      </w:r>
      <w:r w:rsidR="003308C6">
        <w:rPr>
          <w:lang w:val="en-GB"/>
        </w:rPr>
        <w:t>.</w:t>
      </w:r>
    </w:p>
    <w:p w:rsidR="00A779F3" w:rsidRDefault="009C5330" w:rsidP="009C5330">
      <w:pPr>
        <w:pStyle w:val="HChG"/>
      </w:pPr>
      <w:r>
        <w:tab/>
      </w:r>
      <w:r>
        <w:tab/>
      </w:r>
      <w:r w:rsidR="00A779F3">
        <w:t>Main o</w:t>
      </w:r>
      <w:r w:rsidR="00FD5246" w:rsidRPr="0053772A">
        <w:t>pen issue</w:t>
      </w:r>
      <w:r w:rsidR="00A779F3">
        <w:t>s</w:t>
      </w:r>
      <w:r w:rsidR="00FD1904" w:rsidRPr="0053772A">
        <w:t xml:space="preserve"> </w:t>
      </w:r>
    </w:p>
    <w:p w:rsidR="00FD5246" w:rsidRPr="00A779F3" w:rsidRDefault="009C5330" w:rsidP="009C5330">
      <w:pPr>
        <w:pStyle w:val="H1G"/>
        <w:rPr>
          <w:sz w:val="16"/>
        </w:rPr>
      </w:pPr>
      <w:r>
        <w:tab/>
      </w:r>
      <w:r>
        <w:tab/>
      </w:r>
      <w:r w:rsidR="00A779F3">
        <w:t xml:space="preserve">Open issue </w:t>
      </w:r>
      <w:r w:rsidR="00FD1904" w:rsidRPr="00A779F3">
        <w:t>1 – the symbol</w:t>
      </w:r>
      <w:r w:rsidR="008F0EB2">
        <w:t>, or no symbol,</w:t>
      </w:r>
      <w:r w:rsidR="00FD1904" w:rsidRPr="00A779F3">
        <w:t xml:space="preserve"> for Sub-category 2C</w:t>
      </w:r>
    </w:p>
    <w:p w:rsidR="00FD1904" w:rsidRPr="00FD1904" w:rsidRDefault="00EF4B71" w:rsidP="0053772A">
      <w:pPr>
        <w:pStyle w:val="SingleTxtG"/>
        <w:numPr>
          <w:ilvl w:val="0"/>
          <w:numId w:val="28"/>
        </w:numPr>
        <w:tabs>
          <w:tab w:val="right" w:pos="1710"/>
        </w:tabs>
        <w:ind w:left="1170" w:hanging="36"/>
      </w:pPr>
      <w:r>
        <w:rPr>
          <w:lang w:val="en-GB"/>
        </w:rPr>
        <w:t>From the ICG-meeting during the 37</w:t>
      </w:r>
      <w:r w:rsidR="009C5330" w:rsidRPr="009C5330">
        <w:rPr>
          <w:vertAlign w:val="superscript"/>
          <w:lang w:val="en-GB"/>
        </w:rPr>
        <w:t>th</w:t>
      </w:r>
      <w:r w:rsidR="009C5330">
        <w:rPr>
          <w:lang w:val="en-GB"/>
        </w:rPr>
        <w:t xml:space="preserve"> </w:t>
      </w:r>
      <w:r>
        <w:rPr>
          <w:lang w:val="en-GB"/>
        </w:rPr>
        <w:t>session of the SCEGHS, and subsequent discussions in the ICG, the expert from Sweden has understood that m</w:t>
      </w:r>
      <w:r w:rsidR="00FD5246">
        <w:rPr>
          <w:lang w:val="en-GB"/>
        </w:rPr>
        <w:t xml:space="preserve">ost experts seem to agree that the exploding bomb symbol </w:t>
      </w:r>
      <w:r w:rsidR="00FD1904">
        <w:rPr>
          <w:lang w:val="en-GB"/>
        </w:rPr>
        <w:t xml:space="preserve">(pictogram GHS01) </w:t>
      </w:r>
      <w:r>
        <w:rPr>
          <w:lang w:val="en-GB"/>
        </w:rPr>
        <w:t>would exaggerate</w:t>
      </w:r>
      <w:r w:rsidR="00FD1904">
        <w:rPr>
          <w:lang w:val="en-GB"/>
        </w:rPr>
        <w:t xml:space="preserve"> hazard posed by explosives in </w:t>
      </w:r>
      <w:r>
        <w:rPr>
          <w:lang w:val="en-GB"/>
        </w:rPr>
        <w:t>S</w:t>
      </w:r>
      <w:r w:rsidR="00FD1904">
        <w:rPr>
          <w:lang w:val="en-GB"/>
        </w:rPr>
        <w:t>ub-category</w:t>
      </w:r>
      <w:r>
        <w:rPr>
          <w:lang w:val="en-GB"/>
        </w:rPr>
        <w:t xml:space="preserve"> 2C</w:t>
      </w:r>
      <w:r w:rsidR="00FD1904">
        <w:rPr>
          <w:lang w:val="en-GB"/>
        </w:rPr>
        <w:t>. Regarding the use of the flame symbol (pictogram GHS02), some experts appear to feel that fire is not the hazard posed by these explosives, which are mainly articles</w:t>
      </w:r>
      <w:r>
        <w:rPr>
          <w:lang w:val="en-GB"/>
        </w:rPr>
        <w:t>, and hence the flame would be misleading</w:t>
      </w:r>
      <w:r w:rsidR="00FD1904">
        <w:rPr>
          <w:lang w:val="en-GB"/>
        </w:rPr>
        <w:t>. The exclamation mark (pictogram GHS07), hitherto only used for less severe health hazards,</w:t>
      </w:r>
      <w:r w:rsidR="0036473C">
        <w:rPr>
          <w:lang w:val="en-GB"/>
        </w:rPr>
        <w:t xml:space="preserve"> has come up as an alter</w:t>
      </w:r>
      <w:r w:rsidR="00230FF0">
        <w:rPr>
          <w:lang w:val="en-GB"/>
        </w:rPr>
        <w:t>n</w:t>
      </w:r>
      <w:r w:rsidR="0036473C">
        <w:rPr>
          <w:lang w:val="en-GB"/>
        </w:rPr>
        <w:t>ative in later discussions in the ICG</w:t>
      </w:r>
      <w:r w:rsidR="00325771">
        <w:rPr>
          <w:lang w:val="en-GB"/>
        </w:rPr>
        <w:t>,</w:t>
      </w:r>
      <w:r w:rsidR="0036473C">
        <w:rPr>
          <w:lang w:val="en-GB"/>
        </w:rPr>
        <w:t xml:space="preserve"> and</w:t>
      </w:r>
      <w:r w:rsidR="00FD1904">
        <w:rPr>
          <w:lang w:val="en-GB"/>
        </w:rPr>
        <w:t xml:space="preserve"> seems to appeal to some experts</w:t>
      </w:r>
      <w:r w:rsidR="0036473C">
        <w:rPr>
          <w:lang w:val="en-GB"/>
        </w:rPr>
        <w:t>. O</w:t>
      </w:r>
      <w:r w:rsidR="00FD1904">
        <w:rPr>
          <w:lang w:val="en-GB"/>
        </w:rPr>
        <w:t>ther experts se</w:t>
      </w:r>
      <w:r>
        <w:rPr>
          <w:lang w:val="en-GB"/>
        </w:rPr>
        <w:t>em</w:t>
      </w:r>
      <w:r w:rsidR="00FD1904">
        <w:rPr>
          <w:lang w:val="en-GB"/>
        </w:rPr>
        <w:t xml:space="preserve"> to </w:t>
      </w:r>
      <w:r w:rsidR="00325771">
        <w:rPr>
          <w:lang w:val="en-GB"/>
        </w:rPr>
        <w:t>be of the opinion</w:t>
      </w:r>
      <w:r w:rsidR="00FD1904">
        <w:rPr>
          <w:lang w:val="en-GB"/>
        </w:rPr>
        <w:t xml:space="preserve"> that the better option is to use no symbol at all for </w:t>
      </w:r>
      <w:r>
        <w:rPr>
          <w:lang w:val="en-GB"/>
        </w:rPr>
        <w:t xml:space="preserve">this </w:t>
      </w:r>
      <w:r w:rsidR="00FD1904">
        <w:rPr>
          <w:lang w:val="en-GB"/>
        </w:rPr>
        <w:t>sub-category.</w:t>
      </w:r>
    </w:p>
    <w:p w:rsidR="00FD1904" w:rsidRPr="00A779F3" w:rsidRDefault="009C5330" w:rsidP="009C5330">
      <w:pPr>
        <w:pStyle w:val="H1G"/>
      </w:pPr>
      <w:r>
        <w:tab/>
      </w:r>
      <w:r>
        <w:tab/>
      </w:r>
      <w:r w:rsidR="00FD1904" w:rsidRPr="00A779F3">
        <w:t>Open issue 2 – the hazard statements for Sub-category 2B and 2C</w:t>
      </w:r>
    </w:p>
    <w:p w:rsidR="00FD1904" w:rsidRPr="00FD1904" w:rsidRDefault="00FD1904" w:rsidP="00FD5246">
      <w:pPr>
        <w:pStyle w:val="SingleTxtG"/>
        <w:numPr>
          <w:ilvl w:val="0"/>
          <w:numId w:val="28"/>
        </w:numPr>
        <w:tabs>
          <w:tab w:val="right" w:pos="1710"/>
        </w:tabs>
        <w:ind w:left="1170" w:hanging="36"/>
      </w:pPr>
      <w:r>
        <w:rPr>
          <w:lang w:val="en-GB"/>
        </w:rPr>
        <w:t>It was pointed out in the ICG-discussions during the 37</w:t>
      </w:r>
      <w:r w:rsidR="009C5330" w:rsidRPr="009C5330">
        <w:rPr>
          <w:vertAlign w:val="superscript"/>
          <w:lang w:val="en-GB"/>
        </w:rPr>
        <w:t>th</w:t>
      </w:r>
      <w:r w:rsidR="009C5330">
        <w:rPr>
          <w:lang w:val="en-GB"/>
        </w:rPr>
        <w:t xml:space="preserve"> </w:t>
      </w:r>
      <w:r>
        <w:rPr>
          <w:lang w:val="en-GB"/>
        </w:rPr>
        <w:t>session of the SCEGHS that it would be preferable to have at least slightly different hazard statements for sub-categories 2B and 2C, in order to avoid confusion around which of the two</w:t>
      </w:r>
      <w:r w:rsidR="00C22773">
        <w:rPr>
          <w:lang w:val="en-GB"/>
        </w:rPr>
        <w:t xml:space="preserve"> classifications</w:t>
      </w:r>
      <w:r>
        <w:rPr>
          <w:lang w:val="en-GB"/>
        </w:rPr>
        <w:t xml:space="preserve"> the explosive actually is assigned to.</w:t>
      </w:r>
      <w:r w:rsidR="00150B0B">
        <w:rPr>
          <w:lang w:val="en-GB"/>
        </w:rPr>
        <w:t xml:space="preserve"> Thus far, the current hazard statem</w:t>
      </w:r>
      <w:r w:rsidR="00FF325F">
        <w:rPr>
          <w:lang w:val="en-GB"/>
        </w:rPr>
        <w:t xml:space="preserve">ent “Fire or projection hazard” </w:t>
      </w:r>
      <w:r w:rsidR="00150B0B">
        <w:rPr>
          <w:lang w:val="en-GB"/>
        </w:rPr>
        <w:t>(H204)</w:t>
      </w:r>
      <w:r w:rsidR="00FF325F">
        <w:rPr>
          <w:lang w:val="en-GB"/>
        </w:rPr>
        <w:t>, applicable to division 1.4,</w:t>
      </w:r>
      <w:r w:rsidR="00150B0B">
        <w:rPr>
          <w:lang w:val="en-GB"/>
        </w:rPr>
        <w:t xml:space="preserve"> has been provisionally assigned to both these sub-categories</w:t>
      </w:r>
      <w:r w:rsidR="00FF325F">
        <w:rPr>
          <w:lang w:val="en-GB"/>
        </w:rPr>
        <w:t>. There have, however, not been any firm discussions about the</w:t>
      </w:r>
      <w:r w:rsidR="00150B0B">
        <w:rPr>
          <w:lang w:val="en-GB"/>
        </w:rPr>
        <w:t xml:space="preserve"> validity </w:t>
      </w:r>
      <w:r w:rsidR="00FF325F">
        <w:rPr>
          <w:lang w:val="en-GB"/>
        </w:rPr>
        <w:t xml:space="preserve">of this statement </w:t>
      </w:r>
      <w:r w:rsidR="00150B0B">
        <w:rPr>
          <w:lang w:val="en-GB"/>
        </w:rPr>
        <w:t>in relation to the hazard</w:t>
      </w:r>
      <w:r w:rsidR="00E21BCB">
        <w:rPr>
          <w:lang w:val="en-GB"/>
        </w:rPr>
        <w:t xml:space="preserve"> in the ICG</w:t>
      </w:r>
      <w:r w:rsidR="00150B0B">
        <w:rPr>
          <w:lang w:val="en-GB"/>
        </w:rPr>
        <w:t>.</w:t>
      </w:r>
    </w:p>
    <w:p w:rsidR="00FD1904" w:rsidRPr="00C91CF8" w:rsidRDefault="00FF325F" w:rsidP="00C91CF8">
      <w:pPr>
        <w:pStyle w:val="SingleTxtG"/>
        <w:numPr>
          <w:ilvl w:val="0"/>
          <w:numId w:val="28"/>
        </w:numPr>
        <w:tabs>
          <w:tab w:val="right" w:pos="1710"/>
        </w:tabs>
        <w:ind w:left="1170" w:hanging="36"/>
        <w:rPr>
          <w:lang w:val="en-GB"/>
        </w:rPr>
      </w:pPr>
      <w:r>
        <w:rPr>
          <w:lang w:val="en-GB"/>
        </w:rPr>
        <w:t>Within the ICG t</w:t>
      </w:r>
      <w:r w:rsidR="00150B0B" w:rsidRPr="00150B0B">
        <w:rPr>
          <w:lang w:val="en-GB"/>
        </w:rPr>
        <w:t xml:space="preserve">here have been suggestions to slightly </w:t>
      </w:r>
      <w:r w:rsidR="00150B0B">
        <w:rPr>
          <w:lang w:val="en-GB"/>
        </w:rPr>
        <w:t>change</w:t>
      </w:r>
      <w:r w:rsidR="00150B0B" w:rsidRPr="00150B0B">
        <w:rPr>
          <w:lang w:val="en-GB"/>
        </w:rPr>
        <w:t xml:space="preserve"> H204 for Sub-category 2C by </w:t>
      </w:r>
      <w:r w:rsidR="00150B0B">
        <w:rPr>
          <w:lang w:val="en-GB"/>
        </w:rPr>
        <w:t>amending it to “Minor fire or projection hazard”</w:t>
      </w:r>
      <w:r w:rsidR="00C91CF8">
        <w:rPr>
          <w:lang w:val="en-GB"/>
        </w:rPr>
        <w:t xml:space="preserve"> or “May cause a fire or projection </w:t>
      </w:r>
      <w:r w:rsidR="00C91CF8">
        <w:rPr>
          <w:lang w:val="en-GB"/>
        </w:rPr>
        <w:lastRenderedPageBreak/>
        <w:t>hazard”</w:t>
      </w:r>
      <w:r w:rsidR="00150B0B">
        <w:rPr>
          <w:lang w:val="en-GB"/>
        </w:rPr>
        <w:t xml:space="preserve">. </w:t>
      </w:r>
      <w:r w:rsidR="00C91CF8">
        <w:rPr>
          <w:lang w:val="en-GB"/>
        </w:rPr>
        <w:t xml:space="preserve">There have also been </w:t>
      </w:r>
      <w:r>
        <w:rPr>
          <w:lang w:val="en-GB"/>
        </w:rPr>
        <w:t>ideas</w:t>
      </w:r>
      <w:r w:rsidR="00C91CF8">
        <w:rPr>
          <w:lang w:val="en-GB"/>
        </w:rPr>
        <w:t xml:space="preserve"> to instead amend the hazard statement for Sub-category 2B, e.g. to “Severe fire or projection hazard”.</w:t>
      </w:r>
      <w:r w:rsidR="00D82B25" w:rsidRPr="00C91CF8">
        <w:rPr>
          <w:lang w:val="en-GB"/>
        </w:rPr>
        <w:t xml:space="preserve"> It would also be possible to completely change the hazard statement for either sub-category, or indeed for both of them</w:t>
      </w:r>
      <w:r>
        <w:rPr>
          <w:lang w:val="en-GB"/>
        </w:rPr>
        <w:t>, but there have been no such suggestions made thus far</w:t>
      </w:r>
      <w:r w:rsidR="00D82B25" w:rsidRPr="00C91CF8">
        <w:rPr>
          <w:lang w:val="en-GB"/>
        </w:rPr>
        <w:t>.</w:t>
      </w:r>
    </w:p>
    <w:p w:rsidR="00FD1904" w:rsidRPr="00A779F3" w:rsidRDefault="009C5330" w:rsidP="009C5330">
      <w:pPr>
        <w:pStyle w:val="H1G"/>
      </w:pPr>
      <w:r>
        <w:tab/>
      </w:r>
      <w:r>
        <w:tab/>
      </w:r>
      <w:r w:rsidR="00FD1904" w:rsidRPr="00A779F3">
        <w:t xml:space="preserve">Open issue 3 – </w:t>
      </w:r>
      <w:r w:rsidR="003004DA">
        <w:t xml:space="preserve">retaining information on </w:t>
      </w:r>
      <w:r w:rsidR="00FD1904" w:rsidRPr="00A779F3">
        <w:t xml:space="preserve">the division </w:t>
      </w:r>
    </w:p>
    <w:p w:rsidR="00353524" w:rsidRPr="00353524" w:rsidRDefault="00FD1904" w:rsidP="00FD5246">
      <w:pPr>
        <w:pStyle w:val="SingleTxtG"/>
        <w:numPr>
          <w:ilvl w:val="0"/>
          <w:numId w:val="28"/>
        </w:numPr>
        <w:tabs>
          <w:tab w:val="right" w:pos="1710"/>
        </w:tabs>
        <w:ind w:left="1170" w:hanging="36"/>
      </w:pPr>
      <w:r>
        <w:rPr>
          <w:lang w:val="en-GB"/>
        </w:rPr>
        <w:t>A</w:t>
      </w:r>
      <w:r w:rsidR="00353524">
        <w:rPr>
          <w:lang w:val="en-GB"/>
        </w:rPr>
        <w:t xml:space="preserve"> long-standing open issue</w:t>
      </w:r>
      <w:r w:rsidR="0028343B">
        <w:rPr>
          <w:lang w:val="en-GB"/>
        </w:rPr>
        <w:t xml:space="preserve">, and a </w:t>
      </w:r>
      <w:r w:rsidR="00907CEB">
        <w:rPr>
          <w:lang w:val="en-GB"/>
        </w:rPr>
        <w:t xml:space="preserve">very </w:t>
      </w:r>
      <w:r w:rsidR="0028343B">
        <w:rPr>
          <w:lang w:val="en-GB"/>
        </w:rPr>
        <w:t>challenging one,</w:t>
      </w:r>
      <w:r w:rsidR="00353524">
        <w:rPr>
          <w:lang w:val="en-GB"/>
        </w:rPr>
        <w:t xml:space="preserve"> has been how to</w:t>
      </w:r>
      <w:r w:rsidR="00C91CF8">
        <w:rPr>
          <w:lang w:val="en-GB"/>
        </w:rPr>
        <w:t xml:space="preserve"> retain</w:t>
      </w:r>
      <w:r w:rsidR="00353524">
        <w:rPr>
          <w:lang w:val="en-GB"/>
        </w:rPr>
        <w:t xml:space="preserve"> inform</w:t>
      </w:r>
      <w:r w:rsidR="00192A12">
        <w:rPr>
          <w:lang w:val="en-GB"/>
        </w:rPr>
        <w:t>ation</w:t>
      </w:r>
      <w:r w:rsidR="00353524">
        <w:rPr>
          <w:lang w:val="en-GB"/>
        </w:rPr>
        <w:t xml:space="preserve"> on the division</w:t>
      </w:r>
      <w:r w:rsidR="00912B12">
        <w:rPr>
          <w:lang w:val="en-GB"/>
        </w:rPr>
        <w:t>,</w:t>
      </w:r>
      <w:r w:rsidR="00353524">
        <w:rPr>
          <w:lang w:val="en-GB"/>
        </w:rPr>
        <w:t xml:space="preserve"> as assigned </w:t>
      </w:r>
      <w:r w:rsidR="00C91CF8">
        <w:rPr>
          <w:lang w:val="en-GB"/>
        </w:rPr>
        <w:t>to the configuration as a whole</w:t>
      </w:r>
      <w:r w:rsidR="00912B12">
        <w:rPr>
          <w:lang w:val="en-GB"/>
        </w:rPr>
        <w:t>,</w:t>
      </w:r>
      <w:r w:rsidR="00C91CF8">
        <w:rPr>
          <w:lang w:val="en-GB"/>
        </w:rPr>
        <w:t xml:space="preserve"> also for the </w:t>
      </w:r>
      <w:r w:rsidR="00912B12">
        <w:rPr>
          <w:lang w:val="en-GB"/>
        </w:rPr>
        <w:t>primary</w:t>
      </w:r>
      <w:r w:rsidR="00C91CF8">
        <w:rPr>
          <w:lang w:val="en-GB"/>
        </w:rPr>
        <w:t xml:space="preserve"> and</w:t>
      </w:r>
      <w:r w:rsidR="00912B12">
        <w:rPr>
          <w:lang w:val="en-GB"/>
        </w:rPr>
        <w:t xml:space="preserve"> any</w:t>
      </w:r>
      <w:r w:rsidR="00C91CF8">
        <w:rPr>
          <w:lang w:val="en-GB"/>
        </w:rPr>
        <w:t xml:space="preserve"> intermediate packaging. </w:t>
      </w:r>
      <w:r w:rsidR="00A73289">
        <w:rPr>
          <w:lang w:val="en-GB"/>
        </w:rPr>
        <w:t xml:space="preserve">The </w:t>
      </w:r>
      <w:r w:rsidR="00912B12">
        <w:rPr>
          <w:lang w:val="en-GB"/>
        </w:rPr>
        <w:t xml:space="preserve">main </w:t>
      </w:r>
      <w:r w:rsidR="00A73289">
        <w:rPr>
          <w:lang w:val="en-GB"/>
        </w:rPr>
        <w:t xml:space="preserve">point of </w:t>
      </w:r>
      <w:r w:rsidR="00912B12">
        <w:rPr>
          <w:lang w:val="en-GB"/>
        </w:rPr>
        <w:t>t</w:t>
      </w:r>
      <w:r w:rsidR="00A73289">
        <w:rPr>
          <w:lang w:val="en-GB"/>
        </w:rPr>
        <w:t>his information</w:t>
      </w:r>
      <w:r w:rsidR="00103E90">
        <w:rPr>
          <w:lang w:val="en-GB"/>
        </w:rPr>
        <w:t xml:space="preserve">, </w:t>
      </w:r>
      <w:r w:rsidR="001B5846">
        <w:rPr>
          <w:lang w:val="en-GB"/>
        </w:rPr>
        <w:t>as understood by the expert from Sweden</w:t>
      </w:r>
      <w:r w:rsidR="00103E90">
        <w:rPr>
          <w:lang w:val="en-GB"/>
        </w:rPr>
        <w:t>,</w:t>
      </w:r>
      <w:r w:rsidR="00A73289">
        <w:rPr>
          <w:lang w:val="en-GB"/>
        </w:rPr>
        <w:t xml:space="preserve"> is to be able to apply current regulations on</w:t>
      </w:r>
      <w:r w:rsidR="001B5846">
        <w:rPr>
          <w:lang w:val="en-GB"/>
        </w:rPr>
        <w:t xml:space="preserve"> the handling of</w:t>
      </w:r>
      <w:r w:rsidR="00A73289">
        <w:rPr>
          <w:lang w:val="en-GB"/>
        </w:rPr>
        <w:t xml:space="preserve"> explosives,</w:t>
      </w:r>
      <w:r w:rsidR="001B5846">
        <w:rPr>
          <w:lang w:val="en-GB"/>
        </w:rPr>
        <w:t xml:space="preserve"> </w:t>
      </w:r>
      <w:bookmarkStart w:id="0" w:name="_GoBack"/>
      <w:bookmarkEnd w:id="0"/>
      <w:r w:rsidR="001B5846">
        <w:rPr>
          <w:lang w:val="en-GB"/>
        </w:rPr>
        <w:t>includ</w:t>
      </w:r>
      <w:r w:rsidR="00884C7C">
        <w:rPr>
          <w:lang w:val="en-GB"/>
        </w:rPr>
        <w:t>ing licensing,</w:t>
      </w:r>
      <w:r w:rsidR="00A73289">
        <w:rPr>
          <w:lang w:val="en-GB"/>
        </w:rPr>
        <w:t xml:space="preserve"> which generally rely on the division being known.</w:t>
      </w:r>
      <w:r w:rsidR="00402ACB">
        <w:rPr>
          <w:rStyle w:val="FootnoteReference"/>
          <w:lang w:val="en-GB"/>
        </w:rPr>
        <w:footnoteReference w:id="5"/>
      </w:r>
      <w:r w:rsidR="00A73289">
        <w:rPr>
          <w:lang w:val="en-GB"/>
        </w:rPr>
        <w:t xml:space="preserve"> </w:t>
      </w:r>
      <w:r w:rsidR="00192A12">
        <w:rPr>
          <w:lang w:val="en-GB"/>
        </w:rPr>
        <w:t>This division, however, strictly only applies to the explosive in the configuration</w:t>
      </w:r>
      <w:r w:rsidR="004A1A8B">
        <w:rPr>
          <w:lang w:val="en-GB"/>
        </w:rPr>
        <w:t xml:space="preserve"> to which this division was assigned</w:t>
      </w:r>
      <w:r w:rsidR="00884C7C">
        <w:rPr>
          <w:lang w:val="en-GB"/>
        </w:rPr>
        <w:t xml:space="preserve"> (</w:t>
      </w:r>
      <w:r w:rsidR="00192A12">
        <w:rPr>
          <w:lang w:val="en-GB"/>
        </w:rPr>
        <w:t>usua</w:t>
      </w:r>
      <w:r w:rsidR="00912B12">
        <w:rPr>
          <w:lang w:val="en-GB"/>
        </w:rPr>
        <w:t>lly the transport configuration</w:t>
      </w:r>
      <w:r w:rsidR="00884C7C">
        <w:rPr>
          <w:lang w:val="en-GB"/>
        </w:rPr>
        <w:t>)</w:t>
      </w:r>
      <w:r w:rsidR="004A1A8B">
        <w:rPr>
          <w:lang w:val="en-GB"/>
        </w:rPr>
        <w:t>,</w:t>
      </w:r>
      <w:r w:rsidR="00912B12">
        <w:rPr>
          <w:lang w:val="en-GB"/>
        </w:rPr>
        <w:t xml:space="preserve"> and hence the information on any other layers of packaging </w:t>
      </w:r>
      <w:r w:rsidR="004A1A8B">
        <w:rPr>
          <w:lang w:val="en-GB"/>
        </w:rPr>
        <w:t>would relate</w:t>
      </w:r>
      <w:r w:rsidR="00912B12">
        <w:rPr>
          <w:lang w:val="en-GB"/>
        </w:rPr>
        <w:t xml:space="preserve"> to the configuration </w:t>
      </w:r>
      <w:r w:rsidR="009A63ED">
        <w:rPr>
          <w:lang w:val="en-GB"/>
        </w:rPr>
        <w:t xml:space="preserve">in which the explosive </w:t>
      </w:r>
      <w:r w:rsidR="009A63ED" w:rsidRPr="009A63ED">
        <w:rPr>
          <w:u w:val="single"/>
          <w:lang w:val="en-GB"/>
        </w:rPr>
        <w:t>was</w:t>
      </w:r>
      <w:r w:rsidR="00884C7C">
        <w:rPr>
          <w:lang w:val="en-GB"/>
        </w:rPr>
        <w:t xml:space="preserve"> before that</w:t>
      </w:r>
      <w:r w:rsidR="009A63ED">
        <w:rPr>
          <w:lang w:val="en-GB"/>
        </w:rPr>
        <w:t xml:space="preserve"> configuration was dis</w:t>
      </w:r>
      <w:r w:rsidR="002C463C">
        <w:rPr>
          <w:lang w:val="en-GB"/>
        </w:rPr>
        <w:t>mounted</w:t>
      </w:r>
      <w:r w:rsidR="00912B12">
        <w:rPr>
          <w:lang w:val="en-GB"/>
        </w:rPr>
        <w:t>.</w:t>
      </w:r>
    </w:p>
    <w:p w:rsidR="00192A12" w:rsidRPr="00192A12" w:rsidRDefault="00912B12" w:rsidP="00541247">
      <w:pPr>
        <w:pStyle w:val="SingleTxtG"/>
        <w:numPr>
          <w:ilvl w:val="0"/>
          <w:numId w:val="28"/>
        </w:numPr>
        <w:tabs>
          <w:tab w:val="right" w:pos="1710"/>
        </w:tabs>
        <w:ind w:left="1170" w:hanging="36"/>
      </w:pPr>
      <w:r>
        <w:rPr>
          <w:lang w:val="en-GB"/>
        </w:rPr>
        <w:t xml:space="preserve">While a </w:t>
      </w:r>
      <w:r w:rsidR="00541247" w:rsidRPr="00541247">
        <w:rPr>
          <w:lang w:val="en-GB"/>
        </w:rPr>
        <w:t>hazard statement may be a comfortable option</w:t>
      </w:r>
      <w:r w:rsidR="00DE6233">
        <w:rPr>
          <w:lang w:val="en-GB"/>
        </w:rPr>
        <w:t xml:space="preserve"> for displaying the division on the GHS label</w:t>
      </w:r>
      <w:r w:rsidR="00541247" w:rsidRPr="00541247">
        <w:rPr>
          <w:lang w:val="en-GB"/>
        </w:rPr>
        <w:t xml:space="preserve"> (as it is a</w:t>
      </w:r>
      <w:r w:rsidR="008C1399">
        <w:rPr>
          <w:lang w:val="en-GB"/>
        </w:rPr>
        <w:t xml:space="preserve"> familiar</w:t>
      </w:r>
      <w:r w:rsidR="00985831">
        <w:rPr>
          <w:lang w:val="en-GB"/>
        </w:rPr>
        <w:t xml:space="preserve"> and</w:t>
      </w:r>
      <w:r w:rsidR="00541247" w:rsidRPr="00541247">
        <w:rPr>
          <w:lang w:val="en-GB"/>
        </w:rPr>
        <w:t xml:space="preserve"> </w:t>
      </w:r>
      <w:r w:rsidR="00985831">
        <w:rPr>
          <w:lang w:val="en-GB"/>
        </w:rPr>
        <w:t>mandatory</w:t>
      </w:r>
      <w:r w:rsidR="00541247" w:rsidRPr="00541247">
        <w:rPr>
          <w:lang w:val="en-GB"/>
        </w:rPr>
        <w:t xml:space="preserve"> GHS hazard communication element), </w:t>
      </w:r>
      <w:r w:rsidR="00532006">
        <w:rPr>
          <w:lang w:val="en-GB"/>
        </w:rPr>
        <w:t xml:space="preserve">it in a way </w:t>
      </w:r>
      <w:r w:rsidR="005B6EE1">
        <w:rPr>
          <w:lang w:val="en-GB"/>
        </w:rPr>
        <w:t>re-introduces</w:t>
      </w:r>
      <w:r w:rsidR="00541247" w:rsidRPr="00541247">
        <w:rPr>
          <w:lang w:val="en-GB"/>
        </w:rPr>
        <w:t xml:space="preserve"> the dependence of the hazar</w:t>
      </w:r>
      <w:r w:rsidR="008C1399">
        <w:rPr>
          <w:lang w:val="en-GB"/>
        </w:rPr>
        <w:t>d communication on the division</w:t>
      </w:r>
      <w:r w:rsidR="005B6EE1">
        <w:rPr>
          <w:lang w:val="en-GB"/>
        </w:rPr>
        <w:t xml:space="preserve"> – </w:t>
      </w:r>
      <w:r w:rsidR="00541247" w:rsidRPr="00541247">
        <w:rPr>
          <w:lang w:val="en-GB"/>
        </w:rPr>
        <w:t>the</w:t>
      </w:r>
      <w:r w:rsidR="005B6EE1">
        <w:rPr>
          <w:lang w:val="en-GB"/>
        </w:rPr>
        <w:t xml:space="preserve"> very</w:t>
      </w:r>
      <w:r w:rsidR="00541247" w:rsidRPr="00541247">
        <w:rPr>
          <w:lang w:val="en-GB"/>
        </w:rPr>
        <w:t xml:space="preserve"> core problem</w:t>
      </w:r>
      <w:r w:rsidR="005B6EE1">
        <w:rPr>
          <w:lang w:val="en-GB"/>
        </w:rPr>
        <w:t xml:space="preserve"> of the current </w:t>
      </w:r>
      <w:r w:rsidR="00541247" w:rsidRPr="00541247">
        <w:rPr>
          <w:lang w:val="en-GB"/>
        </w:rPr>
        <w:t>Chap</w:t>
      </w:r>
      <w:r w:rsidR="008C1399">
        <w:rPr>
          <w:lang w:val="en-GB"/>
        </w:rPr>
        <w:t xml:space="preserve">ter 2.1 </w:t>
      </w:r>
      <w:r w:rsidR="005B6EE1">
        <w:rPr>
          <w:lang w:val="en-GB"/>
        </w:rPr>
        <w:t xml:space="preserve">that the </w:t>
      </w:r>
      <w:r w:rsidR="008C1399">
        <w:rPr>
          <w:lang w:val="en-GB"/>
        </w:rPr>
        <w:t xml:space="preserve">review aims to </w:t>
      </w:r>
      <w:r w:rsidR="005B6EE1">
        <w:rPr>
          <w:lang w:val="en-GB"/>
        </w:rPr>
        <w:t>overcome</w:t>
      </w:r>
      <w:r w:rsidR="008C1399">
        <w:rPr>
          <w:lang w:val="en-GB"/>
        </w:rPr>
        <w:t>.</w:t>
      </w:r>
      <w:r w:rsidR="003F76AB">
        <w:rPr>
          <w:lang w:val="en-GB"/>
        </w:rPr>
        <w:t xml:space="preserve"> Furthermore, the division number </w:t>
      </w:r>
      <w:r w:rsidR="005B6EE1">
        <w:rPr>
          <w:lang w:val="en-GB"/>
        </w:rPr>
        <w:t xml:space="preserve">may not be perceived as </w:t>
      </w:r>
      <w:r w:rsidR="003F76AB">
        <w:rPr>
          <w:lang w:val="en-GB"/>
        </w:rPr>
        <w:t>a</w:t>
      </w:r>
      <w:r w:rsidR="005B6EE1">
        <w:rPr>
          <w:lang w:val="en-GB"/>
        </w:rPr>
        <w:t xml:space="preserve"> warning of a</w:t>
      </w:r>
      <w:r w:rsidR="003F76AB">
        <w:rPr>
          <w:lang w:val="en-GB"/>
        </w:rPr>
        <w:t xml:space="preserve"> hazard</w:t>
      </w:r>
      <w:r w:rsidR="00325771">
        <w:rPr>
          <w:lang w:val="en-GB"/>
        </w:rPr>
        <w:t xml:space="preserve"> by all audiences</w:t>
      </w:r>
      <w:r w:rsidR="005B6EE1">
        <w:rPr>
          <w:lang w:val="en-GB"/>
        </w:rPr>
        <w:t>,</w:t>
      </w:r>
      <w:r w:rsidR="003F76AB">
        <w:rPr>
          <w:lang w:val="en-GB"/>
        </w:rPr>
        <w:t xml:space="preserve"> as it convey</w:t>
      </w:r>
      <w:r w:rsidR="005B6EE1">
        <w:rPr>
          <w:lang w:val="en-GB"/>
        </w:rPr>
        <w:t xml:space="preserve">s a number that has meaning only to </w:t>
      </w:r>
      <w:r w:rsidR="00325771">
        <w:rPr>
          <w:lang w:val="en-GB"/>
        </w:rPr>
        <w:t>those that have knowledge of what it represents</w:t>
      </w:r>
      <w:r w:rsidR="003F76AB">
        <w:rPr>
          <w:lang w:val="en-GB"/>
        </w:rPr>
        <w:t>.</w:t>
      </w:r>
    </w:p>
    <w:p w:rsidR="003F76AB" w:rsidRPr="003F76AB" w:rsidRDefault="00541247" w:rsidP="00541247">
      <w:pPr>
        <w:pStyle w:val="SingleTxtG"/>
        <w:numPr>
          <w:ilvl w:val="0"/>
          <w:numId w:val="28"/>
        </w:numPr>
        <w:tabs>
          <w:tab w:val="right" w:pos="1710"/>
        </w:tabs>
        <w:ind w:left="1170" w:hanging="36"/>
      </w:pPr>
      <w:r w:rsidRPr="00541247">
        <w:rPr>
          <w:lang w:val="en-GB"/>
        </w:rPr>
        <w:t xml:space="preserve">The </w:t>
      </w:r>
      <w:r w:rsidR="005B6EE1">
        <w:rPr>
          <w:lang w:val="en-GB"/>
        </w:rPr>
        <w:t xml:space="preserve">main drawback of </w:t>
      </w:r>
      <w:r w:rsidRPr="00541247">
        <w:rPr>
          <w:lang w:val="en-GB"/>
        </w:rPr>
        <w:t>u</w:t>
      </w:r>
      <w:r w:rsidR="008C1399">
        <w:rPr>
          <w:lang w:val="en-GB"/>
        </w:rPr>
        <w:t>sing a precautionary statement</w:t>
      </w:r>
      <w:r w:rsidR="003F76AB">
        <w:rPr>
          <w:lang w:val="en-GB"/>
        </w:rPr>
        <w:t xml:space="preserve"> </w:t>
      </w:r>
      <w:r w:rsidR="005B6EE1">
        <w:rPr>
          <w:lang w:val="en-GB"/>
        </w:rPr>
        <w:t xml:space="preserve">is that it may </w:t>
      </w:r>
      <w:r w:rsidRPr="00541247">
        <w:rPr>
          <w:lang w:val="en-GB"/>
        </w:rPr>
        <w:t>not be mandatory on the GHS label in all implementations</w:t>
      </w:r>
      <w:r w:rsidR="00532006">
        <w:rPr>
          <w:lang w:val="en-GB"/>
        </w:rPr>
        <w:t>. It</w:t>
      </w:r>
      <w:r w:rsidR="00230FF0">
        <w:rPr>
          <w:lang w:val="en-GB"/>
        </w:rPr>
        <w:t xml:space="preserve"> is</w:t>
      </w:r>
      <w:r w:rsidR="003F76AB">
        <w:rPr>
          <w:lang w:val="en-GB"/>
        </w:rPr>
        <w:t>, however, also a standard element of the GHS label and has the advantage that it can be worded in a more flexible way</w:t>
      </w:r>
      <w:r w:rsidR="005B6EE1">
        <w:rPr>
          <w:lang w:val="en-GB"/>
        </w:rPr>
        <w:t xml:space="preserve"> than a hazard statement</w:t>
      </w:r>
      <w:r w:rsidR="003F76AB">
        <w:rPr>
          <w:lang w:val="en-GB"/>
        </w:rPr>
        <w:t xml:space="preserve">. One idea that has been put forward in the ICG some time ago already is to introduce an </w:t>
      </w:r>
      <w:r w:rsidR="003F76AB" w:rsidRPr="00541247">
        <w:rPr>
          <w:lang w:val="en-GB"/>
        </w:rPr>
        <w:t xml:space="preserve">amended </w:t>
      </w:r>
      <w:r w:rsidR="003F76AB">
        <w:rPr>
          <w:lang w:val="en-GB"/>
        </w:rPr>
        <w:t xml:space="preserve">version of </w:t>
      </w:r>
      <w:r w:rsidR="003F76AB" w:rsidRPr="00541247">
        <w:rPr>
          <w:lang w:val="en-GB"/>
        </w:rPr>
        <w:t>P234</w:t>
      </w:r>
      <w:r w:rsidR="003F76AB">
        <w:rPr>
          <w:lang w:val="en-GB"/>
        </w:rPr>
        <w:t>,</w:t>
      </w:r>
      <w:r w:rsidR="003F76AB" w:rsidRPr="00541247">
        <w:rPr>
          <w:lang w:val="en-GB"/>
        </w:rPr>
        <w:t xml:space="preserve"> such as “Keep only in original packaging – Division … [or …] as originally configured for transport”</w:t>
      </w:r>
      <w:r w:rsidR="006338F0">
        <w:rPr>
          <w:lang w:val="en-GB"/>
        </w:rPr>
        <w:t xml:space="preserve"> (where … would be </w:t>
      </w:r>
      <w:r w:rsidR="006D4867">
        <w:rPr>
          <w:lang w:val="en-GB"/>
        </w:rPr>
        <w:t>the division number(s)</w:t>
      </w:r>
      <w:r w:rsidR="006338F0">
        <w:rPr>
          <w:lang w:val="en-GB"/>
        </w:rPr>
        <w:t>)</w:t>
      </w:r>
      <w:r w:rsidR="003F76AB">
        <w:rPr>
          <w:lang w:val="en-GB"/>
        </w:rPr>
        <w:t>.</w:t>
      </w:r>
      <w:r w:rsidR="0015178F">
        <w:rPr>
          <w:lang w:val="en-GB"/>
        </w:rPr>
        <w:t xml:space="preserve"> </w:t>
      </w:r>
      <w:r w:rsidR="006338F0">
        <w:rPr>
          <w:lang w:val="en-GB"/>
        </w:rPr>
        <w:t>If</w:t>
      </w:r>
      <w:r w:rsidR="005B6EE1">
        <w:rPr>
          <w:lang w:val="en-GB"/>
        </w:rPr>
        <w:t xml:space="preserve"> </w:t>
      </w:r>
      <w:r w:rsidR="006338F0">
        <w:rPr>
          <w:lang w:val="en-GB"/>
        </w:rPr>
        <w:t xml:space="preserve">this </w:t>
      </w:r>
      <w:r w:rsidR="005B6EE1">
        <w:rPr>
          <w:lang w:val="en-GB"/>
        </w:rPr>
        <w:t>could be combined w</w:t>
      </w:r>
      <w:r w:rsidR="006D4867">
        <w:rPr>
          <w:lang w:val="en-GB"/>
        </w:rPr>
        <w:t xml:space="preserve">ith some </w:t>
      </w:r>
      <w:r w:rsidR="0015178F">
        <w:rPr>
          <w:lang w:val="en-GB"/>
        </w:rPr>
        <w:t>guidance, possibly inse</w:t>
      </w:r>
      <w:r w:rsidR="005B6EE1">
        <w:rPr>
          <w:lang w:val="en-GB"/>
        </w:rPr>
        <w:t xml:space="preserve">rted directly into Chapter 2.1, </w:t>
      </w:r>
      <w:r w:rsidR="006338F0">
        <w:rPr>
          <w:lang w:val="en-GB"/>
        </w:rPr>
        <w:t xml:space="preserve">it may </w:t>
      </w:r>
      <w:r w:rsidR="005B6EE1">
        <w:rPr>
          <w:lang w:val="en-GB"/>
        </w:rPr>
        <w:t>assure</w:t>
      </w:r>
      <w:r w:rsidR="00F64D44">
        <w:rPr>
          <w:lang w:val="en-GB"/>
        </w:rPr>
        <w:t>,</w:t>
      </w:r>
      <w:r w:rsidR="006338F0">
        <w:rPr>
          <w:lang w:val="en-GB"/>
        </w:rPr>
        <w:t xml:space="preserve"> at least to some degree</w:t>
      </w:r>
      <w:r w:rsidR="00F64D44">
        <w:rPr>
          <w:lang w:val="en-GB"/>
        </w:rPr>
        <w:t>,</w:t>
      </w:r>
      <w:r w:rsidR="006338F0">
        <w:rPr>
          <w:lang w:val="en-GB"/>
        </w:rPr>
        <w:t xml:space="preserve"> </w:t>
      </w:r>
      <w:r w:rsidR="005B6EE1">
        <w:rPr>
          <w:lang w:val="en-GB"/>
        </w:rPr>
        <w:t xml:space="preserve">that </w:t>
      </w:r>
      <w:r w:rsidR="006338F0">
        <w:rPr>
          <w:lang w:val="en-GB"/>
        </w:rPr>
        <w:t>the</w:t>
      </w:r>
      <w:r w:rsidR="006D4867">
        <w:rPr>
          <w:lang w:val="en-GB"/>
        </w:rPr>
        <w:t xml:space="preserve"> text</w:t>
      </w:r>
      <w:r w:rsidR="005B6EE1">
        <w:rPr>
          <w:lang w:val="en-GB"/>
        </w:rPr>
        <w:t xml:space="preserve"> </w:t>
      </w:r>
      <w:r w:rsidR="006338F0">
        <w:rPr>
          <w:lang w:val="en-GB"/>
        </w:rPr>
        <w:t>will appear</w:t>
      </w:r>
      <w:r w:rsidR="005B6EE1">
        <w:rPr>
          <w:lang w:val="en-GB"/>
        </w:rPr>
        <w:t xml:space="preserve"> on the GHS label</w:t>
      </w:r>
      <w:r w:rsidR="0015178F">
        <w:rPr>
          <w:lang w:val="en-GB"/>
        </w:rPr>
        <w:t>.</w:t>
      </w:r>
    </w:p>
    <w:p w:rsidR="00541247" w:rsidRPr="00325771" w:rsidRDefault="00541247" w:rsidP="008B7E35">
      <w:pPr>
        <w:pStyle w:val="SingleTxtG"/>
        <w:numPr>
          <w:ilvl w:val="0"/>
          <w:numId w:val="28"/>
        </w:numPr>
        <w:tabs>
          <w:tab w:val="right" w:pos="1710"/>
        </w:tabs>
        <w:ind w:left="1170" w:hanging="36"/>
      </w:pPr>
      <w:r w:rsidRPr="00541247">
        <w:rPr>
          <w:lang w:val="en-GB"/>
        </w:rPr>
        <w:t xml:space="preserve">Using supplemental information has </w:t>
      </w:r>
      <w:r w:rsidR="00FC5C57">
        <w:rPr>
          <w:lang w:val="en-GB"/>
        </w:rPr>
        <w:t>thus far</w:t>
      </w:r>
      <w:r w:rsidRPr="00541247">
        <w:rPr>
          <w:lang w:val="en-GB"/>
        </w:rPr>
        <w:t xml:space="preserve"> not been</w:t>
      </w:r>
      <w:r w:rsidR="00FC5C57">
        <w:rPr>
          <w:lang w:val="en-GB"/>
        </w:rPr>
        <w:t xml:space="preserve"> much</w:t>
      </w:r>
      <w:r w:rsidRPr="00541247">
        <w:rPr>
          <w:lang w:val="en-GB"/>
        </w:rPr>
        <w:t xml:space="preserve"> favoured by the ICG-members</w:t>
      </w:r>
      <w:r w:rsidR="00325771">
        <w:rPr>
          <w:lang w:val="en-GB"/>
        </w:rPr>
        <w:t xml:space="preserve">. The expert </w:t>
      </w:r>
      <w:r w:rsidR="00F64D44">
        <w:rPr>
          <w:lang w:val="en-GB"/>
        </w:rPr>
        <w:t xml:space="preserve">from Sweden believes that this </w:t>
      </w:r>
      <w:r w:rsidR="00325771">
        <w:rPr>
          <w:lang w:val="en-GB"/>
        </w:rPr>
        <w:t>is</w:t>
      </w:r>
      <w:r w:rsidR="00F64D44">
        <w:rPr>
          <w:lang w:val="en-GB"/>
        </w:rPr>
        <w:t xml:space="preserve"> partly</w:t>
      </w:r>
      <w:r w:rsidRPr="00541247">
        <w:rPr>
          <w:lang w:val="en-GB"/>
        </w:rPr>
        <w:t xml:space="preserve"> </w:t>
      </w:r>
      <w:r w:rsidR="006338F0">
        <w:rPr>
          <w:lang w:val="en-GB"/>
        </w:rPr>
        <w:t>because it is not very clear how this kind of labelling element functions. T</w:t>
      </w:r>
      <w:r w:rsidR="00080273">
        <w:rPr>
          <w:lang w:val="en-GB"/>
        </w:rPr>
        <w:t>h</w:t>
      </w:r>
      <w:r w:rsidR="00325771">
        <w:rPr>
          <w:lang w:val="en-GB"/>
        </w:rPr>
        <w:t>e</w:t>
      </w:r>
      <w:r w:rsidR="00080273">
        <w:rPr>
          <w:lang w:val="en-GB"/>
        </w:rPr>
        <w:t xml:space="preserve"> possibility </w:t>
      </w:r>
      <w:r w:rsidR="00325771">
        <w:rPr>
          <w:lang w:val="en-GB"/>
        </w:rPr>
        <w:t xml:space="preserve">of using supplemental information </w:t>
      </w:r>
      <w:r w:rsidR="006338F0">
        <w:rPr>
          <w:lang w:val="en-GB"/>
        </w:rPr>
        <w:t xml:space="preserve">may, however, </w:t>
      </w:r>
      <w:r w:rsidRPr="00541247">
        <w:rPr>
          <w:lang w:val="en-GB"/>
        </w:rPr>
        <w:t>be revisited in the light of recent developments</w:t>
      </w:r>
      <w:r w:rsidR="00542ED8">
        <w:rPr>
          <w:lang w:val="en-GB"/>
        </w:rPr>
        <w:t xml:space="preserve"> to meet the needs expressed by </w:t>
      </w:r>
      <w:r w:rsidR="006338F0">
        <w:rPr>
          <w:lang w:val="en-GB"/>
        </w:rPr>
        <w:t>some</w:t>
      </w:r>
      <w:r w:rsidR="00542ED8">
        <w:rPr>
          <w:lang w:val="en-GB"/>
        </w:rPr>
        <w:t xml:space="preserve"> ICG-members</w:t>
      </w:r>
      <w:r w:rsidR="00080273">
        <w:rPr>
          <w:lang w:val="en-GB"/>
        </w:rPr>
        <w:t>.</w:t>
      </w:r>
    </w:p>
    <w:p w:rsidR="00A779F3" w:rsidRPr="00A7616A" w:rsidRDefault="009C5330" w:rsidP="009C5330">
      <w:pPr>
        <w:pStyle w:val="HChG"/>
      </w:pPr>
      <w:r>
        <w:tab/>
      </w:r>
      <w:r>
        <w:tab/>
      </w:r>
      <w:r w:rsidR="00A779F3" w:rsidRPr="00A7616A">
        <w:t>Steps ahead</w:t>
      </w:r>
    </w:p>
    <w:p w:rsidR="00A779F3" w:rsidRPr="00603528" w:rsidRDefault="006D4867" w:rsidP="00FD546E">
      <w:pPr>
        <w:pStyle w:val="SingleTxtG"/>
        <w:numPr>
          <w:ilvl w:val="0"/>
          <w:numId w:val="28"/>
        </w:numPr>
        <w:tabs>
          <w:tab w:val="right" w:pos="1710"/>
        </w:tabs>
        <w:ind w:left="1170" w:hanging="36"/>
      </w:pPr>
      <w:r>
        <w:rPr>
          <w:lang w:val="en-GB"/>
        </w:rPr>
        <w:t>It is expected that the ICG will convene during the 38</w:t>
      </w:r>
      <w:r w:rsidR="009C5330" w:rsidRPr="009C5330">
        <w:rPr>
          <w:vertAlign w:val="superscript"/>
          <w:lang w:val="en-GB"/>
        </w:rPr>
        <w:t>th</w:t>
      </w:r>
      <w:r w:rsidR="009C5330">
        <w:rPr>
          <w:lang w:val="en-GB"/>
        </w:rPr>
        <w:t xml:space="preserve"> </w:t>
      </w:r>
      <w:r>
        <w:rPr>
          <w:lang w:val="en-GB"/>
        </w:rPr>
        <w:t>session of the SCEGHS, where the above open issues as well as any other issues relating to the work will be discussed</w:t>
      </w:r>
      <w:r w:rsidR="00551193">
        <w:rPr>
          <w:lang w:val="en-GB"/>
        </w:rPr>
        <w:t xml:space="preserve"> (insofar as time permits)</w:t>
      </w:r>
      <w:r>
        <w:rPr>
          <w:lang w:val="en-GB"/>
        </w:rPr>
        <w:t xml:space="preserve">. </w:t>
      </w:r>
      <w:r w:rsidR="00FD546E">
        <w:rPr>
          <w:lang w:val="en-GB"/>
        </w:rPr>
        <w:t>I</w:t>
      </w:r>
      <w:r w:rsidR="00A779F3" w:rsidRPr="00FD546E">
        <w:rPr>
          <w:lang w:val="en-GB"/>
        </w:rPr>
        <w:t>n accordance with the ICG</w:t>
      </w:r>
      <w:r w:rsidR="00D76C68">
        <w:rPr>
          <w:lang w:val="en-GB"/>
        </w:rPr>
        <w:t>’</w:t>
      </w:r>
      <w:r w:rsidR="00A779F3" w:rsidRPr="00FD546E">
        <w:rPr>
          <w:lang w:val="en-GB"/>
        </w:rPr>
        <w:t>s Programme of Work</w:t>
      </w:r>
      <w:r w:rsidR="00515955">
        <w:rPr>
          <w:rStyle w:val="FootnoteReference"/>
          <w:lang w:val="en-GB"/>
        </w:rPr>
        <w:footnoteReference w:id="6"/>
      </w:r>
      <w:r w:rsidR="00A779F3" w:rsidRPr="00FD546E">
        <w:rPr>
          <w:lang w:val="en-GB"/>
        </w:rPr>
        <w:t>, the aim is to produce a working document with a new Chapter 2.1 to the 39:th session of the SCEGHS</w:t>
      </w:r>
      <w:r w:rsidR="00507E5B">
        <w:rPr>
          <w:lang w:val="en-GB"/>
        </w:rPr>
        <w:t>, which, c</w:t>
      </w:r>
      <w:r w:rsidR="00A779F3" w:rsidRPr="00FD546E">
        <w:rPr>
          <w:lang w:val="en-GB"/>
        </w:rPr>
        <w:t xml:space="preserve">onsidering the </w:t>
      </w:r>
      <w:r w:rsidR="00507E5B">
        <w:rPr>
          <w:lang w:val="en-GB"/>
        </w:rPr>
        <w:t xml:space="preserve">recent </w:t>
      </w:r>
      <w:r w:rsidR="00A779F3" w:rsidRPr="00FD546E">
        <w:rPr>
          <w:lang w:val="en-GB"/>
        </w:rPr>
        <w:t>progress made</w:t>
      </w:r>
      <w:r w:rsidR="008E2BBF" w:rsidRPr="00FD546E">
        <w:rPr>
          <w:lang w:val="en-GB"/>
        </w:rPr>
        <w:t xml:space="preserve">, the expert from Sweden believes can be achieved. However, this </w:t>
      </w:r>
      <w:r w:rsidR="002C6B65" w:rsidRPr="00FD546E">
        <w:rPr>
          <w:lang w:val="en-GB"/>
        </w:rPr>
        <w:t>relies</w:t>
      </w:r>
      <w:r w:rsidR="00A779F3" w:rsidRPr="00FD546E">
        <w:rPr>
          <w:lang w:val="en-GB"/>
        </w:rPr>
        <w:t xml:space="preserve"> on the open issues being resolved </w:t>
      </w:r>
      <w:r w:rsidR="004A0F47">
        <w:rPr>
          <w:lang w:val="en-GB"/>
        </w:rPr>
        <w:t xml:space="preserve">shortly </w:t>
      </w:r>
      <w:r w:rsidR="002C6B65" w:rsidRPr="00FD546E">
        <w:rPr>
          <w:lang w:val="en-GB"/>
        </w:rPr>
        <w:t xml:space="preserve">- </w:t>
      </w:r>
      <w:r w:rsidR="00A779F3" w:rsidRPr="00FD546E">
        <w:rPr>
          <w:lang w:val="en-GB"/>
        </w:rPr>
        <w:t xml:space="preserve">preferably </w:t>
      </w:r>
      <w:r w:rsidR="002C6B65" w:rsidRPr="00FD546E">
        <w:rPr>
          <w:lang w:val="en-GB"/>
        </w:rPr>
        <w:t xml:space="preserve">already </w:t>
      </w:r>
      <w:r w:rsidR="00A779F3" w:rsidRPr="00FD546E">
        <w:rPr>
          <w:lang w:val="en-GB"/>
        </w:rPr>
        <w:t>during the 38</w:t>
      </w:r>
      <w:r w:rsidR="009C5330" w:rsidRPr="009C5330">
        <w:rPr>
          <w:vertAlign w:val="superscript"/>
          <w:lang w:val="en-GB"/>
        </w:rPr>
        <w:t>th</w:t>
      </w:r>
      <w:r w:rsidR="009C5330">
        <w:rPr>
          <w:lang w:val="en-GB"/>
        </w:rPr>
        <w:t xml:space="preserve"> </w:t>
      </w:r>
      <w:r w:rsidR="00A779F3" w:rsidRPr="00FD546E">
        <w:rPr>
          <w:lang w:val="en-GB"/>
        </w:rPr>
        <w:t>session of the SCEGHS.</w:t>
      </w:r>
    </w:p>
    <w:p w:rsidR="00454753" w:rsidRPr="003D247A" w:rsidRDefault="00454753" w:rsidP="00FD5246">
      <w:pPr>
        <w:pStyle w:val="SingleTxtG"/>
        <w:numPr>
          <w:ilvl w:val="0"/>
          <w:numId w:val="28"/>
        </w:numPr>
        <w:tabs>
          <w:tab w:val="right" w:pos="1710"/>
        </w:tabs>
        <w:ind w:left="1170" w:hanging="36"/>
      </w:pPr>
      <w:r>
        <w:rPr>
          <w:lang w:val="en-GB"/>
        </w:rPr>
        <w:t xml:space="preserve">Pending the outcome of the discussions to come, the expert from Sweden intends to draft what he hopes to be </w:t>
      </w:r>
      <w:r w:rsidR="003F76AB">
        <w:rPr>
          <w:lang w:val="en-GB"/>
        </w:rPr>
        <w:t>a close to</w:t>
      </w:r>
      <w:r>
        <w:rPr>
          <w:lang w:val="en-GB"/>
        </w:rPr>
        <w:t xml:space="preserve"> final version of the new chapter before 2019 is over. </w:t>
      </w:r>
      <w:r w:rsidR="004A0F47">
        <w:rPr>
          <w:lang w:val="en-GB"/>
        </w:rPr>
        <w:t>A</w:t>
      </w:r>
      <w:r>
        <w:rPr>
          <w:lang w:val="en-GB"/>
        </w:rPr>
        <w:t xml:space="preserve"> review of the Manual of Tests and Criteria </w:t>
      </w:r>
      <w:r w:rsidR="003F76AB">
        <w:rPr>
          <w:lang w:val="en-GB"/>
        </w:rPr>
        <w:t>can</w:t>
      </w:r>
      <w:r w:rsidR="004A0F47">
        <w:rPr>
          <w:lang w:val="en-GB"/>
        </w:rPr>
        <w:t xml:space="preserve"> then</w:t>
      </w:r>
      <w:r w:rsidR="003F76AB">
        <w:rPr>
          <w:lang w:val="en-GB"/>
        </w:rPr>
        <w:t xml:space="preserve"> </w:t>
      </w:r>
      <w:r>
        <w:rPr>
          <w:lang w:val="en-GB"/>
        </w:rPr>
        <w:t xml:space="preserve">be initiated to bring it in line with the new </w:t>
      </w:r>
      <w:r w:rsidR="003F76AB">
        <w:rPr>
          <w:lang w:val="en-GB"/>
        </w:rPr>
        <w:t xml:space="preserve">GHS </w:t>
      </w:r>
      <w:r>
        <w:rPr>
          <w:lang w:val="en-GB"/>
        </w:rPr>
        <w:t xml:space="preserve">chapter. Naturally, the expert from Sweden intends to do this in </w:t>
      </w:r>
      <w:r w:rsidR="004A0F47">
        <w:rPr>
          <w:lang w:val="en-GB"/>
        </w:rPr>
        <w:t xml:space="preserve">close </w:t>
      </w:r>
      <w:r>
        <w:rPr>
          <w:lang w:val="en-GB"/>
        </w:rPr>
        <w:t xml:space="preserve">collaboration </w:t>
      </w:r>
      <w:r>
        <w:rPr>
          <w:lang w:val="en-GB"/>
        </w:rPr>
        <w:lastRenderedPageBreak/>
        <w:t xml:space="preserve">with the Chairman of the EWG, and the changes needed </w:t>
      </w:r>
      <w:r w:rsidR="003F76AB">
        <w:rPr>
          <w:lang w:val="en-GB"/>
        </w:rPr>
        <w:t>would be brought forward to</w:t>
      </w:r>
      <w:r w:rsidR="004A0F47">
        <w:rPr>
          <w:lang w:val="en-GB"/>
        </w:rPr>
        <w:t xml:space="preserve"> the </w:t>
      </w:r>
      <w:r>
        <w:rPr>
          <w:lang w:val="en-GB"/>
        </w:rPr>
        <w:t>EWG-meeting</w:t>
      </w:r>
      <w:r w:rsidR="003F76AB">
        <w:rPr>
          <w:lang w:val="en-GB"/>
        </w:rPr>
        <w:t xml:space="preserve"> taking place</w:t>
      </w:r>
      <w:r w:rsidR="005E3F00">
        <w:rPr>
          <w:lang w:val="en-GB"/>
        </w:rPr>
        <w:t xml:space="preserve"> </w:t>
      </w:r>
      <w:r>
        <w:rPr>
          <w:lang w:val="en-GB"/>
        </w:rPr>
        <w:t>during the 57</w:t>
      </w:r>
      <w:r w:rsidR="009C5330" w:rsidRPr="009C5330">
        <w:rPr>
          <w:vertAlign w:val="superscript"/>
          <w:lang w:val="en-GB"/>
        </w:rPr>
        <w:t>th</w:t>
      </w:r>
      <w:r w:rsidR="009C5330">
        <w:rPr>
          <w:lang w:val="en-GB"/>
        </w:rPr>
        <w:t xml:space="preserve"> </w:t>
      </w:r>
      <w:r>
        <w:rPr>
          <w:lang w:val="en-GB"/>
        </w:rPr>
        <w:t>session of the SCETDG in the summer of</w:t>
      </w:r>
      <w:r w:rsidR="003F76AB">
        <w:rPr>
          <w:lang w:val="en-GB"/>
        </w:rPr>
        <w:t xml:space="preserve"> 2020.</w:t>
      </w:r>
    </w:p>
    <w:p w:rsidR="0086013A" w:rsidRPr="00A971B9" w:rsidRDefault="003D247A" w:rsidP="00A971B9">
      <w:pPr>
        <w:pStyle w:val="SingleTxtG"/>
        <w:numPr>
          <w:ilvl w:val="0"/>
          <w:numId w:val="28"/>
        </w:numPr>
        <w:tabs>
          <w:tab w:val="right" w:pos="1710"/>
        </w:tabs>
        <w:ind w:left="1170" w:hanging="36"/>
      </w:pPr>
      <w:r>
        <w:rPr>
          <w:lang w:val="en-GB"/>
        </w:rPr>
        <w:t>Regarding the assignment of</w:t>
      </w:r>
      <w:r w:rsidR="002F5815">
        <w:rPr>
          <w:lang w:val="en-GB"/>
        </w:rPr>
        <w:t xml:space="preserve"> the existing</w:t>
      </w:r>
      <w:r>
        <w:rPr>
          <w:lang w:val="en-GB"/>
        </w:rPr>
        <w:t xml:space="preserve"> precautionary statements</w:t>
      </w:r>
      <w:r w:rsidR="002F5815">
        <w:rPr>
          <w:lang w:val="en-GB"/>
        </w:rPr>
        <w:t xml:space="preserve"> for Explosives</w:t>
      </w:r>
      <w:r>
        <w:rPr>
          <w:lang w:val="en-GB"/>
        </w:rPr>
        <w:t xml:space="preserve"> to the new classifications, the expert from Sweden has</w:t>
      </w:r>
      <w:r w:rsidR="002F5815">
        <w:rPr>
          <w:lang w:val="en-GB"/>
        </w:rPr>
        <w:t xml:space="preserve"> thus far</w:t>
      </w:r>
      <w:r>
        <w:rPr>
          <w:lang w:val="en-GB"/>
        </w:rPr>
        <w:t xml:space="preserve"> had very little input to the questionnaire sent out to the ICG in July 2019. </w:t>
      </w:r>
      <w:r w:rsidR="00230FF0">
        <w:rPr>
          <w:lang w:val="en-GB"/>
        </w:rPr>
        <w:t>He</w:t>
      </w:r>
      <w:r>
        <w:rPr>
          <w:lang w:val="en-GB"/>
        </w:rPr>
        <w:t xml:space="preserve"> </w:t>
      </w:r>
      <w:r w:rsidR="003F76AB">
        <w:rPr>
          <w:lang w:val="en-GB"/>
        </w:rPr>
        <w:t>may</w:t>
      </w:r>
      <w:r w:rsidR="00230FF0">
        <w:rPr>
          <w:lang w:val="en-GB"/>
        </w:rPr>
        <w:t xml:space="preserve"> </w:t>
      </w:r>
      <w:r>
        <w:rPr>
          <w:lang w:val="en-GB"/>
        </w:rPr>
        <w:t>submit a separate informal document to the 38</w:t>
      </w:r>
      <w:r w:rsidR="00613CF6" w:rsidRPr="00613CF6">
        <w:rPr>
          <w:vertAlign w:val="superscript"/>
          <w:lang w:val="en-GB"/>
        </w:rPr>
        <w:t>th</w:t>
      </w:r>
      <w:r w:rsidR="00613CF6">
        <w:rPr>
          <w:lang w:val="en-GB"/>
        </w:rPr>
        <w:t xml:space="preserve"> </w:t>
      </w:r>
      <w:r>
        <w:rPr>
          <w:lang w:val="en-GB"/>
        </w:rPr>
        <w:t>session of the SCEGHS on this</w:t>
      </w:r>
      <w:r w:rsidR="0000089C">
        <w:rPr>
          <w:lang w:val="en-GB"/>
        </w:rPr>
        <w:t xml:space="preserve"> </w:t>
      </w:r>
      <w:r w:rsidR="004A0F47">
        <w:rPr>
          <w:lang w:val="en-GB"/>
        </w:rPr>
        <w:t>at a later stage though</w:t>
      </w:r>
      <w:r w:rsidR="00230FF0">
        <w:rPr>
          <w:lang w:val="en-GB"/>
        </w:rPr>
        <w:t>.</w:t>
      </w:r>
    </w:p>
    <w:p w:rsidR="008B7E35" w:rsidRDefault="008B7E35" w:rsidP="008B7E35">
      <w:pPr>
        <w:spacing w:before="240"/>
        <w:jc w:val="center"/>
        <w:rPr>
          <w:rFonts w:eastAsia="Garamond"/>
          <w:u w:val="single"/>
        </w:rPr>
      </w:pPr>
    </w:p>
    <w:p w:rsidR="008B7E35" w:rsidRDefault="008B7E35">
      <w:pPr>
        <w:suppressAutoHyphens w:val="0"/>
        <w:spacing w:line="240" w:lineRule="auto"/>
        <w:rPr>
          <w:rFonts w:eastAsia="Garamond"/>
          <w:u w:val="single"/>
        </w:rPr>
      </w:pPr>
      <w:r>
        <w:rPr>
          <w:rFonts w:eastAsia="Garamond"/>
          <w:u w:val="single"/>
        </w:rPr>
        <w:br w:type="page"/>
      </w:r>
    </w:p>
    <w:p w:rsidR="00613CF6" w:rsidRPr="00613CF6" w:rsidRDefault="00353524" w:rsidP="00613CF6">
      <w:pPr>
        <w:pStyle w:val="HChG"/>
        <w:rPr>
          <w:lang w:val="fr-CH"/>
        </w:rPr>
      </w:pPr>
      <w:r w:rsidRPr="008A173F">
        <w:lastRenderedPageBreak/>
        <w:t xml:space="preserve">Annex </w:t>
      </w:r>
      <w:r w:rsidR="00613CF6">
        <w:rPr>
          <w:lang w:val="fr-CH"/>
        </w:rPr>
        <w:t>I</w:t>
      </w:r>
    </w:p>
    <w:p w:rsidR="0086013A" w:rsidRPr="008B7E35" w:rsidRDefault="00613CF6" w:rsidP="00613CF6">
      <w:pPr>
        <w:pStyle w:val="HChG"/>
        <w:rPr>
          <w:rFonts w:eastAsia="Garamond"/>
          <w:u w:val="single"/>
        </w:rPr>
      </w:pPr>
      <w:r>
        <w:tab/>
      </w:r>
      <w:r w:rsidR="00A218F3" w:rsidRPr="008A173F">
        <w:t>Advanced draft of a new Chapter 2.1</w:t>
      </w:r>
    </w:p>
    <w:p w:rsidR="00353524" w:rsidRPr="009549D5" w:rsidRDefault="00551DC2" w:rsidP="00551DC2">
      <w:pPr>
        <w:jc w:val="center"/>
        <w:rPr>
          <w:b/>
          <w:sz w:val="32"/>
        </w:rPr>
      </w:pPr>
      <w:r w:rsidRPr="009549D5">
        <w:rPr>
          <w:b/>
          <w:sz w:val="32"/>
        </w:rPr>
        <w:t>CHAPTER 2.1</w:t>
      </w:r>
    </w:p>
    <w:p w:rsidR="00551DC2" w:rsidRPr="009549D5" w:rsidRDefault="00551DC2" w:rsidP="00551DC2">
      <w:pPr>
        <w:jc w:val="center"/>
        <w:rPr>
          <w:b/>
          <w:sz w:val="32"/>
        </w:rPr>
      </w:pPr>
    </w:p>
    <w:p w:rsidR="00551DC2" w:rsidRPr="00551DC2" w:rsidRDefault="00551DC2" w:rsidP="00551DC2">
      <w:pPr>
        <w:jc w:val="center"/>
        <w:rPr>
          <w:b/>
          <w:sz w:val="32"/>
        </w:rPr>
      </w:pPr>
      <w:r w:rsidRPr="00551DC2">
        <w:rPr>
          <w:b/>
          <w:sz w:val="32"/>
        </w:rPr>
        <w:t>EXPLOSIVES</w:t>
      </w:r>
    </w:p>
    <w:p w:rsidR="00551DC2" w:rsidRPr="00551DC2" w:rsidRDefault="00551DC2" w:rsidP="00751A5F"/>
    <w:p w:rsidR="00551DC2" w:rsidRPr="00551DC2" w:rsidRDefault="00551DC2" w:rsidP="00751A5F">
      <w:pPr>
        <w:spacing w:after="240"/>
        <w:rPr>
          <w:b/>
        </w:rPr>
      </w:pPr>
      <w:r w:rsidRPr="00551DC2">
        <w:rPr>
          <w:b/>
        </w:rPr>
        <w:t>2.1.1</w:t>
      </w:r>
      <w:r w:rsidRPr="00551DC2">
        <w:rPr>
          <w:b/>
        </w:rPr>
        <w:tab/>
        <w:t>Defin</w:t>
      </w:r>
      <w:r>
        <w:rPr>
          <w:b/>
        </w:rPr>
        <w:t>i</w:t>
      </w:r>
      <w:r w:rsidRPr="00551DC2">
        <w:rPr>
          <w:b/>
        </w:rPr>
        <w:t>tions</w:t>
      </w:r>
      <w:r>
        <w:rPr>
          <w:b/>
        </w:rPr>
        <w:t xml:space="preserve"> and general considerations</w:t>
      </w:r>
    </w:p>
    <w:p w:rsidR="00007923" w:rsidRDefault="00551DC2" w:rsidP="00751A5F">
      <w:pPr>
        <w:spacing w:after="240"/>
      </w:pPr>
      <w:r>
        <w:t>2.1.1.1</w:t>
      </w:r>
      <w:r>
        <w:tab/>
      </w:r>
      <w:r>
        <w:tab/>
        <w:t>Definitions</w:t>
      </w:r>
    </w:p>
    <w:p w:rsidR="00007923" w:rsidRPr="00B82A25" w:rsidRDefault="00007923" w:rsidP="00751A5F">
      <w:pPr>
        <w:pStyle w:val="SingleTxtG"/>
        <w:spacing w:after="240"/>
        <w:ind w:left="0" w:right="0"/>
        <w:rPr>
          <w:rFonts w:eastAsia="Calibri"/>
        </w:rPr>
      </w:pPr>
      <w:r w:rsidRPr="00B82A25">
        <w:rPr>
          <w:rFonts w:eastAsia="Calibri"/>
        </w:rPr>
        <w:t xml:space="preserve">An </w:t>
      </w:r>
      <w:r w:rsidRPr="00B82A25">
        <w:rPr>
          <w:rFonts w:eastAsia="Calibri"/>
          <w:i/>
        </w:rPr>
        <w:t>explosive substance or mixture</w:t>
      </w:r>
      <w:r w:rsidRPr="00B82A25">
        <w:rPr>
          <w:rFonts w:eastAsia="Calibri"/>
        </w:rPr>
        <w:t xml:space="preserve"> is a solid or liquid substance or mixture which is in itself capable by chemical reaction of producing gas at such a temperature and pressure and at such a speed as to cause damage to the surroundings. Pyrotechnic substances and mixtures are included even when they do not evolve gases.</w:t>
      </w:r>
    </w:p>
    <w:p w:rsidR="00007923" w:rsidRPr="00B82A25" w:rsidRDefault="00007923" w:rsidP="00751A5F">
      <w:pPr>
        <w:pStyle w:val="SingleTxtG"/>
        <w:spacing w:after="240"/>
        <w:ind w:left="0" w:right="0"/>
        <w:rPr>
          <w:rFonts w:eastAsia="Calibri"/>
        </w:rPr>
      </w:pPr>
      <w:r w:rsidRPr="00B82A25">
        <w:rPr>
          <w:rFonts w:eastAsia="Calibri"/>
        </w:rPr>
        <w:t xml:space="preserve">A </w:t>
      </w:r>
      <w:r w:rsidRPr="00B82A25">
        <w:rPr>
          <w:rFonts w:eastAsia="Calibri"/>
          <w:i/>
        </w:rPr>
        <w:t>pyrotechnic substance or mixture</w:t>
      </w:r>
      <w:r w:rsidRPr="00B82A25">
        <w:rPr>
          <w:rFonts w:eastAsia="Calibri"/>
        </w:rPr>
        <w:t xml:space="preserve"> is a substance or mixture designed to produce an effect by heat, light, sound, gas or smoke or a combination of these as the result of non-detonative self-sustaining exothermic chemical reactions.</w:t>
      </w:r>
    </w:p>
    <w:p w:rsidR="00007923" w:rsidRPr="00B82A25" w:rsidRDefault="00007923" w:rsidP="00751A5F">
      <w:pPr>
        <w:pStyle w:val="SingleTxtG"/>
        <w:spacing w:after="240"/>
        <w:ind w:left="0" w:right="0"/>
        <w:rPr>
          <w:rFonts w:eastAsia="Calibri"/>
        </w:rPr>
      </w:pPr>
      <w:r w:rsidRPr="00B82A25">
        <w:rPr>
          <w:rFonts w:eastAsia="Calibri"/>
        </w:rPr>
        <w:t xml:space="preserve">An </w:t>
      </w:r>
      <w:r w:rsidRPr="00B82A25">
        <w:rPr>
          <w:rFonts w:eastAsia="Calibri"/>
          <w:i/>
        </w:rPr>
        <w:t>explosive article</w:t>
      </w:r>
      <w:r w:rsidRPr="00B82A25">
        <w:rPr>
          <w:rFonts w:eastAsia="Calibri"/>
        </w:rPr>
        <w:t xml:space="preserve"> is an article containing one or more explosive substances or mixtures.</w:t>
      </w:r>
    </w:p>
    <w:p w:rsidR="00551DC2" w:rsidRDefault="00007923" w:rsidP="00751A5F">
      <w:pPr>
        <w:pStyle w:val="SingleTxtG"/>
        <w:spacing w:after="240"/>
        <w:ind w:left="0" w:right="0"/>
      </w:pPr>
      <w:r w:rsidRPr="00B82A25">
        <w:rPr>
          <w:rFonts w:eastAsia="Calibri"/>
          <w:i/>
        </w:rPr>
        <w:t>Primary packaging</w:t>
      </w:r>
      <w:r w:rsidRPr="00B82A25">
        <w:rPr>
          <w:rFonts w:eastAsia="Calibri"/>
        </w:rPr>
        <w:t xml:space="preserve"> means the minimum level of packaging</w:t>
      </w:r>
      <w:r w:rsidR="00E70F1A" w:rsidRPr="0057273D">
        <w:rPr>
          <w:rFonts w:eastAsia="Calibri"/>
        </w:rPr>
        <w:t>, part of a configuration</w:t>
      </w:r>
      <w:r w:rsidR="002E3F53" w:rsidRPr="0057273D">
        <w:rPr>
          <w:rFonts w:eastAsia="Calibri"/>
        </w:rPr>
        <w:t xml:space="preserve"> assigned to a division</w:t>
      </w:r>
      <w:r w:rsidR="00E70F1A" w:rsidRPr="0057273D">
        <w:rPr>
          <w:rFonts w:eastAsia="Calibri"/>
        </w:rPr>
        <w:t>,</w:t>
      </w:r>
      <w:r w:rsidR="002E122E">
        <w:rPr>
          <w:rFonts w:eastAsia="Calibri"/>
          <w:color w:val="C00000"/>
        </w:rPr>
        <w:t xml:space="preserve"> </w:t>
      </w:r>
      <w:r w:rsidRPr="00B82A25">
        <w:rPr>
          <w:rFonts w:eastAsia="Calibri"/>
        </w:rPr>
        <w:t>in which the explosive substance, mixture or article is intended to be retained until use.</w:t>
      </w:r>
    </w:p>
    <w:p w:rsidR="00551DC2" w:rsidRDefault="00551DC2" w:rsidP="00751A5F">
      <w:pPr>
        <w:spacing w:after="240"/>
      </w:pPr>
      <w:r>
        <w:t>2.1.1.2</w:t>
      </w:r>
      <w:r>
        <w:tab/>
      </w:r>
      <w:r>
        <w:tab/>
      </w:r>
      <w:r w:rsidR="00A218F3">
        <w:t>Scope</w:t>
      </w:r>
    </w:p>
    <w:p w:rsidR="00751A5F" w:rsidRDefault="007C4C0D" w:rsidP="00751A5F">
      <w:pPr>
        <w:spacing w:after="240"/>
      </w:pPr>
      <w:r>
        <w:t>2.1.1.2.1</w:t>
      </w:r>
      <w:r>
        <w:tab/>
        <w:t>Except as provided in 2.1.1.2.2, the class of explosives comprises</w:t>
      </w:r>
    </w:p>
    <w:p w:rsidR="007C4C0D" w:rsidRDefault="00613CF6" w:rsidP="00751A5F">
      <w:pPr>
        <w:spacing w:after="240"/>
        <w:ind w:left="1134"/>
      </w:pPr>
      <w:r>
        <w:tab/>
      </w:r>
      <w:r>
        <w:rPr>
          <w:lang w:val="fr-CH"/>
        </w:rPr>
        <w:t>(a)</w:t>
      </w:r>
      <w:r>
        <w:tab/>
      </w:r>
      <w:r w:rsidR="007C4C0D" w:rsidRPr="00A56EA1">
        <w:t>Explosive substances and mixtures;</w:t>
      </w:r>
    </w:p>
    <w:p w:rsidR="00613CF6" w:rsidRDefault="00613CF6" w:rsidP="00751A5F">
      <w:pPr>
        <w:pStyle w:val="SingleTxtG"/>
        <w:spacing w:after="240"/>
        <w:ind w:right="0"/>
      </w:pPr>
      <w:r>
        <w:tab/>
      </w:r>
      <w:r>
        <w:rPr>
          <w:lang w:val="fr-CH"/>
        </w:rPr>
        <w:t>(b)</w:t>
      </w:r>
      <w:r>
        <w:tab/>
      </w:r>
      <w:r w:rsidR="007C4C0D" w:rsidRPr="00A56EA1">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7C4C0D" w:rsidRDefault="00613CF6" w:rsidP="00751A5F">
      <w:pPr>
        <w:pStyle w:val="SingleTxtG"/>
        <w:spacing w:after="240"/>
        <w:ind w:right="0"/>
      </w:pPr>
      <w:r>
        <w:tab/>
      </w:r>
      <w:r>
        <w:rPr>
          <w:lang w:val="fr-CH"/>
        </w:rPr>
        <w:t>(c)</w:t>
      </w:r>
      <w:r>
        <w:tab/>
      </w:r>
      <w:r w:rsidR="007C4C0D" w:rsidRPr="00A56EA1">
        <w:t>Substances, mixtures and articles not mentioned under (a) and (b) above which are manufactured with the view to producing a practical explosive or pyrotechnic effect.</w:t>
      </w:r>
    </w:p>
    <w:p w:rsidR="007C4C0D" w:rsidRDefault="007C4C0D" w:rsidP="00751A5F">
      <w:pPr>
        <w:tabs>
          <w:tab w:val="left" w:pos="440"/>
          <w:tab w:val="left" w:pos="813"/>
        </w:tabs>
        <w:spacing w:after="240"/>
        <w:contextualSpacing/>
      </w:pPr>
      <w:r>
        <w:t>2.1.1.2.2</w:t>
      </w:r>
      <w:r>
        <w:tab/>
      </w:r>
      <w:r w:rsidRPr="009D0255">
        <w:t>The following substances, mixtures and articles are excluded from the class of explosives:</w:t>
      </w:r>
    </w:p>
    <w:p w:rsidR="00613CF6" w:rsidRDefault="007C4C0D" w:rsidP="00751A5F">
      <w:pPr>
        <w:pStyle w:val="SingleTxtG"/>
        <w:numPr>
          <w:ilvl w:val="0"/>
          <w:numId w:val="48"/>
        </w:numPr>
        <w:spacing w:after="240"/>
        <w:ind w:left="1134" w:right="0" w:firstLine="0"/>
      </w:pPr>
      <w:r w:rsidRPr="009D0255">
        <w:t xml:space="preserve">Ammonium nitrate based emulsions, suspensions or gels which meet the criteria of Test series 8 of the </w:t>
      </w:r>
      <w:r w:rsidRPr="009D0255">
        <w:rPr>
          <w:i/>
        </w:rPr>
        <w:t>Manual of Tests and Criteria</w:t>
      </w:r>
      <w:r w:rsidRPr="009D0255">
        <w:t xml:space="preserve"> for classification as ANEs of Category 2 oxidizing liquids (Chapter 2.13) or Category 2 oxidizing solids (Chapter 2.14).</w:t>
      </w:r>
    </w:p>
    <w:p w:rsidR="007C4C0D" w:rsidRDefault="00613CF6" w:rsidP="00751A5F">
      <w:pPr>
        <w:pStyle w:val="SingleTxtG"/>
        <w:spacing w:after="240"/>
        <w:ind w:right="0"/>
      </w:pPr>
      <w:r>
        <w:tab/>
      </w:r>
      <w:r>
        <w:rPr>
          <w:lang w:val="fr-CH"/>
        </w:rPr>
        <w:t>(b)</w:t>
      </w:r>
      <w:r>
        <w:tab/>
      </w:r>
      <w:r w:rsidR="007C4C0D" w:rsidRPr="0027768B">
        <w:t>Substances and mixtures which meet the criteria for classification as desensitized explosives according to the criteria of Chapter 2.17.</w:t>
      </w:r>
    </w:p>
    <w:p w:rsidR="007C4C0D" w:rsidRDefault="00613CF6" w:rsidP="00751A5F">
      <w:pPr>
        <w:pStyle w:val="SingleTxtG"/>
        <w:spacing w:after="240"/>
        <w:ind w:right="0"/>
      </w:pPr>
      <w:r>
        <w:tab/>
      </w:r>
      <w:r>
        <w:rPr>
          <w:lang w:val="fr-CH"/>
        </w:rPr>
        <w:t>(c)</w:t>
      </w:r>
      <w:r>
        <w:tab/>
      </w:r>
      <w:r w:rsidR="007C4C0D" w:rsidRPr="0027768B">
        <w:t>Substances and mixtures which have not been manufactured with the view to producing, in themselves, an explosive or pyrotechnic effect and which:</w:t>
      </w:r>
    </w:p>
    <w:p w:rsidR="00613CF6" w:rsidRDefault="00613CF6" w:rsidP="00751A5F">
      <w:pPr>
        <w:pStyle w:val="SingleTxtG"/>
        <w:spacing w:after="240"/>
        <w:ind w:left="1701" w:right="0"/>
      </w:pPr>
      <w:r>
        <w:tab/>
      </w:r>
      <w:r>
        <w:rPr>
          <w:lang w:val="fr-CH"/>
        </w:rPr>
        <w:t>(i)</w:t>
      </w:r>
      <w:r>
        <w:tab/>
      </w:r>
      <w:r w:rsidR="007C4C0D" w:rsidRPr="009D0255">
        <w:t>are self-reactive substances and mixtures according to the criteria of Chapter 2.8; or</w:t>
      </w:r>
    </w:p>
    <w:p w:rsidR="007C4C0D" w:rsidRPr="008E3D76" w:rsidRDefault="00613CF6" w:rsidP="00751A5F">
      <w:pPr>
        <w:pStyle w:val="SingleTxtG"/>
        <w:spacing w:before="120" w:after="240"/>
        <w:ind w:left="1701" w:right="0"/>
      </w:pPr>
      <w:r>
        <w:tab/>
      </w:r>
      <w:r>
        <w:rPr>
          <w:lang w:val="fr-CH"/>
        </w:rPr>
        <w:t>(ii)</w:t>
      </w:r>
      <w:r>
        <w:tab/>
      </w:r>
      <w:r w:rsidR="007C4C0D" w:rsidRPr="009D0255">
        <w:t>are organic peroxides according to the cr</w:t>
      </w:r>
      <w:r w:rsidR="007C4C0D">
        <w:t>iteria of Chapter 2.15: or</w:t>
      </w:r>
    </w:p>
    <w:p w:rsidR="007C4C0D" w:rsidRDefault="00613CF6" w:rsidP="00751A5F">
      <w:pPr>
        <w:pStyle w:val="SingleTxtG"/>
        <w:spacing w:after="240"/>
        <w:ind w:left="1701" w:right="0"/>
      </w:pPr>
      <w:r>
        <w:tab/>
      </w:r>
      <w:r>
        <w:rPr>
          <w:lang w:val="fr-CH"/>
        </w:rPr>
        <w:t>(iii)</w:t>
      </w:r>
      <w:r>
        <w:tab/>
      </w:r>
      <w:r w:rsidR="007C4C0D" w:rsidRPr="009D0255">
        <w:t xml:space="preserve">are deemed not to have explosive properties on basis of the screening procedures in Appendix 6 </w:t>
      </w:r>
      <w:r w:rsidR="007C4C0D" w:rsidRPr="009D0255">
        <w:rPr>
          <w:i/>
        </w:rPr>
        <w:t>of the Manual of Tests and Criteria</w:t>
      </w:r>
      <w:r w:rsidR="007C4C0D">
        <w:t>; or</w:t>
      </w:r>
    </w:p>
    <w:p w:rsidR="007C4C0D" w:rsidRPr="007C4C0D" w:rsidRDefault="00613CF6" w:rsidP="00751A5F">
      <w:pPr>
        <w:pStyle w:val="SingleTxtG"/>
        <w:spacing w:after="240"/>
        <w:ind w:left="1701" w:right="0"/>
      </w:pPr>
      <w:r>
        <w:lastRenderedPageBreak/>
        <w:tab/>
      </w:r>
      <w:r>
        <w:rPr>
          <w:lang w:val="fr-CH"/>
        </w:rPr>
        <w:t>(iv)</w:t>
      </w:r>
      <w:r>
        <w:tab/>
      </w:r>
      <w:r w:rsidR="007C4C0D" w:rsidRPr="007C4C0D">
        <w:t xml:space="preserve">are too insensitive for inclusion in the hazard class according to test series 2 of the </w:t>
      </w:r>
      <w:r w:rsidR="007C4C0D" w:rsidRPr="007C4C0D">
        <w:rPr>
          <w:i/>
        </w:rPr>
        <w:t>Manual of Tests and Criteria</w:t>
      </w:r>
      <w:r w:rsidR="007C4C0D" w:rsidRPr="007C4C0D">
        <w:t>; or</w:t>
      </w:r>
    </w:p>
    <w:p w:rsidR="007C4C0D" w:rsidRPr="00E62F00" w:rsidRDefault="00613CF6" w:rsidP="00751A5F">
      <w:pPr>
        <w:pStyle w:val="SingleTxtG"/>
        <w:spacing w:after="240"/>
        <w:ind w:left="1701" w:right="0"/>
      </w:pPr>
      <w:r>
        <w:tab/>
      </w:r>
      <w:r>
        <w:rPr>
          <w:lang w:val="fr-CH"/>
        </w:rPr>
        <w:t>(v)</w:t>
      </w:r>
      <w:r>
        <w:tab/>
      </w:r>
      <w:r w:rsidR="007C4C0D" w:rsidRPr="00E62F00">
        <w:t xml:space="preserve">are excluded from assignment within Class 1 of the </w:t>
      </w:r>
      <w:r w:rsidR="007C4C0D" w:rsidRPr="00E62F00">
        <w:rPr>
          <w:i/>
        </w:rPr>
        <w:t>UN Recommendations on the Transport of Dangerous Goods, Model Regulations</w:t>
      </w:r>
      <w:r w:rsidR="007C4C0D" w:rsidRPr="00E62F00">
        <w:t xml:space="preserve"> based on results in Test Series 6</w:t>
      </w:r>
      <w:r w:rsidR="003A2F10">
        <w:t xml:space="preserve"> </w:t>
      </w:r>
      <w:r w:rsidR="003A2F10" w:rsidRPr="007C4C0D">
        <w:t xml:space="preserve">of the </w:t>
      </w:r>
      <w:r w:rsidR="003A2F10" w:rsidRPr="007C4C0D">
        <w:rPr>
          <w:i/>
        </w:rPr>
        <w:t>Manual of Tests and Criteria</w:t>
      </w:r>
      <w:r w:rsidR="007C4C0D">
        <w:t>.</w:t>
      </w:r>
    </w:p>
    <w:p w:rsidR="007C4C0D" w:rsidRPr="0027768B" w:rsidRDefault="00613CF6" w:rsidP="00751A5F">
      <w:pPr>
        <w:pStyle w:val="SingleTxtG"/>
        <w:spacing w:after="240"/>
        <w:ind w:right="0"/>
      </w:pPr>
      <w:r>
        <w:tab/>
      </w:r>
      <w:r>
        <w:rPr>
          <w:lang w:val="fr-CH"/>
        </w:rPr>
        <w:t>(d)</w:t>
      </w:r>
      <w:r>
        <w:tab/>
      </w:r>
      <w:r w:rsidR="007C4C0D" w:rsidRPr="007C4C0D">
        <w:t xml:space="preserve">Articles containing explosives which are allowed for transport but excluded from Class 1 by specific UN-numbers and associated special provisions according to the Dangerous Goods List of the </w:t>
      </w:r>
      <w:r w:rsidR="007C4C0D" w:rsidRPr="007C4C0D">
        <w:rPr>
          <w:i/>
        </w:rPr>
        <w:t>UN Recommendations on the Transport of Dangerous Goods, Model Regulations.</w:t>
      </w:r>
    </w:p>
    <w:p w:rsidR="007C4C0D" w:rsidRPr="006B25CB" w:rsidRDefault="006B25CB" w:rsidP="00751A5F">
      <w:pPr>
        <w:tabs>
          <w:tab w:val="left" w:pos="440"/>
        </w:tabs>
        <w:spacing w:after="240"/>
        <w:jc w:val="both"/>
        <w:rPr>
          <w:i/>
        </w:rPr>
      </w:pPr>
      <w:r w:rsidRPr="006B25CB">
        <w:rPr>
          <w:b/>
          <w:i/>
        </w:rPr>
        <w:t>NOTE</w:t>
      </w:r>
      <w:r w:rsidR="0051579D">
        <w:rPr>
          <w:b/>
          <w:i/>
        </w:rPr>
        <w:t xml:space="preserve"> 1</w:t>
      </w:r>
      <w:r w:rsidR="007C4C0D" w:rsidRPr="006B25CB">
        <w:rPr>
          <w:b/>
          <w:i/>
        </w:rPr>
        <w:t>:</w:t>
      </w:r>
      <w:r w:rsidR="007C4C0D" w:rsidRPr="006B25CB">
        <w:rPr>
          <w:i/>
        </w:rPr>
        <w:t xml:space="preserve"> ANE:s</w:t>
      </w:r>
      <w:r>
        <w:rPr>
          <w:i/>
        </w:rPr>
        <w:t xml:space="preserve"> excluded by virtue of a)</w:t>
      </w:r>
      <w:r w:rsidR="007C4C0D" w:rsidRPr="006B25CB">
        <w:rPr>
          <w:i/>
        </w:rPr>
        <w:t xml:space="preserve"> require sensitisation in order to become explosives, a transformation normally made in direct connection with their use </w:t>
      </w:r>
    </w:p>
    <w:p w:rsidR="007C4C0D" w:rsidRPr="006B25CB" w:rsidRDefault="006B25CB" w:rsidP="00751A5F">
      <w:pPr>
        <w:tabs>
          <w:tab w:val="left" w:pos="440"/>
        </w:tabs>
        <w:spacing w:after="240"/>
        <w:jc w:val="both"/>
        <w:rPr>
          <w:i/>
        </w:rPr>
      </w:pPr>
      <w:r w:rsidRPr="006B25CB">
        <w:rPr>
          <w:b/>
          <w:i/>
        </w:rPr>
        <w:t>NOTE</w:t>
      </w:r>
      <w:r w:rsidR="0051579D">
        <w:rPr>
          <w:b/>
          <w:i/>
        </w:rPr>
        <w:t xml:space="preserve"> 2</w:t>
      </w:r>
      <w:r w:rsidR="007C4C0D" w:rsidRPr="006B25CB">
        <w:rPr>
          <w:b/>
          <w:i/>
        </w:rPr>
        <w:t>:</w:t>
      </w:r>
      <w:r w:rsidR="007C4C0D" w:rsidRPr="006B25CB">
        <w:rPr>
          <w:i/>
        </w:rPr>
        <w:t xml:space="preserve"> </w:t>
      </w:r>
      <w:r w:rsidRPr="006B25CB">
        <w:rPr>
          <w:i/>
        </w:rPr>
        <w:t>E</w:t>
      </w:r>
      <w:r w:rsidR="007C4C0D" w:rsidRPr="006B25CB">
        <w:rPr>
          <w:i/>
        </w:rPr>
        <w:t xml:space="preserve">xclusion </w:t>
      </w:r>
      <w:r w:rsidRPr="006B25CB">
        <w:rPr>
          <w:i/>
        </w:rPr>
        <w:t>by virtue of c)</w:t>
      </w:r>
      <w:r w:rsidR="001D2B40">
        <w:rPr>
          <w:i/>
        </w:rPr>
        <w:t>,</w:t>
      </w:r>
      <w:r w:rsidRPr="006B25CB">
        <w:rPr>
          <w:i/>
        </w:rPr>
        <w:t xml:space="preserve"> </w:t>
      </w:r>
      <w:r w:rsidR="008B563F">
        <w:rPr>
          <w:i/>
        </w:rPr>
        <w:t xml:space="preserve">point </w:t>
      </w:r>
      <w:r w:rsidRPr="006B25CB">
        <w:rPr>
          <w:i/>
        </w:rPr>
        <w:t>(v)</w:t>
      </w:r>
      <w:r w:rsidR="001D2B40">
        <w:rPr>
          <w:i/>
        </w:rPr>
        <w:t>,</w:t>
      </w:r>
      <w:r w:rsidRPr="006B25CB">
        <w:rPr>
          <w:i/>
        </w:rPr>
        <w:t xml:space="preserve"> </w:t>
      </w:r>
      <w:r w:rsidR="001D2B40">
        <w:rPr>
          <w:i/>
        </w:rPr>
        <w:t xml:space="preserve">or d) </w:t>
      </w:r>
      <w:r w:rsidR="007C4C0D" w:rsidRPr="006B25CB">
        <w:rPr>
          <w:i/>
        </w:rPr>
        <w:t>may only apply to certain configurat</w:t>
      </w:r>
      <w:r w:rsidR="0051579D">
        <w:rPr>
          <w:i/>
        </w:rPr>
        <w:t>ions. See also the note to</w:t>
      </w:r>
      <w:r w:rsidR="007C4C0D" w:rsidRPr="006B25CB">
        <w:rPr>
          <w:i/>
        </w:rPr>
        <w:t xml:space="preserve"> section 2.1.3.</w:t>
      </w:r>
    </w:p>
    <w:p w:rsidR="007C4C0D" w:rsidRPr="006B25CB" w:rsidRDefault="006B25CB" w:rsidP="00751A5F">
      <w:pPr>
        <w:tabs>
          <w:tab w:val="left" w:pos="440"/>
          <w:tab w:val="left" w:pos="1200"/>
        </w:tabs>
        <w:spacing w:after="240"/>
        <w:jc w:val="both"/>
        <w:rPr>
          <w:i/>
        </w:rPr>
      </w:pPr>
      <w:r w:rsidRPr="006B25CB">
        <w:rPr>
          <w:b/>
          <w:i/>
        </w:rPr>
        <w:t>NOTE</w:t>
      </w:r>
      <w:r w:rsidR="0051579D">
        <w:rPr>
          <w:b/>
          <w:i/>
        </w:rPr>
        <w:t xml:space="preserve"> 3</w:t>
      </w:r>
      <w:r w:rsidR="007C4C0D" w:rsidRPr="006B25CB">
        <w:rPr>
          <w:b/>
          <w:i/>
        </w:rPr>
        <w:t xml:space="preserve">: </w:t>
      </w:r>
      <w:r w:rsidR="007C4C0D" w:rsidRPr="006B25CB">
        <w:rPr>
          <w:i/>
        </w:rPr>
        <w:t>Substances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rsidR="007C4C0D" w:rsidRPr="00613CF6" w:rsidRDefault="00613CF6" w:rsidP="00751A5F">
      <w:pPr>
        <w:pStyle w:val="SingleTxtG"/>
        <w:spacing w:after="240"/>
        <w:ind w:right="0"/>
        <w:rPr>
          <w:i/>
          <w:iCs/>
        </w:rPr>
      </w:pPr>
      <w:r>
        <w:rPr>
          <w:i/>
          <w:iCs/>
        </w:rPr>
        <w:tab/>
      </w:r>
      <w:r>
        <w:rPr>
          <w:i/>
          <w:iCs/>
          <w:lang w:val="fr-CH"/>
        </w:rPr>
        <w:t>(i)</w:t>
      </w:r>
      <w:r>
        <w:rPr>
          <w:i/>
          <w:iCs/>
        </w:rPr>
        <w:tab/>
      </w:r>
      <w:r w:rsidR="007C4C0D" w:rsidRPr="00613CF6">
        <w:rPr>
          <w:i/>
          <w:iCs/>
        </w:rPr>
        <w:t xml:space="preserve">The substance has not been manufactured with the view to producing an explosive or </w:t>
      </w:r>
      <w:r>
        <w:rPr>
          <w:i/>
          <w:iCs/>
        </w:rPr>
        <w:tab/>
      </w:r>
      <w:r>
        <w:rPr>
          <w:i/>
          <w:iCs/>
        </w:rPr>
        <w:tab/>
      </w:r>
      <w:r w:rsidR="007C4C0D" w:rsidRPr="00613CF6">
        <w:rPr>
          <w:i/>
          <w:iCs/>
        </w:rPr>
        <w:t>pyrotechnic effect; and</w:t>
      </w:r>
    </w:p>
    <w:p w:rsidR="007C4C0D" w:rsidRPr="00613CF6" w:rsidRDefault="00613CF6" w:rsidP="00751A5F">
      <w:pPr>
        <w:pStyle w:val="SingleTxtG"/>
        <w:spacing w:after="240"/>
        <w:ind w:right="0"/>
        <w:rPr>
          <w:i/>
          <w:iCs/>
        </w:rPr>
      </w:pPr>
      <w:r>
        <w:rPr>
          <w:i/>
          <w:iCs/>
        </w:rPr>
        <w:tab/>
      </w:r>
      <w:r>
        <w:rPr>
          <w:i/>
          <w:iCs/>
          <w:lang w:val="fr-CH"/>
        </w:rPr>
        <w:t>(ii)</w:t>
      </w:r>
      <w:r>
        <w:rPr>
          <w:i/>
          <w:iCs/>
        </w:rPr>
        <w:tab/>
      </w:r>
      <w:r w:rsidR="007C4C0D" w:rsidRPr="00613CF6">
        <w:rPr>
          <w:i/>
          <w:iCs/>
        </w:rPr>
        <w:t xml:space="preserve">The amount of any substance does not exceed </w:t>
      </w:r>
      <w:r w:rsidR="00E70F1A" w:rsidRPr="00613CF6">
        <w:rPr>
          <w:i/>
          <w:iCs/>
        </w:rPr>
        <w:t>[</w:t>
      </w:r>
      <w:r w:rsidR="007C4C0D" w:rsidRPr="00613CF6">
        <w:rPr>
          <w:i/>
          <w:iCs/>
        </w:rPr>
        <w:t>XX</w:t>
      </w:r>
      <w:r w:rsidR="00E70F1A" w:rsidRPr="00613CF6">
        <w:rPr>
          <w:i/>
          <w:iCs/>
        </w:rPr>
        <w:t>]</w:t>
      </w:r>
      <w:r w:rsidR="007C4C0D" w:rsidRPr="00613CF6">
        <w:rPr>
          <w:i/>
          <w:iCs/>
        </w:rPr>
        <w:t xml:space="preserve"> grams</w:t>
      </w:r>
      <w:r w:rsidR="001617F5" w:rsidRPr="00613CF6">
        <w:rPr>
          <w:i/>
          <w:iCs/>
        </w:rPr>
        <w:t>; and</w:t>
      </w:r>
    </w:p>
    <w:p w:rsidR="007C4C0D" w:rsidRPr="00613CF6" w:rsidRDefault="00613CF6" w:rsidP="00751A5F">
      <w:pPr>
        <w:pStyle w:val="SingleTxtG"/>
        <w:spacing w:after="240"/>
        <w:ind w:right="0"/>
        <w:rPr>
          <w:i/>
          <w:iCs/>
        </w:rPr>
      </w:pPr>
      <w:r>
        <w:rPr>
          <w:i/>
          <w:iCs/>
        </w:rPr>
        <w:tab/>
      </w:r>
      <w:r>
        <w:rPr>
          <w:i/>
          <w:iCs/>
          <w:lang w:val="fr-CH"/>
        </w:rPr>
        <w:t>(iii)</w:t>
      </w:r>
      <w:r>
        <w:rPr>
          <w:i/>
          <w:iCs/>
        </w:rPr>
        <w:tab/>
      </w:r>
      <w:r w:rsidR="007C4C0D" w:rsidRPr="00613CF6">
        <w:rPr>
          <w:i/>
          <w:iCs/>
        </w:rPr>
        <w:t>The decomposition energy of the substance is less than 2000 J/g; and</w:t>
      </w:r>
    </w:p>
    <w:p w:rsidR="007C4C0D" w:rsidRPr="00613CF6" w:rsidRDefault="00613CF6" w:rsidP="00751A5F">
      <w:pPr>
        <w:pStyle w:val="SingleTxtG"/>
        <w:spacing w:after="240"/>
        <w:ind w:right="0"/>
        <w:rPr>
          <w:i/>
          <w:iCs/>
        </w:rPr>
      </w:pPr>
      <w:r>
        <w:rPr>
          <w:i/>
          <w:iCs/>
        </w:rPr>
        <w:tab/>
      </w:r>
      <w:r>
        <w:rPr>
          <w:i/>
          <w:iCs/>
          <w:lang w:val="fr-CH"/>
        </w:rPr>
        <w:t>(iv)</w:t>
      </w:r>
      <w:r>
        <w:rPr>
          <w:i/>
          <w:iCs/>
        </w:rPr>
        <w:tab/>
      </w:r>
      <w:r w:rsidR="007C4C0D" w:rsidRPr="00613CF6">
        <w:rPr>
          <w:i/>
          <w:iCs/>
        </w:rPr>
        <w:t xml:space="preserve">The result in Test 3(a) and Test 3(b) of the Manual of Tests and Criteria is negative; </w:t>
      </w:r>
      <w:r>
        <w:rPr>
          <w:i/>
          <w:iCs/>
        </w:rPr>
        <w:tab/>
      </w:r>
      <w:r w:rsidR="007C4C0D" w:rsidRPr="00613CF6">
        <w:rPr>
          <w:i/>
          <w:iCs/>
        </w:rPr>
        <w:t>and</w:t>
      </w:r>
    </w:p>
    <w:p w:rsidR="007C4C0D" w:rsidRPr="00613CF6" w:rsidRDefault="00613CF6" w:rsidP="00751A5F">
      <w:pPr>
        <w:pStyle w:val="SingleTxtG"/>
        <w:spacing w:after="240"/>
        <w:ind w:right="0"/>
        <w:rPr>
          <w:i/>
          <w:iCs/>
        </w:rPr>
      </w:pPr>
      <w:r>
        <w:rPr>
          <w:i/>
          <w:iCs/>
        </w:rPr>
        <w:tab/>
      </w:r>
      <w:r>
        <w:rPr>
          <w:i/>
          <w:iCs/>
          <w:lang w:val="fr-CH"/>
        </w:rPr>
        <w:t>(v)</w:t>
      </w:r>
      <w:r>
        <w:rPr>
          <w:i/>
          <w:iCs/>
        </w:rPr>
        <w:tab/>
      </w:r>
      <w:r w:rsidR="007C4C0D" w:rsidRPr="00613CF6">
        <w:rPr>
          <w:i/>
          <w:iCs/>
        </w:rPr>
        <w:t xml:space="preserve">The result in Test 2(b) of the Manual of Tests and Criteria is “no explosion” at an </w:t>
      </w:r>
      <w:r>
        <w:rPr>
          <w:i/>
          <w:iCs/>
        </w:rPr>
        <w:tab/>
      </w:r>
      <w:r w:rsidR="007C4C0D" w:rsidRPr="00613CF6">
        <w:rPr>
          <w:i/>
          <w:iCs/>
        </w:rPr>
        <w:t>orifice diameter of 6 mm; and</w:t>
      </w:r>
    </w:p>
    <w:p w:rsidR="007C4C0D" w:rsidRPr="00613CF6" w:rsidRDefault="00613CF6" w:rsidP="00751A5F">
      <w:pPr>
        <w:pStyle w:val="SingleTxtG"/>
        <w:spacing w:after="240"/>
        <w:ind w:right="0"/>
        <w:rPr>
          <w:i/>
          <w:iCs/>
        </w:rPr>
      </w:pPr>
      <w:r>
        <w:rPr>
          <w:i/>
          <w:iCs/>
        </w:rPr>
        <w:tab/>
      </w:r>
      <w:r>
        <w:rPr>
          <w:i/>
          <w:iCs/>
          <w:lang w:val="fr-CH"/>
        </w:rPr>
        <w:t>(vi)</w:t>
      </w:r>
      <w:r>
        <w:rPr>
          <w:i/>
          <w:iCs/>
        </w:rPr>
        <w:tab/>
      </w:r>
      <w:r w:rsidR="007C4C0D" w:rsidRPr="00613CF6">
        <w:rPr>
          <w:i/>
          <w:iCs/>
        </w:rPr>
        <w:t xml:space="preserve">The expansion of the lead block in Test F.3 of the Manual of Tests and Criteria is less </w:t>
      </w:r>
      <w:r>
        <w:rPr>
          <w:i/>
          <w:iCs/>
        </w:rPr>
        <w:tab/>
      </w:r>
      <w:r w:rsidR="007C4C0D" w:rsidRPr="00613CF6">
        <w:rPr>
          <w:i/>
          <w:iCs/>
        </w:rPr>
        <w:t>than 100 ml per 10 gram substance</w:t>
      </w:r>
      <w:r w:rsidR="00912597" w:rsidRPr="00613CF6">
        <w:rPr>
          <w:i/>
          <w:iCs/>
        </w:rPr>
        <w:t>.</w:t>
      </w:r>
    </w:p>
    <w:p w:rsidR="00551DC2" w:rsidRDefault="00551DC2" w:rsidP="00751A5F">
      <w:pPr>
        <w:spacing w:after="240"/>
        <w:jc w:val="both"/>
      </w:pPr>
      <w:r>
        <w:t>2.1.1.3</w:t>
      </w:r>
      <w:r>
        <w:tab/>
      </w:r>
      <w:r>
        <w:tab/>
        <w:t>Other considerations</w:t>
      </w:r>
    </w:p>
    <w:p w:rsidR="003D24BC" w:rsidRDefault="003D24BC" w:rsidP="00751A5F">
      <w:pPr>
        <w:spacing w:after="240"/>
        <w:jc w:val="both"/>
      </w:pPr>
      <w:r>
        <w:t>2.1.1.3.1</w:t>
      </w:r>
      <w:r>
        <w:tab/>
        <w:t>Over the life-cycle of an explosive its classification may change, as a result of changed packaging, processing, re-manufacturing or similar operations. An explosive would normally start its life-cycle in Category 1 during manufacturing or assembly. At the stage where it is a finished product it may be assigned to a division (for transport) and hence enter Category 2. Upon re-manufacturing, re-assembly or similar operations, the explosive may return to Category 1.</w:t>
      </w:r>
    </w:p>
    <w:p w:rsidR="003D24BC" w:rsidRDefault="003D24BC" w:rsidP="00751A5F">
      <w:pPr>
        <w:spacing w:after="240"/>
        <w:jc w:val="both"/>
      </w:pPr>
      <w:r>
        <w:t>2.1.1.3.2</w:t>
      </w:r>
      <w:r>
        <w:tab/>
        <w:t>The use of an explosive, meaning the preparation and intentional functioning, including removal from the primary packaging for functioning or installation or deployment in readiness for functioning, does not trigger the need for re-classification.</w:t>
      </w:r>
    </w:p>
    <w:p w:rsidR="003D24BC" w:rsidRDefault="003D24BC" w:rsidP="00751A5F">
      <w:pPr>
        <w:spacing w:after="240"/>
        <w:jc w:val="both"/>
      </w:pPr>
      <w:r>
        <w:t>2.1.1.3.3</w:t>
      </w:r>
      <w:r>
        <w:tab/>
        <w:t>While Category 1 is normally considered the most hazardous classification in the structure of the GHS classification system, this is not the case for explosives. Category 1 comprises all explosives that have not been assigned a division. An explosive may be classified as Category 1 because it is not configured in a way suitable for performing the applicable tests to assign a division or because it is considered too dangerous to be assigned a division.</w:t>
      </w:r>
    </w:p>
    <w:p w:rsidR="003D24BC" w:rsidRDefault="003D24BC" w:rsidP="00751A5F">
      <w:pPr>
        <w:spacing w:after="240"/>
        <w:jc w:val="both"/>
      </w:pPr>
      <w:r w:rsidRPr="00DF1EE3">
        <w:t>2.1.1.3.4</w:t>
      </w:r>
      <w:r w:rsidRPr="00DF1EE3">
        <w:tab/>
        <w:t xml:space="preserve">The divisions are used in the classification of explosives for transport in Class 1 according to the </w:t>
      </w:r>
      <w:r w:rsidRPr="00DF1EE3">
        <w:rPr>
          <w:i/>
        </w:rPr>
        <w:t xml:space="preserve">UN Recommendations on the Transport of Dangerous Goods, Model </w:t>
      </w:r>
      <w:r w:rsidRPr="00CF6D3F">
        <w:rPr>
          <w:i/>
        </w:rPr>
        <w:t>Regulations</w:t>
      </w:r>
      <w:r w:rsidR="00C87B3A" w:rsidRPr="00CF6D3F">
        <w:t>, where it is</w:t>
      </w:r>
      <w:r w:rsidRPr="00CF6D3F">
        <w:t xml:space="preserve"> tied to the configuration for transport</w:t>
      </w:r>
      <w:r w:rsidR="00C87B3A" w:rsidRPr="00CF6D3F">
        <w:t>.</w:t>
      </w:r>
      <w:r w:rsidRPr="00CF6D3F">
        <w:t xml:space="preserve"> </w:t>
      </w:r>
      <w:r w:rsidR="00C87B3A" w:rsidRPr="00CF6D3F">
        <w:t>This</w:t>
      </w:r>
      <w:r w:rsidRPr="00CF6D3F">
        <w:t xml:space="preserve"> means that the </w:t>
      </w:r>
      <w:r w:rsidR="00C87B3A" w:rsidRPr="00CF6D3F">
        <w:t>explosive as designed and packaged</w:t>
      </w:r>
      <w:r w:rsidRPr="00CF6D3F">
        <w:t xml:space="preserve"> fulfils the requirements of the </w:t>
      </w:r>
      <w:r w:rsidRPr="00CF6D3F">
        <w:rPr>
          <w:i/>
        </w:rPr>
        <w:t>UN Recommendations on the Transport of Dangerous Goods</w:t>
      </w:r>
      <w:r w:rsidRPr="00CF6D3F">
        <w:t>. The division is the relevant level of classification whenever the explosive is in the configuration to which that division was assigned, e.g. when stored.</w:t>
      </w:r>
    </w:p>
    <w:p w:rsidR="003D24BC" w:rsidRDefault="003D24BC" w:rsidP="00751A5F">
      <w:pPr>
        <w:spacing w:after="240"/>
        <w:jc w:val="both"/>
      </w:pPr>
      <w:r>
        <w:lastRenderedPageBreak/>
        <w:t>2.1.1.3.5</w:t>
      </w:r>
      <w:r>
        <w:tab/>
        <w:t>Classification in a division or a sub-category is based on testing. However, explosives may be classified without testing, where appropriate, based on analogy to tested explosives. The use of analogy should take into consideration whether changes to configuration may affect the hazard compared to the tested configuration.</w:t>
      </w:r>
    </w:p>
    <w:p w:rsidR="00551DC2" w:rsidRPr="00A218F3" w:rsidRDefault="00551DC2" w:rsidP="00751A5F">
      <w:pPr>
        <w:spacing w:after="240"/>
        <w:rPr>
          <w:b/>
        </w:rPr>
      </w:pPr>
      <w:r w:rsidRPr="00A218F3">
        <w:rPr>
          <w:b/>
        </w:rPr>
        <w:t>2.1.</w:t>
      </w:r>
      <w:r w:rsidR="00A218F3" w:rsidRPr="00A218F3">
        <w:rPr>
          <w:b/>
        </w:rPr>
        <w:t>2</w:t>
      </w:r>
      <w:r w:rsidR="00A218F3" w:rsidRPr="00A218F3">
        <w:rPr>
          <w:b/>
        </w:rPr>
        <w:tab/>
      </w:r>
      <w:r w:rsidR="00A218F3" w:rsidRPr="00A218F3">
        <w:rPr>
          <w:b/>
        </w:rPr>
        <w:tab/>
        <w:t>Classification criteria</w:t>
      </w:r>
    </w:p>
    <w:p w:rsidR="00A218F3" w:rsidRDefault="00A218F3" w:rsidP="00751A5F">
      <w:pPr>
        <w:spacing w:after="240"/>
      </w:pPr>
      <w:r>
        <w:t>2.1.2.1</w:t>
      </w:r>
      <w:r>
        <w:tab/>
      </w:r>
      <w:r>
        <w:tab/>
        <w:t>Categories</w:t>
      </w:r>
    </w:p>
    <w:p w:rsidR="00792E15" w:rsidRDefault="00792E15" w:rsidP="00751A5F">
      <w:pPr>
        <w:spacing w:after="240"/>
        <w:jc w:val="both"/>
      </w:pPr>
      <w:r w:rsidRPr="00941678">
        <w:t>Explosive substances, mixtures and articles of this class are classified into one of two categories according to the following table:</w:t>
      </w:r>
    </w:p>
    <w:tbl>
      <w:tblPr>
        <w:tblStyle w:val="TableGrid"/>
        <w:tblW w:w="9634" w:type="dxa"/>
        <w:tblCellMar>
          <w:top w:w="57" w:type="dxa"/>
          <w:left w:w="57" w:type="dxa"/>
          <w:bottom w:w="57" w:type="dxa"/>
          <w:right w:w="57" w:type="dxa"/>
        </w:tblCellMar>
        <w:tblLook w:val="04A0" w:firstRow="1" w:lastRow="0" w:firstColumn="1" w:lastColumn="0" w:noHBand="0" w:noVBand="1"/>
      </w:tblPr>
      <w:tblGrid>
        <w:gridCol w:w="988"/>
        <w:gridCol w:w="8646"/>
      </w:tblGrid>
      <w:tr w:rsidR="00792E15" w:rsidTr="00751A5F">
        <w:tc>
          <w:tcPr>
            <w:tcW w:w="988" w:type="dxa"/>
          </w:tcPr>
          <w:p w:rsidR="00792E15" w:rsidRPr="005D6607" w:rsidRDefault="00792E15" w:rsidP="0086013A">
            <w:pPr>
              <w:rPr>
                <w:b/>
              </w:rPr>
            </w:pPr>
            <w:r w:rsidRPr="005D6607">
              <w:rPr>
                <w:b/>
              </w:rPr>
              <w:t>Category</w:t>
            </w:r>
          </w:p>
        </w:tc>
        <w:tc>
          <w:tcPr>
            <w:tcW w:w="8646" w:type="dxa"/>
          </w:tcPr>
          <w:p w:rsidR="00792E15" w:rsidRPr="005D6607" w:rsidRDefault="00792E15" w:rsidP="0086013A">
            <w:pPr>
              <w:rPr>
                <w:b/>
              </w:rPr>
            </w:pPr>
            <w:r w:rsidRPr="005D6607">
              <w:rPr>
                <w:b/>
              </w:rPr>
              <w:t>Criteria</w:t>
            </w:r>
          </w:p>
        </w:tc>
      </w:tr>
      <w:tr w:rsidR="00792E15" w:rsidTr="00751A5F">
        <w:tc>
          <w:tcPr>
            <w:tcW w:w="988" w:type="dxa"/>
            <w:vAlign w:val="center"/>
          </w:tcPr>
          <w:p w:rsidR="00792E15" w:rsidRPr="005D6607" w:rsidRDefault="005D6607" w:rsidP="005D6607">
            <w:pPr>
              <w:jc w:val="center"/>
              <w:rPr>
                <w:b/>
              </w:rPr>
            </w:pPr>
            <w:r w:rsidRPr="005D6607">
              <w:rPr>
                <w:b/>
              </w:rPr>
              <w:t>1</w:t>
            </w:r>
          </w:p>
        </w:tc>
        <w:tc>
          <w:tcPr>
            <w:tcW w:w="8646" w:type="dxa"/>
          </w:tcPr>
          <w:p w:rsidR="00792E15" w:rsidRPr="005D6607" w:rsidRDefault="00792E15" w:rsidP="00792E15">
            <w:r w:rsidRPr="005D6607">
              <w:t>Explosive substances, mixtures and articles which:</w:t>
            </w:r>
          </w:p>
          <w:p w:rsidR="005D6607" w:rsidRPr="00751A5F" w:rsidRDefault="00792E15" w:rsidP="00AF5FD3">
            <w:pPr>
              <w:pStyle w:val="ListParagraph"/>
              <w:numPr>
                <w:ilvl w:val="0"/>
                <w:numId w:val="31"/>
              </w:numPr>
              <w:spacing w:line="256" w:lineRule="auto"/>
              <w:contextualSpacing/>
              <w:jc w:val="left"/>
              <w:rPr>
                <w:sz w:val="20"/>
                <w:szCs w:val="20"/>
                <w:lang w:val="en-GB"/>
              </w:rPr>
            </w:pPr>
            <w:r w:rsidRPr="00751A5F">
              <w:rPr>
                <w:sz w:val="20"/>
                <w:szCs w:val="20"/>
                <w:lang w:val="en-GB"/>
              </w:rPr>
              <w:t xml:space="preserve">have not been assigned a division in accordance with Part I of the </w:t>
            </w:r>
            <w:r w:rsidRPr="00751A5F">
              <w:rPr>
                <w:i/>
                <w:sz w:val="20"/>
                <w:szCs w:val="20"/>
                <w:lang w:val="en-GB"/>
              </w:rPr>
              <w:t>Manual of Tests and Criteria</w:t>
            </w:r>
            <w:r w:rsidRPr="00751A5F">
              <w:rPr>
                <w:sz w:val="20"/>
                <w:szCs w:val="20"/>
                <w:lang w:val="en-GB"/>
              </w:rPr>
              <w:t xml:space="preserve"> and which:</w:t>
            </w:r>
          </w:p>
          <w:p w:rsidR="00792E15" w:rsidRPr="005D6607" w:rsidRDefault="00792E15" w:rsidP="005D6607">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have been manufactured with the view of producing an explosive or pyrotechnic effect; or</w:t>
            </w:r>
          </w:p>
          <w:p w:rsidR="005D6607" w:rsidRPr="001F0374" w:rsidRDefault="00792E15" w:rsidP="005D6607">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 xml:space="preserve">are substances or mixtures which show positive effects when tested in test series 2 of the </w:t>
            </w:r>
            <w:r w:rsidRPr="005D6607">
              <w:rPr>
                <w:i/>
                <w:sz w:val="20"/>
                <w:szCs w:val="20"/>
                <w:lang w:val="en-GB"/>
              </w:rPr>
              <w:t>Manual of Tests and Criteria</w:t>
            </w:r>
          </w:p>
          <w:p w:rsidR="00792E15" w:rsidRPr="005D6607" w:rsidRDefault="005D6607" w:rsidP="005D6607">
            <w:pPr>
              <w:spacing w:line="256" w:lineRule="auto"/>
              <w:contextualSpacing/>
            </w:pPr>
            <w:r w:rsidRPr="005D6607">
              <w:t>or</w:t>
            </w:r>
          </w:p>
          <w:p w:rsidR="00792E15" w:rsidRPr="005D6607" w:rsidRDefault="00792E15" w:rsidP="00792E15">
            <w:pPr>
              <w:pStyle w:val="ListParagraph"/>
              <w:numPr>
                <w:ilvl w:val="0"/>
                <w:numId w:val="31"/>
              </w:numPr>
              <w:spacing w:line="256" w:lineRule="auto"/>
              <w:contextualSpacing/>
              <w:jc w:val="left"/>
              <w:rPr>
                <w:color w:val="7030A0"/>
                <w:sz w:val="20"/>
                <w:szCs w:val="20"/>
                <w:lang w:val="en-GB"/>
              </w:rPr>
            </w:pPr>
            <w:r w:rsidRPr="005D6607">
              <w:rPr>
                <w:sz w:val="20"/>
                <w:szCs w:val="20"/>
                <w:lang w:val="en-GB"/>
              </w:rPr>
              <w:t xml:space="preserve">are out of the primary packaging which was part of the configuration to which a division was assigned in accordance with Part I of the </w:t>
            </w:r>
            <w:r w:rsidRPr="00E15BF1">
              <w:rPr>
                <w:i/>
                <w:sz w:val="20"/>
                <w:szCs w:val="20"/>
                <w:lang w:val="en-GB"/>
              </w:rPr>
              <w:t>Manual of Tests and Criteria</w:t>
            </w:r>
            <w:r w:rsidRPr="005D6607">
              <w:rPr>
                <w:sz w:val="20"/>
                <w:szCs w:val="20"/>
                <w:lang w:val="en-GB"/>
              </w:rPr>
              <w:t>, unless they are explosive articles where the primary packaging does not provide any attenuation of the explosive effect.*</w:t>
            </w:r>
          </w:p>
        </w:tc>
      </w:tr>
      <w:tr w:rsidR="00792E15" w:rsidTr="00751A5F">
        <w:tc>
          <w:tcPr>
            <w:tcW w:w="988" w:type="dxa"/>
            <w:vAlign w:val="center"/>
          </w:tcPr>
          <w:p w:rsidR="00792E15" w:rsidRPr="005D6607" w:rsidRDefault="005D6607" w:rsidP="005D6607">
            <w:pPr>
              <w:jc w:val="center"/>
              <w:rPr>
                <w:b/>
              </w:rPr>
            </w:pPr>
            <w:r w:rsidRPr="005D6607">
              <w:rPr>
                <w:b/>
              </w:rPr>
              <w:t>2</w:t>
            </w:r>
          </w:p>
        </w:tc>
        <w:tc>
          <w:tcPr>
            <w:tcW w:w="8646" w:type="dxa"/>
          </w:tcPr>
          <w:p w:rsidR="00792E15" w:rsidRDefault="005D6607" w:rsidP="0086013A">
            <w:r w:rsidRPr="00B82A25">
              <w:t xml:space="preserve">Explosive substances, mixtures, and articles which have been assigned to a division in accordance with Part I of the </w:t>
            </w:r>
            <w:r w:rsidRPr="00B82A25">
              <w:rPr>
                <w:i/>
              </w:rPr>
              <w:t>Manual of Tests and Criteria</w:t>
            </w:r>
            <w:r w:rsidRPr="00B82A25">
              <w:t>.</w:t>
            </w:r>
          </w:p>
        </w:tc>
      </w:tr>
    </w:tbl>
    <w:p w:rsidR="002E0692" w:rsidRDefault="005D6607" w:rsidP="00751A5F">
      <w:pPr>
        <w:spacing w:before="200" w:after="240"/>
      </w:pPr>
      <w:r w:rsidRPr="005D6607">
        <w:t>* Explosives in Category 2 that are removed from their primary packaging for use, remain classified in Category 2. Use comprises preparation and intentional functioning, including removal from the primary packaging for functioning or installation or deployment in readiness for functioning.</w:t>
      </w:r>
    </w:p>
    <w:p w:rsidR="00E70F1A" w:rsidRPr="001F0374" w:rsidRDefault="002E0692" w:rsidP="00751A5F">
      <w:pPr>
        <w:spacing w:after="240"/>
        <w:rPr>
          <w:i/>
        </w:rPr>
      </w:pPr>
      <w:r w:rsidRPr="00BF663A">
        <w:rPr>
          <w:b/>
          <w:i/>
        </w:rPr>
        <w:t>NOTE:</w:t>
      </w:r>
      <w:r w:rsidRPr="002E0692">
        <w:rPr>
          <w:i/>
        </w:rPr>
        <w:t xml:space="preserve"> Assigning a division normally requires the explosive to be configured for transport and is valid in that configuration only.</w:t>
      </w:r>
    </w:p>
    <w:p w:rsidR="00A218F3" w:rsidRDefault="00A218F3" w:rsidP="00751A5F">
      <w:pPr>
        <w:spacing w:before="240" w:after="240"/>
      </w:pPr>
      <w:r>
        <w:t>2.1.2.2</w:t>
      </w:r>
      <w:r>
        <w:tab/>
      </w:r>
      <w:r>
        <w:tab/>
        <w:t>Divisions</w:t>
      </w:r>
    </w:p>
    <w:p w:rsidR="00751A5F" w:rsidRDefault="00751A5F" w:rsidP="00751A5F">
      <w:pPr>
        <w:spacing w:after="240"/>
      </w:pPr>
      <w:r>
        <w:tab/>
      </w:r>
      <w:r w:rsidR="002E0692" w:rsidRPr="00D3148A">
        <w:t>The divisions are as follows:</w:t>
      </w:r>
    </w:p>
    <w:p w:rsidR="002E0692" w:rsidRPr="002C600B" w:rsidRDefault="00AC1642" w:rsidP="00751A5F">
      <w:pPr>
        <w:spacing w:after="240"/>
        <w:ind w:left="1701" w:hanging="567"/>
      </w:pPr>
      <w:r>
        <w:rPr>
          <w:lang w:val="fr-CH"/>
        </w:rPr>
        <w:t>(a)</w:t>
      </w:r>
      <w:r>
        <w:tab/>
      </w:r>
      <w:r w:rsidR="002E0692" w:rsidRPr="002C600B">
        <w:t>Division 1.1: Substances, mixtures and articles which have a mass explosion hazard (a mass explosion is one which affects almost the entire quantity present virtually instantaneously);</w:t>
      </w:r>
    </w:p>
    <w:p w:rsidR="002E0692" w:rsidRPr="002C600B" w:rsidRDefault="00AC1642" w:rsidP="00751A5F">
      <w:pPr>
        <w:pStyle w:val="SingleTxtG"/>
        <w:spacing w:after="240"/>
        <w:ind w:left="1701" w:right="0" w:hanging="567"/>
      </w:pPr>
      <w:r>
        <w:rPr>
          <w:lang w:val="fr-CH"/>
        </w:rPr>
        <w:t>(b)</w:t>
      </w:r>
      <w:r>
        <w:tab/>
      </w:r>
      <w:r w:rsidR="002E0692" w:rsidRPr="002C600B">
        <w:t>Division 1.2: Substances, mixtures and articles which have a projection hazard but not a mass explosion hazard;</w:t>
      </w:r>
    </w:p>
    <w:p w:rsidR="002E0692" w:rsidRPr="00751A5F" w:rsidRDefault="00AC1642" w:rsidP="00751A5F">
      <w:pPr>
        <w:spacing w:after="240"/>
        <w:ind w:left="1701" w:hanging="567"/>
        <w:jc w:val="both"/>
        <w:rPr>
          <w:lang w:val="fr-CH"/>
        </w:rPr>
      </w:pPr>
      <w:r>
        <w:rPr>
          <w:lang w:val="fr-CH"/>
        </w:rPr>
        <w:t>(c)</w:t>
      </w:r>
      <w:r w:rsidRPr="00751A5F">
        <w:rPr>
          <w:lang w:val="fr-CH"/>
        </w:rPr>
        <w:tab/>
      </w:r>
      <w:r w:rsidR="002E0692" w:rsidRPr="00751A5F">
        <w:rPr>
          <w:lang w:val="fr-CH"/>
        </w:rPr>
        <w:t xml:space="preserve">Division 1.3: Substances, mixtures and articles which have a fire hazard and either a minor blast hazard or a minor projection hazard or both, but not a mass explosion </w:t>
      </w:r>
      <w:proofErr w:type="spellStart"/>
      <w:r w:rsidR="002E0692" w:rsidRPr="00751A5F">
        <w:rPr>
          <w:lang w:val="fr-CH"/>
        </w:rPr>
        <w:t>hazard</w:t>
      </w:r>
      <w:proofErr w:type="spellEnd"/>
      <w:r w:rsidR="002E0692" w:rsidRPr="00751A5F">
        <w:rPr>
          <w:lang w:val="fr-CH"/>
        </w:rPr>
        <w:t>:</w:t>
      </w:r>
    </w:p>
    <w:p w:rsidR="002E0692" w:rsidRPr="002C600B" w:rsidRDefault="00AC1642" w:rsidP="00751A5F">
      <w:pPr>
        <w:pStyle w:val="SingleTxtG"/>
        <w:spacing w:after="240"/>
        <w:ind w:left="2268" w:right="0" w:hanging="567"/>
      </w:pPr>
      <w:r>
        <w:rPr>
          <w:lang w:val="fr-CH"/>
        </w:rPr>
        <w:t>(i)</w:t>
      </w:r>
      <w:r>
        <w:tab/>
      </w:r>
      <w:r w:rsidR="002E0692" w:rsidRPr="002C600B">
        <w:t>combustion of which give rise to considerable radiant heat; or</w:t>
      </w:r>
    </w:p>
    <w:p w:rsidR="002E0692" w:rsidRDefault="00AC1642" w:rsidP="00751A5F">
      <w:pPr>
        <w:pStyle w:val="SingleTxtG"/>
        <w:spacing w:after="240"/>
        <w:ind w:left="2268" w:right="0" w:hanging="567"/>
      </w:pPr>
      <w:r>
        <w:rPr>
          <w:lang w:val="fr-CH"/>
        </w:rPr>
        <w:t>(ii)</w:t>
      </w:r>
      <w:r>
        <w:tab/>
      </w:r>
      <w:r w:rsidR="002E0692" w:rsidRPr="002C600B">
        <w:t xml:space="preserve">which burn one after another, producing minor blast or projection effects or </w:t>
      </w:r>
      <w:r>
        <w:tab/>
      </w:r>
      <w:r w:rsidR="002E0692" w:rsidRPr="002C600B">
        <w:t>both;</w:t>
      </w:r>
    </w:p>
    <w:p w:rsidR="002E0692" w:rsidRPr="00751A5F" w:rsidRDefault="00AC1642" w:rsidP="00751A5F">
      <w:pPr>
        <w:spacing w:after="240"/>
        <w:ind w:left="1701" w:hanging="567"/>
        <w:jc w:val="both"/>
        <w:rPr>
          <w:lang w:val="fr-CH"/>
        </w:rPr>
      </w:pPr>
      <w:r>
        <w:rPr>
          <w:lang w:val="fr-CH"/>
        </w:rPr>
        <w:t>(d)</w:t>
      </w:r>
      <w:r w:rsidRPr="00751A5F">
        <w:rPr>
          <w:lang w:val="fr-CH"/>
        </w:rPr>
        <w:tab/>
      </w:r>
      <w:r w:rsidR="002E0692" w:rsidRPr="00751A5F">
        <w:rPr>
          <w:lang w:val="fr-CH"/>
        </w:rPr>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rsidR="002E0692" w:rsidRPr="00751A5F" w:rsidRDefault="00AC1642" w:rsidP="00751A5F">
      <w:pPr>
        <w:spacing w:after="240"/>
        <w:ind w:left="1701" w:hanging="567"/>
        <w:jc w:val="both"/>
        <w:rPr>
          <w:lang w:val="fr-CH"/>
        </w:rPr>
      </w:pPr>
      <w:r>
        <w:rPr>
          <w:lang w:val="fr-CH"/>
        </w:rPr>
        <w:t>(e)</w:t>
      </w:r>
      <w:r w:rsidRPr="00751A5F">
        <w:rPr>
          <w:lang w:val="fr-CH"/>
        </w:rPr>
        <w:tab/>
      </w:r>
      <w:r w:rsidR="002E0692" w:rsidRPr="00751A5F">
        <w:rPr>
          <w:lang w:val="fr-CH"/>
        </w:rPr>
        <w:t xml:space="preserve">Division 1.4 Compatibility Group S: Substances, mixtures and articles so packed or designed that any hazardous effects arising from accidental functioning are confined within the package unless </w:t>
      </w:r>
      <w:r w:rsidR="002E0692" w:rsidRPr="00751A5F">
        <w:rPr>
          <w:lang w:val="fr-CH"/>
        </w:rPr>
        <w:lastRenderedPageBreak/>
        <w:t>the package has been degraded by fire, in which case all blast or projection effects are limited to the extent that they do not significantly hinder fire-fighting or other emergency response efforts in the immediate vicinity of the package.</w:t>
      </w:r>
    </w:p>
    <w:p w:rsidR="002E0692" w:rsidRPr="00751A5F" w:rsidRDefault="00AC1642" w:rsidP="00751A5F">
      <w:pPr>
        <w:spacing w:after="200" w:line="240" w:lineRule="auto"/>
        <w:ind w:left="1701" w:hanging="567"/>
        <w:jc w:val="both"/>
        <w:rPr>
          <w:lang w:val="fr-CH"/>
        </w:rPr>
      </w:pPr>
      <w:r>
        <w:rPr>
          <w:lang w:val="fr-CH"/>
        </w:rPr>
        <w:t>(f)</w:t>
      </w:r>
      <w:r w:rsidRPr="00751A5F">
        <w:rPr>
          <w:lang w:val="fr-CH"/>
        </w:rPr>
        <w:tab/>
      </w:r>
      <w:r w:rsidR="002E0692" w:rsidRPr="00751A5F">
        <w:rPr>
          <w:lang w:val="fr-CH"/>
        </w:rPr>
        <w:t>Division 1.5: Very insensitive substances or mixtures which have a mass explosion hazard: substances and mixtures which have a mass explosion hazard but are so insensitive that there is very little probability of initiation or of transition from burning to detonation under normal conditions. The probability of transition from burning to detonation is greater when large quantities are present.</w:t>
      </w:r>
    </w:p>
    <w:p w:rsidR="002E0692" w:rsidRPr="00751A5F" w:rsidRDefault="00AC1642" w:rsidP="00751A5F">
      <w:pPr>
        <w:spacing w:after="200" w:line="240" w:lineRule="auto"/>
        <w:ind w:left="1701" w:hanging="567"/>
        <w:jc w:val="both"/>
        <w:rPr>
          <w:lang w:val="fr-CH"/>
        </w:rPr>
      </w:pPr>
      <w:r>
        <w:rPr>
          <w:lang w:val="fr-CH"/>
        </w:rPr>
        <w:t>(g)</w:t>
      </w:r>
      <w:r w:rsidRPr="00751A5F">
        <w:rPr>
          <w:lang w:val="fr-CH"/>
        </w:rPr>
        <w:tab/>
      </w:r>
      <w:r w:rsidR="002E0692" w:rsidRPr="00751A5F">
        <w:rPr>
          <w:lang w:val="fr-CH"/>
        </w:rPr>
        <w:t xml:space="preserve">Division 1.6: </w:t>
      </w:r>
      <w:proofErr w:type="spellStart"/>
      <w:r w:rsidR="002E0692" w:rsidRPr="00751A5F">
        <w:rPr>
          <w:lang w:val="fr-CH"/>
        </w:rPr>
        <w:t>Extremely</w:t>
      </w:r>
      <w:proofErr w:type="spellEnd"/>
      <w:r w:rsidR="002E0692" w:rsidRPr="00751A5F">
        <w:rPr>
          <w:lang w:val="fr-CH"/>
        </w:rPr>
        <w:t xml:space="preserve"> </w:t>
      </w:r>
      <w:proofErr w:type="spellStart"/>
      <w:r w:rsidR="002E0692" w:rsidRPr="00751A5F">
        <w:rPr>
          <w:lang w:val="fr-CH"/>
        </w:rPr>
        <w:t>insensitive</w:t>
      </w:r>
      <w:proofErr w:type="spellEnd"/>
      <w:r w:rsidR="002E0692" w:rsidRPr="00751A5F">
        <w:rPr>
          <w:lang w:val="fr-CH"/>
        </w:rPr>
        <w:t xml:space="preserve"> articles </w:t>
      </w:r>
      <w:proofErr w:type="spellStart"/>
      <w:r w:rsidR="002E0692" w:rsidRPr="00751A5F">
        <w:rPr>
          <w:lang w:val="fr-CH"/>
        </w:rPr>
        <w:t>which</w:t>
      </w:r>
      <w:proofErr w:type="spellEnd"/>
      <w:r w:rsidR="002E0692" w:rsidRPr="00751A5F">
        <w:rPr>
          <w:lang w:val="fr-CH"/>
        </w:rPr>
        <w:t xml:space="preserve"> do not have a mass explosion hazard: articles which predominantly contain extremely insensitive substances or mixtures and which demonstrate a negligible probability of accidental initiation or propagation. The hazard from articles of Division 1.6 is limited to the explosion of a single article.</w:t>
      </w:r>
    </w:p>
    <w:p w:rsidR="002E0692" w:rsidRDefault="0046692D" w:rsidP="00751A5F">
      <w:pPr>
        <w:spacing w:after="200" w:line="240" w:lineRule="auto"/>
        <w:jc w:val="both"/>
        <w:rPr>
          <w:i/>
        </w:rPr>
      </w:pPr>
      <w:r w:rsidRPr="0046692D">
        <w:rPr>
          <w:b/>
          <w:i/>
        </w:rPr>
        <w:t>NOTE 1</w:t>
      </w:r>
      <w:r w:rsidR="002E0692" w:rsidRPr="0046692D">
        <w:rPr>
          <w:b/>
          <w:i/>
        </w:rPr>
        <w:t>:</w:t>
      </w:r>
      <w:r w:rsidR="002E0692" w:rsidRPr="00B82A25">
        <w:rPr>
          <w:i/>
        </w:rPr>
        <w:t xml:space="preserve"> </w:t>
      </w:r>
      <w:r w:rsidR="00751A5F">
        <w:rPr>
          <w:i/>
        </w:rPr>
        <w:tab/>
      </w:r>
      <w:r w:rsidR="002E0692" w:rsidRPr="00B82A25">
        <w:rPr>
          <w:i/>
        </w:rPr>
        <w:t>Explosive substances or mixtures in packaged form and articles may be classified under divisions 1.1 to 1.6 and, for some regulatory purposes, are further subdivided into compatibility groups A to S to distinguish technical requirements (see UN Recommendations on the Transport of Dangerous Goods, Model Regulations, Chapter 2.1).</w:t>
      </w:r>
    </w:p>
    <w:p w:rsidR="00AC1642" w:rsidRDefault="0046692D" w:rsidP="00751A5F">
      <w:pPr>
        <w:spacing w:after="200" w:line="240" w:lineRule="auto"/>
        <w:jc w:val="both"/>
        <w:rPr>
          <w:i/>
        </w:rPr>
      </w:pPr>
      <w:r w:rsidRPr="0046692D">
        <w:rPr>
          <w:b/>
          <w:i/>
        </w:rPr>
        <w:t>NOTE 2:</w:t>
      </w:r>
      <w:r w:rsidRPr="0046692D">
        <w:t xml:space="preserve"> </w:t>
      </w:r>
      <w:r w:rsidR="00751A5F">
        <w:tab/>
      </w:r>
      <w:r w:rsidRPr="0046692D">
        <w:rPr>
          <w:i/>
        </w:rPr>
        <w:t>Some explosive substances and mixtures are diluted with solids or liquids,</w:t>
      </w:r>
      <w:r w:rsidR="00751A5F">
        <w:rPr>
          <w:i/>
        </w:rPr>
        <w:t xml:space="preserve"> </w:t>
      </w:r>
      <w:r w:rsidRPr="0046692D">
        <w:rPr>
          <w:i/>
        </w:rPr>
        <w:t>or wetted with or dissolved or suspended in water or other liquids to suppress or reduce their explosives properties. They may be a candidate for classification as desensitized explosives (see Chapter 2.17) or may be treated differently from explosive substances and mixtures (as desensitized explosives) for some regulatory purposes (e.g. transport), see 1.3.2.4.5.2.</w:t>
      </w:r>
    </w:p>
    <w:p w:rsidR="0046692D" w:rsidRPr="0046692D" w:rsidRDefault="0046692D" w:rsidP="00751A5F">
      <w:pPr>
        <w:spacing w:after="200" w:line="240" w:lineRule="auto"/>
        <w:jc w:val="both"/>
        <w:rPr>
          <w:i/>
        </w:rPr>
      </w:pPr>
      <w:r w:rsidRPr="0046692D">
        <w:rPr>
          <w:b/>
          <w:i/>
        </w:rPr>
        <w:t>NOTE 3:</w:t>
      </w:r>
      <w:r w:rsidRPr="0046692D">
        <w:rPr>
          <w:i/>
        </w:rPr>
        <w:t xml:space="preserve"> </w:t>
      </w:r>
      <w:r w:rsidR="00751A5F">
        <w:rPr>
          <w:i/>
        </w:rPr>
        <w:tab/>
      </w:r>
      <w:r w:rsidRPr="0046692D">
        <w:rPr>
          <w:i/>
        </w:rPr>
        <w:t>For classification tests on solid explosive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rsidR="00A218F3" w:rsidRDefault="00A218F3" w:rsidP="0086013A">
      <w:r>
        <w:t>2.1.2.3</w:t>
      </w:r>
      <w:r>
        <w:tab/>
      </w:r>
      <w:r>
        <w:tab/>
        <w:t>Sub-categories</w:t>
      </w:r>
    </w:p>
    <w:p w:rsidR="00A218F3" w:rsidRDefault="00A218F3" w:rsidP="0086013A"/>
    <w:p w:rsidR="00D76C68" w:rsidRPr="00D76C68" w:rsidRDefault="002E0692" w:rsidP="00751A5F">
      <w:pPr>
        <w:ind w:right="1134"/>
        <w:jc w:val="both"/>
        <w:rPr>
          <w:b/>
          <w:bCs/>
        </w:rPr>
      </w:pPr>
      <w:r w:rsidRPr="0071032E">
        <w:t>Explosive substances, mixtures and articles in Category 2 are assigned to one of three subcategories in accordance with the following table:</w:t>
      </w:r>
    </w:p>
    <w:tbl>
      <w:tblPr>
        <w:tblStyle w:val="TableGrid"/>
        <w:tblpPr w:leftFromText="181" w:rightFromText="181" w:vertAnchor="text" w:horzAnchor="page" w:tblpX="1005" w:tblpY="165"/>
        <w:tblW w:w="4985" w:type="pct"/>
        <w:tblCellMar>
          <w:top w:w="57" w:type="dxa"/>
          <w:left w:w="57" w:type="dxa"/>
          <w:bottom w:w="57" w:type="dxa"/>
          <w:right w:w="57" w:type="dxa"/>
        </w:tblCellMar>
        <w:tblLook w:val="04A0" w:firstRow="1" w:lastRow="0" w:firstColumn="1" w:lastColumn="0" w:noHBand="0" w:noVBand="1"/>
      </w:tblPr>
      <w:tblGrid>
        <w:gridCol w:w="993"/>
        <w:gridCol w:w="8607"/>
      </w:tblGrid>
      <w:tr w:rsidR="002E0692" w:rsidRPr="00B82A25" w:rsidTr="00E70F1A">
        <w:trPr>
          <w:trHeight w:val="557"/>
        </w:trPr>
        <w:tc>
          <w:tcPr>
            <w:tcW w:w="517" w:type="pct"/>
          </w:tcPr>
          <w:p w:rsidR="002E0692" w:rsidRPr="00B82A25" w:rsidRDefault="002E0692" w:rsidP="00E70F1A">
            <w:pPr>
              <w:rPr>
                <w:b/>
              </w:rPr>
            </w:pPr>
            <w:r w:rsidRPr="00B82A25">
              <w:rPr>
                <w:b/>
              </w:rPr>
              <w:t>Sub-category</w:t>
            </w:r>
          </w:p>
        </w:tc>
        <w:tc>
          <w:tcPr>
            <w:tcW w:w="4483" w:type="pct"/>
          </w:tcPr>
          <w:p w:rsidR="002E0692" w:rsidRPr="00B82A25" w:rsidRDefault="002E0692" w:rsidP="00E70F1A">
            <w:pPr>
              <w:rPr>
                <w:b/>
              </w:rPr>
            </w:pPr>
            <w:r w:rsidRPr="00B82A25">
              <w:rPr>
                <w:b/>
              </w:rPr>
              <w:br/>
              <w:t>Criteria</w:t>
            </w:r>
          </w:p>
        </w:tc>
      </w:tr>
      <w:tr w:rsidR="002E0692" w:rsidRPr="00675687" w:rsidTr="00E70F1A">
        <w:trPr>
          <w:trHeight w:val="170"/>
        </w:trPr>
        <w:tc>
          <w:tcPr>
            <w:tcW w:w="517" w:type="pct"/>
            <w:vAlign w:val="center"/>
          </w:tcPr>
          <w:p w:rsidR="002E0692" w:rsidRPr="00B82A25" w:rsidRDefault="002E0692" w:rsidP="00E70F1A">
            <w:pPr>
              <w:jc w:val="center"/>
              <w:rPr>
                <w:b/>
              </w:rPr>
            </w:pPr>
            <w:r w:rsidRPr="00B82A25">
              <w:rPr>
                <w:b/>
              </w:rPr>
              <w:br/>
              <w:t>2A</w:t>
            </w:r>
          </w:p>
        </w:tc>
        <w:tc>
          <w:tcPr>
            <w:tcW w:w="4483" w:type="pct"/>
          </w:tcPr>
          <w:p w:rsidR="002E0692" w:rsidRPr="00B82A25" w:rsidRDefault="002E0692" w:rsidP="00751A5F">
            <w:r w:rsidRPr="00B82A25">
              <w:t>Explosive substances, mixtures and articles in Category 2 which have been assigned:</w:t>
            </w:r>
          </w:p>
          <w:p w:rsidR="002E0692" w:rsidRPr="00B82A25" w:rsidRDefault="002E0692" w:rsidP="00751A5F">
            <w:pPr>
              <w:pStyle w:val="ListParagraph"/>
              <w:numPr>
                <w:ilvl w:val="0"/>
                <w:numId w:val="35"/>
              </w:numPr>
              <w:spacing w:after="80"/>
              <w:ind w:left="714" w:hanging="357"/>
              <w:contextualSpacing/>
              <w:jc w:val="left"/>
              <w:rPr>
                <w:sz w:val="20"/>
                <w:szCs w:val="20"/>
                <w:lang w:val="en-GB"/>
              </w:rPr>
            </w:pPr>
            <w:r w:rsidRPr="00B82A25">
              <w:rPr>
                <w:sz w:val="20"/>
                <w:szCs w:val="20"/>
              </w:rPr>
              <w:t>Division 1.1, 1.2, 1.3, 1.5, or 1.6; or</w:t>
            </w:r>
          </w:p>
          <w:p w:rsidR="002E0692" w:rsidRPr="00B82A25" w:rsidRDefault="002E0692" w:rsidP="00751A5F">
            <w:pPr>
              <w:pStyle w:val="ListParagraph"/>
              <w:numPr>
                <w:ilvl w:val="0"/>
                <w:numId w:val="35"/>
              </w:numPr>
              <w:spacing w:after="80"/>
              <w:ind w:left="714" w:hanging="357"/>
              <w:contextualSpacing/>
              <w:jc w:val="left"/>
              <w:rPr>
                <w:sz w:val="20"/>
                <w:szCs w:val="20"/>
                <w:lang w:val="en-GB"/>
              </w:rPr>
            </w:pPr>
            <w:r w:rsidRPr="00B82A25">
              <w:rPr>
                <w:sz w:val="20"/>
                <w:szCs w:val="20"/>
                <w:lang w:val="en-GB"/>
              </w:rPr>
              <w:t>Division 1.4 and are not meeting the criteria for Sub-category 2B or 2C; or</w:t>
            </w:r>
          </w:p>
          <w:p w:rsidR="00E70F1A" w:rsidRPr="00B82A25" w:rsidRDefault="002E0692" w:rsidP="00751A5F">
            <w:pPr>
              <w:pStyle w:val="ListParagraph"/>
              <w:numPr>
                <w:ilvl w:val="0"/>
                <w:numId w:val="35"/>
              </w:numPr>
              <w:ind w:left="714" w:hanging="357"/>
              <w:contextualSpacing/>
              <w:jc w:val="left"/>
              <w:rPr>
                <w:sz w:val="20"/>
                <w:szCs w:val="20"/>
                <w:lang w:val="en-GB"/>
              </w:rPr>
            </w:pPr>
            <w:r w:rsidRPr="006E1989">
              <w:rPr>
                <w:sz w:val="20"/>
                <w:szCs w:val="20"/>
                <w:lang w:val="en-GB"/>
              </w:rPr>
              <w:t>sub-category 2A based on additional data or considerations that supersede the crit</w:t>
            </w:r>
            <w:r>
              <w:rPr>
                <w:sz w:val="20"/>
                <w:szCs w:val="20"/>
                <w:lang w:val="en-GB"/>
              </w:rPr>
              <w:t>eria for sub-category 2B or 2C</w:t>
            </w:r>
            <w:r w:rsidRPr="00153100">
              <w:rPr>
                <w:sz w:val="20"/>
                <w:szCs w:val="20"/>
                <w:lang w:val="en-GB"/>
              </w:rPr>
              <w:t>*</w:t>
            </w:r>
          </w:p>
        </w:tc>
      </w:tr>
      <w:tr w:rsidR="002E0692" w:rsidRPr="00675687" w:rsidTr="00E70F1A">
        <w:trPr>
          <w:trHeight w:val="170"/>
        </w:trPr>
        <w:tc>
          <w:tcPr>
            <w:tcW w:w="517" w:type="pct"/>
            <w:vAlign w:val="center"/>
          </w:tcPr>
          <w:p w:rsidR="002E0692" w:rsidRPr="00B82A25" w:rsidRDefault="002E0692" w:rsidP="00E70F1A">
            <w:pPr>
              <w:jc w:val="center"/>
              <w:rPr>
                <w:b/>
              </w:rPr>
            </w:pPr>
            <w:r w:rsidRPr="00B82A25">
              <w:rPr>
                <w:b/>
              </w:rPr>
              <w:br/>
              <w:t>2B</w:t>
            </w:r>
          </w:p>
        </w:tc>
        <w:tc>
          <w:tcPr>
            <w:tcW w:w="4483" w:type="pct"/>
          </w:tcPr>
          <w:p w:rsidR="002E0692" w:rsidRPr="00153100" w:rsidRDefault="002E0692" w:rsidP="00751A5F">
            <w:pPr>
              <w:spacing w:line="240" w:lineRule="auto"/>
            </w:pPr>
            <w:r w:rsidRPr="00153100">
              <w:t>Explosive substances, mixtures and articles in Category 2 which have been assigned to Division 1.4 and a compatibility group other than S, and which:</w:t>
            </w:r>
          </w:p>
          <w:p w:rsidR="002E0692" w:rsidRPr="00153100" w:rsidRDefault="002E0692" w:rsidP="00751A5F">
            <w:pPr>
              <w:pStyle w:val="ListParagraph"/>
              <w:numPr>
                <w:ilvl w:val="0"/>
                <w:numId w:val="36"/>
              </w:numPr>
              <w:spacing w:after="200"/>
              <w:ind w:left="714" w:hanging="357"/>
              <w:contextualSpacing/>
              <w:jc w:val="left"/>
              <w:rPr>
                <w:sz w:val="20"/>
                <w:szCs w:val="20"/>
                <w:lang w:val="en-GB"/>
              </w:rPr>
            </w:pPr>
            <w:r w:rsidRPr="00153100">
              <w:rPr>
                <w:sz w:val="20"/>
                <w:szCs w:val="20"/>
                <w:lang w:val="en-GB"/>
              </w:rPr>
              <w:t xml:space="preserve">do not detonate and disintegrate when functioned as intended; and </w:t>
            </w:r>
          </w:p>
          <w:p w:rsidR="002E0692" w:rsidRPr="00153100" w:rsidRDefault="002E0692" w:rsidP="00751A5F">
            <w:pPr>
              <w:pStyle w:val="ListParagraph"/>
              <w:numPr>
                <w:ilvl w:val="0"/>
                <w:numId w:val="36"/>
              </w:numPr>
              <w:ind w:left="714" w:hanging="357"/>
              <w:contextualSpacing/>
              <w:jc w:val="left"/>
              <w:rPr>
                <w:sz w:val="20"/>
                <w:szCs w:val="20"/>
                <w:lang w:val="en-GB"/>
              </w:rPr>
            </w:pPr>
            <w:r w:rsidRPr="00153100">
              <w:rPr>
                <w:sz w:val="20"/>
                <w:szCs w:val="20"/>
                <w:lang w:val="en-GB"/>
              </w:rPr>
              <w:t xml:space="preserve">exhibit no high hazard event** in Test Series 6(a) or 6(b) of the </w:t>
            </w:r>
            <w:r w:rsidRPr="00153100">
              <w:rPr>
                <w:i/>
                <w:sz w:val="20"/>
                <w:szCs w:val="20"/>
                <w:lang w:val="en-GB"/>
              </w:rPr>
              <w:t>Manual of Tests and Criteria</w:t>
            </w:r>
            <w:r w:rsidRPr="00153100">
              <w:rPr>
                <w:sz w:val="20"/>
                <w:szCs w:val="20"/>
                <w:lang w:val="en-GB"/>
              </w:rPr>
              <w:t>; and</w:t>
            </w:r>
          </w:p>
          <w:p w:rsidR="00E70F1A" w:rsidRPr="00153100" w:rsidRDefault="002E0692" w:rsidP="00751A5F">
            <w:pPr>
              <w:numPr>
                <w:ilvl w:val="0"/>
                <w:numId w:val="36"/>
              </w:numPr>
              <w:suppressAutoHyphens w:val="0"/>
              <w:spacing w:line="240" w:lineRule="auto"/>
              <w:ind w:left="714" w:hanging="357"/>
            </w:pPr>
            <w:r w:rsidRPr="00153100">
              <w:t>do not require attenuating features, other than that which may be provided by a primary packaging, to mitigate a high hazard event.**</w:t>
            </w:r>
          </w:p>
        </w:tc>
      </w:tr>
      <w:tr w:rsidR="002E0692" w:rsidRPr="00675687" w:rsidTr="00E70F1A">
        <w:trPr>
          <w:trHeight w:val="170"/>
        </w:trPr>
        <w:tc>
          <w:tcPr>
            <w:tcW w:w="517" w:type="pct"/>
            <w:vAlign w:val="center"/>
          </w:tcPr>
          <w:p w:rsidR="002E0692" w:rsidRPr="00B82A25" w:rsidRDefault="002E0692" w:rsidP="00E70F1A">
            <w:pPr>
              <w:jc w:val="center"/>
              <w:rPr>
                <w:b/>
              </w:rPr>
            </w:pPr>
            <w:r w:rsidRPr="00B82A25">
              <w:rPr>
                <w:b/>
              </w:rPr>
              <w:br/>
              <w:t>2C</w:t>
            </w:r>
          </w:p>
        </w:tc>
        <w:tc>
          <w:tcPr>
            <w:tcW w:w="4483" w:type="pct"/>
          </w:tcPr>
          <w:p w:rsidR="002E0692" w:rsidRPr="00153100" w:rsidRDefault="002E0692" w:rsidP="00751A5F">
            <w:pPr>
              <w:spacing w:after="200" w:line="240" w:lineRule="auto"/>
            </w:pPr>
            <w:r w:rsidRPr="00153100">
              <w:t>Explosive substances, mixtures and articles in Category 2 which have been assigned to Division 1.4 Compatibility Group S, and which:</w:t>
            </w:r>
          </w:p>
          <w:p w:rsidR="002E0692" w:rsidRPr="00153100" w:rsidRDefault="002E0692" w:rsidP="00751A5F">
            <w:pPr>
              <w:pStyle w:val="ListParagraph"/>
              <w:numPr>
                <w:ilvl w:val="0"/>
                <w:numId w:val="37"/>
              </w:numPr>
              <w:spacing w:after="200"/>
              <w:contextualSpacing/>
              <w:jc w:val="left"/>
              <w:rPr>
                <w:sz w:val="20"/>
                <w:szCs w:val="20"/>
                <w:lang w:val="en-GB"/>
              </w:rPr>
            </w:pPr>
            <w:r w:rsidRPr="00153100">
              <w:rPr>
                <w:sz w:val="20"/>
                <w:szCs w:val="20"/>
                <w:lang w:val="en-GB"/>
              </w:rPr>
              <w:t>do not detonate and disintegrate when functioned as intended; and</w:t>
            </w:r>
          </w:p>
          <w:p w:rsidR="002E0692" w:rsidRPr="00153100" w:rsidRDefault="002E0692" w:rsidP="00751A5F">
            <w:pPr>
              <w:pStyle w:val="ListParagraph"/>
              <w:numPr>
                <w:ilvl w:val="0"/>
                <w:numId w:val="37"/>
              </w:numPr>
              <w:ind w:left="714" w:hanging="357"/>
              <w:contextualSpacing/>
              <w:jc w:val="left"/>
              <w:rPr>
                <w:sz w:val="20"/>
                <w:szCs w:val="20"/>
                <w:lang w:val="en-GB"/>
              </w:rPr>
            </w:pPr>
            <w:r w:rsidRPr="00153100">
              <w:rPr>
                <w:sz w:val="20"/>
                <w:szCs w:val="20"/>
                <w:lang w:val="en-GB"/>
              </w:rPr>
              <w:t xml:space="preserve">exhibit no high hazard event** in Test Series 6(a) or 6(b), or in the absence of these test results, similar results in Test 6(d) of the </w:t>
            </w:r>
            <w:r w:rsidRPr="00153100">
              <w:rPr>
                <w:i/>
                <w:sz w:val="20"/>
                <w:szCs w:val="20"/>
                <w:lang w:val="en-GB"/>
              </w:rPr>
              <w:t>Manual of Tests and Criteria</w:t>
            </w:r>
            <w:r w:rsidRPr="00153100">
              <w:rPr>
                <w:sz w:val="20"/>
                <w:szCs w:val="20"/>
                <w:lang w:val="en-GB"/>
              </w:rPr>
              <w:t xml:space="preserve">; </w:t>
            </w:r>
            <w:r w:rsidR="009E3FBA">
              <w:rPr>
                <w:sz w:val="20"/>
                <w:szCs w:val="20"/>
                <w:lang w:val="en-GB"/>
              </w:rPr>
              <w:t>and</w:t>
            </w:r>
          </w:p>
          <w:p w:rsidR="00E70F1A" w:rsidRPr="00153100" w:rsidRDefault="002E0692" w:rsidP="00751A5F">
            <w:pPr>
              <w:numPr>
                <w:ilvl w:val="0"/>
                <w:numId w:val="37"/>
              </w:numPr>
              <w:suppressAutoHyphens w:val="0"/>
              <w:spacing w:line="240" w:lineRule="auto"/>
              <w:ind w:left="714" w:hanging="357"/>
            </w:pPr>
            <w:r w:rsidRPr="00153100">
              <w:t>do not require attenuating features, other than that which may be provided by a primary packaging, to mitigate a high hazard event.**</w:t>
            </w:r>
          </w:p>
        </w:tc>
      </w:tr>
    </w:tbl>
    <w:p w:rsidR="002E0692" w:rsidRPr="002E0692" w:rsidRDefault="002E0692" w:rsidP="00751A5F">
      <w:pPr>
        <w:spacing w:after="200" w:line="240" w:lineRule="auto"/>
        <w:jc w:val="both"/>
      </w:pPr>
      <w:r w:rsidRPr="002E0692">
        <w:t>*</w:t>
      </w:r>
      <w:r>
        <w:t xml:space="preserve"> </w:t>
      </w:r>
      <w:r w:rsidRPr="002E0692">
        <w:t>The manufacturer, supplier or competent authority may assign sub-category 2A on basis of data or considerations indicating that the explosive represents a high hazard even if it meets the technical criteria for sub-category 2B or 2C.</w:t>
      </w:r>
    </w:p>
    <w:p w:rsidR="002E0692" w:rsidRDefault="002E0692" w:rsidP="00751A5F">
      <w:pPr>
        <w:spacing w:after="200" w:line="240" w:lineRule="auto"/>
        <w:jc w:val="both"/>
      </w:pPr>
      <w:r w:rsidRPr="002E0692">
        <w:t>**</w:t>
      </w:r>
      <w:r>
        <w:t xml:space="preserve"> </w:t>
      </w:r>
      <w:r w:rsidRPr="002E0692">
        <w:t xml:space="preserve">A high hazard event is exhibited when performing Test Series 6(a) or 6(b), according to the </w:t>
      </w:r>
      <w:r w:rsidRPr="002E0692">
        <w:rPr>
          <w:i/>
        </w:rPr>
        <w:t>Manual of Tests and Criteria</w:t>
      </w:r>
      <w:r w:rsidRPr="002E0692">
        <w:t>, by</w:t>
      </w:r>
    </w:p>
    <w:p w:rsidR="002E0692" w:rsidRPr="002E0692" w:rsidRDefault="006D6897" w:rsidP="00751A5F">
      <w:pPr>
        <w:pStyle w:val="SingleTxtG"/>
        <w:spacing w:after="200" w:line="240" w:lineRule="auto"/>
        <w:ind w:left="567" w:right="0"/>
      </w:pPr>
      <w:r>
        <w:rPr>
          <w:lang w:val="fr-CH"/>
        </w:rPr>
        <w:lastRenderedPageBreak/>
        <w:t>(a)</w:t>
      </w:r>
      <w:r>
        <w:tab/>
      </w:r>
      <w:r w:rsidR="002E0692" w:rsidRPr="002E0692">
        <w:t>a significant change in the witness plate shape, such as perforation, gouge</w:t>
      </w:r>
      <w:r w:rsidR="001617F5">
        <w:t>,</w:t>
      </w:r>
      <w:r w:rsidR="002E0692" w:rsidRPr="002E0692">
        <w:t xml:space="preserve"> substantial </w:t>
      </w:r>
      <w:r w:rsidR="00EC6B63">
        <w:t xml:space="preserve">dent or </w:t>
      </w:r>
      <w:r w:rsidR="002E0692" w:rsidRPr="002E0692">
        <w:t>bowing; or</w:t>
      </w:r>
    </w:p>
    <w:p w:rsidR="002E0692" w:rsidRPr="002E0692" w:rsidRDefault="006D6897" w:rsidP="00751A5F">
      <w:pPr>
        <w:pStyle w:val="SingleTxtG"/>
        <w:spacing w:after="200" w:line="240" w:lineRule="auto"/>
        <w:ind w:right="0" w:hanging="567"/>
      </w:pPr>
      <w:r>
        <w:rPr>
          <w:lang w:val="fr-CH"/>
        </w:rPr>
        <w:t>(b)</w:t>
      </w:r>
      <w:r>
        <w:tab/>
      </w:r>
      <w:r w:rsidR="002E0692" w:rsidRPr="002E0692">
        <w:t>instantaneous scattering of most of the confining material.</w:t>
      </w:r>
    </w:p>
    <w:p w:rsidR="00E70F1A" w:rsidRDefault="00E70F1A" w:rsidP="00751A5F">
      <w:pPr>
        <w:suppressAutoHyphens w:val="0"/>
        <w:spacing w:line="240" w:lineRule="auto"/>
      </w:pPr>
    </w:p>
    <w:p w:rsidR="00A218F3" w:rsidRPr="00A218F3" w:rsidRDefault="00A218F3" w:rsidP="00751A5F">
      <w:pPr>
        <w:suppressAutoHyphens w:val="0"/>
        <w:spacing w:line="240" w:lineRule="auto"/>
        <w:rPr>
          <w:b/>
        </w:rPr>
      </w:pPr>
      <w:r w:rsidRPr="00A218F3">
        <w:rPr>
          <w:b/>
        </w:rPr>
        <w:t>2.1.3</w:t>
      </w:r>
      <w:r w:rsidRPr="00A218F3">
        <w:rPr>
          <w:b/>
        </w:rPr>
        <w:tab/>
      </w:r>
      <w:r w:rsidRPr="00A218F3">
        <w:rPr>
          <w:b/>
        </w:rPr>
        <w:tab/>
        <w:t>Hazard communication</w:t>
      </w:r>
    </w:p>
    <w:p w:rsidR="00353524" w:rsidRPr="00551DC2" w:rsidRDefault="00353524" w:rsidP="00751A5F"/>
    <w:p w:rsidR="00415CA8" w:rsidRDefault="00415CA8" w:rsidP="00751A5F">
      <w:pPr>
        <w:jc w:val="both"/>
      </w:pPr>
      <w:r w:rsidRPr="00A10F0A">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rsidR="00086FCB" w:rsidRDefault="00086FCB" w:rsidP="00415CA8"/>
    <w:tbl>
      <w:tblPr>
        <w:tblStyle w:val="TableGrid"/>
        <w:tblW w:w="9634" w:type="dxa"/>
        <w:tblCellMar>
          <w:top w:w="57" w:type="dxa"/>
          <w:left w:w="57" w:type="dxa"/>
          <w:bottom w:w="57" w:type="dxa"/>
          <w:right w:w="57" w:type="dxa"/>
        </w:tblCellMar>
        <w:tblLook w:val="04A0" w:firstRow="1" w:lastRow="0" w:firstColumn="1" w:lastColumn="0" w:noHBand="0" w:noVBand="1"/>
      </w:tblPr>
      <w:tblGrid>
        <w:gridCol w:w="1413"/>
        <w:gridCol w:w="1701"/>
        <w:gridCol w:w="1984"/>
        <w:gridCol w:w="2127"/>
        <w:gridCol w:w="2409"/>
      </w:tblGrid>
      <w:tr w:rsidR="00415CA8" w:rsidRPr="00B82A25" w:rsidTr="00751A5F">
        <w:tc>
          <w:tcPr>
            <w:tcW w:w="1413" w:type="dxa"/>
          </w:tcPr>
          <w:p w:rsidR="00415CA8" w:rsidRPr="00415CA8" w:rsidRDefault="00415CA8" w:rsidP="00081E84">
            <w:pPr>
              <w:spacing w:after="160"/>
              <w:rPr>
                <w:b/>
              </w:rPr>
            </w:pPr>
            <w:r w:rsidRPr="00415CA8">
              <w:rPr>
                <w:b/>
              </w:rPr>
              <w:t>Category</w:t>
            </w:r>
          </w:p>
        </w:tc>
        <w:tc>
          <w:tcPr>
            <w:tcW w:w="1701" w:type="dxa"/>
          </w:tcPr>
          <w:p w:rsidR="00415CA8" w:rsidRPr="00415CA8" w:rsidRDefault="00415CA8" w:rsidP="00081E84">
            <w:pPr>
              <w:spacing w:after="160"/>
              <w:jc w:val="center"/>
              <w:rPr>
                <w:b/>
              </w:rPr>
            </w:pPr>
            <w:r w:rsidRPr="00415CA8">
              <w:rPr>
                <w:b/>
              </w:rPr>
              <w:t>1</w:t>
            </w:r>
          </w:p>
        </w:tc>
        <w:tc>
          <w:tcPr>
            <w:tcW w:w="6520" w:type="dxa"/>
            <w:gridSpan w:val="3"/>
          </w:tcPr>
          <w:p w:rsidR="00415CA8" w:rsidRPr="00415CA8" w:rsidRDefault="00415CA8" w:rsidP="00081E84">
            <w:pPr>
              <w:spacing w:after="160"/>
              <w:jc w:val="center"/>
              <w:rPr>
                <w:b/>
              </w:rPr>
            </w:pPr>
            <w:r w:rsidRPr="00415CA8">
              <w:rPr>
                <w:b/>
              </w:rPr>
              <w:t>2</w:t>
            </w:r>
          </w:p>
        </w:tc>
      </w:tr>
      <w:tr w:rsidR="00415CA8" w:rsidRPr="00B82A25" w:rsidTr="00751A5F">
        <w:trPr>
          <w:trHeight w:val="16"/>
        </w:trPr>
        <w:tc>
          <w:tcPr>
            <w:tcW w:w="1413" w:type="dxa"/>
          </w:tcPr>
          <w:p w:rsidR="00415CA8" w:rsidRPr="00415CA8" w:rsidRDefault="00415CA8" w:rsidP="00081E84">
            <w:pPr>
              <w:spacing w:after="160"/>
              <w:rPr>
                <w:b/>
              </w:rPr>
            </w:pPr>
            <w:r w:rsidRPr="00415CA8">
              <w:rPr>
                <w:b/>
              </w:rPr>
              <w:t>Sub-category</w:t>
            </w:r>
          </w:p>
        </w:tc>
        <w:tc>
          <w:tcPr>
            <w:tcW w:w="1701" w:type="dxa"/>
          </w:tcPr>
          <w:p w:rsidR="00415CA8" w:rsidRPr="00415CA8" w:rsidRDefault="00415CA8" w:rsidP="00081E84">
            <w:pPr>
              <w:spacing w:after="160"/>
              <w:jc w:val="center"/>
              <w:rPr>
                <w:i/>
              </w:rPr>
            </w:pPr>
            <w:r w:rsidRPr="00415CA8">
              <w:rPr>
                <w:i/>
              </w:rPr>
              <w:t>Not applicable</w:t>
            </w:r>
          </w:p>
        </w:tc>
        <w:tc>
          <w:tcPr>
            <w:tcW w:w="1984" w:type="dxa"/>
          </w:tcPr>
          <w:p w:rsidR="00415CA8" w:rsidRPr="00415CA8" w:rsidRDefault="00415CA8" w:rsidP="00081E84">
            <w:pPr>
              <w:spacing w:after="160"/>
              <w:jc w:val="center"/>
              <w:rPr>
                <w:b/>
              </w:rPr>
            </w:pPr>
            <w:r w:rsidRPr="00415CA8">
              <w:rPr>
                <w:b/>
              </w:rPr>
              <w:t>2A</w:t>
            </w:r>
          </w:p>
        </w:tc>
        <w:tc>
          <w:tcPr>
            <w:tcW w:w="2127" w:type="dxa"/>
          </w:tcPr>
          <w:p w:rsidR="00415CA8" w:rsidRPr="00415CA8" w:rsidRDefault="00415CA8" w:rsidP="00081E84">
            <w:pPr>
              <w:spacing w:after="160"/>
              <w:jc w:val="center"/>
              <w:rPr>
                <w:b/>
              </w:rPr>
            </w:pPr>
            <w:r w:rsidRPr="00415CA8">
              <w:rPr>
                <w:b/>
              </w:rPr>
              <w:t>2B</w:t>
            </w:r>
          </w:p>
        </w:tc>
        <w:tc>
          <w:tcPr>
            <w:tcW w:w="2409" w:type="dxa"/>
          </w:tcPr>
          <w:p w:rsidR="00415CA8" w:rsidRPr="00415CA8" w:rsidRDefault="00415CA8" w:rsidP="00081E84">
            <w:pPr>
              <w:spacing w:after="160"/>
              <w:jc w:val="center"/>
              <w:rPr>
                <w:b/>
              </w:rPr>
            </w:pPr>
            <w:r w:rsidRPr="00415CA8">
              <w:rPr>
                <w:b/>
              </w:rPr>
              <w:t>2C</w:t>
            </w:r>
          </w:p>
        </w:tc>
      </w:tr>
      <w:tr w:rsidR="00415CA8" w:rsidRPr="00675687" w:rsidTr="00751A5F">
        <w:tc>
          <w:tcPr>
            <w:tcW w:w="1413" w:type="dxa"/>
          </w:tcPr>
          <w:p w:rsidR="00415CA8" w:rsidRPr="00415CA8" w:rsidRDefault="00415CA8" w:rsidP="00081E84">
            <w:pPr>
              <w:spacing w:after="160"/>
              <w:rPr>
                <w:b/>
              </w:rPr>
            </w:pPr>
            <w:r w:rsidRPr="00415CA8">
              <w:rPr>
                <w:b/>
              </w:rPr>
              <w:t>Symbol</w:t>
            </w:r>
          </w:p>
        </w:tc>
        <w:tc>
          <w:tcPr>
            <w:tcW w:w="1701" w:type="dxa"/>
          </w:tcPr>
          <w:p w:rsidR="00415CA8" w:rsidRPr="00415CA8" w:rsidRDefault="00415CA8" w:rsidP="00081E84">
            <w:pPr>
              <w:spacing w:after="160"/>
              <w:jc w:val="center"/>
            </w:pPr>
            <w:r w:rsidRPr="00415CA8">
              <w:t>Exploding bomb</w:t>
            </w:r>
          </w:p>
        </w:tc>
        <w:tc>
          <w:tcPr>
            <w:tcW w:w="1984" w:type="dxa"/>
          </w:tcPr>
          <w:p w:rsidR="00415CA8" w:rsidRPr="00415CA8" w:rsidRDefault="00415CA8" w:rsidP="00081E84">
            <w:pPr>
              <w:spacing w:after="160"/>
              <w:jc w:val="center"/>
            </w:pPr>
            <w:r w:rsidRPr="00415CA8">
              <w:t>Exploding bomb</w:t>
            </w:r>
          </w:p>
          <w:p w:rsidR="00415CA8" w:rsidRPr="00415CA8" w:rsidRDefault="00415CA8" w:rsidP="00081E84">
            <w:pPr>
              <w:spacing w:after="160"/>
              <w:jc w:val="center"/>
              <w:rPr>
                <w:b/>
                <w:i/>
                <w:u w:val="single"/>
              </w:rPr>
            </w:pPr>
            <w:r w:rsidRPr="00415CA8">
              <w:rPr>
                <w:b/>
                <w:i/>
                <w:u w:val="single"/>
              </w:rPr>
              <w:t>or</w:t>
            </w:r>
          </w:p>
          <w:p w:rsidR="00415CA8" w:rsidRPr="00415CA8" w:rsidRDefault="00415CA8" w:rsidP="00081E84">
            <w:pPr>
              <w:spacing w:after="160"/>
              <w:jc w:val="center"/>
            </w:pPr>
            <w:r w:rsidRPr="00415CA8">
              <w:t xml:space="preserve">1.4, 1.5 or 1.6 on orange background </w:t>
            </w:r>
            <w:r w:rsidRPr="00415CA8">
              <w:rPr>
                <w:vertAlign w:val="superscript"/>
              </w:rPr>
              <w:t>a</w:t>
            </w:r>
          </w:p>
        </w:tc>
        <w:tc>
          <w:tcPr>
            <w:tcW w:w="2127" w:type="dxa"/>
          </w:tcPr>
          <w:p w:rsidR="00415CA8" w:rsidRPr="00415CA8" w:rsidRDefault="00415CA8" w:rsidP="00081E84">
            <w:pPr>
              <w:spacing w:after="160"/>
              <w:jc w:val="center"/>
            </w:pPr>
            <w:r w:rsidRPr="00415CA8">
              <w:t>Exploding bomb</w:t>
            </w:r>
          </w:p>
          <w:p w:rsidR="00415CA8" w:rsidRPr="00415CA8" w:rsidRDefault="00415CA8" w:rsidP="00081E84">
            <w:pPr>
              <w:spacing w:after="160"/>
              <w:jc w:val="center"/>
              <w:rPr>
                <w:b/>
                <w:i/>
                <w:u w:val="single"/>
              </w:rPr>
            </w:pPr>
            <w:r w:rsidRPr="00415CA8">
              <w:rPr>
                <w:b/>
                <w:i/>
                <w:u w:val="single"/>
              </w:rPr>
              <w:t>or</w:t>
            </w:r>
          </w:p>
          <w:p w:rsidR="00415CA8" w:rsidRPr="00415CA8" w:rsidRDefault="00415CA8" w:rsidP="00081E84">
            <w:pPr>
              <w:spacing w:after="160"/>
              <w:jc w:val="center"/>
            </w:pPr>
            <w:r w:rsidRPr="00415CA8">
              <w:t xml:space="preserve">1.4 on orange background </w:t>
            </w:r>
            <w:r w:rsidRPr="00415CA8">
              <w:rPr>
                <w:vertAlign w:val="superscript"/>
              </w:rPr>
              <w:t>a</w:t>
            </w:r>
          </w:p>
        </w:tc>
        <w:tc>
          <w:tcPr>
            <w:tcW w:w="2409" w:type="dxa"/>
          </w:tcPr>
          <w:p w:rsidR="00415CA8" w:rsidRPr="00415CA8" w:rsidRDefault="00415CA8" w:rsidP="00081E84">
            <w:pPr>
              <w:spacing w:after="160"/>
              <w:jc w:val="center"/>
              <w:rPr>
                <w:i/>
              </w:rPr>
            </w:pPr>
            <w:r w:rsidRPr="00415CA8">
              <w:rPr>
                <w:i/>
              </w:rPr>
              <w:t>[TBD]</w:t>
            </w:r>
          </w:p>
          <w:p w:rsidR="00415CA8" w:rsidRPr="00415CA8" w:rsidRDefault="00415CA8" w:rsidP="00081E84">
            <w:pPr>
              <w:spacing w:after="160"/>
              <w:jc w:val="center"/>
              <w:rPr>
                <w:b/>
                <w:i/>
                <w:u w:val="single"/>
              </w:rPr>
            </w:pPr>
            <w:r w:rsidRPr="00415CA8">
              <w:rPr>
                <w:b/>
                <w:i/>
                <w:u w:val="single"/>
              </w:rPr>
              <w:t>or</w:t>
            </w:r>
          </w:p>
          <w:p w:rsidR="00415CA8" w:rsidRPr="00415CA8" w:rsidRDefault="00415CA8" w:rsidP="00081E84">
            <w:pPr>
              <w:spacing w:after="160"/>
              <w:jc w:val="center"/>
            </w:pPr>
            <w:r w:rsidRPr="00415CA8">
              <w:t xml:space="preserve">1.4 on orange background </w:t>
            </w:r>
            <w:r w:rsidRPr="00415CA8">
              <w:rPr>
                <w:vertAlign w:val="superscript"/>
              </w:rPr>
              <w:t>a</w:t>
            </w:r>
          </w:p>
        </w:tc>
      </w:tr>
      <w:tr w:rsidR="00415CA8" w:rsidRPr="00B82A25" w:rsidTr="00751A5F">
        <w:tc>
          <w:tcPr>
            <w:tcW w:w="1413" w:type="dxa"/>
          </w:tcPr>
          <w:p w:rsidR="00415CA8" w:rsidRPr="00415CA8" w:rsidRDefault="00415CA8" w:rsidP="00081E84">
            <w:pPr>
              <w:spacing w:after="160"/>
              <w:rPr>
                <w:b/>
              </w:rPr>
            </w:pPr>
            <w:r w:rsidRPr="00415CA8">
              <w:rPr>
                <w:b/>
              </w:rPr>
              <w:t>Signal word</w:t>
            </w:r>
          </w:p>
        </w:tc>
        <w:tc>
          <w:tcPr>
            <w:tcW w:w="1701" w:type="dxa"/>
          </w:tcPr>
          <w:p w:rsidR="00415CA8" w:rsidRPr="00415CA8" w:rsidRDefault="00415CA8" w:rsidP="00081E84">
            <w:pPr>
              <w:spacing w:after="160"/>
              <w:jc w:val="center"/>
            </w:pPr>
            <w:r w:rsidRPr="00415CA8">
              <w:t>Danger</w:t>
            </w:r>
          </w:p>
        </w:tc>
        <w:tc>
          <w:tcPr>
            <w:tcW w:w="1984" w:type="dxa"/>
          </w:tcPr>
          <w:p w:rsidR="00415CA8" w:rsidRPr="00415CA8" w:rsidRDefault="00415CA8" w:rsidP="00081E84">
            <w:pPr>
              <w:spacing w:after="160"/>
              <w:jc w:val="center"/>
            </w:pPr>
            <w:r w:rsidRPr="00415CA8">
              <w:t>Danger</w:t>
            </w:r>
          </w:p>
        </w:tc>
        <w:tc>
          <w:tcPr>
            <w:tcW w:w="2127" w:type="dxa"/>
          </w:tcPr>
          <w:p w:rsidR="00415CA8" w:rsidRPr="00415CA8" w:rsidRDefault="00415CA8" w:rsidP="00081E84">
            <w:pPr>
              <w:spacing w:after="160"/>
              <w:jc w:val="center"/>
            </w:pPr>
            <w:r w:rsidRPr="00415CA8">
              <w:t>Warning</w:t>
            </w:r>
          </w:p>
        </w:tc>
        <w:tc>
          <w:tcPr>
            <w:tcW w:w="2409" w:type="dxa"/>
          </w:tcPr>
          <w:p w:rsidR="00415CA8" w:rsidRPr="00415CA8" w:rsidRDefault="00415CA8" w:rsidP="00081E84">
            <w:pPr>
              <w:spacing w:after="160"/>
              <w:jc w:val="center"/>
            </w:pPr>
            <w:r w:rsidRPr="00415CA8">
              <w:t>Warning</w:t>
            </w:r>
          </w:p>
        </w:tc>
      </w:tr>
      <w:tr w:rsidR="00415CA8" w:rsidRPr="00B82A25" w:rsidTr="00751A5F">
        <w:tc>
          <w:tcPr>
            <w:tcW w:w="1413" w:type="dxa"/>
          </w:tcPr>
          <w:p w:rsidR="00415CA8" w:rsidRPr="00415CA8" w:rsidRDefault="00415CA8" w:rsidP="00081E84">
            <w:pPr>
              <w:spacing w:after="160"/>
              <w:rPr>
                <w:b/>
              </w:rPr>
            </w:pPr>
            <w:r w:rsidRPr="00415CA8">
              <w:rPr>
                <w:b/>
              </w:rPr>
              <w:t>Hazard statement</w:t>
            </w:r>
          </w:p>
        </w:tc>
        <w:tc>
          <w:tcPr>
            <w:tcW w:w="1701" w:type="dxa"/>
          </w:tcPr>
          <w:p w:rsidR="00415CA8" w:rsidRPr="00415CA8" w:rsidRDefault="00415CA8" w:rsidP="00081E84">
            <w:pPr>
              <w:spacing w:after="160"/>
              <w:jc w:val="center"/>
            </w:pPr>
            <w:r w:rsidRPr="00415CA8">
              <w:t>Explosive</w:t>
            </w:r>
          </w:p>
        </w:tc>
        <w:tc>
          <w:tcPr>
            <w:tcW w:w="1984" w:type="dxa"/>
          </w:tcPr>
          <w:p w:rsidR="00415CA8" w:rsidRPr="00415CA8" w:rsidRDefault="00415CA8" w:rsidP="00415CA8">
            <w:pPr>
              <w:spacing w:after="160"/>
              <w:jc w:val="center"/>
            </w:pPr>
            <w:r w:rsidRPr="00415CA8">
              <w:t>Explosive</w:t>
            </w:r>
          </w:p>
        </w:tc>
        <w:tc>
          <w:tcPr>
            <w:tcW w:w="2127" w:type="dxa"/>
          </w:tcPr>
          <w:p w:rsidR="00415CA8" w:rsidRPr="00415CA8" w:rsidRDefault="00415CA8" w:rsidP="00081E84">
            <w:pPr>
              <w:spacing w:after="160"/>
              <w:jc w:val="center"/>
            </w:pPr>
            <w:r w:rsidRPr="00415CA8">
              <w:t>[Fire or projection hazard]</w:t>
            </w:r>
          </w:p>
        </w:tc>
        <w:tc>
          <w:tcPr>
            <w:tcW w:w="2409" w:type="dxa"/>
          </w:tcPr>
          <w:p w:rsidR="00415CA8" w:rsidRPr="00415CA8" w:rsidRDefault="00415CA8" w:rsidP="00081E84">
            <w:pPr>
              <w:spacing w:after="160"/>
              <w:jc w:val="center"/>
              <w:rPr>
                <w:i/>
              </w:rPr>
            </w:pPr>
            <w:r w:rsidRPr="00415CA8">
              <w:rPr>
                <w:i/>
              </w:rPr>
              <w:t>[TBD]</w:t>
            </w:r>
          </w:p>
        </w:tc>
      </w:tr>
      <w:tr w:rsidR="00415CA8" w:rsidRPr="00675687" w:rsidTr="00751A5F">
        <w:trPr>
          <w:trHeight w:val="843"/>
        </w:trPr>
        <w:tc>
          <w:tcPr>
            <w:tcW w:w="1413" w:type="dxa"/>
          </w:tcPr>
          <w:p w:rsidR="00415CA8" w:rsidRPr="00415CA8" w:rsidRDefault="00415CA8" w:rsidP="00081E84">
            <w:pPr>
              <w:spacing w:after="160"/>
              <w:rPr>
                <w:b/>
              </w:rPr>
            </w:pPr>
            <w:r w:rsidRPr="00415CA8">
              <w:rPr>
                <w:b/>
              </w:rPr>
              <w:t>Additional hazard statement</w:t>
            </w:r>
          </w:p>
        </w:tc>
        <w:tc>
          <w:tcPr>
            <w:tcW w:w="1701" w:type="dxa"/>
          </w:tcPr>
          <w:p w:rsidR="00415CA8" w:rsidRPr="00415CA8" w:rsidRDefault="00415CA8" w:rsidP="00081E84">
            <w:pPr>
              <w:spacing w:after="160"/>
              <w:jc w:val="center"/>
            </w:pPr>
            <w:r w:rsidRPr="00415CA8">
              <w:t>Very sensitive*</w:t>
            </w:r>
          </w:p>
          <w:p w:rsidR="00415CA8" w:rsidRPr="00415CA8" w:rsidRDefault="00415CA8" w:rsidP="00081E84">
            <w:pPr>
              <w:spacing w:after="160"/>
              <w:jc w:val="center"/>
              <w:rPr>
                <w:b/>
                <w:i/>
                <w:u w:val="single"/>
              </w:rPr>
            </w:pPr>
            <w:r w:rsidRPr="00415CA8">
              <w:rPr>
                <w:b/>
                <w:i/>
                <w:u w:val="single"/>
              </w:rPr>
              <w:t>or</w:t>
            </w:r>
          </w:p>
          <w:p w:rsidR="00415CA8" w:rsidRPr="00415CA8" w:rsidRDefault="00415CA8" w:rsidP="00081E84">
            <w:pPr>
              <w:spacing w:after="160"/>
              <w:jc w:val="center"/>
            </w:pPr>
            <w:r w:rsidRPr="00415CA8">
              <w:t>May be sensitive**</w:t>
            </w:r>
          </w:p>
        </w:tc>
        <w:tc>
          <w:tcPr>
            <w:tcW w:w="1984" w:type="dxa"/>
          </w:tcPr>
          <w:p w:rsidR="00415CA8" w:rsidRPr="00415CA8" w:rsidRDefault="00415CA8" w:rsidP="00081E84">
            <w:pPr>
              <w:spacing w:after="160"/>
              <w:jc w:val="center"/>
              <w:rPr>
                <w:i/>
              </w:rPr>
            </w:pPr>
            <w:r w:rsidRPr="00415CA8">
              <w:rPr>
                <w:i/>
              </w:rPr>
              <w:t>Not applicable</w:t>
            </w:r>
          </w:p>
        </w:tc>
        <w:tc>
          <w:tcPr>
            <w:tcW w:w="2127" w:type="dxa"/>
          </w:tcPr>
          <w:p w:rsidR="00415CA8" w:rsidRPr="00415CA8" w:rsidRDefault="00415CA8" w:rsidP="00081E84">
            <w:pPr>
              <w:spacing w:after="160"/>
              <w:jc w:val="center"/>
            </w:pPr>
            <w:r w:rsidRPr="00415CA8">
              <w:rPr>
                <w:i/>
              </w:rPr>
              <w:t>Not applicable</w:t>
            </w:r>
          </w:p>
        </w:tc>
        <w:tc>
          <w:tcPr>
            <w:tcW w:w="2409" w:type="dxa"/>
          </w:tcPr>
          <w:p w:rsidR="00415CA8" w:rsidRPr="00415CA8" w:rsidRDefault="00415CA8" w:rsidP="00081E84">
            <w:pPr>
              <w:spacing w:after="160"/>
              <w:jc w:val="center"/>
            </w:pPr>
            <w:r w:rsidRPr="00415CA8">
              <w:rPr>
                <w:i/>
              </w:rPr>
              <w:t>Not applicable</w:t>
            </w:r>
          </w:p>
        </w:tc>
      </w:tr>
    </w:tbl>
    <w:p w:rsidR="00415CA8" w:rsidRDefault="00415CA8" w:rsidP="00415CA8"/>
    <w:p w:rsidR="00415CA8" w:rsidRPr="00415CA8" w:rsidRDefault="00415CA8" w:rsidP="00751A5F">
      <w:pPr>
        <w:spacing w:after="240"/>
        <w:rPr>
          <w:i/>
          <w:iCs/>
        </w:rPr>
      </w:pPr>
      <w:proofErr w:type="spellStart"/>
      <w:r w:rsidRPr="00415CA8">
        <w:rPr>
          <w:b/>
          <w:bCs/>
          <w:i/>
          <w:iCs/>
          <w:vertAlign w:val="superscript"/>
        </w:rPr>
        <w:t>a</w:t>
      </w:r>
      <w:proofErr w:type="spellEnd"/>
      <w:r w:rsidRPr="00415CA8">
        <w:rPr>
          <w:b/>
          <w:bCs/>
          <w:i/>
          <w:iCs/>
        </w:rPr>
        <w:t xml:space="preserve"> </w:t>
      </w:r>
      <w:r w:rsidRPr="00415CA8">
        <w:rPr>
          <w:i/>
          <w:iCs/>
        </w:rPr>
        <w:t>Applies to substances, mixtures and articles subject to some regulatory purposes (e.g. transport).</w:t>
      </w:r>
    </w:p>
    <w:p w:rsidR="00415CA8" w:rsidRPr="00B5529D" w:rsidRDefault="00415CA8" w:rsidP="00751A5F">
      <w:pPr>
        <w:spacing w:after="240"/>
        <w:jc w:val="both"/>
      </w:pPr>
      <w:r w:rsidRPr="00B5529D">
        <w:t>* To be assigned additionally to explosives that are sensitive to initiation as determined by test series 3 or 4 of the Manual of Tests and Criteria. May also be applied to explosives sensitive also to other stimuli, e.g. electrostatic discharge. The hazard statement and the additional hazard statement may be reversed to become "Very sensitive explosive".</w:t>
      </w:r>
    </w:p>
    <w:p w:rsidR="00415CA8" w:rsidRPr="00B5529D" w:rsidRDefault="00415CA8" w:rsidP="00751A5F">
      <w:pPr>
        <w:spacing w:after="240"/>
        <w:jc w:val="both"/>
      </w:pPr>
      <w:r w:rsidRPr="00B5529D">
        <w:t>** To be assigned additionally to explosives for which sufficient information on their sensitivity to initiation is not available.</w:t>
      </w:r>
    </w:p>
    <w:p w:rsidR="00415CA8" w:rsidRPr="00415CA8" w:rsidRDefault="00347864" w:rsidP="00751A5F">
      <w:pPr>
        <w:spacing w:after="240"/>
        <w:jc w:val="both"/>
        <w:rPr>
          <w:i/>
          <w:iCs/>
        </w:rPr>
      </w:pPr>
      <w:r>
        <w:rPr>
          <w:b/>
          <w:bCs/>
          <w:i/>
          <w:iCs/>
        </w:rPr>
        <w:t>NOTE</w:t>
      </w:r>
      <w:r w:rsidR="00415CA8" w:rsidRPr="00415CA8">
        <w:rPr>
          <w:b/>
          <w:bCs/>
          <w:i/>
          <w:iCs/>
        </w:rPr>
        <w:t xml:space="preserve">: </w:t>
      </w:r>
      <w:r w:rsidR="00415CA8" w:rsidRPr="00415CA8">
        <w:rPr>
          <w:i/>
          <w:iCs/>
        </w:rPr>
        <w:t>Substances and mixtures, as supplied, which are manufactured with the view of producing an explosive or pyrotechnic effect or which have a positive result in Test Series 2 of the Manual of Tests and Criteria, but are exempted from classification as explosives,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Sub-section 2.3 (Other hazard not leading to classification) and Section 9 (Physical and chemical properties) or 10 (Stability and reactivity) of the Safety Data Sheet in accordance with Table 1.5.2, and other sections of the Safety Data Sheet, as appropriate.</w:t>
      </w:r>
    </w:p>
    <w:p w:rsidR="00A218F3" w:rsidRPr="00A218F3" w:rsidRDefault="00A218F3" w:rsidP="00751A5F">
      <w:pPr>
        <w:spacing w:after="240" w:line="240" w:lineRule="auto"/>
        <w:rPr>
          <w:b/>
        </w:rPr>
      </w:pPr>
      <w:r w:rsidRPr="00A218F3">
        <w:rPr>
          <w:b/>
        </w:rPr>
        <w:t>2.1.4</w:t>
      </w:r>
      <w:r w:rsidRPr="00A218F3">
        <w:rPr>
          <w:b/>
        </w:rPr>
        <w:tab/>
      </w:r>
      <w:r w:rsidRPr="00A218F3">
        <w:rPr>
          <w:b/>
        </w:rPr>
        <w:tab/>
        <w:t>Decision logic and guidance</w:t>
      </w:r>
    </w:p>
    <w:p w:rsidR="00D90CAF" w:rsidRDefault="00D90CAF" w:rsidP="00751A5F">
      <w:pPr>
        <w:spacing w:after="240" w:line="240" w:lineRule="auto"/>
        <w:ind w:right="1134"/>
        <w:jc w:val="both"/>
      </w:pPr>
      <w:r w:rsidRPr="00B82A25">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A218F3" w:rsidRDefault="00F535EB" w:rsidP="00751A5F">
      <w:pPr>
        <w:keepNext/>
        <w:keepLines/>
        <w:spacing w:after="240" w:line="240" w:lineRule="auto"/>
      </w:pPr>
      <w:r>
        <w:lastRenderedPageBreak/>
        <w:t>2.1.4.1</w:t>
      </w:r>
      <w:r w:rsidR="00A218F3">
        <w:tab/>
      </w:r>
      <w:r w:rsidR="001617F5">
        <w:tab/>
      </w:r>
      <w:r w:rsidR="00A218F3">
        <w:t>Principles of explosives classification</w:t>
      </w:r>
    </w:p>
    <w:p w:rsidR="0088202D" w:rsidRDefault="00F535EB" w:rsidP="00751A5F">
      <w:pPr>
        <w:spacing w:after="240" w:line="240" w:lineRule="auto"/>
        <w:jc w:val="both"/>
      </w:pPr>
      <w:r>
        <w:t>2.1.4.1</w:t>
      </w:r>
      <w:r w:rsidR="0088202D">
        <w:t>.1</w:t>
      </w:r>
      <w:r w:rsidR="0088202D">
        <w:tab/>
      </w:r>
      <w:r w:rsidR="0088202D" w:rsidRPr="00B82A25">
        <w:t xml:space="preserve">The intrinsic property of an explosive substance or mixture is the potential to create an explosive effect. Explosives are unique in that while entry into the class is based </w:t>
      </w:r>
      <w:r w:rsidR="0088202D" w:rsidRPr="0088202D">
        <w:t xml:space="preserve">on this intrinsic property, </w:t>
      </w:r>
      <w:r w:rsidR="0088202D" w:rsidRPr="00B82A25">
        <w:t>further assignment to a division, category or sub-category is based on configuring of the explosive using packaging, and incorporation of substances and mixtures into explosives articles. The divisions are used for classification in the transport sector and normally the configuration is therefore that for transport. Requirements for packaging of explosives ensuring the effectiveness of the transport configuration reside in the Model Regulations.</w:t>
      </w:r>
    </w:p>
    <w:p w:rsidR="0088202D" w:rsidRDefault="00F535EB" w:rsidP="00751A5F">
      <w:pPr>
        <w:spacing w:after="240" w:line="240" w:lineRule="auto"/>
        <w:jc w:val="both"/>
      </w:pPr>
      <w:r>
        <w:t>2.1.4.1</w:t>
      </w:r>
      <w:r w:rsidR="0088202D" w:rsidRPr="00DF1EE3">
        <w:t>.2</w:t>
      </w:r>
      <w:r w:rsidR="0088202D" w:rsidRPr="00DF1EE3">
        <w:tab/>
        <w:t xml:space="preserve">Explosives are assigned a division empirically based on testing of specific configurations, which quantifies levels of blast, projections and fire. Formation of a configuration provides a level of protection from outside stimuli and fixes the sensitivity and hazard magnitude, which enables the assignment of a division. The divisions therefore describe the explosive behaviour in the particular </w:t>
      </w:r>
      <w:r w:rsidR="0088202D" w:rsidRPr="00CF6D3F">
        <w:t>configuration.</w:t>
      </w:r>
      <w:r w:rsidR="00D03D1B" w:rsidRPr="00CF6D3F">
        <w:t xml:space="preserve"> </w:t>
      </w:r>
      <w:r w:rsidR="007E5C9D" w:rsidRPr="00CF6D3F">
        <w:t xml:space="preserve">This includes any attenuating properties of the packaging and article, which may include spacing, or specific orientations of explosive articles to mitigate an explosive effect. </w:t>
      </w:r>
      <w:r w:rsidR="0088202D" w:rsidRPr="00CF6D3F">
        <w:t xml:space="preserve">Bridging of classifications without testing, called analogy, is narrowly limited using factors such as quantity, packaging and design of the explosive.  </w:t>
      </w:r>
    </w:p>
    <w:p w:rsidR="0088202D" w:rsidRPr="005A3FC4" w:rsidRDefault="00F535EB" w:rsidP="00751A5F">
      <w:pPr>
        <w:spacing w:after="240" w:line="240" w:lineRule="auto"/>
        <w:jc w:val="both"/>
      </w:pPr>
      <w:r>
        <w:t>2.1.4.1</w:t>
      </w:r>
      <w:r w:rsidR="0088202D">
        <w:t>.3</w:t>
      </w:r>
      <w:r w:rsidR="0088202D">
        <w:tab/>
      </w:r>
      <w:r w:rsidR="0088202D" w:rsidRPr="005A3FC4">
        <w:t>In addition to transport, the divisions are used as the basis for regulation and licensing of manufacturing, storage and supply. In these sectors, additional requirements often address quantities, confinement and packaging modifications not present in transport. The division level of classification is the appropriate level of classification under these conditions. The sub-category level of classification is intended to provide appropriate hazard communication for explosives at the level of the primary packaging. They assess whether or not the explosive behaviour described by the division is also valid outside of the configuration in which it was assigned, as removing layers of packaging may result in an increased hazard.</w:t>
      </w:r>
    </w:p>
    <w:p w:rsidR="0088202D" w:rsidRDefault="00F535EB" w:rsidP="00751A5F">
      <w:pPr>
        <w:spacing w:after="240" w:line="240" w:lineRule="auto"/>
        <w:jc w:val="both"/>
      </w:pPr>
      <w:r>
        <w:t>2.1.4.1</w:t>
      </w:r>
      <w:r w:rsidR="0088202D">
        <w:t>.4</w:t>
      </w:r>
      <w:r w:rsidR="0088202D">
        <w:tab/>
      </w:r>
      <w:r w:rsidR="0088202D" w:rsidRPr="00B82A25">
        <w:t>Classification into the sub-categories within Category 2 extends the division to properly classify the explosive in its primary packaging, which is intended to be retained until use. The primary packaging is normally the immediate or innermost layer and may include attenuating properties which mitigate hazardous effects. However, flexible inner packaging such as a thin-wall plastic bag or other unsubstantial material which provides negligible attenuation of explosive effects should not be considered the primary packaging. Once the primary packaging is removed for use, the explosive may present a greater blast, projection or fire hazard, unless it is a packaging-independent explosive article. Retaining the primary packaging until final use and limiting the amount of unpackaged material are therefore generally important safety measures when handling explosives.</w:t>
      </w:r>
    </w:p>
    <w:p w:rsidR="0088202D" w:rsidRDefault="0088202D" w:rsidP="00751A5F">
      <w:pPr>
        <w:spacing w:after="240" w:line="240" w:lineRule="auto"/>
        <w:jc w:val="both"/>
      </w:pPr>
      <w:r>
        <w:t>2.1.</w:t>
      </w:r>
      <w:r w:rsidR="00F535EB">
        <w:t>4.1</w:t>
      </w:r>
      <w:r>
        <w:t>.5</w:t>
      </w:r>
      <w:r>
        <w:tab/>
      </w:r>
      <w:r w:rsidRPr="00181AD2">
        <w:t xml:space="preserve">Explosives in manufacturing and processing </w:t>
      </w:r>
      <w:proofErr w:type="spellStart"/>
      <w:r w:rsidRPr="00181AD2">
        <w:t>can not</w:t>
      </w:r>
      <w:proofErr w:type="spellEnd"/>
      <w:r w:rsidRPr="00181AD2">
        <w:t xml:space="preserve"> be assigned a division until configured for transport, and hence are referred to Category 1. This also applies to explosives assigned to Category 2 when supplied but taken out of the primary packaging for re-manufacturing. The sensitivity and hazard severity of explosives in manufacturing and processing is dependent on non-intrinsic parameters including quantity, confinement, initiation stimulus, composition, physical state such as particle size, etc. The hazardous properties of explosives in Category 1 thus vary extensively and may also vary dynamically. Explosives assigned to Category 1 do not necessarily represent a higher hazard than those in Category 2, as Category 1 comprises all explosives not assigned to a division. For this reason, the hazard communication for Category 1 cannot provide any details as regards the explosive behaviour. Process hazards analysis and risk management principles should be applied in manufacturing to identify and manage the risk of processes in accordance with best practices and applicable regulations.</w:t>
      </w:r>
    </w:p>
    <w:p w:rsidR="0088202D" w:rsidRDefault="00F535EB" w:rsidP="00751A5F">
      <w:pPr>
        <w:spacing w:after="240" w:line="240" w:lineRule="auto"/>
        <w:jc w:val="both"/>
      </w:pPr>
      <w:r>
        <w:t>2.1.4.1</w:t>
      </w:r>
      <w:r w:rsidR="0088202D">
        <w:t>.6</w:t>
      </w:r>
      <w:r w:rsidR="0088202D">
        <w:tab/>
      </w:r>
      <w:r w:rsidR="0088202D" w:rsidRPr="00B82A25">
        <w:t xml:space="preserve">Category 1 also contains explosives that fail Test series 3 or 4 as configured, having an unacceptable level of sensitivity to stimuli encountered during transport. </w:t>
      </w:r>
      <w:r w:rsidR="0088202D" w:rsidRPr="00CF6D3F">
        <w:t xml:space="preserve">These tests and their thresholds </w:t>
      </w:r>
      <w:r w:rsidR="004057CC" w:rsidRPr="00CF6D3F">
        <w:t>may</w:t>
      </w:r>
      <w:r w:rsidR="0088202D" w:rsidRPr="00CF6D3F">
        <w:t xml:space="preserve"> not </w:t>
      </w:r>
      <w:r w:rsidR="004057CC" w:rsidRPr="00CF6D3F">
        <w:t xml:space="preserve">be </w:t>
      </w:r>
      <w:r w:rsidR="0088202D" w:rsidRPr="00CF6D3F">
        <w:t xml:space="preserve">representative of the </w:t>
      </w:r>
      <w:r w:rsidR="008E2B9C" w:rsidRPr="00CF6D3F">
        <w:t xml:space="preserve">energy </w:t>
      </w:r>
      <w:r w:rsidR="0088202D" w:rsidRPr="00CF6D3F">
        <w:t>levels that may be encountered in processing and manufacturing</w:t>
      </w:r>
      <w:r w:rsidR="008E2B9C" w:rsidRPr="00CF6D3F">
        <w:t>.</w:t>
      </w:r>
      <w:r w:rsidR="0088202D" w:rsidRPr="00CF6D3F">
        <w:t xml:space="preserve"> </w:t>
      </w:r>
      <w:r w:rsidR="008E2B9C" w:rsidRPr="00CF6D3F">
        <w:t>Furthermore</w:t>
      </w:r>
      <w:r w:rsidR="0088202D" w:rsidRPr="00CF6D3F">
        <w:t>, these tests do not include</w:t>
      </w:r>
      <w:r w:rsidR="008E2B9C" w:rsidRPr="00CF6D3F">
        <w:t xml:space="preserve"> all types of stimuli that may be encountered, such as</w:t>
      </w:r>
      <w:r w:rsidR="0088202D" w:rsidRPr="00CF6D3F">
        <w:t xml:space="preserve"> electrostatic discharge. Further</w:t>
      </w:r>
      <w:r w:rsidR="0088202D" w:rsidRPr="00B82A25">
        <w:t xml:space="preserve"> investigations of the explosive properties and appropriate risk assessments are needed to ensu</w:t>
      </w:r>
      <w:r w:rsidR="0088202D">
        <w:t>re safe operations and handling.</w:t>
      </w:r>
    </w:p>
    <w:p w:rsidR="00F535EB" w:rsidRDefault="00F535EB" w:rsidP="00751A5F">
      <w:pPr>
        <w:spacing w:after="240" w:line="240" w:lineRule="auto"/>
        <w:jc w:val="both"/>
      </w:pPr>
      <w:r>
        <w:t>2.1.4.2</w:t>
      </w:r>
      <w:r>
        <w:tab/>
      </w:r>
      <w:r>
        <w:tab/>
        <w:t>Description of hazard levels</w:t>
      </w:r>
    </w:p>
    <w:p w:rsidR="00F535EB" w:rsidRDefault="00F535EB" w:rsidP="00751A5F">
      <w:pPr>
        <w:spacing w:after="240" w:line="240" w:lineRule="auto"/>
        <w:jc w:val="both"/>
      </w:pPr>
      <w:r>
        <w:t>2.1.4.2.1</w:t>
      </w:r>
      <w:r>
        <w:tab/>
      </w:r>
      <w:r w:rsidRPr="00B82A25">
        <w:t>Sub-category 2A represents a high explosion hazard. The uncontrolled functioning of an explosive in this sub-category would, in most cases, cause complete destruction of objects and lethal or very severe injuries to persons in the vicinity.</w:t>
      </w:r>
    </w:p>
    <w:p w:rsidR="00F535EB" w:rsidRDefault="00F535EB" w:rsidP="00751A5F">
      <w:pPr>
        <w:spacing w:after="240" w:line="240" w:lineRule="auto"/>
        <w:jc w:val="both"/>
      </w:pPr>
      <w:r>
        <w:t>2.1.4.2.2</w:t>
      </w:r>
      <w:r>
        <w:tab/>
      </w:r>
      <w:r w:rsidRPr="00B82A25">
        <w:t>Sub-category 2B represents a medium explosion hazard. The uncontrolled functioning of an explosive in this sub-category can cause serious damage to objects and to persons in the vicinity. Injuries may result in permanent impairment.</w:t>
      </w:r>
    </w:p>
    <w:p w:rsidR="00F535EB" w:rsidRDefault="00F535EB" w:rsidP="00751A5F">
      <w:pPr>
        <w:spacing w:after="240" w:line="240" w:lineRule="auto"/>
        <w:jc w:val="both"/>
      </w:pPr>
      <w:r>
        <w:lastRenderedPageBreak/>
        <w:t>2.1.4.2.3</w:t>
      </w:r>
      <w:r>
        <w:tab/>
      </w:r>
      <w:r w:rsidRPr="00B82A25">
        <w:t>Sub-category 2C represents a low explosion hazard. The uncontrolled functioning of an explosive in this sub-category can cause minor damage to objects and moderate injuries to persons in the vicinity. Injuries would not normally result in permanent impairment, though more serious injuries may occur under unfavourable conditions.</w:t>
      </w:r>
    </w:p>
    <w:p w:rsidR="00F535EB" w:rsidRDefault="00937CF4" w:rsidP="00751A5F">
      <w:pPr>
        <w:spacing w:after="240" w:line="240" w:lineRule="auto"/>
        <w:jc w:val="both"/>
      </w:pPr>
      <w:r>
        <w:t>2.1.4.3</w:t>
      </w:r>
      <w:r w:rsidR="00666A13">
        <w:tab/>
      </w:r>
      <w:r w:rsidR="00666A13">
        <w:tab/>
        <w:t>Decision logic</w:t>
      </w:r>
    </w:p>
    <w:p w:rsidR="00A218F3" w:rsidRDefault="00136DED" w:rsidP="00751A5F">
      <w:pPr>
        <w:spacing w:after="240" w:line="240" w:lineRule="auto"/>
        <w:jc w:val="both"/>
      </w:pPr>
      <w:r>
        <w:t xml:space="preserve">The classification of substance, mixtures and articles in the class of explosives and further allocation to a category, division and sub-category is a very complex procedure, and reference to Part 1 of the </w:t>
      </w:r>
      <w:r w:rsidRPr="00136DED">
        <w:rPr>
          <w:i/>
        </w:rPr>
        <w:t>Manual of Tests and Criteria</w:t>
      </w:r>
      <w:r>
        <w:t xml:space="preserve"> is necessary. The first step is to ascertain whether a substance, mixture or article is in the class of explosives, and if so to which category it is assigned (see Figure 2.1.1). For explosives in Category</w:t>
      </w:r>
      <w:r w:rsidR="00751A5F">
        <w:t> </w:t>
      </w:r>
      <w:r>
        <w:t>2, the next step is to assign one of the three sub-categories (see Figure 2.1.2).</w:t>
      </w:r>
    </w:p>
    <w:p w:rsidR="00044A47" w:rsidRDefault="00A218F3">
      <w:pPr>
        <w:suppressAutoHyphens w:val="0"/>
        <w:spacing w:line="240" w:lineRule="auto"/>
        <w:rPr>
          <w:b/>
        </w:rPr>
      </w:pPr>
      <w:r>
        <w:rPr>
          <w:b/>
        </w:rPr>
        <w:br w:type="page"/>
      </w:r>
    </w:p>
    <w:p w:rsidR="00044A47" w:rsidRDefault="001E312B" w:rsidP="001D6E2F">
      <w:pPr>
        <w:suppressAutoHyphens w:val="0"/>
        <w:spacing w:line="240" w:lineRule="auto"/>
        <w:ind w:left="1701" w:right="1134" w:hanging="1701"/>
        <w:rPr>
          <w:b/>
        </w:rPr>
      </w:pPr>
      <w:r>
        <w:rPr>
          <w:b/>
        </w:rPr>
        <w:lastRenderedPageBreak/>
        <w:t xml:space="preserve">Figure 2.1.1: </w:t>
      </w:r>
      <w:r>
        <w:rPr>
          <w:b/>
        </w:rPr>
        <w:tab/>
      </w:r>
      <w:r>
        <w:rPr>
          <w:b/>
        </w:rPr>
        <w:tab/>
        <w:t>Procedure</w:t>
      </w:r>
      <w:r w:rsidR="00044A47">
        <w:rPr>
          <w:b/>
        </w:rPr>
        <w:t xml:space="preserve"> for deciding whether a substance, mixture or article is </w:t>
      </w:r>
      <w:r>
        <w:rPr>
          <w:b/>
        </w:rPr>
        <w:t xml:space="preserve">in the class of </w:t>
      </w:r>
      <w:r w:rsidR="00044A47">
        <w:rPr>
          <w:b/>
        </w:rPr>
        <w:t>explosive</w:t>
      </w:r>
      <w:r>
        <w:rPr>
          <w:b/>
        </w:rPr>
        <w:t>s, and for assig</w:t>
      </w:r>
      <w:r w:rsidR="00581125">
        <w:rPr>
          <w:b/>
        </w:rPr>
        <w:t>nment</w:t>
      </w:r>
      <w:r w:rsidR="00044A47">
        <w:rPr>
          <w:b/>
        </w:rPr>
        <w:t xml:space="preserve"> </w:t>
      </w:r>
      <w:r>
        <w:rPr>
          <w:b/>
        </w:rPr>
        <w:t xml:space="preserve">to </w:t>
      </w:r>
      <w:r w:rsidR="00044A47">
        <w:rPr>
          <w:b/>
        </w:rPr>
        <w:t>Category 1 or 2</w:t>
      </w:r>
    </w:p>
    <w:p w:rsidR="00405216" w:rsidRDefault="00405216" w:rsidP="001E312B">
      <w:pPr>
        <w:suppressAutoHyphens w:val="0"/>
        <w:spacing w:line="240" w:lineRule="auto"/>
        <w:ind w:left="1701" w:hanging="1701"/>
        <w:rPr>
          <w:b/>
        </w:rPr>
      </w:pPr>
    </w:p>
    <w:p w:rsidR="00A218F3" w:rsidRDefault="008A399E" w:rsidP="00405216">
      <w:pPr>
        <w:suppressAutoHyphens w:val="0"/>
        <w:spacing w:line="240" w:lineRule="auto"/>
        <w:jc w:val="center"/>
        <w:rPr>
          <w:b/>
        </w:rPr>
      </w:pPr>
      <w:r>
        <w:rPr>
          <w:b/>
          <w:noProof/>
          <w:lang w:val="sv-SE" w:eastAsia="sv-SE"/>
        </w:rPr>
        <w:drawing>
          <wp:inline distT="0" distB="0" distL="0" distR="0" wp14:anchorId="7DD1517F">
            <wp:extent cx="5835150" cy="7569062"/>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098" cy="7572886"/>
                    </a:xfrm>
                    <a:prstGeom prst="rect">
                      <a:avLst/>
                    </a:prstGeom>
                    <a:noFill/>
                  </pic:spPr>
                </pic:pic>
              </a:graphicData>
            </a:graphic>
          </wp:inline>
        </w:drawing>
      </w:r>
    </w:p>
    <w:p w:rsidR="00581125" w:rsidRDefault="00581125" w:rsidP="00581125">
      <w:pPr>
        <w:suppressAutoHyphens w:val="0"/>
        <w:spacing w:line="240" w:lineRule="auto"/>
        <w:jc w:val="center"/>
        <w:rPr>
          <w:b/>
        </w:rPr>
      </w:pPr>
    </w:p>
    <w:p w:rsidR="00DC459A" w:rsidRDefault="00DC459A">
      <w:pPr>
        <w:suppressAutoHyphens w:val="0"/>
        <w:spacing w:line="240" w:lineRule="auto"/>
        <w:rPr>
          <w:b/>
        </w:rPr>
      </w:pPr>
      <w:r>
        <w:rPr>
          <w:b/>
        </w:rPr>
        <w:br w:type="page"/>
      </w:r>
    </w:p>
    <w:p w:rsidR="00044A47" w:rsidRDefault="00044A47" w:rsidP="00DC459A">
      <w:pPr>
        <w:keepNext/>
        <w:keepLines/>
        <w:suppressAutoHyphens w:val="0"/>
        <w:spacing w:line="240" w:lineRule="auto"/>
        <w:jc w:val="center"/>
        <w:rPr>
          <w:b/>
        </w:rPr>
      </w:pPr>
      <w:r>
        <w:rPr>
          <w:b/>
        </w:rPr>
        <w:lastRenderedPageBreak/>
        <w:t>Figure 2.1</w:t>
      </w:r>
      <w:r w:rsidR="001E312B">
        <w:rPr>
          <w:b/>
        </w:rPr>
        <w:t xml:space="preserve">.2: </w:t>
      </w:r>
      <w:r w:rsidR="001E312B">
        <w:rPr>
          <w:b/>
        </w:rPr>
        <w:tab/>
        <w:t xml:space="preserve">Procedure for </w:t>
      </w:r>
      <w:r>
        <w:rPr>
          <w:b/>
        </w:rPr>
        <w:t>assign</w:t>
      </w:r>
      <w:r w:rsidR="001E312B">
        <w:rPr>
          <w:b/>
        </w:rPr>
        <w:t>ment of</w:t>
      </w:r>
      <w:r>
        <w:rPr>
          <w:b/>
        </w:rPr>
        <w:t xml:space="preserve"> a sub-category to explosives in Category 2</w:t>
      </w:r>
    </w:p>
    <w:p w:rsidR="00044A47" w:rsidRDefault="00044A47">
      <w:pPr>
        <w:suppressAutoHyphens w:val="0"/>
        <w:spacing w:line="240" w:lineRule="auto"/>
        <w:rPr>
          <w:b/>
        </w:rPr>
      </w:pPr>
    </w:p>
    <w:p w:rsidR="00044A47" w:rsidRDefault="00044A47">
      <w:pPr>
        <w:suppressAutoHyphens w:val="0"/>
        <w:spacing w:line="240" w:lineRule="auto"/>
        <w:rPr>
          <w:b/>
        </w:rPr>
      </w:pPr>
    </w:p>
    <w:p w:rsidR="00044A47" w:rsidRDefault="00044A47" w:rsidP="00044A47">
      <w:pPr>
        <w:suppressAutoHyphens w:val="0"/>
        <w:spacing w:line="240" w:lineRule="auto"/>
        <w:jc w:val="center"/>
        <w:rPr>
          <w:b/>
        </w:rPr>
      </w:pPr>
      <w:r>
        <w:rPr>
          <w:b/>
          <w:noProof/>
          <w:lang w:val="sv-SE" w:eastAsia="sv-SE"/>
        </w:rPr>
        <w:drawing>
          <wp:inline distT="0" distB="0" distL="0" distR="0" wp14:anchorId="7C11D108">
            <wp:extent cx="4568497" cy="5732890"/>
            <wp:effectExtent l="0" t="0" r="381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203" cy="5752599"/>
                    </a:xfrm>
                    <a:prstGeom prst="rect">
                      <a:avLst/>
                    </a:prstGeom>
                    <a:noFill/>
                  </pic:spPr>
                </pic:pic>
              </a:graphicData>
            </a:graphic>
          </wp:inline>
        </w:drawing>
      </w:r>
    </w:p>
    <w:p w:rsidR="00044A47" w:rsidRDefault="00044A47">
      <w:pPr>
        <w:suppressAutoHyphens w:val="0"/>
        <w:spacing w:line="240" w:lineRule="auto"/>
        <w:rPr>
          <w:b/>
          <w:sz w:val="24"/>
        </w:rPr>
      </w:pPr>
      <w:r>
        <w:rPr>
          <w:b/>
          <w:sz w:val="24"/>
        </w:rPr>
        <w:br w:type="page"/>
      </w:r>
    </w:p>
    <w:p w:rsidR="00FC3EF3" w:rsidRPr="00FC3EF3" w:rsidRDefault="00353524" w:rsidP="00FC3EF3">
      <w:pPr>
        <w:pStyle w:val="HChG"/>
        <w:rPr>
          <w:lang w:val="fr-CH"/>
        </w:rPr>
      </w:pPr>
      <w:r w:rsidRPr="00DF38F3">
        <w:lastRenderedPageBreak/>
        <w:t xml:space="preserve">Annex </w:t>
      </w:r>
      <w:r w:rsidR="00FC3EF3">
        <w:rPr>
          <w:lang w:val="fr-CH"/>
        </w:rPr>
        <w:t>II</w:t>
      </w:r>
    </w:p>
    <w:p w:rsidR="00353524" w:rsidRPr="00DF38F3" w:rsidRDefault="00DF38F3" w:rsidP="00DC459A">
      <w:pPr>
        <w:pStyle w:val="HChG"/>
        <w:spacing w:after="0"/>
        <w:ind w:left="0" w:firstLine="0"/>
      </w:pPr>
      <w:r>
        <w:t xml:space="preserve">Main changes of </w:t>
      </w:r>
      <w:r w:rsidR="004E75D6">
        <w:t xml:space="preserve">the draft </w:t>
      </w:r>
      <w:r>
        <w:t xml:space="preserve">new Chapter 2.1 </w:t>
      </w:r>
      <w:r w:rsidR="004E75D6">
        <w:t xml:space="preserve">(as in annex </w:t>
      </w:r>
      <w:r w:rsidR="00D76C68">
        <w:rPr>
          <w:lang w:val="fr-CH"/>
        </w:rPr>
        <w:t>I</w:t>
      </w:r>
      <w:r w:rsidR="004E75D6">
        <w:t xml:space="preserve">) </w:t>
      </w:r>
      <w:r>
        <w:t>as compared to</w:t>
      </w:r>
      <w:r w:rsidR="004E75D6">
        <w:t xml:space="preserve"> the</w:t>
      </w:r>
      <w:r>
        <w:t xml:space="preserve"> current Chapter 2.1</w:t>
      </w:r>
    </w:p>
    <w:p w:rsidR="00353524" w:rsidRPr="00551DC2" w:rsidRDefault="00353524" w:rsidP="0086013A"/>
    <w:tbl>
      <w:tblPr>
        <w:tblStyle w:val="TableGrid"/>
        <w:tblW w:w="0" w:type="auto"/>
        <w:tblCellMar>
          <w:top w:w="57" w:type="dxa"/>
          <w:left w:w="57" w:type="dxa"/>
          <w:bottom w:w="57" w:type="dxa"/>
          <w:right w:w="57" w:type="dxa"/>
        </w:tblCellMar>
        <w:tblLook w:val="04A0" w:firstRow="1" w:lastRow="0" w:firstColumn="1" w:lastColumn="0" w:noHBand="0" w:noVBand="1"/>
      </w:tblPr>
      <w:tblGrid>
        <w:gridCol w:w="1413"/>
        <w:gridCol w:w="1701"/>
        <w:gridCol w:w="6515"/>
      </w:tblGrid>
      <w:tr w:rsidR="00353524" w:rsidRPr="00353524" w:rsidTr="004E75D6">
        <w:tc>
          <w:tcPr>
            <w:tcW w:w="1413" w:type="dxa"/>
          </w:tcPr>
          <w:p w:rsidR="00353524" w:rsidRPr="00551DC2" w:rsidRDefault="004E75D6" w:rsidP="0086013A">
            <w:pPr>
              <w:rPr>
                <w:b/>
              </w:rPr>
            </w:pPr>
            <w:r>
              <w:rPr>
                <w:b/>
              </w:rPr>
              <w:t>Section in new C</w:t>
            </w:r>
            <w:r w:rsidR="00353524" w:rsidRPr="00551DC2">
              <w:rPr>
                <w:b/>
              </w:rPr>
              <w:t>hapter</w:t>
            </w:r>
            <w:r>
              <w:rPr>
                <w:b/>
              </w:rPr>
              <w:t xml:space="preserve"> 2.1</w:t>
            </w:r>
          </w:p>
        </w:tc>
        <w:tc>
          <w:tcPr>
            <w:tcW w:w="1701" w:type="dxa"/>
          </w:tcPr>
          <w:p w:rsidR="00353524" w:rsidRPr="00353524" w:rsidRDefault="00353524" w:rsidP="004E75D6">
            <w:pPr>
              <w:rPr>
                <w:b/>
              </w:rPr>
            </w:pPr>
            <w:r w:rsidRPr="00353524">
              <w:rPr>
                <w:b/>
              </w:rPr>
              <w:t xml:space="preserve">Corresponding section in current </w:t>
            </w:r>
            <w:r w:rsidR="004E75D6">
              <w:rPr>
                <w:b/>
              </w:rPr>
              <w:t>C</w:t>
            </w:r>
            <w:r w:rsidRPr="00353524">
              <w:rPr>
                <w:b/>
              </w:rPr>
              <w:t>hapter</w:t>
            </w:r>
            <w:r w:rsidR="004E75D6">
              <w:rPr>
                <w:b/>
              </w:rPr>
              <w:t xml:space="preserve"> 2.1</w:t>
            </w:r>
          </w:p>
        </w:tc>
        <w:tc>
          <w:tcPr>
            <w:tcW w:w="6515" w:type="dxa"/>
          </w:tcPr>
          <w:p w:rsidR="00353524" w:rsidRPr="00353524" w:rsidRDefault="00353524" w:rsidP="0086013A">
            <w:pPr>
              <w:rPr>
                <w:b/>
              </w:rPr>
            </w:pPr>
            <w:r w:rsidRPr="00353524">
              <w:rPr>
                <w:b/>
              </w:rPr>
              <w:t>Main changes</w:t>
            </w:r>
          </w:p>
        </w:tc>
      </w:tr>
      <w:tr w:rsidR="00353524" w:rsidRPr="00353524" w:rsidTr="004E75D6">
        <w:tc>
          <w:tcPr>
            <w:tcW w:w="1413" w:type="dxa"/>
          </w:tcPr>
          <w:p w:rsidR="00353524" w:rsidRPr="00353524" w:rsidRDefault="00327D87" w:rsidP="0086013A">
            <w:r>
              <w:t>2.1.1.1</w:t>
            </w:r>
          </w:p>
        </w:tc>
        <w:tc>
          <w:tcPr>
            <w:tcW w:w="1701" w:type="dxa"/>
          </w:tcPr>
          <w:p w:rsidR="00353524" w:rsidRPr="00353524" w:rsidRDefault="00327D87" w:rsidP="0086013A">
            <w:r>
              <w:t>2.1.1.1</w:t>
            </w:r>
          </w:p>
        </w:tc>
        <w:tc>
          <w:tcPr>
            <w:tcW w:w="6515" w:type="dxa"/>
          </w:tcPr>
          <w:p w:rsidR="00327D87" w:rsidRDefault="00327D87" w:rsidP="0086013A">
            <w:r>
              <w:t>Definition of “pyrotechnic article” deleted</w:t>
            </w:r>
            <w:r w:rsidR="00245C88">
              <w:t xml:space="preserve"> as it is obsolete</w:t>
            </w:r>
            <w:r w:rsidR="002B4C40">
              <w:t xml:space="preserve"> and does not occur in the corresponding parts of the UN Model Regulations or the Manual of Tests and Criteria</w:t>
            </w:r>
            <w:r>
              <w:t>.</w:t>
            </w:r>
            <w:r w:rsidR="00597BED">
              <w:br/>
            </w:r>
          </w:p>
          <w:p w:rsidR="00353524" w:rsidRPr="00353524" w:rsidRDefault="002B4C40" w:rsidP="002B4C40">
            <w:r>
              <w:t>D</w:t>
            </w:r>
            <w:r w:rsidR="00327D87">
              <w:t xml:space="preserve">efinition of “primary packaging” </w:t>
            </w:r>
            <w:r>
              <w:t>introduced</w:t>
            </w:r>
            <w:r w:rsidR="00245C88">
              <w:t xml:space="preserve"> as it is needed</w:t>
            </w:r>
            <w:r>
              <w:t xml:space="preserve"> for applying the</w:t>
            </w:r>
            <w:r w:rsidR="00AF5B74">
              <w:t xml:space="preserve"> criteria</w:t>
            </w:r>
            <w:r w:rsidR="00327D87">
              <w:t>.</w:t>
            </w:r>
          </w:p>
        </w:tc>
      </w:tr>
      <w:tr w:rsidR="00353524" w:rsidRPr="00353524" w:rsidTr="004E75D6">
        <w:tc>
          <w:tcPr>
            <w:tcW w:w="1413" w:type="dxa"/>
          </w:tcPr>
          <w:p w:rsidR="00353524" w:rsidRPr="00353524" w:rsidRDefault="00327D87" w:rsidP="0086013A">
            <w:r>
              <w:t>2.1.1.2</w:t>
            </w:r>
          </w:p>
        </w:tc>
        <w:tc>
          <w:tcPr>
            <w:tcW w:w="1701" w:type="dxa"/>
          </w:tcPr>
          <w:p w:rsidR="00353524" w:rsidRPr="00353524" w:rsidRDefault="00327D87" w:rsidP="0086013A">
            <w:r>
              <w:t>2.1.1.2</w:t>
            </w:r>
          </w:p>
        </w:tc>
        <w:tc>
          <w:tcPr>
            <w:tcW w:w="6515" w:type="dxa"/>
          </w:tcPr>
          <w:p w:rsidR="00353524" w:rsidRDefault="00327D87" w:rsidP="0086013A">
            <w:r>
              <w:t xml:space="preserve">Exclusions </w:t>
            </w:r>
            <w:r w:rsidR="002B4C40">
              <w:t>listed</w:t>
            </w:r>
            <w:r>
              <w:t xml:space="preserve"> in sub-section 2.1.1.2.2</w:t>
            </w:r>
            <w:r w:rsidR="00245C88">
              <w:t xml:space="preserve"> </w:t>
            </w:r>
            <w:r w:rsidR="00862293">
              <w:t>to</w:t>
            </w:r>
            <w:r w:rsidR="00245C88">
              <w:t xml:space="preserve"> clarify the scope</w:t>
            </w:r>
            <w:r w:rsidR="002B4C40">
              <w:t xml:space="preserve"> of the hazard class</w:t>
            </w:r>
            <w:r w:rsidR="00245C88">
              <w:t>, which is intended to be the same as the current scope in practice.</w:t>
            </w:r>
            <w:r w:rsidR="00597BED">
              <w:br/>
            </w:r>
          </w:p>
          <w:p w:rsidR="00245C88" w:rsidRPr="00353524" w:rsidRDefault="002B4C40" w:rsidP="00B15AB1">
            <w:r>
              <w:t xml:space="preserve">Exemption </w:t>
            </w:r>
            <w:r w:rsidR="00245C88">
              <w:t>for substances in the R&amp;D phase</w:t>
            </w:r>
            <w:r>
              <w:t xml:space="preserve"> placed</w:t>
            </w:r>
            <w:r w:rsidR="00245C88">
              <w:t xml:space="preserve"> in a note</w:t>
            </w:r>
            <w:r w:rsidR="00B15AB1">
              <w:t>.</w:t>
            </w:r>
            <w:r w:rsidR="00964B8C">
              <w:rPr>
                <w:rStyle w:val="FootnoteReference"/>
              </w:rPr>
              <w:footnoteReference w:id="7"/>
            </w:r>
            <w:r w:rsidR="00B15AB1">
              <w:t xml:space="preserve"> Note that the amount to which this exclusion can be applied is indicated as “XX” as it still needs to be discussed and determined.</w:t>
            </w:r>
          </w:p>
        </w:tc>
      </w:tr>
      <w:tr w:rsidR="00353524" w:rsidRPr="00353524" w:rsidTr="004E75D6">
        <w:tc>
          <w:tcPr>
            <w:tcW w:w="1413" w:type="dxa"/>
          </w:tcPr>
          <w:p w:rsidR="00353524" w:rsidRPr="00353524" w:rsidRDefault="00245C88" w:rsidP="0086013A">
            <w:r>
              <w:t>2.1.1.3</w:t>
            </w:r>
          </w:p>
        </w:tc>
        <w:tc>
          <w:tcPr>
            <w:tcW w:w="1701" w:type="dxa"/>
          </w:tcPr>
          <w:p w:rsidR="00353524" w:rsidRPr="00353524" w:rsidRDefault="00245C88" w:rsidP="0086013A">
            <w:r>
              <w:t>None</w:t>
            </w:r>
          </w:p>
        </w:tc>
        <w:tc>
          <w:tcPr>
            <w:tcW w:w="6515" w:type="dxa"/>
          </w:tcPr>
          <w:p w:rsidR="00353524" w:rsidRPr="00353524" w:rsidRDefault="002B4C40" w:rsidP="00597BED">
            <w:r>
              <w:t>S</w:t>
            </w:r>
            <w:r w:rsidR="00245C88">
              <w:t xml:space="preserve">ection to </w:t>
            </w:r>
            <w:r>
              <w:t xml:space="preserve">further </w:t>
            </w:r>
            <w:r w:rsidR="00597BED">
              <w:t xml:space="preserve">explain </w:t>
            </w:r>
            <w:r w:rsidR="00245C88">
              <w:t xml:space="preserve">the </w:t>
            </w:r>
            <w:r>
              <w:t>intended  application of the</w:t>
            </w:r>
            <w:r w:rsidR="00245C88">
              <w:t xml:space="preserve"> classification system.</w:t>
            </w:r>
          </w:p>
        </w:tc>
      </w:tr>
      <w:tr w:rsidR="00353524" w:rsidRPr="00353524" w:rsidTr="004E75D6">
        <w:tc>
          <w:tcPr>
            <w:tcW w:w="1413" w:type="dxa"/>
          </w:tcPr>
          <w:p w:rsidR="00353524" w:rsidRPr="00353524" w:rsidRDefault="00245C88" w:rsidP="0086013A">
            <w:r>
              <w:t>2.1.2.1</w:t>
            </w:r>
          </w:p>
        </w:tc>
        <w:tc>
          <w:tcPr>
            <w:tcW w:w="1701" w:type="dxa"/>
          </w:tcPr>
          <w:p w:rsidR="00353524" w:rsidRPr="00353524" w:rsidRDefault="00245C88" w:rsidP="0086013A">
            <w:r>
              <w:t>None</w:t>
            </w:r>
          </w:p>
        </w:tc>
        <w:tc>
          <w:tcPr>
            <w:tcW w:w="6515" w:type="dxa"/>
          </w:tcPr>
          <w:p w:rsidR="00353524" w:rsidRPr="00353524" w:rsidRDefault="002B4C40" w:rsidP="0086013A">
            <w:r>
              <w:t>Section to introduce</w:t>
            </w:r>
            <w:r w:rsidR="00245C88">
              <w:t xml:space="preserve"> the two </w:t>
            </w:r>
            <w:r w:rsidR="00597BED">
              <w:t xml:space="preserve">main </w:t>
            </w:r>
            <w:r w:rsidR="00245C88">
              <w:t>categories of the new system.</w:t>
            </w:r>
          </w:p>
        </w:tc>
      </w:tr>
      <w:tr w:rsidR="00353524" w:rsidRPr="00353524" w:rsidTr="004E75D6">
        <w:tc>
          <w:tcPr>
            <w:tcW w:w="1413" w:type="dxa"/>
          </w:tcPr>
          <w:p w:rsidR="00353524" w:rsidRPr="00353524" w:rsidRDefault="00245C88" w:rsidP="0086013A">
            <w:r>
              <w:t>2.1.2.2</w:t>
            </w:r>
          </w:p>
        </w:tc>
        <w:tc>
          <w:tcPr>
            <w:tcW w:w="1701" w:type="dxa"/>
          </w:tcPr>
          <w:p w:rsidR="00353524" w:rsidRPr="00353524" w:rsidRDefault="00245C88" w:rsidP="0086013A">
            <w:r>
              <w:t>2.1.2.1</w:t>
            </w:r>
          </w:p>
        </w:tc>
        <w:tc>
          <w:tcPr>
            <w:tcW w:w="6515" w:type="dxa"/>
          </w:tcPr>
          <w:p w:rsidR="00BC6038" w:rsidRPr="00353524" w:rsidRDefault="00245C88" w:rsidP="008423FA">
            <w:r>
              <w:t>Division 1.4 Compatibility Group S added as a new separate entry</w:t>
            </w:r>
            <w:r w:rsidR="008423FA">
              <w:t>, and m</w:t>
            </w:r>
            <w:r w:rsidR="00BC6038">
              <w:t>inor amendments</w:t>
            </w:r>
            <w:r w:rsidR="002B4C40">
              <w:t xml:space="preserve"> made</w:t>
            </w:r>
            <w:r w:rsidR="00BC6038">
              <w:t xml:space="preserve"> to bring descriptions </w:t>
            </w:r>
            <w:r w:rsidR="002B4C40">
              <w:t xml:space="preserve">of divisions 1.5 and 1.6 </w:t>
            </w:r>
            <w:r w:rsidR="00BC6038">
              <w:t xml:space="preserve">in line with </w:t>
            </w:r>
            <w:r w:rsidR="00597BED">
              <w:t xml:space="preserve">those in </w:t>
            </w:r>
            <w:r w:rsidR="00BC6038">
              <w:t xml:space="preserve">the </w:t>
            </w:r>
            <w:r w:rsidR="008423FA">
              <w:t xml:space="preserve">UN Model Regulations and the </w:t>
            </w:r>
            <w:r w:rsidR="00BC6038">
              <w:t>Manual</w:t>
            </w:r>
            <w:r w:rsidR="008423FA">
              <w:t xml:space="preserve"> of Tests and Criteria</w:t>
            </w:r>
            <w:r w:rsidR="002B4C40">
              <w:t>.</w:t>
            </w:r>
            <w:r w:rsidR="002B4C40">
              <w:rPr>
                <w:rStyle w:val="FootnoteReference"/>
              </w:rPr>
              <w:footnoteReference w:id="8"/>
            </w:r>
          </w:p>
        </w:tc>
      </w:tr>
      <w:tr w:rsidR="00353524" w:rsidRPr="00353524" w:rsidTr="004E75D6">
        <w:tc>
          <w:tcPr>
            <w:tcW w:w="1413" w:type="dxa"/>
          </w:tcPr>
          <w:p w:rsidR="00353524" w:rsidRPr="00353524" w:rsidRDefault="00245C88" w:rsidP="0086013A">
            <w:r>
              <w:t>2.1.2.3</w:t>
            </w:r>
          </w:p>
        </w:tc>
        <w:tc>
          <w:tcPr>
            <w:tcW w:w="1701" w:type="dxa"/>
          </w:tcPr>
          <w:p w:rsidR="00353524" w:rsidRPr="00353524" w:rsidRDefault="00245C88" w:rsidP="0086013A">
            <w:r>
              <w:t>None</w:t>
            </w:r>
          </w:p>
        </w:tc>
        <w:tc>
          <w:tcPr>
            <w:tcW w:w="6515" w:type="dxa"/>
          </w:tcPr>
          <w:p w:rsidR="00353524" w:rsidRPr="00353524" w:rsidRDefault="008423FA" w:rsidP="008423FA">
            <w:r>
              <w:t>Section to i</w:t>
            </w:r>
            <w:r w:rsidR="00245C88">
              <w:t>ntr</w:t>
            </w:r>
            <w:r>
              <w:t>oduce</w:t>
            </w:r>
            <w:r w:rsidR="00597BED">
              <w:t xml:space="preserve"> the three sub-categories </w:t>
            </w:r>
            <w:r>
              <w:t>with</w:t>
            </w:r>
            <w:r w:rsidR="00597BED">
              <w:t xml:space="preserve">in Category 2 </w:t>
            </w:r>
            <w:r w:rsidR="00245C88">
              <w:t>of the system.</w:t>
            </w:r>
          </w:p>
        </w:tc>
      </w:tr>
      <w:tr w:rsidR="00245C88" w:rsidRPr="00353524" w:rsidTr="004E75D6">
        <w:tc>
          <w:tcPr>
            <w:tcW w:w="1413" w:type="dxa"/>
          </w:tcPr>
          <w:p w:rsidR="00245C88" w:rsidRDefault="00245C88" w:rsidP="0086013A">
            <w:r>
              <w:t>2.1.3</w:t>
            </w:r>
          </w:p>
        </w:tc>
        <w:tc>
          <w:tcPr>
            <w:tcW w:w="1701" w:type="dxa"/>
          </w:tcPr>
          <w:p w:rsidR="00245C88" w:rsidRDefault="00245C88" w:rsidP="0086013A">
            <w:r>
              <w:t>2.1.3</w:t>
            </w:r>
          </w:p>
        </w:tc>
        <w:tc>
          <w:tcPr>
            <w:tcW w:w="6515" w:type="dxa"/>
          </w:tcPr>
          <w:p w:rsidR="00245C88" w:rsidRDefault="00245C88" w:rsidP="0086013A">
            <w:r>
              <w:t>Hazard communication elements table</w:t>
            </w:r>
            <w:r w:rsidR="008423FA">
              <w:t xml:space="preserve"> for the classifications of the system</w:t>
            </w:r>
            <w:r>
              <w:t>.</w:t>
            </w:r>
            <w:r w:rsidR="008423FA">
              <w:t xml:space="preserve"> Note that some elements are denoted “TDB”</w:t>
            </w:r>
            <w:r w:rsidR="00B15AB1">
              <w:t xml:space="preserve"> (to be determined).</w:t>
            </w:r>
            <w:r w:rsidR="00597BED">
              <w:br/>
            </w:r>
          </w:p>
          <w:p w:rsidR="0036535F" w:rsidRDefault="008423FA" w:rsidP="008423FA">
            <w:r>
              <w:t>Existing n</w:t>
            </w:r>
            <w:r w:rsidR="00597BED">
              <w:t>ote</w:t>
            </w:r>
            <w:r w:rsidR="0036535F">
              <w:t xml:space="preserve"> amended to cover also intentional explosives that escape the hazard class</w:t>
            </w:r>
            <w:r w:rsidR="00597BED">
              <w:t xml:space="preserve">, </w:t>
            </w:r>
            <w:r>
              <w:t xml:space="preserve">and </w:t>
            </w:r>
            <w:r w:rsidR="0067166E">
              <w:t xml:space="preserve">to </w:t>
            </w:r>
            <w:r w:rsidR="00FD7F38">
              <w:t>point to</w:t>
            </w:r>
            <w:r w:rsidR="00597BED">
              <w:t xml:space="preserve"> specifically to</w:t>
            </w:r>
            <w:r w:rsidR="00FD7F38">
              <w:t xml:space="preserve"> </w:t>
            </w:r>
            <w:r w:rsidR="00597BED">
              <w:t>s</w:t>
            </w:r>
            <w:r w:rsidR="0067166E">
              <w:t>ection 2.3</w:t>
            </w:r>
            <w:r w:rsidR="00597BED">
              <w:t xml:space="preserve"> of the SDS </w:t>
            </w:r>
            <w:r>
              <w:t xml:space="preserve">as well as </w:t>
            </w:r>
            <w:r w:rsidR="00597BED">
              <w:t>allow information in its section 10 instead of 9</w:t>
            </w:r>
            <w:r w:rsidR="0067166E">
              <w:t>.</w:t>
            </w:r>
          </w:p>
        </w:tc>
      </w:tr>
      <w:tr w:rsidR="00245C88" w:rsidRPr="00353524" w:rsidTr="004E75D6">
        <w:tc>
          <w:tcPr>
            <w:tcW w:w="1413" w:type="dxa"/>
          </w:tcPr>
          <w:p w:rsidR="00245C88" w:rsidRDefault="00245C88" w:rsidP="0086013A">
            <w:r>
              <w:t>2.1.4.1</w:t>
            </w:r>
          </w:p>
        </w:tc>
        <w:tc>
          <w:tcPr>
            <w:tcW w:w="1701" w:type="dxa"/>
          </w:tcPr>
          <w:p w:rsidR="00245C88" w:rsidRDefault="00245C88" w:rsidP="0086013A">
            <w:r>
              <w:t>None</w:t>
            </w:r>
          </w:p>
        </w:tc>
        <w:tc>
          <w:tcPr>
            <w:tcW w:w="6515" w:type="dxa"/>
          </w:tcPr>
          <w:p w:rsidR="00245C88" w:rsidRDefault="008423FA" w:rsidP="0086013A">
            <w:r>
              <w:t>S</w:t>
            </w:r>
            <w:r w:rsidR="00245C88">
              <w:t xml:space="preserve">ub-section explaining the principles of </w:t>
            </w:r>
            <w:r>
              <w:t xml:space="preserve">GHS </w:t>
            </w:r>
            <w:r w:rsidR="00245C88">
              <w:t>explosives classification.</w:t>
            </w:r>
          </w:p>
        </w:tc>
      </w:tr>
      <w:tr w:rsidR="00245C88" w:rsidRPr="00353524" w:rsidTr="004E75D6">
        <w:tc>
          <w:tcPr>
            <w:tcW w:w="1413" w:type="dxa"/>
          </w:tcPr>
          <w:p w:rsidR="00245C88" w:rsidRDefault="00245C88" w:rsidP="0086013A">
            <w:r>
              <w:t>2.1.4.2</w:t>
            </w:r>
          </w:p>
        </w:tc>
        <w:tc>
          <w:tcPr>
            <w:tcW w:w="1701" w:type="dxa"/>
          </w:tcPr>
          <w:p w:rsidR="00245C88" w:rsidRDefault="00245C88" w:rsidP="0086013A">
            <w:r>
              <w:t>None</w:t>
            </w:r>
          </w:p>
        </w:tc>
        <w:tc>
          <w:tcPr>
            <w:tcW w:w="6515" w:type="dxa"/>
          </w:tcPr>
          <w:p w:rsidR="00245C88" w:rsidRDefault="008423FA" w:rsidP="0086013A">
            <w:r>
              <w:t>S</w:t>
            </w:r>
            <w:r w:rsidR="00245C88">
              <w:t>ub-section describing the hazard levels of the sub-categories</w:t>
            </w:r>
            <w:r>
              <w:t xml:space="preserve"> in words</w:t>
            </w:r>
            <w:r w:rsidR="00245C88">
              <w:t>.</w:t>
            </w:r>
          </w:p>
        </w:tc>
      </w:tr>
      <w:tr w:rsidR="00353524" w:rsidRPr="00353524" w:rsidTr="004E75D6">
        <w:tc>
          <w:tcPr>
            <w:tcW w:w="1413" w:type="dxa"/>
          </w:tcPr>
          <w:p w:rsidR="00353524" w:rsidRPr="00353524" w:rsidRDefault="00245C88" w:rsidP="0086013A">
            <w:r>
              <w:t>2.1.4.3</w:t>
            </w:r>
          </w:p>
        </w:tc>
        <w:tc>
          <w:tcPr>
            <w:tcW w:w="1701" w:type="dxa"/>
          </w:tcPr>
          <w:p w:rsidR="00353524" w:rsidRPr="00353524" w:rsidRDefault="004C6DF4" w:rsidP="0086013A">
            <w:r>
              <w:t>2.1.4.1</w:t>
            </w:r>
          </w:p>
        </w:tc>
        <w:tc>
          <w:tcPr>
            <w:tcW w:w="6515" w:type="dxa"/>
          </w:tcPr>
          <w:p w:rsidR="00353524" w:rsidRPr="00353524" w:rsidRDefault="008423FA" w:rsidP="008423FA">
            <w:r>
              <w:t>D</w:t>
            </w:r>
            <w:r w:rsidR="004C6DF4">
              <w:t>ecision logic flowch</w:t>
            </w:r>
            <w:r>
              <w:t>arts for the system.</w:t>
            </w:r>
          </w:p>
        </w:tc>
      </w:tr>
    </w:tbl>
    <w:p w:rsidR="00353524" w:rsidRDefault="00353524" w:rsidP="0086013A"/>
    <w:p w:rsidR="00A73289" w:rsidRDefault="00A73289" w:rsidP="0086013A"/>
    <w:p w:rsidR="00A73289" w:rsidRDefault="00A73289">
      <w:pPr>
        <w:suppressAutoHyphens w:val="0"/>
        <w:spacing w:line="240" w:lineRule="auto"/>
      </w:pPr>
      <w:r>
        <w:br w:type="page"/>
      </w:r>
    </w:p>
    <w:p w:rsidR="00FC3EF3" w:rsidRDefault="00A73289" w:rsidP="00FC3EF3">
      <w:pPr>
        <w:pStyle w:val="HChG"/>
        <w:rPr>
          <w:lang w:val="fr-CH"/>
        </w:rPr>
      </w:pPr>
      <w:r w:rsidRPr="00121960">
        <w:lastRenderedPageBreak/>
        <w:t xml:space="preserve">Annex </w:t>
      </w:r>
      <w:r w:rsidR="00FC3EF3">
        <w:rPr>
          <w:lang w:val="fr-CH"/>
        </w:rPr>
        <w:t>III</w:t>
      </w:r>
    </w:p>
    <w:p w:rsidR="00A73289" w:rsidRPr="00121960" w:rsidRDefault="00567F21" w:rsidP="00FC3EF3">
      <w:pPr>
        <w:pStyle w:val="HChG"/>
      </w:pPr>
      <w:r w:rsidRPr="00121960">
        <w:t>Alternative</w:t>
      </w:r>
      <w:r w:rsidR="00420E4F">
        <w:t xml:space="preserve"> </w:t>
      </w:r>
      <w:r w:rsidR="006F0811">
        <w:t>(</w:t>
      </w:r>
      <w:r w:rsidR="00420E4F">
        <w:t>merged</w:t>
      </w:r>
      <w:r w:rsidR="006F0811">
        <w:t>)</w:t>
      </w:r>
      <w:r w:rsidRPr="00121960">
        <w:t xml:space="preserve"> </w:t>
      </w:r>
      <w:r w:rsidR="00420E4F">
        <w:t xml:space="preserve">layout of the </w:t>
      </w:r>
      <w:r w:rsidRPr="00121960">
        <w:t xml:space="preserve">criteria </w:t>
      </w:r>
      <w:r w:rsidR="00420E4F">
        <w:t>of a new GHS Chapter 2.1</w:t>
      </w:r>
      <w:r w:rsidRPr="00121960">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03"/>
        <w:gridCol w:w="959"/>
        <w:gridCol w:w="7767"/>
      </w:tblGrid>
      <w:tr w:rsidR="00567F21" w:rsidTr="00FC3EF3">
        <w:tc>
          <w:tcPr>
            <w:tcW w:w="903" w:type="dxa"/>
          </w:tcPr>
          <w:p w:rsidR="00567F21" w:rsidRPr="00567F21" w:rsidRDefault="00567F21" w:rsidP="0086013A">
            <w:pPr>
              <w:rPr>
                <w:b/>
              </w:rPr>
            </w:pPr>
            <w:r w:rsidRPr="00567F21">
              <w:rPr>
                <w:b/>
              </w:rPr>
              <w:t>Category</w:t>
            </w:r>
          </w:p>
        </w:tc>
        <w:tc>
          <w:tcPr>
            <w:tcW w:w="959" w:type="dxa"/>
          </w:tcPr>
          <w:p w:rsidR="00567F21" w:rsidRPr="00567F21" w:rsidRDefault="00567F21" w:rsidP="0086013A">
            <w:pPr>
              <w:rPr>
                <w:b/>
              </w:rPr>
            </w:pPr>
            <w:r w:rsidRPr="00567F21">
              <w:rPr>
                <w:b/>
              </w:rPr>
              <w:t>Sub-category</w:t>
            </w:r>
          </w:p>
        </w:tc>
        <w:tc>
          <w:tcPr>
            <w:tcW w:w="7767" w:type="dxa"/>
          </w:tcPr>
          <w:p w:rsidR="00567F21" w:rsidRPr="00567F21" w:rsidRDefault="00567F21" w:rsidP="0086013A">
            <w:pPr>
              <w:rPr>
                <w:b/>
              </w:rPr>
            </w:pPr>
            <w:r w:rsidRPr="00567F21">
              <w:rPr>
                <w:b/>
              </w:rPr>
              <w:t>Criteria</w:t>
            </w:r>
          </w:p>
        </w:tc>
      </w:tr>
      <w:tr w:rsidR="00567F21" w:rsidTr="00FC3EF3">
        <w:tc>
          <w:tcPr>
            <w:tcW w:w="903" w:type="dxa"/>
            <w:vAlign w:val="center"/>
          </w:tcPr>
          <w:p w:rsidR="00567F21" w:rsidRPr="00567F21" w:rsidRDefault="00567F21" w:rsidP="006770DC">
            <w:pPr>
              <w:jc w:val="center"/>
              <w:rPr>
                <w:b/>
              </w:rPr>
            </w:pPr>
            <w:r w:rsidRPr="00567F21">
              <w:rPr>
                <w:b/>
              </w:rPr>
              <w:t>1</w:t>
            </w:r>
          </w:p>
        </w:tc>
        <w:tc>
          <w:tcPr>
            <w:tcW w:w="959" w:type="dxa"/>
            <w:vAlign w:val="center"/>
          </w:tcPr>
          <w:p w:rsidR="00567F21" w:rsidRPr="00567F21" w:rsidRDefault="00567F21" w:rsidP="006770DC">
            <w:pPr>
              <w:jc w:val="center"/>
              <w:rPr>
                <w:i/>
              </w:rPr>
            </w:pPr>
            <w:r w:rsidRPr="00567F21">
              <w:rPr>
                <w:i/>
              </w:rPr>
              <w:t>Not applicable</w:t>
            </w:r>
          </w:p>
        </w:tc>
        <w:tc>
          <w:tcPr>
            <w:tcW w:w="7767" w:type="dxa"/>
          </w:tcPr>
          <w:p w:rsidR="00567F21" w:rsidRPr="005D6607" w:rsidRDefault="00567F21" w:rsidP="00567F21">
            <w:r w:rsidRPr="005D6607">
              <w:t>Explosive substance</w:t>
            </w:r>
            <w:r w:rsidR="006770DC">
              <w:t>s, mixtures and articles which:</w:t>
            </w:r>
          </w:p>
          <w:p w:rsidR="00567F21" w:rsidRPr="005D6607" w:rsidRDefault="00567F21" w:rsidP="006770DC">
            <w:pPr>
              <w:pStyle w:val="ListParagraph"/>
              <w:numPr>
                <w:ilvl w:val="0"/>
                <w:numId w:val="46"/>
              </w:numPr>
              <w:spacing w:line="256" w:lineRule="auto"/>
              <w:contextualSpacing/>
              <w:jc w:val="left"/>
              <w:rPr>
                <w:sz w:val="20"/>
                <w:szCs w:val="20"/>
                <w:lang w:val="en-GB"/>
              </w:rPr>
            </w:pPr>
            <w:r w:rsidRPr="005D6607">
              <w:rPr>
                <w:sz w:val="20"/>
                <w:szCs w:val="20"/>
                <w:lang w:val="en-GB"/>
              </w:rPr>
              <w:t xml:space="preserve">have not been assigned a division in accordance with Part I of the </w:t>
            </w:r>
            <w:r w:rsidRPr="005D6607">
              <w:rPr>
                <w:i/>
                <w:sz w:val="20"/>
                <w:szCs w:val="20"/>
                <w:lang w:val="en-GB"/>
              </w:rPr>
              <w:t>Manual of Tests and Criteria</w:t>
            </w:r>
            <w:r w:rsidRPr="005D6607">
              <w:rPr>
                <w:sz w:val="20"/>
                <w:szCs w:val="20"/>
                <w:lang w:val="en-GB"/>
              </w:rPr>
              <w:t xml:space="preserve"> and which:</w:t>
            </w:r>
          </w:p>
          <w:p w:rsidR="00567F21" w:rsidRPr="005D6607" w:rsidRDefault="00567F21" w:rsidP="00567F21">
            <w:pPr>
              <w:pStyle w:val="ListParagraph"/>
              <w:spacing w:line="256" w:lineRule="auto"/>
              <w:ind w:left="775"/>
              <w:contextualSpacing/>
              <w:jc w:val="left"/>
              <w:rPr>
                <w:sz w:val="20"/>
                <w:szCs w:val="20"/>
                <w:lang w:val="en-GB"/>
              </w:rPr>
            </w:pPr>
          </w:p>
          <w:p w:rsidR="00567F21" w:rsidRPr="005D6607" w:rsidRDefault="00567F21" w:rsidP="00567F21">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have been manufactured with the view of producing an explosive or pyrotechnic effect; or</w:t>
            </w:r>
          </w:p>
          <w:p w:rsidR="00567F21" w:rsidRPr="006770DC" w:rsidRDefault="00567F21" w:rsidP="00567F21">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 xml:space="preserve">are substances or mixtures which show positive effects when tested in test series 2 of the </w:t>
            </w:r>
            <w:r w:rsidRPr="005D6607">
              <w:rPr>
                <w:i/>
                <w:sz w:val="20"/>
                <w:szCs w:val="20"/>
                <w:lang w:val="en-GB"/>
              </w:rPr>
              <w:t>Manual of Tests and Criteria</w:t>
            </w:r>
          </w:p>
          <w:p w:rsidR="006770DC" w:rsidRDefault="00567F21" w:rsidP="00567F21">
            <w:pPr>
              <w:spacing w:line="256" w:lineRule="auto"/>
              <w:contextualSpacing/>
            </w:pPr>
            <w:r w:rsidRPr="005D6607">
              <w:t>or</w:t>
            </w:r>
          </w:p>
          <w:p w:rsidR="00567F21" w:rsidRDefault="00567F21" w:rsidP="00567F21">
            <w:pPr>
              <w:pStyle w:val="ListParagraph"/>
              <w:numPr>
                <w:ilvl w:val="0"/>
                <w:numId w:val="46"/>
              </w:numPr>
              <w:spacing w:line="256" w:lineRule="auto"/>
              <w:contextualSpacing/>
            </w:pPr>
            <w:r w:rsidRPr="005D6607">
              <w:rPr>
                <w:sz w:val="20"/>
                <w:szCs w:val="20"/>
                <w:lang w:val="en-GB"/>
              </w:rPr>
              <w:t xml:space="preserve">are out of the primary packaging which was part of the configuration to which a division was assigned in accordance with Part I of the </w:t>
            </w:r>
            <w:r w:rsidRPr="006770DC">
              <w:rPr>
                <w:i/>
                <w:sz w:val="20"/>
                <w:szCs w:val="20"/>
                <w:lang w:val="en-GB"/>
              </w:rPr>
              <w:t>Manual of Tests and Criteria</w:t>
            </w:r>
            <w:r w:rsidRPr="005D6607">
              <w:rPr>
                <w:sz w:val="20"/>
                <w:szCs w:val="20"/>
                <w:lang w:val="en-GB"/>
              </w:rPr>
              <w:t>, unless they are explosive articles where the primary packaging does not provide any attenuation of the explosive effect.*</w:t>
            </w:r>
          </w:p>
        </w:tc>
      </w:tr>
      <w:tr w:rsidR="00567F21" w:rsidTr="00FC3EF3">
        <w:tc>
          <w:tcPr>
            <w:tcW w:w="903" w:type="dxa"/>
            <w:vMerge w:val="restart"/>
            <w:vAlign w:val="center"/>
          </w:tcPr>
          <w:p w:rsidR="00567F21" w:rsidRPr="00567F21" w:rsidRDefault="00567F21" w:rsidP="006770DC">
            <w:pPr>
              <w:jc w:val="center"/>
              <w:rPr>
                <w:b/>
              </w:rPr>
            </w:pPr>
            <w:r w:rsidRPr="00567F21">
              <w:rPr>
                <w:b/>
              </w:rPr>
              <w:t>2</w:t>
            </w:r>
          </w:p>
        </w:tc>
        <w:tc>
          <w:tcPr>
            <w:tcW w:w="959" w:type="dxa"/>
            <w:vAlign w:val="center"/>
          </w:tcPr>
          <w:p w:rsidR="00567F21" w:rsidRPr="00567F21" w:rsidRDefault="00567F21" w:rsidP="006770DC">
            <w:pPr>
              <w:jc w:val="center"/>
              <w:rPr>
                <w:b/>
              </w:rPr>
            </w:pPr>
            <w:r w:rsidRPr="00567F21">
              <w:rPr>
                <w:b/>
              </w:rPr>
              <w:t>2A</w:t>
            </w:r>
          </w:p>
        </w:tc>
        <w:tc>
          <w:tcPr>
            <w:tcW w:w="7767" w:type="dxa"/>
          </w:tcPr>
          <w:p w:rsidR="00567F21" w:rsidRPr="00B82A25" w:rsidRDefault="00567F21" w:rsidP="00567F21">
            <w:r w:rsidRPr="00B82A25">
              <w:t>Explosive substance</w:t>
            </w:r>
            <w:r>
              <w:t>s, mixtures, and articles which:</w:t>
            </w:r>
          </w:p>
          <w:p w:rsidR="00567F21" w:rsidRPr="00B82A25" w:rsidRDefault="00567F21" w:rsidP="00567F21">
            <w:pPr>
              <w:pStyle w:val="ListParagraph"/>
              <w:numPr>
                <w:ilvl w:val="0"/>
                <w:numId w:val="43"/>
              </w:numPr>
              <w:spacing w:line="259" w:lineRule="auto"/>
              <w:contextualSpacing/>
              <w:jc w:val="left"/>
              <w:rPr>
                <w:sz w:val="20"/>
                <w:szCs w:val="20"/>
                <w:lang w:val="en-GB"/>
              </w:rPr>
            </w:pPr>
            <w:r>
              <w:rPr>
                <w:sz w:val="20"/>
                <w:szCs w:val="20"/>
              </w:rPr>
              <w:t>have been assigned d</w:t>
            </w:r>
            <w:r w:rsidRPr="00B82A25">
              <w:rPr>
                <w:sz w:val="20"/>
                <w:szCs w:val="20"/>
              </w:rPr>
              <w:t>ivision 1.1, 1.2, 1.3, 1.5, or 1.6</w:t>
            </w:r>
            <w:r>
              <w:t xml:space="preserve"> </w:t>
            </w:r>
            <w:r w:rsidRPr="00567F21">
              <w:rPr>
                <w:sz w:val="20"/>
                <w:szCs w:val="20"/>
              </w:rPr>
              <w:t xml:space="preserve">in accordance with Part I of the </w:t>
            </w:r>
            <w:r w:rsidRPr="00567F21">
              <w:rPr>
                <w:i/>
                <w:sz w:val="20"/>
                <w:szCs w:val="20"/>
              </w:rPr>
              <w:t>Manual of Tests and Criteria</w:t>
            </w:r>
            <w:r w:rsidRPr="00B82A25">
              <w:rPr>
                <w:sz w:val="20"/>
                <w:szCs w:val="20"/>
              </w:rPr>
              <w:t>; or</w:t>
            </w:r>
          </w:p>
          <w:p w:rsidR="00567F21" w:rsidRPr="00B82A25" w:rsidRDefault="00567F21" w:rsidP="00567F21">
            <w:pPr>
              <w:pStyle w:val="ListParagraph"/>
              <w:numPr>
                <w:ilvl w:val="0"/>
                <w:numId w:val="43"/>
              </w:numPr>
              <w:spacing w:line="259" w:lineRule="auto"/>
              <w:contextualSpacing/>
              <w:jc w:val="left"/>
              <w:rPr>
                <w:sz w:val="20"/>
                <w:szCs w:val="20"/>
                <w:lang w:val="en-GB"/>
              </w:rPr>
            </w:pPr>
            <w:r>
              <w:rPr>
                <w:sz w:val="20"/>
                <w:szCs w:val="20"/>
              </w:rPr>
              <w:t>have been assigned d</w:t>
            </w:r>
            <w:r w:rsidRPr="00B82A25">
              <w:rPr>
                <w:sz w:val="20"/>
                <w:szCs w:val="20"/>
              </w:rPr>
              <w:t xml:space="preserve">ivision </w:t>
            </w:r>
            <w:r>
              <w:rPr>
                <w:sz w:val="20"/>
                <w:szCs w:val="20"/>
                <w:lang w:val="en-GB"/>
              </w:rPr>
              <w:t>d</w:t>
            </w:r>
            <w:r w:rsidRPr="00B82A25">
              <w:rPr>
                <w:sz w:val="20"/>
                <w:szCs w:val="20"/>
                <w:lang w:val="en-GB"/>
              </w:rPr>
              <w:t xml:space="preserve">ivision 1.4 </w:t>
            </w:r>
            <w:r w:rsidRPr="00567F21">
              <w:rPr>
                <w:sz w:val="20"/>
                <w:szCs w:val="20"/>
              </w:rPr>
              <w:t xml:space="preserve">in accordance with Part I of the </w:t>
            </w:r>
            <w:r w:rsidRPr="00567F21">
              <w:rPr>
                <w:i/>
                <w:sz w:val="20"/>
                <w:szCs w:val="20"/>
              </w:rPr>
              <w:t>Manual of Tests and Criteria</w:t>
            </w:r>
            <w:r w:rsidRPr="00B82A25">
              <w:rPr>
                <w:sz w:val="20"/>
                <w:szCs w:val="20"/>
                <w:lang w:val="en-GB"/>
              </w:rPr>
              <w:t xml:space="preserve"> and are not meeting the criteria for Sub-category 2B or 2C; or</w:t>
            </w:r>
          </w:p>
          <w:p w:rsidR="00567F21" w:rsidRPr="006770DC" w:rsidRDefault="00567F21" w:rsidP="0086013A">
            <w:pPr>
              <w:pStyle w:val="ListParagraph"/>
              <w:numPr>
                <w:ilvl w:val="0"/>
                <w:numId w:val="43"/>
              </w:numPr>
              <w:spacing w:line="259" w:lineRule="auto"/>
              <w:contextualSpacing/>
              <w:jc w:val="left"/>
              <w:rPr>
                <w:sz w:val="20"/>
                <w:szCs w:val="20"/>
                <w:lang w:val="en-GB"/>
              </w:rPr>
            </w:pPr>
            <w:r>
              <w:rPr>
                <w:sz w:val="20"/>
                <w:szCs w:val="20"/>
              </w:rPr>
              <w:t xml:space="preserve">have been assigned </w:t>
            </w:r>
            <w:r w:rsidRPr="006E1989">
              <w:rPr>
                <w:sz w:val="20"/>
                <w:szCs w:val="20"/>
                <w:lang w:val="en-GB"/>
              </w:rPr>
              <w:t>sub-category 2A based on additional data or considerations that supersede the crit</w:t>
            </w:r>
            <w:r>
              <w:rPr>
                <w:sz w:val="20"/>
                <w:szCs w:val="20"/>
                <w:lang w:val="en-GB"/>
              </w:rPr>
              <w:t>eria for sub-category 2B or 2C</w:t>
            </w:r>
            <w:r w:rsidRPr="00153100">
              <w:rPr>
                <w:sz w:val="20"/>
                <w:szCs w:val="20"/>
                <w:lang w:val="en-GB"/>
              </w:rPr>
              <w:t>*</w:t>
            </w:r>
            <w:r>
              <w:rPr>
                <w:sz w:val="20"/>
                <w:szCs w:val="20"/>
                <w:lang w:val="en-GB"/>
              </w:rPr>
              <w:t>*</w:t>
            </w:r>
          </w:p>
        </w:tc>
      </w:tr>
      <w:tr w:rsidR="00567F21" w:rsidTr="00FC3EF3">
        <w:tc>
          <w:tcPr>
            <w:tcW w:w="903" w:type="dxa"/>
            <w:vMerge/>
            <w:vAlign w:val="center"/>
          </w:tcPr>
          <w:p w:rsidR="00567F21" w:rsidRDefault="00567F21" w:rsidP="006770DC">
            <w:pPr>
              <w:jc w:val="center"/>
            </w:pPr>
          </w:p>
        </w:tc>
        <w:tc>
          <w:tcPr>
            <w:tcW w:w="959" w:type="dxa"/>
            <w:vAlign w:val="center"/>
          </w:tcPr>
          <w:p w:rsidR="00567F21" w:rsidRPr="00567F21" w:rsidRDefault="00567F21" w:rsidP="006770DC">
            <w:pPr>
              <w:jc w:val="center"/>
              <w:rPr>
                <w:b/>
              </w:rPr>
            </w:pPr>
            <w:r w:rsidRPr="00567F21">
              <w:rPr>
                <w:b/>
              </w:rPr>
              <w:t>2B</w:t>
            </w:r>
          </w:p>
        </w:tc>
        <w:tc>
          <w:tcPr>
            <w:tcW w:w="7767" w:type="dxa"/>
          </w:tcPr>
          <w:p w:rsidR="00567F21" w:rsidRPr="00153100" w:rsidRDefault="00567F21" w:rsidP="00567F21">
            <w:r w:rsidRPr="00153100">
              <w:t>Explosive subst</w:t>
            </w:r>
            <w:r>
              <w:t>ances, mixtures and articles which have been assigned d</w:t>
            </w:r>
            <w:r w:rsidRPr="00153100">
              <w:t xml:space="preserve">ivision 1.4 </w:t>
            </w:r>
            <w:r w:rsidRPr="00567F21">
              <w:t xml:space="preserve">in accordance with Part I of the </w:t>
            </w:r>
            <w:r w:rsidRPr="00567F21">
              <w:rPr>
                <w:i/>
              </w:rPr>
              <w:t>Manual of Tests and Criteria</w:t>
            </w:r>
            <w:r w:rsidRPr="00153100">
              <w:t xml:space="preserve"> and a compatibility</w:t>
            </w:r>
            <w:r w:rsidR="006770DC">
              <w:t xml:space="preserve"> group other than S, and which:</w:t>
            </w:r>
          </w:p>
          <w:p w:rsidR="00567F21" w:rsidRPr="00153100" w:rsidRDefault="00567F21" w:rsidP="00567F21">
            <w:pPr>
              <w:pStyle w:val="ListParagraph"/>
              <w:numPr>
                <w:ilvl w:val="0"/>
                <w:numId w:val="44"/>
              </w:numPr>
              <w:spacing w:line="259" w:lineRule="auto"/>
              <w:contextualSpacing/>
              <w:jc w:val="left"/>
              <w:rPr>
                <w:sz w:val="20"/>
                <w:szCs w:val="20"/>
                <w:lang w:val="en-GB"/>
              </w:rPr>
            </w:pPr>
            <w:r w:rsidRPr="00153100">
              <w:rPr>
                <w:sz w:val="20"/>
                <w:szCs w:val="20"/>
                <w:lang w:val="en-GB"/>
              </w:rPr>
              <w:t>do not detonate and disintegrate wh</w:t>
            </w:r>
            <w:r w:rsidR="006770DC">
              <w:rPr>
                <w:sz w:val="20"/>
                <w:szCs w:val="20"/>
                <w:lang w:val="en-GB"/>
              </w:rPr>
              <w:t xml:space="preserve">en functioned as intended; and </w:t>
            </w:r>
          </w:p>
          <w:p w:rsidR="00567F21" w:rsidRPr="00153100" w:rsidRDefault="00567F21" w:rsidP="00567F21">
            <w:pPr>
              <w:pStyle w:val="ListParagraph"/>
              <w:numPr>
                <w:ilvl w:val="0"/>
                <w:numId w:val="44"/>
              </w:numPr>
              <w:spacing w:line="259" w:lineRule="auto"/>
              <w:contextualSpacing/>
              <w:jc w:val="left"/>
              <w:rPr>
                <w:sz w:val="20"/>
                <w:szCs w:val="20"/>
                <w:lang w:val="en-GB"/>
              </w:rPr>
            </w:pPr>
            <w:r w:rsidRPr="00153100">
              <w:rPr>
                <w:sz w:val="20"/>
                <w:szCs w:val="20"/>
                <w:lang w:val="en-GB"/>
              </w:rPr>
              <w:t>exhibit no high hazard event**</w:t>
            </w:r>
            <w:r>
              <w:rPr>
                <w:sz w:val="20"/>
                <w:szCs w:val="20"/>
                <w:lang w:val="en-GB"/>
              </w:rPr>
              <w:t>*</w:t>
            </w:r>
            <w:r w:rsidRPr="00153100">
              <w:rPr>
                <w:sz w:val="20"/>
                <w:szCs w:val="20"/>
                <w:lang w:val="en-GB"/>
              </w:rPr>
              <w:t xml:space="preserve"> in Test Series 6(a) or 6(b) of the </w:t>
            </w:r>
            <w:r w:rsidRPr="00153100">
              <w:rPr>
                <w:i/>
                <w:sz w:val="20"/>
                <w:szCs w:val="20"/>
                <w:lang w:val="en-GB"/>
              </w:rPr>
              <w:t>Manual of Tests and Criteria</w:t>
            </w:r>
            <w:r w:rsidR="006770DC">
              <w:rPr>
                <w:sz w:val="20"/>
                <w:szCs w:val="20"/>
                <w:lang w:val="en-GB"/>
              </w:rPr>
              <w:t>; and</w:t>
            </w:r>
          </w:p>
          <w:p w:rsidR="00567F21" w:rsidRDefault="00567F21" w:rsidP="0086013A">
            <w:pPr>
              <w:numPr>
                <w:ilvl w:val="0"/>
                <w:numId w:val="44"/>
              </w:numPr>
              <w:suppressAutoHyphens w:val="0"/>
              <w:spacing w:line="259" w:lineRule="auto"/>
            </w:pPr>
            <w:r w:rsidRPr="00153100">
              <w:t>do not require attenuating features, other than that which may be provided by a primary packaging, to mitigate a high hazard event.**</w:t>
            </w:r>
            <w:r w:rsidR="00121960">
              <w:t>*</w:t>
            </w:r>
          </w:p>
        </w:tc>
      </w:tr>
      <w:tr w:rsidR="00567F21" w:rsidTr="00FC3EF3">
        <w:tc>
          <w:tcPr>
            <w:tcW w:w="903" w:type="dxa"/>
            <w:vMerge/>
            <w:vAlign w:val="center"/>
          </w:tcPr>
          <w:p w:rsidR="00567F21" w:rsidRDefault="00567F21" w:rsidP="006770DC">
            <w:pPr>
              <w:jc w:val="center"/>
            </w:pPr>
          </w:p>
        </w:tc>
        <w:tc>
          <w:tcPr>
            <w:tcW w:w="959" w:type="dxa"/>
            <w:vAlign w:val="center"/>
          </w:tcPr>
          <w:p w:rsidR="00567F21" w:rsidRPr="00567F21" w:rsidRDefault="00567F21" w:rsidP="006770DC">
            <w:pPr>
              <w:jc w:val="center"/>
              <w:rPr>
                <w:b/>
              </w:rPr>
            </w:pPr>
            <w:r w:rsidRPr="00567F21">
              <w:rPr>
                <w:b/>
              </w:rPr>
              <w:t>2C</w:t>
            </w:r>
          </w:p>
        </w:tc>
        <w:tc>
          <w:tcPr>
            <w:tcW w:w="7767" w:type="dxa"/>
          </w:tcPr>
          <w:p w:rsidR="00567F21" w:rsidRPr="00153100" w:rsidRDefault="00567F21" w:rsidP="00567F21">
            <w:r w:rsidRPr="00153100">
              <w:t xml:space="preserve">Explosive substances, mixtures and articles which have been assigned to Division 1.4 </w:t>
            </w:r>
            <w:r w:rsidRPr="00567F21">
              <w:t xml:space="preserve">in accordance with Part I of the </w:t>
            </w:r>
            <w:r w:rsidRPr="00567F21">
              <w:rPr>
                <w:i/>
              </w:rPr>
              <w:t>Manual of Tests and Criteria</w:t>
            </w:r>
            <w:r w:rsidRPr="00153100">
              <w:t xml:space="preserve"> </w:t>
            </w:r>
            <w:r>
              <w:t xml:space="preserve">and </w:t>
            </w:r>
            <w:r w:rsidRPr="00153100">
              <w:t>Compatibility Group S, and which:</w:t>
            </w:r>
          </w:p>
          <w:p w:rsidR="00567F21" w:rsidRPr="00153100" w:rsidRDefault="00567F21" w:rsidP="00567F21">
            <w:pPr>
              <w:pStyle w:val="ListParagraph"/>
              <w:numPr>
                <w:ilvl w:val="0"/>
                <w:numId w:val="45"/>
              </w:numPr>
              <w:spacing w:line="259" w:lineRule="auto"/>
              <w:contextualSpacing/>
              <w:jc w:val="left"/>
              <w:rPr>
                <w:sz w:val="20"/>
                <w:szCs w:val="20"/>
                <w:lang w:val="en-GB"/>
              </w:rPr>
            </w:pPr>
            <w:r w:rsidRPr="00153100">
              <w:rPr>
                <w:sz w:val="20"/>
                <w:szCs w:val="20"/>
                <w:lang w:val="en-GB"/>
              </w:rPr>
              <w:t>do not detonate and disintegrate w</w:t>
            </w:r>
            <w:r w:rsidR="006770DC">
              <w:rPr>
                <w:sz w:val="20"/>
                <w:szCs w:val="20"/>
                <w:lang w:val="en-GB"/>
              </w:rPr>
              <w:t>hen functioned as intended; and</w:t>
            </w:r>
          </w:p>
          <w:p w:rsidR="00567F21" w:rsidRPr="00153100" w:rsidRDefault="00567F21" w:rsidP="00567F21">
            <w:pPr>
              <w:pStyle w:val="ListParagraph"/>
              <w:numPr>
                <w:ilvl w:val="0"/>
                <w:numId w:val="45"/>
              </w:numPr>
              <w:spacing w:line="259" w:lineRule="auto"/>
              <w:contextualSpacing/>
              <w:jc w:val="left"/>
              <w:rPr>
                <w:sz w:val="20"/>
                <w:szCs w:val="20"/>
                <w:lang w:val="en-GB"/>
              </w:rPr>
            </w:pPr>
            <w:r w:rsidRPr="00153100">
              <w:rPr>
                <w:sz w:val="20"/>
                <w:szCs w:val="20"/>
                <w:lang w:val="en-GB"/>
              </w:rPr>
              <w:t>exhibit no high hazard event**</w:t>
            </w:r>
            <w:r w:rsidR="006770DC">
              <w:rPr>
                <w:sz w:val="20"/>
                <w:szCs w:val="20"/>
                <w:lang w:val="en-GB"/>
              </w:rPr>
              <w:t>*</w:t>
            </w:r>
            <w:r w:rsidRPr="00153100">
              <w:rPr>
                <w:sz w:val="20"/>
                <w:szCs w:val="20"/>
                <w:lang w:val="en-GB"/>
              </w:rPr>
              <w:t xml:space="preserve"> in Test Series 6(a) or 6(b), or in the absence of these test results, similar results in Test 6(d) of the </w:t>
            </w:r>
            <w:r w:rsidRPr="00153100">
              <w:rPr>
                <w:i/>
                <w:sz w:val="20"/>
                <w:szCs w:val="20"/>
                <w:lang w:val="en-GB"/>
              </w:rPr>
              <w:t>Manual of Tests and Criteria</w:t>
            </w:r>
            <w:r w:rsidRPr="00153100">
              <w:rPr>
                <w:sz w:val="20"/>
                <w:szCs w:val="20"/>
                <w:lang w:val="en-GB"/>
              </w:rPr>
              <w:t xml:space="preserve">; </w:t>
            </w:r>
            <w:r>
              <w:rPr>
                <w:sz w:val="20"/>
                <w:szCs w:val="20"/>
                <w:lang w:val="en-GB"/>
              </w:rPr>
              <w:t>and</w:t>
            </w:r>
          </w:p>
          <w:p w:rsidR="00567F21" w:rsidRDefault="00567F21" w:rsidP="0086013A">
            <w:pPr>
              <w:numPr>
                <w:ilvl w:val="0"/>
                <w:numId w:val="45"/>
              </w:numPr>
              <w:suppressAutoHyphens w:val="0"/>
              <w:spacing w:line="259" w:lineRule="auto"/>
            </w:pPr>
            <w:r w:rsidRPr="00153100">
              <w:t>do not require attenuating features, other than that which may be provided by a primary packaging, to mitigate a high hazard event.**</w:t>
            </w:r>
            <w:r w:rsidR="006770DC">
              <w:t>*</w:t>
            </w:r>
          </w:p>
        </w:tc>
      </w:tr>
    </w:tbl>
    <w:p w:rsidR="006770DC" w:rsidRDefault="006770DC" w:rsidP="00FC3EF3">
      <w:pPr>
        <w:ind w:right="1134"/>
        <w:jc w:val="both"/>
      </w:pPr>
      <w:r w:rsidRPr="005D6607">
        <w:t>* Explosives in Category 2 that are removed from their primary packaging for use, remain classified in Category 2. Use comprises preparation and intentional functioning, including removal from the primary packaging for functioning or installation or deployment in readiness for functioning.</w:t>
      </w:r>
    </w:p>
    <w:p w:rsidR="006770DC" w:rsidRPr="002E0692" w:rsidRDefault="006770DC" w:rsidP="00FC3EF3">
      <w:pPr>
        <w:ind w:right="1134"/>
        <w:jc w:val="both"/>
      </w:pPr>
      <w:r w:rsidRPr="002E0692">
        <w:t>*</w:t>
      </w:r>
      <w:r>
        <w:t xml:space="preserve">* </w:t>
      </w:r>
      <w:r w:rsidRPr="002E0692">
        <w:t>The manufacturer, supplier or competent authority may assign sub-category 2A on basis of data or considerations indicating that the explosive represents a high hazard even if it meets the technical criteria for sub-category 2B or 2C.</w:t>
      </w:r>
    </w:p>
    <w:p w:rsidR="006770DC" w:rsidRPr="002E0692" w:rsidRDefault="006770DC" w:rsidP="00FC3EF3">
      <w:pPr>
        <w:spacing w:after="120"/>
        <w:ind w:right="1134"/>
        <w:jc w:val="both"/>
      </w:pPr>
      <w:r w:rsidRPr="002E0692">
        <w:t>**</w:t>
      </w:r>
      <w:r>
        <w:t xml:space="preserve">* </w:t>
      </w:r>
      <w:r w:rsidRPr="002E0692">
        <w:t xml:space="preserve">A high hazard event is exhibited when performing Test Series 6(a) or 6(b), according to the </w:t>
      </w:r>
      <w:r w:rsidRPr="002E0692">
        <w:rPr>
          <w:i/>
        </w:rPr>
        <w:t>Manual of Tests and Criteria</w:t>
      </w:r>
      <w:r>
        <w:t>, by</w:t>
      </w:r>
    </w:p>
    <w:p w:rsidR="00121960" w:rsidRDefault="00FC3EF3" w:rsidP="00FC3EF3">
      <w:pPr>
        <w:pStyle w:val="SingleTxtG"/>
        <w:ind w:left="567"/>
      </w:pPr>
      <w:r>
        <w:rPr>
          <w:lang w:val="fr-CH"/>
        </w:rPr>
        <w:t>(a)</w:t>
      </w:r>
      <w:r>
        <w:tab/>
      </w:r>
      <w:r w:rsidR="006770DC" w:rsidRPr="002E0692">
        <w:t xml:space="preserve">a significant change in the witness plate shape, such as perforation, gouge or substantial </w:t>
      </w:r>
      <w:r w:rsidR="006770DC">
        <w:t>dent/bowing; or</w:t>
      </w:r>
    </w:p>
    <w:p w:rsidR="006770DC" w:rsidRDefault="00FC3EF3" w:rsidP="0098649F">
      <w:pPr>
        <w:pStyle w:val="SingleTxtG"/>
        <w:spacing w:after="20"/>
        <w:ind w:left="567"/>
      </w:pPr>
      <w:r>
        <w:rPr>
          <w:lang w:val="fr-CH"/>
        </w:rPr>
        <w:t>(b)</w:t>
      </w:r>
      <w:r>
        <w:tab/>
      </w:r>
      <w:r w:rsidR="006770DC" w:rsidRPr="00121960">
        <w:t>instantaneous scattering of most of the confining material.</w:t>
      </w:r>
    </w:p>
    <w:p w:rsidR="0098649F" w:rsidRPr="0098649F" w:rsidRDefault="0098649F" w:rsidP="0098649F">
      <w:pPr>
        <w:pStyle w:val="SingleTxtG"/>
        <w:spacing w:after="0" w:line="240" w:lineRule="auto"/>
        <w:ind w:left="567"/>
        <w:jc w:val="center"/>
        <w:rPr>
          <w:lang w:val="fr-CH"/>
        </w:rPr>
      </w:pPr>
      <w:r>
        <w:rPr>
          <w:lang w:val="fr-CH"/>
        </w:rPr>
        <w:t>_____________</w:t>
      </w:r>
    </w:p>
    <w:sectPr w:rsidR="0098649F" w:rsidRPr="0098649F" w:rsidSect="00773E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D7D" w:rsidRDefault="00EF5D7D"/>
  </w:endnote>
  <w:endnote w:type="continuationSeparator" w:id="0">
    <w:p w:rsidR="00EF5D7D" w:rsidRDefault="00EF5D7D"/>
  </w:endnote>
  <w:endnote w:type="continuationNotice" w:id="1">
    <w:p w:rsidR="00EF5D7D" w:rsidRDefault="00EF5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84" w:rsidRPr="000216CC" w:rsidRDefault="00081E84"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A399E">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84" w:rsidRPr="000216CC" w:rsidRDefault="00081E8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A399E">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84" w:rsidRDefault="00081E84"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D7D" w:rsidRPr="000B175B" w:rsidRDefault="00EF5D7D" w:rsidP="000B175B">
      <w:pPr>
        <w:tabs>
          <w:tab w:val="right" w:pos="2155"/>
        </w:tabs>
        <w:spacing w:after="80"/>
        <w:ind w:left="680"/>
        <w:rPr>
          <w:u w:val="single"/>
        </w:rPr>
      </w:pPr>
      <w:r>
        <w:rPr>
          <w:u w:val="single"/>
        </w:rPr>
        <w:tab/>
      </w:r>
    </w:p>
  </w:footnote>
  <w:footnote w:type="continuationSeparator" w:id="0">
    <w:p w:rsidR="00EF5D7D" w:rsidRPr="00FC68B7" w:rsidRDefault="00EF5D7D" w:rsidP="00FC68B7">
      <w:pPr>
        <w:tabs>
          <w:tab w:val="left" w:pos="2155"/>
        </w:tabs>
        <w:spacing w:after="80"/>
        <w:ind w:left="680"/>
        <w:rPr>
          <w:u w:val="single"/>
        </w:rPr>
      </w:pPr>
      <w:r>
        <w:rPr>
          <w:u w:val="single"/>
        </w:rPr>
        <w:tab/>
      </w:r>
    </w:p>
  </w:footnote>
  <w:footnote w:type="continuationNotice" w:id="1">
    <w:p w:rsidR="00EF5D7D" w:rsidRDefault="00EF5D7D"/>
  </w:footnote>
  <w:footnote w:id="2">
    <w:p w:rsidR="00081E84" w:rsidRPr="00EF3FB0" w:rsidRDefault="00081E84" w:rsidP="009C5330">
      <w:pPr>
        <w:pStyle w:val="FootnoteText"/>
        <w:tabs>
          <w:tab w:val="left" w:pos="1418"/>
        </w:tabs>
        <w:ind w:firstLine="0"/>
      </w:pPr>
      <w:r>
        <w:rPr>
          <w:rStyle w:val="FootnoteReference"/>
        </w:rPr>
        <w:footnoteRef/>
      </w:r>
      <w:r>
        <w:t xml:space="preserve"> </w:t>
      </w:r>
      <w:r w:rsidR="009C5330">
        <w:tab/>
      </w:r>
      <w:r w:rsidR="009C5330">
        <w:rPr>
          <w:lang w:val="fr-CH"/>
        </w:rPr>
        <w:t xml:space="preserve">Informal document </w:t>
      </w:r>
      <w:r>
        <w:rPr>
          <w:lang w:val="en-GB"/>
        </w:rPr>
        <w:t xml:space="preserve">INF.3 </w:t>
      </w:r>
      <w:r w:rsidR="009C5330">
        <w:rPr>
          <w:lang w:val="en-GB"/>
        </w:rPr>
        <w:t>(56</w:t>
      </w:r>
      <w:r w:rsidR="009C5330" w:rsidRPr="009C5330">
        <w:rPr>
          <w:vertAlign w:val="superscript"/>
          <w:lang w:val="en-GB"/>
        </w:rPr>
        <w:t>th</w:t>
      </w:r>
      <w:r w:rsidR="009C5330">
        <w:rPr>
          <w:lang w:val="en-GB"/>
        </w:rPr>
        <w:t xml:space="preserve"> session)</w:t>
      </w:r>
      <w:r w:rsidRPr="00D057E3">
        <w:rPr>
          <w:lang w:val="en-GB"/>
        </w:rPr>
        <w:t xml:space="preserve"> of the SCETDG</w:t>
      </w:r>
      <w:r>
        <w:rPr>
          <w:lang w:val="en-GB"/>
        </w:rPr>
        <w:t>, which</w:t>
      </w:r>
      <w:r w:rsidRPr="00D057E3">
        <w:rPr>
          <w:lang w:val="en-GB"/>
        </w:rPr>
        <w:t xml:space="preserve"> </w:t>
      </w:r>
      <w:r>
        <w:rPr>
          <w:lang w:val="en-GB"/>
        </w:rPr>
        <w:t>points to this working document of the SCEGHS.</w:t>
      </w:r>
    </w:p>
  </w:footnote>
  <w:footnote w:id="3">
    <w:p w:rsidR="00081E84" w:rsidRPr="00EF3FB0" w:rsidRDefault="00081E84" w:rsidP="009C5330">
      <w:pPr>
        <w:pStyle w:val="FootnoteText"/>
        <w:tabs>
          <w:tab w:val="clear" w:pos="1021"/>
          <w:tab w:val="right" w:pos="0"/>
          <w:tab w:val="left" w:pos="1418"/>
        </w:tabs>
        <w:ind w:firstLine="0"/>
        <w:rPr>
          <w:lang w:val="en-GB"/>
        </w:rPr>
      </w:pPr>
      <w:r>
        <w:rPr>
          <w:rStyle w:val="FootnoteReference"/>
        </w:rPr>
        <w:footnoteRef/>
      </w:r>
      <w:r>
        <w:t xml:space="preserve"> </w:t>
      </w:r>
      <w:r w:rsidR="009C5330">
        <w:tab/>
      </w:r>
      <w:r>
        <w:rPr>
          <w:lang w:val="en-GB"/>
        </w:rPr>
        <w:t>As</w:t>
      </w:r>
      <w:r w:rsidRPr="00EF3FB0">
        <w:rPr>
          <w:lang w:val="en-GB"/>
        </w:rPr>
        <w:t xml:space="preserve"> </w:t>
      </w:r>
      <w:r>
        <w:rPr>
          <w:lang w:val="en-GB"/>
        </w:rPr>
        <w:t>the EWG is not convening during the 56</w:t>
      </w:r>
      <w:r w:rsidR="009C5330" w:rsidRPr="009C5330">
        <w:rPr>
          <w:vertAlign w:val="superscript"/>
          <w:lang w:val="en-GB"/>
        </w:rPr>
        <w:t>th</w:t>
      </w:r>
      <w:r w:rsidR="009C5330">
        <w:rPr>
          <w:lang w:val="en-GB"/>
        </w:rPr>
        <w:t xml:space="preserve"> </w:t>
      </w:r>
      <w:r>
        <w:rPr>
          <w:lang w:val="en-GB"/>
        </w:rPr>
        <w:t>session of the SCETDG, these</w:t>
      </w:r>
      <w:r w:rsidRPr="00EF3FB0">
        <w:rPr>
          <w:lang w:val="en-GB"/>
        </w:rPr>
        <w:t xml:space="preserve"> documents are submitted</w:t>
      </w:r>
      <w:r>
        <w:rPr>
          <w:lang w:val="en-GB"/>
        </w:rPr>
        <w:t xml:space="preserve"> to the SCETDG for information only, as the SCETDG is the focal point for the GHS physical hazards.</w:t>
      </w:r>
    </w:p>
  </w:footnote>
  <w:footnote w:id="4">
    <w:p w:rsidR="00081E84" w:rsidRPr="0082178B" w:rsidRDefault="00081E84" w:rsidP="009C5330">
      <w:pPr>
        <w:pStyle w:val="FootnoteText"/>
        <w:tabs>
          <w:tab w:val="clear" w:pos="1021"/>
          <w:tab w:val="right" w:pos="851"/>
          <w:tab w:val="left" w:pos="1418"/>
        </w:tabs>
        <w:ind w:firstLine="0"/>
        <w:rPr>
          <w:lang w:val="en-GB"/>
        </w:rPr>
      </w:pPr>
      <w:r>
        <w:rPr>
          <w:rStyle w:val="FootnoteReference"/>
        </w:rPr>
        <w:footnoteRef/>
      </w:r>
      <w:r>
        <w:t xml:space="preserve"> </w:t>
      </w:r>
      <w:r w:rsidR="009C5330">
        <w:tab/>
      </w:r>
      <w:r w:rsidRPr="0082178B">
        <w:rPr>
          <w:lang w:val="en-GB"/>
        </w:rPr>
        <w:t>Examples of the</w:t>
      </w:r>
      <w:r>
        <w:rPr>
          <w:lang w:val="en-GB"/>
        </w:rPr>
        <w:t xml:space="preserve"> classifica</w:t>
      </w:r>
      <w:r w:rsidRPr="0082178B">
        <w:rPr>
          <w:lang w:val="en-GB"/>
        </w:rPr>
        <w:t xml:space="preserve">tions 2A – 2C are shown in </w:t>
      </w:r>
      <w:r>
        <w:rPr>
          <w:lang w:val="en-GB"/>
        </w:rPr>
        <w:t>INF.18 to the 36th session of the SCEGHS (</w:t>
      </w:r>
      <w:r w:rsidR="009C5330">
        <w:rPr>
          <w:lang w:val="en-GB"/>
        </w:rPr>
        <w:t xml:space="preserve">Informal document </w:t>
      </w:r>
      <w:r>
        <w:rPr>
          <w:lang w:val="en-GB"/>
        </w:rPr>
        <w:t xml:space="preserve">INF.24 </w:t>
      </w:r>
      <w:r w:rsidR="009C5330">
        <w:rPr>
          <w:lang w:val="en-GB"/>
        </w:rPr>
        <w:t>(</w:t>
      </w:r>
      <w:r>
        <w:rPr>
          <w:lang w:val="en-GB"/>
        </w:rPr>
        <w:t>54</w:t>
      </w:r>
      <w:r w:rsidR="009C5330" w:rsidRPr="009C5330">
        <w:rPr>
          <w:vertAlign w:val="superscript"/>
          <w:lang w:val="en-GB"/>
        </w:rPr>
        <w:t>th</w:t>
      </w:r>
      <w:r w:rsidR="009C5330">
        <w:rPr>
          <w:lang w:val="en-GB"/>
        </w:rPr>
        <w:t xml:space="preserve"> </w:t>
      </w:r>
      <w:r>
        <w:rPr>
          <w:lang w:val="en-GB"/>
        </w:rPr>
        <w:t>session of the SCETDG). Note, however, that the criteria for Sub-category 2B and 2C have since then been amended to exclude explosives that detonate and disintegrate from these classifications.</w:t>
      </w:r>
    </w:p>
  </w:footnote>
  <w:footnote w:id="5">
    <w:p w:rsidR="00081E84" w:rsidRPr="00402ACB" w:rsidRDefault="00081E84" w:rsidP="009C5330">
      <w:pPr>
        <w:pStyle w:val="FootnoteText"/>
        <w:tabs>
          <w:tab w:val="clear" w:pos="1021"/>
          <w:tab w:val="right" w:pos="567"/>
          <w:tab w:val="left" w:pos="1418"/>
        </w:tabs>
        <w:ind w:firstLine="0"/>
      </w:pPr>
      <w:r>
        <w:rPr>
          <w:rStyle w:val="FootnoteReference"/>
        </w:rPr>
        <w:footnoteRef/>
      </w:r>
      <w:r>
        <w:t xml:space="preserve"> </w:t>
      </w:r>
      <w:r w:rsidR="009C5330">
        <w:tab/>
      </w:r>
      <w:r>
        <w:rPr>
          <w:lang w:val="en-GB"/>
        </w:rPr>
        <w:t>While the division currently is not displayed clearly on the GHS label, it can be derived from the current hazard statements since they are different for each of the divisions, see section 2.1.3 of the current Chapter 2.1.</w:t>
      </w:r>
    </w:p>
  </w:footnote>
  <w:footnote w:id="6">
    <w:p w:rsidR="00081E84" w:rsidRPr="0015178F" w:rsidRDefault="00081E84" w:rsidP="00613CF6">
      <w:pPr>
        <w:pStyle w:val="FootnoteText"/>
        <w:tabs>
          <w:tab w:val="left" w:pos="1418"/>
        </w:tabs>
        <w:ind w:firstLine="0"/>
        <w:rPr>
          <w:lang w:val="en-GB"/>
        </w:rPr>
      </w:pPr>
      <w:r>
        <w:rPr>
          <w:rStyle w:val="FootnoteReference"/>
        </w:rPr>
        <w:footnoteRef/>
      </w:r>
      <w:r>
        <w:t xml:space="preserve"> </w:t>
      </w:r>
      <w:r w:rsidR="00613CF6">
        <w:tab/>
      </w:r>
      <w:r w:rsidRPr="00EF3FB0">
        <w:rPr>
          <w:lang w:val="en-GB"/>
        </w:rPr>
        <w:t xml:space="preserve">As in </w:t>
      </w:r>
      <w:r w:rsidR="00613CF6">
        <w:rPr>
          <w:lang w:val="en-GB"/>
        </w:rPr>
        <w:t xml:space="preserve">informal document </w:t>
      </w:r>
      <w:r w:rsidRPr="0015178F">
        <w:rPr>
          <w:lang w:val="en-GB"/>
        </w:rPr>
        <w:t xml:space="preserve">INF.43 Rev. 1 </w:t>
      </w:r>
      <w:r w:rsidR="00613CF6">
        <w:rPr>
          <w:lang w:val="en-GB"/>
        </w:rPr>
        <w:t>(36</w:t>
      </w:r>
      <w:r w:rsidR="00613CF6" w:rsidRPr="00613CF6">
        <w:rPr>
          <w:vertAlign w:val="superscript"/>
          <w:lang w:val="en-GB"/>
        </w:rPr>
        <w:t>th</w:t>
      </w:r>
      <w:r w:rsidR="00613CF6">
        <w:rPr>
          <w:lang w:val="en-GB"/>
        </w:rPr>
        <w:t xml:space="preserve"> session)</w:t>
      </w:r>
      <w:r w:rsidRPr="0015178F">
        <w:rPr>
          <w:lang w:val="en-GB"/>
        </w:rPr>
        <w:t xml:space="preserve"> of the SCEGHS.</w:t>
      </w:r>
    </w:p>
  </w:footnote>
  <w:footnote w:id="7">
    <w:p w:rsidR="00081E84" w:rsidRPr="00964B8C" w:rsidRDefault="00081E84" w:rsidP="00FC3EF3">
      <w:pPr>
        <w:pStyle w:val="FootnoteText"/>
        <w:tabs>
          <w:tab w:val="clear" w:pos="1021"/>
          <w:tab w:val="right" w:pos="284"/>
          <w:tab w:val="left" w:pos="1418"/>
        </w:tabs>
        <w:ind w:firstLine="0"/>
        <w:rPr>
          <w:lang w:val="en-GB"/>
        </w:rPr>
      </w:pPr>
      <w:r>
        <w:rPr>
          <w:rStyle w:val="FootnoteReference"/>
        </w:rPr>
        <w:footnoteRef/>
      </w:r>
      <w:r>
        <w:t xml:space="preserve"> </w:t>
      </w:r>
      <w:r w:rsidR="00FC3EF3">
        <w:tab/>
      </w:r>
      <w:r w:rsidRPr="00964B8C">
        <w:rPr>
          <w:lang w:val="en-GB"/>
        </w:rPr>
        <w:t xml:space="preserve">See </w:t>
      </w:r>
      <w:r w:rsidR="00FC3EF3">
        <w:rPr>
          <w:lang w:val="en-GB"/>
        </w:rPr>
        <w:t xml:space="preserve">informal document </w:t>
      </w:r>
      <w:r w:rsidRPr="00964B8C">
        <w:rPr>
          <w:lang w:val="en-GB"/>
        </w:rPr>
        <w:t xml:space="preserve">INF.19 </w:t>
      </w:r>
      <w:r w:rsidR="00FC3EF3">
        <w:rPr>
          <w:lang w:val="en-GB"/>
        </w:rPr>
        <w:t>(36</w:t>
      </w:r>
      <w:r w:rsidR="00FC3EF3" w:rsidRPr="00FC3EF3">
        <w:rPr>
          <w:vertAlign w:val="superscript"/>
          <w:lang w:val="en-GB"/>
        </w:rPr>
        <w:t>th</w:t>
      </w:r>
      <w:r w:rsidR="00FC3EF3">
        <w:rPr>
          <w:lang w:val="en-GB"/>
        </w:rPr>
        <w:t xml:space="preserve"> session)</w:t>
      </w:r>
      <w:r w:rsidRPr="00964B8C">
        <w:rPr>
          <w:lang w:val="en-GB"/>
        </w:rPr>
        <w:t xml:space="preserve"> of the SCEGHS (</w:t>
      </w:r>
      <w:r w:rsidR="00FC3EF3">
        <w:rPr>
          <w:lang w:val="en-GB"/>
        </w:rPr>
        <w:t xml:space="preserve">informal document </w:t>
      </w:r>
      <w:r>
        <w:rPr>
          <w:lang w:val="en-GB"/>
        </w:rPr>
        <w:t xml:space="preserve">INF.29 </w:t>
      </w:r>
      <w:r w:rsidR="00FC3EF3">
        <w:rPr>
          <w:lang w:val="en-GB"/>
        </w:rPr>
        <w:t>(</w:t>
      </w:r>
      <w:r>
        <w:rPr>
          <w:lang w:val="en-GB"/>
        </w:rPr>
        <w:t>54</w:t>
      </w:r>
      <w:r w:rsidR="00FC3EF3" w:rsidRPr="00FC3EF3">
        <w:rPr>
          <w:vertAlign w:val="superscript"/>
          <w:lang w:val="en-GB"/>
        </w:rPr>
        <w:t>th</w:t>
      </w:r>
      <w:r w:rsidR="00FC3EF3">
        <w:rPr>
          <w:lang w:val="en-GB"/>
        </w:rPr>
        <w:t xml:space="preserve"> </w:t>
      </w:r>
      <w:r>
        <w:rPr>
          <w:lang w:val="en-GB"/>
        </w:rPr>
        <w:t>session of the SCETDG) for an elaborate discussion on this.</w:t>
      </w:r>
    </w:p>
  </w:footnote>
  <w:footnote w:id="8">
    <w:p w:rsidR="00081E84" w:rsidRPr="002B4C40" w:rsidRDefault="00081E84" w:rsidP="00FC3EF3">
      <w:pPr>
        <w:pStyle w:val="FootnoteText"/>
        <w:tabs>
          <w:tab w:val="left" w:pos="1418"/>
        </w:tabs>
        <w:ind w:firstLine="0"/>
        <w:rPr>
          <w:lang w:val="en-GB"/>
        </w:rPr>
      </w:pPr>
      <w:r>
        <w:rPr>
          <w:rStyle w:val="FootnoteReference"/>
        </w:rPr>
        <w:footnoteRef/>
      </w:r>
      <w:r>
        <w:t xml:space="preserve"> </w:t>
      </w:r>
      <w:r w:rsidR="00FC3EF3">
        <w:tab/>
      </w:r>
      <w:r w:rsidRPr="002B4C40">
        <w:rPr>
          <w:lang w:val="en-GB"/>
        </w:rPr>
        <w:t xml:space="preserve">See </w:t>
      </w:r>
      <w:r w:rsidR="00FC3EF3">
        <w:rPr>
          <w:lang w:val="en-GB"/>
        </w:rPr>
        <w:t xml:space="preserve">informal document </w:t>
      </w:r>
      <w:r w:rsidRPr="002B4C40">
        <w:rPr>
          <w:lang w:val="en-GB"/>
        </w:rPr>
        <w:t xml:space="preserve">INF.8 </w:t>
      </w:r>
      <w:r w:rsidR="00FC3EF3">
        <w:rPr>
          <w:lang w:val="en-GB"/>
        </w:rPr>
        <w:t>(37</w:t>
      </w:r>
      <w:r w:rsidR="00FC3EF3" w:rsidRPr="00FC3EF3">
        <w:rPr>
          <w:vertAlign w:val="superscript"/>
          <w:lang w:val="en-GB"/>
        </w:rPr>
        <w:t>th</w:t>
      </w:r>
      <w:r w:rsidR="00FC3EF3">
        <w:rPr>
          <w:lang w:val="en-GB"/>
        </w:rPr>
        <w:t xml:space="preserve"> session)</w:t>
      </w:r>
      <w:r w:rsidRPr="002B4C40">
        <w:rPr>
          <w:lang w:val="en-GB"/>
        </w:rPr>
        <w:t xml:space="preserve"> of the SCEGHS (</w:t>
      </w:r>
      <w:r w:rsidR="00FC3EF3">
        <w:rPr>
          <w:lang w:val="en-GB"/>
        </w:rPr>
        <w:t xml:space="preserve">informal document </w:t>
      </w:r>
      <w:r w:rsidRPr="002B4C40">
        <w:rPr>
          <w:lang w:val="en-GB"/>
        </w:rPr>
        <w:t xml:space="preserve">INF.19 </w:t>
      </w:r>
      <w:r w:rsidR="00FC3EF3">
        <w:rPr>
          <w:lang w:val="en-GB"/>
        </w:rPr>
        <w:t>(</w:t>
      </w:r>
      <w:r w:rsidRPr="002B4C40">
        <w:rPr>
          <w:lang w:val="en-GB"/>
        </w:rPr>
        <w:t>55</w:t>
      </w:r>
      <w:r w:rsidR="00FC3EF3" w:rsidRPr="00FC3EF3">
        <w:rPr>
          <w:vertAlign w:val="superscript"/>
          <w:lang w:val="en-GB"/>
        </w:rPr>
        <w:t>th</w:t>
      </w:r>
      <w:r w:rsidR="00FC3EF3">
        <w:rPr>
          <w:lang w:val="en-GB"/>
        </w:rPr>
        <w:t xml:space="preserve"> </w:t>
      </w:r>
      <w:r w:rsidRPr="002B4C40">
        <w:rPr>
          <w:lang w:val="en-GB"/>
        </w:rPr>
        <w:t>session of the SCETDG).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84" w:rsidRPr="00BD7EBA" w:rsidRDefault="00081E84" w:rsidP="001E5919">
    <w:pPr>
      <w:pStyle w:val="Header"/>
      <w:rPr>
        <w:lang w:val="fr-FR"/>
      </w:rPr>
    </w:pPr>
    <w:r>
      <w:rPr>
        <w:lang w:val="fr-FR"/>
      </w:rPr>
      <w:t>UN/SCETDG/56/INF.</w:t>
    </w:r>
    <w:r w:rsidR="009C5330">
      <w:rPr>
        <w:lang w:val="fr-FR"/>
      </w:rPr>
      <w:t>8</w:t>
    </w:r>
  </w:p>
  <w:p w:rsidR="00081E84" w:rsidRPr="001E5919" w:rsidRDefault="00081E84" w:rsidP="001E5919">
    <w:pPr>
      <w:pStyle w:val="Header"/>
      <w:rPr>
        <w:lang w:val="fr-FR"/>
      </w:rPr>
    </w:pPr>
    <w:r>
      <w:rPr>
        <w:lang w:val="fr-FR"/>
      </w:rPr>
      <w:t>UN/SCEGHS/38/INF.</w:t>
    </w:r>
    <w:r w:rsidR="009C5330">
      <w:rPr>
        <w:lang w:val="fr-FR"/>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84" w:rsidRPr="001E5919" w:rsidRDefault="00081E84" w:rsidP="001E5919">
    <w:pPr>
      <w:pStyle w:val="Header"/>
      <w:jc w:val="right"/>
      <w:rPr>
        <w:lang w:val="fr-FR"/>
      </w:rPr>
    </w:pPr>
    <w:r>
      <w:rPr>
        <w:lang w:val="fr-FR"/>
      </w:rPr>
      <w:t>UN/SCETDG/56/INF.</w:t>
    </w:r>
    <w:r w:rsidR="009C5330">
      <w:rPr>
        <w:lang w:val="fr-FR"/>
      </w:rPr>
      <w:t>8</w:t>
    </w:r>
    <w:r>
      <w:rPr>
        <w:lang w:val="fr-FR"/>
      </w:rPr>
      <w:br/>
      <w:t>UN/SCEGHS/38/INF.</w:t>
    </w:r>
    <w:r w:rsidR="009C5330">
      <w:rPr>
        <w:lang w:val="fr-FR"/>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84" w:rsidRPr="00542C8D" w:rsidRDefault="00081E84"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31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4F43590"/>
    <w:multiLevelType w:val="hybridMultilevel"/>
    <w:tmpl w:val="09EAC9B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DD5E88"/>
    <w:multiLevelType w:val="hybridMultilevel"/>
    <w:tmpl w:val="F9468540"/>
    <w:lvl w:ilvl="0" w:tplc="13CCC770">
      <w:start w:val="2"/>
      <w:numFmt w:val="bullet"/>
      <w:lvlText w:val=""/>
      <w:lvlJc w:val="left"/>
      <w:pPr>
        <w:ind w:left="720" w:hanging="360"/>
      </w:pPr>
      <w:rPr>
        <w:rFonts w:ascii="Symbol" w:eastAsiaTheme="minorHAnsi" w:hAnsi="Symbol" w:cstheme="minorBidi"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49125F4"/>
    <w:multiLevelType w:val="hybridMultilevel"/>
    <w:tmpl w:val="165AF21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54355F7"/>
    <w:multiLevelType w:val="hybridMultilevel"/>
    <w:tmpl w:val="466897E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E93DB1"/>
    <w:multiLevelType w:val="hybridMultilevel"/>
    <w:tmpl w:val="C84468EC"/>
    <w:lvl w:ilvl="0" w:tplc="B8588518">
      <w:start w:val="1"/>
      <w:numFmt w:val="lowerLetter"/>
      <w:lvlText w:val="%1)"/>
      <w:lvlJc w:val="left"/>
      <w:pPr>
        <w:ind w:left="775" w:hanging="360"/>
      </w:pPr>
      <w:rPr>
        <w:color w:val="auto"/>
      </w:rPr>
    </w:lvl>
    <w:lvl w:ilvl="1" w:tplc="041D0019" w:tentative="1">
      <w:start w:val="1"/>
      <w:numFmt w:val="lowerLetter"/>
      <w:lvlText w:val="%2."/>
      <w:lvlJc w:val="left"/>
      <w:pPr>
        <w:ind w:left="1495" w:hanging="360"/>
      </w:pPr>
    </w:lvl>
    <w:lvl w:ilvl="2" w:tplc="041D001B" w:tentative="1">
      <w:start w:val="1"/>
      <w:numFmt w:val="lowerRoman"/>
      <w:lvlText w:val="%3."/>
      <w:lvlJc w:val="right"/>
      <w:pPr>
        <w:ind w:left="2215" w:hanging="180"/>
      </w:pPr>
    </w:lvl>
    <w:lvl w:ilvl="3" w:tplc="041D000F" w:tentative="1">
      <w:start w:val="1"/>
      <w:numFmt w:val="decimal"/>
      <w:lvlText w:val="%4."/>
      <w:lvlJc w:val="left"/>
      <w:pPr>
        <w:ind w:left="2935" w:hanging="360"/>
      </w:pPr>
    </w:lvl>
    <w:lvl w:ilvl="4" w:tplc="041D0019" w:tentative="1">
      <w:start w:val="1"/>
      <w:numFmt w:val="lowerLetter"/>
      <w:lvlText w:val="%5."/>
      <w:lvlJc w:val="left"/>
      <w:pPr>
        <w:ind w:left="3655" w:hanging="360"/>
      </w:pPr>
    </w:lvl>
    <w:lvl w:ilvl="5" w:tplc="041D001B" w:tentative="1">
      <w:start w:val="1"/>
      <w:numFmt w:val="lowerRoman"/>
      <w:lvlText w:val="%6."/>
      <w:lvlJc w:val="right"/>
      <w:pPr>
        <w:ind w:left="4375" w:hanging="180"/>
      </w:pPr>
    </w:lvl>
    <w:lvl w:ilvl="6" w:tplc="041D000F" w:tentative="1">
      <w:start w:val="1"/>
      <w:numFmt w:val="decimal"/>
      <w:lvlText w:val="%7."/>
      <w:lvlJc w:val="left"/>
      <w:pPr>
        <w:ind w:left="5095" w:hanging="360"/>
      </w:pPr>
    </w:lvl>
    <w:lvl w:ilvl="7" w:tplc="041D0019" w:tentative="1">
      <w:start w:val="1"/>
      <w:numFmt w:val="lowerLetter"/>
      <w:lvlText w:val="%8."/>
      <w:lvlJc w:val="left"/>
      <w:pPr>
        <w:ind w:left="5815" w:hanging="360"/>
      </w:pPr>
    </w:lvl>
    <w:lvl w:ilvl="8" w:tplc="041D001B" w:tentative="1">
      <w:start w:val="1"/>
      <w:numFmt w:val="lowerRoman"/>
      <w:lvlText w:val="%9."/>
      <w:lvlJc w:val="right"/>
      <w:pPr>
        <w:ind w:left="6535" w:hanging="180"/>
      </w:pPr>
    </w:lvl>
  </w:abstractNum>
  <w:abstractNum w:abstractNumId="19" w15:restartNumberingAfterBreak="0">
    <w:nsid w:val="1B8320F5"/>
    <w:multiLevelType w:val="hybridMultilevel"/>
    <w:tmpl w:val="165AF21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B938F0"/>
    <w:multiLevelType w:val="hybridMultilevel"/>
    <w:tmpl w:val="09EAC9B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B9A6288"/>
    <w:multiLevelType w:val="hybridMultilevel"/>
    <w:tmpl w:val="85DA7008"/>
    <w:lvl w:ilvl="0" w:tplc="510E1498">
      <w:start w:val="1"/>
      <w:numFmt w:val="lowerRoman"/>
      <w:lvlText w:val="(%1)"/>
      <w:lvlJc w:val="right"/>
      <w:pPr>
        <w:ind w:left="1495" w:hanging="360"/>
      </w:pPr>
      <w:rPr>
        <w:rFonts w:hint="default"/>
      </w:rPr>
    </w:lvl>
    <w:lvl w:ilvl="1" w:tplc="041D0019" w:tentative="1">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abstractNum w:abstractNumId="2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86548B4"/>
    <w:multiLevelType w:val="hybridMultilevel"/>
    <w:tmpl w:val="904E6EDA"/>
    <w:lvl w:ilvl="0" w:tplc="162A9554">
      <w:start w:val="1"/>
      <w:numFmt w:val="lowerLetter"/>
      <w:lvlText w:val="%1)"/>
      <w:lvlJc w:val="left"/>
      <w:pPr>
        <w:ind w:left="1440" w:hanging="360"/>
      </w:pPr>
      <w:rPr>
        <w:color w:val="auto"/>
      </w:rPr>
    </w:lvl>
    <w:lvl w:ilvl="1" w:tplc="510E1498">
      <w:start w:val="1"/>
      <w:numFmt w:val="lowerRoman"/>
      <w:lvlText w:val="(%2)"/>
      <w:lvlJc w:val="right"/>
      <w:pPr>
        <w:ind w:left="2160" w:hanging="360"/>
      </w:pPr>
      <w:rPr>
        <w:rFonts w:hint="default"/>
      </w:rPr>
    </w:lvl>
    <w:lvl w:ilvl="2" w:tplc="A6D6CAF8">
      <w:start w:val="1"/>
      <w:numFmt w:val="bullet"/>
      <w:lvlText w:val="-"/>
      <w:lvlJc w:val="left"/>
      <w:pPr>
        <w:ind w:left="2880" w:hanging="180"/>
      </w:pPr>
      <w:rPr>
        <w:rFonts w:ascii="Calibri" w:eastAsia="Calibri" w:hAnsi="Calibri" w:cs="Times New Roman"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84F3CE3"/>
    <w:multiLevelType w:val="hybridMultilevel"/>
    <w:tmpl w:val="8006ED82"/>
    <w:lvl w:ilvl="0" w:tplc="3B0204F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56827464"/>
    <w:multiLevelType w:val="hybridMultilevel"/>
    <w:tmpl w:val="E236B7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5E163BED"/>
    <w:multiLevelType w:val="hybridMultilevel"/>
    <w:tmpl w:val="FF169C28"/>
    <w:lvl w:ilvl="0" w:tplc="041D0017">
      <w:start w:val="1"/>
      <w:numFmt w:val="lowerLetter"/>
      <w:lvlText w:val="%1)"/>
      <w:lvlJc w:val="left"/>
      <w:pPr>
        <w:ind w:left="1440" w:hanging="360"/>
      </w:pPr>
    </w:lvl>
    <w:lvl w:ilvl="1" w:tplc="510E1498">
      <w:start w:val="1"/>
      <w:numFmt w:val="lowerRoman"/>
      <w:lvlText w:val="(%2)"/>
      <w:lvlJc w:val="right"/>
      <w:pPr>
        <w:ind w:left="2160" w:hanging="360"/>
      </w:pPr>
      <w:rPr>
        <w:rFonts w:hint="default"/>
      </w:rPr>
    </w:lvl>
    <w:lvl w:ilvl="2" w:tplc="A6D6CAF8">
      <w:start w:val="1"/>
      <w:numFmt w:val="bullet"/>
      <w:lvlText w:val="-"/>
      <w:lvlJc w:val="left"/>
      <w:pPr>
        <w:ind w:left="2880" w:hanging="180"/>
      </w:pPr>
      <w:rPr>
        <w:rFonts w:ascii="Calibri" w:eastAsia="Calibri" w:hAnsi="Calibri" w:cs="Times New Roman"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3" w15:restartNumberingAfterBreak="0">
    <w:nsid w:val="5E8C6FDD"/>
    <w:multiLevelType w:val="hybridMultilevel"/>
    <w:tmpl w:val="9FE0FA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F9E6DED"/>
    <w:multiLevelType w:val="hybridMultilevel"/>
    <w:tmpl w:val="A2E80CEC"/>
    <w:lvl w:ilvl="0" w:tplc="041D0017">
      <w:start w:val="1"/>
      <w:numFmt w:val="lowerLetter"/>
      <w:lvlText w:val="%1)"/>
      <w:lvlJc w:val="left"/>
      <w:pPr>
        <w:ind w:left="2027" w:hanging="360"/>
      </w:pPr>
    </w:lvl>
    <w:lvl w:ilvl="1" w:tplc="37949FC0">
      <w:start w:val="1"/>
      <w:numFmt w:val="lowerLetter"/>
      <w:lvlText w:val="%2)"/>
      <w:lvlJc w:val="left"/>
      <w:pPr>
        <w:ind w:left="2747" w:hanging="360"/>
      </w:pPr>
      <w:rPr>
        <w:color w:val="auto"/>
      </w:rPr>
    </w:lvl>
    <w:lvl w:ilvl="2" w:tplc="510E1498">
      <w:start w:val="1"/>
      <w:numFmt w:val="lowerRoman"/>
      <w:lvlText w:val="(%3)"/>
      <w:lvlJc w:val="right"/>
      <w:pPr>
        <w:ind w:left="3467" w:hanging="180"/>
      </w:pPr>
      <w:rPr>
        <w:rFonts w:hint="default"/>
      </w:r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639F1AD4"/>
    <w:multiLevelType w:val="hybridMultilevel"/>
    <w:tmpl w:val="9FE0FA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45029A0"/>
    <w:multiLevelType w:val="hybridMultilevel"/>
    <w:tmpl w:val="3A461F08"/>
    <w:lvl w:ilvl="0" w:tplc="510E1498">
      <w:start w:val="1"/>
      <w:numFmt w:val="lowerRoman"/>
      <w:lvlText w:val="(%1)"/>
      <w:lvlJc w:val="right"/>
      <w:pPr>
        <w:ind w:left="1495" w:hanging="360"/>
      </w:pPr>
      <w:rPr>
        <w:rFonts w:hint="default"/>
      </w:rPr>
    </w:lvl>
    <w:lvl w:ilvl="1" w:tplc="041D0019" w:tentative="1">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abstractNum w:abstractNumId="39" w15:restartNumberingAfterBreak="0">
    <w:nsid w:val="655121B6"/>
    <w:multiLevelType w:val="hybridMultilevel"/>
    <w:tmpl w:val="F0F8F9FC"/>
    <w:lvl w:ilvl="0" w:tplc="041D0017">
      <w:start w:val="1"/>
      <w:numFmt w:val="lowerLetter"/>
      <w:lvlText w:val="%1)"/>
      <w:lvlJc w:val="left"/>
      <w:pPr>
        <w:ind w:left="1440" w:hanging="360"/>
      </w:pPr>
    </w:lvl>
    <w:lvl w:ilvl="1" w:tplc="510E1498">
      <w:start w:val="1"/>
      <w:numFmt w:val="lowerRoman"/>
      <w:lvlText w:val="(%2)"/>
      <w:lvlJc w:val="right"/>
      <w:pPr>
        <w:ind w:left="2160" w:hanging="360"/>
      </w:pPr>
      <w:rPr>
        <w:rFonts w:hint="default"/>
      </w:rPr>
    </w:lvl>
    <w:lvl w:ilvl="2" w:tplc="510E1498">
      <w:start w:val="1"/>
      <w:numFmt w:val="lowerRoman"/>
      <w:lvlText w:val="(%3)"/>
      <w:lvlJc w:val="right"/>
      <w:pPr>
        <w:ind w:left="2880" w:hanging="180"/>
      </w:pPr>
      <w:rPr>
        <w:rFonts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42" w15:restartNumberingAfterBreak="0">
    <w:nsid w:val="6EFF76CB"/>
    <w:multiLevelType w:val="hybridMultilevel"/>
    <w:tmpl w:val="47109A84"/>
    <w:lvl w:ilvl="0" w:tplc="5784D936">
      <w:start w:val="1"/>
      <w:numFmt w:val="lowerLetter"/>
      <w:lvlText w:val="%1)"/>
      <w:lvlJc w:val="left"/>
      <w:pPr>
        <w:ind w:left="775" w:hanging="360"/>
      </w:pPr>
      <w:rPr>
        <w:color w:val="auto"/>
        <w:sz w:val="20"/>
      </w:rPr>
    </w:lvl>
    <w:lvl w:ilvl="1" w:tplc="041D0019" w:tentative="1">
      <w:start w:val="1"/>
      <w:numFmt w:val="lowerLetter"/>
      <w:lvlText w:val="%2."/>
      <w:lvlJc w:val="left"/>
      <w:pPr>
        <w:ind w:left="1495" w:hanging="360"/>
      </w:pPr>
    </w:lvl>
    <w:lvl w:ilvl="2" w:tplc="041D001B" w:tentative="1">
      <w:start w:val="1"/>
      <w:numFmt w:val="lowerRoman"/>
      <w:lvlText w:val="%3."/>
      <w:lvlJc w:val="right"/>
      <w:pPr>
        <w:ind w:left="2215" w:hanging="180"/>
      </w:pPr>
    </w:lvl>
    <w:lvl w:ilvl="3" w:tplc="041D000F" w:tentative="1">
      <w:start w:val="1"/>
      <w:numFmt w:val="decimal"/>
      <w:lvlText w:val="%4."/>
      <w:lvlJc w:val="left"/>
      <w:pPr>
        <w:ind w:left="2935" w:hanging="360"/>
      </w:pPr>
    </w:lvl>
    <w:lvl w:ilvl="4" w:tplc="041D0019" w:tentative="1">
      <w:start w:val="1"/>
      <w:numFmt w:val="lowerLetter"/>
      <w:lvlText w:val="%5."/>
      <w:lvlJc w:val="left"/>
      <w:pPr>
        <w:ind w:left="3655" w:hanging="360"/>
      </w:pPr>
    </w:lvl>
    <w:lvl w:ilvl="5" w:tplc="041D001B" w:tentative="1">
      <w:start w:val="1"/>
      <w:numFmt w:val="lowerRoman"/>
      <w:lvlText w:val="%6."/>
      <w:lvlJc w:val="right"/>
      <w:pPr>
        <w:ind w:left="4375" w:hanging="180"/>
      </w:pPr>
    </w:lvl>
    <w:lvl w:ilvl="6" w:tplc="041D000F" w:tentative="1">
      <w:start w:val="1"/>
      <w:numFmt w:val="decimal"/>
      <w:lvlText w:val="%7."/>
      <w:lvlJc w:val="left"/>
      <w:pPr>
        <w:ind w:left="5095" w:hanging="360"/>
      </w:pPr>
    </w:lvl>
    <w:lvl w:ilvl="7" w:tplc="041D0019" w:tentative="1">
      <w:start w:val="1"/>
      <w:numFmt w:val="lowerLetter"/>
      <w:lvlText w:val="%8."/>
      <w:lvlJc w:val="left"/>
      <w:pPr>
        <w:ind w:left="5815" w:hanging="360"/>
      </w:pPr>
    </w:lvl>
    <w:lvl w:ilvl="8" w:tplc="041D001B" w:tentative="1">
      <w:start w:val="1"/>
      <w:numFmt w:val="lowerRoman"/>
      <w:lvlText w:val="%9."/>
      <w:lvlJc w:val="right"/>
      <w:pPr>
        <w:ind w:left="6535" w:hanging="180"/>
      </w:pPr>
    </w:lvl>
  </w:abstractNum>
  <w:abstractNum w:abstractNumId="43"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15:restartNumberingAfterBreak="0">
    <w:nsid w:val="73246DB0"/>
    <w:multiLevelType w:val="hybridMultilevel"/>
    <w:tmpl w:val="778A8AA2"/>
    <w:lvl w:ilvl="0" w:tplc="041D0017">
      <w:start w:val="1"/>
      <w:numFmt w:val="lowerLetter"/>
      <w:lvlText w:val="%1)"/>
      <w:lvlJc w:val="left"/>
      <w:pPr>
        <w:ind w:left="2027" w:hanging="360"/>
      </w:pPr>
    </w:lvl>
    <w:lvl w:ilvl="1" w:tplc="CDD4C4B8">
      <w:start w:val="1"/>
      <w:numFmt w:val="lowerLetter"/>
      <w:lvlText w:val="(%2)"/>
      <w:lvlJc w:val="left"/>
      <w:pPr>
        <w:ind w:left="2747" w:hanging="360"/>
      </w:pPr>
      <w:rPr>
        <w:rFonts w:hint="default"/>
      </w:rPr>
    </w:lvl>
    <w:lvl w:ilvl="2" w:tplc="041D001B" w:tentative="1">
      <w:start w:val="1"/>
      <w:numFmt w:val="lowerRoman"/>
      <w:lvlText w:val="%3."/>
      <w:lvlJc w:val="right"/>
      <w:pPr>
        <w:ind w:left="3467" w:hanging="180"/>
      </w:p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C2F3F"/>
    <w:multiLevelType w:val="hybridMultilevel"/>
    <w:tmpl w:val="E236B7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E431636"/>
    <w:multiLevelType w:val="hybridMultilevel"/>
    <w:tmpl w:val="50DC5C6A"/>
    <w:lvl w:ilvl="0" w:tplc="FE9681D6">
      <w:start w:val="1"/>
      <w:numFmt w:val="decimal"/>
      <w:lvlText w:val="%1."/>
      <w:lvlJc w:val="left"/>
      <w:pPr>
        <w:ind w:left="1494" w:hanging="360"/>
      </w:pPr>
      <w:rPr>
        <w:rFonts w:hint="default"/>
      </w:rPr>
    </w:lvl>
    <w:lvl w:ilvl="1" w:tplc="510E1498">
      <w:start w:val="1"/>
      <w:numFmt w:val="lowerRoman"/>
      <w:lvlText w:val="(%2)"/>
      <w:lvlJc w:val="righ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7"/>
  </w:num>
  <w:num w:numId="13">
    <w:abstractNumId w:val="12"/>
  </w:num>
  <w:num w:numId="14">
    <w:abstractNumId w:val="40"/>
  </w:num>
  <w:num w:numId="15">
    <w:abstractNumId w:val="45"/>
  </w:num>
  <w:num w:numId="16">
    <w:abstractNumId w:val="29"/>
  </w:num>
  <w:num w:numId="17">
    <w:abstractNumId w:val="24"/>
  </w:num>
  <w:num w:numId="18">
    <w:abstractNumId w:val="10"/>
  </w:num>
  <w:num w:numId="19">
    <w:abstractNumId w:val="27"/>
  </w:num>
  <w:num w:numId="20">
    <w:abstractNumId w:val="36"/>
  </w:num>
  <w:num w:numId="21">
    <w:abstractNumId w:val="43"/>
  </w:num>
  <w:num w:numId="22">
    <w:abstractNumId w:val="22"/>
  </w:num>
  <w:num w:numId="23">
    <w:abstractNumId w:val="25"/>
  </w:num>
  <w:num w:numId="24">
    <w:abstractNumId w:val="31"/>
  </w:num>
  <w:num w:numId="25">
    <w:abstractNumId w:val="20"/>
  </w:num>
  <w:num w:numId="26">
    <w:abstractNumId w:val="14"/>
  </w:num>
  <w:num w:numId="27">
    <w:abstractNumId w:val="41"/>
  </w:num>
  <w:num w:numId="28">
    <w:abstractNumId w:val="47"/>
  </w:num>
  <w:num w:numId="29">
    <w:abstractNumId w:val="13"/>
  </w:num>
  <w:num w:numId="30">
    <w:abstractNumId w:val="32"/>
  </w:num>
  <w:num w:numId="31">
    <w:abstractNumId w:val="18"/>
  </w:num>
  <w:num w:numId="32">
    <w:abstractNumId w:val="23"/>
  </w:num>
  <w:num w:numId="33">
    <w:abstractNumId w:val="38"/>
  </w:num>
  <w:num w:numId="34">
    <w:abstractNumId w:val="34"/>
  </w:num>
  <w:num w:numId="35">
    <w:abstractNumId w:val="19"/>
  </w:num>
  <w:num w:numId="36">
    <w:abstractNumId w:val="33"/>
  </w:num>
  <w:num w:numId="37">
    <w:abstractNumId w:val="30"/>
  </w:num>
  <w:num w:numId="38">
    <w:abstractNumId w:val="11"/>
  </w:num>
  <w:num w:numId="39">
    <w:abstractNumId w:val="44"/>
  </w:num>
  <w:num w:numId="40">
    <w:abstractNumId w:val="26"/>
  </w:num>
  <w:num w:numId="41">
    <w:abstractNumId w:val="16"/>
  </w:num>
  <w:num w:numId="42">
    <w:abstractNumId w:val="39"/>
  </w:num>
  <w:num w:numId="43">
    <w:abstractNumId w:val="15"/>
  </w:num>
  <w:num w:numId="44">
    <w:abstractNumId w:val="37"/>
  </w:num>
  <w:num w:numId="45">
    <w:abstractNumId w:val="46"/>
  </w:num>
  <w:num w:numId="46">
    <w:abstractNumId w:val="42"/>
  </w:num>
  <w:num w:numId="47">
    <w:abstractNumId w:val="21"/>
  </w:num>
  <w:num w:numId="4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89C"/>
    <w:rsid w:val="000019B8"/>
    <w:rsid w:val="00006FAE"/>
    <w:rsid w:val="00007923"/>
    <w:rsid w:val="000133C5"/>
    <w:rsid w:val="00017D24"/>
    <w:rsid w:val="00020BDA"/>
    <w:rsid w:val="000216CC"/>
    <w:rsid w:val="00026B64"/>
    <w:rsid w:val="0003042A"/>
    <w:rsid w:val="00031437"/>
    <w:rsid w:val="0003375D"/>
    <w:rsid w:val="00035C33"/>
    <w:rsid w:val="00040776"/>
    <w:rsid w:val="00043180"/>
    <w:rsid w:val="00044081"/>
    <w:rsid w:val="000441CC"/>
    <w:rsid w:val="00044A47"/>
    <w:rsid w:val="00044E44"/>
    <w:rsid w:val="000504CE"/>
    <w:rsid w:val="00050922"/>
    <w:rsid w:val="00050F6B"/>
    <w:rsid w:val="0005258D"/>
    <w:rsid w:val="00053492"/>
    <w:rsid w:val="0005361A"/>
    <w:rsid w:val="0005710C"/>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18ED"/>
    <w:rsid w:val="00103E90"/>
    <w:rsid w:val="0010461A"/>
    <w:rsid w:val="001054A3"/>
    <w:rsid w:val="001057AB"/>
    <w:rsid w:val="001058DD"/>
    <w:rsid w:val="00113F87"/>
    <w:rsid w:val="001149AA"/>
    <w:rsid w:val="00115303"/>
    <w:rsid w:val="00115FA4"/>
    <w:rsid w:val="00117787"/>
    <w:rsid w:val="00117D0D"/>
    <w:rsid w:val="00117D88"/>
    <w:rsid w:val="00117FD5"/>
    <w:rsid w:val="00120E7B"/>
    <w:rsid w:val="00121960"/>
    <w:rsid w:val="00121EB7"/>
    <w:rsid w:val="0012241F"/>
    <w:rsid w:val="00124B3F"/>
    <w:rsid w:val="00131B10"/>
    <w:rsid w:val="00131D42"/>
    <w:rsid w:val="00133C50"/>
    <w:rsid w:val="0013537A"/>
    <w:rsid w:val="00136721"/>
    <w:rsid w:val="00136DED"/>
    <w:rsid w:val="00136F78"/>
    <w:rsid w:val="001377BD"/>
    <w:rsid w:val="001406F4"/>
    <w:rsid w:val="00142B16"/>
    <w:rsid w:val="001470D6"/>
    <w:rsid w:val="00150B0B"/>
    <w:rsid w:val="0015178F"/>
    <w:rsid w:val="00153100"/>
    <w:rsid w:val="001617F5"/>
    <w:rsid w:val="001621AD"/>
    <w:rsid w:val="001633FB"/>
    <w:rsid w:val="00163A1B"/>
    <w:rsid w:val="00165735"/>
    <w:rsid w:val="00167786"/>
    <w:rsid w:val="00181019"/>
    <w:rsid w:val="001835BF"/>
    <w:rsid w:val="00184B86"/>
    <w:rsid w:val="0018686C"/>
    <w:rsid w:val="00192A12"/>
    <w:rsid w:val="00195084"/>
    <w:rsid w:val="0019637E"/>
    <w:rsid w:val="001A02A4"/>
    <w:rsid w:val="001A1CDC"/>
    <w:rsid w:val="001A3FC1"/>
    <w:rsid w:val="001A5DDE"/>
    <w:rsid w:val="001B0361"/>
    <w:rsid w:val="001B35EE"/>
    <w:rsid w:val="001B4B04"/>
    <w:rsid w:val="001B5846"/>
    <w:rsid w:val="001B6B72"/>
    <w:rsid w:val="001C08F5"/>
    <w:rsid w:val="001C429D"/>
    <w:rsid w:val="001C6663"/>
    <w:rsid w:val="001C7895"/>
    <w:rsid w:val="001D0B0A"/>
    <w:rsid w:val="001D25B8"/>
    <w:rsid w:val="001D26DF"/>
    <w:rsid w:val="001D2B40"/>
    <w:rsid w:val="001D2FDC"/>
    <w:rsid w:val="001D3123"/>
    <w:rsid w:val="001D3A88"/>
    <w:rsid w:val="001D4B2D"/>
    <w:rsid w:val="001D4E70"/>
    <w:rsid w:val="001D5B61"/>
    <w:rsid w:val="001D6E2F"/>
    <w:rsid w:val="001D7926"/>
    <w:rsid w:val="001D7B26"/>
    <w:rsid w:val="001E020F"/>
    <w:rsid w:val="001E312B"/>
    <w:rsid w:val="001E5919"/>
    <w:rsid w:val="001E66BE"/>
    <w:rsid w:val="001E797C"/>
    <w:rsid w:val="001F0374"/>
    <w:rsid w:val="00202788"/>
    <w:rsid w:val="0020301C"/>
    <w:rsid w:val="00211B12"/>
    <w:rsid w:val="00211E0B"/>
    <w:rsid w:val="0021481D"/>
    <w:rsid w:val="00221589"/>
    <w:rsid w:val="00221AC2"/>
    <w:rsid w:val="00223316"/>
    <w:rsid w:val="00223F20"/>
    <w:rsid w:val="00224CD9"/>
    <w:rsid w:val="002254D7"/>
    <w:rsid w:val="002277D8"/>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7C1E"/>
    <w:rsid w:val="00261B71"/>
    <w:rsid w:val="00262099"/>
    <w:rsid w:val="002621F5"/>
    <w:rsid w:val="00264A62"/>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2163"/>
    <w:rsid w:val="002C463C"/>
    <w:rsid w:val="002C6B65"/>
    <w:rsid w:val="002C7F25"/>
    <w:rsid w:val="002D3912"/>
    <w:rsid w:val="002D4DB6"/>
    <w:rsid w:val="002D5029"/>
    <w:rsid w:val="002D5A85"/>
    <w:rsid w:val="002D5C7D"/>
    <w:rsid w:val="002E0692"/>
    <w:rsid w:val="002E122E"/>
    <w:rsid w:val="002E35BB"/>
    <w:rsid w:val="002E3F53"/>
    <w:rsid w:val="002E4639"/>
    <w:rsid w:val="002E4D44"/>
    <w:rsid w:val="002E5CF2"/>
    <w:rsid w:val="002F1915"/>
    <w:rsid w:val="002F5815"/>
    <w:rsid w:val="002F68FD"/>
    <w:rsid w:val="002F7332"/>
    <w:rsid w:val="003003A7"/>
    <w:rsid w:val="003004DA"/>
    <w:rsid w:val="00302A3D"/>
    <w:rsid w:val="00305A08"/>
    <w:rsid w:val="003107D0"/>
    <w:rsid w:val="003107FA"/>
    <w:rsid w:val="00310BC2"/>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40BB2"/>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3BB5"/>
    <w:rsid w:val="003B5B38"/>
    <w:rsid w:val="003C0657"/>
    <w:rsid w:val="003C18C9"/>
    <w:rsid w:val="003C2819"/>
    <w:rsid w:val="003C2CC4"/>
    <w:rsid w:val="003C45DF"/>
    <w:rsid w:val="003C655D"/>
    <w:rsid w:val="003D247A"/>
    <w:rsid w:val="003D24BC"/>
    <w:rsid w:val="003D4B23"/>
    <w:rsid w:val="003F0564"/>
    <w:rsid w:val="003F23A4"/>
    <w:rsid w:val="003F5900"/>
    <w:rsid w:val="003F5B52"/>
    <w:rsid w:val="003F66F3"/>
    <w:rsid w:val="003F76AB"/>
    <w:rsid w:val="00402ACB"/>
    <w:rsid w:val="004030C5"/>
    <w:rsid w:val="00403EC6"/>
    <w:rsid w:val="00405216"/>
    <w:rsid w:val="004057CC"/>
    <w:rsid w:val="00406CD4"/>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8028B"/>
    <w:rsid w:val="00480BD4"/>
    <w:rsid w:val="0048304D"/>
    <w:rsid w:val="00484A9B"/>
    <w:rsid w:val="00486693"/>
    <w:rsid w:val="00486DA4"/>
    <w:rsid w:val="00492AF9"/>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3603"/>
    <w:rsid w:val="004E5BF6"/>
    <w:rsid w:val="004E75D6"/>
    <w:rsid w:val="004F4240"/>
    <w:rsid w:val="004F52AA"/>
    <w:rsid w:val="004F5854"/>
    <w:rsid w:val="004F77CD"/>
    <w:rsid w:val="005042BC"/>
    <w:rsid w:val="00507CF1"/>
    <w:rsid w:val="00507E5B"/>
    <w:rsid w:val="00512780"/>
    <w:rsid w:val="00515057"/>
    <w:rsid w:val="0051579D"/>
    <w:rsid w:val="00515955"/>
    <w:rsid w:val="00522177"/>
    <w:rsid w:val="005223CB"/>
    <w:rsid w:val="00524D87"/>
    <w:rsid w:val="005258D4"/>
    <w:rsid w:val="00527910"/>
    <w:rsid w:val="00530360"/>
    <w:rsid w:val="00532006"/>
    <w:rsid w:val="00534655"/>
    <w:rsid w:val="0053653D"/>
    <w:rsid w:val="00536DFA"/>
    <w:rsid w:val="005371B2"/>
    <w:rsid w:val="0053772A"/>
    <w:rsid w:val="00541247"/>
    <w:rsid w:val="005420F2"/>
    <w:rsid w:val="00542505"/>
    <w:rsid w:val="00542C8D"/>
    <w:rsid w:val="00542ED8"/>
    <w:rsid w:val="005434EF"/>
    <w:rsid w:val="005475D4"/>
    <w:rsid w:val="00550CA7"/>
    <w:rsid w:val="00551193"/>
    <w:rsid w:val="00551DC2"/>
    <w:rsid w:val="00552179"/>
    <w:rsid w:val="00555CDB"/>
    <w:rsid w:val="00561B6D"/>
    <w:rsid w:val="00562D45"/>
    <w:rsid w:val="0056615B"/>
    <w:rsid w:val="00567DFB"/>
    <w:rsid w:val="00567F21"/>
    <w:rsid w:val="005704BE"/>
    <w:rsid w:val="00571DAA"/>
    <w:rsid w:val="0057273D"/>
    <w:rsid w:val="0057340B"/>
    <w:rsid w:val="005739EC"/>
    <w:rsid w:val="00576F7D"/>
    <w:rsid w:val="00581125"/>
    <w:rsid w:val="0058129D"/>
    <w:rsid w:val="00581FB7"/>
    <w:rsid w:val="00590144"/>
    <w:rsid w:val="0059682C"/>
    <w:rsid w:val="00597BED"/>
    <w:rsid w:val="005A2489"/>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6607"/>
    <w:rsid w:val="005D68BD"/>
    <w:rsid w:val="005E3D28"/>
    <w:rsid w:val="005E3F00"/>
    <w:rsid w:val="005E53FE"/>
    <w:rsid w:val="005E5946"/>
    <w:rsid w:val="005E6758"/>
    <w:rsid w:val="005F3A39"/>
    <w:rsid w:val="005F5C2F"/>
    <w:rsid w:val="005F7BB1"/>
    <w:rsid w:val="00602490"/>
    <w:rsid w:val="00603528"/>
    <w:rsid w:val="00603E3C"/>
    <w:rsid w:val="0061166C"/>
    <w:rsid w:val="00611FC4"/>
    <w:rsid w:val="00612812"/>
    <w:rsid w:val="00613CF6"/>
    <w:rsid w:val="006176FB"/>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61016"/>
    <w:rsid w:val="0066179D"/>
    <w:rsid w:val="00662121"/>
    <w:rsid w:val="00662E09"/>
    <w:rsid w:val="00666A13"/>
    <w:rsid w:val="00670CF0"/>
    <w:rsid w:val="0067166E"/>
    <w:rsid w:val="0067582A"/>
    <w:rsid w:val="00675F87"/>
    <w:rsid w:val="006770DC"/>
    <w:rsid w:val="00685EFF"/>
    <w:rsid w:val="00690CD6"/>
    <w:rsid w:val="00695F8E"/>
    <w:rsid w:val="006A0E4A"/>
    <w:rsid w:val="006A16AC"/>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23978"/>
    <w:rsid w:val="007250E9"/>
    <w:rsid w:val="0072632A"/>
    <w:rsid w:val="00736A6E"/>
    <w:rsid w:val="00736E6A"/>
    <w:rsid w:val="00737407"/>
    <w:rsid w:val="007416F3"/>
    <w:rsid w:val="00741F59"/>
    <w:rsid w:val="0074697D"/>
    <w:rsid w:val="00747C8C"/>
    <w:rsid w:val="00751A5F"/>
    <w:rsid w:val="00753344"/>
    <w:rsid w:val="00755A0C"/>
    <w:rsid w:val="00755EBE"/>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A8"/>
    <w:rsid w:val="007B3C6D"/>
    <w:rsid w:val="007B5460"/>
    <w:rsid w:val="007B5E15"/>
    <w:rsid w:val="007B6BA5"/>
    <w:rsid w:val="007C2C0D"/>
    <w:rsid w:val="007C3162"/>
    <w:rsid w:val="007C3390"/>
    <w:rsid w:val="007C4C0D"/>
    <w:rsid w:val="007C4F4B"/>
    <w:rsid w:val="007C644D"/>
    <w:rsid w:val="007D1339"/>
    <w:rsid w:val="007D7BC6"/>
    <w:rsid w:val="007E4BD3"/>
    <w:rsid w:val="007E5C9D"/>
    <w:rsid w:val="007E5D7C"/>
    <w:rsid w:val="007F2A54"/>
    <w:rsid w:val="007F4FEF"/>
    <w:rsid w:val="007F5104"/>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F0214"/>
    <w:rsid w:val="008F0EB2"/>
    <w:rsid w:val="008F2D9A"/>
    <w:rsid w:val="008F44B8"/>
    <w:rsid w:val="008F504A"/>
    <w:rsid w:val="008F6413"/>
    <w:rsid w:val="00904EBC"/>
    <w:rsid w:val="00907CEB"/>
    <w:rsid w:val="00912597"/>
    <w:rsid w:val="00912B12"/>
    <w:rsid w:val="00912BA7"/>
    <w:rsid w:val="0091645B"/>
    <w:rsid w:val="00923019"/>
    <w:rsid w:val="00924B63"/>
    <w:rsid w:val="00933FAB"/>
    <w:rsid w:val="009363B6"/>
    <w:rsid w:val="0093711C"/>
    <w:rsid w:val="00937CF4"/>
    <w:rsid w:val="00940F46"/>
    <w:rsid w:val="00941ECC"/>
    <w:rsid w:val="00945A5D"/>
    <w:rsid w:val="00946A0D"/>
    <w:rsid w:val="0094762B"/>
    <w:rsid w:val="009549D5"/>
    <w:rsid w:val="00954F3C"/>
    <w:rsid w:val="00955109"/>
    <w:rsid w:val="00963B67"/>
    <w:rsid w:val="00963CBA"/>
    <w:rsid w:val="00964B8C"/>
    <w:rsid w:val="009701ED"/>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5330"/>
    <w:rsid w:val="009C6058"/>
    <w:rsid w:val="009C6168"/>
    <w:rsid w:val="009C6394"/>
    <w:rsid w:val="009D0E2A"/>
    <w:rsid w:val="009D0F0E"/>
    <w:rsid w:val="009D1AAE"/>
    <w:rsid w:val="009D558F"/>
    <w:rsid w:val="009D634E"/>
    <w:rsid w:val="009E1560"/>
    <w:rsid w:val="009E3FBA"/>
    <w:rsid w:val="009F0F06"/>
    <w:rsid w:val="009F4FC5"/>
    <w:rsid w:val="009F7CD7"/>
    <w:rsid w:val="00A02C71"/>
    <w:rsid w:val="00A068B8"/>
    <w:rsid w:val="00A1427D"/>
    <w:rsid w:val="00A15EA4"/>
    <w:rsid w:val="00A1716E"/>
    <w:rsid w:val="00A201E8"/>
    <w:rsid w:val="00A218F3"/>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244A"/>
    <w:rsid w:val="00A96FAF"/>
    <w:rsid w:val="00A971B9"/>
    <w:rsid w:val="00AA1D9A"/>
    <w:rsid w:val="00AA32EB"/>
    <w:rsid w:val="00AB2D3E"/>
    <w:rsid w:val="00AB382F"/>
    <w:rsid w:val="00AB4CF1"/>
    <w:rsid w:val="00AB547D"/>
    <w:rsid w:val="00AC0069"/>
    <w:rsid w:val="00AC1642"/>
    <w:rsid w:val="00AC7F82"/>
    <w:rsid w:val="00AD34EE"/>
    <w:rsid w:val="00AD7C88"/>
    <w:rsid w:val="00AE45DE"/>
    <w:rsid w:val="00AE57C8"/>
    <w:rsid w:val="00AF0878"/>
    <w:rsid w:val="00AF2F9D"/>
    <w:rsid w:val="00AF5853"/>
    <w:rsid w:val="00AF5B74"/>
    <w:rsid w:val="00AF6710"/>
    <w:rsid w:val="00B013E6"/>
    <w:rsid w:val="00B04D66"/>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14E7"/>
    <w:rsid w:val="00BE1FF8"/>
    <w:rsid w:val="00BE47B0"/>
    <w:rsid w:val="00BE50CA"/>
    <w:rsid w:val="00BE618E"/>
    <w:rsid w:val="00BF490E"/>
    <w:rsid w:val="00BF5205"/>
    <w:rsid w:val="00BF663A"/>
    <w:rsid w:val="00C01170"/>
    <w:rsid w:val="00C0263F"/>
    <w:rsid w:val="00C03B44"/>
    <w:rsid w:val="00C060D3"/>
    <w:rsid w:val="00C10B00"/>
    <w:rsid w:val="00C13A85"/>
    <w:rsid w:val="00C14E41"/>
    <w:rsid w:val="00C20CF6"/>
    <w:rsid w:val="00C218A4"/>
    <w:rsid w:val="00C22773"/>
    <w:rsid w:val="00C23E4F"/>
    <w:rsid w:val="00C34642"/>
    <w:rsid w:val="00C36D37"/>
    <w:rsid w:val="00C37C37"/>
    <w:rsid w:val="00C37E31"/>
    <w:rsid w:val="00C463DD"/>
    <w:rsid w:val="00C46D5B"/>
    <w:rsid w:val="00C519E2"/>
    <w:rsid w:val="00C5283C"/>
    <w:rsid w:val="00C537D5"/>
    <w:rsid w:val="00C53FAC"/>
    <w:rsid w:val="00C62F76"/>
    <w:rsid w:val="00C66D78"/>
    <w:rsid w:val="00C70414"/>
    <w:rsid w:val="00C71A92"/>
    <w:rsid w:val="00C745C3"/>
    <w:rsid w:val="00C81212"/>
    <w:rsid w:val="00C81810"/>
    <w:rsid w:val="00C8214E"/>
    <w:rsid w:val="00C84FF1"/>
    <w:rsid w:val="00C86E64"/>
    <w:rsid w:val="00C87B3A"/>
    <w:rsid w:val="00C91180"/>
    <w:rsid w:val="00C91CF8"/>
    <w:rsid w:val="00C93C11"/>
    <w:rsid w:val="00C94F7A"/>
    <w:rsid w:val="00C971F6"/>
    <w:rsid w:val="00CA049C"/>
    <w:rsid w:val="00CA381C"/>
    <w:rsid w:val="00CA74D3"/>
    <w:rsid w:val="00CB1DEE"/>
    <w:rsid w:val="00CB2158"/>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484D"/>
    <w:rsid w:val="00CF6D3F"/>
    <w:rsid w:val="00CF6F32"/>
    <w:rsid w:val="00CF778D"/>
    <w:rsid w:val="00D01525"/>
    <w:rsid w:val="00D01FA3"/>
    <w:rsid w:val="00D03D1B"/>
    <w:rsid w:val="00D049A9"/>
    <w:rsid w:val="00D04B74"/>
    <w:rsid w:val="00D057E3"/>
    <w:rsid w:val="00D0631B"/>
    <w:rsid w:val="00D06C3A"/>
    <w:rsid w:val="00D124FE"/>
    <w:rsid w:val="00D150F1"/>
    <w:rsid w:val="00D164BA"/>
    <w:rsid w:val="00D2031B"/>
    <w:rsid w:val="00D25E8C"/>
    <w:rsid w:val="00D25FE2"/>
    <w:rsid w:val="00D27461"/>
    <w:rsid w:val="00D27E89"/>
    <w:rsid w:val="00D352FD"/>
    <w:rsid w:val="00D35917"/>
    <w:rsid w:val="00D366A7"/>
    <w:rsid w:val="00D37E80"/>
    <w:rsid w:val="00D42C29"/>
    <w:rsid w:val="00D43252"/>
    <w:rsid w:val="00D46231"/>
    <w:rsid w:val="00D477C4"/>
    <w:rsid w:val="00D51E16"/>
    <w:rsid w:val="00D52CD5"/>
    <w:rsid w:val="00D53210"/>
    <w:rsid w:val="00D5409C"/>
    <w:rsid w:val="00D558E3"/>
    <w:rsid w:val="00D55A6B"/>
    <w:rsid w:val="00D57C13"/>
    <w:rsid w:val="00D57FD9"/>
    <w:rsid w:val="00D610C1"/>
    <w:rsid w:val="00D658FA"/>
    <w:rsid w:val="00D7217B"/>
    <w:rsid w:val="00D730E3"/>
    <w:rsid w:val="00D753D8"/>
    <w:rsid w:val="00D76C68"/>
    <w:rsid w:val="00D82B25"/>
    <w:rsid w:val="00D83AF1"/>
    <w:rsid w:val="00D90CAF"/>
    <w:rsid w:val="00D9274F"/>
    <w:rsid w:val="00D96248"/>
    <w:rsid w:val="00D96CC5"/>
    <w:rsid w:val="00D978C6"/>
    <w:rsid w:val="00D97B77"/>
    <w:rsid w:val="00DA0A3A"/>
    <w:rsid w:val="00DA1EB9"/>
    <w:rsid w:val="00DA6620"/>
    <w:rsid w:val="00DA67AD"/>
    <w:rsid w:val="00DB0645"/>
    <w:rsid w:val="00DB108D"/>
    <w:rsid w:val="00DB1C61"/>
    <w:rsid w:val="00DB604E"/>
    <w:rsid w:val="00DB72BC"/>
    <w:rsid w:val="00DC459A"/>
    <w:rsid w:val="00DC487B"/>
    <w:rsid w:val="00DC5EF6"/>
    <w:rsid w:val="00DD42A0"/>
    <w:rsid w:val="00DD5DA2"/>
    <w:rsid w:val="00DE11A6"/>
    <w:rsid w:val="00DE236F"/>
    <w:rsid w:val="00DE3ECB"/>
    <w:rsid w:val="00DE4785"/>
    <w:rsid w:val="00DE4D5E"/>
    <w:rsid w:val="00DE6233"/>
    <w:rsid w:val="00DE7267"/>
    <w:rsid w:val="00DF0A4D"/>
    <w:rsid w:val="00DF1EE3"/>
    <w:rsid w:val="00DF1EE9"/>
    <w:rsid w:val="00DF3039"/>
    <w:rsid w:val="00DF38F3"/>
    <w:rsid w:val="00DF3A04"/>
    <w:rsid w:val="00DF4518"/>
    <w:rsid w:val="00E03DE5"/>
    <w:rsid w:val="00E10201"/>
    <w:rsid w:val="00E12018"/>
    <w:rsid w:val="00E130AB"/>
    <w:rsid w:val="00E15BF1"/>
    <w:rsid w:val="00E1679E"/>
    <w:rsid w:val="00E21BCB"/>
    <w:rsid w:val="00E239A0"/>
    <w:rsid w:val="00E26269"/>
    <w:rsid w:val="00E308AF"/>
    <w:rsid w:val="00E32E0D"/>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6B63"/>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5087E"/>
    <w:rsid w:val="00F51BAB"/>
    <w:rsid w:val="00F535BE"/>
    <w:rsid w:val="00F535EB"/>
    <w:rsid w:val="00F545B1"/>
    <w:rsid w:val="00F54674"/>
    <w:rsid w:val="00F54BAB"/>
    <w:rsid w:val="00F554A1"/>
    <w:rsid w:val="00F5723F"/>
    <w:rsid w:val="00F57DD3"/>
    <w:rsid w:val="00F64C95"/>
    <w:rsid w:val="00F64D44"/>
    <w:rsid w:val="00F669F0"/>
    <w:rsid w:val="00F75E96"/>
    <w:rsid w:val="00F82AD7"/>
    <w:rsid w:val="00FA00A0"/>
    <w:rsid w:val="00FA3FB7"/>
    <w:rsid w:val="00FA7EDD"/>
    <w:rsid w:val="00FB3E18"/>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5246"/>
    <w:rsid w:val="00FD5349"/>
    <w:rsid w:val="00FD546E"/>
    <w:rsid w:val="00FD6B2B"/>
    <w:rsid w:val="00FD7F38"/>
    <w:rsid w:val="00FE3EEA"/>
    <w:rsid w:val="00FE54C1"/>
    <w:rsid w:val="00FE681E"/>
    <w:rsid w:val="00FE6A27"/>
    <w:rsid w:val="00FF03BB"/>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A357-2BB2-4BBC-B8C1-F497DF3C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47</TotalTime>
  <Pages>15</Pages>
  <Words>5737</Words>
  <Characters>32702</Characters>
  <Application>Microsoft Office Word</Application>
  <DocSecurity>0</DocSecurity>
  <Lines>272</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RGC</cp:lastModifiedBy>
  <cp:revision>12</cp:revision>
  <cp:lastPrinted>2019-10-31T13:03:00Z</cp:lastPrinted>
  <dcterms:created xsi:type="dcterms:W3CDTF">2019-10-31T14:08:00Z</dcterms:created>
  <dcterms:modified xsi:type="dcterms:W3CDTF">2019-11-01T09:38:00Z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