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B0C85" w:rsidRPr="00AC0D47" w:rsidTr="00D751D5">
        <w:trPr>
          <w:cantSplit/>
          <w:trHeight w:hRule="exact" w:val="851"/>
        </w:trPr>
        <w:tc>
          <w:tcPr>
            <w:tcW w:w="1276" w:type="dxa"/>
            <w:tcBorders>
              <w:bottom w:val="single" w:sz="4" w:space="0" w:color="auto"/>
            </w:tcBorders>
            <w:shd w:val="clear" w:color="auto" w:fill="auto"/>
            <w:vAlign w:val="bottom"/>
          </w:tcPr>
          <w:p w:rsidR="002B0C85" w:rsidRPr="00AC0D47" w:rsidRDefault="002B0C85" w:rsidP="002B0C85">
            <w:pPr>
              <w:spacing w:after="80"/>
            </w:pPr>
          </w:p>
        </w:tc>
        <w:tc>
          <w:tcPr>
            <w:tcW w:w="2268" w:type="dxa"/>
            <w:tcBorders>
              <w:bottom w:val="single" w:sz="4" w:space="0" w:color="auto"/>
            </w:tcBorders>
            <w:shd w:val="clear" w:color="auto" w:fill="auto"/>
            <w:vAlign w:val="bottom"/>
          </w:tcPr>
          <w:p w:rsidR="002B0C85" w:rsidRPr="00AC0D47" w:rsidRDefault="002B0C85" w:rsidP="002B0C85">
            <w:pPr>
              <w:spacing w:after="80" w:line="300" w:lineRule="exact"/>
              <w:rPr>
                <w:b/>
                <w:sz w:val="24"/>
                <w:szCs w:val="24"/>
              </w:rPr>
            </w:pPr>
            <w:r w:rsidRPr="00AC0D47">
              <w:rPr>
                <w:sz w:val="28"/>
                <w:szCs w:val="28"/>
              </w:rPr>
              <w:t>United Nations</w:t>
            </w:r>
          </w:p>
        </w:tc>
        <w:tc>
          <w:tcPr>
            <w:tcW w:w="6095" w:type="dxa"/>
            <w:gridSpan w:val="2"/>
            <w:tcBorders>
              <w:bottom w:val="single" w:sz="4" w:space="0" w:color="auto"/>
            </w:tcBorders>
            <w:shd w:val="clear" w:color="auto" w:fill="auto"/>
            <w:vAlign w:val="bottom"/>
          </w:tcPr>
          <w:p w:rsidR="002B0C85" w:rsidRPr="00AC0D47" w:rsidRDefault="002B0C85" w:rsidP="00171DAC">
            <w:pPr>
              <w:suppressAutoHyphens w:val="0"/>
              <w:spacing w:after="20"/>
              <w:jc w:val="right"/>
            </w:pPr>
            <w:bookmarkStart w:id="0" w:name="_Hlk516735518"/>
            <w:bookmarkStart w:id="1" w:name="_GoBack"/>
            <w:r w:rsidRPr="00AC0D47">
              <w:rPr>
                <w:sz w:val="40"/>
              </w:rPr>
              <w:t>ECE</w:t>
            </w:r>
            <w:r w:rsidR="00C17E19">
              <w:t>/TRANS/WP.15/AC.2/201</w:t>
            </w:r>
            <w:r w:rsidR="00673687">
              <w:t>8</w:t>
            </w:r>
            <w:r w:rsidRPr="00AC0D47">
              <w:t>/</w:t>
            </w:r>
            <w:r w:rsidR="00171DAC">
              <w:t>2</w:t>
            </w:r>
            <w:r w:rsidR="00673687">
              <w:t>4</w:t>
            </w:r>
            <w:bookmarkEnd w:id="0"/>
            <w:bookmarkEnd w:id="1"/>
          </w:p>
        </w:tc>
      </w:tr>
      <w:tr w:rsidR="002B0C85" w:rsidRPr="00673687" w:rsidTr="00D751D5">
        <w:trPr>
          <w:cantSplit/>
          <w:trHeight w:hRule="exact" w:val="2835"/>
        </w:trPr>
        <w:tc>
          <w:tcPr>
            <w:tcW w:w="1276" w:type="dxa"/>
            <w:tcBorders>
              <w:top w:val="single" w:sz="4" w:space="0" w:color="auto"/>
              <w:bottom w:val="single" w:sz="12" w:space="0" w:color="auto"/>
            </w:tcBorders>
            <w:shd w:val="clear" w:color="auto" w:fill="auto"/>
          </w:tcPr>
          <w:p w:rsidR="002B0C85" w:rsidRPr="00AC0D47" w:rsidRDefault="00AB3EF4" w:rsidP="002B0C85">
            <w:pPr>
              <w:spacing w:before="120"/>
            </w:pPr>
            <w:r>
              <w:rPr>
                <w:noProof/>
                <w:lang w:val="en-US"/>
              </w:rPr>
              <w:drawing>
                <wp:inline distT="0" distB="0" distL="0" distR="0">
                  <wp:extent cx="716280" cy="593725"/>
                  <wp:effectExtent l="0" t="0" r="762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2B0C85" w:rsidRPr="00AC0D47" w:rsidRDefault="002B0C85" w:rsidP="002B0C85">
            <w:pPr>
              <w:spacing w:before="120" w:line="420" w:lineRule="exact"/>
              <w:rPr>
                <w:sz w:val="40"/>
                <w:szCs w:val="40"/>
              </w:rPr>
            </w:pPr>
            <w:proofErr w:type="spellStart"/>
            <w:r w:rsidRPr="00AC0D47">
              <w:rPr>
                <w:b/>
                <w:sz w:val="40"/>
                <w:szCs w:val="40"/>
              </w:rPr>
              <w:t>Economic</w:t>
            </w:r>
            <w:proofErr w:type="spellEnd"/>
            <w:r w:rsidRPr="00AC0D47">
              <w:rPr>
                <w:b/>
                <w:sz w:val="40"/>
                <w:szCs w:val="40"/>
              </w:rPr>
              <w:t xml:space="preserve"> and Social Council</w:t>
            </w:r>
          </w:p>
        </w:tc>
        <w:tc>
          <w:tcPr>
            <w:tcW w:w="2835" w:type="dxa"/>
            <w:tcBorders>
              <w:top w:val="single" w:sz="4" w:space="0" w:color="auto"/>
              <w:bottom w:val="single" w:sz="12" w:space="0" w:color="auto"/>
            </w:tcBorders>
            <w:shd w:val="clear" w:color="auto" w:fill="auto"/>
          </w:tcPr>
          <w:p w:rsidR="002B0C85" w:rsidRPr="00C17E19" w:rsidRDefault="002B0C85" w:rsidP="002B0C85">
            <w:pPr>
              <w:suppressAutoHyphens w:val="0"/>
              <w:spacing w:before="240" w:line="240" w:lineRule="exact"/>
              <w:rPr>
                <w:lang w:val="en-GB"/>
              </w:rPr>
            </w:pPr>
            <w:r w:rsidRPr="00C17E19">
              <w:rPr>
                <w:lang w:val="en-GB"/>
              </w:rPr>
              <w:t>Distr.: General</w:t>
            </w:r>
          </w:p>
          <w:p w:rsidR="002B0C85" w:rsidRPr="00C17E19" w:rsidRDefault="00B842E5" w:rsidP="002B0C85">
            <w:pPr>
              <w:suppressAutoHyphens w:val="0"/>
              <w:rPr>
                <w:lang w:val="en-GB"/>
              </w:rPr>
            </w:pPr>
            <w:r w:rsidRPr="00B842E5">
              <w:rPr>
                <w:lang w:val="en-GB"/>
              </w:rPr>
              <w:t>13</w:t>
            </w:r>
            <w:r w:rsidR="005C6D4D" w:rsidRPr="00B842E5">
              <w:rPr>
                <w:lang w:val="en-GB"/>
              </w:rPr>
              <w:t xml:space="preserve"> </w:t>
            </w:r>
            <w:r w:rsidR="00225F10" w:rsidRPr="00B842E5">
              <w:rPr>
                <w:lang w:val="en-GB"/>
              </w:rPr>
              <w:t>June</w:t>
            </w:r>
            <w:r w:rsidR="002B0C85" w:rsidRPr="00B842E5">
              <w:rPr>
                <w:lang w:val="en-GB"/>
              </w:rPr>
              <w:t xml:space="preserve"> 201</w:t>
            </w:r>
            <w:r w:rsidR="00673687" w:rsidRPr="00B842E5">
              <w:rPr>
                <w:lang w:val="en-GB"/>
              </w:rPr>
              <w:t>8</w:t>
            </w:r>
          </w:p>
          <w:p w:rsidR="002B0C85" w:rsidRPr="00C17E19" w:rsidRDefault="002B0C85" w:rsidP="002B0C85">
            <w:pPr>
              <w:suppressAutoHyphens w:val="0"/>
              <w:rPr>
                <w:lang w:val="en-GB"/>
              </w:rPr>
            </w:pPr>
            <w:r w:rsidRPr="00C17E19">
              <w:rPr>
                <w:lang w:val="en-GB"/>
              </w:rPr>
              <w:t>English</w:t>
            </w:r>
          </w:p>
          <w:p w:rsidR="002B0C85" w:rsidRPr="00C17E19" w:rsidRDefault="002B0C85" w:rsidP="002B0C85">
            <w:pPr>
              <w:suppressAutoHyphens w:val="0"/>
              <w:rPr>
                <w:lang w:val="en-GB"/>
              </w:rPr>
            </w:pPr>
            <w:r w:rsidRPr="00C17E19">
              <w:rPr>
                <w:lang w:val="en-GB"/>
              </w:rPr>
              <w:t>Original: English and French</w:t>
            </w:r>
          </w:p>
        </w:tc>
      </w:tr>
    </w:tbl>
    <w:p w:rsidR="002B0C85" w:rsidRPr="002B0C85" w:rsidRDefault="002B0C85" w:rsidP="002B0C85">
      <w:pPr>
        <w:spacing w:before="120"/>
        <w:rPr>
          <w:b/>
          <w:sz w:val="28"/>
          <w:szCs w:val="28"/>
          <w:lang w:val="en-GB"/>
        </w:rPr>
      </w:pPr>
      <w:r w:rsidRPr="002B0C85">
        <w:rPr>
          <w:b/>
          <w:sz w:val="28"/>
          <w:szCs w:val="28"/>
          <w:lang w:val="en-GB"/>
        </w:rPr>
        <w:t>Economic Commission for Europe</w:t>
      </w:r>
    </w:p>
    <w:p w:rsidR="002B0C85" w:rsidRPr="002B0C85" w:rsidRDefault="002B0C85" w:rsidP="002B0C85">
      <w:pPr>
        <w:spacing w:before="120"/>
        <w:rPr>
          <w:sz w:val="28"/>
          <w:szCs w:val="28"/>
          <w:lang w:val="en-GB"/>
        </w:rPr>
      </w:pPr>
      <w:r w:rsidRPr="002B0C85">
        <w:rPr>
          <w:sz w:val="28"/>
          <w:szCs w:val="28"/>
          <w:lang w:val="en-GB"/>
        </w:rPr>
        <w:t>Inland Transport Committee</w:t>
      </w:r>
    </w:p>
    <w:p w:rsidR="002B0C85" w:rsidRPr="002B0C85" w:rsidRDefault="002B0C85" w:rsidP="002B0C85">
      <w:pPr>
        <w:spacing w:before="120"/>
        <w:rPr>
          <w:b/>
          <w:sz w:val="24"/>
          <w:szCs w:val="24"/>
          <w:lang w:val="en-GB"/>
        </w:rPr>
      </w:pPr>
      <w:r w:rsidRPr="002B0C85">
        <w:rPr>
          <w:b/>
          <w:sz w:val="24"/>
          <w:szCs w:val="24"/>
          <w:lang w:val="en-GB"/>
        </w:rPr>
        <w:t>Working Party on the Transport of Dangerous Goods</w:t>
      </w:r>
    </w:p>
    <w:p w:rsidR="002B0C85" w:rsidRPr="002B0C85" w:rsidRDefault="002B0C85" w:rsidP="002B0C85">
      <w:pPr>
        <w:spacing w:before="120"/>
        <w:rPr>
          <w:b/>
          <w:lang w:val="en-GB"/>
        </w:rPr>
      </w:pPr>
      <w:r w:rsidRPr="002B0C85">
        <w:rPr>
          <w:b/>
          <w:lang w:val="en-GB"/>
        </w:rPr>
        <w:t xml:space="preserve">Joint Meeting of Experts on the Regulations annexed to the </w:t>
      </w:r>
      <w:r w:rsidRPr="002B0C85">
        <w:rPr>
          <w:b/>
          <w:lang w:val="en-GB"/>
        </w:rPr>
        <w:br/>
        <w:t xml:space="preserve">European Agreement concerning the International Carriage </w:t>
      </w:r>
      <w:r w:rsidRPr="002B0C85">
        <w:rPr>
          <w:b/>
          <w:lang w:val="en-GB"/>
        </w:rPr>
        <w:br/>
        <w:t>of Dangerous Goods by Inland Waterways (ADN)</w:t>
      </w:r>
    </w:p>
    <w:p w:rsidR="002B0C85" w:rsidRPr="002B0C85" w:rsidRDefault="002B0C85" w:rsidP="002B0C85">
      <w:pPr>
        <w:rPr>
          <w:b/>
          <w:lang w:val="en-GB"/>
        </w:rPr>
      </w:pPr>
      <w:r w:rsidRPr="002B0C85">
        <w:rPr>
          <w:b/>
          <w:lang w:val="en-GB"/>
        </w:rPr>
        <w:t>(ADN Safety Committee)</w:t>
      </w:r>
    </w:p>
    <w:p w:rsidR="00673687" w:rsidRPr="00281D82" w:rsidRDefault="00673687" w:rsidP="00673687">
      <w:pPr>
        <w:spacing w:before="120"/>
        <w:rPr>
          <w:b/>
          <w:lang w:val="en-GB"/>
        </w:rPr>
      </w:pPr>
      <w:r w:rsidRPr="00281D82">
        <w:rPr>
          <w:b/>
          <w:lang w:val="en-GB"/>
        </w:rPr>
        <w:t>Thirty-third session</w:t>
      </w:r>
    </w:p>
    <w:p w:rsidR="002B0C85" w:rsidRPr="00281D82" w:rsidRDefault="00673687" w:rsidP="00673687">
      <w:pPr>
        <w:rPr>
          <w:lang w:val="en-GB"/>
        </w:rPr>
      </w:pPr>
      <w:r w:rsidRPr="00281D82">
        <w:rPr>
          <w:lang w:val="en-GB"/>
        </w:rPr>
        <w:t>Geneva, 27–31</w:t>
      </w:r>
      <w:r w:rsidR="00B842E5">
        <w:rPr>
          <w:lang w:val="en-GB"/>
        </w:rPr>
        <w:t xml:space="preserve"> </w:t>
      </w:r>
      <w:r w:rsidRPr="00281D82">
        <w:rPr>
          <w:lang w:val="en-GB"/>
        </w:rPr>
        <w:t>August 2018</w:t>
      </w:r>
    </w:p>
    <w:p w:rsidR="002B0C85" w:rsidRPr="00281D82" w:rsidRDefault="002B0C85" w:rsidP="002B0C85">
      <w:pPr>
        <w:rPr>
          <w:lang w:val="en-GB"/>
        </w:rPr>
      </w:pPr>
      <w:r w:rsidRPr="00281D82">
        <w:rPr>
          <w:lang w:val="en-GB"/>
        </w:rPr>
        <w:t xml:space="preserve">Item </w:t>
      </w:r>
      <w:r w:rsidR="00C17E19" w:rsidRPr="00281D82">
        <w:rPr>
          <w:lang w:val="en-GB"/>
        </w:rPr>
        <w:t>4</w:t>
      </w:r>
      <w:r w:rsidRPr="00281D82">
        <w:rPr>
          <w:lang w:val="en-GB"/>
        </w:rPr>
        <w:t xml:space="preserve"> (a) of the provisional agenda</w:t>
      </w:r>
    </w:p>
    <w:p w:rsidR="002B0C85" w:rsidRPr="002B0C85" w:rsidRDefault="002B0C85" w:rsidP="002B0C85">
      <w:pPr>
        <w:rPr>
          <w:b/>
          <w:lang w:val="en-GB"/>
        </w:rPr>
      </w:pPr>
      <w:r w:rsidRPr="002B0C85">
        <w:rPr>
          <w:b/>
          <w:lang w:val="en-GB"/>
        </w:rPr>
        <w:t>Proposals for amendments to the Regulations annexed to ADN:</w:t>
      </w:r>
    </w:p>
    <w:p w:rsidR="002B0C85" w:rsidRPr="002B0C85" w:rsidRDefault="00171DAC" w:rsidP="002B0C85">
      <w:pPr>
        <w:rPr>
          <w:b/>
          <w:lang w:val="en-GB"/>
        </w:rPr>
      </w:pPr>
      <w:r>
        <w:rPr>
          <w:b/>
          <w:lang w:val="en-GB"/>
        </w:rPr>
        <w:t>w</w:t>
      </w:r>
      <w:r w:rsidR="00225F10">
        <w:rPr>
          <w:b/>
          <w:lang w:val="en-GB"/>
        </w:rPr>
        <w:t>ork of the RID/ADR/ADN Joint Meeting</w:t>
      </w:r>
    </w:p>
    <w:p w:rsidR="002B0C85" w:rsidRPr="002B0C85" w:rsidRDefault="002B0C85" w:rsidP="00B842E5">
      <w:pPr>
        <w:pStyle w:val="HChG"/>
        <w:rPr>
          <w:lang w:val="en-US"/>
        </w:rPr>
      </w:pPr>
      <w:r w:rsidRPr="002B0C85">
        <w:rPr>
          <w:lang w:val="en-GB"/>
        </w:rPr>
        <w:tab/>
      </w:r>
      <w:r w:rsidRPr="002B0C85">
        <w:rPr>
          <w:lang w:val="en-GB"/>
        </w:rPr>
        <w:tab/>
      </w:r>
      <w:r w:rsidRPr="002B0C85">
        <w:rPr>
          <w:lang w:val="en-US"/>
        </w:rPr>
        <w:t xml:space="preserve">European Agreement concerning the International Carriage of Dangerous Goods by </w:t>
      </w:r>
      <w:r w:rsidRPr="00673687">
        <w:rPr>
          <w:lang w:val="en-GB"/>
        </w:rPr>
        <w:t>Inland</w:t>
      </w:r>
      <w:r w:rsidRPr="002B0C85">
        <w:rPr>
          <w:lang w:val="en-US"/>
        </w:rPr>
        <w:t xml:space="preserve"> Waterways (ADN)</w:t>
      </w:r>
    </w:p>
    <w:p w:rsidR="002B0C85" w:rsidRPr="002B0C85" w:rsidRDefault="002B0C85" w:rsidP="00B842E5">
      <w:pPr>
        <w:pStyle w:val="H1G"/>
        <w:rPr>
          <w:lang w:val="en-US"/>
        </w:rPr>
      </w:pPr>
      <w:r w:rsidRPr="002B0C85">
        <w:rPr>
          <w:lang w:val="en-US"/>
        </w:rPr>
        <w:tab/>
      </w:r>
      <w:r w:rsidRPr="002B0C85">
        <w:rPr>
          <w:lang w:val="en-US"/>
        </w:rPr>
        <w:tab/>
        <w:t xml:space="preserve">Draft amendments to the </w:t>
      </w:r>
      <w:r w:rsidRPr="000D65BC">
        <w:rPr>
          <w:lang w:val="en-GB"/>
        </w:rPr>
        <w:t>Regulations</w:t>
      </w:r>
      <w:r w:rsidRPr="002B0C85">
        <w:rPr>
          <w:lang w:val="en-US"/>
        </w:rPr>
        <w:t xml:space="preserve"> annexed to ADN</w:t>
      </w:r>
    </w:p>
    <w:p w:rsidR="002B0C85" w:rsidRPr="002B0C85" w:rsidRDefault="002B0C85" w:rsidP="00053A02">
      <w:pPr>
        <w:pStyle w:val="H1G"/>
        <w:rPr>
          <w:lang w:val="en-GB"/>
        </w:rPr>
      </w:pPr>
      <w:r w:rsidRPr="002B0C85">
        <w:rPr>
          <w:lang w:val="en-GB"/>
        </w:rPr>
        <w:tab/>
      </w:r>
      <w:r w:rsidRPr="002B0C85">
        <w:rPr>
          <w:lang w:val="en-GB"/>
        </w:rPr>
        <w:tab/>
        <w:t>Note by the secretariat</w:t>
      </w:r>
      <w:r w:rsidR="00673687" w:rsidRPr="00053A02">
        <w:rPr>
          <w:bCs/>
          <w:vertAlign w:val="superscript"/>
          <w:lang w:val="en-US"/>
        </w:rPr>
        <w:t xml:space="preserve"> </w:t>
      </w:r>
      <w:r w:rsidR="00673687" w:rsidRPr="00053A02">
        <w:rPr>
          <w:bCs/>
          <w:vertAlign w:val="superscript"/>
          <w:lang w:val="en-US"/>
        </w:rPr>
        <w:footnoteReference w:customMarkFollows="1" w:id="2"/>
        <w:t>*,</w:t>
      </w:r>
      <w:r w:rsidR="00673687" w:rsidRPr="00053A02">
        <w:rPr>
          <w:bCs/>
          <w:vertAlign w:val="superscript"/>
          <w:lang w:val="en-US"/>
        </w:rPr>
        <w:footnoteReference w:customMarkFollows="1" w:id="3"/>
        <w:t>**</w:t>
      </w:r>
    </w:p>
    <w:p w:rsidR="002B0C85" w:rsidRPr="002F6E51" w:rsidRDefault="002B0C85" w:rsidP="00F524BE">
      <w:pPr>
        <w:pStyle w:val="HChG"/>
        <w:rPr>
          <w:lang w:val="en-GB"/>
        </w:rPr>
      </w:pPr>
      <w:bookmarkStart w:id="2" w:name="OLE_LINK1"/>
      <w:r w:rsidRPr="002B0C85">
        <w:rPr>
          <w:lang w:val="en-GB"/>
        </w:rPr>
        <w:tab/>
      </w:r>
      <w:r w:rsidRPr="002B0C85">
        <w:rPr>
          <w:lang w:val="en-GB"/>
        </w:rPr>
        <w:tab/>
      </w:r>
      <w:r w:rsidRPr="002F6E51">
        <w:rPr>
          <w:lang w:val="en-GB"/>
        </w:rPr>
        <w:t>Introduction</w:t>
      </w:r>
    </w:p>
    <w:p w:rsidR="00802B5E" w:rsidRPr="002F6E51" w:rsidRDefault="003778FF" w:rsidP="00F524BE">
      <w:pPr>
        <w:pStyle w:val="SingleTxtG"/>
        <w:rPr>
          <w:lang w:val="en-GB"/>
        </w:rPr>
      </w:pPr>
      <w:r w:rsidRPr="002F6E51">
        <w:rPr>
          <w:lang w:val="en-GB"/>
        </w:rPr>
        <w:t>1.</w:t>
      </w:r>
      <w:r w:rsidRPr="002F6E51">
        <w:rPr>
          <w:lang w:val="en-GB"/>
        </w:rPr>
        <w:tab/>
      </w:r>
      <w:r w:rsidR="00802B5E" w:rsidRPr="002F6E51">
        <w:rPr>
          <w:lang w:val="en-GB"/>
        </w:rPr>
        <w:t>The Safety Committee may wish to consider the work of the RID/ADR/ADN Joint Meeting at its spring 201</w:t>
      </w:r>
      <w:r w:rsidR="002F7AEC">
        <w:rPr>
          <w:lang w:val="en-GB"/>
        </w:rPr>
        <w:t>8</w:t>
      </w:r>
      <w:r w:rsidR="00802B5E" w:rsidRPr="002F6E51">
        <w:rPr>
          <w:lang w:val="en-GB"/>
        </w:rPr>
        <w:t xml:space="preserve"> session (ECE/TRANS/WP.15/AC.1/</w:t>
      </w:r>
      <w:r w:rsidR="00447B86">
        <w:rPr>
          <w:lang w:val="en-GB"/>
        </w:rPr>
        <w:t>150</w:t>
      </w:r>
      <w:r w:rsidR="00F524BE" w:rsidRPr="002F6E51">
        <w:rPr>
          <w:lang w:val="en-GB"/>
        </w:rPr>
        <w:t>).</w:t>
      </w:r>
    </w:p>
    <w:p w:rsidR="003778FF" w:rsidRPr="002F6E51" w:rsidRDefault="003778FF" w:rsidP="00F524BE">
      <w:pPr>
        <w:pStyle w:val="SingleTxtG"/>
        <w:rPr>
          <w:lang w:val="en-GB"/>
        </w:rPr>
      </w:pPr>
      <w:r w:rsidRPr="002F6E51">
        <w:rPr>
          <w:lang w:val="en-GB"/>
        </w:rPr>
        <w:t>2.</w:t>
      </w:r>
      <w:r w:rsidRPr="002F6E51">
        <w:rPr>
          <w:lang w:val="en-GB"/>
        </w:rPr>
        <w:tab/>
      </w:r>
      <w:r w:rsidR="002B0C85" w:rsidRPr="002F6E51">
        <w:rPr>
          <w:lang w:val="en-GB"/>
        </w:rPr>
        <w:t xml:space="preserve">At its </w:t>
      </w:r>
      <w:r w:rsidR="00447B86">
        <w:rPr>
          <w:lang w:val="en-GB"/>
        </w:rPr>
        <w:t>104</w:t>
      </w:r>
      <w:r w:rsidR="00447B86" w:rsidRPr="00447B86">
        <w:rPr>
          <w:lang w:val="en-GB"/>
        </w:rPr>
        <w:t>th</w:t>
      </w:r>
      <w:r w:rsidR="00447B86">
        <w:rPr>
          <w:lang w:val="en-GB"/>
        </w:rPr>
        <w:t xml:space="preserve"> </w:t>
      </w:r>
      <w:r w:rsidR="002B0C85" w:rsidRPr="002F6E51">
        <w:rPr>
          <w:lang w:val="en-GB"/>
        </w:rPr>
        <w:t xml:space="preserve">session in </w:t>
      </w:r>
      <w:r w:rsidR="00447B86">
        <w:rPr>
          <w:lang w:val="en-GB"/>
        </w:rPr>
        <w:t xml:space="preserve">May </w:t>
      </w:r>
      <w:r w:rsidR="002B0C85" w:rsidRPr="002F6E51">
        <w:rPr>
          <w:lang w:val="en-GB"/>
        </w:rPr>
        <w:t>201</w:t>
      </w:r>
      <w:r w:rsidR="00447B86">
        <w:rPr>
          <w:lang w:val="en-GB"/>
        </w:rPr>
        <w:t>8</w:t>
      </w:r>
      <w:r w:rsidR="002B0C85" w:rsidRPr="002F6E51">
        <w:rPr>
          <w:lang w:val="en-GB"/>
        </w:rPr>
        <w:t>, the Working Party on the Transport of Dangerous Goods (WP.15) adopted an additional list of amendments to ADR for which entry into force is scheduled</w:t>
      </w:r>
      <w:r w:rsidR="00C17E19" w:rsidRPr="002F6E51">
        <w:rPr>
          <w:lang w:val="en-GB"/>
        </w:rPr>
        <w:t xml:space="preserve"> for 1 January 201</w:t>
      </w:r>
      <w:r w:rsidR="00281D82">
        <w:rPr>
          <w:lang w:val="en-GB"/>
        </w:rPr>
        <w:t>9</w:t>
      </w:r>
      <w:r w:rsidR="002B0C85" w:rsidRPr="002F6E51">
        <w:rPr>
          <w:lang w:val="en-GB"/>
        </w:rPr>
        <w:t xml:space="preserve"> (</w:t>
      </w:r>
      <w:r w:rsidR="00C17E19" w:rsidRPr="002F6E51">
        <w:rPr>
          <w:lang w:val="en-GB"/>
        </w:rPr>
        <w:t>ECE/TRANS/WP.15/</w:t>
      </w:r>
      <w:r w:rsidR="002F6E51">
        <w:rPr>
          <w:lang w:val="en-GB"/>
        </w:rPr>
        <w:t>2</w:t>
      </w:r>
      <w:r w:rsidR="000F1640">
        <w:rPr>
          <w:lang w:val="en-GB"/>
        </w:rPr>
        <w:t>40</w:t>
      </w:r>
      <w:r w:rsidR="00C17E19" w:rsidRPr="002F6E51">
        <w:rPr>
          <w:lang w:val="en-GB"/>
        </w:rPr>
        <w:t>/</w:t>
      </w:r>
      <w:r w:rsidR="009064BF" w:rsidRPr="002F6E51">
        <w:rPr>
          <w:lang w:val="en-GB"/>
        </w:rPr>
        <w:t xml:space="preserve">Add.1). </w:t>
      </w:r>
    </w:p>
    <w:p w:rsidR="002B0C85" w:rsidRPr="002F6E51" w:rsidRDefault="003778FF" w:rsidP="00F524BE">
      <w:pPr>
        <w:pStyle w:val="SingleTxtG"/>
        <w:rPr>
          <w:lang w:val="en-GB"/>
        </w:rPr>
      </w:pPr>
      <w:r w:rsidRPr="002F6E51">
        <w:rPr>
          <w:lang w:val="en-GB"/>
        </w:rPr>
        <w:t>3.</w:t>
      </w:r>
      <w:r w:rsidRPr="002F6E51">
        <w:rPr>
          <w:lang w:val="en-GB"/>
        </w:rPr>
        <w:tab/>
      </w:r>
      <w:r w:rsidR="009064BF" w:rsidRPr="002F6E51">
        <w:rPr>
          <w:lang w:val="en-GB"/>
        </w:rPr>
        <w:t>The present</w:t>
      </w:r>
      <w:r w:rsidR="002B0C85" w:rsidRPr="002F6E51">
        <w:rPr>
          <w:lang w:val="en-GB"/>
        </w:rPr>
        <w:t xml:space="preserve"> document contains the additional amendments which are also relevant for ADN.</w:t>
      </w:r>
    </w:p>
    <w:bookmarkEnd w:id="2"/>
    <w:p w:rsidR="003C302E" w:rsidRPr="003C302E" w:rsidRDefault="003C302E" w:rsidP="003C302E">
      <w:pPr>
        <w:pStyle w:val="H1G"/>
        <w:rPr>
          <w:lang w:val="en-GB"/>
        </w:rPr>
      </w:pPr>
      <w:r w:rsidRPr="001B101E">
        <w:lastRenderedPageBreak/>
        <w:tab/>
      </w:r>
      <w:r w:rsidRPr="001B101E">
        <w:tab/>
      </w:r>
      <w:r w:rsidRPr="003C302E">
        <w:rPr>
          <w:lang w:val="en-GB"/>
        </w:rPr>
        <w:t>Chapter 1.2</w:t>
      </w:r>
    </w:p>
    <w:p w:rsidR="003C302E" w:rsidRPr="003C302E" w:rsidRDefault="003C302E" w:rsidP="003C302E">
      <w:pPr>
        <w:pStyle w:val="SingleTxtG"/>
        <w:rPr>
          <w:lang w:val="en-GB"/>
        </w:rPr>
      </w:pPr>
      <w:r w:rsidRPr="003C302E">
        <w:rPr>
          <w:lang w:val="en-GB"/>
        </w:rPr>
        <w:t>1.2.1</w:t>
      </w:r>
      <w:r w:rsidRPr="003C302E">
        <w:rPr>
          <w:lang w:val="en-GB"/>
        </w:rPr>
        <w:tab/>
        <w:t>Add the following definition:</w:t>
      </w:r>
    </w:p>
    <w:p w:rsidR="003C302E" w:rsidRPr="003C302E" w:rsidRDefault="003C302E" w:rsidP="003C302E">
      <w:pPr>
        <w:pStyle w:val="SingleTxtG"/>
        <w:rPr>
          <w:lang w:val="en-GB"/>
        </w:rPr>
      </w:pPr>
      <w:r w:rsidRPr="003C302E">
        <w:rPr>
          <w:i/>
          <w:lang w:val="en-GB"/>
        </w:rPr>
        <w:t xml:space="preserve">"UN Regulation </w:t>
      </w:r>
      <w:r w:rsidRPr="003C302E">
        <w:rPr>
          <w:lang w:val="en-GB"/>
        </w:rPr>
        <w:t xml:space="preserve">means a regulation annexed to the Agreement concerning the adoption of uniform technical prescriptions for wheeled vehicles equipment and parts which can be fitted and or used on wheeled vehicles and the conditions for reciprocal recognition of approvals granted </w:t>
      </w:r>
      <w:proofErr w:type="gramStart"/>
      <w:r w:rsidRPr="003C302E">
        <w:rPr>
          <w:lang w:val="en-GB"/>
        </w:rPr>
        <w:t>on the basis of</w:t>
      </w:r>
      <w:proofErr w:type="gramEnd"/>
      <w:r w:rsidRPr="003C302E">
        <w:rPr>
          <w:lang w:val="en-GB"/>
        </w:rPr>
        <w:t xml:space="preserve"> these prescriptions (1958 Agreement, as amended);”.</w:t>
      </w:r>
    </w:p>
    <w:p w:rsidR="003C302E" w:rsidRPr="003C302E" w:rsidRDefault="003C302E" w:rsidP="003C302E">
      <w:pPr>
        <w:pStyle w:val="SingleTxtG"/>
        <w:rPr>
          <w:lang w:val="en-GB"/>
        </w:rPr>
      </w:pPr>
      <w:r w:rsidRPr="003C302E">
        <w:rPr>
          <w:i/>
          <w:iCs/>
          <w:lang w:val="en-GB"/>
        </w:rPr>
        <w:t>(Proposal by the secretariat as a consequential amendment. The term “UN Regulation” is used in the text of special provision 392</w:t>
      </w:r>
      <w:r w:rsidR="006707FC">
        <w:rPr>
          <w:i/>
          <w:iCs/>
          <w:lang w:val="en-GB"/>
        </w:rPr>
        <w:t xml:space="preserve"> and the </w:t>
      </w:r>
      <w:r w:rsidRPr="003C302E">
        <w:rPr>
          <w:i/>
          <w:iCs/>
          <w:lang w:val="en-GB"/>
        </w:rPr>
        <w:t>definition already exists in ADR)</w:t>
      </w:r>
    </w:p>
    <w:p w:rsidR="003C302E" w:rsidRPr="003C302E" w:rsidRDefault="003C302E" w:rsidP="003C302E">
      <w:pPr>
        <w:pStyle w:val="H1G"/>
        <w:rPr>
          <w:lang w:val="en-GB"/>
        </w:rPr>
      </w:pPr>
      <w:r w:rsidRPr="00042773">
        <w:rPr>
          <w:lang w:val="en-GB"/>
        </w:rPr>
        <w:tab/>
      </w:r>
      <w:r w:rsidRPr="00042773">
        <w:rPr>
          <w:lang w:val="en-GB"/>
        </w:rPr>
        <w:tab/>
      </w:r>
      <w:bookmarkStart w:id="3" w:name="_Toc499903683"/>
      <w:r w:rsidRPr="003C302E">
        <w:rPr>
          <w:lang w:val="en-GB"/>
        </w:rPr>
        <w:t>Chapter 1.6</w:t>
      </w:r>
      <w:bookmarkEnd w:id="3"/>
    </w:p>
    <w:p w:rsidR="003C302E" w:rsidRPr="003C302E" w:rsidRDefault="003C302E" w:rsidP="003C302E">
      <w:pPr>
        <w:pStyle w:val="SingleTxtG"/>
        <w:rPr>
          <w:lang w:val="en-GB"/>
        </w:rPr>
      </w:pPr>
      <w:r w:rsidRPr="003C302E">
        <w:rPr>
          <w:lang w:val="en-GB"/>
        </w:rPr>
        <w:t>1.6.1</w:t>
      </w:r>
      <w:r w:rsidRPr="003C302E">
        <w:rPr>
          <w:lang w:val="en-GB"/>
        </w:rPr>
        <w:tab/>
        <w:t>Add the following transitional provision:</w:t>
      </w:r>
    </w:p>
    <w:p w:rsidR="003C302E" w:rsidRPr="003C302E" w:rsidRDefault="003C302E" w:rsidP="003C302E">
      <w:pPr>
        <w:pStyle w:val="SingleTxtG"/>
        <w:rPr>
          <w:lang w:val="en-GB"/>
        </w:rPr>
      </w:pPr>
      <w:r w:rsidRPr="003C302E">
        <w:rPr>
          <w:lang w:val="en-GB"/>
        </w:rPr>
        <w:t>"1.6.1.47</w:t>
      </w:r>
      <w:r w:rsidRPr="003C302E">
        <w:rPr>
          <w:lang w:val="en-GB"/>
        </w:rPr>
        <w:tab/>
        <w:t>Lithium cells and batteries not meeting the requirements of 2.2.9.1.7 (g) may continue to be carried until 31 December 2019."</w:t>
      </w:r>
    </w:p>
    <w:p w:rsidR="003C302E" w:rsidRPr="003C302E" w:rsidRDefault="003C302E" w:rsidP="003C302E">
      <w:pPr>
        <w:pStyle w:val="SingleTxtG"/>
        <w:tabs>
          <w:tab w:val="left" w:pos="1985"/>
        </w:tabs>
        <w:rPr>
          <w:i/>
          <w:lang w:val="en-GB"/>
        </w:rPr>
      </w:pPr>
      <w:bookmarkStart w:id="4" w:name="_Hlk516574006"/>
      <w:r w:rsidRPr="00042773">
        <w:rPr>
          <w:i/>
          <w:lang w:val="en-GB"/>
        </w:rPr>
        <w:t>(Reference document: ECE/TRANS/WP.15/AC.1/150, Annex II)</w:t>
      </w:r>
      <w:bookmarkEnd w:id="4"/>
    </w:p>
    <w:p w:rsidR="003C302E" w:rsidRPr="003C302E" w:rsidRDefault="003C302E" w:rsidP="003C302E">
      <w:pPr>
        <w:pStyle w:val="SingleTxtG"/>
        <w:tabs>
          <w:tab w:val="left" w:pos="1985"/>
        </w:tabs>
        <w:rPr>
          <w:iCs/>
          <w:lang w:val="en-GB"/>
        </w:rPr>
      </w:pPr>
      <w:bookmarkStart w:id="5" w:name="_Hlk516574050"/>
      <w:r w:rsidRPr="003C302E">
        <w:rPr>
          <w:iCs/>
          <w:lang w:val="en-GB"/>
        </w:rPr>
        <w:t>1.6.7.4.2</w:t>
      </w:r>
      <w:r w:rsidRPr="003C302E">
        <w:rPr>
          <w:iCs/>
          <w:lang w:val="en-GB"/>
        </w:rPr>
        <w:tab/>
        <w:t>Delete and insert “1.6.7.4.2</w:t>
      </w:r>
      <w:r w:rsidRPr="003C302E">
        <w:rPr>
          <w:iCs/>
          <w:lang w:val="en-GB"/>
        </w:rPr>
        <w:tab/>
      </w:r>
      <w:r w:rsidR="00CB5269" w:rsidRPr="00CB5269">
        <w:rPr>
          <w:i/>
          <w:lang w:val="en-GB"/>
        </w:rPr>
        <w:t>(</w:t>
      </w:r>
      <w:r w:rsidRPr="00CB5269">
        <w:rPr>
          <w:i/>
          <w:lang w:val="en-GB"/>
        </w:rPr>
        <w:t>Deleted</w:t>
      </w:r>
      <w:r w:rsidR="00CB5269" w:rsidRPr="00CB5269">
        <w:rPr>
          <w:i/>
          <w:lang w:val="en-GB"/>
        </w:rPr>
        <w:t>)</w:t>
      </w:r>
      <w:r w:rsidRPr="003C302E">
        <w:rPr>
          <w:iCs/>
          <w:lang w:val="en-GB"/>
        </w:rPr>
        <w:t>”.</w:t>
      </w:r>
    </w:p>
    <w:p w:rsidR="003C302E" w:rsidRPr="00042773" w:rsidRDefault="003C302E" w:rsidP="003C302E">
      <w:pPr>
        <w:pStyle w:val="SingleTxtG"/>
        <w:tabs>
          <w:tab w:val="left" w:pos="1985"/>
        </w:tabs>
        <w:rPr>
          <w:i/>
          <w:strike/>
          <w:lang w:val="en-GB"/>
        </w:rPr>
      </w:pPr>
      <w:r w:rsidRPr="003C302E">
        <w:rPr>
          <w:i/>
          <w:lang w:val="en-GB"/>
        </w:rPr>
        <w:t>(</w:t>
      </w:r>
      <w:r w:rsidRPr="00093688">
        <w:rPr>
          <w:i/>
          <w:iCs/>
          <w:lang w:val="en-GB"/>
        </w:rPr>
        <w:t>Reference document: ECE/TRANS/WP.15/</w:t>
      </w:r>
      <w:r w:rsidRPr="003C302E">
        <w:rPr>
          <w:i/>
          <w:iCs/>
          <w:lang w:val="en-GB"/>
        </w:rPr>
        <w:t>AC.2/2018/30, consequential amendment</w:t>
      </w:r>
      <w:r w:rsidRPr="00093688">
        <w:rPr>
          <w:i/>
          <w:iCs/>
          <w:lang w:val="en-GB"/>
        </w:rPr>
        <w:t>)</w:t>
      </w:r>
      <w:bookmarkEnd w:id="5"/>
    </w:p>
    <w:p w:rsidR="003C302E" w:rsidRPr="003C302E" w:rsidRDefault="003C302E" w:rsidP="003C302E">
      <w:pPr>
        <w:pStyle w:val="H1G"/>
      </w:pPr>
      <w:r w:rsidRPr="003C302E">
        <w:tab/>
      </w:r>
      <w:r w:rsidRPr="003C302E">
        <w:tab/>
      </w:r>
      <w:bookmarkStart w:id="6" w:name="_Toc499903691"/>
      <w:proofErr w:type="spellStart"/>
      <w:r w:rsidRPr="003C302E">
        <w:t>Chapter</w:t>
      </w:r>
      <w:proofErr w:type="spellEnd"/>
      <w:r w:rsidRPr="003C302E">
        <w:t xml:space="preserve"> 2.1</w:t>
      </w:r>
      <w:bookmarkEnd w:id="6"/>
    </w:p>
    <w:p w:rsidR="003C302E" w:rsidRPr="003C302E" w:rsidRDefault="003C302E" w:rsidP="003C302E">
      <w:pPr>
        <w:pStyle w:val="SingleTxtG"/>
        <w:tabs>
          <w:tab w:val="left" w:pos="1985"/>
        </w:tabs>
        <w:rPr>
          <w:lang w:val="en-GB"/>
        </w:rPr>
      </w:pPr>
      <w:r w:rsidRPr="003C302E">
        <w:rPr>
          <w:lang w:val="en-GB"/>
        </w:rPr>
        <w:t>2.1.5</w:t>
      </w:r>
      <w:r w:rsidRPr="003C302E">
        <w:rPr>
          <w:lang w:val="en-GB"/>
        </w:rPr>
        <w:tab/>
        <w:t>Add the following Note at the beginning:</w:t>
      </w:r>
    </w:p>
    <w:p w:rsidR="003C302E" w:rsidRPr="003C302E" w:rsidRDefault="00083A44" w:rsidP="003C302E">
      <w:pPr>
        <w:pStyle w:val="SingleTxtG"/>
        <w:rPr>
          <w:i/>
          <w:lang w:val="en-GB"/>
        </w:rPr>
      </w:pPr>
      <w:r>
        <w:rPr>
          <w:b/>
          <w:i/>
          <w:lang w:val="en-GB"/>
        </w:rPr>
        <w:t>“</w:t>
      </w:r>
      <w:r w:rsidR="003C302E" w:rsidRPr="003C302E">
        <w:rPr>
          <w:b/>
          <w:i/>
          <w:lang w:val="en-GB"/>
        </w:rPr>
        <w:t>NOTE 1:</w:t>
      </w:r>
      <w:r w:rsidR="003C302E" w:rsidRPr="003C302E">
        <w:rPr>
          <w:i/>
          <w:lang w:val="en-GB"/>
        </w:rPr>
        <w:tab/>
        <w:t>For articles which do not have a proper shipping name, other than UN 3537 to 3548 and which contain only dangerous goods within the permitted limited quantity amounts specified in Column (7a) of Table A of Chapter 3.2, see UN No. 3363 and special provisions 301 and 672 of Chapter 3.3.</w:t>
      </w:r>
      <w:r>
        <w:rPr>
          <w:i/>
          <w:lang w:val="en-GB"/>
        </w:rPr>
        <w:t>”.</w:t>
      </w:r>
    </w:p>
    <w:p w:rsidR="003C302E" w:rsidRPr="003C302E" w:rsidRDefault="003C302E" w:rsidP="003C302E">
      <w:pPr>
        <w:ind w:left="1134"/>
        <w:rPr>
          <w:i/>
          <w:iCs/>
          <w:lang w:val="en-GB"/>
        </w:rPr>
      </w:pPr>
      <w:r w:rsidRPr="003C302E">
        <w:rPr>
          <w:i/>
          <w:iCs/>
          <w:lang w:val="en-GB"/>
        </w:rPr>
        <w:t>(Reference document: ECE/TRANS/WP.15/239)</w:t>
      </w:r>
    </w:p>
    <w:p w:rsidR="003C302E" w:rsidRPr="00EF51A2" w:rsidRDefault="003C302E" w:rsidP="003C302E">
      <w:pPr>
        <w:pStyle w:val="H1G"/>
        <w:rPr>
          <w:lang w:val="en-US"/>
        </w:rPr>
      </w:pPr>
      <w:r w:rsidRPr="00EF51A2">
        <w:rPr>
          <w:lang w:val="en-US"/>
        </w:rPr>
        <w:tab/>
      </w:r>
      <w:r w:rsidRPr="00EF51A2">
        <w:rPr>
          <w:lang w:val="en-US"/>
        </w:rPr>
        <w:tab/>
        <w:t>Chapter 2.2</w:t>
      </w:r>
    </w:p>
    <w:p w:rsidR="003C302E" w:rsidRPr="003C302E" w:rsidRDefault="003C302E" w:rsidP="007E579B">
      <w:pPr>
        <w:pStyle w:val="SingleTxtG"/>
        <w:tabs>
          <w:tab w:val="left" w:pos="1985"/>
        </w:tabs>
        <w:rPr>
          <w:lang w:val="en-GB"/>
        </w:rPr>
      </w:pPr>
      <w:r w:rsidRPr="003C302E">
        <w:rPr>
          <w:lang w:val="en-GB"/>
        </w:rPr>
        <w:t>2.2.9.2</w:t>
      </w:r>
      <w:r w:rsidRPr="003C302E">
        <w:rPr>
          <w:lang w:val="en-GB"/>
        </w:rPr>
        <w:tab/>
        <w:t>In the first indent, replace “special provisions 188, 230, 310 or 636 of Chapter 3.3” by “special provisions 188, 230, 310, 636 or 670 of Chapter 3.3”.</w:t>
      </w:r>
    </w:p>
    <w:p w:rsidR="003C302E" w:rsidRPr="003C302E" w:rsidRDefault="003C302E" w:rsidP="003C302E">
      <w:pPr>
        <w:pStyle w:val="SingleTxtG"/>
        <w:rPr>
          <w:lang w:val="en-GB"/>
        </w:rPr>
      </w:pPr>
      <w:r w:rsidRPr="003C302E">
        <w:rPr>
          <w:i/>
          <w:iCs/>
          <w:lang w:val="en-GB"/>
        </w:rPr>
        <w:t>(Reference document: ECE/TRANS/WP.15/242)</w:t>
      </w:r>
    </w:p>
    <w:p w:rsidR="003C302E" w:rsidRPr="003C302E" w:rsidRDefault="003C302E" w:rsidP="003C302E">
      <w:pPr>
        <w:pStyle w:val="H1G"/>
        <w:rPr>
          <w:lang w:val="en-GB"/>
        </w:rPr>
      </w:pPr>
      <w:r w:rsidRPr="003C302E">
        <w:rPr>
          <w:lang w:val="en-GB"/>
        </w:rPr>
        <w:tab/>
      </w:r>
      <w:r w:rsidRPr="003C302E">
        <w:rPr>
          <w:lang w:val="en-GB"/>
        </w:rPr>
        <w:tab/>
      </w:r>
      <w:bookmarkStart w:id="7" w:name="_Toc499903692"/>
      <w:r w:rsidRPr="003C302E">
        <w:rPr>
          <w:lang w:val="en-GB"/>
        </w:rPr>
        <w:t>Chapter 3.2, Table A</w:t>
      </w:r>
      <w:bookmarkEnd w:id="7"/>
    </w:p>
    <w:p w:rsidR="003C302E" w:rsidRPr="003C302E" w:rsidRDefault="003C302E" w:rsidP="003C302E">
      <w:pPr>
        <w:pStyle w:val="SingleTxtG"/>
        <w:rPr>
          <w:lang w:val="en-GB"/>
        </w:rPr>
      </w:pPr>
      <w:r w:rsidRPr="003C302E">
        <w:rPr>
          <w:lang w:val="en-GB"/>
        </w:rPr>
        <w:t>For UN Nos. 1002, 1006, 1013, 1046, 1056, 1058, 1065, 1066, 1952, 1956, 3070, 3163, 3297, 3298 and 3299, insert “660” in column (6).</w:t>
      </w:r>
    </w:p>
    <w:p w:rsidR="003C302E" w:rsidRPr="003C302E" w:rsidRDefault="003C302E" w:rsidP="003C302E">
      <w:pPr>
        <w:pStyle w:val="SingleTxtG"/>
        <w:rPr>
          <w:i/>
          <w:iCs/>
          <w:lang w:val="en-GB"/>
        </w:rPr>
      </w:pPr>
      <w:r w:rsidRPr="003C302E">
        <w:rPr>
          <w:i/>
          <w:iCs/>
          <w:lang w:val="en-GB"/>
        </w:rPr>
        <w:t>(Reference document: ECE/TRANS/WP.15/239)</w:t>
      </w:r>
    </w:p>
    <w:p w:rsidR="003C302E" w:rsidRPr="003C302E" w:rsidRDefault="003C302E" w:rsidP="00B842E5">
      <w:pPr>
        <w:pStyle w:val="H1G"/>
        <w:rPr>
          <w:lang w:val="en-GB"/>
        </w:rPr>
      </w:pPr>
      <w:r w:rsidRPr="00042773">
        <w:rPr>
          <w:lang w:val="en-GB"/>
        </w:rPr>
        <w:lastRenderedPageBreak/>
        <w:tab/>
      </w:r>
      <w:r w:rsidRPr="00042773">
        <w:rPr>
          <w:lang w:val="en-GB"/>
        </w:rPr>
        <w:tab/>
      </w:r>
      <w:r w:rsidRPr="003C302E">
        <w:rPr>
          <w:lang w:val="en-GB"/>
        </w:rPr>
        <w:t>Chapter 5.2</w:t>
      </w:r>
    </w:p>
    <w:p w:rsidR="003C302E" w:rsidRPr="003C302E" w:rsidRDefault="003C302E" w:rsidP="00B842E5">
      <w:pPr>
        <w:pStyle w:val="SingleTxtG"/>
        <w:keepNext/>
        <w:keepLines/>
        <w:rPr>
          <w:lang w:val="en-GB"/>
        </w:rPr>
      </w:pPr>
      <w:r w:rsidRPr="003C302E">
        <w:rPr>
          <w:lang w:val="en-GB"/>
        </w:rPr>
        <w:t>5.2.1.5</w:t>
      </w:r>
      <w:r w:rsidRPr="003C302E">
        <w:rPr>
          <w:lang w:val="en-GB"/>
        </w:rPr>
        <w:tab/>
      </w:r>
      <w:r w:rsidR="00E11978">
        <w:rPr>
          <w:lang w:val="en-GB"/>
        </w:rPr>
        <w:tab/>
      </w:r>
      <w:r w:rsidRPr="003C302E">
        <w:rPr>
          <w:lang w:val="en-GB"/>
        </w:rPr>
        <w:t>Amend the second sentence to read as follows:</w:t>
      </w:r>
    </w:p>
    <w:p w:rsidR="003C302E" w:rsidRPr="003C302E" w:rsidRDefault="003C302E" w:rsidP="00B842E5">
      <w:pPr>
        <w:pStyle w:val="SingleTxtG"/>
        <w:keepNext/>
        <w:keepLines/>
        <w:rPr>
          <w:lang w:val="en-GB"/>
        </w:rPr>
      </w:pPr>
      <w:r w:rsidRPr="003C302E">
        <w:rPr>
          <w:lang w:val="en-GB"/>
        </w:rPr>
        <w:t>"The mark, which shall be clearly legible and indelible, shall be in one or more languages, one of which must be French, German or English, unless any agreements concluded between the countries concerned in the transport operation provide otherwise.".</w:t>
      </w:r>
    </w:p>
    <w:p w:rsidR="003C302E" w:rsidRPr="003C302E" w:rsidRDefault="003C302E" w:rsidP="003C302E">
      <w:pPr>
        <w:pStyle w:val="SingleTxtG"/>
        <w:tabs>
          <w:tab w:val="left" w:pos="2410"/>
        </w:tabs>
        <w:rPr>
          <w:i/>
          <w:lang w:val="en-GB"/>
        </w:rPr>
      </w:pPr>
      <w:r w:rsidRPr="003C302E">
        <w:rPr>
          <w:i/>
          <w:lang w:val="en-GB"/>
        </w:rPr>
        <w:t>(Reference document: ECE/TRANS/WP.15/AC.1/150, Annex II)</w:t>
      </w:r>
    </w:p>
    <w:p w:rsidR="003C302E" w:rsidRPr="003C302E" w:rsidRDefault="003C302E" w:rsidP="003C302E">
      <w:pPr>
        <w:pStyle w:val="SingleTxtG"/>
        <w:tabs>
          <w:tab w:val="left" w:pos="2410"/>
        </w:tabs>
        <w:rPr>
          <w:lang w:val="en-GB"/>
        </w:rPr>
      </w:pPr>
      <w:r w:rsidRPr="003C302E">
        <w:rPr>
          <w:lang w:val="en-GB"/>
        </w:rPr>
        <w:t>5.2.2.2.1.1.2</w:t>
      </w:r>
      <w:r w:rsidRPr="003C302E">
        <w:rPr>
          <w:lang w:val="en-GB"/>
        </w:rPr>
        <w:tab/>
        <w:t>Replace the second and third sentences by “The minimum dimensions shall be 100 mm x 100 mm. There shall be a line inside the edge forming the diamond which shall be parallel and approximately 5 mm from the outside of that line to the edge of the label.”.</w:t>
      </w:r>
    </w:p>
    <w:p w:rsidR="003C302E" w:rsidRPr="003C302E" w:rsidRDefault="003C302E" w:rsidP="003C302E">
      <w:pPr>
        <w:pStyle w:val="SingleTxtG"/>
        <w:rPr>
          <w:i/>
          <w:iCs/>
          <w:lang w:val="en-GB"/>
        </w:rPr>
      </w:pPr>
      <w:r w:rsidRPr="003C302E">
        <w:rPr>
          <w:i/>
          <w:lang w:val="en-GB"/>
        </w:rPr>
        <w:t xml:space="preserve">(Reference document: ECE/TRANS/WP.15/AC.1/148/Add.1 as amended by </w:t>
      </w:r>
      <w:bookmarkStart w:id="8" w:name="_Hlk516582289"/>
      <w:r w:rsidRPr="003C302E">
        <w:rPr>
          <w:i/>
          <w:iCs/>
          <w:lang w:val="en-GB"/>
        </w:rPr>
        <w:t>ECE/TRANS/WP.15/239</w:t>
      </w:r>
      <w:bookmarkEnd w:id="8"/>
      <w:r w:rsidRPr="003C302E">
        <w:rPr>
          <w:i/>
          <w:iCs/>
          <w:lang w:val="en-GB"/>
        </w:rPr>
        <w:t>)</w:t>
      </w:r>
    </w:p>
    <w:p w:rsidR="003C302E" w:rsidRPr="003C302E" w:rsidRDefault="003C302E" w:rsidP="003C302E">
      <w:pPr>
        <w:pStyle w:val="SingleTxtG"/>
        <w:rPr>
          <w:bCs/>
          <w:lang w:val="en-GB"/>
        </w:rPr>
      </w:pPr>
      <w:r w:rsidRPr="003C302E">
        <w:rPr>
          <w:bCs/>
          <w:lang w:val="en-GB"/>
        </w:rPr>
        <w:t>5.2.2.2.1.6 (d)</w:t>
      </w:r>
      <w:r w:rsidRPr="003C302E">
        <w:rPr>
          <w:bCs/>
          <w:lang w:val="en-GB"/>
        </w:rPr>
        <w:tab/>
      </w:r>
      <w:r w:rsidR="004B6380">
        <w:rPr>
          <w:bCs/>
          <w:lang w:val="en-GB"/>
        </w:rPr>
        <w:tab/>
      </w:r>
      <w:r w:rsidRPr="003C302E">
        <w:rPr>
          <w:bCs/>
          <w:lang w:val="en-GB"/>
        </w:rPr>
        <w:t>Replace “for gases of UN Nos. 1011, 1075, 1965 and 1978” by “for liquefied petroleum gases”.</w:t>
      </w:r>
    </w:p>
    <w:p w:rsidR="003C302E" w:rsidRDefault="003C302E" w:rsidP="003C302E">
      <w:pPr>
        <w:pStyle w:val="SingleTxtG"/>
        <w:rPr>
          <w:i/>
          <w:iCs/>
        </w:rPr>
      </w:pPr>
      <w:r w:rsidRPr="001F255F">
        <w:rPr>
          <w:i/>
          <w:iCs/>
        </w:rPr>
        <w:t xml:space="preserve">(Reference </w:t>
      </w:r>
      <w:proofErr w:type="gramStart"/>
      <w:r w:rsidRPr="001F255F">
        <w:rPr>
          <w:i/>
          <w:iCs/>
        </w:rPr>
        <w:t>document:</w:t>
      </w:r>
      <w:proofErr w:type="gramEnd"/>
      <w:r w:rsidRPr="001F255F">
        <w:rPr>
          <w:i/>
          <w:iCs/>
        </w:rPr>
        <w:t xml:space="preserve"> ECE/TRANS/WP.15/2</w:t>
      </w:r>
      <w:r>
        <w:rPr>
          <w:i/>
          <w:iCs/>
        </w:rPr>
        <w:t>42</w:t>
      </w:r>
      <w:r w:rsidRPr="001F255F">
        <w:rPr>
          <w:i/>
          <w:iCs/>
        </w:rPr>
        <w:t>)</w:t>
      </w:r>
    </w:p>
    <w:p w:rsidR="003C302E" w:rsidRPr="001B101E" w:rsidRDefault="003C302E" w:rsidP="003C302E">
      <w:pPr>
        <w:pStyle w:val="H1G"/>
      </w:pPr>
      <w:r w:rsidRPr="001B101E">
        <w:tab/>
      </w:r>
      <w:r w:rsidRPr="001B101E">
        <w:tab/>
      </w:r>
      <w:proofErr w:type="spellStart"/>
      <w:r w:rsidRPr="001B101E">
        <w:t>Chapter</w:t>
      </w:r>
      <w:proofErr w:type="spellEnd"/>
      <w:r w:rsidRPr="001B101E">
        <w:t xml:space="preserve"> 5.3</w:t>
      </w:r>
    </w:p>
    <w:p w:rsidR="003C302E" w:rsidRPr="003C302E" w:rsidRDefault="003C302E" w:rsidP="003C302E">
      <w:pPr>
        <w:pStyle w:val="SingleTxtG"/>
        <w:rPr>
          <w:lang w:val="en-GB"/>
        </w:rPr>
      </w:pPr>
      <w:r w:rsidRPr="003C302E">
        <w:rPr>
          <w:lang w:val="en-GB"/>
        </w:rPr>
        <w:t>5.3.1.7.1</w:t>
      </w:r>
      <w:r w:rsidRPr="003C302E">
        <w:rPr>
          <w:lang w:val="en-GB"/>
        </w:rPr>
        <w:tab/>
        <w:t>The amendments to the second paragraph in the French version do not apply to the English text.</w:t>
      </w:r>
    </w:p>
    <w:p w:rsidR="003C302E" w:rsidRPr="003C302E" w:rsidRDefault="003C302E" w:rsidP="003C302E">
      <w:pPr>
        <w:pStyle w:val="SingleTxtG"/>
        <w:rPr>
          <w:lang w:val="en-GB"/>
        </w:rPr>
      </w:pPr>
      <w:r w:rsidRPr="003C302E">
        <w:rPr>
          <w:i/>
          <w:lang w:val="en-GB"/>
        </w:rPr>
        <w:t>(Reference document: ECE/TRANS/WP.15/AC.1/150, Annex II)</w:t>
      </w:r>
    </w:p>
    <w:p w:rsidR="003C302E" w:rsidRPr="003C302E" w:rsidRDefault="003C302E" w:rsidP="003C302E">
      <w:pPr>
        <w:pStyle w:val="SingleTxtG"/>
        <w:rPr>
          <w:lang w:val="en-GB"/>
        </w:rPr>
      </w:pPr>
      <w:r w:rsidRPr="003C302E">
        <w:rPr>
          <w:lang w:val="en-GB"/>
        </w:rPr>
        <w:t>5.3.1.7.1</w:t>
      </w:r>
      <w:r w:rsidRPr="003C302E">
        <w:rPr>
          <w:lang w:val="en-GB"/>
        </w:rPr>
        <w:tab/>
        <w:t>At the end, add the following sentence: "The deviations specified in 5.2.2.2.1, second sentence, 5.2.2.2.1.3, third sentence and 5.2.2.2.1.5 for danger labels also apply to placards."</w:t>
      </w:r>
    </w:p>
    <w:p w:rsidR="003C302E" w:rsidRPr="003C302E" w:rsidRDefault="003C302E" w:rsidP="003C302E">
      <w:pPr>
        <w:pStyle w:val="SingleTxtG"/>
        <w:rPr>
          <w:lang w:val="en-GB"/>
        </w:rPr>
      </w:pPr>
      <w:r w:rsidRPr="003C302E">
        <w:rPr>
          <w:i/>
          <w:lang w:val="en-GB"/>
        </w:rPr>
        <w:t>(Reference document: ECE/TRANS/WP.15/AC.1/150, Annex II)</w:t>
      </w:r>
    </w:p>
    <w:p w:rsidR="003C302E" w:rsidRPr="001D7348" w:rsidRDefault="003C302E" w:rsidP="003E350F">
      <w:pPr>
        <w:pStyle w:val="SingleTxtG"/>
        <w:rPr>
          <w:lang w:val="en-GB"/>
        </w:rPr>
      </w:pPr>
      <w:r w:rsidRPr="001D7348">
        <w:rPr>
          <w:lang w:val="en-GB"/>
        </w:rPr>
        <w:t>5.3.2.1.6</w:t>
      </w:r>
      <w:r w:rsidRPr="001D7348">
        <w:rPr>
          <w:lang w:val="en-GB"/>
        </w:rPr>
        <w:tab/>
      </w:r>
      <w:r w:rsidR="00B842E5">
        <w:rPr>
          <w:lang w:val="en-GB"/>
        </w:rPr>
        <w:t>The p</w:t>
      </w:r>
      <w:r w:rsidR="003E350F" w:rsidRPr="001D7348">
        <w:rPr>
          <w:lang w:val="en-GB"/>
        </w:rPr>
        <w:t xml:space="preserve">roposed amendment </w:t>
      </w:r>
      <w:r w:rsidR="00B842E5">
        <w:rPr>
          <w:lang w:val="en-GB"/>
        </w:rPr>
        <w:t xml:space="preserve">in ECE/TRANS/WP.15/AC.2/2018/2 was </w:t>
      </w:r>
      <w:r w:rsidR="003E350F" w:rsidRPr="001D7348">
        <w:rPr>
          <w:lang w:val="en-GB"/>
        </w:rPr>
        <w:t>n</w:t>
      </w:r>
      <w:r w:rsidR="00564105">
        <w:rPr>
          <w:lang w:val="en-GB"/>
        </w:rPr>
        <w:t>ot adopted</w:t>
      </w:r>
      <w:r w:rsidRPr="001D7348">
        <w:rPr>
          <w:lang w:val="en-GB"/>
        </w:rPr>
        <w:t xml:space="preserve"> </w:t>
      </w:r>
      <w:r w:rsidR="00B842E5">
        <w:rPr>
          <w:lang w:val="en-GB"/>
        </w:rPr>
        <w:t>(refer to the report of the Working Party on the transport of dangerous goods on its 104</w:t>
      </w:r>
      <w:r w:rsidR="00B842E5" w:rsidRPr="00B842E5">
        <w:rPr>
          <w:lang w:val="en-GB"/>
        </w:rPr>
        <w:t>th</w:t>
      </w:r>
      <w:r w:rsidR="00B842E5">
        <w:rPr>
          <w:lang w:val="en-GB"/>
        </w:rPr>
        <w:t xml:space="preserve"> session</w:t>
      </w:r>
      <w:r w:rsidR="00564105">
        <w:rPr>
          <w:lang w:val="en-GB"/>
        </w:rPr>
        <w:t>,</w:t>
      </w:r>
      <w:r w:rsidRPr="001D7348">
        <w:rPr>
          <w:lang w:val="en-GB"/>
        </w:rPr>
        <w:t xml:space="preserve"> </w:t>
      </w:r>
      <w:r w:rsidR="001D7348">
        <w:rPr>
          <w:lang w:val="en-GB"/>
        </w:rPr>
        <w:t>ECE/TRANS/WP.15/242</w:t>
      </w:r>
      <w:r w:rsidR="00564105">
        <w:rPr>
          <w:lang w:val="en-GB"/>
        </w:rPr>
        <w:t>, paragraph 31)</w:t>
      </w:r>
      <w:r w:rsidR="001D7348">
        <w:rPr>
          <w:lang w:val="en-GB"/>
        </w:rPr>
        <w:t>.</w:t>
      </w:r>
    </w:p>
    <w:p w:rsidR="003C302E" w:rsidRPr="003C302E" w:rsidRDefault="003C302E" w:rsidP="003C302E">
      <w:pPr>
        <w:pStyle w:val="SingleTxtG"/>
        <w:rPr>
          <w:lang w:val="en-GB"/>
        </w:rPr>
      </w:pPr>
      <w:r w:rsidRPr="003C302E">
        <w:rPr>
          <w:lang w:val="en-GB"/>
        </w:rPr>
        <w:t>5.3.2.3.2</w:t>
      </w:r>
      <w:r w:rsidRPr="003C302E">
        <w:rPr>
          <w:lang w:val="en-GB"/>
        </w:rPr>
        <w:tab/>
      </w:r>
      <w:r w:rsidR="006C1F26">
        <w:rPr>
          <w:lang w:val="en-GB"/>
        </w:rPr>
        <w:t>A</w:t>
      </w:r>
      <w:r w:rsidRPr="003C302E">
        <w:rPr>
          <w:lang w:val="en-GB"/>
        </w:rPr>
        <w:t>mendment</w:t>
      </w:r>
      <w:r w:rsidR="006C1F26">
        <w:rPr>
          <w:lang w:val="en-GB"/>
        </w:rPr>
        <w:t>s to the French version do</w:t>
      </w:r>
      <w:r w:rsidRPr="003C302E">
        <w:rPr>
          <w:lang w:val="en-GB"/>
        </w:rPr>
        <w:t xml:space="preserve"> not apply to the English text.</w:t>
      </w:r>
    </w:p>
    <w:p w:rsidR="003C302E" w:rsidRPr="003C302E" w:rsidRDefault="003C302E" w:rsidP="003C302E">
      <w:pPr>
        <w:pStyle w:val="SingleTxtG"/>
        <w:rPr>
          <w:lang w:val="en-GB"/>
        </w:rPr>
      </w:pPr>
      <w:r w:rsidRPr="003C302E">
        <w:rPr>
          <w:i/>
          <w:iCs/>
          <w:lang w:val="en-GB"/>
        </w:rPr>
        <w:t>(Reference document: ECE/TRANS/WP.15/242)</w:t>
      </w:r>
    </w:p>
    <w:p w:rsidR="003C302E" w:rsidRPr="003C302E" w:rsidRDefault="003C302E" w:rsidP="003C302E">
      <w:pPr>
        <w:pStyle w:val="SingleTxtG"/>
        <w:rPr>
          <w:lang w:val="en-GB"/>
        </w:rPr>
      </w:pPr>
      <w:r w:rsidRPr="003C302E">
        <w:rPr>
          <w:lang w:val="en-GB"/>
        </w:rPr>
        <w:t>5.3.3</w:t>
      </w:r>
      <w:r w:rsidRPr="003C302E">
        <w:rPr>
          <w:lang w:val="en-GB"/>
        </w:rPr>
        <w:tab/>
        <w:t>The amendment to the French version does not apply to the English text.</w:t>
      </w:r>
    </w:p>
    <w:p w:rsidR="003C302E" w:rsidRPr="001B101E" w:rsidRDefault="003C302E" w:rsidP="003C302E">
      <w:pPr>
        <w:pStyle w:val="SingleTxtG"/>
        <w:rPr>
          <w:i/>
          <w:iCs/>
        </w:rPr>
      </w:pPr>
      <w:r w:rsidRPr="00B21233">
        <w:rPr>
          <w:i/>
          <w:lang w:val="fr-FR"/>
        </w:rPr>
        <w:t xml:space="preserve">(Reference </w:t>
      </w:r>
      <w:proofErr w:type="gramStart"/>
      <w:r w:rsidRPr="00B21233">
        <w:rPr>
          <w:i/>
          <w:lang w:val="fr-FR"/>
        </w:rPr>
        <w:t>document:</w:t>
      </w:r>
      <w:proofErr w:type="gramEnd"/>
      <w:r w:rsidRPr="00B21233">
        <w:rPr>
          <w:i/>
          <w:lang w:val="fr-FR"/>
        </w:rPr>
        <w:t xml:space="preserve"> </w:t>
      </w:r>
      <w:r w:rsidRPr="001B101E">
        <w:rPr>
          <w:i/>
        </w:rPr>
        <w:t>ECE/TRANS/WP.15/AC.1/150, Annex II)</w:t>
      </w:r>
    </w:p>
    <w:p w:rsidR="003C302E" w:rsidRPr="001B101E" w:rsidRDefault="003C302E" w:rsidP="003C302E">
      <w:pPr>
        <w:pStyle w:val="H1G"/>
      </w:pPr>
      <w:r w:rsidRPr="001B101E">
        <w:tab/>
      </w:r>
      <w:r w:rsidRPr="001B101E">
        <w:tab/>
      </w:r>
      <w:proofErr w:type="spellStart"/>
      <w:r w:rsidRPr="001B101E">
        <w:t>Chapter</w:t>
      </w:r>
      <w:proofErr w:type="spellEnd"/>
      <w:r w:rsidRPr="001B101E">
        <w:t xml:space="preserve"> 7.1</w:t>
      </w:r>
    </w:p>
    <w:p w:rsidR="003C302E" w:rsidRPr="003C302E" w:rsidRDefault="003C302E" w:rsidP="003C302E">
      <w:pPr>
        <w:pStyle w:val="SingleTxtG"/>
        <w:tabs>
          <w:tab w:val="left" w:pos="1985"/>
        </w:tabs>
        <w:rPr>
          <w:lang w:val="en-GB"/>
        </w:rPr>
      </w:pPr>
      <w:bookmarkStart w:id="9" w:name="_Hlk511232695"/>
      <w:r w:rsidRPr="003C302E">
        <w:rPr>
          <w:lang w:val="en-GB"/>
        </w:rPr>
        <w:t>7.1.0.1</w:t>
      </w:r>
      <w:r w:rsidRPr="003C302E">
        <w:rPr>
          <w:lang w:val="en-GB"/>
        </w:rPr>
        <w:tab/>
        <w:t>Replace “7.1.6” by “7.1.7”.</w:t>
      </w:r>
    </w:p>
    <w:bookmarkEnd w:id="9"/>
    <w:p w:rsidR="003C302E" w:rsidRPr="003C302E" w:rsidRDefault="003C302E" w:rsidP="003C302E">
      <w:pPr>
        <w:pStyle w:val="SingleTxtG"/>
        <w:tabs>
          <w:tab w:val="left" w:pos="1985"/>
        </w:tabs>
        <w:rPr>
          <w:lang w:val="en-GB"/>
        </w:rPr>
      </w:pPr>
      <w:r w:rsidRPr="003C302E">
        <w:rPr>
          <w:lang w:val="en-GB"/>
        </w:rPr>
        <w:t>7.1</w:t>
      </w:r>
      <w:r w:rsidRPr="003C302E">
        <w:rPr>
          <w:lang w:val="en-GB"/>
        </w:rPr>
        <w:tab/>
        <w:t>Add the following new 7.1.7:</w:t>
      </w:r>
    </w:p>
    <w:p w:rsidR="003C302E" w:rsidRPr="003C302E" w:rsidRDefault="003C302E" w:rsidP="003C302E">
      <w:pPr>
        <w:pStyle w:val="SingleTxtG"/>
        <w:tabs>
          <w:tab w:val="left" w:pos="1985"/>
        </w:tabs>
        <w:rPr>
          <w:lang w:val="en-GB"/>
        </w:rPr>
      </w:pPr>
      <w:r w:rsidRPr="003C302E">
        <w:rPr>
          <w:lang w:val="en-GB"/>
        </w:rPr>
        <w:t>“</w:t>
      </w:r>
      <w:r w:rsidRPr="003C302E">
        <w:rPr>
          <w:b/>
          <w:lang w:val="en-GB"/>
        </w:rPr>
        <w:t>7.1.7</w:t>
      </w:r>
      <w:r w:rsidRPr="003C302E">
        <w:rPr>
          <w:b/>
          <w:lang w:val="en-GB"/>
        </w:rPr>
        <w:tab/>
        <w:t>Special provisions applicable to the carriage of self-reactive substances of Class 4.1, organic peroxides of Class 5.2 and substances stabilized by temperature control (other than self-reactive substances and organic peroxides)</w:t>
      </w:r>
    </w:p>
    <w:p w:rsidR="003C302E" w:rsidRPr="003C302E" w:rsidRDefault="003C302E" w:rsidP="003C302E">
      <w:pPr>
        <w:pStyle w:val="SingleTxtG"/>
        <w:tabs>
          <w:tab w:val="left" w:pos="1985"/>
        </w:tabs>
        <w:rPr>
          <w:lang w:val="en-GB"/>
        </w:rPr>
      </w:pPr>
      <w:r w:rsidRPr="003C302E">
        <w:rPr>
          <w:lang w:val="en-GB"/>
        </w:rPr>
        <w:lastRenderedPageBreak/>
        <w:t>7.1.7.1</w:t>
      </w:r>
      <w:r w:rsidRPr="003C302E">
        <w:rPr>
          <w:lang w:val="en-GB"/>
        </w:rPr>
        <w:tab/>
        <w:t>All self-reactive substances, organic peroxides and polymerizing substances shall be protected from direct sunlight and all sources of heat, and placed in adequately ventilated areas.</w:t>
      </w:r>
    </w:p>
    <w:p w:rsidR="003C302E" w:rsidRPr="003C302E" w:rsidRDefault="003C302E" w:rsidP="003C302E">
      <w:pPr>
        <w:pStyle w:val="SingleTxtG"/>
        <w:tabs>
          <w:tab w:val="left" w:pos="1985"/>
        </w:tabs>
        <w:rPr>
          <w:lang w:val="en-GB"/>
        </w:rPr>
      </w:pPr>
      <w:r w:rsidRPr="003C302E">
        <w:rPr>
          <w:lang w:val="en-GB"/>
        </w:rPr>
        <w:t>7.1.7.2</w:t>
      </w:r>
      <w:r w:rsidRPr="003C302E">
        <w:rPr>
          <w:lang w:val="en-GB"/>
        </w:rPr>
        <w:tab/>
        <w:t xml:space="preserve">Where </w:t>
      </w:r>
      <w:proofErr w:type="gramStart"/>
      <w:r w:rsidRPr="003C302E">
        <w:rPr>
          <w:lang w:val="en-GB"/>
        </w:rPr>
        <w:t>a number of</w:t>
      </w:r>
      <w:proofErr w:type="gramEnd"/>
      <w:r w:rsidRPr="003C302E">
        <w:rPr>
          <w:lang w:val="en-GB"/>
        </w:rPr>
        <w:t xml:space="preserve"> packages are assembled in a container or closed vehicle, the total quantity of substance, the type and number of packages and the stacking arrangement shall not create an explosion hazard.</w:t>
      </w:r>
    </w:p>
    <w:p w:rsidR="003C302E" w:rsidRPr="003C302E" w:rsidRDefault="003C302E" w:rsidP="003C302E">
      <w:pPr>
        <w:pStyle w:val="SingleTxtG"/>
        <w:tabs>
          <w:tab w:val="left" w:pos="1985"/>
        </w:tabs>
        <w:rPr>
          <w:lang w:val="en-GB"/>
        </w:rPr>
      </w:pPr>
      <w:r w:rsidRPr="003C302E">
        <w:rPr>
          <w:lang w:val="en-GB"/>
        </w:rPr>
        <w:t>7.1.7.3</w:t>
      </w:r>
      <w:r w:rsidRPr="003C302E">
        <w:rPr>
          <w:lang w:val="en-GB"/>
        </w:rPr>
        <w:tab/>
      </w:r>
      <w:r w:rsidRPr="003C302E">
        <w:rPr>
          <w:i/>
          <w:lang w:val="en-GB"/>
        </w:rPr>
        <w:t>Temperature control provisions</w:t>
      </w:r>
    </w:p>
    <w:p w:rsidR="003C302E" w:rsidRPr="003C302E" w:rsidRDefault="003C302E" w:rsidP="003C302E">
      <w:pPr>
        <w:pStyle w:val="SingleTxtG"/>
        <w:tabs>
          <w:tab w:val="left" w:pos="1985"/>
        </w:tabs>
        <w:rPr>
          <w:lang w:val="en-GB"/>
        </w:rPr>
      </w:pPr>
      <w:r w:rsidRPr="003C302E">
        <w:rPr>
          <w:lang w:val="en-GB"/>
        </w:rPr>
        <w:t>7.1.7.3.1</w:t>
      </w:r>
      <w:r w:rsidRPr="003C302E">
        <w:rPr>
          <w:lang w:val="en-GB"/>
        </w:rPr>
        <w:tab/>
        <w:t>These provisions apply to certain self-reactive substances when required by 2.2.41.1.17, and certain organic peroxides when required by 2.2.52.1.15 and certain polymerizing substances when required by 2.2.41.1.21 or special provision 386 of Chapter 3.3 which may only be carried under conditions where the temperature is controlled.</w:t>
      </w:r>
    </w:p>
    <w:p w:rsidR="003C302E" w:rsidRPr="003C302E" w:rsidRDefault="003C302E" w:rsidP="003C302E">
      <w:pPr>
        <w:pStyle w:val="SingleTxtG"/>
        <w:tabs>
          <w:tab w:val="left" w:pos="1985"/>
        </w:tabs>
        <w:rPr>
          <w:lang w:val="en-GB"/>
        </w:rPr>
      </w:pPr>
      <w:r w:rsidRPr="003C302E">
        <w:rPr>
          <w:lang w:val="en-GB"/>
        </w:rPr>
        <w:t>7.1.7.3.2</w:t>
      </w:r>
      <w:r w:rsidRPr="003C302E">
        <w:rPr>
          <w:lang w:val="en-GB"/>
        </w:rPr>
        <w:tab/>
        <w:t>These provisions also apply to the carriage of substances for which:</w:t>
      </w:r>
    </w:p>
    <w:p w:rsidR="003C302E" w:rsidRPr="003C302E" w:rsidRDefault="003C302E" w:rsidP="003C302E">
      <w:pPr>
        <w:pStyle w:val="SingleTxtG"/>
        <w:tabs>
          <w:tab w:val="left" w:pos="2552"/>
        </w:tabs>
        <w:ind w:left="2552" w:hanging="567"/>
        <w:rPr>
          <w:lang w:val="en-GB"/>
        </w:rPr>
      </w:pPr>
      <w:r w:rsidRPr="003C302E">
        <w:rPr>
          <w:lang w:val="en-GB"/>
        </w:rPr>
        <w:t>(a)</w:t>
      </w:r>
      <w:r w:rsidRPr="003C302E">
        <w:rPr>
          <w:lang w:val="en-GB"/>
        </w:rPr>
        <w:tab/>
        <w:t>The proper shipping name as indicated in column (2) of Table A of Chapter 3.2 or according to 3.1.2.6 contains the word “STABILIZED”; and</w:t>
      </w:r>
    </w:p>
    <w:p w:rsidR="003C302E" w:rsidRPr="003C302E" w:rsidRDefault="003C302E" w:rsidP="003C302E">
      <w:pPr>
        <w:pStyle w:val="SingleTxtG"/>
        <w:tabs>
          <w:tab w:val="left" w:pos="2552"/>
        </w:tabs>
        <w:ind w:left="2552" w:hanging="567"/>
        <w:rPr>
          <w:lang w:val="en-GB"/>
        </w:rPr>
      </w:pPr>
      <w:r w:rsidRPr="003C302E">
        <w:rPr>
          <w:lang w:val="en-GB"/>
        </w:rPr>
        <w:t>(b)</w:t>
      </w:r>
      <w:r w:rsidRPr="003C302E">
        <w:rPr>
          <w:lang w:val="en-GB"/>
        </w:rPr>
        <w:tab/>
        <w:t>The SADT or SAPT determined for the substance (with or without chemical stabilization) as offered for carriage is:</w:t>
      </w:r>
    </w:p>
    <w:p w:rsidR="003C302E" w:rsidRPr="003C302E" w:rsidRDefault="003C302E" w:rsidP="003C302E">
      <w:pPr>
        <w:pStyle w:val="SingleTxtG"/>
        <w:tabs>
          <w:tab w:val="left" w:pos="1985"/>
          <w:tab w:val="left" w:pos="3119"/>
        </w:tabs>
        <w:ind w:left="2552"/>
        <w:rPr>
          <w:lang w:val="en-GB"/>
        </w:rPr>
      </w:pPr>
      <w:r w:rsidRPr="003C302E">
        <w:rPr>
          <w:lang w:val="en-GB"/>
        </w:rPr>
        <w:t>(</w:t>
      </w:r>
      <w:proofErr w:type="spellStart"/>
      <w:r w:rsidRPr="003C302E">
        <w:rPr>
          <w:lang w:val="en-GB"/>
        </w:rPr>
        <w:t>i</w:t>
      </w:r>
      <w:proofErr w:type="spellEnd"/>
      <w:r w:rsidRPr="003C302E">
        <w:rPr>
          <w:lang w:val="en-GB"/>
        </w:rPr>
        <w:t>)</w:t>
      </w:r>
      <w:r w:rsidRPr="003C302E">
        <w:rPr>
          <w:lang w:val="en-GB"/>
        </w:rPr>
        <w:tab/>
        <w:t xml:space="preserve">50 °C or less for single </w:t>
      </w:r>
      <w:proofErr w:type="spellStart"/>
      <w:r w:rsidRPr="003C302E">
        <w:rPr>
          <w:lang w:val="en-GB"/>
        </w:rPr>
        <w:t>packagings</w:t>
      </w:r>
      <w:proofErr w:type="spellEnd"/>
      <w:r w:rsidRPr="003C302E">
        <w:rPr>
          <w:lang w:val="en-GB"/>
        </w:rPr>
        <w:t xml:space="preserve"> and IBCs; or</w:t>
      </w:r>
    </w:p>
    <w:p w:rsidR="003C302E" w:rsidRPr="003C302E" w:rsidRDefault="003C302E" w:rsidP="003C302E">
      <w:pPr>
        <w:pStyle w:val="SingleTxtG"/>
        <w:tabs>
          <w:tab w:val="left" w:pos="1985"/>
          <w:tab w:val="left" w:pos="3119"/>
        </w:tabs>
        <w:ind w:left="2552"/>
        <w:rPr>
          <w:lang w:val="en-GB"/>
        </w:rPr>
      </w:pPr>
      <w:r w:rsidRPr="003C302E">
        <w:rPr>
          <w:lang w:val="en-GB"/>
        </w:rPr>
        <w:t>(ii)</w:t>
      </w:r>
      <w:r w:rsidRPr="003C302E">
        <w:rPr>
          <w:lang w:val="en-GB"/>
        </w:rPr>
        <w:tab/>
        <w:t>45 °C or less for tanks.</w:t>
      </w:r>
    </w:p>
    <w:p w:rsidR="003C302E" w:rsidRPr="003C302E" w:rsidRDefault="003C302E" w:rsidP="003C302E">
      <w:pPr>
        <w:pStyle w:val="SingleTxtG"/>
        <w:rPr>
          <w:lang w:val="en-GB"/>
        </w:rPr>
      </w:pPr>
      <w:r w:rsidRPr="003C302E">
        <w:rPr>
          <w:lang w:val="en-GB"/>
        </w:rPr>
        <w:t xml:space="preserve">When chemical inhibition is not used to stabilize a reactive </w:t>
      </w:r>
      <w:proofErr w:type="gramStart"/>
      <w:r w:rsidRPr="003C302E">
        <w:rPr>
          <w:lang w:val="en-GB"/>
        </w:rPr>
        <w:t>substance</w:t>
      </w:r>
      <w:proofErr w:type="gramEnd"/>
      <w:r w:rsidRPr="003C302E">
        <w:rPr>
          <w:lang w:val="en-GB"/>
        </w:rPr>
        <w:t xml:space="preserve"> which may generate dangerous amounts of heat and gas, or vapour, under normal carriage conditions, this substance needs to be carried under temperature control. These provisions do not apply to substances which are stabilized by the addition of chemical inhibitors such that the SADT or the SAPT is greater than that prescribed in (b) (</w:t>
      </w:r>
      <w:proofErr w:type="spellStart"/>
      <w:r w:rsidRPr="003C302E">
        <w:rPr>
          <w:lang w:val="en-GB"/>
        </w:rPr>
        <w:t>i</w:t>
      </w:r>
      <w:proofErr w:type="spellEnd"/>
      <w:r w:rsidRPr="003C302E">
        <w:rPr>
          <w:lang w:val="en-GB"/>
        </w:rPr>
        <w:t>) or (ii), above.</w:t>
      </w:r>
    </w:p>
    <w:p w:rsidR="003C302E" w:rsidRPr="003C302E" w:rsidRDefault="003C302E" w:rsidP="003C302E">
      <w:pPr>
        <w:pStyle w:val="SingleTxtG"/>
        <w:rPr>
          <w:lang w:val="en-GB"/>
        </w:rPr>
      </w:pPr>
      <w:r w:rsidRPr="003C302E">
        <w:rPr>
          <w:lang w:val="en-GB"/>
        </w:rPr>
        <w:t>7.1.7.3.3</w:t>
      </w:r>
      <w:r w:rsidRPr="003C302E">
        <w:rPr>
          <w:lang w:val="en-GB"/>
        </w:rPr>
        <w:tab/>
        <w:t xml:space="preserve">In addition, if a self-reactive substance or organic peroxide or a substance the proper shipping name of which contains the word “STABILIZED” and which is not normally required to be carried under temperature control is carried under conditions where the temperature may exceed 55 °C, it may require temperature control. </w:t>
      </w:r>
    </w:p>
    <w:p w:rsidR="003C302E" w:rsidRPr="003C302E" w:rsidRDefault="003C302E" w:rsidP="003C302E">
      <w:pPr>
        <w:pStyle w:val="SingleTxtG"/>
        <w:rPr>
          <w:lang w:val="en-GB"/>
        </w:rPr>
      </w:pPr>
      <w:r w:rsidRPr="003C302E">
        <w:rPr>
          <w:lang w:val="en-GB"/>
        </w:rPr>
        <w:t>7.1.7.3.4</w:t>
      </w:r>
      <w:r w:rsidRPr="003C302E">
        <w:rPr>
          <w:lang w:val="en-GB"/>
        </w:rPr>
        <w:tab/>
        <w:t>The “control temperature” is the maximum temperature at which the substance can be safely carried. It is assumed that during carriage the temperature of the immediate surroundings of the package does not exceed 55 °C and attains this value for a relatively short time only during each period of 24 hours. In the event of loss of temperature control, it may be necessary to implement emergency procedures. The “emergency temperature” is the temperature at which such procedures shall be implemented.</w:t>
      </w:r>
    </w:p>
    <w:p w:rsidR="003C302E" w:rsidRPr="003C302E" w:rsidRDefault="003C302E" w:rsidP="001A2BD6">
      <w:pPr>
        <w:pStyle w:val="SingleTxtG"/>
        <w:rPr>
          <w:lang w:val="en-GB"/>
        </w:rPr>
      </w:pPr>
      <w:r w:rsidRPr="003C302E">
        <w:rPr>
          <w:lang w:val="en-GB"/>
        </w:rPr>
        <w:t>7.1.7.3.5</w:t>
      </w:r>
      <w:r w:rsidRPr="003C302E">
        <w:rPr>
          <w:lang w:val="en-GB"/>
        </w:rPr>
        <w:tab/>
        <w:t>Derivation of control and emergency temperatures</w:t>
      </w:r>
    </w:p>
    <w:tbl>
      <w:tblPr>
        <w:tblStyle w:val="Tabellenraster2"/>
        <w:tblW w:w="0" w:type="auto"/>
        <w:tblInd w:w="534" w:type="dxa"/>
        <w:tblLook w:val="04A0" w:firstRow="1" w:lastRow="0" w:firstColumn="1" w:lastColumn="0" w:noHBand="0" w:noVBand="1"/>
      </w:tblPr>
      <w:tblGrid>
        <w:gridCol w:w="1559"/>
        <w:gridCol w:w="1984"/>
        <w:gridCol w:w="2552"/>
        <w:gridCol w:w="2583"/>
      </w:tblGrid>
      <w:tr w:rsidR="003C302E" w:rsidRPr="00AD16CB" w:rsidTr="000F6040">
        <w:tc>
          <w:tcPr>
            <w:tcW w:w="1559" w:type="dxa"/>
          </w:tcPr>
          <w:p w:rsidR="003C302E" w:rsidRPr="00AD16CB" w:rsidRDefault="003C302E" w:rsidP="000F6040">
            <w:pPr>
              <w:spacing w:line="276" w:lineRule="auto"/>
              <w:rPr>
                <w:lang w:val="en-GB"/>
              </w:rPr>
            </w:pPr>
            <w:r w:rsidRPr="00AD16CB">
              <w:rPr>
                <w:lang w:val="en-GB"/>
              </w:rPr>
              <w:t>Type of receptacle</w:t>
            </w:r>
          </w:p>
        </w:tc>
        <w:tc>
          <w:tcPr>
            <w:tcW w:w="1984" w:type="dxa"/>
          </w:tcPr>
          <w:p w:rsidR="003C302E" w:rsidRPr="00AD16CB" w:rsidRDefault="003C302E" w:rsidP="000F6040">
            <w:pPr>
              <w:spacing w:line="276" w:lineRule="auto"/>
              <w:rPr>
                <w:lang w:val="en-GB"/>
              </w:rPr>
            </w:pPr>
            <w:proofErr w:type="spellStart"/>
            <w:r w:rsidRPr="00AD16CB">
              <w:rPr>
                <w:lang w:val="en-GB"/>
              </w:rPr>
              <w:t>SADT</w:t>
            </w:r>
            <w:r w:rsidRPr="00AD16CB">
              <w:rPr>
                <w:vertAlign w:val="superscript"/>
                <w:lang w:val="en-GB"/>
              </w:rPr>
              <w:t>a</w:t>
            </w:r>
            <w:proofErr w:type="spellEnd"/>
            <w:r w:rsidRPr="00AD16CB">
              <w:rPr>
                <w:vertAlign w:val="superscript"/>
                <w:lang w:val="en-GB"/>
              </w:rPr>
              <w:t xml:space="preserve"> </w:t>
            </w:r>
            <w:r w:rsidRPr="00AD16CB">
              <w:rPr>
                <w:lang w:val="en-GB"/>
              </w:rPr>
              <w:t>/</w:t>
            </w:r>
            <w:proofErr w:type="spellStart"/>
            <w:r w:rsidRPr="00AD16CB">
              <w:rPr>
                <w:lang w:val="en-GB"/>
              </w:rPr>
              <w:t>SAPT</w:t>
            </w:r>
            <w:r w:rsidRPr="00AD16CB">
              <w:rPr>
                <w:vertAlign w:val="superscript"/>
                <w:lang w:val="en-GB"/>
              </w:rPr>
              <w:t>a</w:t>
            </w:r>
            <w:proofErr w:type="spellEnd"/>
          </w:p>
        </w:tc>
        <w:tc>
          <w:tcPr>
            <w:tcW w:w="2552" w:type="dxa"/>
          </w:tcPr>
          <w:p w:rsidR="003C302E" w:rsidRPr="00AD16CB" w:rsidRDefault="003C302E" w:rsidP="000F6040">
            <w:pPr>
              <w:spacing w:line="276" w:lineRule="auto"/>
              <w:rPr>
                <w:lang w:val="en-GB"/>
              </w:rPr>
            </w:pPr>
            <w:r w:rsidRPr="00AD16CB">
              <w:rPr>
                <w:lang w:val="en-GB"/>
              </w:rPr>
              <w:t xml:space="preserve">Control temperature </w:t>
            </w:r>
          </w:p>
        </w:tc>
        <w:tc>
          <w:tcPr>
            <w:tcW w:w="2583" w:type="dxa"/>
          </w:tcPr>
          <w:p w:rsidR="003C302E" w:rsidRPr="00AD16CB" w:rsidRDefault="003C302E" w:rsidP="000F6040">
            <w:pPr>
              <w:spacing w:line="276" w:lineRule="auto"/>
              <w:rPr>
                <w:lang w:val="en-GB"/>
              </w:rPr>
            </w:pPr>
            <w:r w:rsidRPr="00AD16CB">
              <w:rPr>
                <w:lang w:val="en-GB"/>
              </w:rPr>
              <w:t>Emergency temperature</w:t>
            </w:r>
          </w:p>
        </w:tc>
      </w:tr>
      <w:tr w:rsidR="003C302E" w:rsidRPr="00AD16CB" w:rsidTr="000F6040">
        <w:tc>
          <w:tcPr>
            <w:tcW w:w="1559" w:type="dxa"/>
          </w:tcPr>
          <w:p w:rsidR="003C302E" w:rsidRPr="00AD16CB" w:rsidRDefault="003C302E" w:rsidP="000F6040">
            <w:pPr>
              <w:spacing w:line="276" w:lineRule="auto"/>
              <w:rPr>
                <w:lang w:val="en-GB"/>
              </w:rPr>
            </w:pPr>
            <w:r w:rsidRPr="00AD16CB">
              <w:rPr>
                <w:lang w:val="en-GB"/>
              </w:rPr>
              <w:t xml:space="preserve">Single </w:t>
            </w:r>
            <w:proofErr w:type="spellStart"/>
            <w:r w:rsidRPr="00AD16CB">
              <w:rPr>
                <w:lang w:val="en-GB"/>
              </w:rPr>
              <w:t>packagings</w:t>
            </w:r>
            <w:proofErr w:type="spellEnd"/>
            <w:r w:rsidRPr="00AD16CB">
              <w:rPr>
                <w:lang w:val="en-GB"/>
              </w:rPr>
              <w:t xml:space="preserve"> and IBCs</w:t>
            </w:r>
          </w:p>
        </w:tc>
        <w:tc>
          <w:tcPr>
            <w:tcW w:w="1984" w:type="dxa"/>
          </w:tcPr>
          <w:p w:rsidR="003C302E" w:rsidRPr="00AD16CB" w:rsidRDefault="003C302E" w:rsidP="000F6040">
            <w:pPr>
              <w:spacing w:line="276" w:lineRule="auto"/>
              <w:rPr>
                <w:lang w:val="en-GB"/>
              </w:rPr>
            </w:pPr>
            <w:r w:rsidRPr="00AD16CB">
              <w:rPr>
                <w:lang w:val="en-GB"/>
              </w:rPr>
              <w:t>20 °C or less</w:t>
            </w:r>
          </w:p>
          <w:p w:rsidR="003C302E" w:rsidRPr="00AD16CB" w:rsidRDefault="003C302E" w:rsidP="000F6040">
            <w:pPr>
              <w:spacing w:line="276" w:lineRule="auto"/>
              <w:rPr>
                <w:lang w:val="en-GB"/>
              </w:rPr>
            </w:pPr>
            <w:r w:rsidRPr="00AD16CB">
              <w:rPr>
                <w:lang w:val="en-GB"/>
              </w:rPr>
              <w:t>over 20 °C to 35 °C</w:t>
            </w:r>
          </w:p>
          <w:p w:rsidR="003C302E" w:rsidRPr="00AD16CB" w:rsidRDefault="003C302E" w:rsidP="000F6040">
            <w:pPr>
              <w:spacing w:line="276" w:lineRule="auto"/>
              <w:rPr>
                <w:lang w:val="en-GB"/>
              </w:rPr>
            </w:pPr>
            <w:r w:rsidRPr="00AD16CB">
              <w:rPr>
                <w:lang w:val="en-GB"/>
              </w:rPr>
              <w:t>over 35 °C</w:t>
            </w:r>
          </w:p>
        </w:tc>
        <w:tc>
          <w:tcPr>
            <w:tcW w:w="2552" w:type="dxa"/>
          </w:tcPr>
          <w:p w:rsidR="003C302E" w:rsidRPr="00AD16CB" w:rsidRDefault="003C302E" w:rsidP="000F6040">
            <w:pPr>
              <w:spacing w:line="276" w:lineRule="auto"/>
              <w:rPr>
                <w:lang w:val="en-GB"/>
              </w:rPr>
            </w:pPr>
            <w:r w:rsidRPr="00AD16CB">
              <w:rPr>
                <w:lang w:val="en-GB"/>
              </w:rPr>
              <w:t>20 °C below SADT/SAPT</w:t>
            </w:r>
          </w:p>
          <w:p w:rsidR="003C302E" w:rsidRPr="00AD16CB" w:rsidRDefault="003C302E" w:rsidP="000F6040">
            <w:pPr>
              <w:spacing w:line="276" w:lineRule="auto"/>
              <w:rPr>
                <w:lang w:val="en-GB"/>
              </w:rPr>
            </w:pPr>
            <w:r w:rsidRPr="00AD16CB">
              <w:rPr>
                <w:lang w:val="en-GB"/>
              </w:rPr>
              <w:t>15 °C below SADT/SAPT</w:t>
            </w:r>
          </w:p>
          <w:p w:rsidR="003C302E" w:rsidRPr="00AD16CB" w:rsidRDefault="003C302E" w:rsidP="000F6040">
            <w:pPr>
              <w:spacing w:line="276" w:lineRule="auto"/>
              <w:rPr>
                <w:lang w:val="en-GB"/>
              </w:rPr>
            </w:pPr>
            <w:r w:rsidRPr="00AD16CB">
              <w:rPr>
                <w:lang w:val="en-GB"/>
              </w:rPr>
              <w:t>10 °C below SADT/SAPT</w:t>
            </w:r>
          </w:p>
        </w:tc>
        <w:tc>
          <w:tcPr>
            <w:tcW w:w="2583" w:type="dxa"/>
          </w:tcPr>
          <w:p w:rsidR="003C302E" w:rsidRPr="00AD16CB" w:rsidRDefault="003C302E" w:rsidP="000F6040">
            <w:pPr>
              <w:spacing w:line="276" w:lineRule="auto"/>
              <w:rPr>
                <w:lang w:val="en-GB"/>
              </w:rPr>
            </w:pPr>
            <w:r w:rsidRPr="00AD16CB">
              <w:rPr>
                <w:lang w:val="en-GB"/>
              </w:rPr>
              <w:t xml:space="preserve">10 °C below SADT/SAPT </w:t>
            </w:r>
          </w:p>
          <w:p w:rsidR="003C302E" w:rsidRPr="00AD16CB" w:rsidRDefault="003C302E" w:rsidP="000F6040">
            <w:pPr>
              <w:spacing w:line="276" w:lineRule="auto"/>
              <w:rPr>
                <w:lang w:val="en-GB"/>
              </w:rPr>
            </w:pPr>
            <w:r w:rsidRPr="00AD16CB">
              <w:rPr>
                <w:lang w:val="en-GB"/>
              </w:rPr>
              <w:t xml:space="preserve">10 °C below SADT/SAPT </w:t>
            </w:r>
          </w:p>
          <w:p w:rsidR="003C302E" w:rsidRPr="00AD16CB" w:rsidRDefault="003C302E" w:rsidP="000F6040">
            <w:pPr>
              <w:spacing w:line="276" w:lineRule="auto"/>
              <w:rPr>
                <w:lang w:val="en-GB"/>
              </w:rPr>
            </w:pPr>
            <w:r w:rsidRPr="00AD16CB">
              <w:rPr>
                <w:lang w:val="en-GB"/>
              </w:rPr>
              <w:t>5 °C below SADT/SAPT</w:t>
            </w:r>
          </w:p>
        </w:tc>
      </w:tr>
      <w:tr w:rsidR="003C302E" w:rsidRPr="00AD16CB" w:rsidTr="000F6040">
        <w:tc>
          <w:tcPr>
            <w:tcW w:w="1559" w:type="dxa"/>
          </w:tcPr>
          <w:p w:rsidR="003C302E" w:rsidRPr="00AD16CB" w:rsidRDefault="003C302E" w:rsidP="000F6040">
            <w:pPr>
              <w:spacing w:line="276" w:lineRule="auto"/>
              <w:rPr>
                <w:lang w:val="en-GB"/>
              </w:rPr>
            </w:pPr>
            <w:r w:rsidRPr="00AD16CB">
              <w:rPr>
                <w:lang w:val="en-GB"/>
              </w:rPr>
              <w:t>Tanks</w:t>
            </w:r>
          </w:p>
        </w:tc>
        <w:tc>
          <w:tcPr>
            <w:tcW w:w="1984" w:type="dxa"/>
          </w:tcPr>
          <w:p w:rsidR="003C302E" w:rsidRPr="00AD16CB" w:rsidRDefault="003C302E" w:rsidP="000F6040">
            <w:pPr>
              <w:spacing w:line="276" w:lineRule="auto"/>
              <w:rPr>
                <w:lang w:val="en-GB"/>
              </w:rPr>
            </w:pPr>
            <w:r w:rsidRPr="00AD16CB">
              <w:t>≤ 45 °C</w:t>
            </w:r>
          </w:p>
        </w:tc>
        <w:tc>
          <w:tcPr>
            <w:tcW w:w="2552" w:type="dxa"/>
          </w:tcPr>
          <w:p w:rsidR="003C302E" w:rsidRPr="00AD16CB" w:rsidRDefault="003C302E" w:rsidP="000F6040">
            <w:pPr>
              <w:spacing w:line="276" w:lineRule="auto"/>
              <w:rPr>
                <w:lang w:val="en-GB"/>
              </w:rPr>
            </w:pPr>
            <w:r w:rsidRPr="00AD16CB">
              <w:rPr>
                <w:lang w:val="en-GB"/>
              </w:rPr>
              <w:t>10 °C below SADT/SAPT</w:t>
            </w:r>
          </w:p>
        </w:tc>
        <w:tc>
          <w:tcPr>
            <w:tcW w:w="2583" w:type="dxa"/>
          </w:tcPr>
          <w:p w:rsidR="003C302E" w:rsidRPr="00AD16CB" w:rsidRDefault="003C302E" w:rsidP="000F6040">
            <w:pPr>
              <w:spacing w:line="276" w:lineRule="auto"/>
              <w:rPr>
                <w:lang w:val="en-GB"/>
              </w:rPr>
            </w:pPr>
            <w:r w:rsidRPr="00AD16CB">
              <w:rPr>
                <w:lang w:val="en-GB"/>
              </w:rPr>
              <w:t>5 °C below SADT/SAPT</w:t>
            </w:r>
          </w:p>
        </w:tc>
      </w:tr>
    </w:tbl>
    <w:p w:rsidR="003C302E" w:rsidRPr="003C302E" w:rsidRDefault="003C302E" w:rsidP="003C302E">
      <w:pPr>
        <w:pStyle w:val="SingleTxtG"/>
        <w:spacing w:before="120"/>
        <w:rPr>
          <w:lang w:val="en-GB"/>
        </w:rPr>
      </w:pPr>
      <w:proofErr w:type="spellStart"/>
      <w:r w:rsidRPr="003C302E">
        <w:rPr>
          <w:vertAlign w:val="superscript"/>
          <w:lang w:val="en-GB"/>
        </w:rPr>
        <w:t>a</w:t>
      </w:r>
      <w:proofErr w:type="spellEnd"/>
      <w:r w:rsidRPr="003C302E">
        <w:rPr>
          <w:vertAlign w:val="superscript"/>
          <w:lang w:val="en-GB"/>
        </w:rPr>
        <w:tab/>
      </w:r>
      <w:r w:rsidRPr="003C302E">
        <w:rPr>
          <w:lang w:val="en-GB"/>
        </w:rPr>
        <w:t>i.e. the SADT/SAPT of the substance as packed for carriage.</w:t>
      </w:r>
    </w:p>
    <w:p w:rsidR="003C302E" w:rsidRPr="003C302E" w:rsidRDefault="003C302E" w:rsidP="003C302E">
      <w:pPr>
        <w:pStyle w:val="SingleTxtG"/>
        <w:rPr>
          <w:lang w:val="en-GB"/>
        </w:rPr>
      </w:pPr>
      <w:r w:rsidRPr="003C302E">
        <w:rPr>
          <w:lang w:val="en-GB"/>
        </w:rPr>
        <w:t>7.1.7.3.6</w:t>
      </w:r>
      <w:r w:rsidRPr="003C302E">
        <w:rPr>
          <w:lang w:val="en-GB"/>
        </w:rPr>
        <w:tab/>
        <w:t xml:space="preserve">The control and emergency temperatures are derived using the table in 7.1.7.3.5 from the SADT or from the SAPT which are defined as the lowest temperatures at which self-accelerating decomposition or self-accelerating polymerization may occur with a </w:t>
      </w:r>
      <w:r w:rsidRPr="003C302E">
        <w:rPr>
          <w:lang w:val="en-GB"/>
        </w:rPr>
        <w:lastRenderedPageBreak/>
        <w:t xml:space="preserve">substance in the packaging, IBC or tank as used in carriage. An SADT or SAPT shall be determined </w:t>
      </w:r>
      <w:proofErr w:type="gramStart"/>
      <w:r w:rsidRPr="003C302E">
        <w:rPr>
          <w:lang w:val="en-GB"/>
        </w:rPr>
        <w:t>in order to</w:t>
      </w:r>
      <w:proofErr w:type="gramEnd"/>
      <w:r w:rsidRPr="003C302E">
        <w:rPr>
          <w:lang w:val="en-GB"/>
        </w:rPr>
        <w:t xml:space="preserve"> decide if a substance shall be subjected to temperature control during carriage. Provisions for the determination of the SADT and SAPT are given in Part II, section 28 of the Manual of Tests and Criteria.</w:t>
      </w:r>
    </w:p>
    <w:p w:rsidR="003C302E" w:rsidRPr="003C302E" w:rsidRDefault="003C302E" w:rsidP="003C302E">
      <w:pPr>
        <w:pStyle w:val="SingleTxtG"/>
        <w:rPr>
          <w:strike/>
          <w:lang w:val="en-GB"/>
        </w:rPr>
      </w:pPr>
      <w:r w:rsidRPr="003C302E">
        <w:rPr>
          <w:lang w:val="en-GB"/>
        </w:rPr>
        <w:t>7.1.7.3.7</w:t>
      </w:r>
      <w:r w:rsidRPr="003C302E">
        <w:rPr>
          <w:lang w:val="en-GB"/>
        </w:rPr>
        <w:tab/>
        <w:t>Control and emergency temperatures, where appropriate, are provided for currently assigned self-reactive substances in 2.2.41.4 and for currently assigned organic peroxide formulations in 2.2.52.4.</w:t>
      </w:r>
    </w:p>
    <w:p w:rsidR="003C302E" w:rsidRPr="003C302E" w:rsidRDefault="003C302E" w:rsidP="003C302E">
      <w:pPr>
        <w:pStyle w:val="SingleTxtG"/>
        <w:rPr>
          <w:lang w:val="en-GB"/>
        </w:rPr>
      </w:pPr>
      <w:r w:rsidRPr="003C302E">
        <w:rPr>
          <w:lang w:val="en-GB"/>
        </w:rPr>
        <w:t>7.1.7.3.8</w:t>
      </w:r>
      <w:r w:rsidRPr="003C302E">
        <w:rPr>
          <w:lang w:val="en-GB"/>
        </w:rPr>
        <w:tab/>
        <w:t xml:space="preserve">The actual carriage temperature may be lower than the control temperature but shall be selected </w:t>
      </w:r>
      <w:proofErr w:type="gramStart"/>
      <w:r w:rsidRPr="003C302E">
        <w:rPr>
          <w:lang w:val="en-GB"/>
        </w:rPr>
        <w:t>so as to</w:t>
      </w:r>
      <w:proofErr w:type="gramEnd"/>
      <w:r w:rsidRPr="003C302E">
        <w:rPr>
          <w:lang w:val="en-GB"/>
        </w:rPr>
        <w:t xml:space="preserve"> avoid dangerous separation of phases.</w:t>
      </w:r>
    </w:p>
    <w:p w:rsidR="003C302E" w:rsidRPr="003C302E" w:rsidRDefault="003C302E" w:rsidP="003C302E">
      <w:pPr>
        <w:pStyle w:val="SingleTxtG"/>
        <w:rPr>
          <w:lang w:val="en-GB"/>
        </w:rPr>
      </w:pPr>
      <w:r w:rsidRPr="003C302E">
        <w:rPr>
          <w:lang w:val="en-GB"/>
        </w:rPr>
        <w:t>7.1.7.4</w:t>
      </w:r>
      <w:r w:rsidRPr="003C302E">
        <w:rPr>
          <w:lang w:val="en-GB"/>
        </w:rPr>
        <w:tab/>
      </w:r>
      <w:r w:rsidR="00B842E5">
        <w:rPr>
          <w:lang w:val="en-GB"/>
        </w:rPr>
        <w:tab/>
      </w:r>
      <w:r w:rsidRPr="003C302E">
        <w:rPr>
          <w:i/>
          <w:lang w:val="en-GB"/>
        </w:rPr>
        <w:t>Carriage under temperature control</w:t>
      </w:r>
    </w:p>
    <w:p w:rsidR="003C302E" w:rsidRPr="003C302E" w:rsidRDefault="003C302E" w:rsidP="003C302E">
      <w:pPr>
        <w:pStyle w:val="SingleTxtG"/>
        <w:rPr>
          <w:lang w:val="en-GB"/>
        </w:rPr>
      </w:pPr>
      <w:r w:rsidRPr="003C302E">
        <w:rPr>
          <w:lang w:val="en-GB"/>
        </w:rPr>
        <w:t>7.1.7.4.1</w:t>
      </w:r>
      <w:r w:rsidRPr="003C302E">
        <w:rPr>
          <w:lang w:val="en-GB"/>
        </w:rPr>
        <w:tab/>
        <w:t>Maintenance of the prescribed temperature is an essential feature of the safe carriage of substances stabilized by temperature control. In general, there shall be:</w:t>
      </w:r>
    </w:p>
    <w:p w:rsidR="003C302E" w:rsidRPr="003C302E" w:rsidRDefault="003C302E" w:rsidP="003C302E">
      <w:pPr>
        <w:pStyle w:val="SingleTxtG"/>
        <w:tabs>
          <w:tab w:val="left" w:pos="2552"/>
        </w:tabs>
        <w:ind w:left="2552" w:hanging="567"/>
        <w:rPr>
          <w:lang w:val="en-GB"/>
        </w:rPr>
      </w:pPr>
      <w:r w:rsidRPr="003C302E">
        <w:rPr>
          <w:lang w:val="en-GB"/>
        </w:rPr>
        <w:t>(a)</w:t>
      </w:r>
      <w:r w:rsidRPr="003C302E">
        <w:rPr>
          <w:lang w:val="en-GB"/>
        </w:rPr>
        <w:tab/>
        <w:t>Thorough inspection of the cargo transport unit prior to loading;</w:t>
      </w:r>
    </w:p>
    <w:p w:rsidR="003C302E" w:rsidRPr="003C302E" w:rsidRDefault="003C302E" w:rsidP="003C302E">
      <w:pPr>
        <w:pStyle w:val="SingleTxtG"/>
        <w:tabs>
          <w:tab w:val="left" w:pos="2552"/>
        </w:tabs>
        <w:ind w:left="2552" w:hanging="567"/>
        <w:rPr>
          <w:lang w:val="en-GB"/>
        </w:rPr>
      </w:pPr>
      <w:r w:rsidRPr="003C302E">
        <w:rPr>
          <w:lang w:val="en-GB"/>
        </w:rPr>
        <w:t>(b)</w:t>
      </w:r>
      <w:r w:rsidRPr="003C302E">
        <w:rPr>
          <w:lang w:val="en-GB"/>
        </w:rPr>
        <w:tab/>
        <w:t xml:space="preserve">Instructions to the carrier about the operation of the refrigeration system including a list of the suppliers of coolant available </w:t>
      </w:r>
      <w:proofErr w:type="spellStart"/>
      <w:r w:rsidRPr="003C302E">
        <w:rPr>
          <w:lang w:val="en-GB"/>
        </w:rPr>
        <w:t>en</w:t>
      </w:r>
      <w:proofErr w:type="spellEnd"/>
      <w:r w:rsidRPr="003C302E">
        <w:rPr>
          <w:lang w:val="en-GB"/>
        </w:rPr>
        <w:t xml:space="preserve"> route;</w:t>
      </w:r>
    </w:p>
    <w:p w:rsidR="003C302E" w:rsidRPr="003C302E" w:rsidRDefault="003C302E" w:rsidP="003C302E">
      <w:pPr>
        <w:pStyle w:val="SingleTxtG"/>
        <w:tabs>
          <w:tab w:val="left" w:pos="2552"/>
        </w:tabs>
        <w:ind w:left="2552" w:hanging="567"/>
        <w:rPr>
          <w:lang w:val="en-GB"/>
        </w:rPr>
      </w:pPr>
      <w:r w:rsidRPr="003C302E">
        <w:rPr>
          <w:lang w:val="en-GB"/>
        </w:rPr>
        <w:t>(c)</w:t>
      </w:r>
      <w:r w:rsidRPr="003C302E">
        <w:rPr>
          <w:lang w:val="en-GB"/>
        </w:rPr>
        <w:tab/>
        <w:t>Procedures to be followed in the event of loss of control;</w:t>
      </w:r>
    </w:p>
    <w:p w:rsidR="003C302E" w:rsidRPr="003C302E" w:rsidRDefault="003C302E" w:rsidP="003C302E">
      <w:pPr>
        <w:pStyle w:val="SingleTxtG"/>
        <w:tabs>
          <w:tab w:val="left" w:pos="2552"/>
        </w:tabs>
        <w:ind w:left="2552" w:hanging="567"/>
        <w:rPr>
          <w:lang w:val="en-GB"/>
        </w:rPr>
      </w:pPr>
      <w:r w:rsidRPr="003C302E">
        <w:rPr>
          <w:lang w:val="en-GB"/>
        </w:rPr>
        <w:t>(d)</w:t>
      </w:r>
      <w:r w:rsidRPr="003C302E">
        <w:rPr>
          <w:lang w:val="en-GB"/>
        </w:rPr>
        <w:tab/>
        <w:t>Regular monitoring of operating temperatures; and</w:t>
      </w:r>
    </w:p>
    <w:p w:rsidR="003C302E" w:rsidRPr="003C302E" w:rsidRDefault="003C302E" w:rsidP="003C302E">
      <w:pPr>
        <w:pStyle w:val="SingleTxtG"/>
        <w:tabs>
          <w:tab w:val="left" w:pos="2552"/>
        </w:tabs>
        <w:ind w:left="2552" w:hanging="567"/>
        <w:rPr>
          <w:lang w:val="en-GB"/>
        </w:rPr>
      </w:pPr>
      <w:r w:rsidRPr="003C302E">
        <w:rPr>
          <w:lang w:val="en-GB"/>
        </w:rPr>
        <w:t>(e)</w:t>
      </w:r>
      <w:r w:rsidRPr="003C302E">
        <w:rPr>
          <w:lang w:val="en-GB"/>
        </w:rPr>
        <w:tab/>
        <w:t>Provision of a back-up refrigeration system or spare parts.</w:t>
      </w:r>
    </w:p>
    <w:p w:rsidR="003C302E" w:rsidRPr="003C302E" w:rsidRDefault="003C302E" w:rsidP="003C302E">
      <w:pPr>
        <w:pStyle w:val="SingleTxtG"/>
        <w:rPr>
          <w:lang w:val="en-GB"/>
        </w:rPr>
      </w:pPr>
      <w:r w:rsidRPr="003C302E">
        <w:rPr>
          <w:lang w:val="en-GB"/>
        </w:rPr>
        <w:t>7.1.7.4.2</w:t>
      </w:r>
      <w:r w:rsidRPr="003C302E">
        <w:rPr>
          <w:lang w:val="en-GB"/>
        </w:rPr>
        <w:tab/>
        <w:t>Any control and temperature sensing devices in the refrigeration system shall be readily accessible and all electrical connections weather-proof. The temperature of air space within the cargo transport unit shall be measured by two independent sensors and the output shall be recorded so that temperature changes are readily detectable. The temperature shall be checked every four to six hours and logged. When substances having a control temperature of less than +25 °C are carried, the cargo transport unit shall be equipped with visible and audible alarms, powered independently of the refrigeration system, set to operate at or below the control temperature.</w:t>
      </w:r>
    </w:p>
    <w:p w:rsidR="003C302E" w:rsidRPr="003C302E" w:rsidRDefault="003C302E" w:rsidP="003C302E">
      <w:pPr>
        <w:pStyle w:val="SingleTxtG"/>
        <w:rPr>
          <w:lang w:val="en-GB"/>
        </w:rPr>
      </w:pPr>
      <w:r w:rsidRPr="003C302E">
        <w:rPr>
          <w:lang w:val="en-GB"/>
        </w:rPr>
        <w:t>7.1.7.4.3</w:t>
      </w:r>
      <w:r w:rsidRPr="003C302E">
        <w:rPr>
          <w:lang w:val="en-GB"/>
        </w:rPr>
        <w:tab/>
        <w:t>If during carriage the control temperature is exceeded, an alert procedure shall be initiated involving any necessary repairs to the refrigeration equipment or an increase in the cooling capacity (e.g. by adding liquid or solid refrigerants). The temperature shall also be checked frequently and preparations made for implementation of the emergency procedures. If the emergency temperature is reached, the emergency procedures shall be initiated.</w:t>
      </w:r>
    </w:p>
    <w:p w:rsidR="003C302E" w:rsidRPr="003C302E" w:rsidRDefault="003C302E" w:rsidP="003C302E">
      <w:pPr>
        <w:pStyle w:val="SingleTxtG"/>
        <w:rPr>
          <w:lang w:val="en-GB"/>
        </w:rPr>
      </w:pPr>
      <w:r w:rsidRPr="003C302E">
        <w:rPr>
          <w:lang w:val="en-GB"/>
        </w:rPr>
        <w:t>7.1.7.4.4</w:t>
      </w:r>
      <w:r w:rsidRPr="003C302E">
        <w:rPr>
          <w:lang w:val="en-GB"/>
        </w:rPr>
        <w:tab/>
        <w:t xml:space="preserve">The suitability of a </w:t>
      </w:r>
      <w:proofErr w:type="gramStart"/>
      <w:r w:rsidRPr="003C302E">
        <w:rPr>
          <w:lang w:val="en-GB"/>
        </w:rPr>
        <w:t>particular means</w:t>
      </w:r>
      <w:proofErr w:type="gramEnd"/>
      <w:r w:rsidRPr="003C302E">
        <w:rPr>
          <w:lang w:val="en-GB"/>
        </w:rPr>
        <w:t xml:space="preserve"> of temperature control for carriage depends on a number of factors. Factors to be considered include:</w:t>
      </w:r>
    </w:p>
    <w:p w:rsidR="003C302E" w:rsidRPr="003C302E" w:rsidRDefault="003C302E" w:rsidP="003C302E">
      <w:pPr>
        <w:pStyle w:val="SingleTxtG"/>
        <w:tabs>
          <w:tab w:val="left" w:pos="2552"/>
        </w:tabs>
        <w:ind w:left="2552" w:hanging="567"/>
        <w:rPr>
          <w:lang w:val="en-GB"/>
        </w:rPr>
      </w:pPr>
      <w:r w:rsidRPr="003C302E">
        <w:rPr>
          <w:lang w:val="en-GB"/>
        </w:rPr>
        <w:t>(a)</w:t>
      </w:r>
      <w:r w:rsidRPr="003C302E">
        <w:rPr>
          <w:lang w:val="en-GB"/>
        </w:rPr>
        <w:tab/>
        <w:t>The control temperature(s) of the substance(s) to be carried;</w:t>
      </w:r>
    </w:p>
    <w:p w:rsidR="003C302E" w:rsidRPr="003C302E" w:rsidRDefault="003C302E" w:rsidP="003C302E">
      <w:pPr>
        <w:pStyle w:val="SingleTxtG"/>
        <w:tabs>
          <w:tab w:val="left" w:pos="2552"/>
        </w:tabs>
        <w:ind w:left="2552" w:hanging="567"/>
        <w:rPr>
          <w:lang w:val="en-GB"/>
        </w:rPr>
      </w:pPr>
      <w:r w:rsidRPr="003C302E">
        <w:rPr>
          <w:lang w:val="en-GB"/>
        </w:rPr>
        <w:t>(b)</w:t>
      </w:r>
      <w:r w:rsidRPr="003C302E">
        <w:rPr>
          <w:lang w:val="en-GB"/>
        </w:rPr>
        <w:tab/>
        <w:t>The difference between the control temperature and the anticipated ambient temperature conditions;</w:t>
      </w:r>
    </w:p>
    <w:p w:rsidR="003C302E" w:rsidRPr="003C302E" w:rsidRDefault="003C302E" w:rsidP="003C302E">
      <w:pPr>
        <w:pStyle w:val="SingleTxtG"/>
        <w:tabs>
          <w:tab w:val="left" w:pos="2552"/>
        </w:tabs>
        <w:ind w:left="2552" w:hanging="567"/>
        <w:rPr>
          <w:lang w:val="en-GB"/>
        </w:rPr>
      </w:pPr>
      <w:r w:rsidRPr="003C302E">
        <w:rPr>
          <w:lang w:val="en-GB"/>
        </w:rPr>
        <w:t>(c)</w:t>
      </w:r>
      <w:r w:rsidRPr="003C302E">
        <w:rPr>
          <w:lang w:val="en-GB"/>
        </w:rPr>
        <w:tab/>
        <w:t>The effectiveness of the thermal insulation;</w:t>
      </w:r>
    </w:p>
    <w:p w:rsidR="003C302E" w:rsidRPr="003C302E" w:rsidRDefault="003C302E" w:rsidP="003C302E">
      <w:pPr>
        <w:pStyle w:val="SingleTxtG"/>
        <w:tabs>
          <w:tab w:val="left" w:pos="2552"/>
        </w:tabs>
        <w:ind w:left="2552" w:hanging="567"/>
        <w:rPr>
          <w:lang w:val="en-GB"/>
        </w:rPr>
      </w:pPr>
      <w:r w:rsidRPr="003C302E">
        <w:rPr>
          <w:lang w:val="en-GB"/>
        </w:rPr>
        <w:t>(d)</w:t>
      </w:r>
      <w:r w:rsidRPr="003C302E">
        <w:rPr>
          <w:lang w:val="en-GB"/>
        </w:rPr>
        <w:tab/>
        <w:t>The duration of carriage; and</w:t>
      </w:r>
    </w:p>
    <w:p w:rsidR="003C302E" w:rsidRPr="003C302E" w:rsidRDefault="003C302E" w:rsidP="003C302E">
      <w:pPr>
        <w:pStyle w:val="SingleTxtG"/>
        <w:tabs>
          <w:tab w:val="left" w:pos="2552"/>
        </w:tabs>
        <w:ind w:left="2552" w:hanging="567"/>
        <w:rPr>
          <w:lang w:val="en-GB"/>
        </w:rPr>
      </w:pPr>
      <w:r w:rsidRPr="003C302E">
        <w:rPr>
          <w:lang w:val="en-GB"/>
        </w:rPr>
        <w:t>(e)</w:t>
      </w:r>
      <w:r w:rsidRPr="003C302E">
        <w:rPr>
          <w:lang w:val="en-GB"/>
        </w:rPr>
        <w:tab/>
        <w:t>Allowance of a safety margin for delays.</w:t>
      </w:r>
    </w:p>
    <w:p w:rsidR="003C302E" w:rsidRPr="003C302E" w:rsidRDefault="003C302E" w:rsidP="003C302E">
      <w:pPr>
        <w:pStyle w:val="SingleTxtG"/>
        <w:rPr>
          <w:lang w:val="en-GB"/>
        </w:rPr>
      </w:pPr>
      <w:r w:rsidRPr="003C302E">
        <w:rPr>
          <w:lang w:val="en-GB"/>
        </w:rPr>
        <w:t>7.1.7.4.5</w:t>
      </w:r>
      <w:r w:rsidRPr="003C302E">
        <w:rPr>
          <w:lang w:val="en-GB"/>
        </w:rPr>
        <w:tab/>
        <w:t>Suitable methods for preventing the control temperature being exceeded are, in order of increasing control capability:</w:t>
      </w:r>
    </w:p>
    <w:p w:rsidR="003C302E" w:rsidRPr="003C302E" w:rsidRDefault="003C302E" w:rsidP="003C302E">
      <w:pPr>
        <w:pStyle w:val="SingleTxtG"/>
        <w:tabs>
          <w:tab w:val="left" w:pos="2552"/>
        </w:tabs>
        <w:ind w:left="2552" w:hanging="567"/>
        <w:rPr>
          <w:lang w:val="en-GB"/>
        </w:rPr>
      </w:pPr>
      <w:r w:rsidRPr="003C302E">
        <w:rPr>
          <w:lang w:val="en-GB"/>
        </w:rPr>
        <w:t>(a)</w:t>
      </w:r>
      <w:r w:rsidRPr="003C302E">
        <w:rPr>
          <w:lang w:val="en-GB"/>
        </w:rPr>
        <w:tab/>
        <w:t>Thermal insulation provided that the initial temperature of the substance(s) to be carried is sufficiently below the control temperature;</w:t>
      </w:r>
    </w:p>
    <w:p w:rsidR="003C302E" w:rsidRPr="003C302E" w:rsidRDefault="003C302E" w:rsidP="003C302E">
      <w:pPr>
        <w:pStyle w:val="SingleTxtG"/>
        <w:tabs>
          <w:tab w:val="left" w:pos="2552"/>
        </w:tabs>
        <w:ind w:left="2552" w:hanging="567"/>
        <w:rPr>
          <w:lang w:val="en-GB"/>
        </w:rPr>
      </w:pPr>
      <w:r w:rsidRPr="003C302E">
        <w:rPr>
          <w:lang w:val="en-GB"/>
        </w:rPr>
        <w:lastRenderedPageBreak/>
        <w:t>(b)</w:t>
      </w:r>
      <w:r w:rsidRPr="003C302E">
        <w:rPr>
          <w:lang w:val="en-GB"/>
        </w:rPr>
        <w:tab/>
        <w:t>Thermal insulation with coolant system provided that:</w:t>
      </w:r>
    </w:p>
    <w:p w:rsidR="003C302E" w:rsidRPr="003C302E" w:rsidRDefault="003C302E" w:rsidP="003C302E">
      <w:pPr>
        <w:pStyle w:val="SingleTxtG"/>
        <w:tabs>
          <w:tab w:val="left" w:pos="1985"/>
          <w:tab w:val="left" w:pos="3119"/>
        </w:tabs>
        <w:ind w:left="3119" w:hanging="567"/>
        <w:rPr>
          <w:lang w:val="en-GB"/>
        </w:rPr>
      </w:pPr>
      <w:r w:rsidRPr="003C302E">
        <w:rPr>
          <w:lang w:val="en-GB"/>
        </w:rPr>
        <w:t>(</w:t>
      </w:r>
      <w:proofErr w:type="spellStart"/>
      <w:r w:rsidRPr="003C302E">
        <w:rPr>
          <w:lang w:val="en-GB"/>
        </w:rPr>
        <w:t>i</w:t>
      </w:r>
      <w:proofErr w:type="spellEnd"/>
      <w:r w:rsidRPr="003C302E">
        <w:rPr>
          <w:lang w:val="en-GB"/>
        </w:rPr>
        <w:t>)</w:t>
      </w:r>
      <w:r w:rsidRPr="003C302E">
        <w:rPr>
          <w:lang w:val="en-GB"/>
        </w:rPr>
        <w:tab/>
        <w:t>An adequate quantity of non-flammable coolant (e.g. liquid nitrogen or solid carbon dioxide), allowing a reasonable margin for delay, is carried or a means of replenishment is assured;</w:t>
      </w:r>
    </w:p>
    <w:p w:rsidR="003C302E" w:rsidRPr="003C302E" w:rsidRDefault="003C302E" w:rsidP="003C302E">
      <w:pPr>
        <w:pStyle w:val="SingleTxtG"/>
        <w:tabs>
          <w:tab w:val="left" w:pos="1985"/>
          <w:tab w:val="left" w:pos="3119"/>
        </w:tabs>
        <w:ind w:left="3119" w:hanging="567"/>
        <w:rPr>
          <w:lang w:val="en-GB"/>
        </w:rPr>
      </w:pPr>
      <w:r w:rsidRPr="003C302E">
        <w:rPr>
          <w:lang w:val="en-GB"/>
        </w:rPr>
        <w:t>(ii)</w:t>
      </w:r>
      <w:r w:rsidRPr="003C302E">
        <w:rPr>
          <w:lang w:val="en-GB"/>
        </w:rPr>
        <w:tab/>
        <w:t>Liquid oxygen or air is not used as coolant;</w:t>
      </w:r>
    </w:p>
    <w:p w:rsidR="003C302E" w:rsidRPr="003C302E" w:rsidRDefault="003C302E" w:rsidP="003C302E">
      <w:pPr>
        <w:pStyle w:val="SingleTxtG"/>
        <w:tabs>
          <w:tab w:val="left" w:pos="1985"/>
          <w:tab w:val="left" w:pos="3119"/>
        </w:tabs>
        <w:ind w:left="3119" w:hanging="567"/>
        <w:rPr>
          <w:lang w:val="en-GB"/>
        </w:rPr>
      </w:pPr>
      <w:r w:rsidRPr="003C302E">
        <w:rPr>
          <w:lang w:val="en-GB"/>
        </w:rPr>
        <w:t>(iii)</w:t>
      </w:r>
      <w:r w:rsidRPr="003C302E">
        <w:rPr>
          <w:lang w:val="en-GB"/>
        </w:rPr>
        <w:tab/>
        <w:t>There is a uniform cooling effect even when most of the coolant has been consumed; and</w:t>
      </w:r>
    </w:p>
    <w:p w:rsidR="003C302E" w:rsidRPr="003C302E" w:rsidRDefault="003C302E" w:rsidP="003C302E">
      <w:pPr>
        <w:pStyle w:val="SingleTxtG"/>
        <w:tabs>
          <w:tab w:val="left" w:pos="1985"/>
          <w:tab w:val="left" w:pos="3119"/>
        </w:tabs>
        <w:ind w:left="3119" w:hanging="567"/>
        <w:rPr>
          <w:lang w:val="en-GB"/>
        </w:rPr>
      </w:pPr>
      <w:r w:rsidRPr="003C302E">
        <w:rPr>
          <w:lang w:val="en-GB"/>
        </w:rPr>
        <w:t>(iv)</w:t>
      </w:r>
      <w:r w:rsidRPr="003C302E">
        <w:rPr>
          <w:lang w:val="en-GB"/>
        </w:rPr>
        <w:tab/>
        <w:t>The need to ventilate the transport unit before entering is clearly indicated by a warning on the door(s) of the transport unit;</w:t>
      </w:r>
    </w:p>
    <w:p w:rsidR="003C302E" w:rsidRPr="003C302E" w:rsidRDefault="003C302E" w:rsidP="003C302E">
      <w:pPr>
        <w:pStyle w:val="SingleTxtG"/>
        <w:tabs>
          <w:tab w:val="left" w:pos="2552"/>
        </w:tabs>
        <w:ind w:left="2552" w:hanging="567"/>
        <w:rPr>
          <w:lang w:val="en-GB"/>
        </w:rPr>
      </w:pPr>
      <w:r w:rsidRPr="003C302E">
        <w:rPr>
          <w:lang w:val="en-GB"/>
        </w:rPr>
        <w:t>(c)</w:t>
      </w:r>
      <w:r w:rsidRPr="003C302E">
        <w:rPr>
          <w:lang w:val="en-GB"/>
        </w:rPr>
        <w:tab/>
        <w:t xml:space="preserve">Thermal insulation and single mechanical refrigeration provided that for substance(s) to be carried with a flash point lower than the sum of the emergency temperature plus 5 °C explosion-proof electrical fittings, </w:t>
      </w:r>
      <w:proofErr w:type="spellStart"/>
      <w:r w:rsidRPr="003C302E">
        <w:rPr>
          <w:lang w:val="en-GB"/>
        </w:rPr>
        <w:t>EEx</w:t>
      </w:r>
      <w:proofErr w:type="spellEnd"/>
      <w:r w:rsidRPr="003C302E">
        <w:rPr>
          <w:lang w:val="en-GB"/>
        </w:rPr>
        <w:t xml:space="preserve"> IIB T3 are used within the cooling compartment to prevent ignition of flammable vapours from the substances;</w:t>
      </w:r>
    </w:p>
    <w:p w:rsidR="003C302E" w:rsidRPr="003C302E" w:rsidRDefault="003C302E" w:rsidP="003C302E">
      <w:pPr>
        <w:pStyle w:val="SingleTxtG"/>
        <w:tabs>
          <w:tab w:val="left" w:pos="2552"/>
        </w:tabs>
        <w:ind w:left="2552" w:hanging="567"/>
        <w:rPr>
          <w:lang w:val="en-GB"/>
        </w:rPr>
      </w:pPr>
      <w:r w:rsidRPr="003C302E">
        <w:rPr>
          <w:lang w:val="en-GB"/>
        </w:rPr>
        <w:t>(d)</w:t>
      </w:r>
      <w:r w:rsidRPr="003C302E">
        <w:rPr>
          <w:lang w:val="en-GB"/>
        </w:rPr>
        <w:tab/>
        <w:t>Thermal insulation and combined mechanical refrigeration system with coolant system; provided that:</w:t>
      </w:r>
    </w:p>
    <w:p w:rsidR="003C302E" w:rsidRPr="003C302E" w:rsidRDefault="003C302E" w:rsidP="003C302E">
      <w:pPr>
        <w:pStyle w:val="SingleTxtG"/>
        <w:tabs>
          <w:tab w:val="left" w:pos="1985"/>
          <w:tab w:val="left" w:pos="3119"/>
        </w:tabs>
        <w:ind w:left="3119" w:hanging="567"/>
        <w:rPr>
          <w:lang w:val="en-GB"/>
        </w:rPr>
      </w:pPr>
      <w:r w:rsidRPr="003C302E">
        <w:rPr>
          <w:lang w:val="en-GB"/>
        </w:rPr>
        <w:t>(</w:t>
      </w:r>
      <w:proofErr w:type="spellStart"/>
      <w:r w:rsidRPr="003C302E">
        <w:rPr>
          <w:lang w:val="en-GB"/>
        </w:rPr>
        <w:t>i</w:t>
      </w:r>
      <w:proofErr w:type="spellEnd"/>
      <w:r w:rsidRPr="003C302E">
        <w:rPr>
          <w:lang w:val="en-GB"/>
        </w:rPr>
        <w:t>)</w:t>
      </w:r>
      <w:r w:rsidRPr="003C302E">
        <w:rPr>
          <w:lang w:val="en-GB"/>
        </w:rPr>
        <w:tab/>
        <w:t>The two systems are independent of one another;</w:t>
      </w:r>
    </w:p>
    <w:p w:rsidR="003C302E" w:rsidRPr="003C302E" w:rsidRDefault="003C302E" w:rsidP="003C302E">
      <w:pPr>
        <w:pStyle w:val="SingleTxtG"/>
        <w:tabs>
          <w:tab w:val="left" w:pos="1985"/>
          <w:tab w:val="left" w:pos="3119"/>
        </w:tabs>
        <w:ind w:left="3119" w:hanging="567"/>
        <w:rPr>
          <w:lang w:val="en-GB"/>
        </w:rPr>
      </w:pPr>
      <w:r w:rsidRPr="003C302E">
        <w:rPr>
          <w:lang w:val="en-GB"/>
        </w:rPr>
        <w:t>(ii)</w:t>
      </w:r>
      <w:r w:rsidRPr="003C302E">
        <w:rPr>
          <w:lang w:val="en-GB"/>
        </w:rPr>
        <w:tab/>
        <w:t>The provisions in (b) and (c) are complied with;</w:t>
      </w:r>
    </w:p>
    <w:p w:rsidR="003C302E" w:rsidRPr="003C302E" w:rsidRDefault="003C302E" w:rsidP="003C302E">
      <w:pPr>
        <w:pStyle w:val="SingleTxtG"/>
        <w:tabs>
          <w:tab w:val="left" w:pos="2552"/>
        </w:tabs>
        <w:ind w:left="2552" w:hanging="567"/>
        <w:rPr>
          <w:lang w:val="en-GB"/>
        </w:rPr>
      </w:pPr>
      <w:r w:rsidRPr="003C302E">
        <w:rPr>
          <w:lang w:val="en-GB"/>
        </w:rPr>
        <w:t>(e)</w:t>
      </w:r>
      <w:r w:rsidRPr="003C302E">
        <w:rPr>
          <w:lang w:val="en-GB"/>
        </w:rPr>
        <w:tab/>
        <w:t>Thermal insulation and dual mechanical refrigeration system; provided that:</w:t>
      </w:r>
    </w:p>
    <w:p w:rsidR="003C302E" w:rsidRPr="003C302E" w:rsidRDefault="003C302E" w:rsidP="003C302E">
      <w:pPr>
        <w:pStyle w:val="SingleTxtG"/>
        <w:tabs>
          <w:tab w:val="left" w:pos="1985"/>
          <w:tab w:val="left" w:pos="3119"/>
        </w:tabs>
        <w:ind w:left="3119" w:hanging="567"/>
        <w:rPr>
          <w:lang w:val="en-GB"/>
        </w:rPr>
      </w:pPr>
      <w:r w:rsidRPr="003C302E">
        <w:rPr>
          <w:lang w:val="en-GB"/>
        </w:rPr>
        <w:t>(</w:t>
      </w:r>
      <w:proofErr w:type="spellStart"/>
      <w:r w:rsidRPr="003C302E">
        <w:rPr>
          <w:lang w:val="en-GB"/>
        </w:rPr>
        <w:t>i</w:t>
      </w:r>
      <w:proofErr w:type="spellEnd"/>
      <w:r w:rsidRPr="003C302E">
        <w:rPr>
          <w:lang w:val="en-GB"/>
        </w:rPr>
        <w:t>)</w:t>
      </w:r>
      <w:r w:rsidRPr="003C302E">
        <w:rPr>
          <w:lang w:val="en-GB"/>
        </w:rPr>
        <w:tab/>
        <w:t>Apart from the integral power supply unit, the two systems are independent of one another;</w:t>
      </w:r>
    </w:p>
    <w:p w:rsidR="003C302E" w:rsidRPr="003C302E" w:rsidRDefault="003C302E" w:rsidP="003C302E">
      <w:pPr>
        <w:pStyle w:val="SingleTxtG"/>
        <w:tabs>
          <w:tab w:val="left" w:pos="1985"/>
          <w:tab w:val="left" w:pos="3119"/>
        </w:tabs>
        <w:ind w:left="3119" w:hanging="567"/>
        <w:rPr>
          <w:lang w:val="en-GB"/>
        </w:rPr>
      </w:pPr>
      <w:r w:rsidRPr="003C302E">
        <w:rPr>
          <w:lang w:val="en-GB"/>
        </w:rPr>
        <w:t>(ii)</w:t>
      </w:r>
      <w:r w:rsidRPr="003C302E">
        <w:rPr>
          <w:lang w:val="en-GB"/>
        </w:rPr>
        <w:tab/>
        <w:t xml:space="preserve">Each system alone </w:t>
      </w:r>
      <w:proofErr w:type="gramStart"/>
      <w:r w:rsidRPr="003C302E">
        <w:rPr>
          <w:lang w:val="en-GB"/>
        </w:rPr>
        <w:t>is capable of maintaining</w:t>
      </w:r>
      <w:proofErr w:type="gramEnd"/>
      <w:r w:rsidRPr="003C302E">
        <w:rPr>
          <w:lang w:val="en-GB"/>
        </w:rPr>
        <w:t xml:space="preserve"> adequate temperature control; and</w:t>
      </w:r>
    </w:p>
    <w:p w:rsidR="003C302E" w:rsidRPr="003C302E" w:rsidRDefault="003C302E" w:rsidP="003C302E">
      <w:pPr>
        <w:pStyle w:val="SingleTxtG"/>
        <w:tabs>
          <w:tab w:val="left" w:pos="1985"/>
          <w:tab w:val="left" w:pos="3119"/>
        </w:tabs>
        <w:ind w:left="3119" w:hanging="567"/>
        <w:rPr>
          <w:lang w:val="en-GB"/>
        </w:rPr>
      </w:pPr>
      <w:r w:rsidRPr="003C302E">
        <w:rPr>
          <w:lang w:val="en-GB"/>
        </w:rPr>
        <w:t>(iii)</w:t>
      </w:r>
      <w:r w:rsidRPr="003C302E">
        <w:rPr>
          <w:lang w:val="en-GB"/>
        </w:rPr>
        <w:tab/>
        <w:t xml:space="preserve">For substance(s) to be carried with a flash point lower than the sum of the emergency temperature plus 5 °C explosion-proof electrical fittings, </w:t>
      </w:r>
      <w:proofErr w:type="spellStart"/>
      <w:r w:rsidRPr="003C302E">
        <w:rPr>
          <w:lang w:val="en-GB"/>
        </w:rPr>
        <w:t>EEx</w:t>
      </w:r>
      <w:proofErr w:type="spellEnd"/>
      <w:r w:rsidRPr="003C302E">
        <w:rPr>
          <w:lang w:val="en-GB"/>
        </w:rPr>
        <w:t xml:space="preserve"> IIB T3 are used within the cooling compartment to prevent ignition of flammable vapours from the substances.</w:t>
      </w:r>
    </w:p>
    <w:p w:rsidR="003C302E" w:rsidRPr="003C302E" w:rsidRDefault="003C302E" w:rsidP="003C302E">
      <w:pPr>
        <w:pStyle w:val="SingleTxtG"/>
        <w:rPr>
          <w:lang w:val="en-GB"/>
        </w:rPr>
      </w:pPr>
      <w:r w:rsidRPr="003C302E">
        <w:rPr>
          <w:lang w:val="en-GB"/>
        </w:rPr>
        <w:t>7.1.7.4.6</w:t>
      </w:r>
      <w:r w:rsidRPr="003C302E">
        <w:rPr>
          <w:lang w:val="en-GB"/>
        </w:rPr>
        <w:tab/>
        <w:t>The methods described in 7.1.7.4.5 (d) and (e) may be used for all organic peroxides and self-reactive substances and polymerizing substances.</w:t>
      </w:r>
    </w:p>
    <w:p w:rsidR="003C302E" w:rsidRPr="003C302E" w:rsidRDefault="003C302E" w:rsidP="00B842E5">
      <w:pPr>
        <w:pStyle w:val="SingleTxtG"/>
        <w:ind w:firstLine="567"/>
        <w:rPr>
          <w:lang w:val="en-GB"/>
        </w:rPr>
      </w:pPr>
      <w:r w:rsidRPr="003C302E">
        <w:rPr>
          <w:lang w:val="en-GB"/>
        </w:rPr>
        <w:t>The method described in 7.1.7.4.5 (c) may be used for organic peroxides and self-reactive substances of Types C, D, E and F and, when the maximum ambient temperature to be expected during carriage does not exceed the control temperature by more than 10 °C, for organic peroxides and self-reactive substances of Type B and polymerizing substances.</w:t>
      </w:r>
    </w:p>
    <w:p w:rsidR="003C302E" w:rsidRPr="003C302E" w:rsidRDefault="003C302E" w:rsidP="00B842E5">
      <w:pPr>
        <w:pStyle w:val="SingleTxtG"/>
        <w:ind w:firstLine="567"/>
        <w:rPr>
          <w:lang w:val="en-GB"/>
        </w:rPr>
      </w:pPr>
      <w:r w:rsidRPr="003C302E">
        <w:rPr>
          <w:lang w:val="en-GB"/>
        </w:rPr>
        <w:t>The method described in 7.1.7.4.5 (b) may be used for organic peroxides and self-reactive substances of Types C, D, E and F and polymerizing substances when the maximum ambient temperature to be expected during carriage does not exceed the control temperature by more than 30 °C.</w:t>
      </w:r>
    </w:p>
    <w:p w:rsidR="003C302E" w:rsidRPr="003C302E" w:rsidRDefault="003C302E" w:rsidP="00B842E5">
      <w:pPr>
        <w:pStyle w:val="SingleTxtG"/>
        <w:ind w:firstLine="567"/>
        <w:rPr>
          <w:lang w:val="en-GB"/>
        </w:rPr>
      </w:pPr>
      <w:r w:rsidRPr="003C302E">
        <w:rPr>
          <w:lang w:val="en-GB"/>
        </w:rPr>
        <w:t>The method described in 7.1.7.4.5 (a) may be used for organic peroxides and self-reactive substances of Types C, D, E and F and polymerizing substances when the maximum ambient temperature to be expected during carriage is at least 10 °C below the control temperature.</w:t>
      </w:r>
    </w:p>
    <w:p w:rsidR="003C302E" w:rsidRPr="003C302E" w:rsidRDefault="003C302E" w:rsidP="003C302E">
      <w:pPr>
        <w:pStyle w:val="SingleTxtG"/>
        <w:rPr>
          <w:lang w:val="en-GB"/>
        </w:rPr>
      </w:pPr>
      <w:r w:rsidRPr="003C302E">
        <w:rPr>
          <w:lang w:val="en-GB"/>
        </w:rPr>
        <w:lastRenderedPageBreak/>
        <w:t>7.1.7.4.7</w:t>
      </w:r>
      <w:r w:rsidRPr="003C302E">
        <w:rPr>
          <w:lang w:val="en-GB"/>
        </w:rPr>
        <w:tab/>
        <w:t>Where substances are required to be carried in insulated, refrigerated or mechanically-refrigerated vehicles or containers, these vehicles or containers shall satisfy the requirements of Chapter 9.6</w:t>
      </w:r>
      <w:r w:rsidR="00D5503C">
        <w:rPr>
          <w:lang w:val="en-GB"/>
        </w:rPr>
        <w:t xml:space="preserve"> </w:t>
      </w:r>
      <w:r w:rsidR="00D5503C" w:rsidRPr="00412D29">
        <w:rPr>
          <w:lang w:val="en-GB"/>
        </w:rPr>
        <w:t>of ADR</w:t>
      </w:r>
      <w:r w:rsidRPr="00412D29">
        <w:rPr>
          <w:lang w:val="en-GB"/>
        </w:rPr>
        <w:t>.</w:t>
      </w:r>
    </w:p>
    <w:p w:rsidR="003C302E" w:rsidRPr="003C302E" w:rsidRDefault="003C302E" w:rsidP="003C302E">
      <w:pPr>
        <w:pStyle w:val="SingleTxtG"/>
        <w:rPr>
          <w:lang w:val="en-GB"/>
        </w:rPr>
      </w:pPr>
      <w:r w:rsidRPr="003C302E">
        <w:rPr>
          <w:lang w:val="en-GB"/>
        </w:rPr>
        <w:t>7.1.7.4.8</w:t>
      </w:r>
      <w:r w:rsidRPr="003C302E">
        <w:rPr>
          <w:lang w:val="en-GB"/>
        </w:rPr>
        <w:tab/>
        <w:t xml:space="preserve">If substances are contained in protective </w:t>
      </w:r>
      <w:proofErr w:type="spellStart"/>
      <w:r w:rsidRPr="003C302E">
        <w:rPr>
          <w:lang w:val="en-GB"/>
        </w:rPr>
        <w:t>packagings</w:t>
      </w:r>
      <w:proofErr w:type="spellEnd"/>
      <w:r w:rsidRPr="003C302E">
        <w:rPr>
          <w:lang w:val="en-GB"/>
        </w:rPr>
        <w:t xml:space="preserve"> filled with a coolant, they shall be loaded in closed or sheeted vehicles or closed or sheeted containers. If the vehicles or containers used are closed they shall be adequately ventilated. Sheeted vehicles and containers shall be fitted with sideboards and a tailboard. The sheets of these vehicles and containers shall be of an impermeable and non-combustible material.”.</w:t>
      </w:r>
    </w:p>
    <w:p w:rsidR="0083728C" w:rsidRPr="003C302E" w:rsidRDefault="003C302E" w:rsidP="003C302E">
      <w:pPr>
        <w:pStyle w:val="SingleTxtG"/>
        <w:rPr>
          <w:lang w:val="en-GB"/>
        </w:rPr>
      </w:pPr>
      <w:r w:rsidRPr="003C302E">
        <w:rPr>
          <w:i/>
          <w:lang w:val="en-GB"/>
        </w:rPr>
        <w:t xml:space="preserve">(Reference document </w:t>
      </w:r>
      <w:r w:rsidRPr="003C302E">
        <w:rPr>
          <w:i/>
          <w:iCs/>
          <w:lang w:val="en-GB"/>
        </w:rPr>
        <w:t>ECE/TRANS/WP.15/AC.2/2018/1 as amended by ECE/TRANS/WP.15/239</w:t>
      </w:r>
      <w:r w:rsidRPr="003C302E">
        <w:rPr>
          <w:i/>
          <w:lang w:val="en-GB"/>
        </w:rPr>
        <w:t>)</w:t>
      </w:r>
    </w:p>
    <w:p w:rsidR="00133F18" w:rsidRPr="00C17E19" w:rsidRDefault="00133F18" w:rsidP="002B0C85">
      <w:pPr>
        <w:pStyle w:val="SingleTxtG"/>
        <w:spacing w:before="240" w:after="0"/>
        <w:jc w:val="center"/>
        <w:rPr>
          <w:u w:val="single"/>
          <w:lang w:val="en-GB"/>
        </w:rPr>
      </w:pPr>
      <w:r w:rsidRPr="00C17E19">
        <w:rPr>
          <w:u w:val="single"/>
          <w:lang w:val="en-GB"/>
        </w:rPr>
        <w:tab/>
      </w:r>
      <w:r w:rsidRPr="00C17E19">
        <w:rPr>
          <w:u w:val="single"/>
          <w:lang w:val="en-GB"/>
        </w:rPr>
        <w:tab/>
      </w:r>
      <w:r w:rsidRPr="00C17E19">
        <w:rPr>
          <w:u w:val="single"/>
          <w:lang w:val="en-GB"/>
        </w:rPr>
        <w:tab/>
      </w:r>
    </w:p>
    <w:sectPr w:rsidR="00133F18" w:rsidRPr="00C17E19" w:rsidSect="00F73F3A">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3CA" w:rsidRDefault="003B23CA"/>
  </w:endnote>
  <w:endnote w:type="continuationSeparator" w:id="0">
    <w:p w:rsidR="003B23CA" w:rsidRDefault="003B23CA"/>
  </w:endnote>
  <w:endnote w:type="continuationNotice" w:id="1">
    <w:p w:rsidR="003B23CA" w:rsidRPr="00BF38EF" w:rsidRDefault="003B23CA" w:rsidP="00BF38EF">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CB1" w:rsidRPr="00CD4281" w:rsidRDefault="00856CB1" w:rsidP="00CD4281">
    <w:pPr>
      <w:pStyle w:val="Footer"/>
      <w:tabs>
        <w:tab w:val="right" w:pos="9638"/>
      </w:tabs>
    </w:pPr>
    <w:r w:rsidRPr="00CD4281">
      <w:rPr>
        <w:b/>
        <w:sz w:val="18"/>
      </w:rPr>
      <w:fldChar w:fldCharType="begin"/>
    </w:r>
    <w:r w:rsidRPr="00CD4281">
      <w:rPr>
        <w:b/>
        <w:sz w:val="18"/>
      </w:rPr>
      <w:instrText xml:space="preserve"> PAGE  \* MERGEFORMAT </w:instrText>
    </w:r>
    <w:r w:rsidRPr="00CD4281">
      <w:rPr>
        <w:b/>
        <w:sz w:val="18"/>
      </w:rPr>
      <w:fldChar w:fldCharType="separate"/>
    </w:r>
    <w:r w:rsidR="00412D29">
      <w:rPr>
        <w:b/>
        <w:noProof/>
        <w:sz w:val="18"/>
      </w:rPr>
      <w:t>6</w:t>
    </w:r>
    <w:r w:rsidRPr="00CD4281">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CB1" w:rsidRPr="00CD4281" w:rsidRDefault="00856CB1" w:rsidP="00CD4281">
    <w:pPr>
      <w:pStyle w:val="Footer"/>
      <w:tabs>
        <w:tab w:val="right" w:pos="9638"/>
      </w:tabs>
      <w:rPr>
        <w:b/>
        <w:sz w:val="18"/>
      </w:rPr>
    </w:pPr>
    <w:r>
      <w:tab/>
    </w:r>
    <w:r w:rsidRPr="00CD4281">
      <w:rPr>
        <w:b/>
        <w:sz w:val="18"/>
      </w:rPr>
      <w:fldChar w:fldCharType="begin"/>
    </w:r>
    <w:r w:rsidRPr="00CD4281">
      <w:rPr>
        <w:b/>
        <w:sz w:val="18"/>
      </w:rPr>
      <w:instrText xml:space="preserve"> PAGE  \* MERGEFORMAT </w:instrText>
    </w:r>
    <w:r w:rsidRPr="00CD4281">
      <w:rPr>
        <w:b/>
        <w:sz w:val="18"/>
      </w:rPr>
      <w:fldChar w:fldCharType="separate"/>
    </w:r>
    <w:r w:rsidR="00412D29">
      <w:rPr>
        <w:b/>
        <w:noProof/>
        <w:sz w:val="18"/>
      </w:rPr>
      <w:t>7</w:t>
    </w:r>
    <w:r w:rsidRPr="00CD428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3CA" w:rsidRPr="00D27D5E" w:rsidRDefault="003B23CA" w:rsidP="00D27D5E">
      <w:pPr>
        <w:tabs>
          <w:tab w:val="right" w:pos="2155"/>
        </w:tabs>
        <w:spacing w:after="80"/>
        <w:ind w:left="680"/>
        <w:rPr>
          <w:u w:val="single"/>
        </w:rPr>
      </w:pPr>
      <w:r>
        <w:rPr>
          <w:u w:val="single"/>
        </w:rPr>
        <w:tab/>
      </w:r>
    </w:p>
  </w:footnote>
  <w:footnote w:type="continuationSeparator" w:id="0">
    <w:p w:rsidR="003B23CA" w:rsidRPr="00836A24" w:rsidRDefault="003B23CA" w:rsidP="00836A24">
      <w:pPr>
        <w:tabs>
          <w:tab w:val="right" w:pos="2155"/>
        </w:tabs>
        <w:spacing w:after="80"/>
        <w:ind w:left="680"/>
        <w:rPr>
          <w:u w:val="single"/>
        </w:rPr>
      </w:pPr>
      <w:r w:rsidRPr="00836A24">
        <w:rPr>
          <w:u w:val="single"/>
        </w:rPr>
        <w:tab/>
      </w:r>
    </w:p>
  </w:footnote>
  <w:footnote w:type="continuationNotice" w:id="1">
    <w:p w:rsidR="003B23CA" w:rsidRPr="00BF38EF" w:rsidRDefault="003B23CA" w:rsidP="00BF38EF">
      <w:pPr>
        <w:spacing w:line="240" w:lineRule="auto"/>
        <w:rPr>
          <w:sz w:val="2"/>
          <w:szCs w:val="2"/>
        </w:rPr>
      </w:pPr>
    </w:p>
  </w:footnote>
  <w:footnote w:id="2">
    <w:p w:rsidR="00053A02" w:rsidRPr="003A7D20" w:rsidRDefault="00053A02" w:rsidP="00053A02">
      <w:pPr>
        <w:pStyle w:val="FootnoteText"/>
        <w:rPr>
          <w:lang w:val="en-US"/>
        </w:rPr>
      </w:pPr>
      <w:r>
        <w:rPr>
          <w:lang w:val="en-US"/>
        </w:rPr>
        <w:tab/>
      </w:r>
      <w:r w:rsidRPr="005D4EB0">
        <w:rPr>
          <w:rStyle w:val="FootnoteReference"/>
          <w:sz w:val="20"/>
          <w:lang w:val="en-US"/>
        </w:rPr>
        <w:t>*</w:t>
      </w:r>
      <w:r>
        <w:rPr>
          <w:sz w:val="16"/>
          <w:szCs w:val="16"/>
          <w:lang w:val="en-US"/>
        </w:rPr>
        <w:tab/>
      </w:r>
      <w:r w:rsidRPr="003A7D20">
        <w:rPr>
          <w:lang w:val="en-US"/>
        </w:rPr>
        <w:t>Distributed in German by the Central Commission for the Navigation of the Rhine in document CCNR-ZKR/ADN/WP.15/AC.2/201</w:t>
      </w:r>
      <w:r>
        <w:rPr>
          <w:lang w:val="en-US"/>
        </w:rPr>
        <w:t>8</w:t>
      </w:r>
      <w:r w:rsidRPr="003A7D20">
        <w:rPr>
          <w:lang w:val="en-US"/>
        </w:rPr>
        <w:t>/</w:t>
      </w:r>
      <w:r>
        <w:rPr>
          <w:lang w:val="en-US"/>
        </w:rPr>
        <w:t>24</w:t>
      </w:r>
      <w:r w:rsidRPr="003A7D20">
        <w:rPr>
          <w:lang w:val="en-US"/>
        </w:rPr>
        <w:t>.</w:t>
      </w:r>
    </w:p>
  </w:footnote>
  <w:footnote w:id="3">
    <w:p w:rsidR="00053A02" w:rsidRPr="003A7D20" w:rsidRDefault="00053A02" w:rsidP="00053A02">
      <w:pPr>
        <w:pStyle w:val="FootnoteText"/>
        <w:rPr>
          <w:lang w:val="en-US"/>
        </w:rPr>
      </w:pPr>
      <w:r>
        <w:rPr>
          <w:lang w:val="en-US"/>
        </w:rPr>
        <w:tab/>
      </w:r>
      <w:r w:rsidRPr="005D4EB0">
        <w:rPr>
          <w:rStyle w:val="FootnoteReference"/>
          <w:sz w:val="20"/>
          <w:lang w:val="en-US"/>
        </w:rPr>
        <w:t>**</w:t>
      </w:r>
      <w:r w:rsidRPr="003A7D20">
        <w:rPr>
          <w:lang w:val="en-US"/>
        </w:rPr>
        <w:tab/>
        <w:t xml:space="preserve">In accordance with the </w:t>
      </w:r>
      <w:proofErr w:type="spellStart"/>
      <w:r w:rsidRPr="003A7D20">
        <w:rPr>
          <w:lang w:val="en-US"/>
        </w:rPr>
        <w:t>programme</w:t>
      </w:r>
      <w:proofErr w:type="spellEnd"/>
      <w:r w:rsidRPr="003A7D20">
        <w:rPr>
          <w:lang w:val="en-US"/>
        </w:rPr>
        <w:t xml:space="preserve"> of work of the Inl</w:t>
      </w:r>
      <w:r>
        <w:rPr>
          <w:lang w:val="en-US"/>
        </w:rPr>
        <w:t>and Transport Committee for 2018-2019</w:t>
      </w:r>
      <w:r w:rsidRPr="003A7D20">
        <w:rPr>
          <w:lang w:val="en-US"/>
        </w:rPr>
        <w:t xml:space="preserve"> (</w:t>
      </w:r>
      <w:r w:rsidRPr="00673687">
        <w:rPr>
          <w:lang w:val="en-GB"/>
        </w:rPr>
        <w:t>ECE/TRANS/2018/21/Add.1, cluster 9.3</w:t>
      </w:r>
      <w:r w:rsidRPr="003A7D20">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CB1" w:rsidRPr="00CD4281" w:rsidRDefault="00856CB1">
    <w:pPr>
      <w:pStyle w:val="Header"/>
    </w:pPr>
    <w:r>
      <w:t>ECE/TRANS/WP.15/AC.2/201</w:t>
    </w:r>
    <w:r w:rsidR="00673687">
      <w:t>8</w:t>
    </w:r>
    <w:r>
      <w:t>/</w:t>
    </w:r>
    <w:r w:rsidR="003F3DA4">
      <w:t>2</w:t>
    </w:r>
    <w:r w:rsidR="0067368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CB1" w:rsidRPr="00CD4281" w:rsidRDefault="00856CB1" w:rsidP="00CD4281">
    <w:pPr>
      <w:pStyle w:val="Header"/>
      <w:jc w:val="right"/>
    </w:pPr>
    <w:r>
      <w:t>ECE/TRANS/WP.15/AC.2/201</w:t>
    </w:r>
    <w:r w:rsidR="00673687">
      <w:t>8</w:t>
    </w:r>
    <w:r>
      <w:t>/</w:t>
    </w:r>
    <w:r w:rsidR="003F3DA4">
      <w:t>2</w:t>
    </w:r>
    <w:r w:rsidR="0067368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212"/>
    <w:multiLevelType w:val="hybridMultilevel"/>
    <w:tmpl w:val="46967074"/>
    <w:lvl w:ilvl="0" w:tplc="81AE7D3A">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 w15:restartNumberingAfterBreak="0">
    <w:nsid w:val="6D814109"/>
    <w:multiLevelType w:val="hybridMultilevel"/>
    <w:tmpl w:val="A9049804"/>
    <w:lvl w:ilvl="0" w:tplc="234C940A">
      <w:start w:val="2"/>
      <w:numFmt w:val="bullet"/>
      <w:lvlText w:val="–"/>
      <w:lvlJc w:val="left"/>
      <w:pPr>
        <w:ind w:left="2049" w:hanging="360"/>
      </w:pPr>
      <w:rPr>
        <w:rFonts w:ascii="Times New Roman" w:eastAsia="MS Mincho" w:hAnsi="Times New Roman" w:cs="Times New Roman" w:hint="default"/>
      </w:rPr>
    </w:lvl>
    <w:lvl w:ilvl="1" w:tplc="08090003" w:tentative="1">
      <w:start w:val="1"/>
      <w:numFmt w:val="bullet"/>
      <w:lvlText w:val="o"/>
      <w:lvlJc w:val="left"/>
      <w:pPr>
        <w:ind w:left="2769" w:hanging="360"/>
      </w:pPr>
      <w:rPr>
        <w:rFonts w:ascii="Courier New" w:hAnsi="Courier New" w:cs="Courier New" w:hint="default"/>
      </w:rPr>
    </w:lvl>
    <w:lvl w:ilvl="2" w:tplc="08090005" w:tentative="1">
      <w:start w:val="1"/>
      <w:numFmt w:val="bullet"/>
      <w:lvlText w:val=""/>
      <w:lvlJc w:val="left"/>
      <w:pPr>
        <w:ind w:left="3489" w:hanging="360"/>
      </w:pPr>
      <w:rPr>
        <w:rFonts w:ascii="Wingdings" w:hAnsi="Wingdings" w:hint="default"/>
      </w:rPr>
    </w:lvl>
    <w:lvl w:ilvl="3" w:tplc="08090001" w:tentative="1">
      <w:start w:val="1"/>
      <w:numFmt w:val="bullet"/>
      <w:lvlText w:val=""/>
      <w:lvlJc w:val="left"/>
      <w:pPr>
        <w:ind w:left="4209" w:hanging="360"/>
      </w:pPr>
      <w:rPr>
        <w:rFonts w:ascii="Symbol" w:hAnsi="Symbol" w:hint="default"/>
      </w:rPr>
    </w:lvl>
    <w:lvl w:ilvl="4" w:tplc="08090003" w:tentative="1">
      <w:start w:val="1"/>
      <w:numFmt w:val="bullet"/>
      <w:lvlText w:val="o"/>
      <w:lvlJc w:val="left"/>
      <w:pPr>
        <w:ind w:left="4929" w:hanging="360"/>
      </w:pPr>
      <w:rPr>
        <w:rFonts w:ascii="Courier New" w:hAnsi="Courier New" w:cs="Courier New" w:hint="default"/>
      </w:rPr>
    </w:lvl>
    <w:lvl w:ilvl="5" w:tplc="08090005" w:tentative="1">
      <w:start w:val="1"/>
      <w:numFmt w:val="bullet"/>
      <w:lvlText w:val=""/>
      <w:lvlJc w:val="left"/>
      <w:pPr>
        <w:ind w:left="5649" w:hanging="360"/>
      </w:pPr>
      <w:rPr>
        <w:rFonts w:ascii="Wingdings" w:hAnsi="Wingdings" w:hint="default"/>
      </w:rPr>
    </w:lvl>
    <w:lvl w:ilvl="6" w:tplc="08090001" w:tentative="1">
      <w:start w:val="1"/>
      <w:numFmt w:val="bullet"/>
      <w:lvlText w:val=""/>
      <w:lvlJc w:val="left"/>
      <w:pPr>
        <w:ind w:left="6369" w:hanging="360"/>
      </w:pPr>
      <w:rPr>
        <w:rFonts w:ascii="Symbol" w:hAnsi="Symbol" w:hint="default"/>
      </w:rPr>
    </w:lvl>
    <w:lvl w:ilvl="7" w:tplc="08090003" w:tentative="1">
      <w:start w:val="1"/>
      <w:numFmt w:val="bullet"/>
      <w:lvlText w:val="o"/>
      <w:lvlJc w:val="left"/>
      <w:pPr>
        <w:ind w:left="7089" w:hanging="360"/>
      </w:pPr>
      <w:rPr>
        <w:rFonts w:ascii="Courier New" w:hAnsi="Courier New" w:cs="Courier New" w:hint="default"/>
      </w:rPr>
    </w:lvl>
    <w:lvl w:ilvl="8" w:tplc="08090005" w:tentative="1">
      <w:start w:val="1"/>
      <w:numFmt w:val="bullet"/>
      <w:lvlText w:val=""/>
      <w:lvlJc w:val="left"/>
      <w:pPr>
        <w:ind w:left="7809"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36"/>
    <w:rsid w:val="0000047A"/>
    <w:rsid w:val="00003C92"/>
    <w:rsid w:val="00016AC5"/>
    <w:rsid w:val="0003028E"/>
    <w:rsid w:val="00030ADE"/>
    <w:rsid w:val="000312C0"/>
    <w:rsid w:val="00053A02"/>
    <w:rsid w:val="00083A44"/>
    <w:rsid w:val="000B0D4D"/>
    <w:rsid w:val="000D65BC"/>
    <w:rsid w:val="000F1640"/>
    <w:rsid w:val="000F41F2"/>
    <w:rsid w:val="0010156A"/>
    <w:rsid w:val="00122A8F"/>
    <w:rsid w:val="00133F18"/>
    <w:rsid w:val="00135C0D"/>
    <w:rsid w:val="00135F2D"/>
    <w:rsid w:val="00160540"/>
    <w:rsid w:val="0017182C"/>
    <w:rsid w:val="00171DAC"/>
    <w:rsid w:val="00175156"/>
    <w:rsid w:val="00177007"/>
    <w:rsid w:val="00186EE9"/>
    <w:rsid w:val="00192EEB"/>
    <w:rsid w:val="001947FF"/>
    <w:rsid w:val="001A20FB"/>
    <w:rsid w:val="001A2BD6"/>
    <w:rsid w:val="001B0BE2"/>
    <w:rsid w:val="001B6F40"/>
    <w:rsid w:val="001C61AA"/>
    <w:rsid w:val="001D7348"/>
    <w:rsid w:val="001D7F8A"/>
    <w:rsid w:val="001E2C5A"/>
    <w:rsid w:val="001E3FEB"/>
    <w:rsid w:val="001E4A02"/>
    <w:rsid w:val="00215AA3"/>
    <w:rsid w:val="00223B89"/>
    <w:rsid w:val="00225A8C"/>
    <w:rsid w:val="00225F10"/>
    <w:rsid w:val="00234E40"/>
    <w:rsid w:val="00260EA1"/>
    <w:rsid w:val="002659F1"/>
    <w:rsid w:val="00271AAD"/>
    <w:rsid w:val="00271C7C"/>
    <w:rsid w:val="00281D82"/>
    <w:rsid w:val="00287E79"/>
    <w:rsid w:val="002928F9"/>
    <w:rsid w:val="00295BC5"/>
    <w:rsid w:val="002A5D07"/>
    <w:rsid w:val="002B0C85"/>
    <w:rsid w:val="002D7669"/>
    <w:rsid w:val="002E457A"/>
    <w:rsid w:val="002E6F0D"/>
    <w:rsid w:val="002F6E51"/>
    <w:rsid w:val="002F7AEC"/>
    <w:rsid w:val="003016B7"/>
    <w:rsid w:val="00320826"/>
    <w:rsid w:val="00330F9C"/>
    <w:rsid w:val="00332BC9"/>
    <w:rsid w:val="00335DC4"/>
    <w:rsid w:val="00340C35"/>
    <w:rsid w:val="00343C15"/>
    <w:rsid w:val="003515AA"/>
    <w:rsid w:val="00370E0F"/>
    <w:rsid w:val="00374106"/>
    <w:rsid w:val="003778FF"/>
    <w:rsid w:val="00386516"/>
    <w:rsid w:val="003976D5"/>
    <w:rsid w:val="003A2189"/>
    <w:rsid w:val="003A2976"/>
    <w:rsid w:val="003B23CA"/>
    <w:rsid w:val="003C302E"/>
    <w:rsid w:val="003C3BD4"/>
    <w:rsid w:val="003D1DF3"/>
    <w:rsid w:val="003D46A7"/>
    <w:rsid w:val="003D6C68"/>
    <w:rsid w:val="003E350F"/>
    <w:rsid w:val="003E5551"/>
    <w:rsid w:val="003F3DA4"/>
    <w:rsid w:val="0040179B"/>
    <w:rsid w:val="00412D29"/>
    <w:rsid w:val="004159D0"/>
    <w:rsid w:val="004249E7"/>
    <w:rsid w:val="00442D65"/>
    <w:rsid w:val="00447B86"/>
    <w:rsid w:val="004532CE"/>
    <w:rsid w:val="004812F5"/>
    <w:rsid w:val="00493C5D"/>
    <w:rsid w:val="004A5935"/>
    <w:rsid w:val="004B6380"/>
    <w:rsid w:val="004D0439"/>
    <w:rsid w:val="004D2EFE"/>
    <w:rsid w:val="004E670C"/>
    <w:rsid w:val="00530F2E"/>
    <w:rsid w:val="00542086"/>
    <w:rsid w:val="00543D5E"/>
    <w:rsid w:val="00564105"/>
    <w:rsid w:val="00571F41"/>
    <w:rsid w:val="005751C6"/>
    <w:rsid w:val="00580744"/>
    <w:rsid w:val="00595BE4"/>
    <w:rsid w:val="00597FD5"/>
    <w:rsid w:val="005B76A3"/>
    <w:rsid w:val="005C6D4D"/>
    <w:rsid w:val="005E5D1F"/>
    <w:rsid w:val="00603391"/>
    <w:rsid w:val="00611D43"/>
    <w:rsid w:val="00612D48"/>
    <w:rsid w:val="00616B45"/>
    <w:rsid w:val="00630D9B"/>
    <w:rsid w:val="00631953"/>
    <w:rsid w:val="0063383D"/>
    <w:rsid w:val="006439EC"/>
    <w:rsid w:val="00646CBB"/>
    <w:rsid w:val="00653D13"/>
    <w:rsid w:val="006644B5"/>
    <w:rsid w:val="006707FC"/>
    <w:rsid w:val="00673687"/>
    <w:rsid w:val="0068004D"/>
    <w:rsid w:val="006823B6"/>
    <w:rsid w:val="006B4590"/>
    <w:rsid w:val="006B573D"/>
    <w:rsid w:val="006C1F26"/>
    <w:rsid w:val="006C2D04"/>
    <w:rsid w:val="006C340C"/>
    <w:rsid w:val="006D3C84"/>
    <w:rsid w:val="006E5FC7"/>
    <w:rsid w:val="0070347C"/>
    <w:rsid w:val="00703489"/>
    <w:rsid w:val="0071135F"/>
    <w:rsid w:val="007135ED"/>
    <w:rsid w:val="007176C1"/>
    <w:rsid w:val="00723FD7"/>
    <w:rsid w:val="00735A79"/>
    <w:rsid w:val="00757D0A"/>
    <w:rsid w:val="007631C0"/>
    <w:rsid w:val="00763EB9"/>
    <w:rsid w:val="00775AED"/>
    <w:rsid w:val="00790336"/>
    <w:rsid w:val="00790F2F"/>
    <w:rsid w:val="00792096"/>
    <w:rsid w:val="007C3C4F"/>
    <w:rsid w:val="007C6111"/>
    <w:rsid w:val="007E579B"/>
    <w:rsid w:val="007F55CB"/>
    <w:rsid w:val="00802B5E"/>
    <w:rsid w:val="00805BAD"/>
    <w:rsid w:val="008100E5"/>
    <w:rsid w:val="00812C1A"/>
    <w:rsid w:val="00825170"/>
    <w:rsid w:val="008317F6"/>
    <w:rsid w:val="00836A24"/>
    <w:rsid w:val="0083728C"/>
    <w:rsid w:val="008440B8"/>
    <w:rsid w:val="00844750"/>
    <w:rsid w:val="00856CB1"/>
    <w:rsid w:val="008B44C4"/>
    <w:rsid w:val="008B7879"/>
    <w:rsid w:val="008C5FAD"/>
    <w:rsid w:val="008D3919"/>
    <w:rsid w:val="008E7FAE"/>
    <w:rsid w:val="008F40D2"/>
    <w:rsid w:val="008F77B8"/>
    <w:rsid w:val="009064BF"/>
    <w:rsid w:val="00911BF7"/>
    <w:rsid w:val="00916183"/>
    <w:rsid w:val="00935E45"/>
    <w:rsid w:val="00952FDB"/>
    <w:rsid w:val="00974DF0"/>
    <w:rsid w:val="00975B8F"/>
    <w:rsid w:val="009761FC"/>
    <w:rsid w:val="00977EC8"/>
    <w:rsid w:val="00983D68"/>
    <w:rsid w:val="00995D62"/>
    <w:rsid w:val="009B18A3"/>
    <w:rsid w:val="009C5907"/>
    <w:rsid w:val="009D3A8C"/>
    <w:rsid w:val="009E01B8"/>
    <w:rsid w:val="009E2194"/>
    <w:rsid w:val="009E7956"/>
    <w:rsid w:val="00A025E4"/>
    <w:rsid w:val="00A2161E"/>
    <w:rsid w:val="00A2492E"/>
    <w:rsid w:val="00A44C79"/>
    <w:rsid w:val="00A666CE"/>
    <w:rsid w:val="00A669C6"/>
    <w:rsid w:val="00A70163"/>
    <w:rsid w:val="00AB3EF4"/>
    <w:rsid w:val="00AC67A1"/>
    <w:rsid w:val="00AC7977"/>
    <w:rsid w:val="00AD15AE"/>
    <w:rsid w:val="00AD27FA"/>
    <w:rsid w:val="00AE352C"/>
    <w:rsid w:val="00AE5075"/>
    <w:rsid w:val="00B32E2D"/>
    <w:rsid w:val="00B4466B"/>
    <w:rsid w:val="00B61990"/>
    <w:rsid w:val="00B72D29"/>
    <w:rsid w:val="00B75EC5"/>
    <w:rsid w:val="00B842E5"/>
    <w:rsid w:val="00B85D99"/>
    <w:rsid w:val="00B93E72"/>
    <w:rsid w:val="00BA05E7"/>
    <w:rsid w:val="00BF0556"/>
    <w:rsid w:val="00BF38EF"/>
    <w:rsid w:val="00BF6F0C"/>
    <w:rsid w:val="00C0250B"/>
    <w:rsid w:val="00C17E19"/>
    <w:rsid w:val="00C24B53"/>
    <w:rsid w:val="00C261F8"/>
    <w:rsid w:val="00C26D07"/>
    <w:rsid w:val="00C27150"/>
    <w:rsid w:val="00C33100"/>
    <w:rsid w:val="00C43BB0"/>
    <w:rsid w:val="00C44213"/>
    <w:rsid w:val="00C57892"/>
    <w:rsid w:val="00C940E9"/>
    <w:rsid w:val="00CA1414"/>
    <w:rsid w:val="00CB17A1"/>
    <w:rsid w:val="00CB5269"/>
    <w:rsid w:val="00CB6267"/>
    <w:rsid w:val="00CB694A"/>
    <w:rsid w:val="00CD1A71"/>
    <w:rsid w:val="00CD1FBB"/>
    <w:rsid w:val="00CD4281"/>
    <w:rsid w:val="00CE5BF6"/>
    <w:rsid w:val="00D016B5"/>
    <w:rsid w:val="00D034F1"/>
    <w:rsid w:val="00D04D8B"/>
    <w:rsid w:val="00D05E95"/>
    <w:rsid w:val="00D11B17"/>
    <w:rsid w:val="00D205A3"/>
    <w:rsid w:val="00D24779"/>
    <w:rsid w:val="00D27D5E"/>
    <w:rsid w:val="00D5503C"/>
    <w:rsid w:val="00D60301"/>
    <w:rsid w:val="00D751D5"/>
    <w:rsid w:val="00D761E2"/>
    <w:rsid w:val="00DA57D4"/>
    <w:rsid w:val="00DB4793"/>
    <w:rsid w:val="00DE01E3"/>
    <w:rsid w:val="00DE45DF"/>
    <w:rsid w:val="00DE6D90"/>
    <w:rsid w:val="00DE7B6E"/>
    <w:rsid w:val="00DF002F"/>
    <w:rsid w:val="00E0244D"/>
    <w:rsid w:val="00E0331A"/>
    <w:rsid w:val="00E11978"/>
    <w:rsid w:val="00E37AE2"/>
    <w:rsid w:val="00E401F2"/>
    <w:rsid w:val="00E413D8"/>
    <w:rsid w:val="00E47862"/>
    <w:rsid w:val="00E50079"/>
    <w:rsid w:val="00E55D71"/>
    <w:rsid w:val="00E81E94"/>
    <w:rsid w:val="00E82607"/>
    <w:rsid w:val="00EA31C2"/>
    <w:rsid w:val="00EC66F9"/>
    <w:rsid w:val="00ED734B"/>
    <w:rsid w:val="00ED7E18"/>
    <w:rsid w:val="00EE2EA3"/>
    <w:rsid w:val="00EF1183"/>
    <w:rsid w:val="00EF486C"/>
    <w:rsid w:val="00EF6EE5"/>
    <w:rsid w:val="00F01516"/>
    <w:rsid w:val="00F0492A"/>
    <w:rsid w:val="00F460D3"/>
    <w:rsid w:val="00F524BE"/>
    <w:rsid w:val="00F57129"/>
    <w:rsid w:val="00F73F3A"/>
    <w:rsid w:val="00FA5A79"/>
    <w:rsid w:val="00FB00CB"/>
    <w:rsid w:val="00FB0BFE"/>
    <w:rsid w:val="00FB129B"/>
    <w:rsid w:val="00FB4C51"/>
    <w:rsid w:val="00FB62F2"/>
    <w:rsid w:val="00FF10CF"/>
    <w:rsid w:val="00FF1D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394395FA"/>
  <w15:docId w15:val="{C0B48E60-ED99-4389-BFAA-ECBD6A7B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38EF"/>
    <w:pPr>
      <w:suppressAutoHyphens/>
      <w:spacing w:line="240" w:lineRule="atLeast"/>
    </w:pPr>
    <w:rPr>
      <w:lang w:val="fr-CH" w:eastAsia="en-US"/>
    </w:rPr>
  </w:style>
  <w:style w:type="paragraph" w:styleId="Heading1">
    <w:name w:val="heading 1"/>
    <w:aliases w:val="Table_G"/>
    <w:basedOn w:val="SingleTxtG"/>
    <w:next w:val="SingleTxtG"/>
    <w:qFormat/>
    <w:rsid w:val="00BF38EF"/>
    <w:pPr>
      <w:keepNext/>
      <w:keepLines/>
      <w:spacing w:after="0" w:line="240" w:lineRule="auto"/>
      <w:ind w:right="0"/>
      <w:jc w:val="left"/>
      <w:outlineLvl w:val="0"/>
    </w:pPr>
  </w:style>
  <w:style w:type="paragraph" w:styleId="Heading2">
    <w:name w:val="heading 2"/>
    <w:basedOn w:val="Normal"/>
    <w:next w:val="Normal"/>
    <w:qFormat/>
    <w:rsid w:val="00BF38EF"/>
    <w:pPr>
      <w:outlineLvl w:val="1"/>
    </w:pPr>
  </w:style>
  <w:style w:type="paragraph" w:styleId="Heading3">
    <w:name w:val="heading 3"/>
    <w:basedOn w:val="Normal"/>
    <w:next w:val="Normal"/>
    <w:qFormat/>
    <w:rsid w:val="00BF38EF"/>
    <w:pPr>
      <w:outlineLvl w:val="2"/>
    </w:pPr>
  </w:style>
  <w:style w:type="paragraph" w:styleId="Heading4">
    <w:name w:val="heading 4"/>
    <w:basedOn w:val="Normal"/>
    <w:next w:val="Normal"/>
    <w:qFormat/>
    <w:rsid w:val="00BF38EF"/>
    <w:pPr>
      <w:outlineLvl w:val="3"/>
    </w:pPr>
  </w:style>
  <w:style w:type="paragraph" w:styleId="Heading5">
    <w:name w:val="heading 5"/>
    <w:basedOn w:val="Normal"/>
    <w:next w:val="Normal"/>
    <w:qFormat/>
    <w:rsid w:val="00BF38EF"/>
    <w:pPr>
      <w:outlineLvl w:val="4"/>
    </w:pPr>
  </w:style>
  <w:style w:type="paragraph" w:styleId="Heading6">
    <w:name w:val="heading 6"/>
    <w:basedOn w:val="Normal"/>
    <w:next w:val="Normal"/>
    <w:qFormat/>
    <w:rsid w:val="00BF38EF"/>
    <w:pPr>
      <w:outlineLvl w:val="5"/>
    </w:pPr>
  </w:style>
  <w:style w:type="paragraph" w:styleId="Heading7">
    <w:name w:val="heading 7"/>
    <w:basedOn w:val="Normal"/>
    <w:next w:val="Normal"/>
    <w:link w:val="Heading7Char"/>
    <w:qFormat/>
    <w:rsid w:val="00BF38EF"/>
    <w:pPr>
      <w:outlineLvl w:val="6"/>
    </w:pPr>
  </w:style>
  <w:style w:type="paragraph" w:styleId="Heading8">
    <w:name w:val="heading 8"/>
    <w:basedOn w:val="Normal"/>
    <w:next w:val="Normal"/>
    <w:qFormat/>
    <w:rsid w:val="00BF38EF"/>
    <w:pPr>
      <w:outlineLvl w:val="7"/>
    </w:pPr>
  </w:style>
  <w:style w:type="paragraph" w:styleId="Heading9">
    <w:name w:val="heading 9"/>
    <w:basedOn w:val="Normal"/>
    <w:next w:val="Normal"/>
    <w:qFormat/>
    <w:rsid w:val="00BF38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BF38E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F38EF"/>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BF38E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BF38E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F38E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F38EF"/>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BF38EF"/>
    <w:pPr>
      <w:spacing w:after="120"/>
      <w:ind w:left="1134" w:right="1134"/>
      <w:jc w:val="both"/>
    </w:pPr>
  </w:style>
  <w:style w:type="paragraph" w:customStyle="1" w:styleId="SLG">
    <w:name w:val="__S_L_G"/>
    <w:basedOn w:val="Normal"/>
    <w:next w:val="Normal"/>
    <w:rsid w:val="00BF38EF"/>
    <w:pPr>
      <w:keepNext/>
      <w:keepLines/>
      <w:spacing w:before="240" w:after="240" w:line="580" w:lineRule="exact"/>
      <w:ind w:left="1134" w:right="1134"/>
    </w:pPr>
    <w:rPr>
      <w:b/>
      <w:sz w:val="56"/>
    </w:rPr>
  </w:style>
  <w:style w:type="paragraph" w:customStyle="1" w:styleId="SMG">
    <w:name w:val="__S_M_G"/>
    <w:basedOn w:val="Normal"/>
    <w:next w:val="Normal"/>
    <w:rsid w:val="00BF38EF"/>
    <w:pPr>
      <w:keepNext/>
      <w:keepLines/>
      <w:spacing w:before="240" w:after="240" w:line="420" w:lineRule="exact"/>
      <w:ind w:left="1134" w:right="1134"/>
    </w:pPr>
    <w:rPr>
      <w:b/>
      <w:sz w:val="40"/>
    </w:rPr>
  </w:style>
  <w:style w:type="paragraph" w:customStyle="1" w:styleId="SSG">
    <w:name w:val="__S_S_G"/>
    <w:basedOn w:val="Normal"/>
    <w:next w:val="Normal"/>
    <w:rsid w:val="00BF38EF"/>
    <w:pPr>
      <w:keepNext/>
      <w:keepLines/>
      <w:spacing w:before="240" w:after="240" w:line="300" w:lineRule="exact"/>
      <w:ind w:left="1134" w:right="1134"/>
    </w:pPr>
    <w:rPr>
      <w:b/>
      <w:sz w:val="28"/>
    </w:rPr>
  </w:style>
  <w:style w:type="paragraph" w:customStyle="1" w:styleId="XLargeG">
    <w:name w:val="__XLarge_G"/>
    <w:basedOn w:val="Normal"/>
    <w:next w:val="Normal"/>
    <w:rsid w:val="00BF38EF"/>
    <w:pPr>
      <w:keepNext/>
      <w:keepLines/>
      <w:spacing w:before="240" w:after="240" w:line="420" w:lineRule="exact"/>
      <w:ind w:left="1134" w:right="1134"/>
    </w:pPr>
    <w:rPr>
      <w:b/>
      <w:sz w:val="40"/>
    </w:rPr>
  </w:style>
  <w:style w:type="paragraph" w:customStyle="1" w:styleId="Bullet1G">
    <w:name w:val="_Bullet 1_G"/>
    <w:basedOn w:val="Normal"/>
    <w:uiPriority w:val="99"/>
    <w:rsid w:val="00BF38EF"/>
    <w:pPr>
      <w:numPr>
        <w:numId w:val="1"/>
      </w:numPr>
      <w:spacing w:after="120"/>
      <w:ind w:right="1134"/>
      <w:jc w:val="both"/>
    </w:pPr>
  </w:style>
  <w:style w:type="paragraph" w:customStyle="1" w:styleId="Bullet2G">
    <w:name w:val="_Bullet 2_G"/>
    <w:basedOn w:val="Normal"/>
    <w:rsid w:val="00BF38EF"/>
    <w:pPr>
      <w:numPr>
        <w:numId w:val="2"/>
      </w:numPr>
      <w:spacing w:after="120"/>
      <w:ind w:right="1134"/>
      <w:jc w:val="both"/>
    </w:pPr>
  </w:style>
  <w:style w:type="character" w:styleId="FootnoteReference">
    <w:name w:val="footnote reference"/>
    <w:aliases w:val="4_G,Footnote Reference/"/>
    <w:rsid w:val="00BF38EF"/>
    <w:rPr>
      <w:rFonts w:ascii="Times New Roman" w:hAnsi="Times New Roman"/>
      <w:sz w:val="18"/>
      <w:vertAlign w:val="superscript"/>
      <w:lang w:val="fr-CH"/>
    </w:rPr>
  </w:style>
  <w:style w:type="character" w:styleId="EndnoteReference">
    <w:name w:val="endnote reference"/>
    <w:aliases w:val="1_G"/>
    <w:basedOn w:val="FootnoteReference"/>
    <w:rsid w:val="00BF38EF"/>
    <w:rPr>
      <w:rFonts w:ascii="Times New Roman" w:hAnsi="Times New Roman"/>
      <w:sz w:val="18"/>
      <w:vertAlign w:val="superscript"/>
      <w:lang w:val="fr-CH"/>
    </w:rPr>
  </w:style>
  <w:style w:type="paragraph" w:styleId="Header">
    <w:name w:val="header"/>
    <w:aliases w:val="6_G"/>
    <w:basedOn w:val="Normal"/>
    <w:next w:val="Normal"/>
    <w:rsid w:val="00BF38EF"/>
    <w:pPr>
      <w:pBdr>
        <w:bottom w:val="single" w:sz="4" w:space="4" w:color="auto"/>
      </w:pBdr>
      <w:spacing w:line="240" w:lineRule="auto"/>
    </w:pPr>
    <w:rPr>
      <w:b/>
      <w:sz w:val="18"/>
    </w:rPr>
  </w:style>
  <w:style w:type="paragraph" w:styleId="FootnoteText">
    <w:name w:val="footnote text"/>
    <w:aliases w:val="5_G"/>
    <w:basedOn w:val="Normal"/>
    <w:link w:val="FootnoteTextChar"/>
    <w:rsid w:val="00BF38EF"/>
    <w:pPr>
      <w:tabs>
        <w:tab w:val="right" w:pos="1021"/>
      </w:tabs>
      <w:spacing w:line="220" w:lineRule="exact"/>
      <w:ind w:left="1134" w:right="1134" w:hanging="1134"/>
    </w:pPr>
    <w:rPr>
      <w:sz w:val="18"/>
    </w:rPr>
  </w:style>
  <w:style w:type="paragraph" w:styleId="EndnoteText">
    <w:name w:val="endnote text"/>
    <w:aliases w:val="2_G"/>
    <w:basedOn w:val="FootnoteText"/>
    <w:rsid w:val="00BF38EF"/>
  </w:style>
  <w:style w:type="character" w:styleId="PageNumber">
    <w:name w:val="page number"/>
    <w:aliases w:val="7_G"/>
    <w:rsid w:val="00BF38EF"/>
    <w:rPr>
      <w:rFonts w:ascii="Times New Roman" w:hAnsi="Times New Roman"/>
      <w:b/>
      <w:sz w:val="18"/>
      <w:lang w:val="fr-CH"/>
    </w:rPr>
  </w:style>
  <w:style w:type="paragraph" w:styleId="Footer">
    <w:name w:val="footer"/>
    <w:aliases w:val="3_G"/>
    <w:basedOn w:val="Normal"/>
    <w:next w:val="Normal"/>
    <w:rsid w:val="00BF38EF"/>
    <w:pPr>
      <w:spacing w:line="240" w:lineRule="auto"/>
    </w:pPr>
    <w:rPr>
      <w:sz w:val="16"/>
    </w:rPr>
  </w:style>
  <w:style w:type="character" w:styleId="Hyperlink">
    <w:name w:val="Hyperlink"/>
    <w:semiHidden/>
    <w:rsid w:val="00BF38EF"/>
    <w:rPr>
      <w:color w:val="auto"/>
      <w:u w:val="none"/>
    </w:rPr>
  </w:style>
  <w:style w:type="character" w:styleId="FollowedHyperlink">
    <w:name w:val="FollowedHyperlink"/>
    <w:semiHidden/>
    <w:rsid w:val="00BF38EF"/>
    <w:rPr>
      <w:color w:val="auto"/>
      <w:u w:val="none"/>
    </w:rPr>
  </w:style>
  <w:style w:type="character" w:customStyle="1" w:styleId="H1GChar">
    <w:name w:val="_ H_1_G Char"/>
    <w:link w:val="H1G"/>
    <w:rsid w:val="00CD4281"/>
    <w:rPr>
      <w:b/>
      <w:sz w:val="24"/>
      <w:lang w:val="fr-CH" w:eastAsia="en-US" w:bidi="ar-SA"/>
    </w:rPr>
  </w:style>
  <w:style w:type="table" w:styleId="TableGrid">
    <w:name w:val="Table Grid"/>
    <w:basedOn w:val="TableNormal"/>
    <w:semiHidden/>
    <w:rsid w:val="00BF38E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locked/>
    <w:rsid w:val="002E6F0D"/>
    <w:rPr>
      <w:lang w:val="fr-CH" w:eastAsia="en-US"/>
    </w:rPr>
  </w:style>
  <w:style w:type="character" w:customStyle="1" w:styleId="H23GChar">
    <w:name w:val="_ H_2/3_G Char"/>
    <w:link w:val="H23G"/>
    <w:rsid w:val="002E6F0D"/>
    <w:rPr>
      <w:b/>
      <w:lang w:val="fr-CH" w:eastAsia="en-US"/>
    </w:rPr>
  </w:style>
  <w:style w:type="character" w:customStyle="1" w:styleId="HChGChar">
    <w:name w:val="_ H _Ch_G Char"/>
    <w:link w:val="HChG"/>
    <w:rsid w:val="00EF6EE5"/>
    <w:rPr>
      <w:b/>
      <w:sz w:val="28"/>
      <w:lang w:val="fr-CH" w:eastAsia="en-US"/>
    </w:rPr>
  </w:style>
  <w:style w:type="character" w:customStyle="1" w:styleId="SingleTxtGCar">
    <w:name w:val="_ Single Txt_G Car"/>
    <w:rsid w:val="00EF6EE5"/>
    <w:rPr>
      <w:lang w:val="fr-CH" w:eastAsia="en-US"/>
    </w:rPr>
  </w:style>
  <w:style w:type="paragraph" w:styleId="BalloonText">
    <w:name w:val="Balloon Text"/>
    <w:basedOn w:val="Normal"/>
    <w:link w:val="BalloonTextChar"/>
    <w:rsid w:val="00003C92"/>
    <w:pPr>
      <w:spacing w:line="240" w:lineRule="auto"/>
    </w:pPr>
    <w:rPr>
      <w:rFonts w:ascii="Tahoma" w:hAnsi="Tahoma" w:cs="Tahoma"/>
      <w:sz w:val="16"/>
      <w:szCs w:val="16"/>
    </w:rPr>
  </w:style>
  <w:style w:type="character" w:customStyle="1" w:styleId="BalloonTextChar">
    <w:name w:val="Balloon Text Char"/>
    <w:link w:val="BalloonText"/>
    <w:rsid w:val="00003C92"/>
    <w:rPr>
      <w:rFonts w:ascii="Tahoma" w:hAnsi="Tahoma" w:cs="Tahoma"/>
      <w:sz w:val="16"/>
      <w:szCs w:val="16"/>
      <w:lang w:val="fr-CH" w:eastAsia="en-US"/>
    </w:rPr>
  </w:style>
  <w:style w:type="character" w:customStyle="1" w:styleId="FootnoteTextChar">
    <w:name w:val="Footnote Text Char"/>
    <w:aliases w:val="5_G Char"/>
    <w:link w:val="FootnoteText"/>
    <w:rsid w:val="00673687"/>
    <w:rPr>
      <w:sz w:val="18"/>
      <w:lang w:val="fr-CH" w:eastAsia="en-US"/>
    </w:rPr>
  </w:style>
  <w:style w:type="character" w:customStyle="1" w:styleId="Heading7Char">
    <w:name w:val="Heading 7 Char"/>
    <w:basedOn w:val="DefaultParagraphFont"/>
    <w:link w:val="Heading7"/>
    <w:rsid w:val="003C302E"/>
    <w:rPr>
      <w:lang w:val="fr-CH" w:eastAsia="en-US"/>
    </w:rPr>
  </w:style>
  <w:style w:type="table" w:customStyle="1" w:styleId="Tabellenraster2">
    <w:name w:val="Tabellenraster2"/>
    <w:basedOn w:val="TableNormal"/>
    <w:next w:val="TableGrid"/>
    <w:rsid w:val="003C302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05991">
      <w:bodyDiv w:val="1"/>
      <w:marLeft w:val="0"/>
      <w:marRight w:val="0"/>
      <w:marTop w:val="0"/>
      <w:marBottom w:val="0"/>
      <w:divBdr>
        <w:top w:val="none" w:sz="0" w:space="0" w:color="auto"/>
        <w:left w:val="none" w:sz="0" w:space="0" w:color="auto"/>
        <w:bottom w:val="none" w:sz="0" w:space="0" w:color="auto"/>
        <w:right w:val="none" w:sz="0" w:space="0" w:color="auto"/>
      </w:divBdr>
    </w:div>
    <w:div w:id="18541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TotalTime>
  <Pages>7</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ECE/TRANS/WP.15/AC.2/2012/7</vt:lpstr>
    </vt:vector>
  </TitlesOfParts>
  <Company>CSD</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ECE/TRANS/WP.15/AC.2/2012/7</dc:title>
  <dc:subject>Semifinal</dc:subject>
  <dc:creator>Letaillieur</dc:creator>
  <cp:lastModifiedBy>ECE-ADN-45 eng</cp:lastModifiedBy>
  <cp:revision>23</cp:revision>
  <cp:lastPrinted>2016-06-09T13:02:00Z</cp:lastPrinted>
  <dcterms:created xsi:type="dcterms:W3CDTF">2018-06-11T15:28:00Z</dcterms:created>
  <dcterms:modified xsi:type="dcterms:W3CDTF">2018-06-14T08:32:00Z</dcterms:modified>
</cp:coreProperties>
</file>