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B713EE" w:rsidTr="00C97039">
        <w:trPr>
          <w:trHeight w:hRule="exact" w:val="851"/>
        </w:trPr>
        <w:tc>
          <w:tcPr>
            <w:tcW w:w="1276" w:type="dxa"/>
            <w:tcBorders>
              <w:bottom w:val="single" w:sz="4" w:space="0" w:color="auto"/>
            </w:tcBorders>
          </w:tcPr>
          <w:p w:rsidR="00F35BAF" w:rsidRPr="00B713EE" w:rsidRDefault="00F35BAF" w:rsidP="002A47B0">
            <w:bookmarkStart w:id="0" w:name="_GoBack"/>
            <w:bookmarkEnd w:id="0"/>
          </w:p>
        </w:tc>
        <w:tc>
          <w:tcPr>
            <w:tcW w:w="2268" w:type="dxa"/>
            <w:tcBorders>
              <w:bottom w:val="single" w:sz="4" w:space="0" w:color="auto"/>
            </w:tcBorders>
            <w:vAlign w:val="bottom"/>
          </w:tcPr>
          <w:p w:rsidR="00F35BAF" w:rsidRPr="00B713EE" w:rsidRDefault="00F35BAF" w:rsidP="00C97039">
            <w:pPr>
              <w:spacing w:after="80" w:line="300" w:lineRule="exact"/>
              <w:rPr>
                <w:sz w:val="28"/>
              </w:rPr>
            </w:pPr>
            <w:r w:rsidRPr="00B713EE">
              <w:rPr>
                <w:sz w:val="28"/>
              </w:rPr>
              <w:t>Nations Unies</w:t>
            </w:r>
          </w:p>
        </w:tc>
        <w:tc>
          <w:tcPr>
            <w:tcW w:w="6095" w:type="dxa"/>
            <w:gridSpan w:val="2"/>
            <w:tcBorders>
              <w:bottom w:val="single" w:sz="4" w:space="0" w:color="auto"/>
            </w:tcBorders>
            <w:vAlign w:val="bottom"/>
          </w:tcPr>
          <w:p w:rsidR="00F35BAF" w:rsidRPr="00B713EE" w:rsidRDefault="002A47B0" w:rsidP="002A47B0">
            <w:pPr>
              <w:jc w:val="right"/>
            </w:pPr>
            <w:r w:rsidRPr="00B713EE">
              <w:rPr>
                <w:sz w:val="40"/>
              </w:rPr>
              <w:t>ECE</w:t>
            </w:r>
            <w:r w:rsidRPr="00B713EE">
              <w:t>/TRANS/WP.29/1129</w:t>
            </w:r>
          </w:p>
        </w:tc>
      </w:tr>
      <w:tr w:rsidR="00F35BAF" w:rsidRPr="00B713EE" w:rsidTr="00C97039">
        <w:trPr>
          <w:trHeight w:hRule="exact" w:val="2835"/>
        </w:trPr>
        <w:tc>
          <w:tcPr>
            <w:tcW w:w="1276" w:type="dxa"/>
            <w:tcBorders>
              <w:top w:val="single" w:sz="4" w:space="0" w:color="auto"/>
              <w:bottom w:val="single" w:sz="12" w:space="0" w:color="auto"/>
            </w:tcBorders>
          </w:tcPr>
          <w:p w:rsidR="00F35BAF" w:rsidRPr="00B713EE" w:rsidRDefault="00F35BAF" w:rsidP="00C97039">
            <w:pPr>
              <w:spacing w:before="120"/>
              <w:jc w:val="center"/>
            </w:pPr>
            <w:r w:rsidRPr="00B713EE">
              <w:rPr>
                <w:noProof/>
                <w:lang w:val="en-GB" w:eastAsia="en-GB"/>
              </w:rPr>
              <w:drawing>
                <wp:inline distT="0" distB="0" distL="0" distR="0" wp14:anchorId="5DD7C114" wp14:editId="39170DA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F35BAF" w:rsidRPr="00B713EE" w:rsidRDefault="00F35BAF" w:rsidP="00C97039">
            <w:pPr>
              <w:spacing w:before="120" w:line="420" w:lineRule="exact"/>
              <w:rPr>
                <w:b/>
                <w:sz w:val="40"/>
                <w:szCs w:val="40"/>
              </w:rPr>
            </w:pPr>
            <w:r w:rsidRPr="00B713EE">
              <w:rPr>
                <w:b/>
                <w:sz w:val="40"/>
                <w:szCs w:val="40"/>
              </w:rPr>
              <w:t>Conseil économique et social</w:t>
            </w:r>
          </w:p>
        </w:tc>
        <w:tc>
          <w:tcPr>
            <w:tcW w:w="2835" w:type="dxa"/>
            <w:tcBorders>
              <w:top w:val="single" w:sz="4" w:space="0" w:color="auto"/>
              <w:bottom w:val="single" w:sz="12" w:space="0" w:color="auto"/>
            </w:tcBorders>
          </w:tcPr>
          <w:p w:rsidR="00F35BAF" w:rsidRPr="00B713EE" w:rsidRDefault="002A47B0" w:rsidP="00C97039">
            <w:pPr>
              <w:spacing w:before="240"/>
            </w:pPr>
            <w:r w:rsidRPr="00B713EE">
              <w:t>Distr. générale</w:t>
            </w:r>
          </w:p>
          <w:p w:rsidR="002A47B0" w:rsidRPr="00B713EE" w:rsidRDefault="002A47B0" w:rsidP="002A47B0">
            <w:pPr>
              <w:spacing w:line="240" w:lineRule="exact"/>
            </w:pPr>
            <w:r w:rsidRPr="00B713EE">
              <w:t>31 mars 2017</w:t>
            </w:r>
          </w:p>
          <w:p w:rsidR="002A47B0" w:rsidRPr="00B713EE" w:rsidRDefault="002A47B0" w:rsidP="002A47B0">
            <w:pPr>
              <w:spacing w:line="240" w:lineRule="exact"/>
            </w:pPr>
            <w:r w:rsidRPr="00B713EE">
              <w:t>Français</w:t>
            </w:r>
          </w:p>
          <w:p w:rsidR="002A47B0" w:rsidRPr="00B713EE" w:rsidRDefault="002A47B0" w:rsidP="002A47B0">
            <w:pPr>
              <w:spacing w:line="240" w:lineRule="exact"/>
            </w:pPr>
            <w:r w:rsidRPr="00B713EE">
              <w:t>Original : anglais</w:t>
            </w:r>
          </w:p>
        </w:tc>
      </w:tr>
    </w:tbl>
    <w:p w:rsidR="007F20FA" w:rsidRPr="00B713EE" w:rsidRDefault="007F20FA" w:rsidP="007F20FA">
      <w:pPr>
        <w:spacing w:before="120"/>
        <w:rPr>
          <w:b/>
          <w:sz w:val="28"/>
          <w:szCs w:val="28"/>
        </w:rPr>
      </w:pPr>
      <w:r w:rsidRPr="00B713EE">
        <w:rPr>
          <w:b/>
          <w:sz w:val="28"/>
          <w:szCs w:val="28"/>
        </w:rPr>
        <w:t>Commission économique pour l</w:t>
      </w:r>
      <w:r w:rsidR="007C2F80">
        <w:rPr>
          <w:b/>
          <w:sz w:val="28"/>
          <w:szCs w:val="28"/>
        </w:rPr>
        <w:t>’</w:t>
      </w:r>
      <w:r w:rsidRPr="00B713EE">
        <w:rPr>
          <w:b/>
          <w:sz w:val="28"/>
          <w:szCs w:val="28"/>
        </w:rPr>
        <w:t>Europe</w:t>
      </w:r>
    </w:p>
    <w:p w:rsidR="007F20FA" w:rsidRPr="00B713EE" w:rsidRDefault="007F20FA" w:rsidP="007F20FA">
      <w:pPr>
        <w:spacing w:before="120"/>
        <w:rPr>
          <w:sz w:val="28"/>
          <w:szCs w:val="28"/>
        </w:rPr>
      </w:pPr>
      <w:r w:rsidRPr="00B713EE">
        <w:rPr>
          <w:sz w:val="28"/>
          <w:szCs w:val="28"/>
        </w:rPr>
        <w:t>Comité des transports intérieurs</w:t>
      </w:r>
    </w:p>
    <w:p w:rsidR="00CD04C1" w:rsidRPr="00B713EE" w:rsidRDefault="00CD04C1" w:rsidP="00CD04C1">
      <w:pPr>
        <w:spacing w:before="120" w:after="120"/>
        <w:rPr>
          <w:b/>
          <w:sz w:val="24"/>
          <w:szCs w:val="24"/>
        </w:rPr>
      </w:pPr>
      <w:r w:rsidRPr="00B713EE">
        <w:rPr>
          <w:b/>
          <w:sz w:val="24"/>
          <w:szCs w:val="24"/>
        </w:rPr>
        <w:t>Forum mondial de l</w:t>
      </w:r>
      <w:r w:rsidR="007C2F80">
        <w:rPr>
          <w:b/>
          <w:sz w:val="24"/>
          <w:szCs w:val="24"/>
        </w:rPr>
        <w:t>’</w:t>
      </w:r>
      <w:r w:rsidRPr="00B713EE">
        <w:rPr>
          <w:b/>
          <w:sz w:val="24"/>
          <w:szCs w:val="24"/>
        </w:rPr>
        <w:t xml:space="preserve">harmonisation </w:t>
      </w:r>
      <w:r w:rsidRPr="00B713EE">
        <w:rPr>
          <w:b/>
          <w:sz w:val="24"/>
          <w:szCs w:val="24"/>
        </w:rPr>
        <w:br/>
        <w:t>des Règlements concernant les véhicules</w:t>
      </w:r>
    </w:p>
    <w:p w:rsidR="00CD04C1" w:rsidRPr="00B713EE" w:rsidRDefault="00CD04C1" w:rsidP="00CD04C1">
      <w:pPr>
        <w:rPr>
          <w:b/>
          <w:szCs w:val="24"/>
        </w:rPr>
      </w:pPr>
      <w:r w:rsidRPr="00B713EE">
        <w:rPr>
          <w:b/>
          <w:szCs w:val="24"/>
        </w:rPr>
        <w:t>171</w:t>
      </w:r>
      <w:r w:rsidRPr="00B713EE">
        <w:rPr>
          <w:b/>
          <w:szCs w:val="24"/>
          <w:vertAlign w:val="superscript"/>
        </w:rPr>
        <w:t>e</w:t>
      </w:r>
      <w:r w:rsidRPr="00B713EE">
        <w:rPr>
          <w:b/>
          <w:szCs w:val="24"/>
        </w:rPr>
        <w:t xml:space="preserve"> session</w:t>
      </w:r>
    </w:p>
    <w:p w:rsidR="00CD04C1" w:rsidRPr="00B713EE" w:rsidRDefault="00CD04C1" w:rsidP="00CD04C1">
      <w:pPr>
        <w:rPr>
          <w:szCs w:val="24"/>
        </w:rPr>
      </w:pPr>
      <w:r w:rsidRPr="00B713EE">
        <w:rPr>
          <w:szCs w:val="24"/>
        </w:rPr>
        <w:t>Genève, 14-17 mars 2017</w:t>
      </w:r>
    </w:p>
    <w:p w:rsidR="00CD04C1" w:rsidRPr="00B713EE" w:rsidRDefault="00CD04C1" w:rsidP="00CD04C1">
      <w:pPr>
        <w:pStyle w:val="HChG"/>
        <w:rPr>
          <w:lang w:eastAsia="fr-FR"/>
        </w:rPr>
      </w:pPr>
      <w:r w:rsidRPr="00B713EE">
        <w:tab/>
      </w:r>
      <w:r w:rsidRPr="00B713EE">
        <w:tab/>
      </w:r>
      <w:bookmarkStart w:id="1" w:name="_Toc341077962"/>
      <w:bookmarkStart w:id="2" w:name="_Toc341100686"/>
      <w:bookmarkStart w:id="3" w:name="_Toc341107605"/>
      <w:bookmarkStart w:id="4" w:name="_Toc382923484"/>
      <w:r w:rsidRPr="00B713EE">
        <w:rPr>
          <w:lang w:eastAsia="fr-FR"/>
        </w:rPr>
        <w:t>Rapports</w:t>
      </w:r>
    </w:p>
    <w:p w:rsidR="00CD04C1" w:rsidRPr="00B713EE" w:rsidRDefault="00CD04C1" w:rsidP="00CD04C1">
      <w:pPr>
        <w:pStyle w:val="HChG"/>
        <w:rPr>
          <w:lang w:eastAsia="fr-FR"/>
        </w:rPr>
      </w:pPr>
      <w:r w:rsidRPr="00B713EE">
        <w:rPr>
          <w:lang w:eastAsia="fr-FR"/>
        </w:rPr>
        <w:tab/>
      </w:r>
      <w:r w:rsidRPr="00B713EE">
        <w:rPr>
          <w:lang w:eastAsia="fr-FR"/>
        </w:rPr>
        <w:tab/>
        <w:t>du Forum mondial de l</w:t>
      </w:r>
      <w:r w:rsidR="007C2F80">
        <w:rPr>
          <w:lang w:eastAsia="fr-FR"/>
        </w:rPr>
        <w:t>’</w:t>
      </w:r>
      <w:r w:rsidRPr="00B713EE">
        <w:rPr>
          <w:lang w:eastAsia="fr-FR"/>
        </w:rPr>
        <w:t>harmonisation des Règlements concernant les véhicules sur sa 171</w:t>
      </w:r>
      <w:r w:rsidRPr="00B713EE">
        <w:rPr>
          <w:vertAlign w:val="superscript"/>
          <w:lang w:eastAsia="fr-FR"/>
        </w:rPr>
        <w:t>e</w:t>
      </w:r>
      <w:r w:rsidRPr="00B713EE">
        <w:rPr>
          <w:lang w:eastAsia="fr-FR"/>
        </w:rPr>
        <w:t xml:space="preserve"> session </w:t>
      </w:r>
    </w:p>
    <w:p w:rsidR="00CD04C1" w:rsidRPr="00B713EE" w:rsidRDefault="00CD04C1" w:rsidP="00CD04C1">
      <w:pPr>
        <w:pStyle w:val="HChG"/>
        <w:rPr>
          <w:bCs/>
          <w:szCs w:val="28"/>
          <w:lang w:eastAsia="fr-FR"/>
        </w:rPr>
      </w:pPr>
      <w:r w:rsidRPr="00B713EE">
        <w:rPr>
          <w:lang w:eastAsia="fr-FR"/>
        </w:rPr>
        <w:tab/>
      </w:r>
      <w:r w:rsidRPr="00B713EE">
        <w:rPr>
          <w:lang w:eastAsia="fr-FR"/>
        </w:rPr>
        <w:tab/>
        <w:t>du Comité d</w:t>
      </w:r>
      <w:r w:rsidR="007C2F80">
        <w:rPr>
          <w:lang w:eastAsia="fr-FR"/>
        </w:rPr>
        <w:t>’</w:t>
      </w:r>
      <w:r w:rsidRPr="00B713EE">
        <w:rPr>
          <w:lang w:eastAsia="fr-FR"/>
        </w:rPr>
        <w:t>administration de l</w:t>
      </w:r>
      <w:r w:rsidR="007C2F80">
        <w:rPr>
          <w:lang w:eastAsia="fr-FR"/>
        </w:rPr>
        <w:t>’</w:t>
      </w:r>
      <w:r w:rsidRPr="00B713EE">
        <w:rPr>
          <w:lang w:eastAsia="fr-FR"/>
        </w:rPr>
        <w:t xml:space="preserve">Accord de 1958 </w:t>
      </w:r>
      <w:r w:rsidRPr="00B713EE">
        <w:rPr>
          <w:lang w:eastAsia="fr-FR"/>
        </w:rPr>
        <w:br/>
      </w:r>
      <w:r w:rsidRPr="00B713EE">
        <w:rPr>
          <w:bCs/>
          <w:szCs w:val="28"/>
          <w:lang w:eastAsia="fr-FR"/>
        </w:rPr>
        <w:t xml:space="preserve">sur sa soixante-cinquième session </w:t>
      </w:r>
    </w:p>
    <w:p w:rsidR="00CD04C1" w:rsidRPr="00B713EE" w:rsidRDefault="00CD04C1" w:rsidP="00CD04C1">
      <w:pPr>
        <w:pStyle w:val="HChG"/>
        <w:rPr>
          <w:lang w:eastAsia="fr-FR"/>
        </w:rPr>
      </w:pPr>
      <w:r w:rsidRPr="00B713EE">
        <w:rPr>
          <w:lang w:eastAsia="fr-FR"/>
        </w:rPr>
        <w:tab/>
      </w:r>
      <w:r w:rsidRPr="00B713EE">
        <w:rPr>
          <w:lang w:eastAsia="fr-FR"/>
        </w:rPr>
        <w:tab/>
        <w:t>du Comité exécutif de l</w:t>
      </w:r>
      <w:r w:rsidR="007C2F80">
        <w:rPr>
          <w:lang w:eastAsia="fr-FR"/>
        </w:rPr>
        <w:t>’</w:t>
      </w:r>
      <w:r w:rsidRPr="00B713EE">
        <w:rPr>
          <w:lang w:eastAsia="fr-FR"/>
        </w:rPr>
        <w:t xml:space="preserve">Accord de 1998 </w:t>
      </w:r>
      <w:r w:rsidRPr="00B713EE">
        <w:rPr>
          <w:lang w:eastAsia="fr-FR"/>
        </w:rPr>
        <w:br/>
        <w:t xml:space="preserve">sur sa quarante-neuvième session </w:t>
      </w:r>
    </w:p>
    <w:p w:rsidR="00CD04C1" w:rsidRPr="00B713EE" w:rsidRDefault="00CD04C1" w:rsidP="00CD04C1">
      <w:pPr>
        <w:pStyle w:val="HChG"/>
        <w:rPr>
          <w:lang w:eastAsia="fr-FR"/>
        </w:rPr>
      </w:pPr>
      <w:r w:rsidRPr="00B713EE">
        <w:rPr>
          <w:lang w:eastAsia="fr-FR"/>
        </w:rPr>
        <w:tab/>
      </w:r>
      <w:r w:rsidRPr="00B713EE">
        <w:rPr>
          <w:lang w:eastAsia="fr-FR"/>
        </w:rPr>
        <w:tab/>
        <w:t>et du Comité d</w:t>
      </w:r>
      <w:r w:rsidR="007C2F80">
        <w:rPr>
          <w:lang w:eastAsia="fr-FR"/>
        </w:rPr>
        <w:t>’</w:t>
      </w:r>
      <w:r w:rsidRPr="00B713EE">
        <w:rPr>
          <w:lang w:eastAsia="fr-FR"/>
        </w:rPr>
        <w:t>administration de l</w:t>
      </w:r>
      <w:r w:rsidR="007C2F80">
        <w:rPr>
          <w:lang w:eastAsia="fr-FR"/>
        </w:rPr>
        <w:t>’</w:t>
      </w:r>
      <w:r w:rsidRPr="00B713EE">
        <w:rPr>
          <w:lang w:eastAsia="fr-FR"/>
        </w:rPr>
        <w:t xml:space="preserve">Accord de 1997 </w:t>
      </w:r>
      <w:r w:rsidRPr="00B713EE">
        <w:rPr>
          <w:lang w:eastAsia="fr-FR"/>
        </w:rPr>
        <w:br/>
        <w:t>sur sa neuvième session</w:t>
      </w:r>
    </w:p>
    <w:bookmarkEnd w:id="1"/>
    <w:bookmarkEnd w:id="2"/>
    <w:bookmarkEnd w:id="3"/>
    <w:bookmarkEnd w:id="4"/>
    <w:p w:rsidR="00CD04C1" w:rsidRPr="00B713EE" w:rsidRDefault="00CD04C1" w:rsidP="00CD04C1">
      <w:pPr>
        <w:spacing w:after="120"/>
        <w:rPr>
          <w:sz w:val="28"/>
        </w:rPr>
      </w:pPr>
      <w:r w:rsidRPr="00B713EE">
        <w:br w:type="page"/>
      </w:r>
      <w:r w:rsidRPr="00B713EE">
        <w:rPr>
          <w:sz w:val="28"/>
        </w:rPr>
        <w:lastRenderedPageBreak/>
        <w:t>Table des matières</w:t>
      </w:r>
    </w:p>
    <w:p w:rsidR="00CD04C1" w:rsidRPr="00B713EE" w:rsidRDefault="00CD04C1" w:rsidP="00CD04C1">
      <w:pPr>
        <w:tabs>
          <w:tab w:val="right" w:pos="8929"/>
          <w:tab w:val="right" w:pos="9638"/>
        </w:tabs>
        <w:spacing w:after="120"/>
        <w:ind w:left="283"/>
        <w:rPr>
          <w:i/>
          <w:sz w:val="18"/>
        </w:rPr>
      </w:pPr>
      <w:r w:rsidRPr="00B713EE">
        <w:rPr>
          <w:i/>
          <w:sz w:val="18"/>
        </w:rPr>
        <w:tab/>
        <w:t>Paragraphes</w:t>
      </w:r>
      <w:r w:rsidRPr="00B713EE">
        <w:rPr>
          <w:i/>
          <w:sz w:val="18"/>
        </w:rPr>
        <w:tab/>
        <w:t>Page</w:t>
      </w:r>
    </w:p>
    <w:p w:rsidR="00CD04C1" w:rsidRPr="00B713EE" w:rsidRDefault="00102DDD" w:rsidP="00F26A5C">
      <w:pPr>
        <w:pStyle w:val="HChG"/>
        <w:spacing w:before="120" w:after="120"/>
      </w:pPr>
      <w:r w:rsidRPr="00B713EE">
        <w:tab/>
        <w:t>A.</w:t>
      </w:r>
      <w:r w:rsidRPr="00B713EE">
        <w:tab/>
        <w:t>Forum mondial de l</w:t>
      </w:r>
      <w:r w:rsidR="007C2F80">
        <w:t>’</w:t>
      </w:r>
      <w:r w:rsidRPr="00B713EE">
        <w:t>harmonisation des Règlements concernant les véhicules</w:t>
      </w:r>
    </w:p>
    <w:p w:rsidR="0047572D" w:rsidRPr="00B713EE" w:rsidRDefault="0047572D" w:rsidP="00CD04C1">
      <w:pPr>
        <w:tabs>
          <w:tab w:val="right" w:pos="850"/>
          <w:tab w:val="right" w:leader="dot" w:pos="7654"/>
          <w:tab w:val="right" w:pos="8929"/>
          <w:tab w:val="right" w:pos="9638"/>
        </w:tabs>
        <w:spacing w:after="120"/>
        <w:ind w:left="1134" w:hanging="1134"/>
      </w:pPr>
      <w:r w:rsidRPr="00B713EE">
        <w:tab/>
        <w:t>I.</w:t>
      </w:r>
      <w:r w:rsidRPr="00B713EE">
        <w:tab/>
      </w:r>
      <w:r w:rsidR="00D05198" w:rsidRPr="00B713EE">
        <w:t>Participation</w:t>
      </w:r>
      <w:r w:rsidRPr="00B713EE">
        <w:tab/>
      </w:r>
      <w:r w:rsidRPr="00B713EE">
        <w:tab/>
      </w:r>
      <w:r w:rsidR="008D1C0A">
        <w:t>1</w:t>
      </w:r>
      <w:r w:rsidRPr="00B713EE">
        <w:tab/>
      </w:r>
      <w:r w:rsidR="00F73881">
        <w:t>6</w:t>
      </w:r>
    </w:p>
    <w:p w:rsidR="0047572D" w:rsidRPr="00B713EE" w:rsidRDefault="0047572D" w:rsidP="0047572D">
      <w:pPr>
        <w:tabs>
          <w:tab w:val="right" w:pos="850"/>
          <w:tab w:val="right" w:leader="dot" w:pos="7654"/>
          <w:tab w:val="right" w:pos="8929"/>
          <w:tab w:val="right" w:pos="9638"/>
        </w:tabs>
        <w:spacing w:after="120"/>
        <w:ind w:left="1134" w:hanging="1134"/>
      </w:pPr>
      <w:r w:rsidRPr="00B713EE">
        <w:tab/>
        <w:t>II.</w:t>
      </w:r>
      <w:r w:rsidRPr="00B713EE">
        <w:tab/>
      </w:r>
      <w:r w:rsidR="00D05198" w:rsidRPr="00B713EE">
        <w:t>Déclarations liminaires</w:t>
      </w:r>
      <w:r w:rsidRPr="00B713EE">
        <w:tab/>
      </w:r>
      <w:r w:rsidRPr="00B713EE">
        <w:tab/>
      </w:r>
      <w:r w:rsidR="008D1C0A">
        <w:t>2−9</w:t>
      </w:r>
      <w:r w:rsidRPr="00B713EE">
        <w:tab/>
      </w:r>
      <w:r w:rsidR="00F73881">
        <w:t>6</w:t>
      </w:r>
    </w:p>
    <w:p w:rsidR="0047572D" w:rsidRPr="00B713EE" w:rsidRDefault="0047572D" w:rsidP="0047572D">
      <w:pPr>
        <w:tabs>
          <w:tab w:val="right" w:pos="850"/>
          <w:tab w:val="right" w:leader="dot" w:pos="7654"/>
          <w:tab w:val="right" w:pos="8929"/>
          <w:tab w:val="right" w:pos="9638"/>
        </w:tabs>
        <w:spacing w:after="120"/>
        <w:ind w:left="1134" w:hanging="1134"/>
      </w:pPr>
      <w:r w:rsidRPr="00B713EE">
        <w:tab/>
        <w:t>III.</w:t>
      </w:r>
      <w:r w:rsidRPr="00B713EE">
        <w:tab/>
      </w:r>
      <w:r w:rsidR="00D05198" w:rsidRPr="00B713EE">
        <w:t>Ado</w:t>
      </w:r>
      <w:r w:rsidR="00D05198">
        <w:t>ption de l</w:t>
      </w:r>
      <w:r w:rsidR="007C2F80">
        <w:t>’</w:t>
      </w:r>
      <w:r w:rsidR="00D05198">
        <w:t>ordre du jour (point </w:t>
      </w:r>
      <w:r w:rsidR="00D05198" w:rsidRPr="00B713EE">
        <w:t>1</w:t>
      </w:r>
      <w:r w:rsidR="00D05198" w:rsidRPr="00B713EE">
        <w:rPr>
          <w:rFonts w:ascii="Segoe UI" w:hAnsi="Segoe UI" w:cs="Segoe UI"/>
        </w:rPr>
        <w:t xml:space="preserve"> </w:t>
      </w:r>
      <w:r w:rsidR="00D05198" w:rsidRPr="00B713EE">
        <w:t>de l</w:t>
      </w:r>
      <w:r w:rsidR="007C2F80">
        <w:t>’</w:t>
      </w:r>
      <w:r w:rsidR="00D05198" w:rsidRPr="00B713EE">
        <w:t>ordre du jour)</w:t>
      </w:r>
      <w:r w:rsidRPr="00B713EE">
        <w:tab/>
      </w:r>
      <w:r w:rsidRPr="00B713EE">
        <w:tab/>
      </w:r>
      <w:r w:rsidR="008D1C0A">
        <w:t>10−11</w:t>
      </w:r>
      <w:r w:rsidRPr="00B713EE">
        <w:tab/>
      </w:r>
      <w:r w:rsidR="00F73881">
        <w:t>7</w:t>
      </w:r>
    </w:p>
    <w:p w:rsidR="0047572D" w:rsidRPr="00B713EE" w:rsidRDefault="0047572D" w:rsidP="0047572D">
      <w:pPr>
        <w:tabs>
          <w:tab w:val="right" w:pos="850"/>
          <w:tab w:val="right" w:leader="dot" w:pos="7654"/>
          <w:tab w:val="right" w:pos="8929"/>
          <w:tab w:val="right" w:pos="9638"/>
        </w:tabs>
        <w:spacing w:after="120"/>
        <w:ind w:left="1134" w:hanging="1134"/>
      </w:pPr>
      <w:r w:rsidRPr="00B713EE">
        <w:tab/>
        <w:t>IV.</w:t>
      </w:r>
      <w:r w:rsidRPr="00B713EE">
        <w:tab/>
      </w:r>
      <w:r w:rsidR="00D05198" w:rsidRPr="00B713EE">
        <w:t xml:space="preserve">Coordination et organisation des travaux </w:t>
      </w:r>
      <w:r w:rsidR="00D05198">
        <w:t>(point </w:t>
      </w:r>
      <w:r w:rsidR="00D05198" w:rsidRPr="00B713EE">
        <w:t>2 de l</w:t>
      </w:r>
      <w:r w:rsidR="007C2F80">
        <w:t>’</w:t>
      </w:r>
      <w:r w:rsidR="00D05198" w:rsidRPr="00B713EE">
        <w:t>ordre du jour)</w:t>
      </w:r>
      <w:r w:rsidRPr="00B713EE">
        <w:tab/>
      </w:r>
      <w:r w:rsidRPr="00B713EE">
        <w:tab/>
      </w:r>
      <w:r w:rsidR="008D1C0A">
        <w:t>12−31</w:t>
      </w:r>
      <w:r w:rsidRPr="00B713EE">
        <w:tab/>
      </w:r>
      <w:r w:rsidR="00F73881">
        <w:t>8</w:t>
      </w:r>
    </w:p>
    <w:p w:rsidR="00CD04C1" w:rsidRPr="00B713EE" w:rsidRDefault="00CD04C1" w:rsidP="00CD04C1">
      <w:pPr>
        <w:tabs>
          <w:tab w:val="right" w:leader="dot" w:pos="7654"/>
          <w:tab w:val="right" w:pos="8929"/>
          <w:tab w:val="right" w:pos="9638"/>
        </w:tabs>
        <w:spacing w:after="120"/>
        <w:ind w:left="1559" w:hanging="425"/>
      </w:pPr>
      <w:r w:rsidRPr="00B713EE">
        <w:t>A.</w:t>
      </w:r>
      <w:r w:rsidRPr="00B713EE">
        <w:tab/>
      </w:r>
      <w:r w:rsidR="00D05198" w:rsidRPr="00B713EE">
        <w:t xml:space="preserve">Rapport de la session du Comité de gestion pour la coordination </w:t>
      </w:r>
      <w:r w:rsidR="00D05198" w:rsidRPr="00B713EE">
        <w:br/>
        <w:t>des travaux (WP.29/AC.2) (p</w:t>
      </w:r>
      <w:r w:rsidR="00D05198">
        <w:t>oint </w:t>
      </w:r>
      <w:r w:rsidR="00D05198" w:rsidRPr="00B713EE">
        <w:t>2.1 de l</w:t>
      </w:r>
      <w:r w:rsidR="007C2F80">
        <w:t>’</w:t>
      </w:r>
      <w:r w:rsidR="00D05198" w:rsidRPr="00B713EE">
        <w:t>ordre du jour)</w:t>
      </w:r>
      <w:r w:rsidRPr="00B713EE">
        <w:tab/>
      </w:r>
      <w:r w:rsidRPr="00B713EE">
        <w:tab/>
      </w:r>
      <w:r w:rsidR="008D1C0A">
        <w:t>12−21</w:t>
      </w:r>
      <w:r w:rsidRPr="00B713EE">
        <w:tab/>
      </w:r>
      <w:r w:rsidR="00F73881">
        <w:t>8</w:t>
      </w:r>
    </w:p>
    <w:p w:rsidR="0047572D" w:rsidRPr="00B713EE" w:rsidRDefault="0047572D" w:rsidP="0047572D">
      <w:pPr>
        <w:tabs>
          <w:tab w:val="right" w:leader="dot" w:pos="7654"/>
          <w:tab w:val="right" w:pos="8929"/>
          <w:tab w:val="right" w:pos="9638"/>
        </w:tabs>
        <w:spacing w:after="120"/>
        <w:ind w:left="1559" w:hanging="425"/>
      </w:pPr>
      <w:r w:rsidRPr="00B713EE">
        <w:t>B.</w:t>
      </w:r>
      <w:r w:rsidRPr="00B713EE">
        <w:tab/>
      </w:r>
      <w:r w:rsidR="00D05198" w:rsidRPr="00B713EE">
        <w:t xml:space="preserve">Programme de travail, liste des documents et calendrier des sessions </w:t>
      </w:r>
      <w:r w:rsidR="00D05198">
        <w:br/>
      </w:r>
      <w:r w:rsidR="00D05198" w:rsidRPr="00B713EE">
        <w:t>pour l</w:t>
      </w:r>
      <w:r w:rsidR="007C2F80">
        <w:t>’</w:t>
      </w:r>
      <w:r w:rsidR="00D05198" w:rsidRPr="00B713EE">
        <w:t>année 2017 (point 2.2 de l</w:t>
      </w:r>
      <w:r w:rsidR="007C2F80">
        <w:t>’</w:t>
      </w:r>
      <w:r w:rsidR="00D05198" w:rsidRPr="00B713EE">
        <w:t>ordre du jour)</w:t>
      </w:r>
      <w:r w:rsidRPr="00B713EE">
        <w:tab/>
      </w:r>
      <w:r w:rsidRPr="00B713EE">
        <w:tab/>
      </w:r>
      <w:r w:rsidR="008D1C0A">
        <w:t>22−23</w:t>
      </w:r>
      <w:r w:rsidRPr="00B713EE">
        <w:tab/>
      </w:r>
      <w:r w:rsidR="00F73881">
        <w:t>9</w:t>
      </w:r>
    </w:p>
    <w:p w:rsidR="0047572D" w:rsidRPr="00B713EE" w:rsidRDefault="0047572D" w:rsidP="0047572D">
      <w:pPr>
        <w:tabs>
          <w:tab w:val="right" w:leader="dot" w:pos="7654"/>
          <w:tab w:val="right" w:pos="8929"/>
          <w:tab w:val="right" w:pos="9638"/>
        </w:tabs>
        <w:spacing w:after="120"/>
        <w:ind w:left="1559" w:hanging="425"/>
      </w:pPr>
      <w:r w:rsidRPr="00B713EE">
        <w:t>C.</w:t>
      </w:r>
      <w:r w:rsidRPr="00B713EE">
        <w:tab/>
      </w:r>
      <w:r w:rsidR="00D05198" w:rsidRPr="00B713EE">
        <w:t xml:space="preserve">Systèmes de transport intelligents et véhicules automatisés </w:t>
      </w:r>
      <w:r w:rsidR="00D05198" w:rsidRPr="00B713EE">
        <w:br/>
        <w:t>(point 2.3 de l</w:t>
      </w:r>
      <w:r w:rsidR="007C2F80">
        <w:t>’</w:t>
      </w:r>
      <w:r w:rsidR="00D05198" w:rsidRPr="00B713EE">
        <w:t>ordre du jour)</w:t>
      </w:r>
      <w:r w:rsidRPr="00B713EE">
        <w:tab/>
      </w:r>
      <w:r w:rsidRPr="00B713EE">
        <w:tab/>
      </w:r>
      <w:r w:rsidR="008D1C0A">
        <w:t>24−30</w:t>
      </w:r>
      <w:r w:rsidRPr="00B713EE">
        <w:tab/>
      </w:r>
      <w:r w:rsidR="00F73881">
        <w:t>9</w:t>
      </w:r>
    </w:p>
    <w:p w:rsidR="0047572D" w:rsidRPr="00B713EE" w:rsidRDefault="0047572D" w:rsidP="0047572D">
      <w:pPr>
        <w:tabs>
          <w:tab w:val="right" w:leader="dot" w:pos="7654"/>
          <w:tab w:val="right" w:pos="8929"/>
          <w:tab w:val="right" w:pos="9638"/>
        </w:tabs>
        <w:spacing w:after="120"/>
        <w:ind w:left="1559" w:hanging="425"/>
      </w:pPr>
      <w:r w:rsidRPr="00B713EE">
        <w:t>D.</w:t>
      </w:r>
      <w:r w:rsidRPr="00B713EE">
        <w:tab/>
      </w:r>
      <w:r w:rsidR="00D05198" w:rsidRPr="00B713EE">
        <w:t>Suivi de la soixante-dix-huitième session du Comité des tra</w:t>
      </w:r>
      <w:r w:rsidR="00D05198">
        <w:t xml:space="preserve">nsports </w:t>
      </w:r>
      <w:r w:rsidR="00D05198">
        <w:br/>
        <w:t>intérieurs (CTI) (point </w:t>
      </w:r>
      <w:r w:rsidR="00D05198" w:rsidRPr="00B713EE">
        <w:t>2.4 de l</w:t>
      </w:r>
      <w:r w:rsidR="007C2F80">
        <w:t>’</w:t>
      </w:r>
      <w:r w:rsidR="00D05198" w:rsidRPr="00B713EE">
        <w:t>ordre du jour)</w:t>
      </w:r>
      <w:r w:rsidRPr="00B713EE">
        <w:tab/>
      </w:r>
      <w:r w:rsidRPr="00B713EE">
        <w:tab/>
      </w:r>
      <w:r w:rsidR="008D1C0A">
        <w:t>31</w:t>
      </w:r>
      <w:r w:rsidRPr="00B713EE">
        <w:tab/>
      </w:r>
      <w:r w:rsidR="00F73881">
        <w:t>10</w:t>
      </w:r>
    </w:p>
    <w:p w:rsidR="0047572D" w:rsidRPr="00B713EE" w:rsidRDefault="0047572D" w:rsidP="0047572D">
      <w:pPr>
        <w:tabs>
          <w:tab w:val="right" w:pos="850"/>
          <w:tab w:val="right" w:leader="dot" w:pos="7654"/>
          <w:tab w:val="right" w:pos="8929"/>
          <w:tab w:val="right" w:pos="9638"/>
        </w:tabs>
        <w:spacing w:after="120"/>
        <w:ind w:left="1134" w:hanging="1134"/>
      </w:pPr>
      <w:r w:rsidRPr="00B713EE">
        <w:tab/>
        <w:t>V.</w:t>
      </w:r>
      <w:r w:rsidRPr="00B713EE">
        <w:tab/>
      </w:r>
      <w:r w:rsidR="00D05198" w:rsidRPr="00B713EE">
        <w:t xml:space="preserve">Examen des rapports des groupes de travail subsidiaires </w:t>
      </w:r>
      <w:r w:rsidR="00D05198">
        <w:t xml:space="preserve">du WP.29 </w:t>
      </w:r>
      <w:r w:rsidR="00D05198">
        <w:br/>
        <w:t>(point </w:t>
      </w:r>
      <w:r w:rsidR="00D05198" w:rsidRPr="00B713EE">
        <w:t>3 de l</w:t>
      </w:r>
      <w:r w:rsidR="007C2F80">
        <w:t>’</w:t>
      </w:r>
      <w:r w:rsidR="00D05198" w:rsidRPr="00B713EE">
        <w:t>ordre du jour)</w:t>
      </w:r>
      <w:r w:rsidRPr="00B713EE">
        <w:tab/>
      </w:r>
      <w:r w:rsidRPr="00B713EE">
        <w:tab/>
      </w:r>
      <w:r w:rsidR="008D1C0A">
        <w:t>32</w:t>
      </w:r>
      <w:r w:rsidRPr="00B713EE">
        <w:tab/>
      </w:r>
      <w:r w:rsidR="00F73881">
        <w:t>11</w:t>
      </w:r>
    </w:p>
    <w:p w:rsidR="0047572D" w:rsidRPr="00B713EE" w:rsidRDefault="0047572D" w:rsidP="0047572D">
      <w:pPr>
        <w:tabs>
          <w:tab w:val="right" w:leader="dot" w:pos="7654"/>
          <w:tab w:val="right" w:pos="8929"/>
          <w:tab w:val="right" w:pos="9638"/>
        </w:tabs>
        <w:spacing w:after="120"/>
        <w:ind w:left="1559" w:hanging="425"/>
      </w:pPr>
      <w:r w:rsidRPr="00B713EE">
        <w:t>A.</w:t>
      </w:r>
      <w:r w:rsidRPr="00B713EE">
        <w:tab/>
      </w:r>
      <w:r w:rsidR="00834472" w:rsidRPr="00B713EE">
        <w:t>Groupe de travail du bruit (GRB) (</w:t>
      </w:r>
      <w:r w:rsidR="00834472">
        <w:t>s</w:t>
      </w:r>
      <w:r w:rsidR="00834472" w:rsidRPr="00B713EE">
        <w:t xml:space="preserve">oixante-quatrième session, </w:t>
      </w:r>
      <w:r w:rsidR="00834472">
        <w:br/>
      </w:r>
      <w:r w:rsidR="00834472" w:rsidRPr="00B713EE">
        <w:t>5</w:t>
      </w:r>
      <w:r w:rsidR="00834472" w:rsidRPr="00B713EE">
        <w:noBreakHyphen/>
        <w:t xml:space="preserve">7 septembre 2016) </w:t>
      </w:r>
      <w:r w:rsidR="00834472">
        <w:rPr>
          <w:bCs/>
        </w:rPr>
        <w:t>(point </w:t>
      </w:r>
      <w:r w:rsidR="00834472" w:rsidRPr="00B713EE">
        <w:rPr>
          <w:bCs/>
        </w:rPr>
        <w:t>3.1 de l</w:t>
      </w:r>
      <w:r w:rsidR="007C2F80">
        <w:rPr>
          <w:bCs/>
        </w:rPr>
        <w:t>’</w:t>
      </w:r>
      <w:r w:rsidR="00834472" w:rsidRPr="00B713EE">
        <w:rPr>
          <w:bCs/>
        </w:rPr>
        <w:t>ordre du jour)</w:t>
      </w:r>
      <w:r w:rsidRPr="00B713EE">
        <w:tab/>
      </w:r>
      <w:r w:rsidRPr="00B713EE">
        <w:tab/>
      </w:r>
      <w:r w:rsidR="008D1C0A">
        <w:t>32</w:t>
      </w:r>
      <w:r w:rsidRPr="00B713EE">
        <w:tab/>
      </w:r>
      <w:r w:rsidR="00F73881">
        <w:t>11</w:t>
      </w:r>
    </w:p>
    <w:p w:rsidR="0047572D" w:rsidRPr="00B713EE" w:rsidRDefault="0047572D" w:rsidP="0047572D">
      <w:pPr>
        <w:tabs>
          <w:tab w:val="right" w:leader="dot" w:pos="7654"/>
          <w:tab w:val="right" w:pos="8929"/>
          <w:tab w:val="right" w:pos="9638"/>
        </w:tabs>
        <w:spacing w:after="120"/>
        <w:ind w:left="1559" w:hanging="425"/>
      </w:pPr>
      <w:r w:rsidRPr="00B713EE">
        <w:t>B.</w:t>
      </w:r>
      <w:r w:rsidRPr="00B713EE">
        <w:tab/>
      </w:r>
      <w:r w:rsidR="00834472" w:rsidRPr="00B713EE">
        <w:t xml:space="preserve">Groupe de travail en matière de roulement et de freinage (GRRF) </w:t>
      </w:r>
      <w:r w:rsidR="00834472">
        <w:br/>
      </w:r>
      <w:r w:rsidR="00834472" w:rsidRPr="00B713EE">
        <w:t>(</w:t>
      </w:r>
      <w:r w:rsidR="00834472">
        <w:t>q</w:t>
      </w:r>
      <w:r w:rsidR="00834472" w:rsidRPr="00B713EE">
        <w:t>uatr</w:t>
      </w:r>
      <w:r w:rsidR="00834472">
        <w:t>e-vingt-deuxième session, 20-23 </w:t>
      </w:r>
      <w:r w:rsidR="00834472" w:rsidRPr="00B713EE">
        <w:t>septembre 2016)</w:t>
      </w:r>
      <w:r w:rsidR="00834472" w:rsidRPr="00B713EE">
        <w:rPr>
          <w:iCs/>
        </w:rPr>
        <w:t xml:space="preserve"> </w:t>
      </w:r>
      <w:r w:rsidR="00834472" w:rsidRPr="00B713EE">
        <w:rPr>
          <w:iCs/>
        </w:rPr>
        <w:br/>
      </w:r>
      <w:r w:rsidR="00834472" w:rsidRPr="00B713EE">
        <w:t>(point 3.2 de l</w:t>
      </w:r>
      <w:r w:rsidR="007C2F80">
        <w:t>’</w:t>
      </w:r>
      <w:r w:rsidR="00834472" w:rsidRPr="00B713EE">
        <w:t>ordre du jour)</w:t>
      </w:r>
      <w:r w:rsidRPr="00B713EE">
        <w:tab/>
      </w:r>
      <w:r w:rsidRPr="00B713EE">
        <w:tab/>
      </w:r>
      <w:r w:rsidR="008D1C0A">
        <w:t>33</w:t>
      </w:r>
      <w:r w:rsidRPr="00B713EE">
        <w:tab/>
      </w:r>
      <w:r w:rsidR="00F73881">
        <w:t>11</w:t>
      </w:r>
    </w:p>
    <w:p w:rsidR="0047572D" w:rsidRPr="00B713EE" w:rsidRDefault="0047572D" w:rsidP="0047572D">
      <w:pPr>
        <w:tabs>
          <w:tab w:val="right" w:leader="dot" w:pos="7654"/>
          <w:tab w:val="right" w:pos="8929"/>
          <w:tab w:val="right" w:pos="9638"/>
        </w:tabs>
        <w:spacing w:after="120"/>
        <w:ind w:left="1559" w:hanging="425"/>
      </w:pPr>
      <w:r w:rsidRPr="00B713EE">
        <w:t>C.</w:t>
      </w:r>
      <w:r w:rsidRPr="00B713EE">
        <w:tab/>
      </w:r>
      <w:r w:rsidR="00834472" w:rsidRPr="00B713EE">
        <w:t xml:space="preserve">Groupe de travail des dispositions générales de sécurité (GRSG) </w:t>
      </w:r>
      <w:r w:rsidR="00834472">
        <w:br/>
      </w:r>
      <w:r w:rsidR="00834472" w:rsidRPr="00B713EE">
        <w:t>(111</w:t>
      </w:r>
      <w:r w:rsidR="00834472" w:rsidRPr="00B713EE">
        <w:rPr>
          <w:vertAlign w:val="superscript"/>
        </w:rPr>
        <w:t>e</w:t>
      </w:r>
      <w:r w:rsidR="00834472" w:rsidRPr="00B713EE">
        <w:t> </w:t>
      </w:r>
      <w:r w:rsidR="00834472">
        <w:t>session, 10-14 </w:t>
      </w:r>
      <w:r w:rsidR="00834472" w:rsidRPr="00B713EE">
        <w:t xml:space="preserve">octobre 2016) </w:t>
      </w:r>
      <w:r w:rsidR="00834472" w:rsidRPr="00B713EE">
        <w:rPr>
          <w:iCs/>
        </w:rPr>
        <w:t>(</w:t>
      </w:r>
      <w:r w:rsidR="00834472">
        <w:t>point </w:t>
      </w:r>
      <w:r w:rsidR="00834472" w:rsidRPr="00B713EE">
        <w:t>3.3 de l</w:t>
      </w:r>
      <w:r w:rsidR="007C2F80">
        <w:t>’</w:t>
      </w:r>
      <w:r w:rsidR="00834472" w:rsidRPr="00B713EE">
        <w:t>ordre du jour)</w:t>
      </w:r>
      <w:r w:rsidRPr="00B713EE">
        <w:tab/>
      </w:r>
      <w:r w:rsidRPr="00B713EE">
        <w:tab/>
      </w:r>
      <w:r w:rsidR="008D1C0A">
        <w:t>34</w:t>
      </w:r>
      <w:r w:rsidRPr="00B713EE">
        <w:tab/>
      </w:r>
      <w:r w:rsidR="00F73881">
        <w:t>11</w:t>
      </w:r>
    </w:p>
    <w:p w:rsidR="0047572D" w:rsidRPr="00B713EE" w:rsidRDefault="0047572D" w:rsidP="0047572D">
      <w:pPr>
        <w:tabs>
          <w:tab w:val="right" w:leader="dot" w:pos="7654"/>
          <w:tab w:val="right" w:pos="8929"/>
          <w:tab w:val="right" w:pos="9638"/>
        </w:tabs>
        <w:spacing w:after="120"/>
        <w:ind w:left="1559" w:hanging="425"/>
      </w:pPr>
      <w:r w:rsidRPr="00B713EE">
        <w:t>D.</w:t>
      </w:r>
      <w:r w:rsidRPr="00B713EE">
        <w:tab/>
      </w:r>
      <w:r w:rsidR="00834472" w:rsidRPr="00B713EE">
        <w:t>Groupe de travail de l</w:t>
      </w:r>
      <w:r w:rsidR="007C2F80">
        <w:t>’</w:t>
      </w:r>
      <w:r w:rsidR="00834472" w:rsidRPr="00B713EE">
        <w:t xml:space="preserve">éclairage et de la signalisation lumineuse </w:t>
      </w:r>
      <w:r w:rsidR="00834472" w:rsidRPr="00B713EE">
        <w:br/>
        <w:t>(GRE) (</w:t>
      </w:r>
      <w:r w:rsidR="00834472">
        <w:t>soixante-seizième session, 25-28 </w:t>
      </w:r>
      <w:r w:rsidR="00834472" w:rsidRPr="00B713EE">
        <w:t xml:space="preserve">octobre 2016) </w:t>
      </w:r>
      <w:r w:rsidR="00834472" w:rsidRPr="00B713EE">
        <w:br/>
      </w:r>
      <w:r w:rsidR="00834472">
        <w:rPr>
          <w:bCs/>
        </w:rPr>
        <w:t>(point </w:t>
      </w:r>
      <w:r w:rsidR="00834472" w:rsidRPr="00B713EE">
        <w:rPr>
          <w:bCs/>
        </w:rPr>
        <w:t>3.4 de l</w:t>
      </w:r>
      <w:r w:rsidR="007C2F80">
        <w:rPr>
          <w:bCs/>
        </w:rPr>
        <w:t>’</w:t>
      </w:r>
      <w:r w:rsidR="00834472" w:rsidRPr="00B713EE">
        <w:rPr>
          <w:bCs/>
        </w:rPr>
        <w:t>ordre du jour)</w:t>
      </w:r>
      <w:r w:rsidRPr="00B713EE">
        <w:tab/>
      </w:r>
      <w:r w:rsidRPr="00B713EE">
        <w:tab/>
      </w:r>
      <w:r w:rsidR="008D1C0A">
        <w:t>35</w:t>
      </w:r>
      <w:r w:rsidRPr="00B713EE">
        <w:tab/>
      </w:r>
      <w:r w:rsidR="00F73881">
        <w:t>11</w:t>
      </w:r>
    </w:p>
    <w:p w:rsidR="0047572D" w:rsidRPr="00B713EE" w:rsidRDefault="0047572D" w:rsidP="0047572D">
      <w:pPr>
        <w:tabs>
          <w:tab w:val="right" w:leader="dot" w:pos="7654"/>
          <w:tab w:val="right" w:pos="8929"/>
          <w:tab w:val="right" w:pos="9638"/>
        </w:tabs>
        <w:spacing w:after="120"/>
        <w:ind w:left="1559" w:hanging="425"/>
      </w:pPr>
      <w:r w:rsidRPr="00B713EE">
        <w:t>E.</w:t>
      </w:r>
      <w:r w:rsidRPr="00B713EE">
        <w:tab/>
      </w:r>
      <w:r w:rsidR="00834472" w:rsidRPr="00B713EE">
        <w:t>Faits marquants des dernières sessions (</w:t>
      </w:r>
      <w:r w:rsidR="00834472">
        <w:rPr>
          <w:bCs/>
        </w:rPr>
        <w:t>point </w:t>
      </w:r>
      <w:r w:rsidR="00834472" w:rsidRPr="00B713EE">
        <w:rPr>
          <w:bCs/>
        </w:rPr>
        <w:t>3.5 de l</w:t>
      </w:r>
      <w:r w:rsidR="007C2F80">
        <w:rPr>
          <w:bCs/>
        </w:rPr>
        <w:t>’</w:t>
      </w:r>
      <w:r w:rsidR="00834472" w:rsidRPr="00B713EE">
        <w:rPr>
          <w:bCs/>
        </w:rPr>
        <w:t>ordre du jour)</w:t>
      </w:r>
      <w:r w:rsidRPr="00B713EE">
        <w:tab/>
      </w:r>
      <w:r w:rsidRPr="00B713EE">
        <w:tab/>
      </w:r>
      <w:r w:rsidR="008D1C0A">
        <w:t>36−52</w:t>
      </w:r>
      <w:r w:rsidRPr="00B713EE">
        <w:tab/>
      </w:r>
      <w:r w:rsidR="00F73881">
        <w:t>11</w:t>
      </w:r>
    </w:p>
    <w:p w:rsidR="00CD04C1" w:rsidRPr="00B713EE" w:rsidRDefault="00CD04C1" w:rsidP="00CD04C1">
      <w:pPr>
        <w:tabs>
          <w:tab w:val="right" w:leader="dot" w:pos="7654"/>
          <w:tab w:val="right" w:pos="8929"/>
          <w:tab w:val="right" w:pos="9638"/>
        </w:tabs>
        <w:spacing w:after="120"/>
        <w:ind w:left="1984" w:hanging="425"/>
      </w:pPr>
      <w:r w:rsidRPr="00B713EE">
        <w:t>1.</w:t>
      </w:r>
      <w:r w:rsidRPr="00B713EE">
        <w:tab/>
      </w:r>
      <w:r w:rsidR="00834472" w:rsidRPr="00B713EE">
        <w:t xml:space="preserve">Groupe de travail de la sécurité passive (GRSP) (soixantième session, </w:t>
      </w:r>
      <w:r w:rsidR="00834472" w:rsidRPr="00B713EE">
        <w:br/>
        <w:t>13-16 décembre 2016) (p</w:t>
      </w:r>
      <w:r w:rsidR="00834472">
        <w:t>oint </w:t>
      </w:r>
      <w:r w:rsidR="00834472" w:rsidRPr="00B713EE">
        <w:t>3.5.1 de l</w:t>
      </w:r>
      <w:r w:rsidR="007C2F80">
        <w:t>’</w:t>
      </w:r>
      <w:r w:rsidR="00834472" w:rsidRPr="00B713EE">
        <w:t>ordre du jour)</w:t>
      </w:r>
      <w:r w:rsidRPr="00B713EE">
        <w:tab/>
      </w:r>
      <w:r w:rsidRPr="00B713EE">
        <w:tab/>
      </w:r>
      <w:r w:rsidR="008D1C0A">
        <w:t>36−40</w:t>
      </w:r>
      <w:r w:rsidRPr="00B713EE">
        <w:tab/>
      </w:r>
      <w:r w:rsidR="00F73881">
        <w:t>11</w:t>
      </w:r>
    </w:p>
    <w:p w:rsidR="0047572D" w:rsidRPr="00B713EE" w:rsidRDefault="0047572D" w:rsidP="0047572D">
      <w:pPr>
        <w:tabs>
          <w:tab w:val="right" w:leader="dot" w:pos="7654"/>
          <w:tab w:val="right" w:pos="8929"/>
          <w:tab w:val="right" w:pos="9638"/>
        </w:tabs>
        <w:spacing w:after="120"/>
        <w:ind w:left="1984" w:hanging="425"/>
      </w:pPr>
      <w:r w:rsidRPr="00B713EE">
        <w:t>2.</w:t>
      </w:r>
      <w:r w:rsidRPr="00B713EE">
        <w:tab/>
      </w:r>
      <w:r w:rsidR="00834472" w:rsidRPr="00B713EE">
        <w:t>Groupe de travail de la pollution et de l</w:t>
      </w:r>
      <w:r w:rsidR="007C2F80">
        <w:t>’</w:t>
      </w:r>
      <w:r w:rsidR="00834472" w:rsidRPr="00B713EE">
        <w:t xml:space="preserve">énergie (GRPE) </w:t>
      </w:r>
      <w:r w:rsidR="00834472">
        <w:br/>
      </w:r>
      <w:r w:rsidR="00834472" w:rsidRPr="00B713EE">
        <w:t xml:space="preserve">(soixante-quatorzième session, 10-13 janvier 2017) </w:t>
      </w:r>
      <w:r w:rsidR="00834472">
        <w:br/>
      </w:r>
      <w:r w:rsidR="00834472" w:rsidRPr="00B713EE">
        <w:t>(point 3.5.2 de l</w:t>
      </w:r>
      <w:r w:rsidR="007C2F80">
        <w:t>’</w:t>
      </w:r>
      <w:r w:rsidR="00834472" w:rsidRPr="00B713EE">
        <w:t>ordre du jour)</w:t>
      </w:r>
      <w:r w:rsidRPr="00B713EE">
        <w:tab/>
      </w:r>
      <w:r w:rsidRPr="00B713EE">
        <w:tab/>
      </w:r>
      <w:r w:rsidR="008D1C0A">
        <w:t>41−43</w:t>
      </w:r>
      <w:r w:rsidRPr="00B713EE">
        <w:tab/>
      </w:r>
      <w:r w:rsidR="00F73881">
        <w:t>12</w:t>
      </w:r>
    </w:p>
    <w:p w:rsidR="0047572D" w:rsidRPr="00B713EE" w:rsidRDefault="0047572D" w:rsidP="0047572D">
      <w:pPr>
        <w:tabs>
          <w:tab w:val="right" w:leader="dot" w:pos="7654"/>
          <w:tab w:val="right" w:pos="8929"/>
          <w:tab w:val="right" w:pos="9638"/>
        </w:tabs>
        <w:spacing w:after="120"/>
        <w:ind w:left="1984" w:hanging="425"/>
      </w:pPr>
      <w:r w:rsidRPr="00B713EE">
        <w:t>3.</w:t>
      </w:r>
      <w:r w:rsidRPr="00B713EE">
        <w:tab/>
      </w:r>
      <w:r w:rsidR="00834472" w:rsidRPr="00B713EE">
        <w:t xml:space="preserve">Groupe de travail en matière de roulement et de freinage (GRRF) </w:t>
      </w:r>
      <w:r w:rsidR="00834472">
        <w:br/>
      </w:r>
      <w:r w:rsidR="00834472" w:rsidRPr="00B713EE">
        <w:t>(quatre-vingt-troisième sess</w:t>
      </w:r>
      <w:r w:rsidR="00834472">
        <w:t xml:space="preserve">ion, 23-27 janvier 2017) </w:t>
      </w:r>
      <w:r w:rsidR="00834472">
        <w:br/>
        <w:t>(point </w:t>
      </w:r>
      <w:r w:rsidR="00834472" w:rsidRPr="00B713EE">
        <w:t>3.5.3 de l</w:t>
      </w:r>
      <w:r w:rsidR="007C2F80">
        <w:t>’</w:t>
      </w:r>
      <w:r w:rsidR="00834472" w:rsidRPr="00B713EE">
        <w:t>ordre du jour)</w:t>
      </w:r>
      <w:r w:rsidRPr="00B713EE">
        <w:tab/>
      </w:r>
      <w:r w:rsidRPr="00B713EE">
        <w:tab/>
      </w:r>
      <w:r w:rsidR="008D1C0A">
        <w:t>44−49</w:t>
      </w:r>
      <w:r w:rsidRPr="00B713EE">
        <w:tab/>
      </w:r>
      <w:r w:rsidR="00F73881">
        <w:t>12</w:t>
      </w:r>
    </w:p>
    <w:p w:rsidR="0047572D" w:rsidRPr="00B713EE" w:rsidRDefault="0047572D" w:rsidP="0047572D">
      <w:pPr>
        <w:tabs>
          <w:tab w:val="right" w:leader="dot" w:pos="7654"/>
          <w:tab w:val="right" w:pos="8929"/>
          <w:tab w:val="right" w:pos="9638"/>
        </w:tabs>
        <w:spacing w:after="120"/>
        <w:ind w:left="1984" w:hanging="425"/>
      </w:pPr>
      <w:r w:rsidRPr="00B713EE">
        <w:t>4.</w:t>
      </w:r>
      <w:r w:rsidRPr="00B713EE">
        <w:tab/>
      </w:r>
      <w:r w:rsidR="00834472" w:rsidRPr="00B713EE">
        <w:t xml:space="preserve">Groupe de travail du bruit (GRB) (soixante-cinquième session, </w:t>
      </w:r>
      <w:r w:rsidR="00834472">
        <w:br/>
      </w:r>
      <w:r w:rsidR="00834472" w:rsidRPr="00B713EE">
        <w:t>15-17 février 2017) (point 3.5.4 de l</w:t>
      </w:r>
      <w:r w:rsidR="007C2F80">
        <w:t>’</w:t>
      </w:r>
      <w:r w:rsidR="00834472" w:rsidRPr="00B713EE">
        <w:t>ordre du jour)</w:t>
      </w:r>
      <w:r w:rsidRPr="00B713EE">
        <w:tab/>
      </w:r>
      <w:r w:rsidRPr="00B713EE">
        <w:tab/>
      </w:r>
      <w:r w:rsidR="008D1C0A">
        <w:t>50−52</w:t>
      </w:r>
      <w:r w:rsidRPr="00B713EE">
        <w:tab/>
      </w:r>
      <w:r w:rsidR="00F73881">
        <w:t>12</w:t>
      </w:r>
    </w:p>
    <w:p w:rsidR="0047572D" w:rsidRPr="00B713EE" w:rsidRDefault="0047572D" w:rsidP="0047572D">
      <w:pPr>
        <w:tabs>
          <w:tab w:val="right" w:pos="850"/>
          <w:tab w:val="right" w:leader="dot" w:pos="7654"/>
          <w:tab w:val="right" w:pos="8929"/>
          <w:tab w:val="right" w:pos="9638"/>
        </w:tabs>
        <w:spacing w:after="120"/>
        <w:ind w:left="1134" w:hanging="1134"/>
      </w:pPr>
      <w:r w:rsidRPr="00B713EE">
        <w:tab/>
        <w:t>VI.</w:t>
      </w:r>
      <w:r w:rsidRPr="00B713EE">
        <w:tab/>
      </w:r>
      <w:r w:rsidR="00834472" w:rsidRPr="00B713EE">
        <w:t>Accord de 1958 (point 4 de l</w:t>
      </w:r>
      <w:r w:rsidR="007C2F80">
        <w:t>’</w:t>
      </w:r>
      <w:r w:rsidR="00834472" w:rsidRPr="00B713EE">
        <w:t>ordre du jour)</w:t>
      </w:r>
      <w:r w:rsidRPr="00B713EE">
        <w:tab/>
      </w:r>
      <w:r w:rsidRPr="00B713EE">
        <w:tab/>
      </w:r>
      <w:r w:rsidR="008D1C0A">
        <w:t>53−86</w:t>
      </w:r>
      <w:r w:rsidRPr="00B713EE">
        <w:tab/>
      </w:r>
      <w:r w:rsidR="00F73881">
        <w:t>13</w:t>
      </w:r>
    </w:p>
    <w:p w:rsidR="0047572D" w:rsidRPr="00B713EE" w:rsidRDefault="0047572D" w:rsidP="0047572D">
      <w:pPr>
        <w:tabs>
          <w:tab w:val="right" w:leader="dot" w:pos="7654"/>
          <w:tab w:val="right" w:pos="8929"/>
          <w:tab w:val="right" w:pos="9638"/>
        </w:tabs>
        <w:spacing w:after="120"/>
        <w:ind w:left="1559" w:hanging="425"/>
      </w:pPr>
      <w:r w:rsidRPr="00B713EE">
        <w:t>A.</w:t>
      </w:r>
      <w:r w:rsidRPr="00B713EE">
        <w:tab/>
      </w:r>
      <w:r w:rsidR="00834472" w:rsidRPr="00B713EE">
        <w:t>État de l</w:t>
      </w:r>
      <w:r w:rsidR="007C2F80">
        <w:t>’</w:t>
      </w:r>
      <w:r w:rsidR="00834472" w:rsidRPr="00B713EE">
        <w:t xml:space="preserve">Accord et des Règlements annexés </w:t>
      </w:r>
      <w:r w:rsidR="00834472" w:rsidRPr="00B713EE">
        <w:rPr>
          <w:bCs/>
        </w:rPr>
        <w:t>(point 4.1 de l</w:t>
      </w:r>
      <w:r w:rsidR="007C2F80">
        <w:rPr>
          <w:bCs/>
        </w:rPr>
        <w:t>’</w:t>
      </w:r>
      <w:r w:rsidR="00834472" w:rsidRPr="00B713EE">
        <w:rPr>
          <w:bCs/>
        </w:rPr>
        <w:t>ordre du jour)</w:t>
      </w:r>
      <w:r w:rsidRPr="00B713EE">
        <w:tab/>
      </w:r>
      <w:r w:rsidRPr="00B713EE">
        <w:tab/>
      </w:r>
      <w:r w:rsidR="008D1C0A">
        <w:t>53−55</w:t>
      </w:r>
      <w:r w:rsidRPr="00B713EE">
        <w:tab/>
      </w:r>
      <w:r w:rsidR="00F73881">
        <w:t>13</w:t>
      </w:r>
    </w:p>
    <w:p w:rsidR="0047572D" w:rsidRPr="00B713EE" w:rsidRDefault="0047572D" w:rsidP="0047572D">
      <w:pPr>
        <w:tabs>
          <w:tab w:val="right" w:leader="dot" w:pos="7654"/>
          <w:tab w:val="right" w:pos="8929"/>
          <w:tab w:val="right" w:pos="9638"/>
        </w:tabs>
        <w:spacing w:after="120"/>
        <w:ind w:left="1559" w:hanging="425"/>
      </w:pPr>
      <w:r w:rsidRPr="00B713EE">
        <w:t>B.</w:t>
      </w:r>
      <w:r w:rsidRPr="00B713EE">
        <w:tab/>
      </w:r>
      <w:r w:rsidR="00834472" w:rsidRPr="00B713EE">
        <w:t xml:space="preserve">Orientations demandées par les Groupes de travail à propos de questions </w:t>
      </w:r>
      <w:r w:rsidR="00834472">
        <w:br/>
      </w:r>
      <w:r w:rsidR="00834472" w:rsidRPr="00B713EE">
        <w:t>relatives aux Règlements annexés à l</w:t>
      </w:r>
      <w:r w:rsidR="007C2F80">
        <w:t>’</w:t>
      </w:r>
      <w:r w:rsidR="00834472" w:rsidRPr="00B713EE">
        <w:t xml:space="preserve">Accord de 1958 </w:t>
      </w:r>
      <w:r w:rsidR="00834472">
        <w:br/>
      </w:r>
      <w:r w:rsidR="00834472" w:rsidRPr="00B713EE">
        <w:t>(point 4.2 de l</w:t>
      </w:r>
      <w:r w:rsidR="007C2F80">
        <w:t>’</w:t>
      </w:r>
      <w:r w:rsidR="00834472" w:rsidRPr="00B713EE">
        <w:t>ordre du jour)</w:t>
      </w:r>
      <w:r w:rsidRPr="00B713EE">
        <w:tab/>
      </w:r>
      <w:r w:rsidRPr="00B713EE">
        <w:tab/>
      </w:r>
      <w:r w:rsidR="008D1C0A">
        <w:t>56−59</w:t>
      </w:r>
      <w:r w:rsidRPr="00B713EE">
        <w:tab/>
      </w:r>
      <w:r w:rsidR="00F73881">
        <w:t>13</w:t>
      </w:r>
    </w:p>
    <w:p w:rsidR="0047572D" w:rsidRPr="00B713EE" w:rsidRDefault="0047572D" w:rsidP="0047572D">
      <w:pPr>
        <w:tabs>
          <w:tab w:val="right" w:leader="dot" w:pos="7654"/>
          <w:tab w:val="right" w:pos="8929"/>
          <w:tab w:val="right" w:pos="9638"/>
        </w:tabs>
        <w:spacing w:after="120"/>
        <w:ind w:left="1984" w:hanging="425"/>
      </w:pPr>
      <w:r w:rsidRPr="00B713EE">
        <w:lastRenderedPageBreak/>
        <w:t>1.</w:t>
      </w:r>
      <w:r w:rsidRPr="00B713EE">
        <w:tab/>
      </w:r>
      <w:r w:rsidR="00834472" w:rsidRPr="00B713EE">
        <w:t xml:space="preserve">Reproduction de normes privées et renvoi à celles-ci </w:t>
      </w:r>
      <w:r w:rsidR="00834472">
        <w:br/>
      </w:r>
      <w:r w:rsidR="00834472" w:rsidRPr="00B713EE">
        <w:t xml:space="preserve">dans les Règlements, les Règlements techniques mondiaux </w:t>
      </w:r>
      <w:r w:rsidR="00834472">
        <w:br/>
      </w:r>
      <w:r w:rsidR="00834472" w:rsidRPr="00B713EE">
        <w:t>et les Règles de l</w:t>
      </w:r>
      <w:r w:rsidR="007C2F80">
        <w:t>’</w:t>
      </w:r>
      <w:r w:rsidR="00834472" w:rsidRPr="00B713EE">
        <w:t xml:space="preserve">ONU </w:t>
      </w:r>
      <w:r w:rsidR="00834472">
        <w:t>(point </w:t>
      </w:r>
      <w:r w:rsidR="00834472" w:rsidRPr="00B713EE">
        <w:t>4.2.1 de l</w:t>
      </w:r>
      <w:r w:rsidR="007C2F80">
        <w:t>’</w:t>
      </w:r>
      <w:r w:rsidR="00834472" w:rsidRPr="00B713EE">
        <w:t>ordre du jour)</w:t>
      </w:r>
      <w:r w:rsidRPr="00B713EE">
        <w:tab/>
      </w:r>
      <w:r w:rsidRPr="00B713EE">
        <w:tab/>
      </w:r>
      <w:r w:rsidR="008D1C0A">
        <w:t>57</w:t>
      </w:r>
      <w:r w:rsidRPr="00B713EE">
        <w:tab/>
      </w:r>
      <w:r w:rsidR="00F73881">
        <w:t>13</w:t>
      </w:r>
    </w:p>
    <w:p w:rsidR="0047572D" w:rsidRPr="00B713EE" w:rsidRDefault="0047572D" w:rsidP="0047572D">
      <w:pPr>
        <w:tabs>
          <w:tab w:val="right" w:leader="dot" w:pos="7654"/>
          <w:tab w:val="right" w:pos="8929"/>
          <w:tab w:val="right" w:pos="9638"/>
        </w:tabs>
        <w:spacing w:after="120"/>
        <w:ind w:left="1984" w:hanging="425"/>
      </w:pPr>
      <w:r w:rsidRPr="00B713EE">
        <w:t>2.</w:t>
      </w:r>
      <w:r w:rsidRPr="00B713EE">
        <w:tab/>
      </w:r>
      <w:r w:rsidR="00834472" w:rsidRPr="00B713EE">
        <w:t>Orientations relatives aux amendements aux Règlements an</w:t>
      </w:r>
      <w:r w:rsidR="00834472">
        <w:t xml:space="preserve">nexés </w:t>
      </w:r>
      <w:r w:rsidR="00834472">
        <w:br/>
        <w:t>à l</w:t>
      </w:r>
      <w:r w:rsidR="007C2F80">
        <w:t>’</w:t>
      </w:r>
      <w:r w:rsidR="00834472">
        <w:t>Accord de 1958 (point </w:t>
      </w:r>
      <w:r w:rsidR="00834472" w:rsidRPr="00B713EE">
        <w:t>4.2.2 de l</w:t>
      </w:r>
      <w:r w:rsidR="007C2F80">
        <w:t>’</w:t>
      </w:r>
      <w:r w:rsidR="00834472" w:rsidRPr="00B713EE">
        <w:t>ordre du jour)</w:t>
      </w:r>
      <w:r w:rsidRPr="00B713EE">
        <w:tab/>
      </w:r>
      <w:r w:rsidRPr="00B713EE">
        <w:tab/>
      </w:r>
      <w:r w:rsidR="008D1C0A">
        <w:t>58−59</w:t>
      </w:r>
      <w:r w:rsidRPr="00B713EE">
        <w:tab/>
      </w:r>
      <w:r w:rsidR="00F73881">
        <w:t>13</w:t>
      </w:r>
    </w:p>
    <w:p w:rsidR="0047572D" w:rsidRPr="00B713EE" w:rsidRDefault="0047572D" w:rsidP="0047572D">
      <w:pPr>
        <w:tabs>
          <w:tab w:val="right" w:leader="dot" w:pos="7654"/>
          <w:tab w:val="right" w:pos="8929"/>
          <w:tab w:val="right" w:pos="9638"/>
        </w:tabs>
        <w:spacing w:after="120"/>
        <w:ind w:left="1559" w:hanging="425"/>
      </w:pPr>
      <w:r w:rsidRPr="00B713EE">
        <w:t>C.</w:t>
      </w:r>
      <w:r w:rsidRPr="00B713EE">
        <w:tab/>
      </w:r>
      <w:r w:rsidR="0019562F" w:rsidRPr="00B713EE">
        <w:t>Mise au point d</w:t>
      </w:r>
      <w:r w:rsidR="007C2F80">
        <w:t>’</w:t>
      </w:r>
      <w:r w:rsidR="0019562F" w:rsidRPr="00B713EE">
        <w:t>une homologation de type internationale de l</w:t>
      </w:r>
      <w:r w:rsidR="007C2F80">
        <w:t>’</w:t>
      </w:r>
      <w:r w:rsidR="0019562F" w:rsidRPr="00B713EE">
        <w:t>ense</w:t>
      </w:r>
      <w:r w:rsidR="0019562F">
        <w:t xml:space="preserve">mble </w:t>
      </w:r>
      <w:r w:rsidR="0019562F">
        <w:br/>
        <w:t>du véhicule (IWVTA) (point </w:t>
      </w:r>
      <w:r w:rsidR="0019562F" w:rsidRPr="00B713EE">
        <w:t>4.3 de l</w:t>
      </w:r>
      <w:r w:rsidR="007C2F80">
        <w:t>’</w:t>
      </w:r>
      <w:r w:rsidR="0019562F" w:rsidRPr="00B713EE">
        <w:t>ordre du jour)</w:t>
      </w:r>
      <w:r w:rsidRPr="00B713EE">
        <w:tab/>
      </w:r>
      <w:r w:rsidRPr="00B713EE">
        <w:tab/>
      </w:r>
      <w:r w:rsidR="008D1C0A">
        <w:t>60−62</w:t>
      </w:r>
      <w:r w:rsidRPr="00B713EE">
        <w:tab/>
      </w:r>
      <w:r w:rsidR="00F73881">
        <w:t>14</w:t>
      </w:r>
    </w:p>
    <w:p w:rsidR="0047572D" w:rsidRPr="00B713EE" w:rsidRDefault="0047572D" w:rsidP="0047572D">
      <w:pPr>
        <w:tabs>
          <w:tab w:val="right" w:leader="dot" w:pos="7654"/>
          <w:tab w:val="right" w:pos="8929"/>
          <w:tab w:val="right" w:pos="9638"/>
        </w:tabs>
        <w:spacing w:after="120"/>
        <w:ind w:left="1559" w:hanging="425"/>
      </w:pPr>
      <w:r w:rsidRPr="00B713EE">
        <w:t>D.</w:t>
      </w:r>
      <w:r w:rsidRPr="00B713EE">
        <w:tab/>
      </w:r>
      <w:r w:rsidR="0019562F" w:rsidRPr="00B713EE">
        <w:t>Projet de révision 3 de l</w:t>
      </w:r>
      <w:r w:rsidR="007C2F80">
        <w:t>’</w:t>
      </w:r>
      <w:r w:rsidR="0019562F" w:rsidRPr="00B713EE">
        <w:t>Accord de 1958 (point 4.4 de l</w:t>
      </w:r>
      <w:r w:rsidR="007C2F80">
        <w:t>’</w:t>
      </w:r>
      <w:r w:rsidR="0019562F" w:rsidRPr="00B713EE">
        <w:t>ordre du jour)</w:t>
      </w:r>
      <w:r w:rsidRPr="00B713EE">
        <w:tab/>
      </w:r>
      <w:r w:rsidRPr="00B713EE">
        <w:tab/>
      </w:r>
      <w:r w:rsidR="008D1C0A">
        <w:t>63−64</w:t>
      </w:r>
      <w:r w:rsidRPr="00B713EE">
        <w:tab/>
      </w:r>
      <w:r w:rsidR="00F73881">
        <w:t>14</w:t>
      </w:r>
    </w:p>
    <w:p w:rsidR="0047572D" w:rsidRPr="00B713EE" w:rsidRDefault="0047572D" w:rsidP="0047572D">
      <w:pPr>
        <w:tabs>
          <w:tab w:val="right" w:leader="dot" w:pos="7654"/>
          <w:tab w:val="right" w:pos="8929"/>
          <w:tab w:val="right" w:pos="9638"/>
        </w:tabs>
        <w:spacing w:after="120"/>
        <w:ind w:left="1559" w:hanging="425"/>
      </w:pPr>
      <w:r w:rsidRPr="00B713EE">
        <w:t>E.</w:t>
      </w:r>
      <w:r w:rsidRPr="00B713EE">
        <w:tab/>
      </w:r>
      <w:r w:rsidR="0019562F" w:rsidRPr="00B713EE">
        <w:t>Élaboration d</w:t>
      </w:r>
      <w:r w:rsidR="007C2F80">
        <w:t>’</w:t>
      </w:r>
      <w:r w:rsidR="0019562F" w:rsidRPr="00B713EE">
        <w:t>une base de données pour l</w:t>
      </w:r>
      <w:r w:rsidR="007C2F80">
        <w:t>’</w:t>
      </w:r>
      <w:r w:rsidR="0019562F" w:rsidRPr="00B713EE">
        <w:t>échange d</w:t>
      </w:r>
      <w:r w:rsidR="007C2F80">
        <w:t>’</w:t>
      </w:r>
      <w:r w:rsidR="0019562F" w:rsidRPr="00B713EE">
        <w:t xml:space="preserve">informations </w:t>
      </w:r>
      <w:r w:rsidR="0019562F">
        <w:br/>
      </w:r>
      <w:r w:rsidR="0019562F" w:rsidRPr="00B713EE">
        <w:t>concernant l</w:t>
      </w:r>
      <w:r w:rsidR="007C2F80">
        <w:t>’</w:t>
      </w:r>
      <w:r w:rsidR="0019562F" w:rsidRPr="00B713EE">
        <w:t>homologation de type (DETA) (point 4.5 de l</w:t>
      </w:r>
      <w:r w:rsidR="007C2F80">
        <w:t>’</w:t>
      </w:r>
      <w:r w:rsidR="0019562F" w:rsidRPr="00B713EE">
        <w:t>ordre du jour)</w:t>
      </w:r>
      <w:r w:rsidRPr="00B713EE">
        <w:tab/>
      </w:r>
      <w:r w:rsidRPr="00B713EE">
        <w:tab/>
      </w:r>
      <w:r w:rsidR="008D1C0A">
        <w:t>65−66</w:t>
      </w:r>
      <w:r w:rsidRPr="00B713EE">
        <w:tab/>
      </w:r>
      <w:r w:rsidR="00F73881">
        <w:t>15</w:t>
      </w:r>
    </w:p>
    <w:p w:rsidR="0047572D" w:rsidRPr="00B713EE" w:rsidRDefault="0047572D" w:rsidP="0047572D">
      <w:pPr>
        <w:tabs>
          <w:tab w:val="right" w:leader="dot" w:pos="7654"/>
          <w:tab w:val="right" w:pos="8929"/>
          <w:tab w:val="right" w:pos="9638"/>
        </w:tabs>
        <w:spacing w:after="120"/>
        <w:ind w:left="1559" w:hanging="425"/>
      </w:pPr>
      <w:r w:rsidRPr="00B713EE">
        <w:t>F.</w:t>
      </w:r>
      <w:r w:rsidRPr="00B713EE">
        <w:tab/>
      </w:r>
      <w:r w:rsidR="0019562F" w:rsidRPr="00B713EE">
        <w:t>Examen de projets d</w:t>
      </w:r>
      <w:r w:rsidR="007C2F80">
        <w:t>’</w:t>
      </w:r>
      <w:r w:rsidR="0019562F" w:rsidRPr="00B713EE">
        <w:t xml:space="preserve">amendements à des Règlements existants, </w:t>
      </w:r>
      <w:r w:rsidR="0019562F" w:rsidRPr="00B713EE">
        <w:br/>
        <w:t>soumis par le GRB (point 4.6 de l</w:t>
      </w:r>
      <w:r w:rsidR="007C2F80">
        <w:t>’</w:t>
      </w:r>
      <w:r w:rsidR="0019562F" w:rsidRPr="00B713EE">
        <w:t>ordre du jour)</w:t>
      </w:r>
      <w:r w:rsidRPr="00B713EE">
        <w:tab/>
      </w:r>
      <w:r w:rsidRPr="00B713EE">
        <w:tab/>
      </w:r>
      <w:r w:rsidR="008D1C0A">
        <w:t>67</w:t>
      </w:r>
      <w:r w:rsidRPr="00B713EE">
        <w:tab/>
      </w:r>
      <w:r w:rsidR="00F73881">
        <w:t>15</w:t>
      </w:r>
    </w:p>
    <w:p w:rsidR="0047572D" w:rsidRPr="00B713EE" w:rsidRDefault="0047572D" w:rsidP="0047572D">
      <w:pPr>
        <w:tabs>
          <w:tab w:val="right" w:leader="dot" w:pos="7654"/>
          <w:tab w:val="right" w:pos="8929"/>
          <w:tab w:val="right" w:pos="9638"/>
        </w:tabs>
        <w:spacing w:after="120"/>
        <w:ind w:left="1559" w:hanging="425"/>
      </w:pPr>
      <w:r w:rsidRPr="00B713EE">
        <w:t>G.</w:t>
      </w:r>
      <w:r w:rsidRPr="00B713EE">
        <w:tab/>
      </w:r>
      <w:r w:rsidR="0019562F" w:rsidRPr="00B713EE">
        <w:t>Examen de projets d</w:t>
      </w:r>
      <w:r w:rsidR="007C2F80">
        <w:t>’</w:t>
      </w:r>
      <w:r w:rsidR="0019562F" w:rsidRPr="00B713EE">
        <w:t xml:space="preserve">amendements à des Règlements existants, </w:t>
      </w:r>
      <w:r w:rsidR="0019562F" w:rsidRPr="00B713EE">
        <w:br/>
        <w:t>soumis par le GRRF (point 4.7 de l</w:t>
      </w:r>
      <w:r w:rsidR="007C2F80">
        <w:t>’</w:t>
      </w:r>
      <w:r w:rsidR="0019562F" w:rsidRPr="00B713EE">
        <w:t>ordre du jour)</w:t>
      </w:r>
      <w:r w:rsidRPr="00B713EE">
        <w:tab/>
      </w:r>
      <w:r w:rsidRPr="00B713EE">
        <w:tab/>
      </w:r>
      <w:r w:rsidR="008D1C0A">
        <w:t>68−70</w:t>
      </w:r>
      <w:r w:rsidRPr="00B713EE">
        <w:tab/>
      </w:r>
      <w:r w:rsidR="00F73881">
        <w:t>15</w:t>
      </w:r>
    </w:p>
    <w:p w:rsidR="0047572D" w:rsidRPr="00B713EE" w:rsidRDefault="0047572D" w:rsidP="0047572D">
      <w:pPr>
        <w:tabs>
          <w:tab w:val="right" w:leader="dot" w:pos="7654"/>
          <w:tab w:val="right" w:pos="8929"/>
          <w:tab w:val="right" w:pos="9638"/>
        </w:tabs>
        <w:spacing w:after="120"/>
        <w:ind w:left="1559" w:hanging="425"/>
      </w:pPr>
      <w:r w:rsidRPr="00B713EE">
        <w:t>H.</w:t>
      </w:r>
      <w:r w:rsidRPr="00B713EE">
        <w:tab/>
      </w:r>
      <w:r w:rsidR="0019562F" w:rsidRPr="00B713EE">
        <w:t>Examen de projets d</w:t>
      </w:r>
      <w:r w:rsidR="007C2F80">
        <w:t>’</w:t>
      </w:r>
      <w:r w:rsidR="0019562F" w:rsidRPr="00B713EE">
        <w:t xml:space="preserve">amendements à des Règlements existants, </w:t>
      </w:r>
      <w:r w:rsidR="0019562F" w:rsidRPr="00B713EE">
        <w:br/>
        <w:t>soumis par le GRSG (point 4.8 de l</w:t>
      </w:r>
      <w:r w:rsidR="007C2F80">
        <w:t>’</w:t>
      </w:r>
      <w:r w:rsidR="0019562F" w:rsidRPr="00B713EE">
        <w:t>ordre du jour)</w:t>
      </w:r>
      <w:r w:rsidRPr="00B713EE">
        <w:tab/>
      </w:r>
      <w:r w:rsidRPr="00B713EE">
        <w:tab/>
      </w:r>
      <w:r w:rsidR="008D1C0A">
        <w:t>71</w:t>
      </w:r>
      <w:r w:rsidRPr="00B713EE">
        <w:tab/>
      </w:r>
      <w:r w:rsidR="00F73881">
        <w:t>16</w:t>
      </w:r>
    </w:p>
    <w:p w:rsidR="0047572D" w:rsidRPr="00B713EE" w:rsidRDefault="0047572D" w:rsidP="0047572D">
      <w:pPr>
        <w:tabs>
          <w:tab w:val="right" w:leader="dot" w:pos="7654"/>
          <w:tab w:val="right" w:pos="8929"/>
          <w:tab w:val="right" w:pos="9638"/>
        </w:tabs>
        <w:spacing w:after="120"/>
        <w:ind w:left="1559" w:hanging="425"/>
      </w:pPr>
      <w:r w:rsidRPr="00B713EE">
        <w:t>I.</w:t>
      </w:r>
      <w:r w:rsidRPr="00B713EE">
        <w:tab/>
      </w:r>
      <w:r w:rsidR="0019562F" w:rsidRPr="00B713EE">
        <w:t>Examen de projets d</w:t>
      </w:r>
      <w:r w:rsidR="007C2F80">
        <w:t>’</w:t>
      </w:r>
      <w:r w:rsidR="0019562F" w:rsidRPr="00B713EE">
        <w:t xml:space="preserve">amendements à des Règlements existants, </w:t>
      </w:r>
      <w:r w:rsidR="0019562F" w:rsidRPr="00B713EE">
        <w:br/>
        <w:t xml:space="preserve">soumis par le GRE </w:t>
      </w:r>
      <w:r w:rsidR="0019562F" w:rsidRPr="00B713EE">
        <w:rPr>
          <w:bCs/>
        </w:rPr>
        <w:t>(point 4.9 de l</w:t>
      </w:r>
      <w:r w:rsidR="007C2F80">
        <w:rPr>
          <w:bCs/>
        </w:rPr>
        <w:t>’</w:t>
      </w:r>
      <w:r w:rsidR="0019562F" w:rsidRPr="00B713EE">
        <w:rPr>
          <w:bCs/>
        </w:rPr>
        <w:t>ordre du jour)</w:t>
      </w:r>
      <w:r w:rsidRPr="00B713EE">
        <w:tab/>
      </w:r>
      <w:r w:rsidRPr="00B713EE">
        <w:tab/>
      </w:r>
      <w:r w:rsidR="008D1C0A">
        <w:t>72−74</w:t>
      </w:r>
      <w:r w:rsidRPr="00B713EE">
        <w:tab/>
      </w:r>
      <w:r w:rsidR="00F73881">
        <w:t>16</w:t>
      </w:r>
    </w:p>
    <w:p w:rsidR="0047572D" w:rsidRPr="00B713EE" w:rsidRDefault="0047572D" w:rsidP="0047572D">
      <w:pPr>
        <w:tabs>
          <w:tab w:val="right" w:leader="dot" w:pos="7654"/>
          <w:tab w:val="right" w:pos="8929"/>
          <w:tab w:val="right" w:pos="9638"/>
        </w:tabs>
        <w:spacing w:after="120"/>
        <w:ind w:left="1559" w:hanging="425"/>
      </w:pPr>
      <w:r w:rsidRPr="00B713EE">
        <w:t>J.</w:t>
      </w:r>
      <w:r w:rsidRPr="00B713EE">
        <w:tab/>
      </w:r>
      <w:r w:rsidR="0019562F" w:rsidRPr="00B713EE">
        <w:t>Examen de projets d</w:t>
      </w:r>
      <w:r w:rsidR="007C2F80">
        <w:t>’</w:t>
      </w:r>
      <w:r w:rsidR="0019562F" w:rsidRPr="00B713EE">
        <w:t xml:space="preserve">amendements à des Règlements existants, </w:t>
      </w:r>
      <w:r w:rsidR="0019562F" w:rsidRPr="00B713EE">
        <w:br/>
        <w:t>soumis par le GRPE (point 4.10 de l</w:t>
      </w:r>
      <w:r w:rsidR="007C2F80">
        <w:t>’</w:t>
      </w:r>
      <w:r w:rsidR="0019562F" w:rsidRPr="00B713EE">
        <w:t>ordre du jour)</w:t>
      </w:r>
      <w:r w:rsidRPr="00B713EE">
        <w:tab/>
      </w:r>
      <w:r w:rsidRPr="00B713EE">
        <w:tab/>
      </w:r>
      <w:r w:rsidR="008D1C0A">
        <w:t>75−81</w:t>
      </w:r>
      <w:r w:rsidRPr="00B713EE">
        <w:tab/>
      </w:r>
      <w:r w:rsidR="00863F1A">
        <w:t>17</w:t>
      </w:r>
    </w:p>
    <w:p w:rsidR="0047572D" w:rsidRPr="00B713EE" w:rsidRDefault="0047572D" w:rsidP="0047572D">
      <w:pPr>
        <w:tabs>
          <w:tab w:val="right" w:leader="dot" w:pos="7654"/>
          <w:tab w:val="right" w:pos="8929"/>
          <w:tab w:val="right" w:pos="9638"/>
        </w:tabs>
        <w:spacing w:after="120"/>
        <w:ind w:left="1559" w:hanging="425"/>
      </w:pPr>
      <w:r w:rsidRPr="00B713EE">
        <w:t>K.</w:t>
      </w:r>
      <w:r w:rsidRPr="00B713EE">
        <w:tab/>
      </w:r>
      <w:r w:rsidR="0019562F" w:rsidRPr="00B713EE">
        <w:t xml:space="preserve">Examen de projets de rectificatifs à des Règlements existants, </w:t>
      </w:r>
      <w:r w:rsidR="0019562F" w:rsidRPr="00B713EE">
        <w:br/>
      </w:r>
      <w:r w:rsidR="0019562F">
        <w:t>soumis par le GRRF (point </w:t>
      </w:r>
      <w:r w:rsidR="0019562F" w:rsidRPr="00B713EE">
        <w:t>4.11 de l</w:t>
      </w:r>
      <w:r w:rsidR="007C2F80">
        <w:t>’</w:t>
      </w:r>
      <w:r w:rsidR="0019562F" w:rsidRPr="00B713EE">
        <w:t>ordre du jour)</w:t>
      </w:r>
      <w:r w:rsidRPr="00B713EE">
        <w:tab/>
      </w:r>
      <w:r w:rsidRPr="00B713EE">
        <w:tab/>
      </w:r>
      <w:r w:rsidR="008D1C0A">
        <w:t>82</w:t>
      </w:r>
      <w:r w:rsidRPr="00B713EE">
        <w:tab/>
      </w:r>
      <w:r w:rsidR="00F73881">
        <w:t>17</w:t>
      </w:r>
    </w:p>
    <w:p w:rsidR="0047572D" w:rsidRPr="00B713EE" w:rsidRDefault="0047572D" w:rsidP="0047572D">
      <w:pPr>
        <w:tabs>
          <w:tab w:val="right" w:leader="dot" w:pos="7654"/>
          <w:tab w:val="right" w:pos="8929"/>
          <w:tab w:val="right" w:pos="9638"/>
        </w:tabs>
        <w:spacing w:after="120"/>
        <w:ind w:left="1559" w:hanging="425"/>
      </w:pPr>
      <w:r w:rsidRPr="00B713EE">
        <w:t>L.</w:t>
      </w:r>
      <w:r w:rsidRPr="00B713EE">
        <w:tab/>
      </w:r>
      <w:r w:rsidR="0019562F" w:rsidRPr="00B713EE">
        <w:t>Examen d</w:t>
      </w:r>
      <w:r w:rsidR="007C2F80">
        <w:t>’</w:t>
      </w:r>
      <w:r w:rsidR="0019562F" w:rsidRPr="00B713EE">
        <w:t xml:space="preserve">éventuels projets de rectificatifs à des Règlements existants, </w:t>
      </w:r>
      <w:r w:rsidR="0019562F">
        <w:br/>
      </w:r>
      <w:r w:rsidR="0019562F" w:rsidRPr="00B713EE">
        <w:t>s</w:t>
      </w:r>
      <w:r w:rsidR="0019562F">
        <w:t>oumis par le secrétariat (point </w:t>
      </w:r>
      <w:r w:rsidR="0019562F" w:rsidRPr="00B713EE">
        <w:t>4.12 de l</w:t>
      </w:r>
      <w:r w:rsidR="007C2F80">
        <w:t>’</w:t>
      </w:r>
      <w:r w:rsidR="0019562F" w:rsidRPr="00B713EE">
        <w:t>ordre du jour)</w:t>
      </w:r>
      <w:r w:rsidRPr="00B713EE">
        <w:tab/>
      </w:r>
      <w:r w:rsidRPr="00B713EE">
        <w:tab/>
      </w:r>
      <w:r w:rsidR="008D1C0A">
        <w:t>83</w:t>
      </w:r>
      <w:r w:rsidRPr="00B713EE">
        <w:tab/>
      </w:r>
      <w:r w:rsidR="00863F1A">
        <w:t>18</w:t>
      </w:r>
    </w:p>
    <w:p w:rsidR="0047572D" w:rsidRPr="00B713EE" w:rsidRDefault="0047572D" w:rsidP="0047572D">
      <w:pPr>
        <w:tabs>
          <w:tab w:val="right" w:leader="dot" w:pos="7654"/>
          <w:tab w:val="right" w:pos="8929"/>
          <w:tab w:val="right" w:pos="9638"/>
        </w:tabs>
        <w:spacing w:after="120"/>
        <w:ind w:left="1559" w:hanging="425"/>
      </w:pPr>
      <w:r w:rsidRPr="00B713EE">
        <w:t>M.</w:t>
      </w:r>
      <w:r w:rsidRPr="00B713EE">
        <w:tab/>
      </w:r>
      <w:r w:rsidR="0019562F" w:rsidRPr="00B713EE">
        <w:t xml:space="preserve">Examen de propositions de nouveaux Règlements soumises </w:t>
      </w:r>
      <w:r w:rsidR="0019562F" w:rsidRPr="00B713EE">
        <w:br/>
        <w:t xml:space="preserve">par les groupes de travail subsidiaires du Forum mondial </w:t>
      </w:r>
      <w:r w:rsidR="0019562F" w:rsidRPr="00B713EE">
        <w:br/>
      </w:r>
      <w:r w:rsidR="0019562F" w:rsidRPr="00B713EE">
        <w:rPr>
          <w:bCs/>
        </w:rPr>
        <w:t>(point 4.13 de l</w:t>
      </w:r>
      <w:r w:rsidR="007C2F80">
        <w:rPr>
          <w:bCs/>
        </w:rPr>
        <w:t>’</w:t>
      </w:r>
      <w:r w:rsidR="0019562F" w:rsidRPr="00B713EE">
        <w:rPr>
          <w:bCs/>
        </w:rPr>
        <w:t>ordre du jour)</w:t>
      </w:r>
      <w:r w:rsidRPr="00B713EE">
        <w:tab/>
      </w:r>
      <w:r w:rsidRPr="00B713EE">
        <w:tab/>
      </w:r>
      <w:r w:rsidR="008D1C0A">
        <w:t>84</w:t>
      </w:r>
      <w:r w:rsidRPr="00B713EE">
        <w:tab/>
      </w:r>
      <w:r w:rsidR="00F73881">
        <w:t>18</w:t>
      </w:r>
    </w:p>
    <w:p w:rsidR="0047572D" w:rsidRPr="00B713EE" w:rsidRDefault="0047572D" w:rsidP="0047572D">
      <w:pPr>
        <w:tabs>
          <w:tab w:val="right" w:leader="dot" w:pos="7654"/>
          <w:tab w:val="right" w:pos="8929"/>
          <w:tab w:val="right" w:pos="9638"/>
        </w:tabs>
        <w:spacing w:after="120"/>
        <w:ind w:left="1559" w:hanging="425"/>
      </w:pPr>
      <w:r w:rsidRPr="00B713EE">
        <w:t>N.</w:t>
      </w:r>
      <w:r w:rsidRPr="00B713EE">
        <w:tab/>
      </w:r>
      <w:r w:rsidR="0019562F" w:rsidRPr="00B713EE">
        <w:rPr>
          <w:rFonts w:eastAsia="SimSun"/>
        </w:rPr>
        <w:t>Propositions d</w:t>
      </w:r>
      <w:r w:rsidR="007C2F80">
        <w:rPr>
          <w:rFonts w:eastAsia="SimSun"/>
        </w:rPr>
        <w:t>’</w:t>
      </w:r>
      <w:r w:rsidR="0019562F" w:rsidRPr="00B713EE">
        <w:rPr>
          <w:rFonts w:eastAsia="SimSun"/>
        </w:rPr>
        <w:t>amendements à la Résolution d</w:t>
      </w:r>
      <w:r w:rsidR="007C2F80">
        <w:rPr>
          <w:rFonts w:eastAsia="SimSun"/>
        </w:rPr>
        <w:t>’</w:t>
      </w:r>
      <w:r w:rsidR="0019562F" w:rsidRPr="00B713EE">
        <w:rPr>
          <w:rFonts w:eastAsia="SimSun"/>
        </w:rPr>
        <w:t xml:space="preserve">ensemble </w:t>
      </w:r>
      <w:r w:rsidR="0019562F">
        <w:rPr>
          <w:rFonts w:eastAsia="SimSun"/>
        </w:rPr>
        <w:br/>
      </w:r>
      <w:r w:rsidR="0019562F" w:rsidRPr="00B713EE">
        <w:rPr>
          <w:rFonts w:eastAsia="SimSun"/>
        </w:rPr>
        <w:t xml:space="preserve">sur la construction des véhicules (R.E.3) soumises par les groupes </w:t>
      </w:r>
      <w:r w:rsidR="0019562F">
        <w:rPr>
          <w:rFonts w:eastAsia="SimSun"/>
        </w:rPr>
        <w:br/>
      </w:r>
      <w:r w:rsidR="0019562F" w:rsidRPr="00B713EE">
        <w:rPr>
          <w:rFonts w:eastAsia="SimSun"/>
        </w:rPr>
        <w:t xml:space="preserve">de travail au Forum mondial pour examen </w:t>
      </w:r>
      <w:r w:rsidR="0019562F" w:rsidRPr="00B713EE">
        <w:rPr>
          <w:rFonts w:eastAsia="SimSun"/>
          <w:bCs/>
        </w:rPr>
        <w:t>(point 4.14 de l</w:t>
      </w:r>
      <w:r w:rsidR="007C2F80">
        <w:rPr>
          <w:rFonts w:eastAsia="SimSun"/>
          <w:bCs/>
        </w:rPr>
        <w:t>’</w:t>
      </w:r>
      <w:r w:rsidR="0019562F" w:rsidRPr="00B713EE">
        <w:rPr>
          <w:rFonts w:eastAsia="SimSun"/>
          <w:bCs/>
        </w:rPr>
        <w:t>ordre du jour)</w:t>
      </w:r>
      <w:r w:rsidRPr="00B713EE">
        <w:tab/>
      </w:r>
      <w:r w:rsidRPr="00B713EE">
        <w:tab/>
      </w:r>
      <w:r w:rsidR="008D1C0A">
        <w:t>85−86</w:t>
      </w:r>
      <w:r w:rsidRPr="00B713EE">
        <w:tab/>
      </w:r>
      <w:r w:rsidR="00F73881">
        <w:t>18</w:t>
      </w:r>
    </w:p>
    <w:p w:rsidR="0047572D" w:rsidRPr="00B713EE" w:rsidRDefault="0047572D" w:rsidP="0047572D">
      <w:pPr>
        <w:tabs>
          <w:tab w:val="right" w:pos="850"/>
          <w:tab w:val="right" w:leader="dot" w:pos="7654"/>
          <w:tab w:val="right" w:pos="8929"/>
          <w:tab w:val="right" w:pos="9638"/>
        </w:tabs>
        <w:spacing w:after="120"/>
        <w:ind w:left="1134" w:hanging="1134"/>
      </w:pPr>
      <w:r w:rsidRPr="00B713EE">
        <w:tab/>
        <w:t>VII.</w:t>
      </w:r>
      <w:r w:rsidRPr="00B713EE">
        <w:tab/>
      </w:r>
      <w:r w:rsidR="0019562F" w:rsidRPr="00B713EE">
        <w:rPr>
          <w:rFonts w:eastAsia="SimSun"/>
        </w:rPr>
        <w:t>Accord de 1998 (point 5 de l</w:t>
      </w:r>
      <w:r w:rsidR="007C2F80">
        <w:rPr>
          <w:rFonts w:eastAsia="SimSun"/>
        </w:rPr>
        <w:t>’</w:t>
      </w:r>
      <w:r w:rsidR="0019562F" w:rsidRPr="00B713EE">
        <w:rPr>
          <w:rFonts w:eastAsia="SimSun"/>
        </w:rPr>
        <w:t>ordre du jour)</w:t>
      </w:r>
      <w:r w:rsidRPr="00B713EE">
        <w:tab/>
      </w:r>
      <w:r w:rsidRPr="00B713EE">
        <w:tab/>
      </w:r>
      <w:r w:rsidR="008D1C0A">
        <w:t>87−88</w:t>
      </w:r>
      <w:r w:rsidRPr="00B713EE">
        <w:tab/>
      </w:r>
      <w:r w:rsidR="00F73881">
        <w:t>18</w:t>
      </w:r>
    </w:p>
    <w:p w:rsidR="0047572D" w:rsidRPr="00B713EE" w:rsidRDefault="0047572D" w:rsidP="0047572D">
      <w:pPr>
        <w:tabs>
          <w:tab w:val="right" w:pos="850"/>
          <w:tab w:val="right" w:leader="dot" w:pos="7654"/>
          <w:tab w:val="right" w:pos="8929"/>
          <w:tab w:val="right" w:pos="9638"/>
        </w:tabs>
        <w:spacing w:after="120"/>
        <w:ind w:left="1134" w:hanging="1134"/>
      </w:pPr>
      <w:r w:rsidRPr="00B713EE">
        <w:tab/>
      </w:r>
      <w:r w:rsidRPr="00B713EE">
        <w:tab/>
      </w:r>
      <w:r w:rsidR="0019562F" w:rsidRPr="00B713EE">
        <w:rPr>
          <w:rFonts w:eastAsia="SimSun"/>
        </w:rPr>
        <w:t>État de l</w:t>
      </w:r>
      <w:r w:rsidR="007C2F80">
        <w:rPr>
          <w:rFonts w:eastAsia="SimSun"/>
        </w:rPr>
        <w:t>’</w:t>
      </w:r>
      <w:r w:rsidR="0019562F" w:rsidRPr="00B713EE">
        <w:rPr>
          <w:rFonts w:eastAsia="SimSun"/>
        </w:rPr>
        <w:t>Accord, y compris l</w:t>
      </w:r>
      <w:r w:rsidR="007C2F80">
        <w:rPr>
          <w:rFonts w:eastAsia="SimSun"/>
        </w:rPr>
        <w:t>’</w:t>
      </w:r>
      <w:r w:rsidR="0019562F" w:rsidRPr="00B713EE">
        <w:rPr>
          <w:rFonts w:eastAsia="SimSun"/>
        </w:rPr>
        <w:t xml:space="preserve">application de son paragraphe 7.1 </w:t>
      </w:r>
      <w:r w:rsidR="0019562F" w:rsidRPr="00B713EE">
        <w:rPr>
          <w:rFonts w:eastAsia="SimSun"/>
        </w:rPr>
        <w:br/>
      </w:r>
      <w:r w:rsidR="0019562F">
        <w:rPr>
          <w:rFonts w:eastAsia="SimSun"/>
        </w:rPr>
        <w:t>(point </w:t>
      </w:r>
      <w:r w:rsidR="0019562F" w:rsidRPr="00B713EE">
        <w:rPr>
          <w:rFonts w:eastAsia="SimSun"/>
        </w:rPr>
        <w:t>5.1 de l</w:t>
      </w:r>
      <w:r w:rsidR="007C2F80">
        <w:rPr>
          <w:rFonts w:eastAsia="SimSun"/>
        </w:rPr>
        <w:t>’</w:t>
      </w:r>
      <w:r w:rsidR="0019562F" w:rsidRPr="00B713EE">
        <w:rPr>
          <w:rFonts w:eastAsia="SimSun"/>
        </w:rPr>
        <w:t>ordre du jour)</w:t>
      </w:r>
      <w:r w:rsidRPr="00B713EE">
        <w:tab/>
      </w:r>
      <w:r w:rsidRPr="00B713EE">
        <w:tab/>
      </w:r>
      <w:r w:rsidR="00CC4189">
        <w:t>87−88</w:t>
      </w:r>
      <w:r w:rsidRPr="00B713EE">
        <w:tab/>
      </w:r>
      <w:r w:rsidR="00F73881">
        <w:t>18</w:t>
      </w:r>
    </w:p>
    <w:p w:rsidR="0047572D" w:rsidRPr="00B713EE" w:rsidRDefault="0047572D" w:rsidP="0047572D">
      <w:pPr>
        <w:tabs>
          <w:tab w:val="right" w:pos="850"/>
          <w:tab w:val="right" w:leader="dot" w:pos="7654"/>
          <w:tab w:val="right" w:pos="8929"/>
          <w:tab w:val="right" w:pos="9638"/>
        </w:tabs>
        <w:spacing w:after="120"/>
        <w:ind w:left="1134" w:hanging="1134"/>
      </w:pPr>
      <w:r w:rsidRPr="00B713EE">
        <w:tab/>
        <w:t>VIII.</w:t>
      </w:r>
      <w:r w:rsidRPr="00B713EE">
        <w:tab/>
      </w:r>
      <w:r w:rsidR="0019562F" w:rsidRPr="00B713EE">
        <w:rPr>
          <w:rFonts w:eastAsia="SimSun"/>
        </w:rPr>
        <w:t xml:space="preserve">Échange de vues sur les procédures législatives nationales ou régionales </w:t>
      </w:r>
      <w:r w:rsidR="0019562F">
        <w:rPr>
          <w:rFonts w:eastAsia="SimSun"/>
        </w:rPr>
        <w:br/>
      </w:r>
      <w:r w:rsidR="0019562F" w:rsidRPr="00B713EE">
        <w:rPr>
          <w:rFonts w:eastAsia="SimSun"/>
        </w:rPr>
        <w:t xml:space="preserve">et sur la transposition de Règlements et/ou des RTM existants </w:t>
      </w:r>
      <w:r w:rsidR="0019562F">
        <w:rPr>
          <w:rFonts w:eastAsia="SimSun"/>
        </w:rPr>
        <w:br/>
      </w:r>
      <w:r w:rsidR="0019562F" w:rsidRPr="00B713EE">
        <w:rPr>
          <w:rFonts w:eastAsia="SimSun"/>
        </w:rPr>
        <w:t xml:space="preserve">dans la législation </w:t>
      </w:r>
      <w:r w:rsidR="0019562F">
        <w:rPr>
          <w:rFonts w:eastAsia="SimSun"/>
        </w:rPr>
        <w:t>nationale ou régionale (point </w:t>
      </w:r>
      <w:r w:rsidR="0019562F" w:rsidRPr="00B713EE">
        <w:rPr>
          <w:rFonts w:eastAsia="SimSun"/>
        </w:rPr>
        <w:t>6 de l</w:t>
      </w:r>
      <w:r w:rsidR="007C2F80">
        <w:rPr>
          <w:rFonts w:eastAsia="SimSun"/>
        </w:rPr>
        <w:t>’</w:t>
      </w:r>
      <w:r w:rsidR="0019562F" w:rsidRPr="00B713EE">
        <w:rPr>
          <w:rFonts w:eastAsia="SimSun"/>
        </w:rPr>
        <w:t>ordre du jour)</w:t>
      </w:r>
      <w:r w:rsidRPr="00B713EE">
        <w:tab/>
      </w:r>
      <w:r w:rsidRPr="00B713EE">
        <w:tab/>
      </w:r>
      <w:r w:rsidR="00CC4189">
        <w:t>89</w:t>
      </w:r>
      <w:r w:rsidRPr="00B713EE">
        <w:tab/>
      </w:r>
      <w:r w:rsidR="00F73881">
        <w:t>18</w:t>
      </w:r>
    </w:p>
    <w:p w:rsidR="0047572D" w:rsidRPr="00B713EE" w:rsidRDefault="0047572D" w:rsidP="0047572D">
      <w:pPr>
        <w:tabs>
          <w:tab w:val="right" w:pos="850"/>
          <w:tab w:val="right" w:leader="dot" w:pos="7654"/>
          <w:tab w:val="right" w:pos="8929"/>
          <w:tab w:val="right" w:pos="9638"/>
        </w:tabs>
        <w:spacing w:after="120"/>
        <w:ind w:left="1134" w:hanging="1134"/>
      </w:pPr>
      <w:r w:rsidRPr="00B713EE">
        <w:tab/>
        <w:t>IX.</w:t>
      </w:r>
      <w:r w:rsidRPr="00B713EE">
        <w:tab/>
      </w:r>
      <w:r w:rsidR="00BD2F5E" w:rsidRPr="00B713EE">
        <w:rPr>
          <w:rFonts w:eastAsia="SimSun"/>
        </w:rPr>
        <w:t xml:space="preserve">Accord de 1997 (Contrôles techniques périodiques) </w:t>
      </w:r>
      <w:r w:rsidR="00BD2F5E" w:rsidRPr="00B713EE">
        <w:rPr>
          <w:rFonts w:eastAsia="SimSun"/>
        </w:rPr>
        <w:br/>
        <w:t>(point 7 de l</w:t>
      </w:r>
      <w:r w:rsidR="007C2F80">
        <w:rPr>
          <w:rFonts w:eastAsia="SimSun"/>
        </w:rPr>
        <w:t>’</w:t>
      </w:r>
      <w:r w:rsidR="00BD2F5E" w:rsidRPr="00B713EE">
        <w:rPr>
          <w:rFonts w:eastAsia="SimSun"/>
        </w:rPr>
        <w:t>ordre du jour)</w:t>
      </w:r>
      <w:r w:rsidRPr="00B713EE">
        <w:tab/>
      </w:r>
      <w:r w:rsidRPr="00B713EE">
        <w:tab/>
      </w:r>
      <w:r w:rsidR="00CC4189">
        <w:t>90−100</w:t>
      </w:r>
      <w:r w:rsidRPr="00B713EE">
        <w:tab/>
      </w:r>
      <w:r w:rsidR="00F73881">
        <w:t>19</w:t>
      </w:r>
    </w:p>
    <w:p w:rsidR="0047572D" w:rsidRPr="00B713EE" w:rsidRDefault="0047572D" w:rsidP="0047572D">
      <w:pPr>
        <w:tabs>
          <w:tab w:val="right" w:leader="dot" w:pos="7654"/>
          <w:tab w:val="right" w:pos="8929"/>
          <w:tab w:val="right" w:pos="9638"/>
        </w:tabs>
        <w:spacing w:after="120"/>
        <w:ind w:left="1559" w:hanging="425"/>
      </w:pPr>
      <w:r w:rsidRPr="00B713EE">
        <w:t>A.</w:t>
      </w:r>
      <w:r w:rsidRPr="00B713EE">
        <w:tab/>
      </w:r>
      <w:r w:rsidR="00BD2F5E" w:rsidRPr="00B713EE">
        <w:rPr>
          <w:rFonts w:eastAsia="SimSun"/>
        </w:rPr>
        <w:t>État de l</w:t>
      </w:r>
      <w:r w:rsidR="007C2F80">
        <w:rPr>
          <w:rFonts w:eastAsia="SimSun"/>
        </w:rPr>
        <w:t>’</w:t>
      </w:r>
      <w:r w:rsidR="00BD2F5E" w:rsidRPr="00B713EE">
        <w:rPr>
          <w:rFonts w:eastAsia="SimSun"/>
        </w:rPr>
        <w:t>Accord (point 7.1 de l</w:t>
      </w:r>
      <w:r w:rsidR="007C2F80">
        <w:rPr>
          <w:rFonts w:eastAsia="SimSun"/>
        </w:rPr>
        <w:t>’</w:t>
      </w:r>
      <w:r w:rsidR="00BD2F5E" w:rsidRPr="00B713EE">
        <w:rPr>
          <w:rFonts w:eastAsia="SimSun"/>
        </w:rPr>
        <w:t>ordre du jour)</w:t>
      </w:r>
      <w:r w:rsidRPr="00B713EE">
        <w:tab/>
      </w:r>
      <w:r w:rsidRPr="00B713EE">
        <w:tab/>
      </w:r>
      <w:r w:rsidR="00CC4189">
        <w:t>90−91</w:t>
      </w:r>
      <w:r w:rsidRPr="00B713EE">
        <w:tab/>
      </w:r>
      <w:r w:rsidR="00F73881">
        <w:t>19</w:t>
      </w:r>
    </w:p>
    <w:p w:rsidR="0047572D" w:rsidRPr="00B713EE" w:rsidRDefault="0047572D" w:rsidP="0047572D">
      <w:pPr>
        <w:tabs>
          <w:tab w:val="right" w:leader="dot" w:pos="7654"/>
          <w:tab w:val="right" w:pos="8929"/>
          <w:tab w:val="right" w:pos="9638"/>
        </w:tabs>
        <w:spacing w:after="120"/>
        <w:ind w:left="1559" w:hanging="425"/>
      </w:pPr>
      <w:r w:rsidRPr="00B713EE">
        <w:t>B.</w:t>
      </w:r>
      <w:r w:rsidRPr="00B713EE">
        <w:tab/>
      </w:r>
      <w:r w:rsidR="00BD2F5E" w:rsidRPr="00B713EE">
        <w:rPr>
          <w:rFonts w:eastAsia="SimSun"/>
        </w:rPr>
        <w:t>Mise à jour des Règles de l</w:t>
      </w:r>
      <w:r w:rsidR="007C2F80">
        <w:rPr>
          <w:rFonts w:eastAsia="SimSun"/>
        </w:rPr>
        <w:t>’</w:t>
      </w:r>
      <w:r w:rsidR="00BD2F5E" w:rsidRPr="00B713EE">
        <w:rPr>
          <w:rFonts w:eastAsia="SimSun"/>
        </w:rPr>
        <w:t xml:space="preserve">ONU </w:t>
      </w:r>
      <w:r w:rsidR="00BD2F5E" w:rsidRPr="00B713EE">
        <w:rPr>
          <w:rFonts w:eastAsia="MS Mincho"/>
        </w:rPr>
        <w:t>n</w:t>
      </w:r>
      <w:r w:rsidR="00BD2F5E" w:rsidRPr="00B713EE">
        <w:rPr>
          <w:rFonts w:eastAsia="MS Mincho"/>
          <w:vertAlign w:val="superscript"/>
        </w:rPr>
        <w:t>os</w:t>
      </w:r>
      <w:r w:rsidR="00BD2F5E" w:rsidRPr="00B713EE">
        <w:rPr>
          <w:rFonts w:eastAsia="MS Mincho"/>
        </w:rPr>
        <w:t> </w:t>
      </w:r>
      <w:r w:rsidR="00BD2F5E">
        <w:rPr>
          <w:rFonts w:eastAsia="SimSun"/>
        </w:rPr>
        <w:t>1 et 2 (point </w:t>
      </w:r>
      <w:r w:rsidR="00BD2F5E" w:rsidRPr="00B713EE">
        <w:rPr>
          <w:rFonts w:eastAsia="SimSun"/>
        </w:rPr>
        <w:t>7.2 de l</w:t>
      </w:r>
      <w:r w:rsidR="007C2F80">
        <w:rPr>
          <w:rFonts w:eastAsia="SimSun"/>
        </w:rPr>
        <w:t>’</w:t>
      </w:r>
      <w:r w:rsidR="00BD2F5E" w:rsidRPr="00B713EE">
        <w:rPr>
          <w:rFonts w:eastAsia="SimSun"/>
        </w:rPr>
        <w:t>ordre du jour)</w:t>
      </w:r>
      <w:r w:rsidRPr="00B713EE">
        <w:tab/>
      </w:r>
      <w:r w:rsidRPr="00B713EE">
        <w:tab/>
      </w:r>
      <w:r w:rsidR="00CC4189">
        <w:t>92−96</w:t>
      </w:r>
      <w:r w:rsidRPr="00B713EE">
        <w:tab/>
      </w:r>
      <w:r w:rsidR="00F73881">
        <w:t>19</w:t>
      </w:r>
    </w:p>
    <w:p w:rsidR="0047572D" w:rsidRPr="00B713EE" w:rsidRDefault="0047572D" w:rsidP="0047572D">
      <w:pPr>
        <w:tabs>
          <w:tab w:val="right" w:leader="dot" w:pos="7654"/>
          <w:tab w:val="right" w:pos="8929"/>
          <w:tab w:val="right" w:pos="9638"/>
        </w:tabs>
        <w:spacing w:after="120"/>
        <w:ind w:left="1559" w:hanging="425"/>
      </w:pPr>
      <w:r w:rsidRPr="00B713EE">
        <w:t>C.</w:t>
      </w:r>
      <w:r w:rsidRPr="00B713EE">
        <w:tab/>
      </w:r>
      <w:r w:rsidR="00BD2F5E" w:rsidRPr="00B713EE">
        <w:rPr>
          <w:rFonts w:eastAsia="SimSun"/>
        </w:rPr>
        <w:t>Élaboration de prescriptions applicables au matériel d</w:t>
      </w:r>
      <w:r w:rsidR="007C2F80">
        <w:rPr>
          <w:rFonts w:eastAsia="SimSun"/>
        </w:rPr>
        <w:t>’</w:t>
      </w:r>
      <w:r w:rsidR="00BD2F5E" w:rsidRPr="00B713EE">
        <w:rPr>
          <w:rFonts w:eastAsia="SimSun"/>
        </w:rPr>
        <w:t xml:space="preserve">essai, </w:t>
      </w:r>
      <w:r w:rsidR="00BD2F5E" w:rsidRPr="00B713EE">
        <w:rPr>
          <w:rFonts w:eastAsia="SimSun"/>
        </w:rPr>
        <w:br/>
        <w:t xml:space="preserve">aux qualifications et à la formation des inspecteurs ainsi </w:t>
      </w:r>
      <w:r w:rsidR="00BD2F5E" w:rsidRPr="00B713EE">
        <w:rPr>
          <w:rFonts w:eastAsia="SimSun"/>
        </w:rPr>
        <w:br/>
        <w:t>qu</w:t>
      </w:r>
      <w:r w:rsidR="007C2F80">
        <w:rPr>
          <w:rFonts w:eastAsia="SimSun"/>
        </w:rPr>
        <w:t>’</w:t>
      </w:r>
      <w:r w:rsidR="00BD2F5E" w:rsidRPr="00B713EE">
        <w:rPr>
          <w:rFonts w:eastAsia="SimSun"/>
        </w:rPr>
        <w:t>à la supervision des centres d</w:t>
      </w:r>
      <w:r w:rsidR="007C2F80">
        <w:rPr>
          <w:rFonts w:eastAsia="SimSun"/>
        </w:rPr>
        <w:t>’</w:t>
      </w:r>
      <w:r w:rsidR="00BD2F5E" w:rsidRPr="00B713EE">
        <w:rPr>
          <w:rFonts w:eastAsia="SimSun"/>
        </w:rPr>
        <w:t>essai (point 7.3 de l</w:t>
      </w:r>
      <w:r w:rsidR="007C2F80">
        <w:rPr>
          <w:rFonts w:eastAsia="SimSun"/>
        </w:rPr>
        <w:t>’</w:t>
      </w:r>
      <w:r w:rsidR="00BD2F5E" w:rsidRPr="00B713EE">
        <w:rPr>
          <w:rFonts w:eastAsia="SimSun"/>
        </w:rPr>
        <w:t>ordre du jour)</w:t>
      </w:r>
      <w:r w:rsidRPr="00B713EE">
        <w:tab/>
      </w:r>
      <w:r w:rsidRPr="00B713EE">
        <w:tab/>
      </w:r>
      <w:r w:rsidR="00CC4189">
        <w:t>97−100</w:t>
      </w:r>
      <w:r w:rsidRPr="00B713EE">
        <w:tab/>
      </w:r>
      <w:r w:rsidR="00F73881">
        <w:t>20</w:t>
      </w:r>
    </w:p>
    <w:p w:rsidR="0047572D" w:rsidRPr="00B713EE" w:rsidRDefault="0047572D" w:rsidP="0047572D">
      <w:pPr>
        <w:tabs>
          <w:tab w:val="right" w:pos="850"/>
          <w:tab w:val="right" w:leader="dot" w:pos="7654"/>
          <w:tab w:val="right" w:pos="8929"/>
          <w:tab w:val="right" w:pos="9638"/>
        </w:tabs>
        <w:spacing w:after="120"/>
        <w:ind w:left="1134" w:hanging="1134"/>
      </w:pPr>
      <w:r w:rsidRPr="00B713EE">
        <w:tab/>
        <w:t>X.</w:t>
      </w:r>
      <w:r w:rsidRPr="00B713EE">
        <w:tab/>
      </w:r>
      <w:r w:rsidR="00BD2F5E" w:rsidRPr="00B713EE">
        <w:t>Questions diverses (point 8 de l</w:t>
      </w:r>
      <w:r w:rsidR="007C2F80">
        <w:t>’</w:t>
      </w:r>
      <w:r w:rsidR="00BD2F5E" w:rsidRPr="00B713EE">
        <w:t>ordre du jour)</w:t>
      </w:r>
      <w:r w:rsidRPr="00B713EE">
        <w:tab/>
      </w:r>
      <w:r w:rsidRPr="00B713EE">
        <w:tab/>
      </w:r>
      <w:r w:rsidR="00CC4189">
        <w:t>101−114</w:t>
      </w:r>
      <w:r w:rsidRPr="00B713EE">
        <w:tab/>
      </w:r>
      <w:r w:rsidR="00F73881">
        <w:t>20</w:t>
      </w:r>
    </w:p>
    <w:p w:rsidR="0047572D" w:rsidRPr="00B713EE" w:rsidRDefault="0047572D" w:rsidP="0047572D">
      <w:pPr>
        <w:tabs>
          <w:tab w:val="right" w:leader="dot" w:pos="7654"/>
          <w:tab w:val="right" w:pos="8929"/>
          <w:tab w:val="right" w:pos="9638"/>
        </w:tabs>
        <w:spacing w:after="120"/>
        <w:ind w:left="1559" w:hanging="425"/>
      </w:pPr>
      <w:r w:rsidRPr="00B713EE">
        <w:t>A.</w:t>
      </w:r>
      <w:r w:rsidRPr="00B713EE">
        <w:tab/>
      </w:r>
      <w:r w:rsidR="00BD2F5E" w:rsidRPr="00B713EE">
        <w:rPr>
          <w:rFonts w:eastAsia="SimSun"/>
        </w:rPr>
        <w:t>Échange d</w:t>
      </w:r>
      <w:r w:rsidR="007C2F80">
        <w:rPr>
          <w:rFonts w:eastAsia="SimSun"/>
        </w:rPr>
        <w:t>’</w:t>
      </w:r>
      <w:r w:rsidR="00BD2F5E" w:rsidRPr="00B713EE">
        <w:rPr>
          <w:rFonts w:eastAsia="SimSun"/>
        </w:rPr>
        <w:t xml:space="preserve">informations sur les mesures appliquées en cas de défaut </w:t>
      </w:r>
      <w:r w:rsidR="00BD2F5E" w:rsidRPr="00B713EE">
        <w:rPr>
          <w:rFonts w:eastAsia="SimSun"/>
        </w:rPr>
        <w:br/>
        <w:t xml:space="preserve">et de non-conformité, notamment les systèmes de rappel </w:t>
      </w:r>
      <w:r w:rsidR="00BD2F5E" w:rsidRPr="00B713EE">
        <w:rPr>
          <w:rFonts w:eastAsia="SimSun"/>
        </w:rPr>
        <w:br/>
        <w:t>(point 8.1 de l</w:t>
      </w:r>
      <w:r w:rsidR="007C2F80">
        <w:rPr>
          <w:rFonts w:eastAsia="SimSun"/>
        </w:rPr>
        <w:t>’</w:t>
      </w:r>
      <w:r w:rsidR="00BD2F5E" w:rsidRPr="00B713EE">
        <w:rPr>
          <w:rFonts w:eastAsia="SimSun"/>
        </w:rPr>
        <w:t>ordre du jour)</w:t>
      </w:r>
      <w:r w:rsidRPr="00B713EE">
        <w:tab/>
      </w:r>
      <w:r w:rsidRPr="00B713EE">
        <w:tab/>
      </w:r>
      <w:r w:rsidR="00CC4189">
        <w:t>101−105</w:t>
      </w:r>
      <w:r w:rsidRPr="00B713EE">
        <w:tab/>
      </w:r>
      <w:r w:rsidR="00F73881">
        <w:t>20</w:t>
      </w:r>
    </w:p>
    <w:p w:rsidR="0047572D" w:rsidRPr="00B713EE" w:rsidRDefault="0047572D" w:rsidP="0047572D">
      <w:pPr>
        <w:tabs>
          <w:tab w:val="right" w:leader="dot" w:pos="7654"/>
          <w:tab w:val="right" w:pos="8929"/>
          <w:tab w:val="right" w:pos="9638"/>
        </w:tabs>
        <w:spacing w:after="120"/>
        <w:ind w:left="1559" w:hanging="425"/>
      </w:pPr>
      <w:r w:rsidRPr="00B713EE">
        <w:t>B.</w:t>
      </w:r>
      <w:r w:rsidRPr="00B713EE">
        <w:tab/>
      </w:r>
      <w:r w:rsidR="00BD2F5E" w:rsidRPr="00B713EE">
        <w:rPr>
          <w:rFonts w:eastAsia="SimSun"/>
        </w:rPr>
        <w:t xml:space="preserve">Cohérence entre les dispositions de la Convention de Vienne de 1968 </w:t>
      </w:r>
      <w:r w:rsidR="00BD2F5E" w:rsidRPr="00B713EE">
        <w:rPr>
          <w:rFonts w:eastAsia="SimSun"/>
        </w:rPr>
        <w:br/>
        <w:t xml:space="preserve">et les dispositions techniques concernant les véhicules contenues </w:t>
      </w:r>
      <w:r w:rsidR="00BD2F5E" w:rsidRPr="00B713EE">
        <w:rPr>
          <w:rFonts w:eastAsia="SimSun"/>
        </w:rPr>
        <w:br/>
        <w:t xml:space="preserve">dans les Règlements et les RTM découlant des Accords de 1958 </w:t>
      </w:r>
      <w:r w:rsidR="00BD2F5E" w:rsidRPr="00B713EE">
        <w:rPr>
          <w:rFonts w:eastAsia="SimSun"/>
        </w:rPr>
        <w:br/>
      </w:r>
      <w:r w:rsidR="00BD2F5E">
        <w:rPr>
          <w:rFonts w:eastAsia="SimSun"/>
        </w:rPr>
        <w:t>(point </w:t>
      </w:r>
      <w:r w:rsidR="00BD2F5E" w:rsidRPr="00B713EE">
        <w:rPr>
          <w:rFonts w:eastAsia="SimSun"/>
        </w:rPr>
        <w:t>8.2 de l</w:t>
      </w:r>
      <w:r w:rsidR="007C2F80">
        <w:rPr>
          <w:rFonts w:eastAsia="SimSun"/>
        </w:rPr>
        <w:t>’</w:t>
      </w:r>
      <w:r w:rsidR="00BD2F5E" w:rsidRPr="00B713EE">
        <w:rPr>
          <w:rFonts w:eastAsia="SimSun"/>
        </w:rPr>
        <w:t>ordre du jour)</w:t>
      </w:r>
      <w:r w:rsidRPr="00B713EE">
        <w:tab/>
      </w:r>
      <w:r w:rsidRPr="00B713EE">
        <w:tab/>
      </w:r>
      <w:r w:rsidR="00CC4189">
        <w:t>106</w:t>
      </w:r>
      <w:r w:rsidRPr="00B713EE">
        <w:tab/>
      </w:r>
      <w:r w:rsidR="00F73881">
        <w:t>21</w:t>
      </w:r>
    </w:p>
    <w:p w:rsidR="0047572D" w:rsidRPr="00B713EE" w:rsidRDefault="0047572D" w:rsidP="0047572D">
      <w:pPr>
        <w:tabs>
          <w:tab w:val="right" w:leader="dot" w:pos="7654"/>
          <w:tab w:val="right" w:pos="8929"/>
          <w:tab w:val="right" w:pos="9638"/>
        </w:tabs>
        <w:spacing w:after="120"/>
        <w:ind w:left="1559" w:hanging="425"/>
      </w:pPr>
      <w:r w:rsidRPr="00B713EE">
        <w:t>C.</w:t>
      </w:r>
      <w:r w:rsidRPr="00B713EE">
        <w:tab/>
      </w:r>
      <w:r w:rsidR="00BD2F5E" w:rsidRPr="00B713EE">
        <w:rPr>
          <w:rFonts w:eastAsia="SimSun"/>
        </w:rPr>
        <w:t>Proposition d</w:t>
      </w:r>
      <w:r w:rsidR="007C2F80">
        <w:rPr>
          <w:rFonts w:eastAsia="SimSun"/>
        </w:rPr>
        <w:t>’</w:t>
      </w:r>
      <w:r w:rsidR="00BD2F5E" w:rsidRPr="00B713EE">
        <w:rPr>
          <w:rFonts w:eastAsia="SimSun"/>
        </w:rPr>
        <w:t>amendements à la Résolution d</w:t>
      </w:r>
      <w:r w:rsidR="007C2F80">
        <w:rPr>
          <w:rFonts w:eastAsia="SimSun"/>
        </w:rPr>
        <w:t>’</w:t>
      </w:r>
      <w:r w:rsidR="00BD2F5E" w:rsidRPr="00B713EE">
        <w:rPr>
          <w:rFonts w:eastAsia="SimSun"/>
        </w:rPr>
        <w:t xml:space="preserve">ensemble </w:t>
      </w:r>
      <w:r w:rsidR="00BD2F5E">
        <w:rPr>
          <w:rFonts w:eastAsia="SimSun"/>
        </w:rPr>
        <w:br/>
      </w:r>
      <w:r w:rsidR="00BD2F5E" w:rsidRPr="00B713EE">
        <w:rPr>
          <w:rFonts w:eastAsia="SimSun"/>
        </w:rPr>
        <w:t>sur la constructi</w:t>
      </w:r>
      <w:r w:rsidR="00BD2F5E">
        <w:rPr>
          <w:rFonts w:eastAsia="SimSun"/>
        </w:rPr>
        <w:t>on des véhicules (R.E.3) (point </w:t>
      </w:r>
      <w:r w:rsidR="00BD2F5E" w:rsidRPr="00B713EE">
        <w:rPr>
          <w:rFonts w:eastAsia="SimSun"/>
        </w:rPr>
        <w:t>8.3 de l</w:t>
      </w:r>
      <w:r w:rsidR="007C2F80">
        <w:rPr>
          <w:rFonts w:eastAsia="SimSun"/>
        </w:rPr>
        <w:t>’</w:t>
      </w:r>
      <w:r w:rsidR="00BD2F5E" w:rsidRPr="00B713EE">
        <w:rPr>
          <w:rFonts w:eastAsia="SimSun"/>
        </w:rPr>
        <w:t>ordre du jour)</w:t>
      </w:r>
      <w:r w:rsidRPr="00B713EE">
        <w:tab/>
      </w:r>
      <w:r w:rsidRPr="00B713EE">
        <w:tab/>
      </w:r>
      <w:r w:rsidR="00CC4189">
        <w:t>107</w:t>
      </w:r>
      <w:r w:rsidRPr="00B713EE">
        <w:tab/>
      </w:r>
      <w:r w:rsidR="00012C47">
        <w:t>22</w:t>
      </w:r>
    </w:p>
    <w:p w:rsidR="0047572D" w:rsidRPr="00B713EE" w:rsidRDefault="0047572D" w:rsidP="0047572D">
      <w:pPr>
        <w:tabs>
          <w:tab w:val="right" w:leader="dot" w:pos="7654"/>
          <w:tab w:val="right" w:pos="8929"/>
          <w:tab w:val="right" w:pos="9638"/>
        </w:tabs>
        <w:spacing w:after="120"/>
        <w:ind w:left="1559" w:hanging="425"/>
      </w:pPr>
      <w:r w:rsidRPr="00B713EE">
        <w:t>D.</w:t>
      </w:r>
      <w:r w:rsidRPr="00B713EE">
        <w:tab/>
      </w:r>
      <w:r w:rsidR="00BD2F5E" w:rsidRPr="00B713EE">
        <w:t xml:space="preserve">Objectifs et indicateurs en matière de sécurité routière </w:t>
      </w:r>
      <w:r w:rsidR="00BD2F5E" w:rsidRPr="00B713EE">
        <w:br/>
        <w:t>(point 8.4 de l</w:t>
      </w:r>
      <w:r w:rsidR="007C2F80">
        <w:t>’</w:t>
      </w:r>
      <w:r w:rsidR="00BD2F5E" w:rsidRPr="00B713EE">
        <w:t>ordre du jour)</w:t>
      </w:r>
      <w:r w:rsidRPr="00B713EE">
        <w:tab/>
      </w:r>
      <w:r w:rsidRPr="00B713EE">
        <w:tab/>
      </w:r>
      <w:r w:rsidR="00CC4189">
        <w:t>108−112</w:t>
      </w:r>
      <w:r w:rsidRPr="00B713EE">
        <w:tab/>
      </w:r>
      <w:r w:rsidR="00F73881">
        <w:t>22</w:t>
      </w:r>
    </w:p>
    <w:p w:rsidR="0047572D" w:rsidRPr="00B713EE" w:rsidRDefault="0047572D" w:rsidP="0047572D">
      <w:pPr>
        <w:tabs>
          <w:tab w:val="right" w:leader="dot" w:pos="7654"/>
          <w:tab w:val="right" w:pos="8929"/>
          <w:tab w:val="right" w:pos="9638"/>
        </w:tabs>
        <w:spacing w:after="120"/>
        <w:ind w:left="1559" w:hanging="425"/>
      </w:pPr>
      <w:r w:rsidRPr="00B713EE">
        <w:t>E.</w:t>
      </w:r>
      <w:r w:rsidRPr="00B713EE">
        <w:tab/>
      </w:r>
      <w:r w:rsidR="00BD2F5E" w:rsidRPr="00B713EE">
        <w:rPr>
          <w:rFonts w:eastAsia="SimSun"/>
        </w:rPr>
        <w:t>Documents d</w:t>
      </w:r>
      <w:r w:rsidR="00BD2F5E">
        <w:rPr>
          <w:rFonts w:eastAsia="SimSun"/>
        </w:rPr>
        <w:t>estinés à la publication (point </w:t>
      </w:r>
      <w:r w:rsidR="00BD2F5E" w:rsidRPr="00B713EE">
        <w:rPr>
          <w:rFonts w:eastAsia="SimSun"/>
        </w:rPr>
        <w:t>8.5 de l</w:t>
      </w:r>
      <w:r w:rsidR="007C2F80">
        <w:rPr>
          <w:rFonts w:eastAsia="SimSun"/>
        </w:rPr>
        <w:t>’</w:t>
      </w:r>
      <w:r w:rsidR="00BD2F5E" w:rsidRPr="00B713EE">
        <w:rPr>
          <w:rFonts w:eastAsia="SimSun"/>
        </w:rPr>
        <w:t>ordre du jour)</w:t>
      </w:r>
      <w:r w:rsidRPr="00B713EE">
        <w:tab/>
      </w:r>
      <w:r w:rsidRPr="00B713EE">
        <w:tab/>
      </w:r>
      <w:r w:rsidR="00CC4189">
        <w:t>113−114</w:t>
      </w:r>
      <w:r w:rsidRPr="00B713EE">
        <w:tab/>
      </w:r>
      <w:r w:rsidR="00A97416">
        <w:t>23</w:t>
      </w:r>
    </w:p>
    <w:p w:rsidR="0047572D" w:rsidRPr="00B713EE" w:rsidRDefault="0047572D" w:rsidP="0047572D">
      <w:pPr>
        <w:tabs>
          <w:tab w:val="right" w:pos="850"/>
          <w:tab w:val="right" w:leader="dot" w:pos="7654"/>
          <w:tab w:val="right" w:pos="8929"/>
          <w:tab w:val="right" w:pos="9638"/>
        </w:tabs>
        <w:spacing w:after="120"/>
        <w:ind w:left="1134" w:hanging="1134"/>
      </w:pPr>
      <w:r w:rsidRPr="00B713EE">
        <w:tab/>
        <w:t>XI.</w:t>
      </w:r>
      <w:r w:rsidRPr="00B713EE">
        <w:tab/>
      </w:r>
      <w:r w:rsidR="00BD2F5E" w:rsidRPr="00B713EE">
        <w:rPr>
          <w:rFonts w:eastAsia="SimSun"/>
        </w:rPr>
        <w:t>Adoption du rapport (point 9 de l</w:t>
      </w:r>
      <w:r w:rsidR="007C2F80">
        <w:rPr>
          <w:rFonts w:eastAsia="SimSun"/>
        </w:rPr>
        <w:t>’</w:t>
      </w:r>
      <w:r w:rsidR="00BD2F5E" w:rsidRPr="00B713EE">
        <w:rPr>
          <w:rFonts w:eastAsia="SimSun"/>
        </w:rPr>
        <w:t>ordre du jour)</w:t>
      </w:r>
      <w:r w:rsidRPr="00B713EE">
        <w:tab/>
      </w:r>
      <w:r w:rsidRPr="00B713EE">
        <w:tab/>
      </w:r>
      <w:r w:rsidR="00CC4189">
        <w:t>115</w:t>
      </w:r>
      <w:r w:rsidRPr="00B713EE">
        <w:tab/>
      </w:r>
      <w:r w:rsidR="00F73881">
        <w:t>23</w:t>
      </w:r>
    </w:p>
    <w:p w:rsidR="0047572D" w:rsidRPr="00B713EE" w:rsidRDefault="00F26A5C" w:rsidP="001777E3">
      <w:pPr>
        <w:pStyle w:val="HChG"/>
        <w:spacing w:before="240"/>
      </w:pPr>
      <w:r w:rsidRPr="00B713EE">
        <w:tab/>
        <w:t>B.</w:t>
      </w:r>
      <w:r w:rsidRPr="00B713EE">
        <w:tab/>
      </w:r>
      <w:r w:rsidR="008D1C0A">
        <w:tab/>
      </w:r>
      <w:r w:rsidR="00BD2F5E" w:rsidRPr="00B713EE">
        <w:t>Comité d</w:t>
      </w:r>
      <w:r w:rsidR="007C2F80">
        <w:t>’</w:t>
      </w:r>
      <w:r w:rsidR="00BD2F5E" w:rsidRPr="00B713EE">
        <w:t>administration de l</w:t>
      </w:r>
      <w:r w:rsidR="007C2F80">
        <w:t>’</w:t>
      </w:r>
      <w:r w:rsidR="00BD2F5E" w:rsidRPr="00B713EE">
        <w:t>Accord de 1958 (AC.1)</w:t>
      </w:r>
    </w:p>
    <w:p w:rsidR="00F26A5C" w:rsidRPr="00B713EE" w:rsidRDefault="00F26A5C" w:rsidP="00F26A5C">
      <w:pPr>
        <w:tabs>
          <w:tab w:val="right" w:pos="850"/>
          <w:tab w:val="right" w:leader="dot" w:pos="7654"/>
          <w:tab w:val="right" w:pos="8929"/>
          <w:tab w:val="right" w:pos="9638"/>
        </w:tabs>
        <w:spacing w:after="120"/>
        <w:ind w:left="1134" w:hanging="1134"/>
      </w:pPr>
      <w:r w:rsidRPr="00B713EE">
        <w:tab/>
        <w:t>XII.</w:t>
      </w:r>
      <w:r w:rsidRPr="00B713EE">
        <w:tab/>
      </w:r>
      <w:r w:rsidR="00BD2F5E" w:rsidRPr="00B713EE">
        <w:t>Constitution du Comité (point 10 de l</w:t>
      </w:r>
      <w:r w:rsidR="007C2F80">
        <w:t>’</w:t>
      </w:r>
      <w:r w:rsidR="00BD2F5E" w:rsidRPr="00B713EE">
        <w:t>ordre du jour)</w:t>
      </w:r>
      <w:r w:rsidRPr="00B713EE">
        <w:tab/>
      </w:r>
      <w:r w:rsidRPr="00B713EE">
        <w:tab/>
      </w:r>
      <w:r w:rsidR="00CC4189">
        <w:t>116−117</w:t>
      </w:r>
      <w:r w:rsidRPr="00B713EE">
        <w:tab/>
      </w:r>
      <w:r w:rsidR="00F73881">
        <w:t>24</w:t>
      </w:r>
    </w:p>
    <w:p w:rsidR="00F26A5C" w:rsidRPr="00B713EE" w:rsidRDefault="00F26A5C" w:rsidP="00F26A5C">
      <w:pPr>
        <w:tabs>
          <w:tab w:val="right" w:pos="850"/>
          <w:tab w:val="right" w:leader="dot" w:pos="7654"/>
          <w:tab w:val="right" w:pos="8929"/>
          <w:tab w:val="right" w:pos="9638"/>
        </w:tabs>
        <w:spacing w:after="120"/>
        <w:ind w:left="1134" w:hanging="1134"/>
      </w:pPr>
      <w:r w:rsidRPr="00B713EE">
        <w:tab/>
        <w:t>XIII.</w:t>
      </w:r>
      <w:r w:rsidRPr="00B713EE">
        <w:tab/>
      </w:r>
      <w:r w:rsidR="00BD2F5E" w:rsidRPr="00B713EE">
        <w:t>Proposition d</w:t>
      </w:r>
      <w:r w:rsidR="007C2F80">
        <w:t>’</w:t>
      </w:r>
      <w:r w:rsidR="00BD2F5E" w:rsidRPr="00B713EE">
        <w:t xml:space="preserve">amendements et de rectificatifs à des Règlements existants </w:t>
      </w:r>
      <w:r w:rsidR="00BD2F5E">
        <w:br/>
      </w:r>
      <w:r w:rsidR="00BD2F5E" w:rsidRPr="00B713EE">
        <w:t>et à de nouveaux règlements − </w:t>
      </w:r>
      <w:r w:rsidR="00BD2F5E">
        <w:t>Vote de l</w:t>
      </w:r>
      <w:r w:rsidR="007C2F80">
        <w:t>’</w:t>
      </w:r>
      <w:r w:rsidR="00BD2F5E">
        <w:t>AC.1 (point </w:t>
      </w:r>
      <w:r w:rsidR="00BD2F5E" w:rsidRPr="00B713EE">
        <w:t>11 de l</w:t>
      </w:r>
      <w:r w:rsidR="007C2F80">
        <w:t>’</w:t>
      </w:r>
      <w:r w:rsidR="00BD2F5E" w:rsidRPr="00B713EE">
        <w:t>ordre du jour)</w:t>
      </w:r>
      <w:r w:rsidRPr="00B713EE">
        <w:tab/>
      </w:r>
      <w:r w:rsidRPr="00B713EE">
        <w:tab/>
      </w:r>
      <w:r w:rsidR="00CC4189">
        <w:t>118</w:t>
      </w:r>
      <w:r w:rsidRPr="00B713EE">
        <w:tab/>
      </w:r>
      <w:r w:rsidR="00F73881">
        <w:t>24</w:t>
      </w:r>
    </w:p>
    <w:p w:rsidR="00F26A5C" w:rsidRPr="00B713EE" w:rsidRDefault="00F26A5C" w:rsidP="001777E3">
      <w:pPr>
        <w:pStyle w:val="HChG"/>
        <w:spacing w:before="240"/>
      </w:pPr>
      <w:r w:rsidRPr="00B713EE">
        <w:tab/>
        <w:t>C.</w:t>
      </w:r>
      <w:r w:rsidRPr="00B713EE">
        <w:tab/>
      </w:r>
      <w:r w:rsidR="00944C10" w:rsidRPr="00B713EE">
        <w:t>Comité exécutif de l</w:t>
      </w:r>
      <w:r w:rsidR="007C2F80">
        <w:t>’</w:t>
      </w:r>
      <w:r w:rsidR="00944C10" w:rsidRPr="00B713EE">
        <w:t>Accord de 1998 (AC.3)</w:t>
      </w:r>
    </w:p>
    <w:p w:rsidR="00F26A5C" w:rsidRPr="00B713EE" w:rsidRDefault="00F26A5C" w:rsidP="00F26A5C">
      <w:pPr>
        <w:tabs>
          <w:tab w:val="right" w:pos="850"/>
          <w:tab w:val="right" w:leader="dot" w:pos="7654"/>
          <w:tab w:val="right" w:pos="8929"/>
          <w:tab w:val="right" w:pos="9638"/>
        </w:tabs>
        <w:spacing w:after="120"/>
        <w:ind w:left="1134" w:hanging="1134"/>
      </w:pPr>
      <w:r w:rsidRPr="00B713EE">
        <w:tab/>
        <w:t>XIV.</w:t>
      </w:r>
      <w:r w:rsidRPr="00B713EE">
        <w:tab/>
      </w:r>
      <w:r w:rsidR="00944C10" w:rsidRPr="00B713EE">
        <w:t xml:space="preserve">Constitution du Comité AC.3 et élection des membres du </w:t>
      </w:r>
      <w:r w:rsidR="00944C10">
        <w:t xml:space="preserve">Bureau </w:t>
      </w:r>
      <w:r w:rsidR="00944C10">
        <w:br/>
        <w:t>pour l</w:t>
      </w:r>
      <w:r w:rsidR="007C2F80">
        <w:t>’</w:t>
      </w:r>
      <w:r w:rsidR="00944C10">
        <w:t>année 2017 (point </w:t>
      </w:r>
      <w:r w:rsidR="00944C10" w:rsidRPr="00B713EE">
        <w:t>12 de l</w:t>
      </w:r>
      <w:r w:rsidR="007C2F80">
        <w:t>’</w:t>
      </w:r>
      <w:r w:rsidR="00944C10" w:rsidRPr="00B713EE">
        <w:t>ordre du jour)</w:t>
      </w:r>
      <w:r w:rsidRPr="00B713EE">
        <w:tab/>
      </w:r>
      <w:r w:rsidRPr="00B713EE">
        <w:tab/>
      </w:r>
      <w:r w:rsidR="00CC4189">
        <w:t>119−120</w:t>
      </w:r>
      <w:r w:rsidRPr="00B713EE">
        <w:tab/>
      </w:r>
      <w:r w:rsidR="00F73881">
        <w:t>28</w:t>
      </w:r>
    </w:p>
    <w:p w:rsidR="00F26A5C" w:rsidRPr="00B713EE" w:rsidRDefault="00F26A5C" w:rsidP="00F26A5C">
      <w:pPr>
        <w:tabs>
          <w:tab w:val="right" w:pos="850"/>
          <w:tab w:val="right" w:leader="dot" w:pos="7654"/>
          <w:tab w:val="right" w:pos="8929"/>
          <w:tab w:val="right" w:pos="9638"/>
        </w:tabs>
        <w:spacing w:after="120"/>
        <w:ind w:left="1134" w:hanging="1134"/>
      </w:pPr>
      <w:r w:rsidRPr="00B713EE">
        <w:tab/>
        <w:t>XV.</w:t>
      </w:r>
      <w:r w:rsidRPr="00B713EE">
        <w:tab/>
      </w:r>
      <w:r w:rsidR="00AA1154" w:rsidRPr="00B713EE">
        <w:t>Suivi de la mise en œuvre de l</w:t>
      </w:r>
      <w:r w:rsidR="007C2F80">
        <w:t>’</w:t>
      </w:r>
      <w:r w:rsidR="00AA1154" w:rsidRPr="00B713EE">
        <w:t xml:space="preserve">Accord de 1998 : rapports des Parties </w:t>
      </w:r>
      <w:r w:rsidR="00AA1154">
        <w:br/>
      </w:r>
      <w:r w:rsidR="00AA1154" w:rsidRPr="00B713EE">
        <w:t xml:space="preserve">contractantes sur la transposition des RTM et de leurs amendements </w:t>
      </w:r>
      <w:r w:rsidR="00AA1154">
        <w:br/>
      </w:r>
      <w:r w:rsidR="00AA1154" w:rsidRPr="00B713EE">
        <w:t xml:space="preserve">dans la législation nationale </w:t>
      </w:r>
      <w:r w:rsidR="00AA1154">
        <w:t>ou régionale (point </w:t>
      </w:r>
      <w:r w:rsidR="00AA1154" w:rsidRPr="00B713EE">
        <w:t>13 de l</w:t>
      </w:r>
      <w:r w:rsidR="007C2F80">
        <w:t>’</w:t>
      </w:r>
      <w:r w:rsidR="00AA1154" w:rsidRPr="00B713EE">
        <w:t>ordre du jour)</w:t>
      </w:r>
      <w:r w:rsidRPr="00B713EE">
        <w:tab/>
      </w:r>
      <w:r w:rsidRPr="00B713EE">
        <w:tab/>
      </w:r>
      <w:r w:rsidR="00CC4189">
        <w:t>121</w:t>
      </w:r>
      <w:r w:rsidRPr="00B713EE">
        <w:tab/>
      </w:r>
      <w:r w:rsidR="00F73881">
        <w:t>28</w:t>
      </w:r>
    </w:p>
    <w:p w:rsidR="00F26A5C" w:rsidRPr="00B713EE" w:rsidRDefault="00F26A5C" w:rsidP="00F26A5C">
      <w:pPr>
        <w:tabs>
          <w:tab w:val="right" w:pos="850"/>
          <w:tab w:val="right" w:leader="dot" w:pos="7654"/>
          <w:tab w:val="right" w:pos="8929"/>
          <w:tab w:val="right" w:pos="9638"/>
        </w:tabs>
        <w:spacing w:after="120"/>
        <w:ind w:left="1134" w:hanging="1134"/>
      </w:pPr>
      <w:r w:rsidRPr="00B713EE">
        <w:tab/>
        <w:t>XVI.</w:t>
      </w:r>
      <w:r w:rsidRPr="00B713EE">
        <w:tab/>
      </w:r>
      <w:r w:rsidR="00AA1154" w:rsidRPr="00B713EE">
        <w:t>Examen et vote par l</w:t>
      </w:r>
      <w:r w:rsidR="007C2F80">
        <w:t>’</w:t>
      </w:r>
      <w:r w:rsidR="00AA1154" w:rsidRPr="00B713EE">
        <w:t xml:space="preserve">AC.3 de projets de règlement techniques mondiaux </w:t>
      </w:r>
      <w:r w:rsidR="00AA1154">
        <w:br/>
      </w:r>
      <w:r w:rsidR="00AA1154" w:rsidRPr="00B713EE">
        <w:t>ou de projets d</w:t>
      </w:r>
      <w:r w:rsidR="007C2F80">
        <w:t>’</w:t>
      </w:r>
      <w:r w:rsidR="00AA1154" w:rsidRPr="00B713EE">
        <w:t>amendements à des RTM existants, le ca</w:t>
      </w:r>
      <w:r w:rsidR="00AA1154">
        <w:t xml:space="preserve">s échéant </w:t>
      </w:r>
      <w:r w:rsidR="00AA1154">
        <w:br/>
        <w:t>(point </w:t>
      </w:r>
      <w:r w:rsidR="00AA1154" w:rsidRPr="00B713EE">
        <w:t>14 de l</w:t>
      </w:r>
      <w:r w:rsidR="007C2F80">
        <w:t>’</w:t>
      </w:r>
      <w:r w:rsidR="00AA1154" w:rsidRPr="00B713EE">
        <w:t>ordre du jour)</w:t>
      </w:r>
      <w:r w:rsidRPr="00B713EE">
        <w:tab/>
      </w:r>
      <w:r w:rsidRPr="00B713EE">
        <w:tab/>
      </w:r>
      <w:r w:rsidR="00CC4189">
        <w:t>122−123</w:t>
      </w:r>
      <w:r w:rsidRPr="00B713EE">
        <w:tab/>
      </w:r>
      <w:r w:rsidR="00F73881">
        <w:t>28</w:t>
      </w:r>
    </w:p>
    <w:p w:rsidR="00F26A5C" w:rsidRPr="00B713EE" w:rsidRDefault="00F26A5C" w:rsidP="00F26A5C">
      <w:pPr>
        <w:tabs>
          <w:tab w:val="right" w:leader="dot" w:pos="7654"/>
          <w:tab w:val="right" w:pos="8929"/>
          <w:tab w:val="right" w:pos="9638"/>
        </w:tabs>
        <w:spacing w:after="120"/>
        <w:ind w:left="1559" w:hanging="425"/>
      </w:pPr>
      <w:r w:rsidRPr="00B713EE">
        <w:t>A.</w:t>
      </w:r>
      <w:r w:rsidRPr="00B713EE">
        <w:tab/>
      </w:r>
      <w:r w:rsidR="00AA1154" w:rsidRPr="00B713EE">
        <w:t xml:space="preserve">Proposition de nouveau règlement techniques mondial, le cas échéant </w:t>
      </w:r>
      <w:r w:rsidR="00AA1154">
        <w:br/>
      </w:r>
      <w:r w:rsidR="00AA1154" w:rsidRPr="00B713EE">
        <w:t>(point 14.1 de l</w:t>
      </w:r>
      <w:r w:rsidR="007C2F80">
        <w:t>’</w:t>
      </w:r>
      <w:r w:rsidR="00AA1154" w:rsidRPr="00B713EE">
        <w:t>ordre du jour)</w:t>
      </w:r>
      <w:r w:rsidRPr="00B713EE">
        <w:tab/>
      </w:r>
      <w:r w:rsidRPr="00B713EE">
        <w:tab/>
      </w:r>
      <w:r w:rsidR="00CC4189">
        <w:t>122</w:t>
      </w:r>
      <w:r w:rsidRPr="00B713EE">
        <w:tab/>
      </w:r>
      <w:r w:rsidR="00F73881">
        <w:t>28</w:t>
      </w:r>
    </w:p>
    <w:p w:rsidR="00F26A5C" w:rsidRPr="00B713EE" w:rsidRDefault="00F26A5C" w:rsidP="00F26A5C">
      <w:pPr>
        <w:tabs>
          <w:tab w:val="right" w:leader="dot" w:pos="7654"/>
          <w:tab w:val="right" w:pos="8929"/>
          <w:tab w:val="right" w:pos="9638"/>
        </w:tabs>
        <w:spacing w:after="120"/>
        <w:ind w:left="1559" w:hanging="425"/>
      </w:pPr>
      <w:r w:rsidRPr="00B713EE">
        <w:t>B.</w:t>
      </w:r>
      <w:r w:rsidRPr="00B713EE">
        <w:tab/>
      </w:r>
      <w:r w:rsidR="00AA1154" w:rsidRPr="00B713EE">
        <w:t>Proposition d</w:t>
      </w:r>
      <w:r w:rsidR="007C2F80">
        <w:t>’</w:t>
      </w:r>
      <w:r w:rsidR="00AA1154" w:rsidRPr="00B713EE">
        <w:t xml:space="preserve">amendements à un règlement technique mondial, </w:t>
      </w:r>
      <w:r w:rsidR="00AA1154" w:rsidRPr="00B713EE">
        <w:br/>
      </w:r>
      <w:r w:rsidR="00AA1154">
        <w:t>le cas échéant (point </w:t>
      </w:r>
      <w:r w:rsidR="00AA1154" w:rsidRPr="00B713EE">
        <w:t>14.2 de l</w:t>
      </w:r>
      <w:r w:rsidR="007C2F80">
        <w:t>’</w:t>
      </w:r>
      <w:r w:rsidR="00AA1154" w:rsidRPr="00B713EE">
        <w:t>ordre du jour)</w:t>
      </w:r>
      <w:r w:rsidRPr="00B713EE">
        <w:tab/>
      </w:r>
      <w:r w:rsidRPr="00B713EE">
        <w:tab/>
      </w:r>
      <w:r w:rsidR="00CC4189">
        <w:t>123</w:t>
      </w:r>
      <w:r w:rsidRPr="00B713EE">
        <w:tab/>
      </w:r>
      <w:r w:rsidR="00F73881">
        <w:t>28</w:t>
      </w:r>
    </w:p>
    <w:p w:rsidR="00F26A5C" w:rsidRPr="00B713EE" w:rsidRDefault="00F26A5C" w:rsidP="00F26A5C">
      <w:pPr>
        <w:tabs>
          <w:tab w:val="right" w:pos="850"/>
          <w:tab w:val="right" w:leader="dot" w:pos="7654"/>
          <w:tab w:val="right" w:pos="8929"/>
          <w:tab w:val="right" w:pos="9638"/>
        </w:tabs>
        <w:spacing w:after="120"/>
        <w:ind w:left="1134" w:hanging="1134"/>
      </w:pPr>
      <w:r w:rsidRPr="00B713EE">
        <w:tab/>
        <w:t>XVII.</w:t>
      </w:r>
      <w:r w:rsidRPr="00B713EE">
        <w:tab/>
      </w:r>
      <w:r w:rsidR="00EF2D08" w:rsidRPr="00B713EE">
        <w:t xml:space="preserve">Examen des éventuels Règlements techniques à inclure dans le Recueil </w:t>
      </w:r>
      <w:r w:rsidR="00EF2D08">
        <w:br/>
      </w:r>
      <w:r w:rsidR="00EF2D08" w:rsidRPr="00B713EE">
        <w:t>des règlements techniques mondiaux admissibles (point 15 de l</w:t>
      </w:r>
      <w:r w:rsidR="007C2F80">
        <w:t>’</w:t>
      </w:r>
      <w:r w:rsidR="00EF2D08" w:rsidRPr="00B713EE">
        <w:t>ordre du jour)</w:t>
      </w:r>
      <w:r w:rsidRPr="00B713EE">
        <w:tab/>
      </w:r>
      <w:r w:rsidRPr="00B713EE">
        <w:tab/>
      </w:r>
      <w:r w:rsidR="00CC4189">
        <w:t>124−125</w:t>
      </w:r>
      <w:r w:rsidRPr="00B713EE">
        <w:tab/>
      </w:r>
      <w:r w:rsidR="00F73881">
        <w:t>29</w:t>
      </w:r>
    </w:p>
    <w:p w:rsidR="00F26A5C" w:rsidRPr="00B713EE" w:rsidRDefault="00F26A5C" w:rsidP="00F26A5C">
      <w:pPr>
        <w:tabs>
          <w:tab w:val="right" w:pos="850"/>
          <w:tab w:val="right" w:leader="dot" w:pos="7654"/>
          <w:tab w:val="right" w:pos="8929"/>
          <w:tab w:val="right" w:pos="9638"/>
        </w:tabs>
        <w:spacing w:after="120"/>
        <w:ind w:left="1134" w:hanging="1134"/>
      </w:pPr>
      <w:r w:rsidRPr="00B713EE">
        <w:tab/>
      </w:r>
      <w:r w:rsidRPr="00B713EE">
        <w:tab/>
      </w:r>
      <w:r w:rsidR="00EC6A85" w:rsidRPr="00B713EE">
        <w:t>Demande d</w:t>
      </w:r>
      <w:r w:rsidR="007C2F80">
        <w:t>’</w:t>
      </w:r>
      <w:r w:rsidR="00EC6A85" w:rsidRPr="00B713EE">
        <w:t xml:space="preserve">inscription </w:t>
      </w:r>
      <w:r w:rsidR="00EC6A85" w:rsidRPr="00B713EE">
        <w:rPr>
          <w:rFonts w:eastAsia="MS Mincho"/>
        </w:rPr>
        <w:t>n</w:t>
      </w:r>
      <w:r w:rsidR="00EC6A85" w:rsidRPr="00B713EE">
        <w:rPr>
          <w:rFonts w:eastAsia="MS Mincho"/>
          <w:vertAlign w:val="superscript"/>
        </w:rPr>
        <w:t>o</w:t>
      </w:r>
      <w:r w:rsidR="00EC6A85" w:rsidRPr="00B713EE">
        <w:rPr>
          <w:rFonts w:eastAsia="MS Mincho"/>
        </w:rPr>
        <w:t> </w:t>
      </w:r>
      <w:r w:rsidR="00EC6A85" w:rsidRPr="00B713EE">
        <w:t>13 : programme de l</w:t>
      </w:r>
      <w:r w:rsidR="007C2F80">
        <w:t>’</w:t>
      </w:r>
      <w:r w:rsidR="00EC6A85" w:rsidRPr="00B713EE">
        <w:t xml:space="preserve">Agence pour la protection </w:t>
      </w:r>
      <w:r w:rsidR="00EC6A85">
        <w:br/>
      </w:r>
      <w:r w:rsidR="00EC6A85" w:rsidRPr="00B713EE">
        <w:t>de l</w:t>
      </w:r>
      <w:r w:rsidR="007C2F80">
        <w:t>’</w:t>
      </w:r>
      <w:r w:rsidR="00EC6A85" w:rsidRPr="00B713EE">
        <w:t xml:space="preserve">environnement et du Département des transports des États-Unis </w:t>
      </w:r>
      <w:r w:rsidR="00EC6A85">
        <w:br/>
      </w:r>
      <w:r w:rsidR="00EC6A85" w:rsidRPr="00B713EE">
        <w:t>d</w:t>
      </w:r>
      <w:r w:rsidR="007C2F80">
        <w:t>’</w:t>
      </w:r>
      <w:r w:rsidR="00EC6A85" w:rsidRPr="00B713EE">
        <w:t>Amérique concernant des révisions et additions s</w:t>
      </w:r>
      <w:r w:rsidR="007C2F80">
        <w:t>’</w:t>
      </w:r>
      <w:r w:rsidR="00EC6A85" w:rsidRPr="00B713EE">
        <w:t xml:space="preserve">appliquant </w:t>
      </w:r>
      <w:r w:rsidR="00EC6A85">
        <w:br/>
      </w:r>
      <w:r w:rsidR="00EC6A85" w:rsidRPr="00B713EE">
        <w:t>à l</w:t>
      </w:r>
      <w:r w:rsidR="007C2F80">
        <w:t>’</w:t>
      </w:r>
      <w:r w:rsidR="00EC6A85" w:rsidRPr="00B713EE">
        <w:t xml:space="preserve">étiquette-énergie des automobiles : nouvelles étiquettes Consommation </w:t>
      </w:r>
      <w:r w:rsidR="00EC6A85">
        <w:br/>
      </w:r>
      <w:r w:rsidR="00EC6A85" w:rsidRPr="00B713EE">
        <w:t>et Émissions pour une nouvelle</w:t>
      </w:r>
      <w:r w:rsidR="00EC6A85">
        <w:t xml:space="preserve"> génération de véhicules </w:t>
      </w:r>
      <w:r w:rsidR="00EC6A85">
        <w:br/>
        <w:t>(point </w:t>
      </w:r>
      <w:r w:rsidR="00EC6A85" w:rsidRPr="00B713EE">
        <w:t>15.1 de l</w:t>
      </w:r>
      <w:r w:rsidR="007C2F80">
        <w:t>’</w:t>
      </w:r>
      <w:r w:rsidR="00EC6A85" w:rsidRPr="00B713EE">
        <w:t>ordre du jour)</w:t>
      </w:r>
      <w:r w:rsidRPr="00B713EE">
        <w:tab/>
      </w:r>
      <w:r w:rsidRPr="00B713EE">
        <w:tab/>
      </w:r>
      <w:r w:rsidR="00CC4189">
        <w:t>125</w:t>
      </w:r>
      <w:r w:rsidRPr="00B713EE">
        <w:tab/>
      </w:r>
      <w:r w:rsidR="00F73881">
        <w:t>29</w:t>
      </w:r>
    </w:p>
    <w:p w:rsidR="00F26A5C" w:rsidRPr="00B713EE" w:rsidRDefault="00F26A5C" w:rsidP="00F26A5C">
      <w:pPr>
        <w:tabs>
          <w:tab w:val="right" w:pos="850"/>
          <w:tab w:val="right" w:leader="dot" w:pos="7654"/>
          <w:tab w:val="right" w:pos="8929"/>
          <w:tab w:val="right" w:pos="9638"/>
        </w:tabs>
        <w:spacing w:after="120"/>
        <w:ind w:left="1134" w:hanging="1134"/>
      </w:pPr>
      <w:r w:rsidRPr="00B713EE">
        <w:tab/>
        <w:t>XVIII.</w:t>
      </w:r>
      <w:r w:rsidRPr="00B713EE">
        <w:tab/>
      </w:r>
      <w:r w:rsidR="004C4F62" w:rsidRPr="00B713EE">
        <w:t xml:space="preserve">Orientations, adoptées par consensus, concernant les éventuels éléments </w:t>
      </w:r>
      <w:r w:rsidR="004C4F62">
        <w:br/>
      </w:r>
      <w:r w:rsidR="004C4F62" w:rsidRPr="00B713EE">
        <w:t>de projets de RTM qui n</w:t>
      </w:r>
      <w:r w:rsidR="007C2F80">
        <w:t>’</w:t>
      </w:r>
      <w:r w:rsidR="004C4F62" w:rsidRPr="00B713EE">
        <w:t xml:space="preserve">auraient pas été réglés par les groupes de travail </w:t>
      </w:r>
      <w:r w:rsidR="004C4F62">
        <w:br/>
      </w:r>
      <w:r w:rsidR="004C4F62" w:rsidRPr="00B713EE">
        <w:t xml:space="preserve">subsidiaires </w:t>
      </w:r>
      <w:r w:rsidR="004C4F62">
        <w:t>du Forum mondial (point </w:t>
      </w:r>
      <w:r w:rsidR="004C4F62" w:rsidRPr="00B713EE">
        <w:t>16 de l</w:t>
      </w:r>
      <w:r w:rsidR="007C2F80">
        <w:t>’</w:t>
      </w:r>
      <w:r w:rsidR="004C4F62" w:rsidRPr="00B713EE">
        <w:t>ordre du jour)</w:t>
      </w:r>
      <w:r w:rsidRPr="00B713EE">
        <w:tab/>
      </w:r>
      <w:r w:rsidRPr="00B713EE">
        <w:tab/>
      </w:r>
      <w:r w:rsidR="00CC4189">
        <w:t>126</w:t>
      </w:r>
      <w:r w:rsidRPr="00B713EE">
        <w:tab/>
      </w:r>
      <w:r w:rsidR="00F73881">
        <w:t>29</w:t>
      </w:r>
    </w:p>
    <w:p w:rsidR="00F26A5C" w:rsidRPr="00B713EE" w:rsidRDefault="00F26A5C" w:rsidP="00F26A5C">
      <w:pPr>
        <w:tabs>
          <w:tab w:val="right" w:pos="850"/>
          <w:tab w:val="right" w:leader="dot" w:pos="7654"/>
          <w:tab w:val="right" w:pos="8929"/>
          <w:tab w:val="right" w:pos="9638"/>
        </w:tabs>
        <w:spacing w:after="120"/>
        <w:ind w:left="1134" w:hanging="1134"/>
      </w:pPr>
      <w:r w:rsidRPr="00B713EE">
        <w:tab/>
        <w:t>XIX.</w:t>
      </w:r>
      <w:r w:rsidRPr="00B713EE">
        <w:tab/>
      </w:r>
      <w:r w:rsidR="0045185E" w:rsidRPr="00B713EE">
        <w:t>Échange d</w:t>
      </w:r>
      <w:r w:rsidR="007C2F80">
        <w:t>’</w:t>
      </w:r>
      <w:r w:rsidR="0045185E" w:rsidRPr="00B713EE">
        <w:t xml:space="preserve">informations sur les nouvelles priorités à inclure </w:t>
      </w:r>
      <w:r w:rsidR="0045185E">
        <w:br/>
      </w:r>
      <w:r w:rsidR="0045185E" w:rsidRPr="00B713EE">
        <w:t>dans</w:t>
      </w:r>
      <w:r w:rsidR="0045185E">
        <w:t xml:space="preserve"> le programme de travail (point </w:t>
      </w:r>
      <w:r w:rsidR="0045185E" w:rsidRPr="00B713EE">
        <w:t>17 de l</w:t>
      </w:r>
      <w:r w:rsidR="007C2F80">
        <w:t>’</w:t>
      </w:r>
      <w:r w:rsidR="0045185E" w:rsidRPr="00B713EE">
        <w:t>ordre du jour)</w:t>
      </w:r>
      <w:r w:rsidRPr="00B713EE">
        <w:tab/>
      </w:r>
      <w:r w:rsidRPr="00B713EE">
        <w:tab/>
      </w:r>
      <w:r w:rsidR="00CC4189">
        <w:t>127−140</w:t>
      </w:r>
      <w:r w:rsidRPr="00B713EE">
        <w:tab/>
      </w:r>
      <w:r w:rsidR="00F73881">
        <w:t>29</w:t>
      </w:r>
    </w:p>
    <w:p w:rsidR="00F26A5C" w:rsidRPr="00B713EE" w:rsidRDefault="00F26A5C" w:rsidP="00F26A5C">
      <w:pPr>
        <w:tabs>
          <w:tab w:val="right" w:pos="850"/>
          <w:tab w:val="right" w:leader="dot" w:pos="7654"/>
          <w:tab w:val="right" w:pos="8929"/>
          <w:tab w:val="right" w:pos="9638"/>
        </w:tabs>
        <w:spacing w:after="120"/>
        <w:ind w:left="1134" w:hanging="1134"/>
      </w:pPr>
      <w:r w:rsidRPr="00B713EE">
        <w:tab/>
        <w:t>XX.</w:t>
      </w:r>
      <w:r w:rsidRPr="00B713EE">
        <w:tab/>
      </w:r>
      <w:r w:rsidR="0045185E" w:rsidRPr="00B713EE">
        <w:t>État d</w:t>
      </w:r>
      <w:r w:rsidR="007C2F80">
        <w:t>’</w:t>
      </w:r>
      <w:r w:rsidR="0045185E" w:rsidRPr="00B713EE">
        <w:t>avancement de l</w:t>
      </w:r>
      <w:r w:rsidR="007C2F80">
        <w:t>’</w:t>
      </w:r>
      <w:r w:rsidR="0045185E" w:rsidRPr="00B713EE">
        <w:t>élaboration de nouveaux RTM et d</w:t>
      </w:r>
      <w:r w:rsidR="007C2F80">
        <w:t>’</w:t>
      </w:r>
      <w:r w:rsidR="0045185E" w:rsidRPr="00B713EE">
        <w:t xml:space="preserve">amendements </w:t>
      </w:r>
      <w:r w:rsidR="0045185E">
        <w:br/>
      </w:r>
      <w:r w:rsidR="0045185E" w:rsidRPr="00B713EE">
        <w:t xml:space="preserve">à des RTM existants </w:t>
      </w:r>
      <w:r w:rsidR="0045185E">
        <w:t>(point </w:t>
      </w:r>
      <w:r w:rsidR="0045185E" w:rsidRPr="00B713EE">
        <w:t>18 de l</w:t>
      </w:r>
      <w:r w:rsidR="007C2F80">
        <w:t>’</w:t>
      </w:r>
      <w:r w:rsidR="0045185E" w:rsidRPr="00B713EE">
        <w:t>ordre du jour)</w:t>
      </w:r>
      <w:r w:rsidRPr="00B713EE">
        <w:tab/>
      </w:r>
      <w:r w:rsidRPr="00B713EE">
        <w:tab/>
      </w:r>
      <w:r w:rsidR="00CC4189">
        <w:t>141−156</w:t>
      </w:r>
      <w:r w:rsidRPr="00B713EE">
        <w:tab/>
      </w:r>
      <w:r w:rsidR="00F73881">
        <w:t>31</w:t>
      </w:r>
    </w:p>
    <w:p w:rsidR="00F26A5C" w:rsidRPr="00B713EE" w:rsidRDefault="00F26A5C" w:rsidP="00F26A5C">
      <w:pPr>
        <w:tabs>
          <w:tab w:val="right" w:leader="dot" w:pos="7654"/>
          <w:tab w:val="right" w:pos="8929"/>
          <w:tab w:val="right" w:pos="9638"/>
        </w:tabs>
        <w:spacing w:after="120"/>
        <w:ind w:left="1559" w:hanging="425"/>
      </w:pPr>
      <w:r w:rsidRPr="00B713EE">
        <w:t>A.</w:t>
      </w:r>
      <w:r w:rsidRPr="00B713EE">
        <w:tab/>
      </w:r>
      <w:r w:rsidR="0045185E" w:rsidRPr="0045185E">
        <w:rPr>
          <w:spacing w:val="-2"/>
        </w:rPr>
        <w:t xml:space="preserve">RTM </w:t>
      </w:r>
      <w:r w:rsidR="0045185E" w:rsidRPr="0045185E">
        <w:rPr>
          <w:rFonts w:eastAsia="MS Mincho"/>
          <w:spacing w:val="-2"/>
        </w:rPr>
        <w:t>n</w:t>
      </w:r>
      <w:r w:rsidR="0045185E" w:rsidRPr="0045185E">
        <w:rPr>
          <w:rFonts w:eastAsia="MS Mincho"/>
          <w:spacing w:val="-2"/>
          <w:vertAlign w:val="superscript"/>
        </w:rPr>
        <w:t>o</w:t>
      </w:r>
      <w:r w:rsidR="0045185E" w:rsidRPr="0045185E">
        <w:rPr>
          <w:spacing w:val="-2"/>
        </w:rPr>
        <w:t> 1 (Serrures et charnières des portes) (point 18.1 de l</w:t>
      </w:r>
      <w:r w:rsidR="007C2F80">
        <w:rPr>
          <w:spacing w:val="-2"/>
        </w:rPr>
        <w:t>’</w:t>
      </w:r>
      <w:r w:rsidR="0045185E" w:rsidRPr="0045185E">
        <w:rPr>
          <w:spacing w:val="-2"/>
        </w:rPr>
        <w:t>ordre du jour)</w:t>
      </w:r>
      <w:r w:rsidRPr="0045185E">
        <w:rPr>
          <w:spacing w:val="-2"/>
        </w:rPr>
        <w:tab/>
      </w:r>
      <w:r w:rsidRPr="00B713EE">
        <w:tab/>
      </w:r>
      <w:r w:rsidR="00CC4189">
        <w:t>141</w:t>
      </w:r>
      <w:r w:rsidRPr="00B713EE">
        <w:tab/>
      </w:r>
      <w:r w:rsidR="00F73881">
        <w:t>31</w:t>
      </w:r>
    </w:p>
    <w:p w:rsidR="00F26A5C" w:rsidRPr="00B713EE" w:rsidRDefault="00F26A5C" w:rsidP="00F26A5C">
      <w:pPr>
        <w:tabs>
          <w:tab w:val="right" w:leader="dot" w:pos="7654"/>
          <w:tab w:val="right" w:pos="8929"/>
          <w:tab w:val="right" w:pos="9638"/>
        </w:tabs>
        <w:spacing w:after="120"/>
        <w:ind w:left="1559" w:hanging="425"/>
      </w:pPr>
      <w:r w:rsidRPr="00B713EE">
        <w:t>B.</w:t>
      </w:r>
      <w:r w:rsidRPr="00B713EE">
        <w:tab/>
      </w:r>
      <w:r w:rsidR="00742FB1" w:rsidRPr="00B713EE">
        <w:t xml:space="preserve">RTM </w:t>
      </w:r>
      <w:r w:rsidR="00742FB1" w:rsidRPr="00B713EE">
        <w:rPr>
          <w:rFonts w:eastAsia="MS Mincho"/>
        </w:rPr>
        <w:t>n</w:t>
      </w:r>
      <w:r w:rsidR="00742FB1" w:rsidRPr="00B713EE">
        <w:rPr>
          <w:rFonts w:eastAsia="MS Mincho"/>
          <w:vertAlign w:val="superscript"/>
        </w:rPr>
        <w:t>o</w:t>
      </w:r>
      <w:r w:rsidR="00742FB1" w:rsidRPr="00B713EE">
        <w:t> 2 (Cycle d</w:t>
      </w:r>
      <w:r w:rsidR="007C2F80">
        <w:t>’</w:t>
      </w:r>
      <w:r w:rsidR="00742FB1" w:rsidRPr="00B713EE">
        <w:t xml:space="preserve">essai mondial harmonisé de mesure des émissions </w:t>
      </w:r>
      <w:r w:rsidR="00742FB1">
        <w:br/>
        <w:t>des motocycles (WMTC)) (point </w:t>
      </w:r>
      <w:r w:rsidR="00742FB1" w:rsidRPr="00B713EE">
        <w:t>18.2 de l</w:t>
      </w:r>
      <w:r w:rsidR="007C2F80">
        <w:t>’</w:t>
      </w:r>
      <w:r w:rsidR="00742FB1" w:rsidRPr="00B713EE">
        <w:t>ordre du jour)</w:t>
      </w:r>
      <w:r w:rsidRPr="00B713EE">
        <w:tab/>
      </w:r>
      <w:r w:rsidRPr="00B713EE">
        <w:tab/>
      </w:r>
      <w:r w:rsidR="00CC4189">
        <w:t>142</w:t>
      </w:r>
      <w:r w:rsidRPr="00B713EE">
        <w:tab/>
      </w:r>
      <w:r w:rsidR="00F73881">
        <w:t>31</w:t>
      </w:r>
    </w:p>
    <w:p w:rsidR="00F26A5C" w:rsidRPr="00B713EE" w:rsidRDefault="00F26A5C" w:rsidP="00F26A5C">
      <w:pPr>
        <w:tabs>
          <w:tab w:val="right" w:leader="dot" w:pos="7654"/>
          <w:tab w:val="right" w:pos="8929"/>
          <w:tab w:val="right" w:pos="9638"/>
        </w:tabs>
        <w:spacing w:after="120"/>
        <w:ind w:left="1559" w:hanging="425"/>
      </w:pPr>
      <w:r w:rsidRPr="00B713EE">
        <w:t>C.</w:t>
      </w:r>
      <w:r w:rsidRPr="00B713EE">
        <w:tab/>
      </w:r>
      <w:r w:rsidR="00742FB1" w:rsidRPr="00B713EE">
        <w:t xml:space="preserve">RTM </w:t>
      </w:r>
      <w:r w:rsidR="00742FB1" w:rsidRPr="00B713EE">
        <w:rPr>
          <w:rFonts w:eastAsia="MS Mincho"/>
        </w:rPr>
        <w:t>n</w:t>
      </w:r>
      <w:r w:rsidR="00742FB1" w:rsidRPr="00B713EE">
        <w:rPr>
          <w:rFonts w:eastAsia="MS Mincho"/>
          <w:vertAlign w:val="superscript"/>
        </w:rPr>
        <w:t>o</w:t>
      </w:r>
      <w:r w:rsidR="00742FB1" w:rsidRPr="00B713EE">
        <w:t> 3 (</w:t>
      </w:r>
      <w:r w:rsidR="00742FB1">
        <w:t>Freinage des motocycles) (point </w:t>
      </w:r>
      <w:r w:rsidR="00742FB1" w:rsidRPr="00B713EE">
        <w:t>18.3 de l</w:t>
      </w:r>
      <w:r w:rsidR="007C2F80">
        <w:t>’</w:t>
      </w:r>
      <w:r w:rsidR="00742FB1" w:rsidRPr="00B713EE">
        <w:t>ordre du jour)</w:t>
      </w:r>
      <w:r w:rsidRPr="00B713EE">
        <w:tab/>
      </w:r>
      <w:r w:rsidRPr="00B713EE">
        <w:tab/>
      </w:r>
      <w:r w:rsidR="00CC4189">
        <w:t>143−144</w:t>
      </w:r>
      <w:r w:rsidRPr="00B713EE">
        <w:tab/>
      </w:r>
      <w:r w:rsidR="00F73881">
        <w:t>31</w:t>
      </w:r>
    </w:p>
    <w:p w:rsidR="00F26A5C" w:rsidRPr="00B713EE" w:rsidRDefault="00F26A5C" w:rsidP="00F26A5C">
      <w:pPr>
        <w:tabs>
          <w:tab w:val="right" w:leader="dot" w:pos="7654"/>
          <w:tab w:val="right" w:pos="8929"/>
          <w:tab w:val="right" w:pos="9638"/>
        </w:tabs>
        <w:spacing w:after="120"/>
        <w:ind w:left="1559" w:hanging="425"/>
      </w:pPr>
      <w:r w:rsidRPr="00B713EE">
        <w:t>D.</w:t>
      </w:r>
      <w:r w:rsidRPr="00B713EE">
        <w:tab/>
      </w:r>
      <w:r w:rsidR="00742FB1" w:rsidRPr="00B713EE">
        <w:t xml:space="preserve">RTM </w:t>
      </w:r>
      <w:r w:rsidR="00742FB1" w:rsidRPr="00B713EE">
        <w:rPr>
          <w:rFonts w:eastAsia="MS Mincho"/>
        </w:rPr>
        <w:t>n</w:t>
      </w:r>
      <w:r w:rsidR="00742FB1" w:rsidRPr="00B713EE">
        <w:rPr>
          <w:rFonts w:eastAsia="MS Mincho"/>
          <w:vertAlign w:val="superscript"/>
        </w:rPr>
        <w:t>o</w:t>
      </w:r>
      <w:r w:rsidR="00742FB1" w:rsidRPr="00B713EE">
        <w:t> 6 (Vitrages de sécurité) (point 18.4 de l</w:t>
      </w:r>
      <w:r w:rsidR="007C2F80">
        <w:t>’</w:t>
      </w:r>
      <w:r w:rsidR="00742FB1" w:rsidRPr="00B713EE">
        <w:t>ordre du jour)</w:t>
      </w:r>
      <w:r w:rsidRPr="00B713EE">
        <w:tab/>
      </w:r>
      <w:r w:rsidRPr="00B713EE">
        <w:tab/>
      </w:r>
      <w:r w:rsidR="00CC4189">
        <w:t>145</w:t>
      </w:r>
      <w:r w:rsidRPr="00B713EE">
        <w:tab/>
      </w:r>
      <w:r w:rsidR="00F73881">
        <w:t>32</w:t>
      </w:r>
    </w:p>
    <w:p w:rsidR="00F26A5C" w:rsidRPr="00B713EE" w:rsidRDefault="00F26A5C" w:rsidP="00F26A5C">
      <w:pPr>
        <w:tabs>
          <w:tab w:val="right" w:leader="dot" w:pos="7654"/>
          <w:tab w:val="right" w:pos="8929"/>
          <w:tab w:val="right" w:pos="9638"/>
        </w:tabs>
        <w:spacing w:after="120"/>
        <w:ind w:left="1559" w:hanging="425"/>
      </w:pPr>
      <w:r w:rsidRPr="00B713EE">
        <w:t>E.</w:t>
      </w:r>
      <w:r w:rsidRPr="00B713EE">
        <w:tab/>
      </w:r>
      <w:r w:rsidR="00742FB1" w:rsidRPr="00B713EE">
        <w:rPr>
          <w:color w:val="000000"/>
        </w:rPr>
        <w:t xml:space="preserve">RTM </w:t>
      </w:r>
      <w:r w:rsidR="00742FB1" w:rsidRPr="00B713EE">
        <w:rPr>
          <w:rFonts w:eastAsia="MS Mincho"/>
        </w:rPr>
        <w:t>n</w:t>
      </w:r>
      <w:r w:rsidR="00742FB1" w:rsidRPr="00B713EE">
        <w:rPr>
          <w:rFonts w:eastAsia="MS Mincho"/>
          <w:vertAlign w:val="superscript"/>
        </w:rPr>
        <w:t>o</w:t>
      </w:r>
      <w:r w:rsidR="00742FB1" w:rsidRPr="00B713EE">
        <w:t> </w:t>
      </w:r>
      <w:r w:rsidR="00742FB1" w:rsidRPr="00B713EE">
        <w:rPr>
          <w:color w:val="000000"/>
        </w:rPr>
        <w:t xml:space="preserve">7 (Appuie-tête) </w:t>
      </w:r>
      <w:r w:rsidR="00742FB1">
        <w:t>(point </w:t>
      </w:r>
      <w:r w:rsidR="00742FB1" w:rsidRPr="00B713EE">
        <w:t>18.5 de l</w:t>
      </w:r>
      <w:r w:rsidR="007C2F80">
        <w:t>’</w:t>
      </w:r>
      <w:r w:rsidR="00742FB1" w:rsidRPr="00B713EE">
        <w:t>ordre du jour)</w:t>
      </w:r>
      <w:r w:rsidRPr="00B713EE">
        <w:tab/>
      </w:r>
      <w:r w:rsidRPr="00B713EE">
        <w:tab/>
      </w:r>
      <w:r w:rsidR="00CC4189">
        <w:t>146−147</w:t>
      </w:r>
      <w:r w:rsidRPr="00B713EE">
        <w:tab/>
      </w:r>
      <w:r w:rsidR="00F73881">
        <w:t>32</w:t>
      </w:r>
    </w:p>
    <w:p w:rsidR="00F26A5C" w:rsidRPr="00B713EE" w:rsidRDefault="00F26A5C" w:rsidP="00F26A5C">
      <w:pPr>
        <w:tabs>
          <w:tab w:val="right" w:leader="dot" w:pos="7654"/>
          <w:tab w:val="right" w:pos="8929"/>
          <w:tab w:val="right" w:pos="9638"/>
        </w:tabs>
        <w:spacing w:after="120"/>
        <w:ind w:left="1559" w:hanging="425"/>
      </w:pPr>
      <w:r w:rsidRPr="00B713EE">
        <w:t>F.</w:t>
      </w:r>
      <w:r w:rsidRPr="00B713EE">
        <w:tab/>
      </w:r>
      <w:r w:rsidR="00742FB1" w:rsidRPr="00B713EE">
        <w:t xml:space="preserve">RTM </w:t>
      </w:r>
      <w:r w:rsidR="00742FB1" w:rsidRPr="00B713EE">
        <w:rPr>
          <w:rFonts w:eastAsia="MS Mincho"/>
        </w:rPr>
        <w:t>n</w:t>
      </w:r>
      <w:r w:rsidR="00742FB1" w:rsidRPr="00B713EE">
        <w:rPr>
          <w:rFonts w:eastAsia="MS Mincho"/>
          <w:vertAlign w:val="superscript"/>
        </w:rPr>
        <w:t>o</w:t>
      </w:r>
      <w:r w:rsidR="00742FB1" w:rsidRPr="00B713EE">
        <w:t> 9 (Sécurité des piétons) (point 18.6 de l</w:t>
      </w:r>
      <w:r w:rsidR="007C2F80">
        <w:t>’</w:t>
      </w:r>
      <w:r w:rsidR="00742FB1" w:rsidRPr="00B713EE">
        <w:t>ordre du jour)</w:t>
      </w:r>
      <w:r w:rsidRPr="00B713EE">
        <w:tab/>
      </w:r>
      <w:r w:rsidRPr="00B713EE">
        <w:tab/>
      </w:r>
      <w:r w:rsidR="00CC4189">
        <w:t>148−149</w:t>
      </w:r>
      <w:r w:rsidRPr="00B713EE">
        <w:tab/>
      </w:r>
      <w:r w:rsidR="00F73881">
        <w:t>32</w:t>
      </w:r>
    </w:p>
    <w:p w:rsidR="00F26A5C" w:rsidRPr="00B713EE" w:rsidRDefault="00F26A5C" w:rsidP="00F26A5C">
      <w:pPr>
        <w:tabs>
          <w:tab w:val="right" w:leader="dot" w:pos="7654"/>
          <w:tab w:val="right" w:pos="8929"/>
          <w:tab w:val="right" w:pos="9638"/>
        </w:tabs>
        <w:spacing w:after="120"/>
        <w:ind w:left="1559" w:hanging="425"/>
      </w:pPr>
      <w:r w:rsidRPr="00B713EE">
        <w:t>G.</w:t>
      </w:r>
      <w:r w:rsidRPr="00B713EE">
        <w:tab/>
      </w:r>
      <w:r w:rsidR="00742FB1" w:rsidRPr="00B713EE">
        <w:t xml:space="preserve">RTM </w:t>
      </w:r>
      <w:r w:rsidR="00742FB1" w:rsidRPr="00B713EE">
        <w:rPr>
          <w:rFonts w:eastAsia="MS Mincho"/>
        </w:rPr>
        <w:t>n</w:t>
      </w:r>
      <w:r w:rsidR="00742FB1" w:rsidRPr="00B713EE">
        <w:rPr>
          <w:rFonts w:eastAsia="MS Mincho"/>
          <w:vertAlign w:val="superscript"/>
        </w:rPr>
        <w:t>o</w:t>
      </w:r>
      <w:r w:rsidR="00742FB1" w:rsidRPr="00B713EE">
        <w:t> 15 (Procédure d</w:t>
      </w:r>
      <w:r w:rsidR="007C2F80">
        <w:t>’</w:t>
      </w:r>
      <w:r w:rsidR="00742FB1" w:rsidRPr="00B713EE">
        <w:t xml:space="preserve">essai mondiale harmonisée pour les voitures </w:t>
      </w:r>
      <w:r w:rsidR="00742FB1">
        <w:br/>
      </w:r>
      <w:r w:rsidR="00742FB1" w:rsidRPr="00B713EE">
        <w:t xml:space="preserve">particulières et véhicules utilitaires légers (WLTP) </w:t>
      </w:r>
      <w:r w:rsidR="00742FB1">
        <w:t>− Phase </w:t>
      </w:r>
      <w:r w:rsidR="00742FB1" w:rsidRPr="00B713EE">
        <w:t xml:space="preserve">2) </w:t>
      </w:r>
      <w:r w:rsidR="00742FB1" w:rsidRPr="00B713EE">
        <w:br/>
      </w:r>
      <w:r w:rsidR="00742FB1">
        <w:t>(point </w:t>
      </w:r>
      <w:r w:rsidR="00742FB1" w:rsidRPr="00B713EE">
        <w:t>18.7 de l</w:t>
      </w:r>
      <w:r w:rsidR="007C2F80">
        <w:t>’</w:t>
      </w:r>
      <w:r w:rsidR="00742FB1" w:rsidRPr="00B713EE">
        <w:t>ordre du jour)</w:t>
      </w:r>
      <w:r w:rsidRPr="00B713EE">
        <w:tab/>
      </w:r>
      <w:r w:rsidRPr="00B713EE">
        <w:tab/>
      </w:r>
      <w:r w:rsidR="00CC4189">
        <w:t>150</w:t>
      </w:r>
      <w:r w:rsidRPr="00B713EE">
        <w:tab/>
      </w:r>
      <w:r w:rsidR="00F73881">
        <w:t>33</w:t>
      </w:r>
    </w:p>
    <w:p w:rsidR="00F26A5C" w:rsidRPr="00B713EE" w:rsidRDefault="00F26A5C" w:rsidP="00F26A5C">
      <w:pPr>
        <w:tabs>
          <w:tab w:val="right" w:leader="dot" w:pos="7654"/>
          <w:tab w:val="right" w:pos="8929"/>
          <w:tab w:val="right" w:pos="9638"/>
        </w:tabs>
        <w:spacing w:after="120"/>
        <w:ind w:left="1559" w:hanging="425"/>
      </w:pPr>
      <w:r w:rsidRPr="00B713EE">
        <w:t>H.</w:t>
      </w:r>
      <w:r w:rsidRPr="00B713EE">
        <w:tab/>
      </w:r>
      <w:r w:rsidR="00742FB1" w:rsidRPr="00B713EE">
        <w:rPr>
          <w:color w:val="000000"/>
        </w:rPr>
        <w:t xml:space="preserve">RTM </w:t>
      </w:r>
      <w:r w:rsidR="00742FB1" w:rsidRPr="00B713EE">
        <w:rPr>
          <w:rFonts w:eastAsia="MS Mincho"/>
        </w:rPr>
        <w:t>n</w:t>
      </w:r>
      <w:r w:rsidR="00742FB1" w:rsidRPr="00B713EE">
        <w:rPr>
          <w:rFonts w:eastAsia="MS Mincho"/>
          <w:vertAlign w:val="superscript"/>
        </w:rPr>
        <w:t>o</w:t>
      </w:r>
      <w:r w:rsidR="00742FB1" w:rsidRPr="00B713EE">
        <w:t> </w:t>
      </w:r>
      <w:r w:rsidR="00742FB1" w:rsidRPr="00B713EE">
        <w:rPr>
          <w:color w:val="000000"/>
        </w:rPr>
        <w:t xml:space="preserve">16 (Pneumatiques) </w:t>
      </w:r>
      <w:r w:rsidR="00742FB1">
        <w:t>(point </w:t>
      </w:r>
      <w:r w:rsidR="00742FB1" w:rsidRPr="00B713EE">
        <w:t>18.8 de l</w:t>
      </w:r>
      <w:r w:rsidR="007C2F80">
        <w:t>’</w:t>
      </w:r>
      <w:r w:rsidR="00742FB1" w:rsidRPr="00B713EE">
        <w:t>ordre du jour)</w:t>
      </w:r>
      <w:r w:rsidRPr="00B713EE">
        <w:tab/>
      </w:r>
      <w:r w:rsidRPr="00B713EE">
        <w:tab/>
      </w:r>
      <w:r w:rsidR="00CC4189">
        <w:t>151−153</w:t>
      </w:r>
      <w:r w:rsidRPr="00B713EE">
        <w:tab/>
      </w:r>
      <w:r w:rsidR="00F73881">
        <w:t>33</w:t>
      </w:r>
    </w:p>
    <w:p w:rsidR="00F26A5C" w:rsidRPr="00B713EE" w:rsidRDefault="00F26A5C" w:rsidP="00F26A5C">
      <w:pPr>
        <w:tabs>
          <w:tab w:val="right" w:leader="dot" w:pos="7654"/>
          <w:tab w:val="right" w:pos="8929"/>
          <w:tab w:val="right" w:pos="9638"/>
        </w:tabs>
        <w:spacing w:after="120"/>
        <w:ind w:left="1559" w:hanging="425"/>
      </w:pPr>
      <w:r w:rsidRPr="00B713EE">
        <w:t>I.</w:t>
      </w:r>
      <w:r w:rsidRPr="00B713EE">
        <w:tab/>
      </w:r>
      <w:r w:rsidR="00742FB1" w:rsidRPr="00B713EE">
        <w:t xml:space="preserve">Projet de RTM sur la sécurité des véhicules électriques </w:t>
      </w:r>
      <w:r w:rsidR="00742FB1" w:rsidRPr="00B713EE">
        <w:br/>
      </w:r>
      <w:r w:rsidR="00742FB1">
        <w:t>(point </w:t>
      </w:r>
      <w:r w:rsidR="00742FB1" w:rsidRPr="00B713EE">
        <w:t>18.9 de l</w:t>
      </w:r>
      <w:r w:rsidR="007C2F80">
        <w:t>’</w:t>
      </w:r>
      <w:r w:rsidR="00742FB1" w:rsidRPr="00B713EE">
        <w:t>ordre du jour)</w:t>
      </w:r>
      <w:r w:rsidRPr="00B713EE">
        <w:tab/>
      </w:r>
      <w:r w:rsidRPr="00B713EE">
        <w:tab/>
      </w:r>
      <w:r w:rsidR="00CC4189">
        <w:t>154−155</w:t>
      </w:r>
      <w:r w:rsidRPr="00B713EE">
        <w:tab/>
      </w:r>
      <w:r w:rsidR="00F73881">
        <w:t>33</w:t>
      </w:r>
    </w:p>
    <w:p w:rsidR="00F26A5C" w:rsidRPr="00B713EE" w:rsidRDefault="00F26A5C" w:rsidP="00F26A5C">
      <w:pPr>
        <w:tabs>
          <w:tab w:val="right" w:leader="dot" w:pos="7654"/>
          <w:tab w:val="right" w:pos="8929"/>
          <w:tab w:val="right" w:pos="9638"/>
        </w:tabs>
        <w:spacing w:after="120"/>
        <w:ind w:left="1559" w:hanging="425"/>
      </w:pPr>
      <w:r w:rsidRPr="00B713EE">
        <w:t>J.</w:t>
      </w:r>
      <w:r w:rsidRPr="00B713EE">
        <w:tab/>
      </w:r>
      <w:r w:rsidR="00742FB1" w:rsidRPr="00B713EE">
        <w:t xml:space="preserve">Projet de RTM sur les véhicules à moteur silencieux </w:t>
      </w:r>
      <w:r w:rsidR="00742FB1" w:rsidRPr="00B713EE">
        <w:br/>
        <w:t>(point 18.10 de l</w:t>
      </w:r>
      <w:r w:rsidR="007C2F80">
        <w:t>’</w:t>
      </w:r>
      <w:r w:rsidR="00742FB1" w:rsidRPr="00B713EE">
        <w:t>ordre du jour)</w:t>
      </w:r>
      <w:r w:rsidRPr="00B713EE">
        <w:tab/>
      </w:r>
      <w:r w:rsidRPr="00B713EE">
        <w:tab/>
      </w:r>
      <w:r w:rsidR="00CC4189">
        <w:t>156</w:t>
      </w:r>
      <w:r w:rsidRPr="00B713EE">
        <w:tab/>
      </w:r>
      <w:r w:rsidR="00F73881">
        <w:t>34</w:t>
      </w:r>
    </w:p>
    <w:p w:rsidR="00F26A5C" w:rsidRPr="00B713EE" w:rsidRDefault="00F26A5C" w:rsidP="00F26A5C">
      <w:pPr>
        <w:tabs>
          <w:tab w:val="right" w:pos="850"/>
          <w:tab w:val="right" w:leader="dot" w:pos="7654"/>
          <w:tab w:val="right" w:pos="8929"/>
          <w:tab w:val="right" w:pos="9638"/>
        </w:tabs>
        <w:spacing w:after="120"/>
        <w:ind w:left="1134" w:hanging="1134"/>
      </w:pPr>
      <w:r w:rsidRPr="00B713EE">
        <w:tab/>
        <w:t>XXI.</w:t>
      </w:r>
      <w:r w:rsidRPr="00B713EE">
        <w:tab/>
      </w:r>
      <w:r w:rsidR="00742FB1" w:rsidRPr="00B713EE">
        <w:t>Questions sur lesquelles un échange de vues et de données devrait s</w:t>
      </w:r>
      <w:r w:rsidR="007C2F80">
        <w:t>’</w:t>
      </w:r>
      <w:r w:rsidR="00742FB1" w:rsidRPr="00B713EE">
        <w:t xml:space="preserve">engager </w:t>
      </w:r>
      <w:r w:rsidR="00742FB1">
        <w:br/>
      </w:r>
      <w:r w:rsidR="00742FB1" w:rsidRPr="00B713EE">
        <w:t xml:space="preserve">ou se poursuivre </w:t>
      </w:r>
      <w:r w:rsidR="00742FB1">
        <w:t>(point </w:t>
      </w:r>
      <w:r w:rsidR="00742FB1" w:rsidRPr="00B713EE">
        <w:t>19 de l</w:t>
      </w:r>
      <w:r w:rsidR="007C2F80">
        <w:t>’</w:t>
      </w:r>
      <w:r w:rsidR="00742FB1" w:rsidRPr="00B713EE">
        <w:t>ordre du jour)</w:t>
      </w:r>
      <w:r w:rsidRPr="00B713EE">
        <w:tab/>
      </w:r>
      <w:r w:rsidRPr="00B713EE">
        <w:tab/>
      </w:r>
      <w:r w:rsidR="00CC4189">
        <w:t>157−163</w:t>
      </w:r>
      <w:r w:rsidRPr="00B713EE">
        <w:tab/>
      </w:r>
      <w:r w:rsidR="00F73881">
        <w:t>34</w:t>
      </w:r>
    </w:p>
    <w:p w:rsidR="00F26A5C" w:rsidRPr="00B713EE" w:rsidRDefault="00F26A5C" w:rsidP="00F26A5C">
      <w:pPr>
        <w:tabs>
          <w:tab w:val="right" w:leader="dot" w:pos="7654"/>
          <w:tab w:val="right" w:pos="8929"/>
          <w:tab w:val="right" w:pos="9638"/>
        </w:tabs>
        <w:spacing w:after="120"/>
        <w:ind w:left="1559" w:hanging="425"/>
      </w:pPr>
      <w:r w:rsidRPr="00B713EE">
        <w:t>A.</w:t>
      </w:r>
      <w:r w:rsidRPr="00B713EE">
        <w:tab/>
      </w:r>
      <w:r w:rsidR="00742FB1" w:rsidRPr="00B713EE">
        <w:t xml:space="preserve">Harmonisation des dispositions relatives aux chocs latéraux </w:t>
      </w:r>
      <w:r w:rsidR="00742FB1" w:rsidRPr="00B713EE">
        <w:br/>
      </w:r>
      <w:r w:rsidR="00742FB1">
        <w:t>(point </w:t>
      </w:r>
      <w:r w:rsidR="00742FB1" w:rsidRPr="00B713EE">
        <w:t>19.1 de l</w:t>
      </w:r>
      <w:r w:rsidR="007C2F80">
        <w:t>’</w:t>
      </w:r>
      <w:r w:rsidR="00742FB1" w:rsidRPr="00B713EE">
        <w:t>ordre du jour)</w:t>
      </w:r>
      <w:r w:rsidRPr="00B713EE">
        <w:tab/>
      </w:r>
      <w:r w:rsidRPr="00B713EE">
        <w:tab/>
      </w:r>
      <w:r w:rsidR="00CC4189">
        <w:t>157−158</w:t>
      </w:r>
      <w:r w:rsidRPr="00B713EE">
        <w:tab/>
      </w:r>
      <w:r w:rsidR="00F73881">
        <w:t>34</w:t>
      </w:r>
    </w:p>
    <w:p w:rsidR="00F26A5C" w:rsidRPr="00B713EE" w:rsidRDefault="00F26A5C" w:rsidP="00F26A5C">
      <w:pPr>
        <w:tabs>
          <w:tab w:val="right" w:leader="dot" w:pos="7654"/>
          <w:tab w:val="right" w:pos="8929"/>
          <w:tab w:val="right" w:pos="9638"/>
        </w:tabs>
        <w:spacing w:after="120"/>
        <w:ind w:left="1984" w:hanging="425"/>
      </w:pPr>
      <w:r w:rsidRPr="00B713EE">
        <w:t>1.</w:t>
      </w:r>
      <w:r w:rsidRPr="00B713EE">
        <w:tab/>
      </w:r>
      <w:r w:rsidR="00742FB1" w:rsidRPr="00B713EE">
        <w:t>Mannequins</w:t>
      </w:r>
      <w:r w:rsidR="00742FB1">
        <w:t xml:space="preserve"> d</w:t>
      </w:r>
      <w:r w:rsidR="007C2F80">
        <w:t>’</w:t>
      </w:r>
      <w:r w:rsidR="00742FB1">
        <w:t>essai de choc latéral (point 19.1 </w:t>
      </w:r>
      <w:r w:rsidR="00742FB1" w:rsidRPr="00B713EE">
        <w:t>a) de l</w:t>
      </w:r>
      <w:r w:rsidR="007C2F80">
        <w:t>’</w:t>
      </w:r>
      <w:r w:rsidR="00742FB1" w:rsidRPr="00B713EE">
        <w:t>ordre du jour)</w:t>
      </w:r>
      <w:r w:rsidRPr="00B713EE">
        <w:tab/>
      </w:r>
      <w:r w:rsidRPr="00B713EE">
        <w:tab/>
      </w:r>
      <w:r w:rsidR="00CC4189">
        <w:t>157</w:t>
      </w:r>
      <w:r w:rsidRPr="00B713EE">
        <w:tab/>
      </w:r>
      <w:r w:rsidR="00F73881">
        <w:t>34</w:t>
      </w:r>
    </w:p>
    <w:p w:rsidR="00F26A5C" w:rsidRPr="00B713EE" w:rsidRDefault="00F26A5C" w:rsidP="00F26A5C">
      <w:pPr>
        <w:tabs>
          <w:tab w:val="right" w:leader="dot" w:pos="7654"/>
          <w:tab w:val="right" w:pos="8929"/>
          <w:tab w:val="right" w:pos="9638"/>
        </w:tabs>
        <w:spacing w:after="120"/>
        <w:ind w:left="1984" w:hanging="425"/>
      </w:pPr>
      <w:r w:rsidRPr="00B713EE">
        <w:t>2.</w:t>
      </w:r>
      <w:r w:rsidRPr="00B713EE">
        <w:tab/>
      </w:r>
      <w:r w:rsidR="00742FB1" w:rsidRPr="00B713EE">
        <w:t>Choc latér</w:t>
      </w:r>
      <w:r w:rsidR="00742FB1">
        <w:t>al contre un poteau (point 19.1 </w:t>
      </w:r>
      <w:r w:rsidR="00742FB1" w:rsidRPr="00B713EE">
        <w:t>b) de l</w:t>
      </w:r>
      <w:r w:rsidR="007C2F80">
        <w:t>’</w:t>
      </w:r>
      <w:r w:rsidR="00742FB1" w:rsidRPr="00B713EE">
        <w:t>ordre du jour)</w:t>
      </w:r>
      <w:r w:rsidRPr="00B713EE">
        <w:tab/>
      </w:r>
      <w:r w:rsidRPr="00B713EE">
        <w:tab/>
      </w:r>
      <w:r w:rsidR="00CC4189">
        <w:t>158</w:t>
      </w:r>
      <w:r w:rsidRPr="00B713EE">
        <w:tab/>
      </w:r>
      <w:r w:rsidR="00F73881">
        <w:t>34</w:t>
      </w:r>
    </w:p>
    <w:p w:rsidR="00F26A5C" w:rsidRPr="00B713EE" w:rsidRDefault="00F26A5C" w:rsidP="00F26A5C">
      <w:pPr>
        <w:tabs>
          <w:tab w:val="right" w:leader="dot" w:pos="7654"/>
          <w:tab w:val="right" w:pos="8929"/>
          <w:tab w:val="right" w:pos="9638"/>
        </w:tabs>
        <w:spacing w:after="120"/>
        <w:ind w:left="1559" w:hanging="425"/>
      </w:pPr>
      <w:r w:rsidRPr="00B713EE">
        <w:t>B.</w:t>
      </w:r>
      <w:r w:rsidRPr="00B713EE">
        <w:tab/>
      </w:r>
      <w:r w:rsidR="00742FB1" w:rsidRPr="00B713EE">
        <w:t>Véhicules élec</w:t>
      </w:r>
      <w:r w:rsidR="00742FB1">
        <w:t>triques et environnement (point </w:t>
      </w:r>
      <w:r w:rsidR="00742FB1" w:rsidRPr="00B713EE">
        <w:t>19.2 de l</w:t>
      </w:r>
      <w:r w:rsidR="007C2F80">
        <w:t>’</w:t>
      </w:r>
      <w:r w:rsidR="00742FB1" w:rsidRPr="00B713EE">
        <w:t>ordre du jour)</w:t>
      </w:r>
      <w:r w:rsidRPr="00B713EE">
        <w:tab/>
      </w:r>
      <w:r w:rsidRPr="00B713EE">
        <w:tab/>
      </w:r>
      <w:r w:rsidR="00CC4189">
        <w:t>159−160</w:t>
      </w:r>
      <w:r w:rsidRPr="00B713EE">
        <w:tab/>
      </w:r>
      <w:r w:rsidR="00F73881">
        <w:t>34</w:t>
      </w:r>
    </w:p>
    <w:p w:rsidR="00F26A5C" w:rsidRPr="00B713EE" w:rsidRDefault="00F26A5C" w:rsidP="00F26A5C">
      <w:pPr>
        <w:tabs>
          <w:tab w:val="right" w:leader="dot" w:pos="7654"/>
          <w:tab w:val="right" w:pos="8929"/>
          <w:tab w:val="right" w:pos="9638"/>
        </w:tabs>
        <w:spacing w:after="120"/>
        <w:ind w:left="1559" w:hanging="425"/>
      </w:pPr>
      <w:r w:rsidRPr="00B713EE">
        <w:t>C.</w:t>
      </w:r>
      <w:r w:rsidRPr="00B713EE">
        <w:tab/>
      </w:r>
      <w:r w:rsidR="00742FB1" w:rsidRPr="00B713EE">
        <w:t>Caractéristi</w:t>
      </w:r>
      <w:r w:rsidR="00742FB1">
        <w:t>ques de la machine 3-D H (point </w:t>
      </w:r>
      <w:r w:rsidR="00742FB1" w:rsidRPr="00B713EE">
        <w:t>19.3 de l</w:t>
      </w:r>
      <w:r w:rsidR="007C2F80">
        <w:t>’</w:t>
      </w:r>
      <w:r w:rsidR="00742FB1" w:rsidRPr="00B713EE">
        <w:t>ordre du jour)</w:t>
      </w:r>
      <w:r w:rsidRPr="00B713EE">
        <w:tab/>
      </w:r>
      <w:r w:rsidRPr="00B713EE">
        <w:tab/>
      </w:r>
      <w:r w:rsidR="00CC4189">
        <w:t>161</w:t>
      </w:r>
      <w:r w:rsidRPr="00B713EE">
        <w:tab/>
      </w:r>
      <w:r w:rsidR="00F73881">
        <w:t>35</w:t>
      </w:r>
    </w:p>
    <w:p w:rsidR="00F26A5C" w:rsidRPr="00B713EE" w:rsidRDefault="00F26A5C" w:rsidP="00F26A5C">
      <w:pPr>
        <w:tabs>
          <w:tab w:val="right" w:leader="dot" w:pos="7654"/>
          <w:tab w:val="right" w:pos="8929"/>
          <w:tab w:val="right" w:pos="9638"/>
        </w:tabs>
        <w:spacing w:after="120"/>
        <w:ind w:left="1559" w:hanging="425"/>
      </w:pPr>
      <w:r w:rsidRPr="00B713EE">
        <w:t>D.</w:t>
      </w:r>
      <w:r w:rsidRPr="00B713EE">
        <w:tab/>
      </w:r>
      <w:r w:rsidR="00742FB1" w:rsidRPr="00B713EE">
        <w:t xml:space="preserve">Véhicules à hydrogène et à pile à combustible (HFCV) (RTM </w:t>
      </w:r>
      <w:r w:rsidR="00742FB1" w:rsidRPr="00B713EE">
        <w:rPr>
          <w:rFonts w:eastAsia="MS Mincho"/>
        </w:rPr>
        <w:t>n</w:t>
      </w:r>
      <w:r w:rsidR="00742FB1" w:rsidRPr="00B713EE">
        <w:rPr>
          <w:rFonts w:eastAsia="MS Mincho"/>
          <w:vertAlign w:val="superscript"/>
        </w:rPr>
        <w:t>o</w:t>
      </w:r>
      <w:r w:rsidR="00742FB1" w:rsidRPr="00B713EE">
        <w:t xml:space="preserve"> 13) </w:t>
      </w:r>
      <w:r w:rsidR="00742FB1">
        <w:br/>
      </w:r>
      <w:r w:rsidR="00742FB1" w:rsidRPr="00B713EE">
        <w:t>− </w:t>
      </w:r>
      <w:r w:rsidR="00742FB1">
        <w:t>Phase 2 (point </w:t>
      </w:r>
      <w:r w:rsidR="00742FB1" w:rsidRPr="00B713EE">
        <w:t>19.4 de l</w:t>
      </w:r>
      <w:r w:rsidR="007C2F80">
        <w:t>’</w:t>
      </w:r>
      <w:r w:rsidR="00742FB1" w:rsidRPr="00B713EE">
        <w:t>ordre du jour)</w:t>
      </w:r>
      <w:r w:rsidRPr="00B713EE">
        <w:tab/>
      </w:r>
      <w:r w:rsidRPr="00B713EE">
        <w:tab/>
      </w:r>
      <w:r w:rsidR="00CC4189">
        <w:t>162−163</w:t>
      </w:r>
      <w:r w:rsidRPr="00B713EE">
        <w:tab/>
      </w:r>
      <w:r w:rsidR="00F73881">
        <w:t>35</w:t>
      </w:r>
    </w:p>
    <w:p w:rsidR="00F26A5C" w:rsidRPr="00B713EE" w:rsidRDefault="00F26A5C" w:rsidP="00F26A5C">
      <w:pPr>
        <w:tabs>
          <w:tab w:val="right" w:pos="850"/>
          <w:tab w:val="right" w:leader="dot" w:pos="7654"/>
          <w:tab w:val="right" w:pos="8929"/>
          <w:tab w:val="right" w:pos="9638"/>
        </w:tabs>
        <w:spacing w:after="120"/>
        <w:ind w:left="1134" w:hanging="1134"/>
      </w:pPr>
      <w:r w:rsidRPr="00B713EE">
        <w:tab/>
        <w:t>XXII.</w:t>
      </w:r>
      <w:r w:rsidRPr="00B713EE">
        <w:tab/>
      </w:r>
      <w:r w:rsidR="00742FB1" w:rsidRPr="00B713EE">
        <w:t>Questions diverses (point 20 de l</w:t>
      </w:r>
      <w:r w:rsidR="007C2F80">
        <w:t>’</w:t>
      </w:r>
      <w:r w:rsidR="00742FB1" w:rsidRPr="00B713EE">
        <w:t>ordre du jour)</w:t>
      </w:r>
      <w:r w:rsidRPr="00B713EE">
        <w:tab/>
      </w:r>
      <w:r w:rsidRPr="00B713EE">
        <w:tab/>
      </w:r>
      <w:r w:rsidR="00CC4189">
        <w:t>164−166</w:t>
      </w:r>
      <w:r w:rsidRPr="00B713EE">
        <w:tab/>
      </w:r>
      <w:r w:rsidR="00F73881">
        <w:t>35</w:t>
      </w:r>
    </w:p>
    <w:p w:rsidR="00F26A5C" w:rsidRPr="00B713EE" w:rsidRDefault="00F26A5C" w:rsidP="00F26A5C">
      <w:pPr>
        <w:tabs>
          <w:tab w:val="right" w:pos="850"/>
          <w:tab w:val="right" w:leader="dot" w:pos="7654"/>
          <w:tab w:val="right" w:pos="8929"/>
          <w:tab w:val="right" w:pos="9638"/>
        </w:tabs>
        <w:spacing w:after="120"/>
        <w:ind w:left="1134" w:hanging="1134"/>
      </w:pPr>
      <w:r w:rsidRPr="00B713EE">
        <w:tab/>
      </w:r>
      <w:r w:rsidRPr="00B713EE">
        <w:tab/>
      </w:r>
      <w:r w:rsidR="00742FB1" w:rsidRPr="00B713EE">
        <w:t>Proposition d</w:t>
      </w:r>
      <w:r w:rsidR="007C2F80">
        <w:t>’</w:t>
      </w:r>
      <w:r w:rsidR="00742FB1" w:rsidRPr="00B713EE">
        <w:t xml:space="preserve">amendements à la Résolution spéciale </w:t>
      </w:r>
      <w:r w:rsidR="00742FB1" w:rsidRPr="00B713EE">
        <w:rPr>
          <w:rFonts w:eastAsia="MS Mincho"/>
        </w:rPr>
        <w:t>n</w:t>
      </w:r>
      <w:r w:rsidR="00742FB1" w:rsidRPr="00B713EE">
        <w:rPr>
          <w:rFonts w:eastAsia="MS Mincho"/>
          <w:vertAlign w:val="superscript"/>
        </w:rPr>
        <w:t>o</w:t>
      </w:r>
      <w:r w:rsidR="00742FB1" w:rsidRPr="00B713EE">
        <w:t xml:space="preserve"> 2 </w:t>
      </w:r>
      <w:r w:rsidR="00742FB1">
        <w:br/>
        <w:t>(point </w:t>
      </w:r>
      <w:r w:rsidR="00742FB1" w:rsidRPr="00B713EE">
        <w:t>20.1 de l</w:t>
      </w:r>
      <w:r w:rsidR="007C2F80">
        <w:t>’</w:t>
      </w:r>
      <w:r w:rsidR="00742FB1" w:rsidRPr="00B713EE">
        <w:t>ordre du jour)</w:t>
      </w:r>
      <w:r w:rsidRPr="00B713EE">
        <w:tab/>
      </w:r>
      <w:r w:rsidRPr="00B713EE">
        <w:tab/>
      </w:r>
      <w:r w:rsidR="00CC4189">
        <w:t>164−166</w:t>
      </w:r>
      <w:r w:rsidRPr="00B713EE">
        <w:tab/>
      </w:r>
      <w:r w:rsidR="00F73881">
        <w:t>35</w:t>
      </w:r>
    </w:p>
    <w:p w:rsidR="00F26A5C" w:rsidRPr="00B713EE" w:rsidRDefault="00F26A5C" w:rsidP="001777E3">
      <w:pPr>
        <w:pStyle w:val="HChG"/>
        <w:spacing w:before="240"/>
      </w:pPr>
      <w:r w:rsidRPr="00B713EE">
        <w:tab/>
        <w:t>D.</w:t>
      </w:r>
      <w:r w:rsidRPr="00B713EE">
        <w:tab/>
      </w:r>
      <w:r w:rsidR="00742FB1" w:rsidRPr="00B713EE">
        <w:t>Comité d</w:t>
      </w:r>
      <w:r w:rsidR="007C2F80">
        <w:t>’</w:t>
      </w:r>
      <w:r w:rsidR="00742FB1" w:rsidRPr="00B713EE">
        <w:t>administration de l</w:t>
      </w:r>
      <w:r w:rsidR="007C2F80">
        <w:t>’</w:t>
      </w:r>
      <w:r w:rsidR="00742FB1" w:rsidRPr="00B713EE">
        <w:t>Accord de 1997 (AC.4)</w:t>
      </w:r>
    </w:p>
    <w:p w:rsidR="00F26A5C" w:rsidRPr="00B713EE" w:rsidRDefault="00F26A5C" w:rsidP="00F26A5C">
      <w:pPr>
        <w:tabs>
          <w:tab w:val="right" w:pos="850"/>
          <w:tab w:val="right" w:leader="dot" w:pos="7654"/>
          <w:tab w:val="right" w:pos="8929"/>
          <w:tab w:val="right" w:pos="9638"/>
        </w:tabs>
        <w:spacing w:after="120"/>
        <w:ind w:left="1134" w:hanging="1134"/>
      </w:pPr>
      <w:r w:rsidRPr="00B713EE">
        <w:tab/>
        <w:t>XXIII.</w:t>
      </w:r>
      <w:r w:rsidRPr="00B713EE">
        <w:tab/>
      </w:r>
      <w:r w:rsidR="00742FB1" w:rsidRPr="00B713EE">
        <w:t xml:space="preserve">Constitution du Comité et élection du Bureau </w:t>
      </w:r>
      <w:r w:rsidR="00742FB1">
        <w:t>pour l</w:t>
      </w:r>
      <w:r w:rsidR="007C2F80">
        <w:t>’</w:t>
      </w:r>
      <w:r w:rsidR="00742FB1">
        <w:t xml:space="preserve">année 2017 </w:t>
      </w:r>
      <w:r w:rsidR="00742FB1">
        <w:br/>
        <w:t>(point </w:t>
      </w:r>
      <w:r w:rsidR="00742FB1" w:rsidRPr="00B713EE">
        <w:t>21 de l</w:t>
      </w:r>
      <w:r w:rsidR="007C2F80">
        <w:t>’</w:t>
      </w:r>
      <w:r w:rsidR="00742FB1" w:rsidRPr="00B713EE">
        <w:t>ordre du jour)</w:t>
      </w:r>
      <w:r w:rsidRPr="00B713EE">
        <w:tab/>
      </w:r>
      <w:r w:rsidRPr="00B713EE">
        <w:tab/>
      </w:r>
      <w:r w:rsidR="00CC4189">
        <w:t>167−169</w:t>
      </w:r>
      <w:r w:rsidRPr="00B713EE">
        <w:tab/>
      </w:r>
      <w:r w:rsidR="00F73881">
        <w:t>36</w:t>
      </w:r>
    </w:p>
    <w:p w:rsidR="00F26A5C" w:rsidRPr="00B713EE" w:rsidRDefault="00F26A5C" w:rsidP="00F26A5C">
      <w:pPr>
        <w:tabs>
          <w:tab w:val="right" w:pos="850"/>
          <w:tab w:val="right" w:leader="dot" w:pos="7654"/>
          <w:tab w:val="right" w:pos="8929"/>
          <w:tab w:val="right" w:pos="9638"/>
        </w:tabs>
        <w:spacing w:after="120"/>
        <w:ind w:left="1134" w:hanging="1134"/>
      </w:pPr>
      <w:r w:rsidRPr="00B713EE">
        <w:tab/>
        <w:t>XXIV.</w:t>
      </w:r>
      <w:r w:rsidRPr="00B713EE">
        <w:tab/>
      </w:r>
      <w:r w:rsidR="00742FB1" w:rsidRPr="00B713EE">
        <w:t xml:space="preserve">Amendements aux Règles </w:t>
      </w:r>
      <w:r w:rsidR="00742FB1" w:rsidRPr="00B713EE">
        <w:rPr>
          <w:rFonts w:eastAsia="MS Mincho"/>
        </w:rPr>
        <w:t>n</w:t>
      </w:r>
      <w:r w:rsidR="00742FB1" w:rsidRPr="00B713EE">
        <w:rPr>
          <w:rFonts w:eastAsia="MS Mincho"/>
          <w:vertAlign w:val="superscript"/>
        </w:rPr>
        <w:t>os</w:t>
      </w:r>
      <w:r w:rsidR="00742FB1" w:rsidRPr="00B713EE">
        <w:t> 1 et 2 (point 22 de l</w:t>
      </w:r>
      <w:r w:rsidR="007C2F80">
        <w:t>’</w:t>
      </w:r>
      <w:r w:rsidR="00742FB1" w:rsidRPr="00B713EE">
        <w:t>ordre du jour)</w:t>
      </w:r>
      <w:r w:rsidRPr="00B713EE">
        <w:tab/>
      </w:r>
      <w:r w:rsidRPr="00B713EE">
        <w:tab/>
      </w:r>
      <w:r w:rsidR="00CC4189">
        <w:t>170</w:t>
      </w:r>
      <w:r w:rsidRPr="00B713EE">
        <w:tab/>
      </w:r>
      <w:r w:rsidR="00F73881">
        <w:t>36</w:t>
      </w:r>
    </w:p>
    <w:p w:rsidR="00F26A5C" w:rsidRPr="00B713EE" w:rsidRDefault="00F26A5C" w:rsidP="00F26A5C">
      <w:pPr>
        <w:tabs>
          <w:tab w:val="right" w:pos="850"/>
          <w:tab w:val="right" w:leader="dot" w:pos="7654"/>
          <w:tab w:val="right" w:pos="8929"/>
          <w:tab w:val="right" w:pos="9638"/>
        </w:tabs>
        <w:spacing w:after="120"/>
        <w:ind w:left="1134" w:hanging="1134"/>
      </w:pPr>
      <w:r w:rsidRPr="00B713EE">
        <w:tab/>
        <w:t>XXV.</w:t>
      </w:r>
      <w:r w:rsidRPr="00B713EE">
        <w:tab/>
      </w:r>
      <w:r w:rsidR="00742FB1" w:rsidRPr="00B713EE">
        <w:t>Élaboration de prescriptions applicables au matériel d</w:t>
      </w:r>
      <w:r w:rsidR="007C2F80">
        <w:t>’</w:t>
      </w:r>
      <w:r w:rsidR="00742FB1" w:rsidRPr="00B713EE">
        <w:t xml:space="preserve">essai, aux qualifications </w:t>
      </w:r>
      <w:r w:rsidR="00742FB1">
        <w:br/>
      </w:r>
      <w:r w:rsidR="00742FB1" w:rsidRPr="00B713EE">
        <w:t>et à la formation des inspecteurs et à la supervision des centres d</w:t>
      </w:r>
      <w:r w:rsidR="007C2F80">
        <w:t>’</w:t>
      </w:r>
      <w:r w:rsidR="00742FB1" w:rsidRPr="00B713EE">
        <w:t xml:space="preserve">essai </w:t>
      </w:r>
      <w:r w:rsidR="00742FB1">
        <w:br/>
      </w:r>
      <w:r w:rsidR="00742FB1" w:rsidRPr="00B713EE">
        <w:t>(point 23 de l</w:t>
      </w:r>
      <w:r w:rsidR="007C2F80">
        <w:t>’</w:t>
      </w:r>
      <w:r w:rsidR="00742FB1" w:rsidRPr="00B713EE">
        <w:t>ordre du jour)</w:t>
      </w:r>
      <w:r w:rsidRPr="00B713EE">
        <w:tab/>
      </w:r>
      <w:r w:rsidRPr="00B713EE">
        <w:tab/>
      </w:r>
      <w:r w:rsidR="00CC4189">
        <w:t>171</w:t>
      </w:r>
      <w:r w:rsidRPr="00B713EE">
        <w:tab/>
      </w:r>
      <w:r w:rsidR="00F73881">
        <w:t>36</w:t>
      </w:r>
    </w:p>
    <w:p w:rsidR="00F26A5C" w:rsidRPr="00B713EE" w:rsidRDefault="00F26A5C" w:rsidP="00F26A5C">
      <w:pPr>
        <w:tabs>
          <w:tab w:val="right" w:pos="850"/>
          <w:tab w:val="right" w:leader="dot" w:pos="7654"/>
          <w:tab w:val="right" w:pos="8929"/>
          <w:tab w:val="right" w:pos="9638"/>
        </w:tabs>
        <w:spacing w:after="120"/>
        <w:ind w:left="1134" w:hanging="1134"/>
      </w:pPr>
      <w:r w:rsidRPr="00B713EE">
        <w:tab/>
        <w:t>XXVI.</w:t>
      </w:r>
      <w:r w:rsidRPr="00B713EE">
        <w:tab/>
      </w:r>
      <w:r w:rsidR="00742FB1" w:rsidRPr="00B713EE">
        <w:t>Questions diverses (point 24 de l</w:t>
      </w:r>
      <w:r w:rsidR="007C2F80">
        <w:t>’</w:t>
      </w:r>
      <w:r w:rsidR="00742FB1" w:rsidRPr="00B713EE">
        <w:t>ordre du jour)</w:t>
      </w:r>
      <w:r w:rsidRPr="00B713EE">
        <w:tab/>
      </w:r>
      <w:r w:rsidRPr="00B713EE">
        <w:tab/>
      </w:r>
      <w:r w:rsidR="00CC4189">
        <w:t>172</w:t>
      </w:r>
      <w:r w:rsidRPr="00B713EE">
        <w:tab/>
      </w:r>
      <w:r w:rsidR="00F73881">
        <w:t>36</w:t>
      </w:r>
    </w:p>
    <w:p w:rsidR="00CD04C1" w:rsidRPr="00B713EE" w:rsidRDefault="00CD04C1" w:rsidP="00CD04C1">
      <w:pPr>
        <w:tabs>
          <w:tab w:val="right" w:pos="850"/>
        </w:tabs>
        <w:spacing w:after="120"/>
      </w:pPr>
      <w:r w:rsidRPr="00B713EE">
        <w:tab/>
        <w:t>Annexes</w:t>
      </w:r>
    </w:p>
    <w:p w:rsidR="00CD04C1" w:rsidRPr="00B713EE" w:rsidRDefault="00CD04C1" w:rsidP="00CD04C1">
      <w:pPr>
        <w:tabs>
          <w:tab w:val="right" w:pos="850"/>
          <w:tab w:val="right" w:leader="dot" w:pos="8929"/>
          <w:tab w:val="right" w:pos="9638"/>
        </w:tabs>
        <w:spacing w:after="120"/>
        <w:ind w:left="1134" w:hanging="1134"/>
      </w:pPr>
      <w:r w:rsidRPr="00B713EE">
        <w:tab/>
        <w:t>I.</w:t>
      </w:r>
      <w:r w:rsidRPr="00B713EE">
        <w:tab/>
      </w:r>
      <w:r w:rsidR="00742FB1" w:rsidRPr="00B713EE">
        <w:t>Liste des documents informels (WP.29-171…) distribués sans cote lors de la 171</w:t>
      </w:r>
      <w:r w:rsidR="00742FB1" w:rsidRPr="00B713EE">
        <w:rPr>
          <w:vertAlign w:val="superscript"/>
        </w:rPr>
        <w:t>e</w:t>
      </w:r>
      <w:r w:rsidR="00742FB1" w:rsidRPr="00B713EE">
        <w:t> session</w:t>
      </w:r>
      <w:r w:rsidRPr="00B713EE">
        <w:tab/>
      </w:r>
      <w:r w:rsidRPr="00B713EE">
        <w:tab/>
      </w:r>
      <w:r w:rsidR="00F73881">
        <w:t>37</w:t>
      </w:r>
    </w:p>
    <w:p w:rsidR="00F26A5C" w:rsidRPr="00B713EE" w:rsidRDefault="00F26A5C" w:rsidP="00F26A5C">
      <w:pPr>
        <w:tabs>
          <w:tab w:val="right" w:pos="850"/>
          <w:tab w:val="right" w:leader="dot" w:pos="8929"/>
          <w:tab w:val="right" w:pos="9638"/>
        </w:tabs>
        <w:spacing w:after="120"/>
        <w:ind w:left="1134" w:hanging="1134"/>
      </w:pPr>
      <w:r w:rsidRPr="00B713EE">
        <w:tab/>
        <w:t>II.</w:t>
      </w:r>
      <w:r w:rsidRPr="00B713EE">
        <w:tab/>
      </w:r>
      <w:r w:rsidR="00742FB1" w:rsidRPr="00B713EE">
        <w:t>État de l</w:t>
      </w:r>
      <w:r w:rsidR="007C2F80">
        <w:t>’</w:t>
      </w:r>
      <w:r w:rsidR="00742FB1" w:rsidRPr="00B713EE">
        <w:t>Accord de 1998, du Registre mondial et du Recueil de Règlements admissibles</w:t>
      </w:r>
      <w:r w:rsidRPr="00B713EE">
        <w:tab/>
      </w:r>
      <w:r w:rsidRPr="00B713EE">
        <w:tab/>
      </w:r>
      <w:r w:rsidR="00F73881">
        <w:t>40</w:t>
      </w:r>
    </w:p>
    <w:p w:rsidR="00F26A5C" w:rsidRPr="00B713EE" w:rsidRDefault="00F26A5C" w:rsidP="00F26A5C">
      <w:pPr>
        <w:tabs>
          <w:tab w:val="right" w:pos="850"/>
          <w:tab w:val="right" w:leader="dot" w:pos="8929"/>
          <w:tab w:val="right" w:pos="9638"/>
        </w:tabs>
        <w:spacing w:after="120"/>
        <w:ind w:left="1134" w:hanging="1134"/>
      </w:pPr>
      <w:r w:rsidRPr="00B713EE">
        <w:tab/>
        <w:t>III.</w:t>
      </w:r>
      <w:r w:rsidRPr="00B713EE">
        <w:tab/>
      </w:r>
      <w:r w:rsidR="00742FB1" w:rsidRPr="00B713EE">
        <w:t>Forum mondial de l</w:t>
      </w:r>
      <w:r w:rsidR="007C2F80">
        <w:t>’</w:t>
      </w:r>
      <w:r w:rsidR="00742FB1" w:rsidRPr="00B713EE">
        <w:t>harmonisation des Règlements c</w:t>
      </w:r>
      <w:r w:rsidR="00742FB1">
        <w:t>oncernant les véhicules (WP.29) </w:t>
      </w:r>
      <w:r w:rsidR="00742FB1" w:rsidRPr="00B713EE">
        <w:t xml:space="preserve">: </w:t>
      </w:r>
      <w:r w:rsidR="00742FB1">
        <w:br/>
      </w:r>
      <w:r w:rsidR="00742FB1" w:rsidRPr="00B713EE">
        <w:t>Groupes de travail, groupes de travail informels et présidence (01/03/2017)</w:t>
      </w:r>
      <w:r w:rsidRPr="00B713EE">
        <w:tab/>
      </w:r>
      <w:r w:rsidRPr="00B713EE">
        <w:tab/>
      </w:r>
      <w:r w:rsidR="00F73881">
        <w:t>45</w:t>
      </w:r>
    </w:p>
    <w:p w:rsidR="00F26A5C" w:rsidRPr="00B713EE" w:rsidRDefault="00F26A5C" w:rsidP="00F26A5C">
      <w:pPr>
        <w:tabs>
          <w:tab w:val="right" w:pos="850"/>
          <w:tab w:val="right" w:leader="dot" w:pos="8929"/>
          <w:tab w:val="right" w:pos="9638"/>
        </w:tabs>
        <w:spacing w:after="120"/>
        <w:ind w:left="1134" w:hanging="1134"/>
      </w:pPr>
      <w:r w:rsidRPr="00B713EE">
        <w:tab/>
        <w:t>IV.</w:t>
      </w:r>
      <w:r w:rsidRPr="00B713EE">
        <w:tab/>
      </w:r>
      <w:r w:rsidR="00742FB1" w:rsidRPr="00B713EE">
        <w:t>Amendements au document ECE/TRANS/WP.29/2017/10 (synthèse) adoptés</w:t>
      </w:r>
      <w:r w:rsidRPr="00B713EE">
        <w:tab/>
      </w:r>
      <w:r w:rsidRPr="00B713EE">
        <w:tab/>
      </w:r>
      <w:r w:rsidR="00F73881">
        <w:t>48</w:t>
      </w:r>
    </w:p>
    <w:p w:rsidR="00CD04C1" w:rsidRPr="00B713EE" w:rsidRDefault="00CD04C1" w:rsidP="00CD04C1">
      <w:pPr>
        <w:pStyle w:val="HChG"/>
      </w:pPr>
      <w:r w:rsidRPr="00B713EE">
        <w:rPr>
          <w:noProof/>
        </w:rPr>
        <w:br w:type="page"/>
      </w:r>
      <w:r w:rsidRPr="00B713EE">
        <w:tab/>
      </w:r>
      <w:bookmarkStart w:id="5" w:name="_Toc468111664"/>
      <w:bookmarkStart w:id="6" w:name="_Toc478663103"/>
      <w:r w:rsidRPr="00B713EE">
        <w:t>I.</w:t>
      </w:r>
      <w:r w:rsidRPr="00B713EE">
        <w:tab/>
        <w:t>Participation</w:t>
      </w:r>
      <w:bookmarkEnd w:id="5"/>
      <w:bookmarkEnd w:id="6"/>
    </w:p>
    <w:p w:rsidR="00CD04C1" w:rsidRPr="00B713EE" w:rsidRDefault="00CD04C1" w:rsidP="00CD04C1">
      <w:pPr>
        <w:pStyle w:val="ParNoG"/>
      </w:pPr>
      <w:r w:rsidRPr="00B713EE">
        <w:t>Le Forum mondial de l</w:t>
      </w:r>
      <w:r w:rsidR="007C2F80">
        <w:t>’</w:t>
      </w:r>
      <w:r w:rsidRPr="00B713EE">
        <w:t>harmonisation des Règlements concernant les véhicules (WP.29) a tenu sa 171</w:t>
      </w:r>
      <w:r w:rsidRPr="00B713EE">
        <w:rPr>
          <w:bCs/>
          <w:vertAlign w:val="superscript"/>
        </w:rPr>
        <w:t>e</w:t>
      </w:r>
      <w:r w:rsidRPr="00B713EE">
        <w:rPr>
          <w:bCs/>
        </w:rPr>
        <w:t> session du</w:t>
      </w:r>
      <w:r w:rsidR="00FE6535">
        <w:t xml:space="preserve"> 14 au 17 </w:t>
      </w:r>
      <w:r w:rsidRPr="00B713EE">
        <w:t>mars</w:t>
      </w:r>
      <w:r w:rsidR="00FE6535">
        <w:t xml:space="preserve"> 2017, sous la présidence de A. </w:t>
      </w:r>
      <w:r w:rsidRPr="00B713EE">
        <w:t>Erario (Italie). Les pays suivants y étaient représentés, conformément à l</w:t>
      </w:r>
      <w:r w:rsidR="007C2F80">
        <w:t>’</w:t>
      </w:r>
      <w:r w:rsidRPr="00B713EE">
        <w:t>alinéa </w:t>
      </w:r>
      <w:r w:rsidRPr="001777E3">
        <w:t>a</w:t>
      </w:r>
      <w:r w:rsidR="001777E3">
        <w:t>)</w:t>
      </w:r>
      <w:r w:rsidRPr="00B713EE">
        <w:t xml:space="preserve"> de l</w:t>
      </w:r>
      <w:r w:rsidR="007C2F80">
        <w:t>’</w:t>
      </w:r>
      <w:r w:rsidRPr="00B713EE">
        <w:t>article premier du Règlement intérieur du WP.29 (TRANS/WP.29/690 et ECE/TRANS/WP.29/690/Amend.1 et Amend.2)</w:t>
      </w:r>
      <w:r w:rsidR="00A60936">
        <w:t> :</w:t>
      </w:r>
      <w:r w:rsidRPr="00B713EE">
        <w:t xml:space="preserve"> Afrique du Sud, Allemagne, Australie, Autriche, Belgique, Bosnie-Herzégovine, Brésil, Canada, Chine, Croatie, Espagne, États</w:t>
      </w:r>
      <w:r w:rsidRPr="00B713EE">
        <w:noBreakHyphen/>
        <w:t>Unis d</w:t>
      </w:r>
      <w:r w:rsidR="007C2F80">
        <w:t>’</w:t>
      </w:r>
      <w:r w:rsidRPr="00B713EE">
        <w:t xml:space="preserve">Amérique, Fédération de Russie, France, Hongrie, Inde, </w:t>
      </w:r>
      <w:r w:rsidRPr="00B713EE">
        <w:rPr>
          <w:rFonts w:eastAsia="MS Mincho"/>
        </w:rPr>
        <w:t>Italie</w:t>
      </w:r>
      <w:r w:rsidRPr="00B713EE">
        <w:t>, Japon, Lettonie, Luxembourg, Malaisie, Norvège, Pakistan, Pays-Bas, Pologne, Portugal,</w:t>
      </w:r>
      <w:r w:rsidR="009A2D64">
        <w:t xml:space="preserve"> </w:t>
      </w:r>
      <w:r w:rsidRPr="00B713EE">
        <w:t>République de Corée, Roumanie, Royaume-Uni de Grande</w:t>
      </w:r>
      <w:r w:rsidRPr="00B713EE">
        <w:noBreakHyphen/>
        <w:t>Bretagne et d</w:t>
      </w:r>
      <w:r w:rsidR="007C2F80">
        <w:t>’</w:t>
      </w:r>
      <w:r w:rsidRPr="00B713EE">
        <w:t>Irlande du Nord, Singapour, Slovaquie, Suède, Suisse</w:t>
      </w:r>
      <w:r w:rsidR="001777E3">
        <w:t>, Tchéquie</w:t>
      </w:r>
      <w:r w:rsidRPr="00B713EE">
        <w:t xml:space="preserve"> et Turquie. Des représentants de l</w:t>
      </w:r>
      <w:r w:rsidR="007C2F80">
        <w:t>’</w:t>
      </w:r>
      <w:r w:rsidRPr="00B713EE">
        <w:t>Union européenne (UE) y ont également participé, ainsi que des représentants des organisat</w:t>
      </w:r>
      <w:r w:rsidR="00A60936">
        <w:t>ions gouvernementales suivantes </w:t>
      </w:r>
      <w:r w:rsidRPr="00B713EE">
        <w:t>: Organisation mondiale de la Santé (OMS), Union internationales des Télécommunications (UIT) et Commission économique eurasienne. Les organisations non gouvernementales suivantes étaient également représentées</w:t>
      </w:r>
      <w:r w:rsidR="00A60936">
        <w:t> :</w:t>
      </w:r>
      <w:r w:rsidRPr="00B713EE">
        <w:t xml:space="preserve"> Association for Emissions Control by Catalyst (AECC)</w:t>
      </w:r>
      <w:r w:rsidR="003221B6">
        <w:t> ;</w:t>
      </w:r>
      <w:r w:rsidRPr="00B713EE">
        <w:t xml:space="preserve"> Consumers International (CI)</w:t>
      </w:r>
      <w:r w:rsidR="003221B6">
        <w:t> ;</w:t>
      </w:r>
      <w:r w:rsidRPr="00B713EE">
        <w:t xml:space="preserve"> Association européenne des fournisseurs de l</w:t>
      </w:r>
      <w:r w:rsidR="007C2F80">
        <w:t>’</w:t>
      </w:r>
      <w:r w:rsidRPr="00B713EE">
        <w:t>automobile (CLEPA/MEMA/JAPIA)</w:t>
      </w:r>
      <w:r w:rsidRPr="00B713EE">
        <w:rPr>
          <w:rStyle w:val="FootnoteReference"/>
        </w:rPr>
        <w:footnoteReference w:id="2"/>
      </w:r>
      <w:r w:rsidR="003221B6">
        <w:t> ;</w:t>
      </w:r>
      <w:r w:rsidRPr="00B713EE">
        <w:t xml:space="preserve"> Organisation technique européenne du pneu et de la jante (ETRTO)</w:t>
      </w:r>
      <w:r w:rsidR="003221B6">
        <w:t> ;</w:t>
      </w:r>
      <w:r w:rsidRPr="00B713EE">
        <w:t xml:space="preserve"> Fondation pour l</w:t>
      </w:r>
      <w:r w:rsidR="007C2F80">
        <w:t>’</w:t>
      </w:r>
      <w:r w:rsidRPr="00B713EE">
        <w:t>automobile et la société (Fondation FIA)</w:t>
      </w:r>
      <w:r w:rsidR="003221B6">
        <w:t> ;</w:t>
      </w:r>
      <w:r w:rsidRPr="00B713EE">
        <w:t xml:space="preserve"> Programme mondial d</w:t>
      </w:r>
      <w:r w:rsidR="007C2F80">
        <w:t>’</w:t>
      </w:r>
      <w:r w:rsidRPr="00B713EE">
        <w:t>évaluation des nouveaux modèles de voitures (Global New Car Assessment Programme (Global NCAP))</w:t>
      </w:r>
      <w:r w:rsidR="003221B6">
        <w:t> ;</w:t>
      </w:r>
      <w:r w:rsidRPr="00B713EE">
        <w:t xml:space="preserve"> Groupe de travail «</w:t>
      </w:r>
      <w:r w:rsidR="00FE6535">
        <w:t> </w:t>
      </w:r>
      <w:r w:rsidRPr="00B713EE">
        <w:t>Bruxelles 1952</w:t>
      </w:r>
      <w:r w:rsidR="00FE6535">
        <w:t> </w:t>
      </w:r>
      <w:r w:rsidRPr="00B713EE">
        <w:t>» (GTB)</w:t>
      </w:r>
      <w:r w:rsidR="003221B6">
        <w:t> ;</w:t>
      </w:r>
      <w:r w:rsidRPr="00B713EE">
        <w:t xml:space="preserve"> Commission électr</w:t>
      </w:r>
      <w:r w:rsidR="003221B6">
        <w:t>otechnique internationale (CEI) ;</w:t>
      </w:r>
      <w:r w:rsidRPr="00B713EE">
        <w:t xml:space="preserve"> Association internationale des constructeurs de motocycles (IMMA)</w:t>
      </w:r>
      <w:r w:rsidR="003221B6">
        <w:t> ;</w:t>
      </w:r>
      <w:r w:rsidRPr="00B713EE">
        <w:t xml:space="preserve"> Comité international de l</w:t>
      </w:r>
      <w:r w:rsidR="007C2F80">
        <w:t>’</w:t>
      </w:r>
      <w:r w:rsidRPr="00B713EE">
        <w:t>inspection technique automobile (CITA) et Organisation internationale des constructeurs d</w:t>
      </w:r>
      <w:r w:rsidR="007C2F80">
        <w:t>’</w:t>
      </w:r>
      <w:r w:rsidRPr="00B713EE">
        <w:t>automobiles (OICA).</w:t>
      </w:r>
    </w:p>
    <w:p w:rsidR="00CD04C1" w:rsidRPr="00B713EE" w:rsidRDefault="00CD04C1" w:rsidP="008C0F4C">
      <w:pPr>
        <w:pStyle w:val="HChG"/>
        <w:rPr>
          <w:highlight w:val="yellow"/>
        </w:rPr>
      </w:pPr>
      <w:r w:rsidRPr="00B713EE">
        <w:tab/>
      </w:r>
      <w:bookmarkStart w:id="7" w:name="_Toc478663104"/>
      <w:r w:rsidRPr="00B713EE">
        <w:t>II.</w:t>
      </w:r>
      <w:r w:rsidRPr="00B713EE">
        <w:tab/>
        <w:t>Déclarations liminaires</w:t>
      </w:r>
      <w:bookmarkEnd w:id="7"/>
    </w:p>
    <w:p w:rsidR="00CD04C1" w:rsidRPr="00B713EE" w:rsidRDefault="001F7EFD" w:rsidP="001F7EFD">
      <w:pPr>
        <w:pStyle w:val="SingleTxtG"/>
        <w:ind w:left="2835" w:hanging="1701"/>
        <w:jc w:val="left"/>
        <w:rPr>
          <w:highlight w:val="yellow"/>
        </w:rPr>
      </w:pPr>
      <w:r w:rsidRPr="00B713EE">
        <w:rPr>
          <w:i/>
        </w:rPr>
        <w:t>Document(s)</w:t>
      </w:r>
      <w:r w:rsidR="006740F4" w:rsidRPr="00B713EE">
        <w:rPr>
          <w:i/>
        </w:rPr>
        <w:t> </w:t>
      </w:r>
      <w:r w:rsidR="00CD04C1" w:rsidRPr="00B713EE">
        <w:t>:</w:t>
      </w:r>
      <w:r w:rsidR="00CD04C1" w:rsidRPr="00B713EE">
        <w:rPr>
          <w:i/>
        </w:rPr>
        <w:tab/>
      </w:r>
      <w:r w:rsidR="00CD04C1" w:rsidRPr="00B713EE">
        <w:t>Documents informels WP.29-171-31, WP.29-171-35 et</w:t>
      </w:r>
      <w:r w:rsidRPr="00B713EE">
        <w:t xml:space="preserve"> WP.29</w:t>
      </w:r>
      <w:r w:rsidRPr="00B713EE">
        <w:noBreakHyphen/>
        <w:t>171</w:t>
      </w:r>
      <w:r w:rsidRPr="00B713EE">
        <w:noBreakHyphen/>
      </w:r>
      <w:r w:rsidR="00CD04C1" w:rsidRPr="00B713EE">
        <w:t>37</w:t>
      </w:r>
      <w:r w:rsidR="008C0F4C" w:rsidRPr="00B713EE">
        <w:t>.</w:t>
      </w:r>
    </w:p>
    <w:p w:rsidR="00CD04C1" w:rsidRPr="00B713EE" w:rsidRDefault="00CD04C1" w:rsidP="00CA41BB">
      <w:pPr>
        <w:pStyle w:val="ParNoG"/>
      </w:pPr>
      <w:r w:rsidRPr="00B713EE">
        <w:t>Le Président du Forum mondial a souhaité la bienvenue aux représentants et présenté les personnes devant faire des déclaratio</w:t>
      </w:r>
      <w:r w:rsidR="00A60936">
        <w:t>ns liminaires </w:t>
      </w:r>
      <w:r w:rsidRPr="00B713EE">
        <w:t xml:space="preserve">: le secrétaire du WP.29, ainsi que les représentants de la CEE et de la Malaisie. </w:t>
      </w:r>
    </w:p>
    <w:p w:rsidR="00CD04C1" w:rsidRPr="00B713EE" w:rsidRDefault="00CD04C1" w:rsidP="00CA41BB">
      <w:pPr>
        <w:pStyle w:val="ParNoG"/>
        <w:tabs>
          <w:tab w:val="clear" w:pos="1701"/>
        </w:tabs>
      </w:pPr>
      <w:r w:rsidRPr="00B713EE">
        <w:t>En l</w:t>
      </w:r>
      <w:r w:rsidR="007C2F80">
        <w:t>’</w:t>
      </w:r>
      <w:r w:rsidRPr="00B713EE">
        <w:t>absence de la directrice de la Division des transports durables, le secrétaire du Forum mondial a souhaité la bienvenue aux délégués à la 171</w:t>
      </w:r>
      <w:r w:rsidRPr="00B713EE">
        <w:rPr>
          <w:vertAlign w:val="superscript"/>
        </w:rPr>
        <w:t>e</w:t>
      </w:r>
      <w:r w:rsidR="00FE6535">
        <w:t> </w:t>
      </w:r>
      <w:r w:rsidRPr="00B713EE">
        <w:t xml:space="preserve">session du WP.29. Il a rendu compte de la session qui a marqué, en février 2017, le soixante-dixième anniversaire du Comité des transports intérieurs (CTI), ainsi que des événements organisés en marge de cette session. Il a présenté la déclaration ministérielle qui a été signée par les ministres dans le cadre du CTI. Il a également présenté la stratégie du Comité des transports intérieurs, qui fait notamment le bilan des activités des </w:t>
      </w:r>
      <w:r w:rsidR="00385B7A" w:rsidRPr="00B713EE">
        <w:t>soixante-dix</w:t>
      </w:r>
      <w:r w:rsidRPr="00B713EE">
        <w:t xml:space="preserve"> dernières années, en particulier en ce qui concerne le rôle du CTI dans l</w:t>
      </w:r>
      <w:r w:rsidR="007C2F80">
        <w:t>’</w:t>
      </w:r>
      <w:r w:rsidRPr="00B713EE">
        <w:t>Europe d</w:t>
      </w:r>
      <w:r w:rsidR="007C2F80">
        <w:t>’</w:t>
      </w:r>
      <w:r w:rsidR="001777E3">
        <w:t>après</w:t>
      </w:r>
      <w:r w:rsidRPr="00B713EE">
        <w:t xml:space="preserve"> guerre, ainsi que des acticités et de la formation des divers groupes de travail, accords et conventions qui définissent son rôle actuel d</w:t>
      </w:r>
      <w:r w:rsidR="007C2F80">
        <w:t>’</w:t>
      </w:r>
      <w:r w:rsidRPr="00B713EE">
        <w:t>organisme international actif au sein d</w:t>
      </w:r>
      <w:r w:rsidR="007C2F80">
        <w:t>’</w:t>
      </w:r>
      <w:r w:rsidRPr="00B713EE">
        <w:t>une Commission régionale.</w:t>
      </w:r>
    </w:p>
    <w:p w:rsidR="00CD04C1" w:rsidRPr="00B713EE" w:rsidRDefault="00CD04C1" w:rsidP="00CA41BB">
      <w:pPr>
        <w:pStyle w:val="ParNoG"/>
        <w:tabs>
          <w:tab w:val="clear" w:pos="1701"/>
        </w:tabs>
      </w:pPr>
      <w:r w:rsidRPr="00B713EE">
        <w:t>Tous les groupes de travail ont été invités à réfléchir au document stratégique en répondant aux quatre quest</w:t>
      </w:r>
      <w:r w:rsidR="00FE6535">
        <w:t>ions qui figurent au paragraphe </w:t>
      </w:r>
      <w:r w:rsidRPr="00B713EE">
        <w:t>46 du présent document</w:t>
      </w:r>
      <w:r w:rsidR="00FE6535">
        <w:t> : i) </w:t>
      </w:r>
      <w:r w:rsidRPr="00B713EE">
        <w:t>Quelles sont les voies possibles, quelles priorités faut-il suivre et comment conserver la dynamique, voire l</w:t>
      </w:r>
      <w:r w:rsidR="007C2F80">
        <w:t>’</w:t>
      </w:r>
      <w:r w:rsidRPr="00B713EE">
        <w:t>amplif</w:t>
      </w:r>
      <w:r w:rsidR="00FE6535">
        <w:t>ier ? ii) </w:t>
      </w:r>
      <w:r w:rsidRPr="00B713EE">
        <w:t>Quels changements faut-il apporter aux conventions d</w:t>
      </w:r>
      <w:r w:rsidR="007C2F80">
        <w:t>’</w:t>
      </w:r>
      <w:r w:rsidRPr="00B713EE">
        <w:t xml:space="preserve">ici </w:t>
      </w:r>
      <w:r w:rsidR="001777E3">
        <w:t xml:space="preserve">à </w:t>
      </w:r>
      <w:r w:rsidRPr="00B713EE">
        <w:t>2030 et au-delà en ce qui concerne leurs portée</w:t>
      </w:r>
      <w:r w:rsidR="00FE6535">
        <w:t>s régionales et mondiale ? iii) </w:t>
      </w:r>
      <w:r w:rsidRPr="00B713EE">
        <w:t>Comment gérer le tiraillement entre un statut régional et un rôle et une pertinence à l</w:t>
      </w:r>
      <w:r w:rsidR="007C2F80">
        <w:t>’</w:t>
      </w:r>
      <w:r w:rsidRPr="00B713EE">
        <w:t xml:space="preserve">échelle mondiale ? </w:t>
      </w:r>
      <w:r w:rsidR="00385B7A" w:rsidRPr="00B713EE">
        <w:t>iv) </w:t>
      </w:r>
      <w:r w:rsidRPr="00B713EE">
        <w:t>Faut-il modifier la structure de gouvernance ? Toute contribution à la stratégie du CTI d</w:t>
      </w:r>
      <w:r w:rsidR="007C2F80">
        <w:t>’</w:t>
      </w:r>
      <w:r w:rsidRPr="00B713EE">
        <w:t xml:space="preserve">ici </w:t>
      </w:r>
      <w:r w:rsidR="001777E3">
        <w:t xml:space="preserve">à </w:t>
      </w:r>
      <w:r w:rsidRPr="00B713EE">
        <w:t>la fin avril sera la bienvenue.</w:t>
      </w:r>
    </w:p>
    <w:p w:rsidR="00CD04C1" w:rsidRPr="00B713EE" w:rsidRDefault="00CD04C1" w:rsidP="00743036">
      <w:pPr>
        <w:pStyle w:val="ParNoG"/>
        <w:keepNext/>
        <w:keepLines/>
        <w:tabs>
          <w:tab w:val="clear" w:pos="1701"/>
        </w:tabs>
      </w:pPr>
      <w:r w:rsidRPr="00B713EE">
        <w:t>Le représentant de la CEE a présenté les objectifs, le champ d</w:t>
      </w:r>
      <w:r w:rsidR="007C2F80">
        <w:t>’</w:t>
      </w:r>
      <w:r w:rsidRPr="00B713EE">
        <w:t>activités et la structure de l</w:t>
      </w:r>
      <w:r w:rsidR="007C2F80">
        <w:t>’</w:t>
      </w:r>
      <w:r w:rsidRPr="00B713EE">
        <w:t>Union économique eurasienne (UEE), ainsi que le rôle de la CEE qui en constitue l</w:t>
      </w:r>
      <w:r w:rsidR="007C2F80">
        <w:t>’</w:t>
      </w:r>
      <w:r w:rsidRPr="00B713EE">
        <w:t>organisme de réglementation permanent (WP.29-171-35). Il a expliqué que la réglementation de la circulation des véhicules sur le territoire de l</w:t>
      </w:r>
      <w:r w:rsidR="007C2F80">
        <w:t>’</w:t>
      </w:r>
      <w:r w:rsidRPr="00B713EE">
        <w:t>Union économique eurasienne et l</w:t>
      </w:r>
      <w:r w:rsidR="007C2F80">
        <w:t>’</w:t>
      </w:r>
      <w:r w:rsidRPr="00B713EE">
        <w:t xml:space="preserve">établissement de prescriptions pertinentes était de la plus haute importance pour les activités de la Commission en matière de règlements techniques. </w:t>
      </w:r>
    </w:p>
    <w:p w:rsidR="00CD04C1" w:rsidRPr="00B713EE" w:rsidRDefault="00CD04C1" w:rsidP="00CA41BB">
      <w:pPr>
        <w:pStyle w:val="ParNoG"/>
        <w:tabs>
          <w:tab w:val="clear" w:pos="1701"/>
        </w:tabs>
      </w:pPr>
      <w:r w:rsidRPr="00B713EE">
        <w:t>Il a souligné que trois des cinq pays membres de l</w:t>
      </w:r>
      <w:r w:rsidR="007C2F80">
        <w:t>’</w:t>
      </w:r>
      <w:r w:rsidRPr="00B713EE">
        <w:t>UEE, la Fédération de Russie, la République du B</w:t>
      </w:r>
      <w:r w:rsidR="001777E3">
        <w:t>é</w:t>
      </w:r>
      <w:r w:rsidRPr="00B713EE">
        <w:t>larus et la République du Kazakhstan, avaient adhéré aux trois accords a</w:t>
      </w:r>
      <w:r w:rsidR="005530CC">
        <w:t>dministrés par le Forum mondial </w:t>
      </w:r>
      <w:r w:rsidRPr="00B713EE">
        <w:t>: les Accords de 1958, de 1997 et de 1998. Il a précisé que les Règlements de l</w:t>
      </w:r>
      <w:r w:rsidR="007C2F80">
        <w:t>’</w:t>
      </w:r>
      <w:r w:rsidRPr="00B713EE">
        <w:t>ONU annexés à l</w:t>
      </w:r>
      <w:r w:rsidR="007C2F80">
        <w:t>’</w:t>
      </w:r>
      <w:r w:rsidRPr="00B713EE">
        <w:t>Accord de 1958 servaient de base au règlement technique de l</w:t>
      </w:r>
      <w:r w:rsidR="007C2F80">
        <w:t>’</w:t>
      </w:r>
      <w:r w:rsidRPr="00B713EE">
        <w:t xml:space="preserve">UEE </w:t>
      </w:r>
      <w:r w:rsidR="002B129D" w:rsidRPr="00B713EE">
        <w:t>« </w:t>
      </w:r>
      <w:r w:rsidRPr="00B713EE">
        <w:t>Sur la sécurité des véhicules à roues</w:t>
      </w:r>
      <w:r w:rsidR="002B129D" w:rsidRPr="00B713EE">
        <w:t> »</w:t>
      </w:r>
      <w:r w:rsidR="005530CC">
        <w:t xml:space="preserve"> (CU TR </w:t>
      </w:r>
      <w:r w:rsidRPr="00B713EE">
        <w:t>018/2011), qui s</w:t>
      </w:r>
      <w:r w:rsidR="007C2F80">
        <w:t>’</w:t>
      </w:r>
      <w:r w:rsidRPr="00B713EE">
        <w:t>applique à toutes les nouvelles voitures importées ou produites sur le territoire de l</w:t>
      </w:r>
      <w:r w:rsidR="007C2F80">
        <w:t>’</w:t>
      </w:r>
      <w:r w:rsidRPr="00B713EE">
        <w:t>union douanière de l</w:t>
      </w:r>
      <w:r w:rsidR="007C2F80">
        <w:t>’</w:t>
      </w:r>
      <w:r w:rsidRPr="00B713EE">
        <w:t>Union économique eurasienne. Il a indiqué qu</w:t>
      </w:r>
      <w:r w:rsidR="007C2F80">
        <w:t>’</w:t>
      </w:r>
      <w:r w:rsidRPr="00B713EE">
        <w:t>à l</w:t>
      </w:r>
      <w:r w:rsidR="007C2F80">
        <w:t>’</w:t>
      </w:r>
      <w:r w:rsidRPr="00B713EE">
        <w:t>avenir, lorsque seront établies des prescriptions applicables aux véhicules et à leurs composants, l</w:t>
      </w:r>
      <w:r w:rsidR="007C2F80">
        <w:t>’</w:t>
      </w:r>
      <w:r w:rsidRPr="00B713EE">
        <w:t>UEE mettra l</w:t>
      </w:r>
      <w:r w:rsidR="007C2F80">
        <w:t>’</w:t>
      </w:r>
      <w:r w:rsidRPr="00B713EE">
        <w:t>accent sur la mise en œuvre des règlements de l</w:t>
      </w:r>
      <w:r w:rsidR="007C2F80">
        <w:t>’</w:t>
      </w:r>
      <w:r w:rsidRPr="00B713EE">
        <w:t>ONU existants, ainsi que sur l</w:t>
      </w:r>
      <w:r w:rsidR="007C2F80">
        <w:t>’</w:t>
      </w:r>
      <w:r w:rsidRPr="00B713EE">
        <w:t>application des nouveaux règlements concernant les propriétés et composants pertinents.</w:t>
      </w:r>
      <w:r w:rsidR="009A2D64">
        <w:t xml:space="preserve"> </w:t>
      </w:r>
    </w:p>
    <w:p w:rsidR="00CD04C1" w:rsidRPr="00B713EE" w:rsidRDefault="00CD04C1" w:rsidP="00CA41BB">
      <w:pPr>
        <w:pStyle w:val="ParNoG"/>
        <w:tabs>
          <w:tab w:val="clear" w:pos="1701"/>
        </w:tabs>
      </w:pPr>
      <w:r w:rsidRPr="00B713EE">
        <w:t>Il a conclu en souhaitant une session fructueuse et en soulignant l</w:t>
      </w:r>
      <w:r w:rsidR="007C2F80">
        <w:t>’</w:t>
      </w:r>
      <w:r w:rsidRPr="00B713EE">
        <w:t xml:space="preserve">importance du renforcement des relations entre le Forum mondial et la Commission eurasienne. </w:t>
      </w:r>
    </w:p>
    <w:p w:rsidR="00CD04C1" w:rsidRPr="00B713EE" w:rsidRDefault="00CD04C1" w:rsidP="00CA41BB">
      <w:pPr>
        <w:pStyle w:val="ParNoG"/>
        <w:tabs>
          <w:tab w:val="clear" w:pos="1701"/>
        </w:tabs>
      </w:pPr>
      <w:r w:rsidRPr="00B713EE">
        <w:t>Le représentant de la Malaisie a présenté les activités de son pays en matière de véhicules sûrs et respectueux de l</w:t>
      </w:r>
      <w:r w:rsidR="007C2F80">
        <w:t>’</w:t>
      </w:r>
      <w:r w:rsidRPr="00B713EE">
        <w:t>environnement. La Malaisie a adhéré au WP.29 en 2006 et elle a lancé au cours de la même année sa politique nationale de l</w:t>
      </w:r>
      <w:r w:rsidR="007C2F80">
        <w:t>’</w:t>
      </w:r>
      <w:r w:rsidRPr="00B713EE">
        <w:t>automobile, révisée en 2009 puis en 2014. L</w:t>
      </w:r>
      <w:r w:rsidR="007C2F80">
        <w:t>’</w:t>
      </w:r>
      <w:r w:rsidRPr="00B713EE">
        <w:t>élément clé de cette politique était de l</w:t>
      </w:r>
      <w:r w:rsidR="007C2F80">
        <w:t>’</w:t>
      </w:r>
      <w:r w:rsidRPr="00B713EE">
        <w:t>aligner sur les règlements de l</w:t>
      </w:r>
      <w:r w:rsidR="007C2F80">
        <w:t>’</w:t>
      </w:r>
      <w:r w:rsidRPr="00B713EE">
        <w:t>ONU et de faire de la Malaise une plaque tournante pour la mise en œuvre de ces règlements dans la région. Le but était d</w:t>
      </w:r>
      <w:r w:rsidR="007C2F80">
        <w:t>’</w:t>
      </w:r>
      <w:r w:rsidRPr="00B713EE">
        <w:t>harmoniser les normes dans toute la région. Le représentant a indiqué que la Malaisie dispose d</w:t>
      </w:r>
      <w:r w:rsidR="007C2F80">
        <w:t>’</w:t>
      </w:r>
      <w:r w:rsidRPr="00B713EE">
        <w:t>une réglementation stricte, qu</w:t>
      </w:r>
      <w:r w:rsidR="007C2F80">
        <w:t>’</w:t>
      </w:r>
      <w:r w:rsidR="00FE6535">
        <w:t>elle applique actuellement 100 </w:t>
      </w:r>
      <w:r w:rsidRPr="00B713EE">
        <w:t>règlements de l</w:t>
      </w:r>
      <w:r w:rsidR="007C2F80">
        <w:t>’</w:t>
      </w:r>
      <w:r w:rsidRPr="00B713EE">
        <w:t>ONU et se propose de faire passer ce nombre à 126 d</w:t>
      </w:r>
      <w:r w:rsidR="007C2F80">
        <w:t>’</w:t>
      </w:r>
      <w:r w:rsidRPr="00B713EE">
        <w:t xml:space="preserve">ici </w:t>
      </w:r>
      <w:r w:rsidR="00FE6535">
        <w:t xml:space="preserve">à </w:t>
      </w:r>
      <w:r w:rsidRPr="00B713EE">
        <w:t>2020. Il a fait part d</w:t>
      </w:r>
      <w:r w:rsidR="007C2F80">
        <w:t>’</w:t>
      </w:r>
      <w:r w:rsidRPr="00B713EE">
        <w:t>une initiative menée au niveau asiatique pour étudier l</w:t>
      </w:r>
      <w:r w:rsidR="007C2F80">
        <w:t>’</w:t>
      </w:r>
      <w:r w:rsidRPr="00B713EE">
        <w:t>harmonisation de la mise en œuvre des règlements de l</w:t>
      </w:r>
      <w:r w:rsidR="007C2F80">
        <w:t>’</w:t>
      </w:r>
      <w:r w:rsidRPr="00B713EE">
        <w:t>ONU dans toute l</w:t>
      </w:r>
      <w:r w:rsidR="007C2F80">
        <w:t>’</w:t>
      </w:r>
      <w:r w:rsidRPr="00B713EE">
        <w:t>Asie. Depuis que ces règlements sont en vigueur, ils ont réduit les obstacles techniques au commerce entre les pays de la région. Les trois révisions de la politique nationale de l</w:t>
      </w:r>
      <w:r w:rsidR="007C2F80">
        <w:t>’</w:t>
      </w:r>
      <w:r w:rsidRPr="00B713EE">
        <w:t xml:space="preserve">automobile ont introduit une prescription à respecter pour que des véhicules puissent être qualifiés de véhicules économes en énergie en vertu du Règlement </w:t>
      </w:r>
      <w:r w:rsidR="00FE6535">
        <w:rPr>
          <w:rFonts w:eastAsia="MS Mincho"/>
        </w:rPr>
        <w:t>n</w:t>
      </w:r>
      <w:r w:rsidR="00FE6535">
        <w:rPr>
          <w:rFonts w:eastAsia="MS Mincho"/>
          <w:vertAlign w:val="superscript"/>
        </w:rPr>
        <w:t>o</w:t>
      </w:r>
      <w:r w:rsidR="00FE6535" w:rsidRPr="00AA7C01">
        <w:rPr>
          <w:rFonts w:eastAsia="MS Mincho"/>
        </w:rPr>
        <w:t> </w:t>
      </w:r>
      <w:r w:rsidRPr="00B713EE">
        <w:t>101. La Malaisie est en train de mettre sur pied un groupe de travail d</w:t>
      </w:r>
      <w:r w:rsidR="007C2F80">
        <w:t>’</w:t>
      </w:r>
      <w:r w:rsidRPr="00B713EE">
        <w:t>experts susceptibles de participer activement aux activités des six groupes de travail du WP.29. Ce pays veut établir un centre d</w:t>
      </w:r>
      <w:r w:rsidR="007C2F80">
        <w:t>’</w:t>
      </w:r>
      <w:r w:rsidRPr="00B713EE">
        <w:t>essai régional et sollicite pour cela l</w:t>
      </w:r>
      <w:r w:rsidR="007C2F80">
        <w:t>’</w:t>
      </w:r>
      <w:r w:rsidRPr="00B713EE">
        <w:t>appui de toutes les Parties contractantes.</w:t>
      </w:r>
    </w:p>
    <w:p w:rsidR="00CD04C1" w:rsidRPr="00B713EE" w:rsidRDefault="00CD04C1" w:rsidP="00CA41BB">
      <w:pPr>
        <w:pStyle w:val="ParNoG"/>
        <w:tabs>
          <w:tab w:val="clear" w:pos="1701"/>
        </w:tabs>
      </w:pPr>
      <w:r w:rsidRPr="00B713EE">
        <w:t>Le représentant de l</w:t>
      </w:r>
      <w:r w:rsidR="007C2F80">
        <w:t>’</w:t>
      </w:r>
      <w:r w:rsidRPr="00B713EE">
        <w:t>OICA a remercié les représentants de la CEE et de la Malaisie pour leurs déclarations liminaires.</w:t>
      </w:r>
      <w:r w:rsidR="002B129D" w:rsidRPr="00B713EE">
        <w:t xml:space="preserve"> </w:t>
      </w:r>
      <w:r w:rsidRPr="00B713EE">
        <w:t>Il a déclaré que l</w:t>
      </w:r>
      <w:r w:rsidR="007C2F80">
        <w:t>’</w:t>
      </w:r>
      <w:r w:rsidRPr="00B713EE">
        <w:t>OICA se félicitait des efforts déployés dans leurs régions et pays respectifs, soulignant que la réduction des obstacles au commerce bénéficiait aux consommateurs. Il a souligné que l</w:t>
      </w:r>
      <w:r w:rsidR="007C2F80">
        <w:t>’</w:t>
      </w:r>
      <w:r w:rsidRPr="00B713EE">
        <w:t>élaboration de produits sûrs répondant à des prescriptions claires permettait à toutes les parties prenantes d</w:t>
      </w:r>
      <w:r w:rsidR="007C2F80">
        <w:t>’</w:t>
      </w:r>
      <w:r w:rsidRPr="00B713EE">
        <w:t>être sur un pied d</w:t>
      </w:r>
      <w:r w:rsidR="007C2F80">
        <w:t>’</w:t>
      </w:r>
      <w:r w:rsidRPr="00B713EE">
        <w:t>égalité en matière de compétitivité. Des règles claires et précises à respecter par tous assurent avantage de prédictibilité et engendrent la confiance, ce qui est particulièrement important si l</w:t>
      </w:r>
      <w:r w:rsidR="007C2F80">
        <w:t>’</w:t>
      </w:r>
      <w:r w:rsidRPr="00B713EE">
        <w:t>on veut améliorer la sécurité routière et réduire l</w:t>
      </w:r>
      <w:r w:rsidR="007C2F80">
        <w:t>’</w:t>
      </w:r>
      <w:r w:rsidRPr="00B713EE">
        <w:t>impact des véhicules sur l</w:t>
      </w:r>
      <w:r w:rsidR="007C2F80">
        <w:t>’</w:t>
      </w:r>
      <w:r w:rsidRPr="00B713EE">
        <w:t xml:space="preserve">environnement. </w:t>
      </w:r>
    </w:p>
    <w:p w:rsidR="00CD04C1" w:rsidRPr="00B713EE" w:rsidRDefault="006740F4" w:rsidP="006740F4">
      <w:pPr>
        <w:pStyle w:val="HChG"/>
        <w:rPr>
          <w:highlight w:val="yellow"/>
        </w:rPr>
      </w:pPr>
      <w:r w:rsidRPr="00B713EE">
        <w:tab/>
      </w:r>
      <w:r w:rsidR="00CD04C1" w:rsidRPr="00B713EE">
        <w:t>III.</w:t>
      </w:r>
      <w:r w:rsidR="00CD04C1" w:rsidRPr="00B713EE">
        <w:tab/>
        <w:t>Ado</w:t>
      </w:r>
      <w:r w:rsidR="00FE6535">
        <w:t>ption de l</w:t>
      </w:r>
      <w:r w:rsidR="007C2F80">
        <w:t>’</w:t>
      </w:r>
      <w:r w:rsidR="00FE6535">
        <w:t>ordre du jour (point </w:t>
      </w:r>
      <w:r w:rsidR="00CD04C1" w:rsidRPr="00B713EE">
        <w:t>1</w:t>
      </w:r>
      <w:r w:rsidR="00CD04C1" w:rsidRPr="00B713EE">
        <w:rPr>
          <w:rFonts w:ascii="Segoe UI" w:hAnsi="Segoe UI" w:cs="Segoe UI"/>
        </w:rPr>
        <w:t xml:space="preserve"> </w:t>
      </w:r>
      <w:r w:rsidR="00CD04C1" w:rsidRPr="00B713EE">
        <w:t>de l</w:t>
      </w:r>
      <w:r w:rsidR="007C2F80">
        <w:t>’</w:t>
      </w:r>
      <w:r w:rsidR="00CD04C1" w:rsidRPr="00B713EE">
        <w:t>ordre du jour)</w:t>
      </w:r>
    </w:p>
    <w:p w:rsidR="00CD04C1" w:rsidRPr="00B713EE" w:rsidRDefault="001F7EFD" w:rsidP="001F7EFD">
      <w:pPr>
        <w:pStyle w:val="SingleTxtG"/>
        <w:ind w:left="2835" w:hanging="1701"/>
        <w:jc w:val="left"/>
      </w:pPr>
      <w:r w:rsidRPr="00B713EE">
        <w:rPr>
          <w:i/>
        </w:rPr>
        <w:t>Document(s)</w:t>
      </w:r>
      <w:r w:rsidRPr="00B713EE">
        <w:t> :</w:t>
      </w:r>
      <w:r w:rsidR="00CD04C1" w:rsidRPr="00B713EE">
        <w:rPr>
          <w:i/>
        </w:rPr>
        <w:tab/>
      </w:r>
      <w:r w:rsidR="00CD04C1" w:rsidRPr="00B713EE">
        <w:t>ECE/TRANS/WP.29/1128</w:t>
      </w:r>
      <w:r w:rsidR="00536634" w:rsidRPr="00B713EE">
        <w:t> ;</w:t>
      </w:r>
      <w:r w:rsidR="006B4D9D" w:rsidRPr="00B713EE">
        <w:br/>
      </w:r>
      <w:r w:rsidR="00CD04C1" w:rsidRPr="00B713EE">
        <w:t>Document informel WP.29-171-02</w:t>
      </w:r>
      <w:r w:rsidR="00536634" w:rsidRPr="00B713EE">
        <w:t>.</w:t>
      </w:r>
    </w:p>
    <w:p w:rsidR="00CD04C1" w:rsidRPr="00B713EE" w:rsidRDefault="00CD04C1" w:rsidP="00CA41BB">
      <w:pPr>
        <w:pStyle w:val="ParNoG"/>
        <w:tabs>
          <w:tab w:val="clear" w:pos="1701"/>
        </w:tabs>
      </w:pPr>
      <w:r w:rsidRPr="00B713EE">
        <w:t>L</w:t>
      </w:r>
      <w:r w:rsidR="007C2F80">
        <w:t>’</w:t>
      </w:r>
      <w:r w:rsidRPr="00B713EE">
        <w:t>ordre du jour provisoire de la session a été adopté sans modifications.</w:t>
      </w:r>
    </w:p>
    <w:p w:rsidR="00CD04C1" w:rsidRPr="00B713EE" w:rsidRDefault="00CD04C1" w:rsidP="00CA41BB">
      <w:pPr>
        <w:pStyle w:val="ParNoG"/>
        <w:tabs>
          <w:tab w:val="clear" w:pos="1701"/>
        </w:tabs>
        <w:rPr>
          <w:bCs/>
        </w:rPr>
      </w:pPr>
      <w:r w:rsidRPr="00B713EE">
        <w:rPr>
          <w:bCs/>
        </w:rPr>
        <w:t>La liste des documents sans</w:t>
      </w:r>
      <w:r w:rsidR="00FE6535">
        <w:rPr>
          <w:bCs/>
        </w:rPr>
        <w:t xml:space="preserve"> cote est reproduite à l</w:t>
      </w:r>
      <w:r w:rsidR="007C2F80">
        <w:rPr>
          <w:bCs/>
        </w:rPr>
        <w:t>’</w:t>
      </w:r>
      <w:r w:rsidR="00FE6535">
        <w:rPr>
          <w:bCs/>
        </w:rPr>
        <w:t>annexe </w:t>
      </w:r>
      <w:r w:rsidRPr="00B713EE">
        <w:rPr>
          <w:bCs/>
        </w:rPr>
        <w:t>I du présent rapport.</w:t>
      </w:r>
    </w:p>
    <w:p w:rsidR="00CD04C1" w:rsidRPr="00B713EE" w:rsidRDefault="006740F4" w:rsidP="006740F4">
      <w:pPr>
        <w:pStyle w:val="HChG"/>
      </w:pPr>
      <w:r w:rsidRPr="00B713EE">
        <w:tab/>
      </w:r>
      <w:r w:rsidR="00CD04C1" w:rsidRPr="00B713EE">
        <w:t>IV.</w:t>
      </w:r>
      <w:r w:rsidR="00CD04C1" w:rsidRPr="00B713EE">
        <w:tab/>
        <w:t xml:space="preserve">Coordination et organisation des travaux </w:t>
      </w:r>
      <w:r w:rsidRPr="00B713EE">
        <w:br/>
      </w:r>
      <w:r w:rsidR="003A49A4">
        <w:t>(point </w:t>
      </w:r>
      <w:r w:rsidR="00CD04C1" w:rsidRPr="00B713EE">
        <w:t>2 de l</w:t>
      </w:r>
      <w:r w:rsidR="007C2F80">
        <w:t>’</w:t>
      </w:r>
      <w:r w:rsidR="00CD04C1" w:rsidRPr="00B713EE">
        <w:t>ordre du jour)</w:t>
      </w:r>
    </w:p>
    <w:p w:rsidR="00CD04C1" w:rsidRPr="00B713EE" w:rsidRDefault="006740F4" w:rsidP="006740F4">
      <w:pPr>
        <w:pStyle w:val="H1G"/>
      </w:pPr>
      <w:r w:rsidRPr="00B713EE">
        <w:tab/>
      </w:r>
      <w:r w:rsidR="00CD04C1" w:rsidRPr="00B713EE">
        <w:t>A.</w:t>
      </w:r>
      <w:r w:rsidR="00CD04C1" w:rsidRPr="00B713EE">
        <w:tab/>
        <w:t xml:space="preserve">Rapport de la session du Comité de gestion pour la coordination </w:t>
      </w:r>
      <w:r w:rsidRPr="00B713EE">
        <w:br/>
      </w:r>
      <w:r w:rsidR="00CD04C1" w:rsidRPr="00B713EE">
        <w:t>des travaux (WP.29/AC.2) (p</w:t>
      </w:r>
      <w:r w:rsidR="003A49A4">
        <w:t>oint </w:t>
      </w:r>
      <w:r w:rsidR="00CD04C1" w:rsidRPr="00B713EE">
        <w:t>2.1 de l</w:t>
      </w:r>
      <w:r w:rsidR="007C2F80">
        <w:t>’</w:t>
      </w:r>
      <w:r w:rsidR="00CD04C1" w:rsidRPr="00B713EE">
        <w:t>ordre du jour)</w:t>
      </w:r>
    </w:p>
    <w:p w:rsidR="00CD04C1" w:rsidRPr="00B713EE" w:rsidRDefault="00CD04C1" w:rsidP="00CA41BB">
      <w:pPr>
        <w:pStyle w:val="ParNoG"/>
        <w:tabs>
          <w:tab w:val="clear" w:pos="1701"/>
        </w:tabs>
        <w:rPr>
          <w:spacing w:val="-4"/>
        </w:rPr>
      </w:pPr>
      <w:r w:rsidRPr="00B713EE">
        <w:rPr>
          <w:spacing w:val="-4"/>
        </w:rPr>
        <w:t>La 123</w:t>
      </w:r>
      <w:r w:rsidRPr="00B713EE">
        <w:rPr>
          <w:spacing w:val="-4"/>
          <w:vertAlign w:val="superscript"/>
        </w:rPr>
        <w:t>e</w:t>
      </w:r>
      <w:r w:rsidR="002B129D" w:rsidRPr="00B713EE">
        <w:rPr>
          <w:spacing w:val="-4"/>
        </w:rPr>
        <w:t> </w:t>
      </w:r>
      <w:r w:rsidRPr="00B713EE">
        <w:rPr>
          <w:spacing w:val="-4"/>
        </w:rPr>
        <w:t>session du WP.29/AC.2 s</w:t>
      </w:r>
      <w:r w:rsidR="007C2F80">
        <w:rPr>
          <w:spacing w:val="-4"/>
        </w:rPr>
        <w:t>’</w:t>
      </w:r>
      <w:r w:rsidRPr="00B713EE">
        <w:rPr>
          <w:spacing w:val="-4"/>
        </w:rPr>
        <w:t>est tenue le 13</w:t>
      </w:r>
      <w:r w:rsidR="002B129D" w:rsidRPr="00B713EE">
        <w:rPr>
          <w:spacing w:val="-4"/>
        </w:rPr>
        <w:t> </w:t>
      </w:r>
      <w:r w:rsidRPr="00B713EE">
        <w:rPr>
          <w:spacing w:val="-4"/>
        </w:rPr>
        <w:t xml:space="preserve">mars 2017 sous la présidence de </w:t>
      </w:r>
      <w:r w:rsidR="002B129D" w:rsidRPr="00B713EE">
        <w:rPr>
          <w:spacing w:val="-4"/>
        </w:rPr>
        <w:t>M. A. </w:t>
      </w:r>
      <w:r w:rsidRPr="00B713EE">
        <w:rPr>
          <w:spacing w:val="-4"/>
        </w:rPr>
        <w:t>Erario (Italie). Étaient présents, conformément à l</w:t>
      </w:r>
      <w:r w:rsidR="007C2F80">
        <w:rPr>
          <w:spacing w:val="-4"/>
        </w:rPr>
        <w:t>’</w:t>
      </w:r>
      <w:r w:rsidRPr="00B713EE">
        <w:rPr>
          <w:spacing w:val="-4"/>
        </w:rPr>
        <w:t>article 29 du mandat et du règlement intérieur du WP.29 (TRANS/WP.29/690 et Amend.1 et 2), les Présidents du GRB (France), du GRE (Belgique), du GRPE (Pays-Bas), du GRRF (Royaume-Uni), du GRSP (États-Unis d</w:t>
      </w:r>
      <w:r w:rsidR="007C2F80">
        <w:rPr>
          <w:spacing w:val="-4"/>
        </w:rPr>
        <w:t>’</w:t>
      </w:r>
      <w:r w:rsidRPr="00B713EE">
        <w:rPr>
          <w:spacing w:val="-4"/>
        </w:rPr>
        <w:t>Amérique) et du GRSG (Italie), le Vice-Président du Comité exécutif (AC.3) de l</w:t>
      </w:r>
      <w:r w:rsidR="007C2F80">
        <w:rPr>
          <w:spacing w:val="-4"/>
        </w:rPr>
        <w:t>’</w:t>
      </w:r>
      <w:r w:rsidRPr="00B713EE">
        <w:rPr>
          <w:spacing w:val="-4"/>
        </w:rPr>
        <w:t>Accord de 1998 (Japon), le Vice-président du WP.29 (Russie), les représentants de l</w:t>
      </w:r>
      <w:r w:rsidR="007C2F80">
        <w:rPr>
          <w:spacing w:val="-4"/>
        </w:rPr>
        <w:t>’</w:t>
      </w:r>
      <w:r w:rsidRPr="00B713EE">
        <w:rPr>
          <w:spacing w:val="-4"/>
        </w:rPr>
        <w:t>Allemagne, des États-Unis d</w:t>
      </w:r>
      <w:r w:rsidR="007C2F80">
        <w:rPr>
          <w:spacing w:val="-4"/>
        </w:rPr>
        <w:t>’</w:t>
      </w:r>
      <w:r w:rsidRPr="00B713EE">
        <w:rPr>
          <w:spacing w:val="-4"/>
        </w:rPr>
        <w:t>Amérique, de l</w:t>
      </w:r>
      <w:r w:rsidR="007C2F80">
        <w:rPr>
          <w:spacing w:val="-4"/>
        </w:rPr>
        <w:t>’</w:t>
      </w:r>
      <w:r w:rsidRPr="00B713EE">
        <w:rPr>
          <w:spacing w:val="-4"/>
        </w:rPr>
        <w:t>Inde, du Japon</w:t>
      </w:r>
      <w:r w:rsidR="00094633">
        <w:rPr>
          <w:spacing w:val="-4"/>
        </w:rPr>
        <w:t>, de la République de Corée</w:t>
      </w:r>
      <w:r w:rsidRPr="00B713EE">
        <w:rPr>
          <w:spacing w:val="-4"/>
        </w:rPr>
        <w:t xml:space="preserve"> et de l</w:t>
      </w:r>
      <w:r w:rsidR="007C2F80">
        <w:rPr>
          <w:spacing w:val="-4"/>
        </w:rPr>
        <w:t>’</w:t>
      </w:r>
      <w:r w:rsidRPr="00B713EE">
        <w:rPr>
          <w:spacing w:val="-4"/>
        </w:rPr>
        <w:t>Union européenne (UE).</w:t>
      </w:r>
    </w:p>
    <w:p w:rsidR="00CD04C1" w:rsidRPr="00B713EE" w:rsidRDefault="00CD04C1" w:rsidP="00CA41BB">
      <w:pPr>
        <w:pStyle w:val="ParNoG"/>
        <w:tabs>
          <w:tab w:val="clear" w:pos="1701"/>
        </w:tabs>
        <w:rPr>
          <w:bCs/>
        </w:rPr>
      </w:pPr>
      <w:r w:rsidRPr="00B713EE">
        <w:rPr>
          <w:bCs/>
        </w:rPr>
        <w:t>Le WP.29/AC.2 a examiné et adopté l</w:t>
      </w:r>
      <w:r w:rsidR="007C2F80">
        <w:rPr>
          <w:bCs/>
        </w:rPr>
        <w:t>’</w:t>
      </w:r>
      <w:r w:rsidRPr="00B713EE">
        <w:rPr>
          <w:bCs/>
        </w:rPr>
        <w:t>ordre du jour de la 171</w:t>
      </w:r>
      <w:r w:rsidRPr="00B713EE">
        <w:rPr>
          <w:bCs/>
          <w:vertAlign w:val="superscript"/>
        </w:rPr>
        <w:t>e</w:t>
      </w:r>
      <w:r w:rsidR="007B2739" w:rsidRPr="00B713EE">
        <w:rPr>
          <w:bCs/>
        </w:rPr>
        <w:t> </w:t>
      </w:r>
      <w:r w:rsidRPr="00B713EE">
        <w:rPr>
          <w:bCs/>
        </w:rPr>
        <w:t>session du Forum mondial. Il a en outre examiné le projet d</w:t>
      </w:r>
      <w:r w:rsidR="007C2F80">
        <w:rPr>
          <w:bCs/>
        </w:rPr>
        <w:t>’</w:t>
      </w:r>
      <w:r w:rsidRPr="00B713EE">
        <w:rPr>
          <w:bCs/>
        </w:rPr>
        <w:t>ordre du jour de la 172</w:t>
      </w:r>
      <w:r w:rsidRPr="00B713EE">
        <w:rPr>
          <w:bCs/>
          <w:vertAlign w:val="superscript"/>
        </w:rPr>
        <w:t>e</w:t>
      </w:r>
      <w:r w:rsidR="007B2739" w:rsidRPr="00B713EE">
        <w:rPr>
          <w:bCs/>
        </w:rPr>
        <w:t> </w:t>
      </w:r>
      <w:r w:rsidRPr="00B713EE">
        <w:rPr>
          <w:bCs/>
        </w:rPr>
        <w:t xml:space="preserve">session du Forum, qui doit se tenir à Genève du 20 au </w:t>
      </w:r>
      <w:r w:rsidR="007B2739" w:rsidRPr="00B713EE">
        <w:rPr>
          <w:bCs/>
        </w:rPr>
        <w:t>23 </w:t>
      </w:r>
      <w:r w:rsidRPr="00B713EE">
        <w:rPr>
          <w:bCs/>
        </w:rPr>
        <w:t>juin 2017.</w:t>
      </w:r>
    </w:p>
    <w:p w:rsidR="00CD04C1" w:rsidRPr="00B713EE" w:rsidRDefault="00CD04C1" w:rsidP="00CA41BB">
      <w:pPr>
        <w:pStyle w:val="ParNoG"/>
        <w:tabs>
          <w:tab w:val="clear" w:pos="1701"/>
        </w:tabs>
      </w:pPr>
      <w:r w:rsidRPr="00B713EE">
        <w:t>L</w:t>
      </w:r>
      <w:r w:rsidR="007C2F80">
        <w:t>’</w:t>
      </w:r>
      <w:r w:rsidRPr="00B713EE">
        <w:t>AC.2 a examiné le premier règlement de l</w:t>
      </w:r>
      <w:r w:rsidR="007C2F80">
        <w:t>’</w:t>
      </w:r>
      <w:r w:rsidRPr="00B713EE">
        <w:t>ONU portant sur les fonctions de conduite automatisée. Les fonctions de direction à commande automatiqu</w:t>
      </w:r>
      <w:r w:rsidR="007B2739" w:rsidRPr="00B713EE">
        <w:t>e faisaient l</w:t>
      </w:r>
      <w:r w:rsidR="007C2F80">
        <w:t>’</w:t>
      </w:r>
      <w:r w:rsidR="007B2739" w:rsidRPr="00B713EE">
        <w:t>objet de la série </w:t>
      </w:r>
      <w:r w:rsidRPr="00B713EE">
        <w:t>02 d</w:t>
      </w:r>
      <w:r w:rsidR="007C2F80">
        <w:t>’</w:t>
      </w:r>
      <w:r w:rsidRPr="00B713EE">
        <w:t xml:space="preserve">amendements au Règlement </w:t>
      </w:r>
      <w:r w:rsidR="007B2739" w:rsidRPr="00B713EE">
        <w:rPr>
          <w:rFonts w:eastAsia="MS Mincho"/>
        </w:rPr>
        <w:t>n</w:t>
      </w:r>
      <w:r w:rsidR="007B2739" w:rsidRPr="00B713EE">
        <w:rPr>
          <w:rFonts w:eastAsia="MS Mincho"/>
          <w:vertAlign w:val="superscript"/>
        </w:rPr>
        <w:t>o</w:t>
      </w:r>
      <w:r w:rsidR="007B2739" w:rsidRPr="00B713EE">
        <w:rPr>
          <w:rFonts w:eastAsia="MS Mincho"/>
        </w:rPr>
        <w:t> </w:t>
      </w:r>
      <w:r w:rsidRPr="00B713EE">
        <w:t>79. Les représentants des Parties contractantes ont convenu que le WP.29 était l</w:t>
      </w:r>
      <w:r w:rsidR="007C2F80">
        <w:t>’</w:t>
      </w:r>
      <w:r w:rsidRPr="00B713EE">
        <w:t>instance appropriée pour examiner cette question et en particulier les dates de mise en œuvre qui permettent d</w:t>
      </w:r>
      <w:r w:rsidR="007C2F80">
        <w:t>’</w:t>
      </w:r>
      <w:r w:rsidRPr="00B713EE">
        <w:t>assurer le niveau le plus élevé de sécurité. Le représentant de l</w:t>
      </w:r>
      <w:r w:rsidR="007C2F80">
        <w:t>’</w:t>
      </w:r>
      <w:r w:rsidRPr="00B713EE">
        <w:t>UE a déclaré préférer que les mesures transitoires prennent effet au plus tard en 2021.</w:t>
      </w:r>
    </w:p>
    <w:p w:rsidR="00CD04C1" w:rsidRPr="00B713EE" w:rsidRDefault="00CD04C1" w:rsidP="00CA41BB">
      <w:pPr>
        <w:pStyle w:val="ParNoG"/>
        <w:tabs>
          <w:tab w:val="clear" w:pos="1701"/>
        </w:tabs>
      </w:pPr>
      <w:r w:rsidRPr="00B713EE">
        <w:t>Le représentant du Royaume-Uni, coprésident du groupe de travail informel (GTI) des systèmes de transport intelligents</w:t>
      </w:r>
      <w:r w:rsidRPr="00B713EE">
        <w:rPr>
          <w:rFonts w:ascii="Segoe UI" w:hAnsi="Segoe UI" w:cs="Segoe UI"/>
        </w:rPr>
        <w:t xml:space="preserve"> </w:t>
      </w:r>
      <w:r w:rsidRPr="00B713EE">
        <w:t>et de la conduite automatisée (STI/CA), a proposé que le WP.29 entame des discussions préliminaires sur la question de la définition réglementaire des véhicules « automatisés » et qu</w:t>
      </w:r>
      <w:r w:rsidR="007C2F80">
        <w:t>’</w:t>
      </w:r>
      <w:r w:rsidRPr="00B713EE">
        <w:t>il examine la question de manière plus approfondie à sa session de juin 2017. Le représentant de l</w:t>
      </w:r>
      <w:r w:rsidR="007C2F80">
        <w:t>’</w:t>
      </w:r>
      <w:r w:rsidRPr="00B713EE">
        <w:t>UE a appuyé la proposition du Royaume-Uni. L</w:t>
      </w:r>
      <w:r w:rsidR="007C2F80">
        <w:t>’</w:t>
      </w:r>
      <w:r w:rsidRPr="00B713EE">
        <w:t xml:space="preserve">AC.2 a décidé de tenir des discussions préliminaires sur cette question le </w:t>
      </w:r>
      <w:r w:rsidR="003A49A4">
        <w:t>14 mars 2017, au titre du point </w:t>
      </w:r>
      <w:r w:rsidRPr="00B713EE">
        <w:t>2.3 de l</w:t>
      </w:r>
      <w:r w:rsidR="007C2F80">
        <w:t>’</w:t>
      </w:r>
      <w:r w:rsidRPr="00B713EE">
        <w:t>ordre du jour du WP.29.</w:t>
      </w:r>
    </w:p>
    <w:p w:rsidR="00CD04C1" w:rsidRPr="00B713EE" w:rsidRDefault="00CD04C1" w:rsidP="00CA41BB">
      <w:pPr>
        <w:pStyle w:val="ParNoG"/>
        <w:tabs>
          <w:tab w:val="clear" w:pos="1701"/>
        </w:tabs>
      </w:pPr>
      <w:r w:rsidRPr="00B713EE">
        <w:t>Le représentant du Japon a rendu compte des progrès réalisés par le groupe de travail informel de l</w:t>
      </w:r>
      <w:r w:rsidR="007C2F80">
        <w:t>’</w:t>
      </w:r>
      <w:r w:rsidRPr="00B713EE">
        <w:t>homologation de type internationale de l</w:t>
      </w:r>
      <w:r w:rsidR="007C2F80">
        <w:t>’</w:t>
      </w:r>
      <w:r w:rsidRPr="00B713EE">
        <w:t>ensemble du véhicule (IWVTA). Il a attiré l</w:t>
      </w:r>
      <w:r w:rsidR="007C2F80">
        <w:t>’</w:t>
      </w:r>
      <w:r w:rsidRPr="00B713EE">
        <w:t>attention sur la liste des Règlements de l</w:t>
      </w:r>
      <w:r w:rsidR="007C2F80">
        <w:t>’</w:t>
      </w:r>
      <w:r w:rsidRPr="00B713EE">
        <w:t>ONU pouvant être pris en considération dans le cadre de l</w:t>
      </w:r>
      <w:r w:rsidR="007C2F80">
        <w:t>’</w:t>
      </w:r>
      <w:r w:rsidRPr="00B713EE">
        <w:t>homologation IWVTA et sur les documents de questions-réponses co</w:t>
      </w:r>
      <w:r w:rsidR="007B2739" w:rsidRPr="00B713EE">
        <w:t>ncernant l</w:t>
      </w:r>
      <w:r w:rsidR="007C2F80">
        <w:t>’</w:t>
      </w:r>
      <w:r w:rsidR="007B2739" w:rsidRPr="00B713EE">
        <w:t>IWVTA et la révision </w:t>
      </w:r>
      <w:r w:rsidRPr="00B713EE">
        <w:t>3 de l</w:t>
      </w:r>
      <w:r w:rsidR="007C2F80">
        <w:t>’</w:t>
      </w:r>
      <w:r w:rsidRPr="00B713EE">
        <w:t>Accord de 1958, ainsi que sur le projet révisé de Directives générales concernant l</w:t>
      </w:r>
      <w:r w:rsidR="007C2F80">
        <w:t>’</w:t>
      </w:r>
      <w:r w:rsidRPr="00B713EE">
        <w:t>élaboration des Règlements de l</w:t>
      </w:r>
      <w:r w:rsidR="007C2F80">
        <w:t>’</w:t>
      </w:r>
      <w:r w:rsidRPr="00B713EE">
        <w:t>ONU et les dispositions transitoires qu</w:t>
      </w:r>
      <w:r w:rsidR="007C2F80">
        <w:t>’</w:t>
      </w:r>
      <w:r w:rsidRPr="00B713EE">
        <w:t xml:space="preserve">ils contiennent. </w:t>
      </w:r>
    </w:p>
    <w:p w:rsidR="00CD04C1" w:rsidRPr="00B713EE" w:rsidRDefault="00CD04C1" w:rsidP="00CA41BB">
      <w:pPr>
        <w:pStyle w:val="ParNoG"/>
        <w:tabs>
          <w:tab w:val="clear" w:pos="1701"/>
        </w:tabs>
      </w:pPr>
      <w:r w:rsidRPr="00B713EE">
        <w:t>Le secrétariat a informé l</w:t>
      </w:r>
      <w:r w:rsidR="007C2F80">
        <w:t>’</w:t>
      </w:r>
      <w:r w:rsidRPr="00B713EE">
        <w:t xml:space="preserve">AC.2 des décisions du Comité des transports intérieurs (CTI) qui présentent un intérêt pour les activités du WP.29. Dans sa décision </w:t>
      </w:r>
      <w:r w:rsidR="007B2739" w:rsidRPr="00B713EE">
        <w:rPr>
          <w:rFonts w:eastAsia="MS Mincho"/>
        </w:rPr>
        <w:t>n</w:t>
      </w:r>
      <w:r w:rsidR="007B2739" w:rsidRPr="00B713EE">
        <w:rPr>
          <w:rFonts w:eastAsia="MS Mincho"/>
          <w:vertAlign w:val="superscript"/>
        </w:rPr>
        <w:t>o</w:t>
      </w:r>
      <w:r w:rsidR="007B2739" w:rsidRPr="00B713EE">
        <w:rPr>
          <w:rFonts w:eastAsia="MS Mincho"/>
        </w:rPr>
        <w:t> </w:t>
      </w:r>
      <w:r w:rsidRPr="00B713EE">
        <w:t>22, le CTI demandait ainsi que le financement de la base de données pour l</w:t>
      </w:r>
      <w:r w:rsidR="007C2F80">
        <w:t>’</w:t>
      </w:r>
      <w:r w:rsidRPr="00B713EE">
        <w:t>échange d</w:t>
      </w:r>
      <w:r w:rsidR="007C2F80">
        <w:t>’</w:t>
      </w:r>
      <w:r w:rsidRPr="00B713EE">
        <w:t>informations concernant l</w:t>
      </w:r>
      <w:r w:rsidR="007C2F80">
        <w:t>’</w:t>
      </w:r>
      <w:r w:rsidRPr="00B713EE">
        <w:t>homologation de type (DETA) soit imputé sur le budget ordinaire de l</w:t>
      </w:r>
      <w:r w:rsidR="007C2F80">
        <w:t>’</w:t>
      </w:r>
      <w:r w:rsidRPr="00B713EE">
        <w:t>ONU.</w:t>
      </w:r>
      <w:r w:rsidRPr="00B713EE">
        <w:rPr>
          <w:rFonts w:ascii="Segoe UI" w:hAnsi="Segoe UI" w:cs="Segoe UI"/>
        </w:rPr>
        <w:t xml:space="preserve"> </w:t>
      </w:r>
      <w:r w:rsidRPr="00B713EE">
        <w:t>Le Président du CTI portera cette demande à l</w:t>
      </w:r>
      <w:r w:rsidR="007C2F80">
        <w:t>’</w:t>
      </w:r>
      <w:r w:rsidRPr="00B713EE">
        <w:t>attention du Comité exécutif à la prochaine session, le 24 mars 2017.</w:t>
      </w:r>
    </w:p>
    <w:p w:rsidR="00CD04C1" w:rsidRPr="00B713EE" w:rsidRDefault="00CD04C1" w:rsidP="00CA41BB">
      <w:pPr>
        <w:pStyle w:val="ParNoG"/>
        <w:tabs>
          <w:tab w:val="clear" w:pos="1701"/>
        </w:tabs>
      </w:pPr>
      <w:r w:rsidRPr="00B713EE">
        <w:t>Le secrétariat a informé l</w:t>
      </w:r>
      <w:r w:rsidR="007C2F80">
        <w:t>’</w:t>
      </w:r>
      <w:r w:rsidRPr="00B713EE">
        <w:t>AC.2 de la situation en ce qui concerne le regroupement des règlements, compte tenu de la réduction des effectifs et de ses incidences sur les services fournis au WP.29. Les représentants des Parties contractantes ont fait part de leur préoccupation concernant la situation actuelle des ressources humaines au secrétariat et exprimé leur plein appui aux démarches visant à faire face à cette diminution des ressources. Ils ont souligné combien il était très important que le secrétariat mène à bien ce travail de regroupement afin que les autorités nationales d</w:t>
      </w:r>
      <w:r w:rsidR="007C2F80">
        <w:t>’</w:t>
      </w:r>
      <w:r w:rsidRPr="00B713EE">
        <w:t>homologation puissent interpréter correctement les règlements. L</w:t>
      </w:r>
      <w:r w:rsidR="007C2F80">
        <w:t>’</w:t>
      </w:r>
      <w:r w:rsidRPr="00B713EE">
        <w:t>UE a proposé de porter ce problème de personnel à l</w:t>
      </w:r>
      <w:r w:rsidR="007C2F80">
        <w:t>’</w:t>
      </w:r>
      <w:r w:rsidRPr="00B713EE">
        <w:t>attention de l</w:t>
      </w:r>
      <w:r w:rsidR="007C2F80">
        <w:t>’</w:t>
      </w:r>
      <w:r w:rsidRPr="00B713EE">
        <w:t>instance appropriée des Nations Unies.</w:t>
      </w:r>
    </w:p>
    <w:p w:rsidR="00CD04C1" w:rsidRPr="00B713EE" w:rsidRDefault="00CD04C1" w:rsidP="00743036">
      <w:pPr>
        <w:pStyle w:val="ParNoG"/>
        <w:keepNext/>
        <w:keepLines/>
        <w:tabs>
          <w:tab w:val="clear" w:pos="1701"/>
        </w:tabs>
      </w:pPr>
      <w:r w:rsidRPr="00B713EE">
        <w:t>Le représentant de l</w:t>
      </w:r>
      <w:r w:rsidR="007C2F80">
        <w:t>’</w:t>
      </w:r>
      <w:r w:rsidRPr="00B713EE">
        <w:t>UE a informé l</w:t>
      </w:r>
      <w:r w:rsidR="007C2F80">
        <w:t>’</w:t>
      </w:r>
      <w:r w:rsidRPr="00B713EE">
        <w:t>AC.</w:t>
      </w:r>
      <w:r w:rsidR="00094633">
        <w:t>2</w:t>
      </w:r>
      <w:r w:rsidRPr="00B713EE">
        <w:t xml:space="preserve"> qu</w:t>
      </w:r>
      <w:r w:rsidR="007C2F80">
        <w:t>’</w:t>
      </w:r>
      <w:r w:rsidRPr="00B713EE">
        <w:t>il n</w:t>
      </w:r>
      <w:r w:rsidR="007C2F80">
        <w:t>’</w:t>
      </w:r>
      <w:r w:rsidRPr="00B713EE">
        <w:t xml:space="preserve">était pas en mesure de voter sur les règlements techniques à inscrire au Recueil des règlements techniques mondiaux admissibles </w:t>
      </w:r>
      <w:r w:rsidR="007B2739" w:rsidRPr="00B713EE">
        <w:t>(point </w:t>
      </w:r>
      <w:r w:rsidRPr="00B713EE">
        <w:t>5.3 de l</w:t>
      </w:r>
      <w:r w:rsidR="007C2F80">
        <w:t>’</w:t>
      </w:r>
      <w:r w:rsidRPr="00B713EE">
        <w:t xml:space="preserve">ordre du jour du WP.29) car il ne disposait pas, momentanément, du mandat nécessaire. </w:t>
      </w:r>
    </w:p>
    <w:p w:rsidR="00CD04C1" w:rsidRPr="00B713EE" w:rsidRDefault="00CD04C1" w:rsidP="00CA41BB">
      <w:pPr>
        <w:pStyle w:val="ParNoG"/>
        <w:tabs>
          <w:tab w:val="clear" w:pos="1701"/>
        </w:tabs>
      </w:pPr>
      <w:r w:rsidRPr="00B713EE">
        <w:t>Le représentant de la Fédération de Russie a informé l</w:t>
      </w:r>
      <w:r w:rsidR="007C2F80">
        <w:t>’</w:t>
      </w:r>
      <w:r w:rsidRPr="00B713EE">
        <w:t>AC.2 que la neuvième session de l</w:t>
      </w:r>
      <w:r w:rsidR="007C2F80">
        <w:t>’</w:t>
      </w:r>
      <w:r w:rsidRPr="00B713EE">
        <w:t>AC.4 se tiendrait le 15 mars 2017, si le quorum nécessaire est réuni. Le secrétariat a informé l</w:t>
      </w:r>
      <w:r w:rsidR="007C2F80">
        <w:t>’</w:t>
      </w:r>
      <w:r w:rsidRPr="00B713EE">
        <w:t>AC.2 que les Parties contractantes devraient élire le Président et le Vice-président de l</w:t>
      </w:r>
      <w:r w:rsidR="007C2F80">
        <w:t>’</w:t>
      </w:r>
      <w:r w:rsidRPr="00B713EE">
        <w:t>AC.4. Le représentant de la Fédération de Russie a confirmé que sa délégation désignerait un candidat.</w:t>
      </w:r>
    </w:p>
    <w:p w:rsidR="00CD04C1" w:rsidRPr="00B713EE" w:rsidRDefault="00CD04C1" w:rsidP="00CA41BB">
      <w:pPr>
        <w:pStyle w:val="ParNoG"/>
        <w:tabs>
          <w:tab w:val="clear" w:pos="1701"/>
        </w:tabs>
      </w:pPr>
      <w:r w:rsidRPr="00B713EE">
        <w:t>Le secrétariat a rappelé aux groupes de travail qu</w:t>
      </w:r>
      <w:r w:rsidR="007C2F80">
        <w:t>’</w:t>
      </w:r>
      <w:r w:rsidRPr="00B713EE">
        <w:t>ils devaient l</w:t>
      </w:r>
      <w:r w:rsidR="007C2F80">
        <w:t>’</w:t>
      </w:r>
      <w:r w:rsidRPr="00B713EE">
        <w:t>informer chaque fois qu</w:t>
      </w:r>
      <w:r w:rsidR="007C2F80">
        <w:t>’</w:t>
      </w:r>
      <w:r w:rsidRPr="00B713EE">
        <w:t>ils utilisaient une nouvelle abréviation dans leurs documents. Le document correspondant, disponible sur le site Web du WP.29, devait être actualisé d</w:t>
      </w:r>
      <w:r w:rsidR="007C2F80">
        <w:t>’</w:t>
      </w:r>
      <w:r w:rsidRPr="00B713EE">
        <w:t>ici à la fin du mois de mars 2017.</w:t>
      </w:r>
    </w:p>
    <w:p w:rsidR="00CD04C1" w:rsidRPr="00B713EE" w:rsidRDefault="00CD04C1" w:rsidP="00636F7B">
      <w:pPr>
        <w:pStyle w:val="H1G"/>
      </w:pPr>
      <w:r w:rsidRPr="00B713EE">
        <w:tab/>
      </w:r>
      <w:bookmarkStart w:id="8" w:name="_Toc478663108"/>
      <w:r w:rsidRPr="00B713EE">
        <w:t>B.</w:t>
      </w:r>
      <w:r w:rsidRPr="00B713EE">
        <w:tab/>
      </w:r>
      <w:bookmarkEnd w:id="8"/>
      <w:r w:rsidRPr="00B713EE">
        <w:t>Programme de travail, liste des documents et calendrier des sessions pour l</w:t>
      </w:r>
      <w:r w:rsidR="007C2F80">
        <w:t>’</w:t>
      </w:r>
      <w:r w:rsidRPr="00B713EE">
        <w:t>année 2017 (p</w:t>
      </w:r>
      <w:r w:rsidR="007B2739" w:rsidRPr="00B713EE">
        <w:t>oint </w:t>
      </w:r>
      <w:r w:rsidRPr="00B713EE">
        <w:t>2.2 de l</w:t>
      </w:r>
      <w:r w:rsidR="007C2F80">
        <w:t>’</w:t>
      </w:r>
      <w:r w:rsidRPr="00B713EE">
        <w:t>ordre du jour)</w:t>
      </w:r>
    </w:p>
    <w:p w:rsidR="00CD04C1" w:rsidRPr="00B713EE" w:rsidRDefault="001F7EFD" w:rsidP="001F7EFD">
      <w:pPr>
        <w:pStyle w:val="SingleTxtG"/>
        <w:ind w:left="2835" w:hanging="1701"/>
        <w:jc w:val="left"/>
      </w:pPr>
      <w:r w:rsidRPr="00B713EE">
        <w:rPr>
          <w:i/>
        </w:rPr>
        <w:t>Document(s)</w:t>
      </w:r>
      <w:r w:rsidRPr="00B713EE">
        <w:t> :</w:t>
      </w:r>
      <w:r w:rsidR="00CD04C1" w:rsidRPr="00B713EE">
        <w:rPr>
          <w:i/>
        </w:rPr>
        <w:tab/>
      </w:r>
      <w:r w:rsidR="00CD04C1" w:rsidRPr="00B713EE">
        <w:t>ECE/</w:t>
      </w:r>
      <w:r w:rsidR="00CD04C1" w:rsidRPr="00094633">
        <w:t>TRANS</w:t>
      </w:r>
      <w:r w:rsidR="00CD04C1" w:rsidRPr="00B713EE">
        <w:t>/WP.29/2017/1</w:t>
      </w:r>
      <w:r w:rsidR="00536634" w:rsidRPr="00B713EE">
        <w:t> ;</w:t>
      </w:r>
      <w:r w:rsidR="003A49A4">
        <w:t xml:space="preserve"> </w:t>
      </w:r>
      <w:r w:rsidR="006B4D9D" w:rsidRPr="00B713EE">
        <w:br/>
      </w:r>
      <w:r w:rsidR="00CD04C1" w:rsidRPr="00B713EE">
        <w:t>Document informel WP.29-171-01</w:t>
      </w:r>
      <w:r w:rsidR="00536634" w:rsidRPr="00B713EE">
        <w:t>.</w:t>
      </w:r>
    </w:p>
    <w:p w:rsidR="00CD04C1" w:rsidRPr="00B713EE" w:rsidRDefault="00CD04C1" w:rsidP="00CA41BB">
      <w:pPr>
        <w:pStyle w:val="ParNoG"/>
        <w:tabs>
          <w:tab w:val="clear" w:pos="1701"/>
        </w:tabs>
      </w:pPr>
      <w:r w:rsidRPr="00B713EE">
        <w:t>Le secrétariat a présenté le programme de travail en commençant par les grandes priorités pour le WP.29 que sont l</w:t>
      </w:r>
      <w:r w:rsidR="007C2F80">
        <w:t>’</w:t>
      </w:r>
      <w:r w:rsidRPr="00B713EE">
        <w:t>automatisation des véhicules, l</w:t>
      </w:r>
      <w:r w:rsidR="007C2F80">
        <w:t>’</w:t>
      </w:r>
      <w:r w:rsidRPr="00B713EE">
        <w:t>électrification de la chaîne de traction et le renforcement de la protection de l</w:t>
      </w:r>
      <w:r w:rsidR="007C2F80">
        <w:t>’</w:t>
      </w:r>
      <w:r w:rsidRPr="00B713EE">
        <w:t>environnement. Au nombre des priorités figureraient également de nouveaux efforts de mise en œuvre des Accords de 1958, 1997 et 1998, les principales activités horizontales et les principales questions abordées par les organes subsidiaires du WP.29 (ECE/TRANS/WP.29/2017/1).</w:t>
      </w:r>
      <w:r w:rsidRPr="00B713EE">
        <w:rPr>
          <w:rFonts w:ascii="Segoe UI" w:hAnsi="Segoe UI" w:cs="Segoe UI"/>
        </w:rPr>
        <w:t xml:space="preserve"> </w:t>
      </w:r>
      <w:r w:rsidRPr="00B713EE">
        <w:t xml:space="preserve">Le Forum mondial a pris note de la version révisée du programme de travail et de la liste des documents. </w:t>
      </w:r>
    </w:p>
    <w:p w:rsidR="00CD04C1" w:rsidRPr="00B713EE" w:rsidRDefault="00CD04C1" w:rsidP="00CA41BB">
      <w:pPr>
        <w:pStyle w:val="ParNoG"/>
        <w:tabs>
          <w:tab w:val="clear" w:pos="1701"/>
        </w:tabs>
      </w:pPr>
      <w:r w:rsidRPr="00B713EE">
        <w:t>Le secrétariat a présenté la liste des Groupes de travail, des groupes de travail informels et de leurs présidents (basée sur le document WP.29-171-01). Le Forum mondial a pris note du document WP.29-171-01 sur les groupes de travail informels du WP.29 et de ses organes subsidiaires.</w:t>
      </w:r>
    </w:p>
    <w:p w:rsidR="00CD04C1" w:rsidRPr="00B713EE" w:rsidRDefault="00CD04C1" w:rsidP="00A73423">
      <w:pPr>
        <w:pStyle w:val="H1G"/>
      </w:pPr>
      <w:r w:rsidRPr="00B713EE">
        <w:tab/>
      </w:r>
      <w:bookmarkStart w:id="9" w:name="_Toc478663109"/>
      <w:r w:rsidRPr="00B713EE">
        <w:t>C.</w:t>
      </w:r>
      <w:r w:rsidRPr="00B713EE">
        <w:tab/>
        <w:t xml:space="preserve">Systèmes de transport intelligents et véhicules automatisés </w:t>
      </w:r>
      <w:r w:rsidR="00A73423" w:rsidRPr="00B713EE">
        <w:br/>
      </w:r>
      <w:r w:rsidRPr="00B713EE">
        <w:t>(point 2.3 de l</w:t>
      </w:r>
      <w:r w:rsidR="007C2F80">
        <w:t>’</w:t>
      </w:r>
      <w:r w:rsidRPr="00B713EE">
        <w:t>ordre du jour)</w:t>
      </w:r>
      <w:bookmarkEnd w:id="9"/>
    </w:p>
    <w:p w:rsidR="00CD04C1" w:rsidRPr="00B713EE" w:rsidRDefault="00CD04C1" w:rsidP="00CA41BB">
      <w:pPr>
        <w:pStyle w:val="ParNoG"/>
        <w:tabs>
          <w:tab w:val="clear" w:pos="1701"/>
        </w:tabs>
      </w:pPr>
      <w:bookmarkStart w:id="10" w:name="_Toc392251104"/>
      <w:r w:rsidRPr="00B713EE">
        <w:t>Le représentant du Royaume-Uni, Coprésident du groupe de travail informel des systèmes de transport intelligents et de la conduite automatisée (STI/CA), a proposé que le Forum mondial entreprenne des activités visant à mettre au point une définition de « véhicule automatisé » aux fins de la réglementation. Il a fait valoir que les sociétés et les individus pensaient à des véhicules complétement automatisés plutôt qu</w:t>
      </w:r>
      <w:r w:rsidR="007C2F80">
        <w:t>’</w:t>
      </w:r>
      <w:r w:rsidRPr="00B713EE">
        <w:t xml:space="preserve">à des véhicules ordinaires ayant des fonctions automatiques en matière de freinage et de direction, dans le contexte des Règlements </w:t>
      </w:r>
      <w:r w:rsidR="003A49A4">
        <w:rPr>
          <w:rFonts w:eastAsia="MS Mincho"/>
        </w:rPr>
        <w:t>n</w:t>
      </w:r>
      <w:r w:rsidR="003A49A4">
        <w:rPr>
          <w:rFonts w:eastAsia="MS Mincho"/>
          <w:vertAlign w:val="superscript"/>
        </w:rPr>
        <w:t>os</w:t>
      </w:r>
      <w:r w:rsidR="003A49A4" w:rsidRPr="00AA7C01">
        <w:rPr>
          <w:rFonts w:eastAsia="MS Mincho"/>
        </w:rPr>
        <w:t> </w:t>
      </w:r>
      <w:r w:rsidRPr="00B713EE">
        <w:t>13-H et 79. Il a poursuivi en soulignant que ces questions allaient bien au-delà des catégories de véhicules classiques sur lesquelles portent généralement les Règlements de l</w:t>
      </w:r>
      <w:r w:rsidR="007C2F80">
        <w:t>’</w:t>
      </w:r>
      <w:r w:rsidRPr="00B713EE">
        <w:t>ONU et qu</w:t>
      </w:r>
      <w:r w:rsidR="007C2F80">
        <w:t>’</w:t>
      </w:r>
      <w:r w:rsidRPr="00B713EE">
        <w:t>il s</w:t>
      </w:r>
      <w:r w:rsidR="007C2F80">
        <w:t>’</w:t>
      </w:r>
      <w:r w:rsidRPr="00B713EE">
        <w:t>agissait d</w:t>
      </w:r>
      <w:r w:rsidR="007C2F80">
        <w:t>’</w:t>
      </w:r>
      <w:r w:rsidRPr="00B713EE">
        <w:t>un nouveau domaine à aborder à l</w:t>
      </w:r>
      <w:r w:rsidR="007C2F80">
        <w:t>’</w:t>
      </w:r>
      <w:r w:rsidRPr="00B713EE">
        <w:t>avenir. Il a souligné que le groupe de travail informel STI/CA était prêt à prendre l</w:t>
      </w:r>
      <w:r w:rsidR="007C2F80">
        <w:t>’</w:t>
      </w:r>
      <w:r w:rsidRPr="00B713EE">
        <w:t>initiative de commencer à étudier l</w:t>
      </w:r>
      <w:r w:rsidR="007C2F80">
        <w:t>’</w:t>
      </w:r>
      <w:r w:rsidRPr="00B713EE">
        <w:t>élaboration d</w:t>
      </w:r>
      <w:r w:rsidR="007C2F80">
        <w:t>’</w:t>
      </w:r>
      <w:r w:rsidRPr="00B713EE">
        <w:t>une telle approche stratégique d</w:t>
      </w:r>
      <w:r w:rsidR="007C2F80">
        <w:t>’</w:t>
      </w:r>
      <w:r w:rsidRPr="00B713EE">
        <w:t>un véhicule « automa</w:t>
      </w:r>
      <w:r w:rsidR="007B2739" w:rsidRPr="00B713EE">
        <w:t>tisé » lors de sa réunion du 16 </w:t>
      </w:r>
      <w:r w:rsidRPr="00B713EE">
        <w:t>mars 2017 et a suggéré que le Forum mondial envisage de tenir un débat initial approfondi sur la question lors de sa 172</w:t>
      </w:r>
      <w:r w:rsidRPr="00B713EE">
        <w:rPr>
          <w:vertAlign w:val="superscript"/>
        </w:rPr>
        <w:t>e</w:t>
      </w:r>
      <w:r w:rsidR="007B2739" w:rsidRPr="00B713EE">
        <w:t> </w:t>
      </w:r>
      <w:r w:rsidRPr="00B713EE">
        <w:t>session, en juin 2017.</w:t>
      </w:r>
    </w:p>
    <w:p w:rsidR="00CD04C1" w:rsidRPr="00B713EE" w:rsidRDefault="00CD04C1" w:rsidP="00CA41BB">
      <w:pPr>
        <w:pStyle w:val="ParNoG"/>
        <w:tabs>
          <w:tab w:val="clear" w:pos="1701"/>
        </w:tabs>
      </w:pPr>
      <w:r w:rsidRPr="00B713EE">
        <w:t>Le représentant de l</w:t>
      </w:r>
      <w:r w:rsidR="007C2F80">
        <w:t>’</w:t>
      </w:r>
      <w:r w:rsidRPr="00B713EE">
        <w:t>Union européenne (UE) a appuyé la proposition du Royaume-Uni. Il a approuvé l</w:t>
      </w:r>
      <w:r w:rsidR="007C2F80">
        <w:t>’</w:t>
      </w:r>
      <w:r w:rsidRPr="00B713EE">
        <w:t>idée et fait valoir que le WP.29 était bien placé pour prendre une telle initiative et lancer les débats.</w:t>
      </w:r>
    </w:p>
    <w:p w:rsidR="00CD04C1" w:rsidRPr="00B713EE" w:rsidRDefault="00CD04C1" w:rsidP="00CA41BB">
      <w:pPr>
        <w:pStyle w:val="ParNoG"/>
        <w:tabs>
          <w:tab w:val="clear" w:pos="1701"/>
        </w:tabs>
      </w:pPr>
      <w:r w:rsidRPr="00B713EE">
        <w:t>Le représentant de la Malaisie a informé le WP.29 que son pays avait mis au point un plan d</w:t>
      </w:r>
      <w:r w:rsidR="007C2F80">
        <w:t>’</w:t>
      </w:r>
      <w:r w:rsidRPr="00B713EE">
        <w:t>action pour les véhicules automatisés jusqu</w:t>
      </w:r>
      <w:r w:rsidR="007C2F80">
        <w:t>’</w:t>
      </w:r>
      <w:r w:rsidRPr="00B713EE">
        <w:t>en 2050 et qu</w:t>
      </w:r>
      <w:r w:rsidR="007C2F80">
        <w:t>’</w:t>
      </w:r>
      <w:r w:rsidRPr="00B713EE">
        <w:t xml:space="preserve">il souhaiterait participer activement à cette initiative. </w:t>
      </w:r>
    </w:p>
    <w:p w:rsidR="00CD04C1" w:rsidRPr="00B713EE" w:rsidRDefault="00CD04C1" w:rsidP="00CA41BB">
      <w:pPr>
        <w:pStyle w:val="ParNoG"/>
        <w:tabs>
          <w:tab w:val="clear" w:pos="1701"/>
        </w:tabs>
      </w:pPr>
      <w:r w:rsidRPr="00B713EE">
        <w:t>Le représentant de la Finlande a également fait part de son soutien à cette initiative. Il a proposé que le WP.1 et le Comité des transports intérieurs soient invités à apporter leur contribution aux débats.</w:t>
      </w:r>
    </w:p>
    <w:p w:rsidR="00CD04C1" w:rsidRPr="00B713EE" w:rsidRDefault="00CD04C1" w:rsidP="00CA41BB">
      <w:pPr>
        <w:pStyle w:val="ParNoG"/>
        <w:tabs>
          <w:tab w:val="clear" w:pos="1701"/>
        </w:tabs>
      </w:pPr>
      <w:r w:rsidRPr="00B713EE">
        <w:t>Le représentant de l</w:t>
      </w:r>
      <w:r w:rsidR="007C2F80">
        <w:t>’</w:t>
      </w:r>
      <w:r w:rsidRPr="00B713EE">
        <w:t>OICA a appuyé l</w:t>
      </w:r>
      <w:r w:rsidR="007C2F80">
        <w:t>’</w:t>
      </w:r>
      <w:r w:rsidRPr="00B713EE">
        <w:t xml:space="preserve">initiative et déclaré que le WP.29 était le mieux placé pour examiner la question des exigences techniques applicables aux véhicules automatisés et de la stratégie générale permettant de les introduire. </w:t>
      </w:r>
    </w:p>
    <w:p w:rsidR="00CD04C1" w:rsidRPr="00B713EE" w:rsidRDefault="00CD04C1" w:rsidP="00CA41BB">
      <w:pPr>
        <w:pStyle w:val="ParNoG"/>
        <w:tabs>
          <w:tab w:val="clear" w:pos="1701"/>
        </w:tabs>
      </w:pPr>
      <w:r w:rsidRPr="00B713EE">
        <w:t>Le Forum mondial a prié le secrétariat d</w:t>
      </w:r>
      <w:r w:rsidR="007C2F80">
        <w:t>’</w:t>
      </w:r>
      <w:r w:rsidRPr="00B713EE">
        <w:t>actualiser l</w:t>
      </w:r>
      <w:r w:rsidR="007C2F80">
        <w:t>’</w:t>
      </w:r>
      <w:r w:rsidRPr="00B713EE">
        <w:t>ordre du jour de la 172</w:t>
      </w:r>
      <w:r w:rsidRPr="00B713EE">
        <w:rPr>
          <w:vertAlign w:val="superscript"/>
        </w:rPr>
        <w:t>e</w:t>
      </w:r>
      <w:r w:rsidR="003A49A4">
        <w:t> </w:t>
      </w:r>
      <w:r w:rsidRPr="00B713EE">
        <w:t>session, qui se tiendra en juin 2017, afin d</w:t>
      </w:r>
      <w:r w:rsidR="007C2F80">
        <w:t>’</w:t>
      </w:r>
      <w:r w:rsidR="007B2739" w:rsidRPr="00B713EE">
        <w:t>y introduire, au titre du point </w:t>
      </w:r>
      <w:r w:rsidRPr="00B713EE">
        <w:t>2.3, le débat stratégique proposé.</w:t>
      </w:r>
    </w:p>
    <w:p w:rsidR="00CD04C1" w:rsidRPr="00B713EE" w:rsidRDefault="00CD04C1" w:rsidP="00CA41BB">
      <w:pPr>
        <w:pStyle w:val="ParNoG"/>
        <w:tabs>
          <w:tab w:val="clear" w:pos="1701"/>
        </w:tabs>
      </w:pPr>
      <w:r w:rsidRPr="00B713EE">
        <w:t>Avant de clore la session, le Président du WP.29 a brièvement rendu compte des progrès réalisés au cours de la 11</w:t>
      </w:r>
      <w:r w:rsidRPr="00B713EE">
        <w:rPr>
          <w:vertAlign w:val="superscript"/>
        </w:rPr>
        <w:t>e</w:t>
      </w:r>
      <w:r w:rsidR="007B2739" w:rsidRPr="00B713EE">
        <w:t> </w:t>
      </w:r>
      <w:r w:rsidRPr="00B713EE">
        <w:t>réunion du GTI des systèmes de transport intelligents et de la conduite automatisée qui s</w:t>
      </w:r>
      <w:r w:rsidR="007C2F80">
        <w:t>’</w:t>
      </w:r>
      <w:r w:rsidRPr="00B713EE">
        <w:t xml:space="preserve">est tenue le </w:t>
      </w:r>
      <w:r w:rsidR="007B2739" w:rsidRPr="00B713EE">
        <w:t>16 </w:t>
      </w:r>
      <w:r w:rsidRPr="00B713EE">
        <w:t>mars 2017. Le WP.29 a noté que le groupe de travail informel consacrerait une partie de sa prochaine réunion en juin 2017 à une séance de réflexion sur la manière d</w:t>
      </w:r>
      <w:r w:rsidR="007C2F80">
        <w:t>’</w:t>
      </w:r>
      <w:r w:rsidRPr="00B713EE">
        <w:t>inclure toutes les sortes de véhicules automatisés dans les définitions des catégories de véhicules et qu</w:t>
      </w:r>
      <w:r w:rsidR="007C2F80">
        <w:t>’</w:t>
      </w:r>
      <w:r w:rsidRPr="00B713EE">
        <w:t>un questionnaire serait distribué avant la réunion pour faciliter cette réflexion. Le WP.29 a approuvé la décision du groupe de travail informel d</w:t>
      </w:r>
      <w:r w:rsidR="007C2F80">
        <w:t>’</w:t>
      </w:r>
      <w:r w:rsidRPr="00B713EE">
        <w:t>entreprendre les travaux réglementaires sur les véhicules ayant des niveaux d</w:t>
      </w:r>
      <w:r w:rsidR="007C2F80">
        <w:t>’</w:t>
      </w:r>
      <w:r w:rsidRPr="00B713EE">
        <w:t>automatisation conformes aux normes SAE</w:t>
      </w:r>
      <w:r w:rsidR="007B2739" w:rsidRPr="00B713EE">
        <w:t> </w:t>
      </w:r>
      <w:r w:rsidRPr="00B713EE">
        <w:t>3 et 4 et convenu que les orientations données aux groupes de travail par le WP.29 seraient précisées en juin 2017.</w:t>
      </w:r>
    </w:p>
    <w:p w:rsidR="00CD04C1" w:rsidRPr="00B713EE" w:rsidRDefault="00CD04C1" w:rsidP="00A73423">
      <w:pPr>
        <w:pStyle w:val="H1G"/>
      </w:pPr>
      <w:r w:rsidRPr="00B713EE">
        <w:tab/>
      </w:r>
      <w:bookmarkStart w:id="11" w:name="_Toc478663110"/>
      <w:bookmarkEnd w:id="10"/>
      <w:r w:rsidRPr="00B713EE">
        <w:t>D.</w:t>
      </w:r>
      <w:r w:rsidRPr="00B713EE">
        <w:tab/>
        <w:t>Suivi de la soixante-dix-huitième session du Comité des tra</w:t>
      </w:r>
      <w:r w:rsidR="003A49A4">
        <w:t>nsports intérieurs (CTI) (point </w:t>
      </w:r>
      <w:r w:rsidRPr="00B713EE">
        <w:t>2.4 de l</w:t>
      </w:r>
      <w:r w:rsidR="007C2F80">
        <w:t>’</w:t>
      </w:r>
      <w:r w:rsidRPr="00B713EE">
        <w:t>ordre du jour)</w:t>
      </w:r>
      <w:bookmarkEnd w:id="11"/>
    </w:p>
    <w:p w:rsidR="00CD04C1" w:rsidRPr="00B713EE" w:rsidRDefault="001F7EFD" w:rsidP="001F7EFD">
      <w:pPr>
        <w:pStyle w:val="SingleTxtG"/>
        <w:ind w:left="2835" w:hanging="1701"/>
        <w:jc w:val="left"/>
      </w:pPr>
      <w:r w:rsidRPr="00B713EE">
        <w:rPr>
          <w:i/>
        </w:rPr>
        <w:t>Document(s)</w:t>
      </w:r>
      <w:r w:rsidRPr="00B713EE">
        <w:t> :</w:t>
      </w:r>
      <w:r w:rsidR="00CD04C1" w:rsidRPr="00B713EE">
        <w:rPr>
          <w:i/>
        </w:rPr>
        <w:tab/>
      </w:r>
      <w:r w:rsidR="00CD04C1" w:rsidRPr="00B713EE">
        <w:tab/>
        <w:t>Documents informels WP.29-171-01, WP.29-171-31, WP.29-171-32</w:t>
      </w:r>
      <w:r w:rsidR="00536634" w:rsidRPr="00B713EE">
        <w:t>.</w:t>
      </w:r>
    </w:p>
    <w:p w:rsidR="00CD04C1" w:rsidRPr="00B713EE" w:rsidRDefault="00CD04C1" w:rsidP="00CA41BB">
      <w:pPr>
        <w:pStyle w:val="ParNoG"/>
        <w:tabs>
          <w:tab w:val="clear" w:pos="1701"/>
        </w:tabs>
      </w:pPr>
      <w:r w:rsidRPr="00B713EE">
        <w:t>Après avoir fourni au Forum mondial des informations sur le soixante-dixième anniversaire du Comité des transports intérieurs (CTI), à l</w:t>
      </w:r>
      <w:r w:rsidR="007C2F80">
        <w:t>’</w:t>
      </w:r>
      <w:r w:rsidRPr="00B713EE">
        <w:t>ouverture de la session, le secrétariat l</w:t>
      </w:r>
      <w:r w:rsidR="007C2F80">
        <w:t>’</w:t>
      </w:r>
      <w:r w:rsidRPr="00B713EE">
        <w:t>a informé des recommandations faites à l</w:t>
      </w:r>
      <w:r w:rsidR="007C2F80">
        <w:t>’</w:t>
      </w:r>
      <w:r w:rsidRPr="00B713EE">
        <w:t>issue de la Conférence qui avait réuni l</w:t>
      </w:r>
      <w:r w:rsidR="007C2F80">
        <w:t>’</w:t>
      </w:r>
      <w:r w:rsidRPr="00B713EE">
        <w:t>ONU-Environnement et le CTI sur la question du transfert des véhicules d</w:t>
      </w:r>
      <w:r w:rsidR="007C2F80">
        <w:t>’</w:t>
      </w:r>
      <w:r w:rsidRPr="00B713EE">
        <w:t>occasion entre les pays à revenu élevé et les pays à faible revenu faible ou intermédiaire, ainsi que des risques liés à ces véhicules dans les domaines de la sécurité routière et de l</w:t>
      </w:r>
      <w:r w:rsidR="007C2F80">
        <w:t>’</w:t>
      </w:r>
      <w:r w:rsidRPr="00B713EE">
        <w:t>environnement. Dans ce contexte, les dispositions de l</w:t>
      </w:r>
      <w:r w:rsidR="007C2F80">
        <w:t>’</w:t>
      </w:r>
      <w:r w:rsidRPr="00B713EE">
        <w:t>Accord de 1997 pouvaient être appliquées pour qu</w:t>
      </w:r>
      <w:r w:rsidR="007C2F80">
        <w:t>’</w:t>
      </w:r>
      <w:r w:rsidRPr="00B713EE">
        <w:t>un contrôle technique de ces véhicules soit effectué avant qu</w:t>
      </w:r>
      <w:r w:rsidR="007C2F80">
        <w:t>’</w:t>
      </w:r>
      <w:r w:rsidRPr="00B713EE">
        <w:t>ils quittent le pays d</w:t>
      </w:r>
      <w:r w:rsidR="007C2F80">
        <w:t>’</w:t>
      </w:r>
      <w:r w:rsidRPr="00B713EE">
        <w:t>origine et que le contrôle périodique ait lieu dans les pays de destination, de façon à partager la charge entre les pays.</w:t>
      </w:r>
      <w:r w:rsidRPr="00B713EE">
        <w:rPr>
          <w:rFonts w:ascii="Segoe UI" w:hAnsi="Segoe UI" w:cs="Segoe UI"/>
        </w:rPr>
        <w:t xml:space="preserve"> </w:t>
      </w:r>
      <w:r w:rsidRPr="00B713EE">
        <w:t>Le secrétariat a en outre informé le Forum mondial des décisions prises à ce sujet (n</w:t>
      </w:r>
      <w:r w:rsidRPr="00B713EE">
        <w:rPr>
          <w:vertAlign w:val="superscript"/>
        </w:rPr>
        <w:t>os</w:t>
      </w:r>
      <w:r w:rsidRPr="00B713EE">
        <w:t> 13, 22 et 29) par Comité des transports intérieurs à sa so</w:t>
      </w:r>
      <w:r w:rsidR="007B2739" w:rsidRPr="00B713EE">
        <w:t>ixante-dix-neuvième session (21</w:t>
      </w:r>
      <w:r w:rsidR="007B2739" w:rsidRPr="00B713EE">
        <w:noBreakHyphen/>
      </w:r>
      <w:r w:rsidRPr="00B713EE">
        <w:t>24 février 2017).</w:t>
      </w:r>
    </w:p>
    <w:p w:rsidR="00CD04C1" w:rsidRPr="00B713EE" w:rsidRDefault="00536634" w:rsidP="00A73423">
      <w:pPr>
        <w:pStyle w:val="SingleTxtG"/>
      </w:pPr>
      <w:r w:rsidRPr="00B713EE">
        <w:tab/>
      </w:r>
      <w:r w:rsidR="007B2739" w:rsidRPr="00B713EE">
        <w:tab/>
      </w:r>
      <w:r w:rsidR="00CD04C1" w:rsidRPr="00B713EE">
        <w:t>À sa soixante-dix-neuvième session, le CTI avait</w:t>
      </w:r>
      <w:r w:rsidRPr="00B713EE">
        <w:t> </w:t>
      </w:r>
      <w:r w:rsidR="00CD04C1" w:rsidRPr="00B713EE">
        <w:t xml:space="preserve">: </w:t>
      </w:r>
    </w:p>
    <w:p w:rsidR="00CD04C1" w:rsidRPr="00B713EE" w:rsidRDefault="00A73423" w:rsidP="00A73423">
      <w:pPr>
        <w:pStyle w:val="SingleTxtG"/>
        <w:rPr>
          <w:b/>
        </w:rPr>
      </w:pPr>
      <w:r w:rsidRPr="00B713EE">
        <w:tab/>
      </w:r>
      <w:r w:rsidR="007B2739" w:rsidRPr="00B713EE">
        <w:tab/>
      </w:r>
      <w:r w:rsidR="00CD04C1" w:rsidRPr="00B713EE">
        <w:t>a)</w:t>
      </w:r>
      <w:r w:rsidR="00CD04C1" w:rsidRPr="00B713EE">
        <w:tab/>
      </w:r>
      <w:r w:rsidR="00094633">
        <w:t xml:space="preserve">13. </w:t>
      </w:r>
      <w:r w:rsidR="00CD04C1" w:rsidRPr="00B713EE">
        <w:rPr>
          <w:b/>
        </w:rPr>
        <w:t xml:space="preserve">Salué </w:t>
      </w:r>
      <w:r w:rsidR="00CD04C1" w:rsidRPr="00B713EE">
        <w:t>les résultats et les recommandations de la</w:t>
      </w:r>
      <w:r w:rsidR="003A49A4">
        <w:t xml:space="preserve"> Conférence ONU-Environnement − </w:t>
      </w:r>
      <w:r w:rsidR="00CD04C1" w:rsidRPr="00B713EE">
        <w:t>CEE/CTI, qui avait porté sur les effets des véhicules d</w:t>
      </w:r>
      <w:r w:rsidR="007C2F80">
        <w:t>’</w:t>
      </w:r>
      <w:r w:rsidR="00CD04C1" w:rsidRPr="00B713EE">
        <w:t>occasion sur la qualité de l</w:t>
      </w:r>
      <w:r w:rsidR="007C2F80">
        <w:t>’</w:t>
      </w:r>
      <w:r w:rsidR="00CD04C1" w:rsidRPr="00B713EE">
        <w:t xml:space="preserve">air et les émissions de polluants et </w:t>
      </w:r>
      <w:r w:rsidR="00CD04C1" w:rsidRPr="00B713EE">
        <w:rPr>
          <w:b/>
        </w:rPr>
        <w:t>prié</w:t>
      </w:r>
      <w:r w:rsidR="00CD04C1" w:rsidRPr="00B713EE">
        <w:t xml:space="preserve"> le CTI et ses organes subsidiaires de tenir compte de ces recommandations pour mettre en œuvre des mesures harmonisées visant à régler ce problème croissant </w:t>
      </w:r>
      <w:r w:rsidR="00CD04C1" w:rsidRPr="003221B6">
        <w:t>;</w:t>
      </w:r>
    </w:p>
    <w:p w:rsidR="00CD04C1" w:rsidRPr="00B713EE" w:rsidRDefault="00A73423" w:rsidP="00A73423">
      <w:pPr>
        <w:pStyle w:val="SingleTxtG"/>
      </w:pPr>
      <w:r w:rsidRPr="00B713EE">
        <w:tab/>
      </w:r>
      <w:r w:rsidR="007B2739" w:rsidRPr="00B713EE">
        <w:tab/>
      </w:r>
      <w:r w:rsidR="00CD04C1" w:rsidRPr="00B713EE">
        <w:t>b)</w:t>
      </w:r>
      <w:r w:rsidR="00CD04C1" w:rsidRPr="00B713EE">
        <w:tab/>
      </w:r>
      <w:r w:rsidR="00094633">
        <w:t xml:space="preserve">22. </w:t>
      </w:r>
      <w:r w:rsidR="00CD04C1" w:rsidRPr="00B713EE">
        <w:rPr>
          <w:b/>
        </w:rPr>
        <w:t>Apporté son appui</w:t>
      </w:r>
      <w:r w:rsidR="00CD04C1" w:rsidRPr="00B713EE">
        <w:t xml:space="preserve"> aux tout derniers travaux accomplis par le Forum mondial de l</w:t>
      </w:r>
      <w:r w:rsidR="007C2F80">
        <w:t>’</w:t>
      </w:r>
      <w:r w:rsidR="00CD04C1" w:rsidRPr="00B713EE">
        <w:t>harmonisation des Règlements concernant les véhicules (WP.29) et ses six groupes de travail subsidiaires, le Comité d</w:t>
      </w:r>
      <w:r w:rsidR="007C2F80">
        <w:t>’</w:t>
      </w:r>
      <w:r w:rsidR="00CD04C1" w:rsidRPr="00B713EE">
        <w:t>administration de l</w:t>
      </w:r>
      <w:r w:rsidR="007C2F80">
        <w:t>’</w:t>
      </w:r>
      <w:r w:rsidR="00CD04C1" w:rsidRPr="00B713EE">
        <w:t>Accord de 1958, le Comité d</w:t>
      </w:r>
      <w:r w:rsidR="007C2F80">
        <w:t>’</w:t>
      </w:r>
      <w:r w:rsidR="00CD04C1" w:rsidRPr="00B713EE">
        <w:t>administration de l</w:t>
      </w:r>
      <w:r w:rsidR="007C2F80">
        <w:t>’</w:t>
      </w:r>
      <w:r w:rsidR="00CD04C1" w:rsidRPr="00B713EE">
        <w:t>Accord de 1997 et le Comité exécutif de l</w:t>
      </w:r>
      <w:r w:rsidR="007C2F80">
        <w:t>’</w:t>
      </w:r>
      <w:r w:rsidR="00CD04C1" w:rsidRPr="00B713EE">
        <w:t xml:space="preserve">Accord de 1998 ; </w:t>
      </w:r>
      <w:r w:rsidR="00CD04C1" w:rsidRPr="00B713EE">
        <w:rPr>
          <w:b/>
        </w:rPr>
        <w:t xml:space="preserve">approuvé </w:t>
      </w:r>
      <w:r w:rsidR="00CD04C1" w:rsidRPr="00B713EE">
        <w:t xml:space="preserve">les activités énumérées dans le document ECE/TRANS/2017/10 ; </w:t>
      </w:r>
      <w:r w:rsidR="00CD04C1" w:rsidRPr="00B713EE">
        <w:rPr>
          <w:b/>
        </w:rPr>
        <w:t>réaffirmé son soutien</w:t>
      </w:r>
      <w:r w:rsidR="00CD04C1" w:rsidRPr="00B713EE">
        <w:t xml:space="preserve"> à l</w:t>
      </w:r>
      <w:r w:rsidR="007C2F80">
        <w:t>’</w:t>
      </w:r>
      <w:r w:rsidR="00CD04C1" w:rsidRPr="00B713EE">
        <w:t>hébergement de la base DETA par la CEE</w:t>
      </w:r>
      <w:r w:rsidR="007B2739" w:rsidRPr="00B713EE">
        <w:t xml:space="preserve"> </w:t>
      </w:r>
      <w:r w:rsidR="00CD04C1" w:rsidRPr="00B713EE">
        <w:t xml:space="preserve">et </w:t>
      </w:r>
      <w:r w:rsidR="00CD04C1" w:rsidRPr="00B713EE">
        <w:rPr>
          <w:b/>
        </w:rPr>
        <w:t>prié le secrétariat de la CEE d</w:t>
      </w:r>
      <w:r w:rsidR="007C2F80">
        <w:rPr>
          <w:b/>
        </w:rPr>
        <w:t>’</w:t>
      </w:r>
      <w:r w:rsidR="00CD04C1" w:rsidRPr="00B713EE">
        <w:rPr>
          <w:b/>
        </w:rPr>
        <w:t>affecter une partie du budget</w:t>
      </w:r>
      <w:r w:rsidR="00CD04C1" w:rsidRPr="00B713EE">
        <w:t xml:space="preserve"> ordinaire de l</w:t>
      </w:r>
      <w:r w:rsidR="007C2F80">
        <w:t>’</w:t>
      </w:r>
      <w:r w:rsidR="00CD04C1" w:rsidRPr="00B713EE">
        <w:t>ONU à cet hébergement, à partir de l</w:t>
      </w:r>
      <w:r w:rsidR="007C2F80">
        <w:t>’</w:t>
      </w:r>
      <w:r w:rsidR="00CD04C1" w:rsidRPr="00B713EE">
        <w:t>exercice biennal 2018-2019. Le Comité avait demandé au Président d</w:t>
      </w:r>
      <w:r w:rsidR="007C2F80">
        <w:t>’</w:t>
      </w:r>
      <w:r w:rsidR="00CD04C1" w:rsidRPr="00B713EE">
        <w:t>ajouter la question du financement de la base DETA au titre du budget ordinaire (soit environ 45 000 dollars des États-Unis par an) dans son rapport au Comité exécutif et de mettre l</w:t>
      </w:r>
      <w:r w:rsidR="007C2F80">
        <w:t>’</w:t>
      </w:r>
      <w:r w:rsidR="00CD04C1" w:rsidRPr="00B713EE">
        <w:t>accent sur les obligations juridiques liées à la troisième révision de l</w:t>
      </w:r>
      <w:r w:rsidR="007C2F80">
        <w:t>’</w:t>
      </w:r>
      <w:r w:rsidR="00CD04C1" w:rsidRPr="00B713EE">
        <w:t>Accord de 1958 ainsi que sur les incidences négatives possibles au niveau de la sécurité routière en cas de retard.</w:t>
      </w:r>
    </w:p>
    <w:p w:rsidR="00CD04C1" w:rsidRPr="00B713EE" w:rsidRDefault="00A73423" w:rsidP="00A73423">
      <w:pPr>
        <w:pStyle w:val="SingleTxtG"/>
      </w:pPr>
      <w:r w:rsidRPr="00B713EE">
        <w:tab/>
      </w:r>
      <w:r w:rsidR="007B2739" w:rsidRPr="00B713EE">
        <w:tab/>
      </w:r>
      <w:r w:rsidR="00CD04C1" w:rsidRPr="00B713EE">
        <w:t>c)</w:t>
      </w:r>
      <w:r w:rsidR="00CD04C1" w:rsidRPr="00B713EE">
        <w:tab/>
      </w:r>
      <w:r w:rsidR="00094633">
        <w:t xml:space="preserve">29. </w:t>
      </w:r>
      <w:r w:rsidR="00CD04C1" w:rsidRPr="00B713EE">
        <w:rPr>
          <w:b/>
        </w:rPr>
        <w:t>Pris note</w:t>
      </w:r>
      <w:r w:rsidR="00CD04C1" w:rsidRPr="00B713EE">
        <w:t xml:space="preserve"> de l</w:t>
      </w:r>
      <w:r w:rsidR="007C2F80">
        <w:t>’</w:t>
      </w:r>
      <w:r w:rsidR="00CD04C1" w:rsidRPr="00B713EE">
        <w:t>initiative de l</w:t>
      </w:r>
      <w:r w:rsidR="007C2F80">
        <w:t>’</w:t>
      </w:r>
      <w:r w:rsidR="00CD04C1" w:rsidRPr="00B713EE">
        <w:t>Envoyé spécial et de la CEE concernant l</w:t>
      </w:r>
      <w:r w:rsidR="007C2F80">
        <w:t>’</w:t>
      </w:r>
      <w:r w:rsidR="00CD04C1" w:rsidRPr="00B713EE">
        <w:t>engagement volontaire de l</w:t>
      </w:r>
      <w:r w:rsidR="007C2F80">
        <w:t>’</w:t>
      </w:r>
      <w:r w:rsidR="00CD04C1" w:rsidRPr="00B713EE">
        <w:t>industrie automobile à ne mettre sur les marchés mondiaux que des véhicules conformes à un ensemble minimal convenu de règlements de l</w:t>
      </w:r>
      <w:r w:rsidR="007C2F80">
        <w:t>’</w:t>
      </w:r>
      <w:r w:rsidR="00CD04C1" w:rsidRPr="00B713EE">
        <w:t>ONU portant</w:t>
      </w:r>
      <w:r w:rsidR="003A49A4">
        <w:t xml:space="preserve"> sur la sécurité des véhicules.</w:t>
      </w:r>
    </w:p>
    <w:p w:rsidR="00CD04C1" w:rsidRPr="00B713EE" w:rsidRDefault="00CD04C1" w:rsidP="00A73423">
      <w:pPr>
        <w:pStyle w:val="HChG"/>
      </w:pPr>
      <w:r w:rsidRPr="00B713EE">
        <w:tab/>
      </w:r>
      <w:bookmarkStart w:id="12" w:name="_Toc478663111"/>
      <w:r w:rsidRPr="00B713EE">
        <w:t>V.</w:t>
      </w:r>
      <w:r w:rsidRPr="00B713EE">
        <w:tab/>
        <w:t xml:space="preserve">Examen des rapports des groupes de travail subsidiaires </w:t>
      </w:r>
      <w:r w:rsidR="007B2739" w:rsidRPr="00B713EE">
        <w:br/>
      </w:r>
      <w:r w:rsidR="003A49A4">
        <w:t>du WP.29 (point </w:t>
      </w:r>
      <w:r w:rsidRPr="00B713EE">
        <w:t>3 de l</w:t>
      </w:r>
      <w:r w:rsidR="007C2F80">
        <w:t>’</w:t>
      </w:r>
      <w:r w:rsidRPr="00B713EE">
        <w:t>ordre du jour)</w:t>
      </w:r>
      <w:bookmarkEnd w:id="12"/>
    </w:p>
    <w:p w:rsidR="00CD04C1" w:rsidRPr="00B713EE" w:rsidRDefault="00CD04C1" w:rsidP="00A73423">
      <w:pPr>
        <w:pStyle w:val="H1G"/>
      </w:pPr>
      <w:r w:rsidRPr="00B713EE">
        <w:tab/>
      </w:r>
      <w:bookmarkStart w:id="13" w:name="_Toc478663112"/>
      <w:r w:rsidRPr="00B713EE">
        <w:t>A.</w:t>
      </w:r>
      <w:r w:rsidRPr="00B713EE">
        <w:tab/>
        <w:t>Groupe de travail du bruit (GRB) (</w:t>
      </w:r>
      <w:r w:rsidR="003A49A4">
        <w:t>s</w:t>
      </w:r>
      <w:r w:rsidR="00A73423" w:rsidRPr="00B713EE">
        <w:t>oixante-quatrième session, 5</w:t>
      </w:r>
      <w:r w:rsidR="00A73423" w:rsidRPr="00B713EE">
        <w:noBreakHyphen/>
        <w:t>7 </w:t>
      </w:r>
      <w:r w:rsidRPr="00B713EE">
        <w:t xml:space="preserve">septembre 2016) </w:t>
      </w:r>
      <w:r w:rsidR="003A49A4">
        <w:rPr>
          <w:bCs/>
        </w:rPr>
        <w:t>(point </w:t>
      </w:r>
      <w:r w:rsidRPr="00B713EE">
        <w:rPr>
          <w:bCs/>
        </w:rPr>
        <w:t>3.1 de l</w:t>
      </w:r>
      <w:r w:rsidR="007C2F80">
        <w:rPr>
          <w:bCs/>
        </w:rPr>
        <w:t>’</w:t>
      </w:r>
      <w:r w:rsidRPr="00B713EE">
        <w:rPr>
          <w:bCs/>
        </w:rPr>
        <w:t>ordre du jour)</w:t>
      </w:r>
      <w:bookmarkEnd w:id="13"/>
    </w:p>
    <w:p w:rsidR="00CD04C1" w:rsidRPr="00B713EE" w:rsidRDefault="00CD04C1" w:rsidP="001F7EFD">
      <w:pPr>
        <w:pStyle w:val="SingleTxtG"/>
        <w:ind w:left="2835" w:hanging="1701"/>
        <w:jc w:val="left"/>
      </w:pPr>
      <w:r w:rsidRPr="00B713EE">
        <w:rPr>
          <w:i/>
        </w:rPr>
        <w:t>Document</w:t>
      </w:r>
      <w:r w:rsidR="00536634" w:rsidRPr="00B713EE">
        <w:rPr>
          <w:i/>
        </w:rPr>
        <w:t>(s) </w:t>
      </w:r>
      <w:r w:rsidR="00536634" w:rsidRPr="00B713EE">
        <w:t>:</w:t>
      </w:r>
      <w:r w:rsidR="00536634" w:rsidRPr="00B713EE">
        <w:tab/>
      </w:r>
      <w:r w:rsidRPr="00B713EE">
        <w:t>ECE/TRANS/WP.29/GRB/62</w:t>
      </w:r>
      <w:r w:rsidR="00536634" w:rsidRPr="00B713EE">
        <w:t>.</w:t>
      </w:r>
    </w:p>
    <w:p w:rsidR="00CD04C1" w:rsidRPr="00B713EE" w:rsidRDefault="00CD04C1" w:rsidP="00CA41BB">
      <w:pPr>
        <w:pStyle w:val="ParNoG"/>
        <w:tabs>
          <w:tab w:val="clear" w:pos="1701"/>
        </w:tabs>
      </w:pPr>
      <w:r w:rsidRPr="00B713EE">
        <w:t>Le Forum mondial a rappelé le rapport présenté oralement par le Président du GRB lors de la 170</w:t>
      </w:r>
      <w:r w:rsidRPr="00B713EE">
        <w:rPr>
          <w:vertAlign w:val="superscript"/>
        </w:rPr>
        <w:t>e</w:t>
      </w:r>
      <w:r w:rsidR="007B2739" w:rsidRPr="00B713EE">
        <w:t> </w:t>
      </w:r>
      <w:r w:rsidRPr="00B713EE">
        <w:t>sess</w:t>
      </w:r>
      <w:r w:rsidR="007B2739" w:rsidRPr="00B713EE">
        <w:t>ion (ECE/TRANS/WP.29/1126, par. </w:t>
      </w:r>
      <w:r w:rsidRPr="00B713EE">
        <w:t>33 à 36) et a approuvé ce rapport.</w:t>
      </w:r>
    </w:p>
    <w:p w:rsidR="00CD04C1" w:rsidRPr="00B713EE" w:rsidRDefault="00CD04C1" w:rsidP="00A73423">
      <w:pPr>
        <w:pStyle w:val="H1G"/>
      </w:pPr>
      <w:r w:rsidRPr="00B713EE">
        <w:tab/>
      </w:r>
      <w:bookmarkStart w:id="14" w:name="_Toc478663113"/>
      <w:r w:rsidRPr="00B713EE">
        <w:t>B.</w:t>
      </w:r>
      <w:r w:rsidRPr="00B713EE">
        <w:tab/>
        <w:t>Groupe de travail en matière de roulement et de freinage (GRRF) (</w:t>
      </w:r>
      <w:r w:rsidR="003A49A4">
        <w:t>q</w:t>
      </w:r>
      <w:r w:rsidRPr="00B713EE">
        <w:t>uatr</w:t>
      </w:r>
      <w:r w:rsidR="003A49A4">
        <w:t>e-vingt-deuxième session, 20-23 </w:t>
      </w:r>
      <w:r w:rsidRPr="00B713EE">
        <w:t>septembre 2016)</w:t>
      </w:r>
      <w:r w:rsidRPr="00B713EE">
        <w:rPr>
          <w:iCs/>
        </w:rPr>
        <w:t xml:space="preserve"> </w:t>
      </w:r>
      <w:r w:rsidR="00A73423" w:rsidRPr="00B713EE">
        <w:rPr>
          <w:iCs/>
        </w:rPr>
        <w:br/>
      </w:r>
      <w:r w:rsidRPr="00B713EE">
        <w:t>(point 3.2 de l</w:t>
      </w:r>
      <w:r w:rsidR="007C2F80">
        <w:t>’</w:t>
      </w:r>
      <w:r w:rsidRPr="00B713EE">
        <w:t>ordre du jour)</w:t>
      </w:r>
      <w:bookmarkEnd w:id="14"/>
    </w:p>
    <w:p w:rsidR="00CD04C1" w:rsidRPr="00B713EE" w:rsidRDefault="001F7EFD" w:rsidP="001F7EFD">
      <w:pPr>
        <w:pStyle w:val="SingleTxtG"/>
        <w:ind w:left="2835" w:hanging="1701"/>
        <w:jc w:val="left"/>
      </w:pPr>
      <w:r w:rsidRPr="00B713EE">
        <w:rPr>
          <w:i/>
        </w:rPr>
        <w:t>Document(s)</w:t>
      </w:r>
      <w:r w:rsidR="00536634" w:rsidRPr="00B713EE">
        <w:t> </w:t>
      </w:r>
      <w:r w:rsidR="00CD04C1" w:rsidRPr="00B713EE">
        <w:t>:</w:t>
      </w:r>
      <w:r w:rsidR="00CD04C1" w:rsidRPr="00B713EE">
        <w:tab/>
        <w:t>ECE/</w:t>
      </w:r>
      <w:r w:rsidR="00CD04C1" w:rsidRPr="00094633">
        <w:t>TRANS</w:t>
      </w:r>
      <w:r w:rsidR="00CD04C1" w:rsidRPr="00B713EE">
        <w:t>/WP.29/GRRF/82</w:t>
      </w:r>
      <w:r w:rsidR="00536634" w:rsidRPr="00B713EE">
        <w:t>.</w:t>
      </w:r>
    </w:p>
    <w:p w:rsidR="00CD04C1" w:rsidRPr="00B713EE" w:rsidRDefault="00CD04C1" w:rsidP="00CA41BB">
      <w:pPr>
        <w:pStyle w:val="ParNoG"/>
        <w:tabs>
          <w:tab w:val="clear" w:pos="1701"/>
        </w:tabs>
      </w:pPr>
      <w:r w:rsidRPr="00B713EE">
        <w:t>Le Forum mondial a rappelé le rapport présenté oralement par le Président du GRRF lors de la 170</w:t>
      </w:r>
      <w:r w:rsidRPr="00B713EE">
        <w:rPr>
          <w:vertAlign w:val="superscript"/>
        </w:rPr>
        <w:t>e</w:t>
      </w:r>
      <w:r w:rsidR="007B2739" w:rsidRPr="00B713EE">
        <w:t> </w:t>
      </w:r>
      <w:r w:rsidRPr="00B713EE">
        <w:t xml:space="preserve">session (ECE/TRANS/WP.29/1126, par. 37 à 41) et a approuvé ce rapport. </w:t>
      </w:r>
    </w:p>
    <w:p w:rsidR="00CD04C1" w:rsidRPr="00B713EE" w:rsidRDefault="00CD04C1" w:rsidP="00A73423">
      <w:pPr>
        <w:pStyle w:val="H1G"/>
      </w:pPr>
      <w:r w:rsidRPr="00B713EE">
        <w:tab/>
      </w:r>
      <w:bookmarkStart w:id="15" w:name="_Toc478663114"/>
      <w:r w:rsidRPr="00B713EE">
        <w:t>C.</w:t>
      </w:r>
      <w:r w:rsidRPr="00B713EE">
        <w:tab/>
        <w:t>Groupe de travail des dispositions générales de sécurité (GRSG) (111</w:t>
      </w:r>
      <w:r w:rsidRPr="00B713EE">
        <w:rPr>
          <w:vertAlign w:val="superscript"/>
        </w:rPr>
        <w:t>e</w:t>
      </w:r>
      <w:r w:rsidR="007B2739" w:rsidRPr="00B713EE">
        <w:t> </w:t>
      </w:r>
      <w:r w:rsidR="003C0FA7">
        <w:t>session, 10-14 </w:t>
      </w:r>
      <w:r w:rsidRPr="00B713EE">
        <w:t xml:space="preserve">octobre 2016) </w:t>
      </w:r>
      <w:r w:rsidRPr="00B713EE">
        <w:rPr>
          <w:iCs/>
        </w:rPr>
        <w:t>(</w:t>
      </w:r>
      <w:r w:rsidR="003C0FA7">
        <w:t>point </w:t>
      </w:r>
      <w:r w:rsidRPr="00B713EE">
        <w:t>3.3 de l</w:t>
      </w:r>
      <w:r w:rsidR="007C2F80">
        <w:t>’</w:t>
      </w:r>
      <w:r w:rsidRPr="00B713EE">
        <w:t>ordre du jour)</w:t>
      </w:r>
      <w:bookmarkEnd w:id="15"/>
    </w:p>
    <w:p w:rsidR="00CD04C1" w:rsidRPr="00B713EE" w:rsidRDefault="00CD04C1" w:rsidP="001F7EFD">
      <w:pPr>
        <w:pStyle w:val="SingleTxtG"/>
        <w:ind w:left="2835" w:hanging="1701"/>
        <w:jc w:val="left"/>
      </w:pPr>
      <w:r w:rsidRPr="00B713EE">
        <w:rPr>
          <w:i/>
        </w:rPr>
        <w:t>Document</w:t>
      </w:r>
      <w:r w:rsidR="00536634" w:rsidRPr="00B713EE">
        <w:rPr>
          <w:i/>
        </w:rPr>
        <w:t>(s)</w:t>
      </w:r>
      <w:r w:rsidR="00536634" w:rsidRPr="00B713EE">
        <w:t> </w:t>
      </w:r>
      <w:r w:rsidR="007B2739" w:rsidRPr="00B713EE">
        <w:t>:</w:t>
      </w:r>
      <w:r w:rsidRPr="00B713EE">
        <w:tab/>
        <w:t>ECE/</w:t>
      </w:r>
      <w:r w:rsidRPr="00094633">
        <w:t>TRANS</w:t>
      </w:r>
      <w:r w:rsidRPr="00B713EE">
        <w:t>/WP.29/GRSG/90</w:t>
      </w:r>
      <w:r w:rsidR="00536634" w:rsidRPr="00B713EE">
        <w:t>.</w:t>
      </w:r>
    </w:p>
    <w:p w:rsidR="00CD04C1" w:rsidRPr="00B713EE" w:rsidRDefault="00CD04C1" w:rsidP="00CA41BB">
      <w:pPr>
        <w:pStyle w:val="ParNoG"/>
        <w:tabs>
          <w:tab w:val="clear" w:pos="1701"/>
        </w:tabs>
      </w:pPr>
      <w:r w:rsidRPr="00B713EE">
        <w:t>Le Forum mondial a rappelé le rapport présenté oralement par le Président du GRSG lors de la 170</w:t>
      </w:r>
      <w:r w:rsidRPr="00B713EE">
        <w:rPr>
          <w:vertAlign w:val="superscript"/>
        </w:rPr>
        <w:t>e</w:t>
      </w:r>
      <w:r w:rsidR="007B2739" w:rsidRPr="00B713EE">
        <w:t> </w:t>
      </w:r>
      <w:r w:rsidRPr="00B713EE">
        <w:t>session (ECE/TRANS/WP.29/1126, par. 42 à 46) et a approuvé ce rapport</w:t>
      </w:r>
    </w:p>
    <w:p w:rsidR="00CD04C1" w:rsidRPr="00B713EE" w:rsidRDefault="00CD04C1" w:rsidP="00A73423">
      <w:pPr>
        <w:pStyle w:val="H1G"/>
      </w:pPr>
      <w:r w:rsidRPr="00B713EE">
        <w:tab/>
      </w:r>
      <w:bookmarkStart w:id="16" w:name="_Toc478663115"/>
      <w:r w:rsidRPr="00B713EE">
        <w:t>D.</w:t>
      </w:r>
      <w:r w:rsidRPr="00B713EE">
        <w:tab/>
        <w:t>Groupe de travail de l</w:t>
      </w:r>
      <w:r w:rsidR="007C2F80">
        <w:t>’</w:t>
      </w:r>
      <w:r w:rsidRPr="00B713EE">
        <w:t xml:space="preserve">éclairage et de la signalisation lumineuse </w:t>
      </w:r>
      <w:r w:rsidR="00A73423" w:rsidRPr="00B713EE">
        <w:br/>
      </w:r>
      <w:r w:rsidRPr="00B713EE">
        <w:t>(GRE) (</w:t>
      </w:r>
      <w:r w:rsidR="003C0FA7">
        <w:t>soixante-seizième session, 25-28 </w:t>
      </w:r>
      <w:r w:rsidRPr="00B713EE">
        <w:t xml:space="preserve">octobre 2016) </w:t>
      </w:r>
      <w:r w:rsidR="00A73423" w:rsidRPr="00B713EE">
        <w:br/>
      </w:r>
      <w:r w:rsidR="003C0FA7">
        <w:rPr>
          <w:bCs/>
        </w:rPr>
        <w:t>(point </w:t>
      </w:r>
      <w:r w:rsidRPr="00B713EE">
        <w:rPr>
          <w:bCs/>
        </w:rPr>
        <w:t>3.4 de l</w:t>
      </w:r>
      <w:r w:rsidR="007C2F80">
        <w:rPr>
          <w:bCs/>
        </w:rPr>
        <w:t>’</w:t>
      </w:r>
      <w:r w:rsidRPr="00B713EE">
        <w:rPr>
          <w:bCs/>
        </w:rPr>
        <w:t>ordre du jour)</w:t>
      </w:r>
      <w:bookmarkEnd w:id="16"/>
    </w:p>
    <w:p w:rsidR="00CD04C1" w:rsidRPr="00B713EE" w:rsidRDefault="00536634" w:rsidP="001F7EFD">
      <w:pPr>
        <w:pStyle w:val="SingleTxtG"/>
        <w:ind w:left="2835" w:hanging="1701"/>
        <w:jc w:val="left"/>
      </w:pPr>
      <w:r w:rsidRPr="00B713EE">
        <w:rPr>
          <w:i/>
        </w:rPr>
        <w:t>Document(s)</w:t>
      </w:r>
      <w:r w:rsidRPr="00B713EE">
        <w:t> :</w:t>
      </w:r>
      <w:r w:rsidR="003C0FA7">
        <w:tab/>
      </w:r>
      <w:r w:rsidR="003C0FA7">
        <w:tab/>
      </w:r>
      <w:r w:rsidR="00CD04C1" w:rsidRPr="00B713EE">
        <w:t>ECE/TRANS/WP.29/GRE/76</w:t>
      </w:r>
      <w:r w:rsidRPr="00B713EE">
        <w:t>.</w:t>
      </w:r>
    </w:p>
    <w:p w:rsidR="00CD04C1" w:rsidRPr="00B713EE" w:rsidRDefault="00CD04C1" w:rsidP="00CA41BB">
      <w:pPr>
        <w:pStyle w:val="ParNoG"/>
        <w:tabs>
          <w:tab w:val="clear" w:pos="1701"/>
        </w:tabs>
      </w:pPr>
      <w:r w:rsidRPr="00B713EE">
        <w:t>Le Forum mondial a rappelé le rapport présenté oralement par le Président du GRE lors de la 170</w:t>
      </w:r>
      <w:r w:rsidRPr="00B713EE">
        <w:rPr>
          <w:vertAlign w:val="superscript"/>
        </w:rPr>
        <w:t>e</w:t>
      </w:r>
      <w:r w:rsidR="007B2739" w:rsidRPr="00B713EE">
        <w:t> </w:t>
      </w:r>
      <w:r w:rsidRPr="00B713EE">
        <w:t>session (ECE/TRANS/WP.29/1126, par. 47 à 51) et a approuvé ce rapport.</w:t>
      </w:r>
    </w:p>
    <w:p w:rsidR="00CD04C1" w:rsidRPr="00B713EE" w:rsidRDefault="00CD04C1" w:rsidP="00A73423">
      <w:pPr>
        <w:pStyle w:val="H1G"/>
      </w:pPr>
      <w:r w:rsidRPr="00B713EE">
        <w:tab/>
      </w:r>
      <w:bookmarkStart w:id="17" w:name="_Toc478663116"/>
      <w:r w:rsidRPr="00B713EE">
        <w:t>E.</w:t>
      </w:r>
      <w:r w:rsidRPr="00B713EE">
        <w:tab/>
        <w:t>Faits marquants des dernières sessions (</w:t>
      </w:r>
      <w:r w:rsidR="003C0FA7">
        <w:rPr>
          <w:bCs/>
        </w:rPr>
        <w:t>point </w:t>
      </w:r>
      <w:r w:rsidRPr="00B713EE">
        <w:rPr>
          <w:bCs/>
        </w:rPr>
        <w:t>3.5 de l</w:t>
      </w:r>
      <w:r w:rsidR="007C2F80">
        <w:rPr>
          <w:bCs/>
        </w:rPr>
        <w:t>’</w:t>
      </w:r>
      <w:r w:rsidRPr="00B713EE">
        <w:rPr>
          <w:bCs/>
        </w:rPr>
        <w:t>ordre du jour)</w:t>
      </w:r>
      <w:bookmarkEnd w:id="17"/>
    </w:p>
    <w:p w:rsidR="00CD04C1" w:rsidRPr="00B713EE" w:rsidRDefault="00CD04C1" w:rsidP="00A73423">
      <w:pPr>
        <w:pStyle w:val="H23G"/>
      </w:pPr>
      <w:r w:rsidRPr="00B713EE">
        <w:tab/>
      </w:r>
      <w:bookmarkStart w:id="18" w:name="_Toc478663117"/>
      <w:r w:rsidRPr="00B713EE">
        <w:t>1.</w:t>
      </w:r>
      <w:r w:rsidRPr="00B713EE">
        <w:tab/>
        <w:t xml:space="preserve">Groupe de travail de la sécurité passive (GRSP) (soixantième session, </w:t>
      </w:r>
      <w:r w:rsidR="00A73423" w:rsidRPr="00B713EE">
        <w:br/>
      </w:r>
      <w:r w:rsidRPr="00B713EE">
        <w:t>13-16 décembre 2016) (p</w:t>
      </w:r>
      <w:r w:rsidR="003C0FA7">
        <w:t>oint </w:t>
      </w:r>
      <w:r w:rsidRPr="00B713EE">
        <w:t>3.5.1 de l</w:t>
      </w:r>
      <w:r w:rsidR="007C2F80">
        <w:t>’</w:t>
      </w:r>
      <w:r w:rsidRPr="00B713EE">
        <w:t>ordre du jour</w:t>
      </w:r>
      <w:bookmarkEnd w:id="18"/>
      <w:r w:rsidRPr="00B713EE">
        <w:t>)</w:t>
      </w:r>
    </w:p>
    <w:p w:rsidR="00CD04C1" w:rsidRPr="00B713EE" w:rsidRDefault="00CD04C1" w:rsidP="00CA41BB">
      <w:pPr>
        <w:pStyle w:val="ParNoG"/>
        <w:tabs>
          <w:tab w:val="clear" w:pos="1701"/>
        </w:tabs>
      </w:pPr>
      <w:r w:rsidRPr="00B713EE">
        <w:t>Le Président du GRSP (États-Unis d</w:t>
      </w:r>
      <w:r w:rsidR="007C2F80">
        <w:t>’</w:t>
      </w:r>
      <w:r w:rsidRPr="00B713EE">
        <w:t>Amérique) a informé le WP.29 des résultats obtenus par le GRSP à sa soixantième session (pour plus de détails voir le rapport de la session ECE/TRANS/WP.29/GRSP/60).</w:t>
      </w:r>
    </w:p>
    <w:p w:rsidR="00CD04C1" w:rsidRPr="00B713EE" w:rsidRDefault="00CD04C1" w:rsidP="00CA41BB">
      <w:pPr>
        <w:pStyle w:val="ParNoG"/>
        <w:tabs>
          <w:tab w:val="clear" w:pos="1701"/>
        </w:tabs>
      </w:pPr>
      <w:r w:rsidRPr="00B713EE">
        <w:t>Concernant les travaux du groupe de travail informel de l</w:t>
      </w:r>
      <w:r w:rsidR="007C2F80">
        <w:t>’</w:t>
      </w:r>
      <w:r w:rsidRPr="00B713EE">
        <w:t>harmonisation des mannequins d</w:t>
      </w:r>
      <w:r w:rsidR="007C2F80">
        <w:t>’</w:t>
      </w:r>
      <w:r w:rsidRPr="00B713EE">
        <w:t>essai de choc latéral, il a sollicité l</w:t>
      </w:r>
      <w:r w:rsidR="007C2F80">
        <w:t>’</w:t>
      </w:r>
      <w:r w:rsidRPr="00B713EE">
        <w:t>accord du WP.29/AC.3 à sa session de mars 2017 pour prolonger le mandat du GTI jusqu</w:t>
      </w:r>
      <w:r w:rsidR="007C2F80">
        <w:t>’</w:t>
      </w:r>
      <w:r w:rsidRPr="00B713EE">
        <w:t>en décembre 2017.</w:t>
      </w:r>
    </w:p>
    <w:p w:rsidR="00CD04C1" w:rsidRPr="00B713EE" w:rsidRDefault="00CD04C1" w:rsidP="00CA41BB">
      <w:pPr>
        <w:pStyle w:val="ParNoG"/>
        <w:tabs>
          <w:tab w:val="clear" w:pos="1701"/>
        </w:tabs>
      </w:pPr>
      <w:r w:rsidRPr="00B713EE">
        <w:t>Il a également demandé au WP.29 d</w:t>
      </w:r>
      <w:r w:rsidR="007C2F80">
        <w:t>’</w:t>
      </w:r>
      <w:r w:rsidRPr="00B713EE">
        <w:t>approuver la prolongation du mandat du groupe de travail informel des dispositifs de retenue pour enfants jusqu</w:t>
      </w:r>
      <w:r w:rsidR="007C2F80">
        <w:t>’</w:t>
      </w:r>
      <w:r w:rsidRPr="00B713EE">
        <w:t xml:space="preserve">en décembre 2017. </w:t>
      </w:r>
    </w:p>
    <w:p w:rsidR="00CD04C1" w:rsidRPr="00B713EE" w:rsidRDefault="003C0FA7" w:rsidP="00CA41BB">
      <w:pPr>
        <w:pStyle w:val="ParNoG"/>
        <w:tabs>
          <w:tab w:val="clear" w:pos="1701"/>
        </w:tabs>
      </w:pPr>
      <w:r>
        <w:t>Le Forum mondial a noté que M. N. </w:t>
      </w:r>
      <w:r w:rsidR="00CD04C1" w:rsidRPr="00B713EE">
        <w:t>Nguyen (États-Unis d</w:t>
      </w:r>
      <w:r w:rsidR="007C2F80">
        <w:t>’</w:t>
      </w:r>
      <w:r w:rsidR="00CD04C1" w:rsidRPr="00B713EE">
        <w:t xml:space="preserve">Amérique) avait été </w:t>
      </w:r>
      <w:r w:rsidR="007B2739" w:rsidRPr="00B713EE">
        <w:t>élu Président du GRSP et que M. J. W. </w:t>
      </w:r>
      <w:r w:rsidR="00CD04C1" w:rsidRPr="00B713EE">
        <w:t>Lee (République de Corée) avait été réélu Vice-Président pour les sessions de 2017.</w:t>
      </w:r>
    </w:p>
    <w:p w:rsidR="00CD04C1" w:rsidRPr="00B713EE" w:rsidRDefault="00CD04C1" w:rsidP="00CA41BB">
      <w:pPr>
        <w:pStyle w:val="ParNoG"/>
        <w:tabs>
          <w:tab w:val="clear" w:pos="1701"/>
        </w:tabs>
      </w:pPr>
      <w:r w:rsidRPr="00B713EE">
        <w:t>Le WP.29 a approuvé la prolongation des mandats du GTI des dispositifs de retenue pour enfants (DRE) et du GTI de l</w:t>
      </w:r>
      <w:r w:rsidR="007C2F80">
        <w:t>’</w:t>
      </w:r>
      <w:r w:rsidRPr="00B713EE">
        <w:t>harmonisation des mannequins d</w:t>
      </w:r>
      <w:r w:rsidR="007C2F80">
        <w:t>’</w:t>
      </w:r>
      <w:r w:rsidRPr="00B713EE">
        <w:t>essai de choc latéral (SID) jusqu</w:t>
      </w:r>
      <w:r w:rsidR="007C2F80">
        <w:t>’</w:t>
      </w:r>
      <w:r w:rsidRPr="00B713EE">
        <w:t>en décembre 2017.</w:t>
      </w:r>
    </w:p>
    <w:p w:rsidR="00CD04C1" w:rsidRPr="00B713EE" w:rsidRDefault="00CD04C1" w:rsidP="00A73423">
      <w:pPr>
        <w:pStyle w:val="H23G"/>
      </w:pPr>
      <w:r w:rsidRPr="00B713EE">
        <w:tab/>
      </w:r>
      <w:bookmarkStart w:id="19" w:name="_Toc478663118"/>
      <w:r w:rsidRPr="00B713EE">
        <w:t>2.</w:t>
      </w:r>
      <w:r w:rsidRPr="00B713EE">
        <w:tab/>
        <w:t>Groupe de travail de la pollution et de l</w:t>
      </w:r>
      <w:r w:rsidR="007C2F80">
        <w:t>’</w:t>
      </w:r>
      <w:r w:rsidRPr="00B713EE">
        <w:t>énergie (GRPE) (soixante-quatorzième session, 10-13 janvier 2017) (point 3.5.2 de l</w:t>
      </w:r>
      <w:r w:rsidR="007C2F80">
        <w:t>’</w:t>
      </w:r>
      <w:r w:rsidRPr="00B713EE">
        <w:t>ordre du jour)</w:t>
      </w:r>
      <w:bookmarkEnd w:id="19"/>
    </w:p>
    <w:p w:rsidR="00CD04C1" w:rsidRPr="00B713EE" w:rsidRDefault="00CD04C1" w:rsidP="00CA41BB">
      <w:pPr>
        <w:pStyle w:val="ParNoG"/>
        <w:tabs>
          <w:tab w:val="clear" w:pos="1701"/>
        </w:tabs>
      </w:pPr>
      <w:r w:rsidRPr="00B713EE">
        <w:t>Le Président du GRPE (Pays-Bas), a rendu compte au WP.29 des résultats obtenus par le GRPE à sa soixante-quatorzième session (pour plus de détails, voir le rapport de la session ECE/TRANS/WP.29/GRPE/74).</w:t>
      </w:r>
    </w:p>
    <w:p w:rsidR="00CD04C1" w:rsidRPr="00B713EE" w:rsidRDefault="00CD04C1" w:rsidP="00CA41BB">
      <w:pPr>
        <w:pStyle w:val="ParNoG"/>
        <w:tabs>
          <w:tab w:val="clear" w:pos="1701"/>
        </w:tabs>
      </w:pPr>
      <w:r w:rsidRPr="00B713EE">
        <w:t>Le WP.29 a pris note des contributions remarquables apportées ces dernières années au travail fructueux du GRPE par M. C. Albus et M</w:t>
      </w:r>
      <w:r w:rsidRPr="00B713EE">
        <w:rPr>
          <w:vertAlign w:val="superscript"/>
        </w:rPr>
        <w:t>me</w:t>
      </w:r>
      <w:r w:rsidRPr="00B713EE">
        <w:t> R. Urdhwareshe, en leur qualité d</w:t>
      </w:r>
      <w:r w:rsidR="007C2F80">
        <w:t>’</w:t>
      </w:r>
      <w:r w:rsidRPr="00B713EE">
        <w:t>anciens Président et Vice-présidente. Il a souhaité la bienvenue au président nouvellement élu du GRPE, M.</w:t>
      </w:r>
      <w:r w:rsidR="007B2739" w:rsidRPr="00B713EE">
        <w:t> A. </w:t>
      </w:r>
      <w:r w:rsidRPr="00B713EE">
        <w:t>Rijnders (Pays-Bas).</w:t>
      </w:r>
    </w:p>
    <w:p w:rsidR="00CD04C1" w:rsidRPr="00B713EE" w:rsidRDefault="00CD04C1" w:rsidP="00CA41BB">
      <w:pPr>
        <w:pStyle w:val="ParNoG"/>
        <w:tabs>
          <w:tab w:val="clear" w:pos="1701"/>
        </w:tabs>
      </w:pPr>
      <w:r w:rsidRPr="00B713EE">
        <w:t>Le représentant de l</w:t>
      </w:r>
      <w:r w:rsidR="007C2F80">
        <w:t>’</w:t>
      </w:r>
      <w:r w:rsidRPr="00B713EE">
        <w:t xml:space="preserve">Allemagne </w:t>
      </w:r>
      <w:r w:rsidR="007B2739" w:rsidRPr="00B713EE">
        <w:t>et ancien président du GRPE, M. C. </w:t>
      </w:r>
      <w:r w:rsidRPr="00B713EE">
        <w:t>Albus, a félicité le nouveau président du GRPE et souligné l</w:t>
      </w:r>
      <w:r w:rsidR="007C2F80">
        <w:t>’</w:t>
      </w:r>
      <w:r w:rsidRPr="00B713EE">
        <w:t>excellente collaboration qu</w:t>
      </w:r>
      <w:r w:rsidR="007C2F80">
        <w:t>’</w:t>
      </w:r>
      <w:r w:rsidRPr="00B713EE">
        <w:t>il avait entretenue avec l</w:t>
      </w:r>
      <w:r w:rsidR="007C2F80">
        <w:t>’</w:t>
      </w:r>
      <w:r w:rsidRPr="00B713EE">
        <w:t>ensemble des membres du GRPE au cours de sa présidence.</w:t>
      </w:r>
    </w:p>
    <w:p w:rsidR="00CD04C1" w:rsidRPr="00B713EE" w:rsidRDefault="00CD04C1" w:rsidP="00A73423">
      <w:pPr>
        <w:pStyle w:val="H23G"/>
      </w:pPr>
      <w:r w:rsidRPr="00B713EE">
        <w:tab/>
      </w:r>
      <w:bookmarkStart w:id="20" w:name="_Toc478663119"/>
      <w:r w:rsidRPr="00B713EE">
        <w:t>3.</w:t>
      </w:r>
      <w:r w:rsidRPr="00B713EE">
        <w:tab/>
        <w:t>Groupe de travail en matière de roulement et de freinage (GRRF) (quatre-vingt-troisième sess</w:t>
      </w:r>
      <w:r w:rsidR="00E3481F">
        <w:t>ion, 23-27 janvier 2017) (point </w:t>
      </w:r>
      <w:r w:rsidRPr="00B713EE">
        <w:t>3.5.3 de l</w:t>
      </w:r>
      <w:r w:rsidR="007C2F80">
        <w:t>’</w:t>
      </w:r>
      <w:r w:rsidRPr="00B713EE">
        <w:t>ordre du jour)</w:t>
      </w:r>
      <w:bookmarkEnd w:id="20"/>
    </w:p>
    <w:p w:rsidR="00CD04C1" w:rsidRPr="00B713EE" w:rsidRDefault="00CD04C1" w:rsidP="00CA41BB">
      <w:pPr>
        <w:pStyle w:val="ParNoG"/>
        <w:tabs>
          <w:tab w:val="clear" w:pos="1701"/>
        </w:tabs>
        <w:rPr>
          <w:bCs/>
        </w:rPr>
      </w:pPr>
      <w:r w:rsidRPr="00B713EE">
        <w:rPr>
          <w:bCs/>
        </w:rPr>
        <w:t>Le Président du GRRF (Royaume-Uni), a rendu compte des résultats obtenus par le GRPE à sa quatre-vingt-troisième session (pour plus de détails, voir le rapport de la session ECE/TRANS/WP.29/GRRF/83).</w:t>
      </w:r>
    </w:p>
    <w:p w:rsidR="00CD04C1" w:rsidRPr="00B713EE" w:rsidRDefault="00CD04C1" w:rsidP="00CA41BB">
      <w:pPr>
        <w:pStyle w:val="ParNoG"/>
        <w:tabs>
          <w:tab w:val="clear" w:pos="1701"/>
        </w:tabs>
        <w:rPr>
          <w:bCs/>
        </w:rPr>
      </w:pPr>
      <w:r w:rsidRPr="00B713EE">
        <w:rPr>
          <w:bCs/>
        </w:rPr>
        <w:t>Il a indiqué que le GRRF avait approuvé une nouvelle fois le document ECE/TRANS/WP.29/2017/10, qui propose une série d</w:t>
      </w:r>
      <w:r w:rsidR="007C2F80">
        <w:rPr>
          <w:bCs/>
        </w:rPr>
        <w:t>’</w:t>
      </w:r>
      <w:r w:rsidRPr="00B713EE">
        <w:rPr>
          <w:bCs/>
        </w:rPr>
        <w:t xml:space="preserve">amendements au Règlement </w:t>
      </w:r>
      <w:r w:rsidR="007B2739" w:rsidRPr="00B713EE">
        <w:rPr>
          <w:rFonts w:eastAsia="MS Mincho"/>
        </w:rPr>
        <w:t>n</w:t>
      </w:r>
      <w:r w:rsidR="007B2739" w:rsidRPr="00B713EE">
        <w:rPr>
          <w:rFonts w:eastAsia="MS Mincho"/>
          <w:vertAlign w:val="superscript"/>
        </w:rPr>
        <w:t>o</w:t>
      </w:r>
      <w:r w:rsidR="007B2739" w:rsidRPr="00B713EE">
        <w:rPr>
          <w:rFonts w:eastAsia="MS Mincho"/>
        </w:rPr>
        <w:t> </w:t>
      </w:r>
      <w:r w:rsidRPr="00B713EE">
        <w:rPr>
          <w:bCs/>
        </w:rPr>
        <w:t>79 (Équipement de direction) comportant des dispositions relatives à la fonction de direction corrective (FDC) et à la fonction de direction à commande automatique (FDCA), mais en suggérant que lui soient apportées les modifications et précisions qui figurent dans le document WP.29-171-06. Il a souligné que certaines dates restaient entre crochets.</w:t>
      </w:r>
    </w:p>
    <w:p w:rsidR="00CD04C1" w:rsidRPr="00B713EE" w:rsidRDefault="00CD04C1" w:rsidP="00CA41BB">
      <w:pPr>
        <w:pStyle w:val="ParNoG"/>
        <w:tabs>
          <w:tab w:val="clear" w:pos="1701"/>
        </w:tabs>
        <w:rPr>
          <w:bCs/>
        </w:rPr>
      </w:pPr>
      <w:r w:rsidRPr="00B713EE">
        <w:t>Il</w:t>
      </w:r>
      <w:r w:rsidRPr="00B713EE">
        <w:rPr>
          <w:bCs/>
        </w:rPr>
        <w:t xml:space="preserve"> a annoncé que le GRRF avait accepté de prolonger le mandat du</w:t>
      </w:r>
      <w:r w:rsidRPr="00B713EE">
        <w:rPr>
          <w:rFonts w:ascii="Segoe UI" w:hAnsi="Segoe UI" w:cs="Segoe UI"/>
        </w:rPr>
        <w:t xml:space="preserve"> </w:t>
      </w:r>
      <w:r w:rsidRPr="00B713EE">
        <w:rPr>
          <w:bCs/>
        </w:rPr>
        <w:t xml:space="preserve">Règlement </w:t>
      </w:r>
      <w:r w:rsidR="007B2739" w:rsidRPr="00B713EE">
        <w:rPr>
          <w:rFonts w:eastAsia="MS Mincho"/>
        </w:rPr>
        <w:t>n</w:t>
      </w:r>
      <w:r w:rsidR="007B2739" w:rsidRPr="00B713EE">
        <w:rPr>
          <w:rFonts w:eastAsia="MS Mincho"/>
          <w:vertAlign w:val="superscript"/>
        </w:rPr>
        <w:t>o</w:t>
      </w:r>
      <w:r w:rsidR="007B2739" w:rsidRPr="00B713EE">
        <w:rPr>
          <w:rFonts w:eastAsia="MS Mincho"/>
        </w:rPr>
        <w:t> </w:t>
      </w:r>
      <w:r w:rsidRPr="00B713EE">
        <w:rPr>
          <w:bCs/>
        </w:rPr>
        <w:t>131 sur les systèmes avancés de freinage d</w:t>
      </w:r>
      <w:r w:rsidR="007C2F80">
        <w:rPr>
          <w:bCs/>
        </w:rPr>
        <w:t>’</w:t>
      </w:r>
      <w:r w:rsidRPr="00B713EE">
        <w:rPr>
          <w:bCs/>
        </w:rPr>
        <w:t>urgence (AEBS) installés sur des véhicules des catégories M</w:t>
      </w:r>
      <w:r w:rsidRPr="00B713EE">
        <w:rPr>
          <w:bCs/>
          <w:vertAlign w:val="subscript"/>
        </w:rPr>
        <w:t>1</w:t>
      </w:r>
      <w:r w:rsidRPr="00B713EE">
        <w:rPr>
          <w:bCs/>
        </w:rPr>
        <w:t xml:space="preserve"> et N</w:t>
      </w:r>
      <w:r w:rsidRPr="00B713EE">
        <w:rPr>
          <w:bCs/>
          <w:vertAlign w:val="subscript"/>
        </w:rPr>
        <w:t>1</w:t>
      </w:r>
      <w:r w:rsidRPr="00B713EE">
        <w:rPr>
          <w:bCs/>
        </w:rPr>
        <w:t>. Il a ajouté que le GRRF avait demandé l</w:t>
      </w:r>
      <w:r w:rsidR="007C2F80">
        <w:rPr>
          <w:bCs/>
        </w:rPr>
        <w:t>’</w:t>
      </w:r>
      <w:r w:rsidRPr="00B713EE">
        <w:rPr>
          <w:bCs/>
        </w:rPr>
        <w:t>accord du WP.29 pour que le groupe de travail informel des AEBS élabore les</w:t>
      </w:r>
      <w:r w:rsidR="007B2739" w:rsidRPr="00B713EE">
        <w:rPr>
          <w:bCs/>
        </w:rPr>
        <w:t xml:space="preserve"> dispositions correspondantes.</w:t>
      </w:r>
    </w:p>
    <w:p w:rsidR="00CD04C1" w:rsidRPr="00B713EE" w:rsidRDefault="00CD04C1" w:rsidP="00CA41BB">
      <w:pPr>
        <w:pStyle w:val="ParNoG"/>
        <w:tabs>
          <w:tab w:val="clear" w:pos="1701"/>
        </w:tabs>
        <w:rPr>
          <w:bCs/>
        </w:rPr>
      </w:pPr>
      <w:r w:rsidRPr="00B713EE">
        <w:rPr>
          <w:bCs/>
        </w:rPr>
        <w:t>Le WP.29 a accepté la demande du GRRF de réactiver le GTI des AEBS.</w:t>
      </w:r>
    </w:p>
    <w:p w:rsidR="00CD04C1" w:rsidRPr="00B713EE" w:rsidRDefault="00CD04C1" w:rsidP="00CA41BB">
      <w:pPr>
        <w:pStyle w:val="ParNoG"/>
        <w:tabs>
          <w:tab w:val="clear" w:pos="1701"/>
        </w:tabs>
        <w:rPr>
          <w:bCs/>
        </w:rPr>
      </w:pPr>
      <w:r w:rsidRPr="00B713EE">
        <w:rPr>
          <w:bCs/>
        </w:rPr>
        <w:t>Le Président du GRRF a indiqué que le mandat du GTI des ensembles modulaires de véhicules touchait à sa fin et insisté sur la nécessité de le prolonger. Le WP.29 a accepté la demande et décidé de prolonger ce mandat jusqu</w:t>
      </w:r>
      <w:r w:rsidR="007C2F80">
        <w:rPr>
          <w:bCs/>
        </w:rPr>
        <w:t>’</w:t>
      </w:r>
      <w:r w:rsidRPr="00B713EE">
        <w:rPr>
          <w:bCs/>
        </w:rPr>
        <w:t>en février 2019.</w:t>
      </w:r>
    </w:p>
    <w:p w:rsidR="00CD04C1" w:rsidRPr="00B713EE" w:rsidRDefault="00CD04C1" w:rsidP="00CA41BB">
      <w:pPr>
        <w:pStyle w:val="ParNoG"/>
        <w:tabs>
          <w:tab w:val="clear" w:pos="1701"/>
        </w:tabs>
        <w:rPr>
          <w:bCs/>
        </w:rPr>
      </w:pPr>
      <w:r w:rsidRPr="00B713EE">
        <w:rPr>
          <w:bCs/>
        </w:rPr>
        <w:t>Il a fait savoir que le GRRF était en train de revoir le document WP.29-168-16 et l</w:t>
      </w:r>
      <w:r w:rsidR="007C2F80">
        <w:rPr>
          <w:bCs/>
        </w:rPr>
        <w:t>’</w:t>
      </w:r>
      <w:r w:rsidRPr="00B713EE">
        <w:rPr>
          <w:bCs/>
        </w:rPr>
        <w:t>avait abordé à sa session de janvier 2017. Il a ajouté que la proposition correspondante d</w:t>
      </w:r>
      <w:r w:rsidR="007C2F80">
        <w:rPr>
          <w:bCs/>
        </w:rPr>
        <w:t>’</w:t>
      </w:r>
      <w:r w:rsidRPr="00B713EE">
        <w:rPr>
          <w:bCs/>
        </w:rPr>
        <w:t xml:space="preserve">amendements au Règlement </w:t>
      </w:r>
      <w:r w:rsidR="007B2739" w:rsidRPr="00B713EE">
        <w:rPr>
          <w:rFonts w:eastAsia="MS Mincho"/>
        </w:rPr>
        <w:t>n</w:t>
      </w:r>
      <w:r w:rsidR="007B2739" w:rsidRPr="00B713EE">
        <w:rPr>
          <w:rFonts w:eastAsia="MS Mincho"/>
          <w:vertAlign w:val="superscript"/>
        </w:rPr>
        <w:t>o</w:t>
      </w:r>
      <w:r w:rsidR="007B2739" w:rsidRPr="00B713EE">
        <w:rPr>
          <w:rFonts w:eastAsia="MS Mincho"/>
        </w:rPr>
        <w:t> </w:t>
      </w:r>
      <w:r w:rsidRPr="00B713EE">
        <w:rPr>
          <w:bCs/>
        </w:rPr>
        <w:t>13 serait soumise pour examen et mise aux voix à la prochaine session du WP.29.</w:t>
      </w:r>
    </w:p>
    <w:p w:rsidR="00CD04C1" w:rsidRPr="00B713EE" w:rsidRDefault="00CD04C1" w:rsidP="00A73423">
      <w:pPr>
        <w:pStyle w:val="H23G"/>
      </w:pPr>
      <w:r w:rsidRPr="00B713EE">
        <w:tab/>
      </w:r>
      <w:bookmarkStart w:id="21" w:name="_Toc478663120"/>
      <w:r w:rsidRPr="00B713EE">
        <w:t>4.</w:t>
      </w:r>
      <w:r w:rsidRPr="00B713EE">
        <w:tab/>
        <w:t>Groupe de travail du bruit (GRB) (soixante-cinquième session, 15-17 février 2017) (point 3.5.4 de l</w:t>
      </w:r>
      <w:r w:rsidR="007C2F80">
        <w:t>’</w:t>
      </w:r>
      <w:r w:rsidRPr="00B713EE">
        <w:t>ordre du jour)</w:t>
      </w:r>
      <w:bookmarkEnd w:id="21"/>
    </w:p>
    <w:p w:rsidR="00CD04C1" w:rsidRPr="00B713EE" w:rsidRDefault="00CD04C1" w:rsidP="00CA41BB">
      <w:pPr>
        <w:pStyle w:val="ParNoG"/>
        <w:tabs>
          <w:tab w:val="clear" w:pos="1701"/>
        </w:tabs>
        <w:rPr>
          <w:bCs/>
          <w:szCs w:val="24"/>
        </w:rPr>
      </w:pPr>
      <w:r w:rsidRPr="00B713EE">
        <w:rPr>
          <w:bCs/>
          <w:szCs w:val="24"/>
        </w:rPr>
        <w:t xml:space="preserve">Le Président du GRB (France), a rendu compte des résultats obtenus par le GRB à sa soixante-cinquième session (pour plus de détails, voir le rapport de la session </w:t>
      </w:r>
      <w:r w:rsidRPr="00B713EE">
        <w:rPr>
          <w:bCs/>
        </w:rPr>
        <w:t>ECE/TRANS/WP.29/GRB/63).</w:t>
      </w:r>
    </w:p>
    <w:p w:rsidR="00CD04C1" w:rsidRPr="00B713EE" w:rsidRDefault="00CD04C1" w:rsidP="00CA41BB">
      <w:pPr>
        <w:pStyle w:val="ParNoG"/>
        <w:tabs>
          <w:tab w:val="clear" w:pos="1701"/>
        </w:tabs>
        <w:rPr>
          <w:bCs/>
          <w:szCs w:val="24"/>
        </w:rPr>
      </w:pPr>
      <w:r w:rsidRPr="00B713EE">
        <w:rPr>
          <w:bCs/>
          <w:szCs w:val="24"/>
        </w:rPr>
        <w:t xml:space="preserve">Il a indiqué en particulier que le GRB avait adopté les propositions de modification des prescriptions supplémentaires concernant les émissions sonores dans le Règlement </w:t>
      </w:r>
      <w:r w:rsidR="007B2739" w:rsidRPr="00B713EE">
        <w:rPr>
          <w:rFonts w:eastAsia="MS Mincho"/>
        </w:rPr>
        <w:t>n</w:t>
      </w:r>
      <w:r w:rsidR="007B2739" w:rsidRPr="00B713EE">
        <w:rPr>
          <w:rFonts w:eastAsia="MS Mincho"/>
          <w:vertAlign w:val="superscript"/>
        </w:rPr>
        <w:t>o</w:t>
      </w:r>
      <w:r w:rsidR="007B2739" w:rsidRPr="00B713EE">
        <w:rPr>
          <w:rFonts w:eastAsia="MS Mincho"/>
        </w:rPr>
        <w:t> </w:t>
      </w:r>
      <w:r w:rsidRPr="00B713EE">
        <w:rPr>
          <w:bCs/>
          <w:szCs w:val="24"/>
        </w:rPr>
        <w:t>51 (Bruit des véhicules des catégories M et N) et que ces modifications seraient soumises au WP.29 et à l</w:t>
      </w:r>
      <w:r w:rsidR="007C2F80">
        <w:rPr>
          <w:bCs/>
          <w:szCs w:val="24"/>
        </w:rPr>
        <w:t>’</w:t>
      </w:r>
      <w:r w:rsidRPr="00B713EE">
        <w:rPr>
          <w:bCs/>
          <w:szCs w:val="24"/>
        </w:rPr>
        <w:t>AC.1 en juin 2017.</w:t>
      </w:r>
    </w:p>
    <w:p w:rsidR="00CD04C1" w:rsidRPr="00B713EE" w:rsidRDefault="00CD04C1" w:rsidP="00CA41BB">
      <w:pPr>
        <w:pStyle w:val="ParNoG"/>
        <w:tabs>
          <w:tab w:val="clear" w:pos="1701"/>
        </w:tabs>
        <w:rPr>
          <w:bCs/>
          <w:szCs w:val="24"/>
        </w:rPr>
      </w:pPr>
      <w:r w:rsidRPr="00B713EE">
        <w:rPr>
          <w:bCs/>
          <w:szCs w:val="24"/>
        </w:rPr>
        <w:t>Il a également fait savoir que le GRB avait accepté d</w:t>
      </w:r>
      <w:r w:rsidR="007C2F80">
        <w:rPr>
          <w:bCs/>
          <w:szCs w:val="24"/>
        </w:rPr>
        <w:t>’</w:t>
      </w:r>
      <w:r w:rsidRPr="00B713EE">
        <w:rPr>
          <w:bCs/>
          <w:szCs w:val="24"/>
        </w:rPr>
        <w:t>établir un projet de nouveau Règlement sur les avertisseurs de marche arrière et que les principales questions qui se poseraient à propos de ce futur règlement seraient son champ d</w:t>
      </w:r>
      <w:r w:rsidR="007C2F80">
        <w:rPr>
          <w:bCs/>
          <w:szCs w:val="24"/>
        </w:rPr>
        <w:t>’</w:t>
      </w:r>
      <w:r w:rsidRPr="00B713EE">
        <w:rPr>
          <w:bCs/>
          <w:szCs w:val="24"/>
        </w:rPr>
        <w:t>application (catégories de véhicules), l</w:t>
      </w:r>
      <w:r w:rsidR="007C2F80">
        <w:rPr>
          <w:bCs/>
          <w:szCs w:val="24"/>
        </w:rPr>
        <w:t>’</w:t>
      </w:r>
      <w:r w:rsidRPr="00B713EE">
        <w:rPr>
          <w:bCs/>
          <w:szCs w:val="24"/>
        </w:rPr>
        <w:t>existence éventuelle d</w:t>
      </w:r>
      <w:r w:rsidR="007C2F80">
        <w:rPr>
          <w:bCs/>
          <w:szCs w:val="24"/>
        </w:rPr>
        <w:t>’</w:t>
      </w:r>
      <w:r w:rsidRPr="00B713EE">
        <w:rPr>
          <w:bCs/>
          <w:szCs w:val="24"/>
        </w:rPr>
        <w:t>une commande de mise en pause et la composition du signal sonore (niveaux et fréquences).</w:t>
      </w:r>
    </w:p>
    <w:p w:rsidR="00CD04C1" w:rsidRPr="00B713EE" w:rsidRDefault="00CD04C1" w:rsidP="00A73423">
      <w:pPr>
        <w:pStyle w:val="HChG"/>
      </w:pPr>
      <w:r w:rsidRPr="00B713EE">
        <w:tab/>
      </w:r>
      <w:bookmarkStart w:id="22" w:name="_Toc478663121"/>
      <w:r w:rsidRPr="00B713EE">
        <w:t>VI.</w:t>
      </w:r>
      <w:r w:rsidRPr="00B713EE">
        <w:tab/>
        <w:t>Accord de 1958 (point 4 de l</w:t>
      </w:r>
      <w:r w:rsidR="007C2F80">
        <w:t>’</w:t>
      </w:r>
      <w:r w:rsidRPr="00B713EE">
        <w:t>ordre du jour)</w:t>
      </w:r>
      <w:bookmarkEnd w:id="22"/>
    </w:p>
    <w:p w:rsidR="00CD04C1" w:rsidRPr="00B713EE" w:rsidRDefault="00CD04C1" w:rsidP="00A73423">
      <w:pPr>
        <w:pStyle w:val="H1G"/>
        <w:rPr>
          <w:bCs/>
        </w:rPr>
      </w:pPr>
      <w:r w:rsidRPr="00B713EE">
        <w:tab/>
      </w:r>
      <w:bookmarkStart w:id="23" w:name="_Toc478663122"/>
      <w:r w:rsidRPr="00B713EE">
        <w:t>A.</w:t>
      </w:r>
      <w:r w:rsidRPr="00B713EE">
        <w:tab/>
        <w:t>État de l</w:t>
      </w:r>
      <w:r w:rsidR="007C2F80">
        <w:t>’</w:t>
      </w:r>
      <w:r w:rsidRPr="00B713EE">
        <w:t>Acc</w:t>
      </w:r>
      <w:r w:rsidR="00A73423" w:rsidRPr="00B713EE">
        <w:t xml:space="preserve">ord et des Règlements annexés </w:t>
      </w:r>
      <w:r w:rsidR="00A73423" w:rsidRPr="00B713EE">
        <w:br/>
      </w:r>
      <w:r w:rsidRPr="00B713EE">
        <w:rPr>
          <w:bCs/>
        </w:rPr>
        <w:t>(point 4.1 de l</w:t>
      </w:r>
      <w:r w:rsidR="007C2F80">
        <w:rPr>
          <w:bCs/>
        </w:rPr>
        <w:t>’</w:t>
      </w:r>
      <w:r w:rsidRPr="00B713EE">
        <w:rPr>
          <w:bCs/>
        </w:rPr>
        <w:t>ordre du jour)</w:t>
      </w:r>
      <w:bookmarkEnd w:id="23"/>
    </w:p>
    <w:p w:rsidR="00CD04C1" w:rsidRPr="00B713EE" w:rsidRDefault="001F7EFD" w:rsidP="00536634">
      <w:pPr>
        <w:pStyle w:val="SingleTxtG"/>
        <w:ind w:left="2835" w:hanging="1701"/>
        <w:jc w:val="left"/>
      </w:pPr>
      <w:r w:rsidRPr="00B713EE">
        <w:rPr>
          <w:i/>
        </w:rPr>
        <w:t>Document(s)</w:t>
      </w:r>
      <w:r w:rsidRPr="00B713EE">
        <w:t> :</w:t>
      </w:r>
      <w:r w:rsidR="00CD04C1" w:rsidRPr="00B713EE">
        <w:tab/>
        <w:t>ECE/TRANS/WP.29/343/Rev.25</w:t>
      </w:r>
      <w:r w:rsidR="007B2739" w:rsidRPr="00B713EE">
        <w:t> </w:t>
      </w:r>
      <w:r w:rsidR="00536634" w:rsidRPr="00B713EE">
        <w:t xml:space="preserve">; </w:t>
      </w:r>
      <w:r w:rsidR="00536634" w:rsidRPr="00B713EE">
        <w:br/>
      </w:r>
      <w:r w:rsidR="00CD04C1" w:rsidRPr="00B713EE">
        <w:t>Document informel WP.29-171-07</w:t>
      </w:r>
      <w:r w:rsidR="00941BF3" w:rsidRPr="00B713EE">
        <w:t>.</w:t>
      </w:r>
    </w:p>
    <w:p w:rsidR="00CD04C1" w:rsidRPr="00B713EE" w:rsidRDefault="00CD04C1" w:rsidP="00CA41BB">
      <w:pPr>
        <w:pStyle w:val="ParNoG"/>
        <w:tabs>
          <w:tab w:val="clear" w:pos="1701"/>
        </w:tabs>
      </w:pPr>
      <w:r w:rsidRPr="00B713EE">
        <w:t>Le secrétariat a informé le Forum mondial de la dernière mise à jour du document sur l</w:t>
      </w:r>
      <w:r w:rsidR="007C2F80">
        <w:t>’</w:t>
      </w:r>
      <w:r w:rsidRPr="00B713EE">
        <w:t>état de l</w:t>
      </w:r>
      <w:r w:rsidR="007C2F80">
        <w:t>’</w:t>
      </w:r>
      <w:r w:rsidRPr="00B713EE">
        <w:t>Accord de 1958 (ECE/TRANS/WP.29/343/Rev.25). Ce document, qui contient les informations reçues par le secrétariat jusqu</w:t>
      </w:r>
      <w:r w:rsidR="007C2F80">
        <w:t>’</w:t>
      </w:r>
      <w:r w:rsidRPr="00B713EE">
        <w:t>au 20 février 2017, est disponible sur le site Web du WP.29 à l</w:t>
      </w:r>
      <w:r w:rsidR="007C2F80">
        <w:t>’</w:t>
      </w:r>
      <w:r w:rsidRPr="00B713EE">
        <w:t>adresse suivante</w:t>
      </w:r>
      <w:r w:rsidR="005530CC">
        <w:t> :</w:t>
      </w:r>
      <w:r w:rsidRPr="00B713EE">
        <w:t xml:space="preserve"> </w:t>
      </w:r>
      <w:hyperlink r:id="rId9" w:history="1">
        <w:r w:rsidRPr="00B713EE">
          <w:t>www.unece.org/trans/main/wp29/wp29wgs/wp29gen/</w:t>
        </w:r>
        <w:r w:rsidR="007B2739" w:rsidRPr="00B713EE">
          <w:t xml:space="preserve"> </w:t>
        </w:r>
        <w:r w:rsidRPr="00B713EE">
          <w:t>wp29fdocstts.html</w:t>
        </w:r>
      </w:hyperlink>
      <w:r w:rsidRPr="00B713EE">
        <w:t>. Le WP.29 a rappelé que les Parties contractantes devaient notifier au secrétariat les amendements à apporter au document.</w:t>
      </w:r>
    </w:p>
    <w:p w:rsidR="00CD04C1" w:rsidRPr="00B713EE" w:rsidRDefault="00CD04C1" w:rsidP="00CA41BB">
      <w:pPr>
        <w:pStyle w:val="ParNoG"/>
        <w:tabs>
          <w:tab w:val="clear" w:pos="1701"/>
        </w:tabs>
      </w:pPr>
      <w:r w:rsidRPr="00B713EE">
        <w:t>Le secrétariat a présenté le projet de base de données en ligne destinée à rationaliser la mise à jour du document sur l</w:t>
      </w:r>
      <w:r w:rsidR="007C2F80">
        <w:t>’</w:t>
      </w:r>
      <w:r w:rsidRPr="00B713EE">
        <w:t>état de l</w:t>
      </w:r>
      <w:r w:rsidR="007C2F80">
        <w:t>’</w:t>
      </w:r>
      <w:r w:rsidRPr="00B713EE">
        <w:t>Accord de 1958 (à ce jour ECE/TRANS/WP.29/343/Rev.25) et a informé le Forum mondial que la phase initiale d</w:t>
      </w:r>
      <w:r w:rsidR="007C2F80">
        <w:t>’</w:t>
      </w:r>
      <w:r w:rsidRPr="00B713EE">
        <w:t>élaboration et les essais préliminaires étaient achevés. Le secrétariat a prié les chefs de délégation des Parties contractantes à l</w:t>
      </w:r>
      <w:r w:rsidR="007C2F80">
        <w:t>’</w:t>
      </w:r>
      <w:r w:rsidRPr="00B713EE">
        <w:t>Accord de 1958 de lui communiquer, si possible, lors de 171</w:t>
      </w:r>
      <w:r w:rsidRPr="00B713EE">
        <w:rPr>
          <w:vertAlign w:val="superscript"/>
        </w:rPr>
        <w:t>e</w:t>
      </w:r>
      <w:r w:rsidR="007B2739" w:rsidRPr="00B713EE">
        <w:t> </w:t>
      </w:r>
      <w:r w:rsidRPr="00B713EE">
        <w:t>session du WP.29, les coordonnées des responsables chargés de lui envoyer des informations sur les services techniques. Le secrétariat prendra contact avec ces personnes et leur fournira les identifiants et mots de passe nécessaires pour se connecter à la base de données et y introduire toute modification utile. L</w:t>
      </w:r>
      <w:r w:rsidR="007C2F80">
        <w:t>’</w:t>
      </w:r>
      <w:r w:rsidRPr="00B713EE">
        <w:t>objectif est que les interlocuteurs nationaux se familiarisent avec le système et que toutes les informations pertinentes soient collect</w:t>
      </w:r>
      <w:r w:rsidR="00094633">
        <w:t>ées par le biais de cette plate</w:t>
      </w:r>
      <w:r w:rsidRPr="00B713EE">
        <w:t>forme en ligne, afin que le secrétariat puisse établir la prochaine version révisée du document sur l</w:t>
      </w:r>
      <w:r w:rsidR="007C2F80">
        <w:t>’</w:t>
      </w:r>
      <w:r w:rsidRPr="00B713EE">
        <w:t>état de l</w:t>
      </w:r>
      <w:r w:rsidR="007C2F80">
        <w:t>’</w:t>
      </w:r>
      <w:r w:rsidRPr="00B713EE">
        <w:t>Accord de 1958 pour la session de juin 2017.</w:t>
      </w:r>
    </w:p>
    <w:p w:rsidR="00CD04C1" w:rsidRPr="00B713EE" w:rsidRDefault="00CD04C1" w:rsidP="00CA41BB">
      <w:pPr>
        <w:pStyle w:val="ParNoG"/>
        <w:tabs>
          <w:tab w:val="clear" w:pos="1701"/>
        </w:tabs>
      </w:pPr>
      <w:r w:rsidRPr="00B713EE">
        <w:t>Le Forum mondial s</w:t>
      </w:r>
      <w:r w:rsidR="007C2F80">
        <w:t>’</w:t>
      </w:r>
      <w:r w:rsidRPr="00B713EE">
        <w:t>est félicité de l</w:t>
      </w:r>
      <w:r w:rsidR="007C2F80">
        <w:t>’</w:t>
      </w:r>
      <w:r w:rsidRPr="00B713EE">
        <w:t>initiative prise par le secrétariat et a invité les Parties contractantes à envoyer les coordonnées (courriels) de</w:t>
      </w:r>
      <w:r w:rsidR="006B45E9" w:rsidRPr="00B713EE">
        <w:t>s interlocuteurs nationaux à M. </w:t>
      </w:r>
      <w:r w:rsidRPr="00B713EE">
        <w:t xml:space="preserve">F. </w:t>
      </w:r>
      <w:r w:rsidR="006B45E9" w:rsidRPr="00B713EE">
        <w:t xml:space="preserve">Guichard </w:t>
      </w:r>
      <w:r w:rsidRPr="00B713EE">
        <w:t>(</w:t>
      </w:r>
      <w:hyperlink r:id="rId10" w:history="1">
        <w:r w:rsidRPr="00B713EE">
          <w:rPr>
            <w:rStyle w:val="Hyperlink"/>
          </w:rPr>
          <w:t>francois.guichard@unece.org</w:t>
        </w:r>
      </w:hyperlink>
      <w:r w:rsidRPr="00B713EE">
        <w:t>).</w:t>
      </w:r>
    </w:p>
    <w:p w:rsidR="00CD04C1" w:rsidRPr="00B713EE" w:rsidRDefault="00CD04C1" w:rsidP="00A73423">
      <w:pPr>
        <w:pStyle w:val="H1G"/>
      </w:pPr>
      <w:r w:rsidRPr="00B713EE">
        <w:tab/>
      </w:r>
      <w:bookmarkStart w:id="24" w:name="_Toc478663123"/>
      <w:r w:rsidRPr="00B713EE">
        <w:t>B.</w:t>
      </w:r>
      <w:r w:rsidRPr="00B713EE">
        <w:tab/>
        <w:t xml:space="preserve">Orientations demandées par les Groupes de travail à propos </w:t>
      </w:r>
      <w:r w:rsidR="00A73423" w:rsidRPr="00B713EE">
        <w:br/>
      </w:r>
      <w:r w:rsidRPr="00B713EE">
        <w:t>de questions relatives aux Règlements annexés à l</w:t>
      </w:r>
      <w:r w:rsidR="007C2F80">
        <w:t>’</w:t>
      </w:r>
      <w:r w:rsidRPr="00B713EE">
        <w:t xml:space="preserve">Accord </w:t>
      </w:r>
      <w:r w:rsidR="006B45E9" w:rsidRPr="00B713EE">
        <w:br/>
      </w:r>
      <w:r w:rsidRPr="00B713EE">
        <w:t>de 1958 (point 4.2 de l</w:t>
      </w:r>
      <w:r w:rsidR="007C2F80">
        <w:t>’</w:t>
      </w:r>
      <w:r w:rsidRPr="00B713EE">
        <w:t>ordre du jour)</w:t>
      </w:r>
      <w:bookmarkEnd w:id="24"/>
    </w:p>
    <w:p w:rsidR="00CD04C1" w:rsidRPr="00B713EE" w:rsidRDefault="00CD04C1" w:rsidP="00CA41BB">
      <w:pPr>
        <w:pStyle w:val="ParNoG"/>
        <w:tabs>
          <w:tab w:val="clear" w:pos="1701"/>
        </w:tabs>
        <w:rPr>
          <w:lang w:eastAsia="es-ES"/>
        </w:rPr>
      </w:pPr>
      <w:r w:rsidRPr="00B713EE">
        <w:t>Aucune proposition nouvelle n</w:t>
      </w:r>
      <w:r w:rsidR="007C2F80">
        <w:t>’</w:t>
      </w:r>
      <w:r w:rsidRPr="00B713EE">
        <w:t>a été soumise au titre de ce point de l</w:t>
      </w:r>
      <w:r w:rsidR="007C2F80">
        <w:t>’</w:t>
      </w:r>
      <w:r w:rsidRPr="00B713EE">
        <w:t xml:space="preserve">ordre du jour. </w:t>
      </w:r>
    </w:p>
    <w:p w:rsidR="00CD04C1" w:rsidRPr="00B713EE" w:rsidRDefault="00CD04C1" w:rsidP="00A73423">
      <w:pPr>
        <w:pStyle w:val="H23G"/>
      </w:pPr>
      <w:bookmarkStart w:id="25" w:name="_Toc392251122"/>
      <w:r w:rsidRPr="00B713EE">
        <w:tab/>
      </w:r>
      <w:bookmarkStart w:id="26" w:name="_Toc478663124"/>
      <w:r w:rsidRPr="00B713EE">
        <w:t>1.</w:t>
      </w:r>
      <w:r w:rsidRPr="00B713EE">
        <w:tab/>
        <w:t xml:space="preserve">Reproduction de normes privées et renvoi à celles-ci dans les Règlements, </w:t>
      </w:r>
      <w:r w:rsidR="00A73423" w:rsidRPr="00B713EE">
        <w:br/>
      </w:r>
      <w:r w:rsidRPr="00B713EE">
        <w:t>les Règlements techniques mondiaux et les Règles de l</w:t>
      </w:r>
      <w:r w:rsidR="007C2F80">
        <w:t>’</w:t>
      </w:r>
      <w:r w:rsidRPr="00B713EE">
        <w:t xml:space="preserve">ONU </w:t>
      </w:r>
      <w:r w:rsidR="006B45E9" w:rsidRPr="00B713EE">
        <w:br/>
      </w:r>
      <w:r w:rsidR="00E3481F">
        <w:t>(point </w:t>
      </w:r>
      <w:r w:rsidRPr="00B713EE">
        <w:t>4.2.1 de l</w:t>
      </w:r>
      <w:r w:rsidR="007C2F80">
        <w:t>’</w:t>
      </w:r>
      <w:r w:rsidRPr="00B713EE">
        <w:t>ordre du jour)</w:t>
      </w:r>
      <w:bookmarkEnd w:id="25"/>
      <w:bookmarkEnd w:id="26"/>
    </w:p>
    <w:p w:rsidR="00CD04C1" w:rsidRPr="00B713EE" w:rsidRDefault="00CD04C1" w:rsidP="00CA41BB">
      <w:pPr>
        <w:pStyle w:val="ParNoG"/>
        <w:tabs>
          <w:tab w:val="clear" w:pos="1701"/>
        </w:tabs>
        <w:rPr>
          <w:lang w:eastAsia="es-ES"/>
        </w:rPr>
      </w:pPr>
      <w:r w:rsidRPr="00B713EE">
        <w:t>Aucune proposition nouvelle n</w:t>
      </w:r>
      <w:r w:rsidR="007C2F80">
        <w:t>’</w:t>
      </w:r>
      <w:r w:rsidRPr="00B713EE">
        <w:t>a été soumise au titre de ce point de l</w:t>
      </w:r>
      <w:r w:rsidR="007C2F80">
        <w:t>’</w:t>
      </w:r>
      <w:r w:rsidRPr="00B713EE">
        <w:t xml:space="preserve">ordre du jour. </w:t>
      </w:r>
    </w:p>
    <w:p w:rsidR="00CD04C1" w:rsidRPr="00B713EE" w:rsidRDefault="00CD04C1" w:rsidP="00A73423">
      <w:pPr>
        <w:pStyle w:val="H23G"/>
      </w:pPr>
      <w:r w:rsidRPr="00B713EE">
        <w:tab/>
      </w:r>
      <w:bookmarkStart w:id="27" w:name="_Toc478663125"/>
      <w:r w:rsidRPr="00B713EE">
        <w:t>2.</w:t>
      </w:r>
      <w:r w:rsidRPr="00B713EE">
        <w:tab/>
        <w:t>Orientations relatives aux amendements aux Règlements an</w:t>
      </w:r>
      <w:r w:rsidR="00E3481F">
        <w:t>nexés à l</w:t>
      </w:r>
      <w:r w:rsidR="007C2F80">
        <w:t>’</w:t>
      </w:r>
      <w:r w:rsidR="00E3481F">
        <w:t>Accord de 1958 (point </w:t>
      </w:r>
      <w:r w:rsidRPr="00B713EE">
        <w:t>4.2.2 de l</w:t>
      </w:r>
      <w:r w:rsidR="007C2F80">
        <w:t>’</w:t>
      </w:r>
      <w:r w:rsidRPr="00B713EE">
        <w:t>ordre du jour)</w:t>
      </w:r>
      <w:bookmarkEnd w:id="27"/>
    </w:p>
    <w:p w:rsidR="00CD04C1" w:rsidRPr="00B713EE" w:rsidRDefault="001F7EFD" w:rsidP="00941BF3">
      <w:pPr>
        <w:pStyle w:val="SingleTxtG"/>
        <w:ind w:left="2835" w:hanging="1701"/>
        <w:jc w:val="left"/>
      </w:pPr>
      <w:r w:rsidRPr="00B713EE">
        <w:rPr>
          <w:i/>
        </w:rPr>
        <w:t>Document(s)</w:t>
      </w:r>
      <w:r w:rsidRPr="00B713EE">
        <w:t> :</w:t>
      </w:r>
      <w:r w:rsidR="00CD04C1" w:rsidRPr="00B713EE">
        <w:tab/>
        <w:t>ECE/TRANS/WP.29/2017/53</w:t>
      </w:r>
      <w:r w:rsidR="00941BF3" w:rsidRPr="00B713EE">
        <w:t xml:space="preserve"> ; </w:t>
      </w:r>
      <w:r w:rsidR="00941BF3" w:rsidRPr="00B713EE">
        <w:br/>
      </w:r>
      <w:r w:rsidR="00CD04C1" w:rsidRPr="00B713EE">
        <w:t>Documents informels WP.29-171-13 et WP.29-171-24</w:t>
      </w:r>
      <w:r w:rsidR="00941BF3" w:rsidRPr="00B713EE">
        <w:t>.</w:t>
      </w:r>
    </w:p>
    <w:p w:rsidR="00CD04C1" w:rsidRPr="00B713EE" w:rsidRDefault="00CD04C1" w:rsidP="00CA41BB">
      <w:pPr>
        <w:pStyle w:val="ParNoG"/>
        <w:tabs>
          <w:tab w:val="clear" w:pos="1701"/>
        </w:tabs>
      </w:pPr>
      <w:r w:rsidRPr="00B713EE">
        <w:t>Le représentant de Japon, au nom du Président du groupe de travail informel de l</w:t>
      </w:r>
      <w:r w:rsidR="007C2F80">
        <w:t>’</w:t>
      </w:r>
      <w:r w:rsidRPr="00B713EE">
        <w:t>homologation de type internationale de l</w:t>
      </w:r>
      <w:r w:rsidR="007C2F80">
        <w:t>’</w:t>
      </w:r>
      <w:r w:rsidRPr="00B713EE">
        <w:t>ensemble du véhicule (IWVTA), a présenté le projet de Directives générales concernant l</w:t>
      </w:r>
      <w:r w:rsidR="007C2F80">
        <w:t>’</w:t>
      </w:r>
      <w:r w:rsidRPr="00B713EE">
        <w:t>élaboration des Règlements de l</w:t>
      </w:r>
      <w:r w:rsidR="007C2F80">
        <w:t>’</w:t>
      </w:r>
      <w:r w:rsidRPr="00B713EE">
        <w:t>ONU et les dispositions transitoires qu</w:t>
      </w:r>
      <w:r w:rsidR="007C2F80">
        <w:t>’</w:t>
      </w:r>
      <w:r w:rsidRPr="00B713EE">
        <w:t>ils contiennent (ECE/TRANS/2017/53). Il a souligné que l</w:t>
      </w:r>
      <w:r w:rsidR="007C2F80">
        <w:t>’</w:t>
      </w:r>
      <w:r w:rsidRPr="00B713EE">
        <w:t>objectif de ce document était de rationaliser le travail futur des organes subsidiaires, d</w:t>
      </w:r>
      <w:r w:rsidR="007C2F80">
        <w:t>’</w:t>
      </w:r>
      <w:r w:rsidRPr="00B713EE">
        <w:t xml:space="preserve">apporter des précisions sur les procédures </w:t>
      </w:r>
      <w:r w:rsidR="006B45E9" w:rsidRPr="00B713EE">
        <w:t xml:space="preserve">après la </w:t>
      </w:r>
      <w:r w:rsidR="0093100A">
        <w:t>r</w:t>
      </w:r>
      <w:r w:rsidR="006B45E9" w:rsidRPr="00B713EE">
        <w:t>évision </w:t>
      </w:r>
      <w:r w:rsidRPr="00B713EE">
        <w:t>3 de l</w:t>
      </w:r>
      <w:r w:rsidR="007C2F80">
        <w:t>’</w:t>
      </w:r>
      <w:r w:rsidRPr="00B713EE">
        <w:t>Accord de 1958 et de garantir de « bonnes pratiques en matière de réglementation » en apportant des précisions propres à éviter toute divergence dans l</w:t>
      </w:r>
      <w:r w:rsidR="007C2F80">
        <w:t>’</w:t>
      </w:r>
      <w:r w:rsidRPr="00B713EE">
        <w:t xml:space="preserve">interprétation de la </w:t>
      </w:r>
      <w:r w:rsidR="0093100A">
        <w:t>révision 3</w:t>
      </w:r>
      <w:r w:rsidRPr="00B713EE">
        <w:t xml:space="preserve"> de l</w:t>
      </w:r>
      <w:r w:rsidR="007C2F80">
        <w:t>’</w:t>
      </w:r>
      <w:r w:rsidRPr="00B713EE">
        <w:t>Accord de 1958 et l</w:t>
      </w:r>
      <w:r w:rsidR="007C2F80">
        <w:t>’</w:t>
      </w:r>
      <w:r w:rsidRPr="00B713EE">
        <w:t>application des Règlements de l</w:t>
      </w:r>
      <w:r w:rsidR="007C2F80">
        <w:t>’</w:t>
      </w:r>
      <w:r w:rsidRPr="00B713EE">
        <w:t>ONU. Il a informé le Forum mondial que le groupe de travail informel de l</w:t>
      </w:r>
      <w:r w:rsidR="007C2F80">
        <w:t>’</w:t>
      </w:r>
      <w:r w:rsidRPr="00B713EE">
        <w:t xml:space="preserve">IWVTA avait examiné les modifications proposées dans le document informel WP.29-171-13 et que toutes les modifications approuvées par le groupe avaient été reproduites dans le document WP.29-171-24. Il a informé le WP.29 que la prochaine réunion du </w:t>
      </w:r>
      <w:r w:rsidR="00E3481F">
        <w:t>GTI se tiendrait à Madrid le 16 </w:t>
      </w:r>
      <w:r w:rsidRPr="00B713EE">
        <w:t>juin 2017. Le représentant de la Fédération de Russie a émis une réserve pour complément d</w:t>
      </w:r>
      <w:r w:rsidR="007C2F80">
        <w:t>’</w:t>
      </w:r>
      <w:r w:rsidRPr="00B713EE">
        <w:t>étude. Le Président du WP.29 a invité tous les représentants à envoyer leurs observations sur le document WP.29-171-24 au secrétaire du groupe de travail informel de l</w:t>
      </w:r>
      <w:r w:rsidR="007C2F80">
        <w:t>’</w:t>
      </w:r>
      <w:r w:rsidRPr="00B713EE">
        <w:t>IWVTA d</w:t>
      </w:r>
      <w:r w:rsidR="007C2F80">
        <w:t>’</w:t>
      </w:r>
      <w:r w:rsidRPr="00B713EE">
        <w:t>ici à la mi-juin 2017.</w:t>
      </w:r>
    </w:p>
    <w:p w:rsidR="00CD04C1" w:rsidRPr="00B713EE" w:rsidRDefault="00CD04C1" w:rsidP="00CA41BB">
      <w:pPr>
        <w:pStyle w:val="ParNoG"/>
        <w:tabs>
          <w:tab w:val="clear" w:pos="1701"/>
        </w:tabs>
      </w:pPr>
      <w:r w:rsidRPr="00B713EE">
        <w:t>Le WP.29 a décidé de reprendre à sa session de juin 2017 l</w:t>
      </w:r>
      <w:r w:rsidR="007C2F80">
        <w:t>’</w:t>
      </w:r>
      <w:r w:rsidRPr="00B713EE">
        <w:t>examen du document ECE/TRANS/2017/53 tel qu</w:t>
      </w:r>
      <w:r w:rsidR="007C2F80">
        <w:t>’</w:t>
      </w:r>
      <w:r w:rsidRPr="00B713EE">
        <w:t>il est reproduit dans le document WP.29-171-24 et de l</w:t>
      </w:r>
      <w:r w:rsidR="007C2F80">
        <w:t>’</w:t>
      </w:r>
      <w:r w:rsidRPr="00B713EE">
        <w:t xml:space="preserve">approuver à sa session de novembre 2017, date à laquelle la </w:t>
      </w:r>
      <w:r w:rsidR="0093100A">
        <w:t>révision 3</w:t>
      </w:r>
      <w:r w:rsidRPr="00B713EE">
        <w:t xml:space="preserve"> de l</w:t>
      </w:r>
      <w:r w:rsidR="007C2F80">
        <w:t>’</w:t>
      </w:r>
      <w:r w:rsidRPr="00B713EE">
        <w:t>Accord de</w:t>
      </w:r>
      <w:r w:rsidR="00E3481F">
        <w:t xml:space="preserve"> 1958 serait entrée en vigueur.</w:t>
      </w:r>
    </w:p>
    <w:p w:rsidR="00CD04C1" w:rsidRPr="00B713EE" w:rsidRDefault="00CD04C1" w:rsidP="00A73423">
      <w:pPr>
        <w:pStyle w:val="H1G"/>
      </w:pPr>
      <w:r w:rsidRPr="00B713EE">
        <w:rPr>
          <w:sz w:val="28"/>
        </w:rPr>
        <w:tab/>
      </w:r>
      <w:bookmarkStart w:id="28" w:name="_Toc478663126"/>
      <w:r w:rsidRPr="00B713EE">
        <w:t>C.</w:t>
      </w:r>
      <w:r w:rsidRPr="00B713EE">
        <w:tab/>
        <w:t>Mise au point d</w:t>
      </w:r>
      <w:r w:rsidR="007C2F80">
        <w:t>’</w:t>
      </w:r>
      <w:r w:rsidRPr="00B713EE">
        <w:t>une homologation de type internationale de l</w:t>
      </w:r>
      <w:r w:rsidR="007C2F80">
        <w:t>’</w:t>
      </w:r>
      <w:r w:rsidRPr="00B713EE">
        <w:t>ense</w:t>
      </w:r>
      <w:r w:rsidR="00E3481F">
        <w:t>mble du véhicule (IWVTA) (point </w:t>
      </w:r>
      <w:r w:rsidRPr="00B713EE">
        <w:t>4.3 de l</w:t>
      </w:r>
      <w:r w:rsidR="007C2F80">
        <w:t>’</w:t>
      </w:r>
      <w:r w:rsidRPr="00B713EE">
        <w:t>ordre du jour)</w:t>
      </w:r>
      <w:bookmarkEnd w:id="28"/>
    </w:p>
    <w:p w:rsidR="00CD04C1" w:rsidRPr="00B713EE" w:rsidRDefault="001F7EFD" w:rsidP="00941BF3">
      <w:pPr>
        <w:pStyle w:val="SingleTxtG"/>
        <w:ind w:left="2835" w:hanging="1701"/>
        <w:jc w:val="left"/>
      </w:pPr>
      <w:r w:rsidRPr="00B713EE">
        <w:rPr>
          <w:i/>
        </w:rPr>
        <w:t>Document(s)</w:t>
      </w:r>
      <w:r w:rsidR="00941BF3" w:rsidRPr="00B713EE">
        <w:t> </w:t>
      </w:r>
      <w:r w:rsidR="00CD04C1" w:rsidRPr="00B713EE">
        <w:t>:</w:t>
      </w:r>
      <w:r w:rsidR="00CD04C1" w:rsidRPr="00B713EE">
        <w:tab/>
        <w:t>ECE/TRANS/WP.29/2017/54</w:t>
      </w:r>
      <w:r w:rsidR="00941BF3" w:rsidRPr="00B713EE">
        <w:t xml:space="preserve"> ; </w:t>
      </w:r>
      <w:r w:rsidR="00941BF3" w:rsidRPr="00B713EE">
        <w:br/>
      </w:r>
      <w:r w:rsidR="00CD04C1" w:rsidRPr="00B713EE">
        <w:tab/>
        <w:t>Documents informels WP.29-171-11, WP.29-171-12, WP.29-171-25</w:t>
      </w:r>
      <w:r w:rsidR="00941BF3" w:rsidRPr="00B713EE">
        <w:t>.</w:t>
      </w:r>
    </w:p>
    <w:p w:rsidR="00CD04C1" w:rsidRPr="00B713EE" w:rsidRDefault="00CD04C1" w:rsidP="00CA41BB">
      <w:pPr>
        <w:pStyle w:val="ParNoG"/>
        <w:tabs>
          <w:tab w:val="clear" w:pos="1701"/>
        </w:tabs>
        <w:rPr>
          <w:lang w:eastAsia="es-ES"/>
        </w:rPr>
      </w:pPr>
      <w:r w:rsidRPr="00B713EE">
        <w:t>Le représentant du Japon, s</w:t>
      </w:r>
      <w:r w:rsidR="007C2F80">
        <w:t>’</w:t>
      </w:r>
      <w:r w:rsidRPr="00B713EE">
        <w:t>exprimant au nom du Président du groupe de travail informel de l</w:t>
      </w:r>
      <w:r w:rsidR="007C2F80">
        <w:t>’</w:t>
      </w:r>
      <w:r w:rsidRPr="00B713EE">
        <w:t>IWVTA, a présenté le document WP.29-171-12, qui rend compte des progrès réalisés par le groupe lors de ses dernières réunions en ce qui concerne l</w:t>
      </w:r>
      <w:r w:rsidR="007C2F80">
        <w:t>’</w:t>
      </w:r>
      <w:r w:rsidRPr="00B713EE">
        <w:t>élaboration d</w:t>
      </w:r>
      <w:r w:rsidR="007C2F80">
        <w:t>’</w:t>
      </w:r>
      <w:r w:rsidRPr="00B713EE">
        <w:t>un projet de Règlement n</w:t>
      </w:r>
      <w:r w:rsidRPr="00B713EE">
        <w:rPr>
          <w:vertAlign w:val="superscript"/>
        </w:rPr>
        <w:t>o</w:t>
      </w:r>
      <w:r w:rsidRPr="00B713EE">
        <w:t> 0 relatif à l</w:t>
      </w:r>
      <w:r w:rsidR="007C2F80">
        <w:t>’</w:t>
      </w:r>
      <w:r w:rsidRPr="00B713EE">
        <w:t>IWVTA et sollicité des orientations de la part du WP.29 s</w:t>
      </w:r>
      <w:r w:rsidR="007C2F80">
        <w:t>’</w:t>
      </w:r>
      <w:r w:rsidRPr="00B713EE">
        <w:t>agissant de la langue de la demande d</w:t>
      </w:r>
      <w:r w:rsidR="007C2F80">
        <w:t>’</w:t>
      </w:r>
      <w:r w:rsidRPr="00B713EE">
        <w:t>homologation et des documents d</w:t>
      </w:r>
      <w:r w:rsidR="007C2F80">
        <w:t>’</w:t>
      </w:r>
      <w:r w:rsidRPr="00B713EE">
        <w:t xml:space="preserve">accompagnement. Se référant au document </w:t>
      </w:r>
      <w:r w:rsidRPr="00B713EE">
        <w:rPr>
          <w:lang w:eastAsia="es-ES"/>
        </w:rPr>
        <w:t>WP.29-171-11, il a réaffirmé que le GTI avait l</w:t>
      </w:r>
      <w:r w:rsidR="007C2F80">
        <w:rPr>
          <w:lang w:eastAsia="es-ES"/>
        </w:rPr>
        <w:t>’</w:t>
      </w:r>
      <w:r w:rsidRPr="00B713EE">
        <w:rPr>
          <w:lang w:eastAsia="es-ES"/>
        </w:rPr>
        <w:t>intention de soumettre une version définitive du projet de Règlement au WP.29 pour examen à sa session de novembre 2017. Le</w:t>
      </w:r>
      <w:r w:rsidR="00E3481F">
        <w:rPr>
          <w:lang w:eastAsia="es-ES"/>
        </w:rPr>
        <w:t xml:space="preserve"> </w:t>
      </w:r>
      <w:r w:rsidRPr="00B713EE">
        <w:rPr>
          <w:lang w:eastAsia="es-ES"/>
        </w:rPr>
        <w:t xml:space="preserve">secrétariat a été prié de faire distribuer le document WP.29-171-11 sous une cote officielle à la prochaine session du WP.29. </w:t>
      </w:r>
    </w:p>
    <w:p w:rsidR="00CD04C1" w:rsidRPr="00B713EE" w:rsidRDefault="00CD04C1" w:rsidP="00CA41BB">
      <w:pPr>
        <w:pStyle w:val="ParNoG"/>
        <w:tabs>
          <w:tab w:val="clear" w:pos="1701"/>
        </w:tabs>
        <w:rPr>
          <w:lang w:eastAsia="es-ES"/>
        </w:rPr>
      </w:pPr>
      <w:r w:rsidRPr="00B713EE">
        <w:t>Toujours au nom du Président du groupe de travail informel de l</w:t>
      </w:r>
      <w:r w:rsidR="007C2F80">
        <w:t>’</w:t>
      </w:r>
      <w:r w:rsidRPr="00B713EE">
        <w:t>IWVTA, le représentant du Japon a demandé au WP.29 des orientations en matière de rationalisation des procédures administratives d</w:t>
      </w:r>
      <w:r w:rsidR="007C2F80">
        <w:t>’</w:t>
      </w:r>
      <w:r w:rsidRPr="00B713EE">
        <w:t>homologation utilisant l</w:t>
      </w:r>
      <w:r w:rsidR="007C2F80">
        <w:t>’</w:t>
      </w:r>
      <w:r w:rsidRPr="00B713EE">
        <w:t>anglais comme langue commune, com</w:t>
      </w:r>
      <w:r w:rsidR="007C6625" w:rsidRPr="00B713EE">
        <w:t xml:space="preserve">me il est proposé au paragraphe 3.3 du projet de Règlement </w:t>
      </w:r>
      <w:r w:rsidR="007C6625" w:rsidRPr="00B713EE">
        <w:rPr>
          <w:rFonts w:eastAsia="MS Mincho"/>
        </w:rPr>
        <w:t>n</w:t>
      </w:r>
      <w:r w:rsidR="007C6625" w:rsidRPr="00B713EE">
        <w:rPr>
          <w:rFonts w:eastAsia="MS Mincho"/>
          <w:vertAlign w:val="superscript"/>
        </w:rPr>
        <w:t>o</w:t>
      </w:r>
      <w:r w:rsidR="007C6625" w:rsidRPr="00B713EE">
        <w:rPr>
          <w:rFonts w:eastAsia="MS Mincho"/>
        </w:rPr>
        <w:t> </w:t>
      </w:r>
      <w:r w:rsidRPr="00B713EE">
        <w:t xml:space="preserve">0 </w:t>
      </w:r>
      <w:r w:rsidRPr="00B713EE">
        <w:rPr>
          <w:lang w:eastAsia="es-ES"/>
        </w:rPr>
        <w:t>(document informel WP.29-171-11). Les représentants de la Fédération de Russie et de la France ont fait part de leur préoccupation face au risque que cette norme contamine d</w:t>
      </w:r>
      <w:r w:rsidR="007C2F80">
        <w:rPr>
          <w:lang w:eastAsia="es-ES"/>
        </w:rPr>
        <w:t>’</w:t>
      </w:r>
      <w:r w:rsidRPr="00B713EE">
        <w:rPr>
          <w:lang w:eastAsia="es-ES"/>
        </w:rPr>
        <w:t>autres Règlements, qui utilisent actuellement trois langues sur un pied d</w:t>
      </w:r>
      <w:r w:rsidR="007C2F80">
        <w:rPr>
          <w:lang w:eastAsia="es-ES"/>
        </w:rPr>
        <w:t>’</w:t>
      </w:r>
      <w:r w:rsidRPr="00B713EE">
        <w:rPr>
          <w:lang w:eastAsia="es-ES"/>
        </w:rPr>
        <w:t>égalité, et ont demandé un tem</w:t>
      </w:r>
      <w:r w:rsidR="006A2269">
        <w:rPr>
          <w:lang w:eastAsia="es-ES"/>
        </w:rPr>
        <w:t>ps de réflexion supplémentaire.</w:t>
      </w:r>
    </w:p>
    <w:p w:rsidR="00CD04C1" w:rsidRPr="00B713EE" w:rsidRDefault="00CD04C1" w:rsidP="00CA41BB">
      <w:pPr>
        <w:pStyle w:val="ParNoG"/>
        <w:tabs>
          <w:tab w:val="clear" w:pos="1701"/>
        </w:tabs>
      </w:pPr>
      <w:r w:rsidRPr="00B713EE">
        <w:t>Au nom du groupe de travail informel de l</w:t>
      </w:r>
      <w:r w:rsidR="007C2F80">
        <w:t>’</w:t>
      </w:r>
      <w:r w:rsidRPr="00B713EE">
        <w:t xml:space="preserve">IWVTA, le représentant du Japon a présenté le document ECE/TRANS/WP.29/2017/54, tel que modifié par le document informel WP.29-171-25 et contenant des explications relatives au Règlement </w:t>
      </w:r>
      <w:r w:rsidR="006A2269">
        <w:rPr>
          <w:rFonts w:eastAsia="MS Mincho"/>
        </w:rPr>
        <w:t>n</w:t>
      </w:r>
      <w:r w:rsidR="006A2269">
        <w:rPr>
          <w:rFonts w:eastAsia="MS Mincho"/>
          <w:vertAlign w:val="superscript"/>
        </w:rPr>
        <w:t>o</w:t>
      </w:r>
      <w:r w:rsidR="006A2269" w:rsidRPr="00AA7C01">
        <w:rPr>
          <w:rFonts w:eastAsia="MS Mincho"/>
        </w:rPr>
        <w:t> </w:t>
      </w:r>
      <w:r w:rsidRPr="00B713EE">
        <w:t>0. Le</w:t>
      </w:r>
      <w:r w:rsidR="006A2269">
        <w:t xml:space="preserve"> </w:t>
      </w:r>
      <w:r w:rsidRPr="00B713EE">
        <w:t>Forum mondial a accueilli ce document avec intérêt et décidé de l</w:t>
      </w:r>
      <w:r w:rsidR="007C2F80">
        <w:t>’</w:t>
      </w:r>
      <w:r w:rsidRPr="00B713EE">
        <w:t>approuver à sa session de novembre 20</w:t>
      </w:r>
      <w:r w:rsidR="00E6568C" w:rsidRPr="00B713EE">
        <w:t>17, date à laquelle la révision </w:t>
      </w:r>
      <w:r w:rsidRPr="00B713EE">
        <w:t>3 de l</w:t>
      </w:r>
      <w:r w:rsidR="007C2F80">
        <w:t>’</w:t>
      </w:r>
      <w:r w:rsidRPr="00B713EE">
        <w:t>Accord de 1958 serait entrée en vigueur. Le Président du WP.29 a invité les représentants à envoyer leurs observations sur le document WP.29-171-25 au secrétaire du groupe de travail informel de l</w:t>
      </w:r>
      <w:r w:rsidR="007C2F80">
        <w:t>’</w:t>
      </w:r>
      <w:r w:rsidRPr="00B713EE">
        <w:t>IWVTA d</w:t>
      </w:r>
      <w:r w:rsidR="007C2F80">
        <w:t>’</w:t>
      </w:r>
      <w:r w:rsidRPr="00B713EE">
        <w:t>ici la mi-juin 2017 au plus tard.</w:t>
      </w:r>
    </w:p>
    <w:p w:rsidR="00CD04C1" w:rsidRPr="00B713EE" w:rsidRDefault="00CD04C1" w:rsidP="00A73423">
      <w:pPr>
        <w:pStyle w:val="H1G"/>
      </w:pPr>
      <w:r w:rsidRPr="00B713EE">
        <w:tab/>
      </w:r>
      <w:bookmarkStart w:id="29" w:name="_Toc478663127"/>
      <w:r w:rsidRPr="00B713EE">
        <w:t>D.</w:t>
      </w:r>
      <w:r w:rsidRPr="00B713EE">
        <w:tab/>
        <w:t>Projet de révision 3 de l</w:t>
      </w:r>
      <w:r w:rsidR="007C2F80">
        <w:t>’</w:t>
      </w:r>
      <w:r w:rsidRPr="00B713EE">
        <w:t>Accord de 1958 (point 4.4 de l</w:t>
      </w:r>
      <w:r w:rsidR="007C2F80">
        <w:t>’</w:t>
      </w:r>
      <w:r w:rsidRPr="00B713EE">
        <w:t>ordre du jour)</w:t>
      </w:r>
      <w:bookmarkEnd w:id="29"/>
    </w:p>
    <w:p w:rsidR="00CD04C1" w:rsidRPr="00567416" w:rsidRDefault="001F7EFD" w:rsidP="00A30ED3">
      <w:pPr>
        <w:pStyle w:val="SingleTxtG"/>
        <w:ind w:left="2835" w:hanging="1701"/>
        <w:jc w:val="left"/>
        <w:rPr>
          <w:lang w:val="en-US"/>
        </w:rPr>
      </w:pPr>
      <w:r w:rsidRPr="00567416">
        <w:rPr>
          <w:i/>
          <w:lang w:val="en-US"/>
        </w:rPr>
        <w:t>Document(s)</w:t>
      </w:r>
      <w:r w:rsidRPr="00567416">
        <w:rPr>
          <w:lang w:val="en-US"/>
        </w:rPr>
        <w:t> :</w:t>
      </w:r>
      <w:r w:rsidR="00CD04C1" w:rsidRPr="00567416">
        <w:rPr>
          <w:i/>
          <w:lang w:val="en-US"/>
        </w:rPr>
        <w:tab/>
      </w:r>
      <w:r w:rsidR="00CD04C1" w:rsidRPr="00567416">
        <w:rPr>
          <w:lang w:val="en-US"/>
        </w:rPr>
        <w:t>ECE/TRANS/WP.29/2016/2</w:t>
      </w:r>
      <w:r w:rsidR="0093100A">
        <w:rPr>
          <w:lang w:val="en-US"/>
        </w:rPr>
        <w:t> ;</w:t>
      </w:r>
      <w:r w:rsidR="00A30ED3" w:rsidRPr="00567416">
        <w:rPr>
          <w:lang w:val="en-US"/>
        </w:rPr>
        <w:t xml:space="preserve"> </w:t>
      </w:r>
      <w:r w:rsidR="00CD04C1" w:rsidRPr="00567416">
        <w:rPr>
          <w:lang w:val="en-US"/>
        </w:rPr>
        <w:t>ECE/TRANS/WP.29/2017/55</w:t>
      </w:r>
      <w:r w:rsidR="00A30ED3" w:rsidRPr="00567416">
        <w:rPr>
          <w:lang w:val="en-US"/>
        </w:rPr>
        <w:t>.</w:t>
      </w:r>
    </w:p>
    <w:p w:rsidR="00CD04C1" w:rsidRPr="00B713EE" w:rsidRDefault="00CD04C1" w:rsidP="00CA41BB">
      <w:pPr>
        <w:pStyle w:val="ParNoG"/>
        <w:tabs>
          <w:tab w:val="clear" w:pos="1701"/>
        </w:tabs>
      </w:pPr>
      <w:r w:rsidRPr="00B713EE">
        <w:t>Le secrétariat a informé le WP.29 que la révision 3 de l</w:t>
      </w:r>
      <w:r w:rsidR="007C2F80">
        <w:t>’</w:t>
      </w:r>
      <w:r w:rsidRPr="00B713EE">
        <w:t xml:space="preserve">Accord de 1958 devrait entrer en </w:t>
      </w:r>
      <w:r w:rsidR="006A2269">
        <w:t>vigueur à la mi-septembre 2017.</w:t>
      </w:r>
    </w:p>
    <w:p w:rsidR="00CD04C1" w:rsidRPr="00B713EE" w:rsidRDefault="00CD04C1" w:rsidP="00CA41BB">
      <w:pPr>
        <w:pStyle w:val="ParNoG"/>
        <w:tabs>
          <w:tab w:val="clear" w:pos="1701"/>
        </w:tabs>
      </w:pPr>
      <w:r w:rsidRPr="00B713EE">
        <w:t>Au nom du Président du groupe de travail informel de l</w:t>
      </w:r>
      <w:r w:rsidR="007C2F80">
        <w:t>’</w:t>
      </w:r>
      <w:r w:rsidRPr="00B713EE">
        <w:t>IWVTA, le représentant du Japon a présenté le document ECE/TRANS/WP.29/2017/55 assorti d</w:t>
      </w:r>
      <w:r w:rsidR="007C2F80">
        <w:t>’</w:t>
      </w:r>
      <w:r w:rsidRPr="00B713EE">
        <w:t xml:space="preserve">une correction de forme reproduite dans le document informel IWVTA-SG58-23-07. Le Forum mondial a pris note du document de </w:t>
      </w:r>
      <w:r w:rsidR="00E6568C" w:rsidRPr="00B713EE">
        <w:t>« </w:t>
      </w:r>
      <w:r w:rsidRPr="00B713EE">
        <w:t>Questions et réponses</w:t>
      </w:r>
      <w:r w:rsidR="00E6568C" w:rsidRPr="00B713EE">
        <w:t> » portant sur la révision </w:t>
      </w:r>
      <w:r w:rsidRPr="00B713EE">
        <w:t>3 et a décidé de l</w:t>
      </w:r>
      <w:r w:rsidR="007C2F80">
        <w:t>’</w:t>
      </w:r>
      <w:r w:rsidRPr="00B713EE">
        <w:t>approuver à sa session de novembre 2017, lorsque cette révision de l</w:t>
      </w:r>
      <w:r w:rsidR="007C2F80">
        <w:t>’</w:t>
      </w:r>
      <w:r w:rsidRPr="00B713EE">
        <w:t>Accord de 1958 entrera en vigueur.</w:t>
      </w:r>
    </w:p>
    <w:p w:rsidR="00CD04C1" w:rsidRPr="00B713EE" w:rsidRDefault="00CD04C1" w:rsidP="00E24A0B">
      <w:pPr>
        <w:pStyle w:val="H1G"/>
      </w:pPr>
      <w:r w:rsidRPr="00B713EE">
        <w:tab/>
      </w:r>
      <w:bookmarkStart w:id="30" w:name="_Toc478663128"/>
      <w:r w:rsidRPr="00B713EE">
        <w:t>E.</w:t>
      </w:r>
      <w:r w:rsidRPr="00B713EE">
        <w:tab/>
        <w:t>Élaboration d</w:t>
      </w:r>
      <w:r w:rsidR="007C2F80">
        <w:t>’</w:t>
      </w:r>
      <w:r w:rsidRPr="00B713EE">
        <w:t>une base de données pour l</w:t>
      </w:r>
      <w:r w:rsidR="007C2F80">
        <w:t>’</w:t>
      </w:r>
      <w:r w:rsidRPr="00B713EE">
        <w:t xml:space="preserve">échange </w:t>
      </w:r>
      <w:r w:rsidR="00E24A0B" w:rsidRPr="00B713EE">
        <w:br/>
      </w:r>
      <w:r w:rsidRPr="00B713EE">
        <w:t>d</w:t>
      </w:r>
      <w:r w:rsidR="007C2F80">
        <w:t>’</w:t>
      </w:r>
      <w:r w:rsidRPr="00B713EE">
        <w:t>informations concernant l</w:t>
      </w:r>
      <w:r w:rsidR="007C2F80">
        <w:t>’</w:t>
      </w:r>
      <w:r w:rsidRPr="00B713EE">
        <w:t xml:space="preserve">homologation de type (DETA) </w:t>
      </w:r>
      <w:r w:rsidR="00E24A0B" w:rsidRPr="00B713EE">
        <w:br/>
      </w:r>
      <w:r w:rsidRPr="00B713EE">
        <w:t>(point 4.5 de l</w:t>
      </w:r>
      <w:r w:rsidR="007C2F80">
        <w:t>’</w:t>
      </w:r>
      <w:r w:rsidRPr="00B713EE">
        <w:t>ordre du jour)</w:t>
      </w:r>
      <w:bookmarkEnd w:id="30"/>
    </w:p>
    <w:p w:rsidR="00CD04C1" w:rsidRPr="00B713EE" w:rsidRDefault="00CD04C1" w:rsidP="001F7EFD">
      <w:pPr>
        <w:pStyle w:val="SingleTxtG"/>
        <w:ind w:left="2835" w:hanging="1701"/>
        <w:jc w:val="left"/>
        <w:rPr>
          <w:b/>
        </w:rPr>
      </w:pPr>
      <w:r w:rsidRPr="00B713EE">
        <w:rPr>
          <w:i/>
        </w:rPr>
        <w:t>Document</w:t>
      </w:r>
      <w:r w:rsidR="00A30ED3" w:rsidRPr="00B713EE">
        <w:rPr>
          <w:i/>
        </w:rPr>
        <w:t>(s)</w:t>
      </w:r>
      <w:r w:rsidR="00A30ED3" w:rsidRPr="00B713EE">
        <w:t> </w:t>
      </w:r>
      <w:r w:rsidRPr="00B713EE">
        <w:t>:</w:t>
      </w:r>
      <w:r w:rsidRPr="00B713EE">
        <w:tab/>
      </w:r>
      <w:r w:rsidRPr="00B713EE">
        <w:tab/>
        <w:t>Document informel WP.29-171-16</w:t>
      </w:r>
      <w:r w:rsidR="00A30ED3" w:rsidRPr="00B713EE">
        <w:t>.</w:t>
      </w:r>
    </w:p>
    <w:p w:rsidR="00CD04C1" w:rsidRPr="00B713EE" w:rsidRDefault="00CD04C1" w:rsidP="00CA41BB">
      <w:pPr>
        <w:pStyle w:val="ParNoG"/>
        <w:tabs>
          <w:tab w:val="clear" w:pos="1701"/>
        </w:tabs>
      </w:pPr>
      <w:r w:rsidRPr="00B713EE">
        <w:t>Le secrétariat a informé le WP.29 de l</w:t>
      </w:r>
      <w:r w:rsidR="007C2F80">
        <w:t>’</w:t>
      </w:r>
      <w:r w:rsidRPr="00B713EE">
        <w:t>évolution de la situation concernant l</w:t>
      </w:r>
      <w:r w:rsidR="007C2F80">
        <w:t>’</w:t>
      </w:r>
      <w:r w:rsidRPr="00B713EE">
        <w:t xml:space="preserve">hébergement de la base DETA par la CEE. Il a mentionné la décision prise par le CTI au sujet du financement de cette base de données. </w:t>
      </w:r>
    </w:p>
    <w:p w:rsidR="00CD04C1" w:rsidRPr="00B713EE" w:rsidRDefault="00CD04C1" w:rsidP="00CA41BB">
      <w:pPr>
        <w:pStyle w:val="ParNoG"/>
        <w:tabs>
          <w:tab w:val="clear" w:pos="1701"/>
        </w:tabs>
      </w:pPr>
      <w:r w:rsidRPr="00B713EE">
        <w:t>Au nom du Président et du secrétaire du groupe de travail informel de la base DETA, le représentant de l</w:t>
      </w:r>
      <w:r w:rsidR="007C2F80">
        <w:t>’</w:t>
      </w:r>
      <w:r w:rsidRPr="00B713EE">
        <w:t>UE a exprimé les souhaits du GTI. Le groupe de travail informel de la base DETA souhaitait</w:t>
      </w:r>
      <w:r w:rsidR="00E6568C" w:rsidRPr="00B713EE">
        <w:t> : i) </w:t>
      </w:r>
      <w:r w:rsidRPr="00B713EE">
        <w:t>que le WP.29 demande au Comité exécutif d</w:t>
      </w:r>
      <w:r w:rsidR="007C2F80">
        <w:t>’</w:t>
      </w:r>
      <w:r w:rsidRPr="00B713EE">
        <w:t>approuver la décision du CTI à sa prochaine session de mars 2017</w:t>
      </w:r>
      <w:r w:rsidR="00E6568C" w:rsidRPr="00B713EE">
        <w:t> ; ii) </w:t>
      </w:r>
      <w:r w:rsidRPr="00B713EE">
        <w:t>que le secrétariat du WP.29 informe les missions permanentes des Parties contractantes représentées au Comité exécutif des débats sur le financement de la base DETA</w:t>
      </w:r>
      <w:r w:rsidR="00E6568C" w:rsidRPr="00B713EE">
        <w:t> ; iii) </w:t>
      </w:r>
      <w:r w:rsidRPr="00B713EE">
        <w:t>que le WP.29 donne des orientations concernant la recherche de ressources extrabudgétaires autres que le Fonds d</w:t>
      </w:r>
      <w:r w:rsidR="007C2F80">
        <w:t>’</w:t>
      </w:r>
      <w:r w:rsidRPr="00B713EE">
        <w:t>affectation spéciale proposé pour financer la mise au point de nouvelles fonctions de la base DETA</w:t>
      </w:r>
      <w:r w:rsidR="00E6568C" w:rsidRPr="00B713EE">
        <w:t> ;</w:t>
      </w:r>
      <w:r w:rsidRPr="00B713EE">
        <w:t xml:space="preserve"> iv)</w:t>
      </w:r>
      <w:r w:rsidR="00E6568C" w:rsidRPr="00B713EE">
        <w:t> </w:t>
      </w:r>
      <w:r w:rsidRPr="00B713EE">
        <w:t>que les délégations envisagent de s</w:t>
      </w:r>
      <w:r w:rsidR="007C2F80">
        <w:t>’</w:t>
      </w:r>
      <w:r w:rsidRPr="00B713EE">
        <w:t>engager à contribuer financièrement au développement de la DETA</w:t>
      </w:r>
      <w:r w:rsidR="00E6568C" w:rsidRPr="00B713EE">
        <w:t xml:space="preserve"> ; </w:t>
      </w:r>
      <w:r w:rsidRPr="00B713EE">
        <w:t xml:space="preserve">et </w:t>
      </w:r>
      <w:r w:rsidR="00E6568C" w:rsidRPr="00B713EE">
        <w:t>v) </w:t>
      </w:r>
      <w:r w:rsidRPr="00B713EE">
        <w:t>que le WP.29 examine la demande présentée par le groupe dans le document WP.29-171-16. Le WP.29 a pris note des justifications pr</w:t>
      </w:r>
      <w:r w:rsidR="006A2269">
        <w:t>ésentées dans le document WP.29</w:t>
      </w:r>
      <w:r w:rsidR="006A2269">
        <w:noBreakHyphen/>
      </w:r>
      <w:r w:rsidRPr="00B713EE">
        <w:t>171-16 et approuvé la recommandation selon laquelle le Secrétariat de l</w:t>
      </w:r>
      <w:r w:rsidR="007C2F80">
        <w:t>’</w:t>
      </w:r>
      <w:r w:rsidRPr="00B713EE">
        <w:t>ONU devrait envisager de lancer une procédure telle que la procédure d</w:t>
      </w:r>
      <w:r w:rsidR="007C2F80">
        <w:t>’</w:t>
      </w:r>
      <w:r w:rsidRPr="00B713EE">
        <w:t>acquisition auprès d</w:t>
      </w:r>
      <w:r w:rsidR="007C2F80">
        <w:t>’</w:t>
      </w:r>
      <w:r w:rsidRPr="00B713EE">
        <w:t>une source unique prévue dans le Manuel des achats des Nations Unies, dans l</w:t>
      </w:r>
      <w:r w:rsidR="007C2F80">
        <w:t>’</w:t>
      </w:r>
      <w:r w:rsidRPr="00B713EE">
        <w:t>intérêt supérieur des Parties contractantes et eu égard en particulier au calendrier serré, afin que la base DETA soit disponible au moment de l</w:t>
      </w:r>
      <w:r w:rsidR="007C2F80">
        <w:t>’</w:t>
      </w:r>
      <w:r w:rsidRPr="00B713EE">
        <w:t>entrée en vigueur de la révision 3 de l</w:t>
      </w:r>
      <w:r w:rsidR="007C2F80">
        <w:t>’</w:t>
      </w:r>
      <w:r w:rsidRPr="00B713EE">
        <w:t>Accord de 1958.</w:t>
      </w:r>
    </w:p>
    <w:p w:rsidR="00CD04C1" w:rsidRPr="00B713EE" w:rsidRDefault="00E24A0B" w:rsidP="00E24A0B">
      <w:pPr>
        <w:pStyle w:val="H1G"/>
      </w:pPr>
      <w:r w:rsidRPr="00B713EE">
        <w:tab/>
      </w:r>
      <w:r w:rsidR="00CD04C1" w:rsidRPr="00B713EE">
        <w:t>F.</w:t>
      </w:r>
      <w:r w:rsidR="00CD04C1" w:rsidRPr="00B713EE">
        <w:tab/>
        <w:t>Examen de projets d</w:t>
      </w:r>
      <w:r w:rsidR="007C2F80">
        <w:t>’</w:t>
      </w:r>
      <w:r w:rsidR="00CD04C1" w:rsidRPr="00B713EE">
        <w:t xml:space="preserve">amendements à des Règlements existants, </w:t>
      </w:r>
      <w:r w:rsidRPr="00B713EE">
        <w:br/>
      </w:r>
      <w:r w:rsidR="00CD04C1" w:rsidRPr="00B713EE">
        <w:t>soumis par le GRB (point 4.6 de l</w:t>
      </w:r>
      <w:r w:rsidR="007C2F80">
        <w:t>’</w:t>
      </w:r>
      <w:r w:rsidR="00CD04C1" w:rsidRPr="00B713EE">
        <w:t>ordre du jour)</w:t>
      </w:r>
    </w:p>
    <w:p w:rsidR="00CD04C1" w:rsidRPr="00B713EE" w:rsidRDefault="00CD04C1" w:rsidP="00CA41BB">
      <w:pPr>
        <w:pStyle w:val="ParNoG"/>
        <w:tabs>
          <w:tab w:val="clear" w:pos="1701"/>
        </w:tabs>
      </w:pPr>
      <w:r w:rsidRPr="00B713EE">
        <w:t>Le Forum mondial a examiné les projets d</w:t>
      </w:r>
      <w:r w:rsidR="007C2F80">
        <w:t>’</w:t>
      </w:r>
      <w:r w:rsidRPr="00B713EE">
        <w:t>amendements soumis au titre des points 4.6.1 à 4.6.6 de l</w:t>
      </w:r>
      <w:r w:rsidR="007C2F80">
        <w:t>’</w:t>
      </w:r>
      <w:r w:rsidRPr="00B713EE">
        <w:t>ordre du jour et a recommandé qu</w:t>
      </w:r>
      <w:r w:rsidR="007C2F80">
        <w:t>’</w:t>
      </w:r>
      <w:r w:rsidRPr="00B713EE">
        <w:t>ils soient soumis à l</w:t>
      </w:r>
      <w:r w:rsidR="007C2F80">
        <w:t>’</w:t>
      </w:r>
      <w:r w:rsidRPr="00B713EE">
        <w:t>AC.1 pour mise aux voix, une fois que le titre en haut de la page 2 du document ECE/TRANS/WP.29/2017/7 (point 4.6.6 de l</w:t>
      </w:r>
      <w:r w:rsidR="007C2F80">
        <w:t>’</w:t>
      </w:r>
      <w:r w:rsidRPr="00B713EE">
        <w:t>ordre du jour) aura été modifié comme suit</w:t>
      </w:r>
      <w:r w:rsidR="0047322F" w:rsidRPr="00B713EE">
        <w:t> </w:t>
      </w:r>
      <w:r w:rsidRPr="00B713EE">
        <w:t>: « Série 01 d</w:t>
      </w:r>
      <w:r w:rsidR="007C2F80">
        <w:t>’</w:t>
      </w:r>
      <w:r w:rsidRPr="00B713EE">
        <w:t xml:space="preserve">amendements au Règlement </w:t>
      </w:r>
      <w:r w:rsidR="0047322F" w:rsidRPr="00B713EE">
        <w:rPr>
          <w:rFonts w:eastAsia="MS Mincho"/>
        </w:rPr>
        <w:t>n</w:t>
      </w:r>
      <w:r w:rsidR="0047322F" w:rsidRPr="00B713EE">
        <w:rPr>
          <w:rFonts w:eastAsia="MS Mincho"/>
          <w:vertAlign w:val="superscript"/>
        </w:rPr>
        <w:t>o</w:t>
      </w:r>
      <w:r w:rsidR="0047322F" w:rsidRPr="00B713EE">
        <w:rPr>
          <w:rFonts w:eastAsia="MS Mincho"/>
        </w:rPr>
        <w:t> </w:t>
      </w:r>
      <w:r w:rsidRPr="00B713EE">
        <w:t xml:space="preserve">138 (Véhicules à moteur silencieux (QRTV)). ». </w:t>
      </w:r>
    </w:p>
    <w:p w:rsidR="00CD04C1" w:rsidRPr="00B713EE" w:rsidRDefault="00CD04C1" w:rsidP="00E24A0B">
      <w:pPr>
        <w:pStyle w:val="H1G"/>
      </w:pPr>
      <w:r w:rsidRPr="00B713EE">
        <w:tab/>
      </w:r>
      <w:bookmarkStart w:id="31" w:name="_Toc478663130"/>
      <w:r w:rsidRPr="00B713EE">
        <w:t>G.</w:t>
      </w:r>
      <w:r w:rsidRPr="00B713EE">
        <w:tab/>
        <w:t>Examen de projets d</w:t>
      </w:r>
      <w:r w:rsidR="007C2F80">
        <w:t>’</w:t>
      </w:r>
      <w:r w:rsidRPr="00B713EE">
        <w:t>amendements à des</w:t>
      </w:r>
      <w:r w:rsidR="00E24A0B" w:rsidRPr="00B713EE">
        <w:t xml:space="preserve"> Règlements existants, </w:t>
      </w:r>
      <w:r w:rsidR="00E24A0B" w:rsidRPr="00B713EE">
        <w:br/>
        <w:t xml:space="preserve">soumis </w:t>
      </w:r>
      <w:r w:rsidRPr="00B713EE">
        <w:t>par le GRRF (point 4.7 de l</w:t>
      </w:r>
      <w:r w:rsidR="007C2F80">
        <w:t>’</w:t>
      </w:r>
      <w:r w:rsidRPr="00B713EE">
        <w:t>ordre du jour)</w:t>
      </w:r>
      <w:bookmarkEnd w:id="31"/>
    </w:p>
    <w:p w:rsidR="00CD04C1" w:rsidRPr="00B713EE" w:rsidRDefault="00CD04C1" w:rsidP="00CA41BB">
      <w:pPr>
        <w:pStyle w:val="ParNoG"/>
        <w:tabs>
          <w:tab w:val="clear" w:pos="1701"/>
        </w:tabs>
      </w:pPr>
      <w:r w:rsidRPr="00B713EE">
        <w:t>Le Forum mondial a examiné les projets d</w:t>
      </w:r>
      <w:r w:rsidR="007C2F80">
        <w:t>’</w:t>
      </w:r>
      <w:r w:rsidRPr="00B713EE">
        <w:t>amendements</w:t>
      </w:r>
      <w:r w:rsidRPr="00B713EE">
        <w:rPr>
          <w:rFonts w:ascii="Segoe UI" w:hAnsi="Segoe UI" w:cs="Segoe UI"/>
        </w:rPr>
        <w:t xml:space="preserve"> </w:t>
      </w:r>
      <w:r w:rsidRPr="00B713EE">
        <w:t>au titre des points 4.7.1 à 4.7.3 de l</w:t>
      </w:r>
      <w:r w:rsidR="007C2F80">
        <w:t>’</w:t>
      </w:r>
      <w:r w:rsidRPr="00B713EE">
        <w:t>ordre du jour et recommandé qu</w:t>
      </w:r>
      <w:r w:rsidR="007C2F80">
        <w:t>’</w:t>
      </w:r>
      <w:r w:rsidRPr="00B713EE">
        <w:t>ils soient soumis à l</w:t>
      </w:r>
      <w:r w:rsidR="007C2F80">
        <w:t>’</w:t>
      </w:r>
      <w:r w:rsidRPr="00B713EE">
        <w:t>AC.1 pour mise aux voix, une fois apportées les corrections indiquées au paragraphe 70 </w:t>
      </w:r>
      <w:r w:rsidRPr="00B713EE">
        <w:rPr>
          <w:i/>
        </w:rPr>
        <w:t>ter</w:t>
      </w:r>
      <w:r w:rsidRPr="00B713EE">
        <w:t xml:space="preserve"> ci-après.</w:t>
      </w:r>
    </w:p>
    <w:p w:rsidR="00CD04C1" w:rsidRPr="00B713EE" w:rsidRDefault="00CD04C1" w:rsidP="00CA41BB">
      <w:pPr>
        <w:pStyle w:val="ParNoG"/>
        <w:tabs>
          <w:tab w:val="clear" w:pos="1701"/>
        </w:tabs>
      </w:pPr>
      <w:r w:rsidRPr="00B713EE">
        <w:t>En ce qui concerne la proposition relevant du point 4.7.3 de l</w:t>
      </w:r>
      <w:r w:rsidR="007C2F80">
        <w:t>’</w:t>
      </w:r>
      <w:r w:rsidRPr="00B713EE">
        <w:t>ordre du jour, le WP.29 a noté que les dispositions techniques étaient soumises au WP.29 et à l</w:t>
      </w:r>
      <w:r w:rsidR="007C2F80">
        <w:t>’</w:t>
      </w:r>
      <w:r w:rsidRPr="00B713EE">
        <w:t>AC.1 sur la base d</w:t>
      </w:r>
      <w:r w:rsidR="007C2F80">
        <w:t>’</w:t>
      </w:r>
      <w:r w:rsidRPr="00B713EE">
        <w:t>un consensus au sein du GRRF.</w:t>
      </w:r>
      <w:r w:rsidRPr="00B713EE">
        <w:rPr>
          <w:rFonts w:ascii="Segoe UI" w:hAnsi="Segoe UI" w:cs="Segoe UI"/>
        </w:rPr>
        <w:t xml:space="preserve"> </w:t>
      </w:r>
      <w:r w:rsidRPr="00B713EE">
        <w:t>Le Président du GRRF a informé le WP.29 que le Groupe de travail ne s</w:t>
      </w:r>
      <w:r w:rsidR="007C2F80">
        <w:t>’</w:t>
      </w:r>
      <w:r w:rsidRPr="00B713EE">
        <w:t>était pas prononcé sur les dates à indiquer dans les dispositions transitoires, nécessaires à l</w:t>
      </w:r>
      <w:r w:rsidR="007C2F80">
        <w:t>’</w:t>
      </w:r>
      <w:r w:rsidRPr="00B713EE">
        <w:t>introduction des dispositions techni</w:t>
      </w:r>
      <w:r w:rsidR="0047322F" w:rsidRPr="00B713EE">
        <w:t>ques en tant que nouvelle série </w:t>
      </w:r>
      <w:r w:rsidRPr="00B713EE">
        <w:t>02 d</w:t>
      </w:r>
      <w:r w:rsidR="007C2F80">
        <w:t>’</w:t>
      </w:r>
      <w:r w:rsidRPr="00B713EE">
        <w:t xml:space="preserve">amendements au Règlement </w:t>
      </w:r>
      <w:r w:rsidR="0047322F" w:rsidRPr="00B713EE">
        <w:rPr>
          <w:rFonts w:eastAsia="MS Mincho"/>
        </w:rPr>
        <w:t>n</w:t>
      </w:r>
      <w:r w:rsidR="0047322F" w:rsidRPr="00B713EE">
        <w:rPr>
          <w:rFonts w:eastAsia="MS Mincho"/>
          <w:vertAlign w:val="superscript"/>
        </w:rPr>
        <w:t>o</w:t>
      </w:r>
      <w:r w:rsidR="0047322F" w:rsidRPr="00B713EE">
        <w:rPr>
          <w:rFonts w:eastAsia="MS Mincho"/>
        </w:rPr>
        <w:t> </w:t>
      </w:r>
      <w:r w:rsidRPr="00B713EE">
        <w:t>79. Le WP.29, à l</w:t>
      </w:r>
      <w:r w:rsidR="007C2F80">
        <w:t>’</w:t>
      </w:r>
      <w:r w:rsidRPr="00B713EE">
        <w:t>exception du Japon, a convenu que cette question politique pourrait être tranchée au cours de la présente session. Le représentant de l</w:t>
      </w:r>
      <w:r w:rsidR="007C2F80">
        <w:t>’</w:t>
      </w:r>
      <w:r w:rsidRPr="00B713EE">
        <w:t>OICA a présenté le document WP.29-171-28 dans lequel il est proposé d</w:t>
      </w:r>
      <w:r w:rsidR="007C2F80">
        <w:t>’</w:t>
      </w:r>
      <w:r w:rsidRPr="00B713EE">
        <w:t>aligner les dispositions transitoires sur celles qui figurent dans le document ECE/TRANS/WP.29/2017/53 et de choisir des dates différentes. Le représentant du Japon a présenté le document WP.29-171-34, dans lequel il se dit préoccupé qu</w:t>
      </w:r>
      <w:r w:rsidR="007C2F80">
        <w:t>’</w:t>
      </w:r>
      <w:r w:rsidRPr="00B713EE">
        <w:t>il ait été décidé, sans réunion spéciale du GRRF, que les nouvelles prescriptions techniques s</w:t>
      </w:r>
      <w:r w:rsidR="007C2F80">
        <w:t>’</w:t>
      </w:r>
      <w:r w:rsidRPr="00B713EE">
        <w:t>appliqueront à tous les types de véhicules dès 2021, ainsi que par les incidences que cela pourrait avoir sur les modèles existants équipés de ces fonctions bénéfiques pour la sécurité et qui devraient être modifi</w:t>
      </w:r>
      <w:r w:rsidR="0047322F" w:rsidRPr="00B713EE">
        <w:t>és pour se conformer à la série </w:t>
      </w:r>
      <w:r w:rsidRPr="00B713EE">
        <w:t>02 d</w:t>
      </w:r>
      <w:r w:rsidR="007C2F80">
        <w:t>’</w:t>
      </w:r>
      <w:r w:rsidR="0093100A">
        <w:t xml:space="preserve">amendements au Règlement </w:t>
      </w:r>
      <w:r w:rsidR="0093100A">
        <w:rPr>
          <w:rFonts w:eastAsia="MS Mincho"/>
        </w:rPr>
        <w:t>n</w:t>
      </w:r>
      <w:r w:rsidR="0093100A">
        <w:rPr>
          <w:rFonts w:eastAsia="MS Mincho"/>
          <w:vertAlign w:val="superscript"/>
        </w:rPr>
        <w:t>o</w:t>
      </w:r>
      <w:r w:rsidRPr="00B713EE">
        <w:t> 79. Il a proposé d</w:t>
      </w:r>
      <w:r w:rsidR="007C2F80">
        <w:t>’</w:t>
      </w:r>
      <w:r w:rsidRPr="00B713EE">
        <w:t>examiner cette question avant la prochaine session de juin et d</w:t>
      </w:r>
      <w:r w:rsidR="007C2F80">
        <w:t>’</w:t>
      </w:r>
      <w:r w:rsidRPr="00B713EE">
        <w:t xml:space="preserve">ajouter dans le Règlement une note de bas de page indiquant que la date </w:t>
      </w:r>
      <w:r w:rsidR="00A30ED3" w:rsidRPr="00B713EE">
        <w:t>mentionnée au paragraphe 12.3 (« </w:t>
      </w:r>
      <w:r w:rsidRPr="00B713EE">
        <w:t>[2021/2024]</w:t>
      </w:r>
      <w:r w:rsidR="00A30ED3" w:rsidRPr="00B713EE">
        <w:t> »</w:t>
      </w:r>
      <w:r w:rsidRPr="00B713EE">
        <w:t>) pourrait être réexaminée lors de la 172</w:t>
      </w:r>
      <w:r w:rsidRPr="00B713EE">
        <w:rPr>
          <w:vertAlign w:val="superscript"/>
        </w:rPr>
        <w:t>e</w:t>
      </w:r>
      <w:r w:rsidR="0047322F" w:rsidRPr="00B713EE">
        <w:t> </w:t>
      </w:r>
      <w:r w:rsidRPr="00B713EE">
        <w:t>session du WP.29. Le représentant de l</w:t>
      </w:r>
      <w:r w:rsidR="007C2F80">
        <w:t>’</w:t>
      </w:r>
      <w:r w:rsidRPr="00B713EE">
        <w:t>OICA s</w:t>
      </w:r>
      <w:r w:rsidR="007C2F80">
        <w:t>’</w:t>
      </w:r>
      <w:r w:rsidRPr="00B713EE">
        <w:t>est félicité des déclarations du représentant du Japo</w:t>
      </w:r>
      <w:r w:rsidR="00086484">
        <w:t>n et il a expliqué que la série </w:t>
      </w:r>
      <w:r w:rsidRPr="00B713EE">
        <w:t>02 d</w:t>
      </w:r>
      <w:r w:rsidR="007C2F80">
        <w:t>’</w:t>
      </w:r>
      <w:r w:rsidRPr="00B713EE">
        <w:t xml:space="preserve">amendements au Règlement </w:t>
      </w:r>
      <w:r w:rsidR="0047322F" w:rsidRPr="00B713EE">
        <w:rPr>
          <w:rFonts w:eastAsia="MS Mincho"/>
        </w:rPr>
        <w:t>n</w:t>
      </w:r>
      <w:r w:rsidR="0047322F" w:rsidRPr="00B713EE">
        <w:rPr>
          <w:rFonts w:eastAsia="MS Mincho"/>
          <w:vertAlign w:val="superscript"/>
        </w:rPr>
        <w:t>o</w:t>
      </w:r>
      <w:r w:rsidR="0047322F" w:rsidRPr="00B713EE">
        <w:rPr>
          <w:rFonts w:eastAsia="MS Mincho"/>
        </w:rPr>
        <w:t> </w:t>
      </w:r>
      <w:r w:rsidRPr="00B713EE">
        <w:t>79 qui est proposée comporte beaucoup plus des changements de logiciel et qu</w:t>
      </w:r>
      <w:r w:rsidR="007C2F80">
        <w:t>’</w:t>
      </w:r>
      <w:r w:rsidRPr="00B713EE">
        <w:t>elle aura des répercussions profondes, comme le montre le document WP.29-171-28. Le secrétariat a fait observer que la note de bas de page proposée (si elle était adoptée) ne prendrait effet qu</w:t>
      </w:r>
      <w:r w:rsidR="007C2F80">
        <w:t>’</w:t>
      </w:r>
      <w:r w:rsidRPr="00B713EE">
        <w:t>au moment de l</w:t>
      </w:r>
      <w:r w:rsidR="007C2F80">
        <w:t>’</w:t>
      </w:r>
      <w:r w:rsidRPr="00B713EE">
        <w:t>entrée en vigueur éventuelle de la série 02 d</w:t>
      </w:r>
      <w:r w:rsidR="007C2F80">
        <w:t>’</w:t>
      </w:r>
      <w:r w:rsidRPr="00B713EE">
        <w:t>amendements, prévue pour janvier 2018. Il a proposé plutôt d</w:t>
      </w:r>
      <w:r w:rsidR="007C2F80">
        <w:t>’</w:t>
      </w:r>
      <w:r w:rsidRPr="00B713EE">
        <w:t>ajouter dans le rapport de la session une mention rappelant que le Japon souhaitait réexaminer le paragraphe 12.3 à la se</w:t>
      </w:r>
      <w:r w:rsidR="00086484">
        <w:t xml:space="preserve">ssion de juin 2017 du WP.29. Le </w:t>
      </w:r>
      <w:r w:rsidRPr="00B713EE">
        <w:t>représentant de l</w:t>
      </w:r>
      <w:r w:rsidR="007C2F80">
        <w:t>’</w:t>
      </w:r>
      <w:r w:rsidRPr="00B713EE">
        <w:t>UE a rappelé que des accidents mortels avaient déjà eu lieu à cause d</w:t>
      </w:r>
      <w:r w:rsidR="007C2F80">
        <w:t>’</w:t>
      </w:r>
      <w:r w:rsidRPr="00B713EE">
        <w:t>un mauvais usage de ces technologies de pointe et il a indiqué qu</w:t>
      </w:r>
      <w:r w:rsidR="007C2F80">
        <w:t>’</w:t>
      </w:r>
      <w:r w:rsidRPr="00B713EE">
        <w:t>il avait pour mandat de voter à la présente session en faveur du texte proposé qui mentionne 2021 comme date d</w:t>
      </w:r>
      <w:r w:rsidR="007C2F80">
        <w:t>’</w:t>
      </w:r>
      <w:r w:rsidRPr="00B713EE">
        <w:t>application.</w:t>
      </w:r>
    </w:p>
    <w:p w:rsidR="00CD04C1" w:rsidRPr="00B713EE" w:rsidRDefault="00CD04C1" w:rsidP="00CA41BB">
      <w:pPr>
        <w:pStyle w:val="ParNoG"/>
        <w:tabs>
          <w:tab w:val="clear" w:pos="1701"/>
        </w:tabs>
      </w:pPr>
      <w:r w:rsidRPr="00B713EE">
        <w:t>Point 4.7.3 de l</w:t>
      </w:r>
      <w:r w:rsidR="007C2F80">
        <w:t>’</w:t>
      </w:r>
      <w:r w:rsidRPr="00B713EE">
        <w:t xml:space="preserve">ordre du jour, Règlement </w:t>
      </w:r>
      <w:r w:rsidR="00086484">
        <w:rPr>
          <w:rFonts w:eastAsia="MS Mincho"/>
        </w:rPr>
        <w:t>n</w:t>
      </w:r>
      <w:r w:rsidR="00086484">
        <w:rPr>
          <w:rFonts w:eastAsia="MS Mincho"/>
          <w:vertAlign w:val="superscript"/>
        </w:rPr>
        <w:t>o</w:t>
      </w:r>
      <w:r w:rsidR="00086484" w:rsidRPr="00AA7C01">
        <w:rPr>
          <w:rFonts w:eastAsia="MS Mincho"/>
        </w:rPr>
        <w:t> </w:t>
      </w:r>
      <w:r w:rsidRPr="00B713EE">
        <w:t>79, ECE/TRANS/WP.29/2017/10, modifier le document comme indiqué à l</w:t>
      </w:r>
      <w:r w:rsidR="007C2F80">
        <w:t>’</w:t>
      </w:r>
      <w:r w:rsidRPr="00B713EE">
        <w:t xml:space="preserve">annexe IV du présent rapport. </w:t>
      </w:r>
    </w:p>
    <w:p w:rsidR="00CD04C1" w:rsidRPr="00B713EE" w:rsidRDefault="00CD04C1" w:rsidP="00E24A0B">
      <w:pPr>
        <w:pStyle w:val="H1G"/>
      </w:pPr>
      <w:r w:rsidRPr="00B713EE">
        <w:tab/>
      </w:r>
      <w:bookmarkStart w:id="32" w:name="_Toc478663131"/>
      <w:r w:rsidRPr="00B713EE">
        <w:t>H.</w:t>
      </w:r>
      <w:r w:rsidRPr="00B713EE">
        <w:tab/>
        <w:t>Examen de projets d</w:t>
      </w:r>
      <w:r w:rsidR="007C2F80">
        <w:t>’</w:t>
      </w:r>
      <w:r w:rsidRPr="00B713EE">
        <w:t xml:space="preserve">amendements à des Règlements existants, </w:t>
      </w:r>
      <w:r w:rsidR="00E24A0B" w:rsidRPr="00B713EE">
        <w:br/>
      </w:r>
      <w:r w:rsidRPr="00B713EE">
        <w:t>soumis par le GRSG (point 4.8 de l</w:t>
      </w:r>
      <w:r w:rsidR="007C2F80">
        <w:t>’</w:t>
      </w:r>
      <w:r w:rsidRPr="00B713EE">
        <w:t>ordre du jour)</w:t>
      </w:r>
      <w:bookmarkEnd w:id="32"/>
    </w:p>
    <w:p w:rsidR="00CD04C1" w:rsidRPr="00B713EE" w:rsidRDefault="00CD04C1" w:rsidP="00CA41BB">
      <w:pPr>
        <w:pStyle w:val="ParNoG"/>
        <w:tabs>
          <w:tab w:val="clear" w:pos="1701"/>
        </w:tabs>
      </w:pPr>
      <w:r w:rsidRPr="00B713EE">
        <w:t>Le Forum mondial a examiné les projets d</w:t>
      </w:r>
      <w:r w:rsidR="007C2F80">
        <w:t>’</w:t>
      </w:r>
      <w:r w:rsidRPr="00B713EE">
        <w:t>amendements présentés au titre des points 4.8.1 à 4.8.8 de l</w:t>
      </w:r>
      <w:r w:rsidR="007C2F80">
        <w:t>’</w:t>
      </w:r>
      <w:r w:rsidRPr="00B713EE">
        <w:t>ordre du jour et a recommandé qu</w:t>
      </w:r>
      <w:r w:rsidR="007C2F80">
        <w:t>’</w:t>
      </w:r>
      <w:r w:rsidRPr="00B713EE">
        <w:t>ils soient soumis à l</w:t>
      </w:r>
      <w:r w:rsidR="007C2F80">
        <w:t>’</w:t>
      </w:r>
      <w:r w:rsidRPr="00B713EE">
        <w:t xml:space="preserve">AC.1 pour mise aux voix. </w:t>
      </w:r>
    </w:p>
    <w:p w:rsidR="00CD04C1" w:rsidRPr="00B713EE" w:rsidRDefault="00CD04C1" w:rsidP="00E24A0B">
      <w:pPr>
        <w:pStyle w:val="H1G"/>
        <w:rPr>
          <w:bCs/>
        </w:rPr>
      </w:pPr>
      <w:bookmarkStart w:id="33" w:name="_Toc392251132"/>
      <w:r w:rsidRPr="00B713EE">
        <w:tab/>
      </w:r>
      <w:bookmarkStart w:id="34" w:name="_Toc478663132"/>
      <w:r w:rsidRPr="00B713EE">
        <w:t>I.</w:t>
      </w:r>
      <w:r w:rsidRPr="00B713EE">
        <w:tab/>
        <w:t>Examen de projets d</w:t>
      </w:r>
      <w:r w:rsidR="007C2F80">
        <w:t>’</w:t>
      </w:r>
      <w:r w:rsidRPr="00B713EE">
        <w:t xml:space="preserve">amendements à des Règlements existants, </w:t>
      </w:r>
      <w:r w:rsidR="00E24A0B" w:rsidRPr="00B713EE">
        <w:br/>
      </w:r>
      <w:r w:rsidRPr="00B713EE">
        <w:t xml:space="preserve">soumis par le GRE </w:t>
      </w:r>
      <w:r w:rsidRPr="00B713EE">
        <w:rPr>
          <w:bCs/>
        </w:rPr>
        <w:t>(point 4.9 de l</w:t>
      </w:r>
      <w:r w:rsidR="007C2F80">
        <w:rPr>
          <w:bCs/>
        </w:rPr>
        <w:t>’</w:t>
      </w:r>
      <w:r w:rsidRPr="00B713EE">
        <w:rPr>
          <w:bCs/>
        </w:rPr>
        <w:t>ordre du jour)</w:t>
      </w:r>
      <w:bookmarkEnd w:id="33"/>
      <w:bookmarkEnd w:id="34"/>
    </w:p>
    <w:p w:rsidR="00CD04C1" w:rsidRPr="00B713EE" w:rsidRDefault="00CD04C1" w:rsidP="00CA41BB">
      <w:pPr>
        <w:pStyle w:val="ParNoG"/>
        <w:tabs>
          <w:tab w:val="clear" w:pos="1701"/>
        </w:tabs>
      </w:pPr>
      <w:r w:rsidRPr="00B713EE">
        <w:t>Le Forum mondial a examiné les projets d</w:t>
      </w:r>
      <w:r w:rsidR="007C2F80">
        <w:t>’</w:t>
      </w:r>
      <w:r w:rsidRPr="00B713EE">
        <w:t>amendements soumis au titre des points 4.9.1 à 4.9.20, 4.9.22 et 4.9.23 et a recommandé qu</w:t>
      </w:r>
      <w:r w:rsidR="007C2F80">
        <w:t>’</w:t>
      </w:r>
      <w:r w:rsidRPr="00B713EE">
        <w:t>ils soient soumis à l</w:t>
      </w:r>
      <w:r w:rsidR="007C2F80">
        <w:t>’</w:t>
      </w:r>
      <w:r w:rsidRPr="00B713EE">
        <w:t xml:space="preserve">AC.1 pour mise aux voix. </w:t>
      </w:r>
    </w:p>
    <w:p w:rsidR="00CD04C1" w:rsidRPr="00B713EE" w:rsidRDefault="00CD04C1" w:rsidP="00CA41BB">
      <w:pPr>
        <w:pStyle w:val="ParNoG"/>
        <w:tabs>
          <w:tab w:val="clear" w:pos="1701"/>
        </w:tabs>
      </w:pPr>
      <w:r w:rsidRPr="00B713EE">
        <w:t>Le représentant de l</w:t>
      </w:r>
      <w:r w:rsidR="007C2F80">
        <w:t>’</w:t>
      </w:r>
      <w:r w:rsidRPr="00B713EE">
        <w:t xml:space="preserve">UE a exprimé des préoccupations (WP.29-171-04) au sujet de la forme juridique des amendements relatifs aux essais visant à vérifier les effets de la chaleur, dans le Règlement </w:t>
      </w:r>
      <w:r w:rsidR="0047322F" w:rsidRPr="00B713EE">
        <w:rPr>
          <w:rFonts w:eastAsia="MS Mincho"/>
        </w:rPr>
        <w:t>n</w:t>
      </w:r>
      <w:r w:rsidR="0047322F" w:rsidRPr="00B713EE">
        <w:rPr>
          <w:rFonts w:eastAsia="MS Mincho"/>
          <w:vertAlign w:val="superscript"/>
        </w:rPr>
        <w:t>o</w:t>
      </w:r>
      <w:r w:rsidR="0047322F" w:rsidRPr="00B713EE">
        <w:rPr>
          <w:rFonts w:eastAsia="MS Mincho"/>
        </w:rPr>
        <w:t> </w:t>
      </w:r>
      <w:r w:rsidRPr="00B713EE">
        <w:t>113, tels qu</w:t>
      </w:r>
      <w:r w:rsidR="007C2F80">
        <w:t>’</w:t>
      </w:r>
      <w:r w:rsidRPr="00B713EE">
        <w:t>ils figurent dans le document ECE/TRANS/WP.29/2017/39 (point 4.9.21 de l</w:t>
      </w:r>
      <w:r w:rsidR="007C2F80">
        <w:t>’</w:t>
      </w:r>
      <w:r w:rsidRPr="00B713EE">
        <w:t>ordre du jour). Le Forum mondial a décidé de renvoyer ce document au GRE pour complément d</w:t>
      </w:r>
      <w:r w:rsidR="007C2F80">
        <w:t>’</w:t>
      </w:r>
      <w:r w:rsidRPr="00B713EE">
        <w:t>examen.</w:t>
      </w:r>
    </w:p>
    <w:p w:rsidR="00CD04C1" w:rsidRPr="00B713EE" w:rsidRDefault="00CD04C1" w:rsidP="00CA41BB">
      <w:pPr>
        <w:pStyle w:val="ParNoG"/>
        <w:tabs>
          <w:tab w:val="clear" w:pos="1701"/>
        </w:tabs>
      </w:pPr>
      <w:r w:rsidRPr="00B713EE">
        <w:t>Le Forum mondial a également pris note des propositions de l</w:t>
      </w:r>
      <w:r w:rsidR="007C2F80">
        <w:t>’</w:t>
      </w:r>
      <w:r w:rsidRPr="00B713EE">
        <w:t>UE visant à modifier les Règlements n</w:t>
      </w:r>
      <w:r w:rsidRPr="00B713EE">
        <w:rPr>
          <w:vertAlign w:val="superscript"/>
        </w:rPr>
        <w:t>os</w:t>
      </w:r>
      <w:r w:rsidRPr="00B713EE">
        <w:t> 4, 6, 7, 19, 23, 38, 48, 50, 77, 87, 91, 98, 112, 113, 119 et 123, dans le but de mieux préciser les prescriptions relatives aux sources lumineuses dans les règlements concernant l</w:t>
      </w:r>
      <w:r w:rsidR="007C2F80">
        <w:t>’</w:t>
      </w:r>
      <w:r w:rsidRPr="00B713EE">
        <w:t>éclairage et la signalisation lumineuse indiqués à l</w:t>
      </w:r>
      <w:r w:rsidR="007C2F80">
        <w:t>’</w:t>
      </w:r>
      <w:r w:rsidRPr="00B713EE">
        <w:t xml:space="preserve">annexe 4 du Règlement </w:t>
      </w:r>
      <w:r w:rsidR="0047322F" w:rsidRPr="00B713EE">
        <w:rPr>
          <w:rFonts w:eastAsia="MS Mincho"/>
        </w:rPr>
        <w:t>n</w:t>
      </w:r>
      <w:r w:rsidR="0047322F" w:rsidRPr="00B713EE">
        <w:rPr>
          <w:rFonts w:eastAsia="MS Mincho"/>
          <w:vertAlign w:val="superscript"/>
        </w:rPr>
        <w:t>o</w:t>
      </w:r>
      <w:r w:rsidR="0047322F" w:rsidRPr="00B713EE">
        <w:rPr>
          <w:rFonts w:eastAsia="MS Mincho"/>
        </w:rPr>
        <w:t> </w:t>
      </w:r>
      <w:r w:rsidRPr="00B713EE">
        <w:t>0 (IWVTA) (WP.29-171-03). Le Forum mondial a demandé au GRE d</w:t>
      </w:r>
      <w:r w:rsidR="007C2F80">
        <w:t>’</w:t>
      </w:r>
      <w:r w:rsidRPr="00B713EE">
        <w:t>examiner ces propositions à sa prochaine session, en avril 2017.</w:t>
      </w:r>
    </w:p>
    <w:p w:rsidR="00CD04C1" w:rsidRPr="00B713EE" w:rsidRDefault="00CD04C1" w:rsidP="00E24A0B">
      <w:pPr>
        <w:pStyle w:val="H1G"/>
      </w:pPr>
      <w:r w:rsidRPr="00B713EE">
        <w:tab/>
      </w:r>
      <w:bookmarkStart w:id="35" w:name="_Toc478663133"/>
      <w:r w:rsidRPr="00B713EE">
        <w:t>J.</w:t>
      </w:r>
      <w:r w:rsidRPr="00B713EE">
        <w:tab/>
        <w:t>Examen de projets d</w:t>
      </w:r>
      <w:r w:rsidR="007C2F80">
        <w:t>’</w:t>
      </w:r>
      <w:r w:rsidRPr="00B713EE">
        <w:t xml:space="preserve">amendements à des Règlements existants, </w:t>
      </w:r>
      <w:r w:rsidR="00E24A0B" w:rsidRPr="00B713EE">
        <w:br/>
      </w:r>
      <w:r w:rsidRPr="00B713EE">
        <w:t>soumis par le GRPE (point 4.10 de l</w:t>
      </w:r>
      <w:r w:rsidR="007C2F80">
        <w:t>’</w:t>
      </w:r>
      <w:r w:rsidRPr="00B713EE">
        <w:t>ordre du jour)</w:t>
      </w:r>
      <w:bookmarkEnd w:id="35"/>
    </w:p>
    <w:p w:rsidR="00CD04C1" w:rsidRPr="00B713EE" w:rsidRDefault="00CD04C1" w:rsidP="00CA41BB">
      <w:pPr>
        <w:pStyle w:val="ParNoG"/>
        <w:tabs>
          <w:tab w:val="clear" w:pos="1701"/>
        </w:tabs>
      </w:pPr>
      <w:r w:rsidRPr="005123E9">
        <w:rPr>
          <w:spacing w:val="-4"/>
        </w:rPr>
        <w:t>Le représentant des Pays-Bas, Président du GRPE, a présenté les documents ECE/TRANS/WP.29/2017/42, ECE/TRANS/WP.29/2017/43 et ECE/TRANS/WP.29/2017/44</w:t>
      </w:r>
      <w:r w:rsidRPr="00B713EE">
        <w:t xml:space="preserve"> concernant l</w:t>
      </w:r>
      <w:r w:rsidR="007C2F80">
        <w:t>’</w:t>
      </w:r>
      <w:r w:rsidRPr="00B713EE">
        <w:t>introduction de dispositions transitoires dans les Règlements n</w:t>
      </w:r>
      <w:r w:rsidRPr="00B713EE">
        <w:rPr>
          <w:vertAlign w:val="superscript"/>
        </w:rPr>
        <w:t>os</w:t>
      </w:r>
      <w:r w:rsidRPr="00B713EE">
        <w:t> 83 et 101. Il a indiqué que le GRPE avait approuvé les trois documents lors de sa session de janvier 2017 et rappelé que ces documents avaient été établis par le secrétariat en réponse à la demande formulée par le WP.29 à ses sessions de juin et novembre 2016. Il a expliqué que les dispositions transitoires étaient une solution intérimaire en attendant l</w:t>
      </w:r>
      <w:r w:rsidR="007C2F80">
        <w:t>’</w:t>
      </w:r>
      <w:r w:rsidRPr="00B713EE">
        <w:t>entrée en vigueur d</w:t>
      </w:r>
      <w:r w:rsidR="007C2F80">
        <w:t>’</w:t>
      </w:r>
      <w:r w:rsidRPr="00B713EE">
        <w:t>un règlement sur la Procédure d</w:t>
      </w:r>
      <w:r w:rsidR="007C2F80">
        <w:t>’</w:t>
      </w:r>
      <w:r w:rsidRPr="00B713EE">
        <w:t xml:space="preserve">essai mondiale harmonisée pour les voitures particulières et véhicules utilitaires légers (WLTP). Il a indiqué que les dispositions transitoires éviteraient que les Parties contractantes qui appliquaient déjà le RTM </w:t>
      </w:r>
      <w:r w:rsidR="0047322F" w:rsidRPr="00B713EE">
        <w:rPr>
          <w:rFonts w:eastAsia="MS Mincho"/>
        </w:rPr>
        <w:t>n</w:t>
      </w:r>
      <w:r w:rsidR="0047322F" w:rsidRPr="00B713EE">
        <w:rPr>
          <w:rFonts w:eastAsia="MS Mincho"/>
          <w:vertAlign w:val="superscript"/>
        </w:rPr>
        <w:t>o</w:t>
      </w:r>
      <w:r w:rsidR="0047322F" w:rsidRPr="00B713EE">
        <w:rPr>
          <w:rFonts w:eastAsia="MS Mincho"/>
        </w:rPr>
        <w:t> </w:t>
      </w:r>
      <w:r w:rsidRPr="00B713EE">
        <w:t>15 (WLTP) cessent d</w:t>
      </w:r>
      <w:r w:rsidR="007C2F80">
        <w:t>’</w:t>
      </w:r>
      <w:r w:rsidRPr="00B713EE">
        <w:t>appliquer les Règlements n</w:t>
      </w:r>
      <w:r w:rsidRPr="00B713EE">
        <w:rPr>
          <w:vertAlign w:val="superscript"/>
        </w:rPr>
        <w:t>os</w:t>
      </w:r>
      <w:r w:rsidRPr="00B713EE">
        <w:t> 83 and 101.</w:t>
      </w:r>
    </w:p>
    <w:p w:rsidR="00CD04C1" w:rsidRPr="00B713EE" w:rsidRDefault="00CD04C1" w:rsidP="00CA41BB">
      <w:pPr>
        <w:pStyle w:val="ParNoG"/>
        <w:tabs>
          <w:tab w:val="clear" w:pos="1701"/>
        </w:tabs>
      </w:pPr>
      <w:r w:rsidRPr="005123E9">
        <w:rPr>
          <w:spacing w:val="-4"/>
        </w:rPr>
        <w:t>Le représentant de la Fédération de Russie a présenté le document WP.29-171-27. Il a assuré comprendre la nécessité des propositions figurant dans les documents ECE/TRANS/WP.29/2017/42, ECE/TRANS/WP.29/2017/43 et ECE/TRANS/WP.29/2017/44,</w:t>
      </w:r>
      <w:r w:rsidRPr="00B713EE">
        <w:t xml:space="preserve"> mais en se demandant si leur contenu était vraiment pleinement conforme à l</w:t>
      </w:r>
      <w:r w:rsidR="007C2F80">
        <w:t>’</w:t>
      </w:r>
      <w:r w:rsidRPr="00B713EE">
        <w:t>Accord de 1958. Il a expliqué que la Fédération de Russie devait consulter ses partenaires de l</w:t>
      </w:r>
      <w:r w:rsidR="007C2F80">
        <w:t>’</w:t>
      </w:r>
      <w:r w:rsidRPr="00B713EE">
        <w:t>Union économique eurasienne avant d</w:t>
      </w:r>
      <w:r w:rsidR="007C2F80">
        <w:t>’</w:t>
      </w:r>
      <w:r w:rsidRPr="00B713EE">
        <w:t>adopter ces amendements.</w:t>
      </w:r>
    </w:p>
    <w:p w:rsidR="00CD04C1" w:rsidRPr="00B713EE" w:rsidRDefault="00CD04C1" w:rsidP="00CA41BB">
      <w:pPr>
        <w:pStyle w:val="ParNoG"/>
        <w:tabs>
          <w:tab w:val="clear" w:pos="1701"/>
        </w:tabs>
      </w:pPr>
      <w:r w:rsidRPr="00B713EE">
        <w:t>Le représentant de la Commission économique eurasienne a déclaré que la Commission alignait sa législation relative aux transports sur les règlements de l</w:t>
      </w:r>
      <w:r w:rsidR="007C2F80">
        <w:t>’</w:t>
      </w:r>
      <w:r w:rsidRPr="00B713EE">
        <w:t>ONU. Il a fait part de ses réserves au sujet des propositions en question (ECE/TRANS/WP.29/2017/42, ECE/TRANS/WP.29/2017/43 et ECE/TRANS/WP.29/2017/44), expliquant qu</w:t>
      </w:r>
      <w:r w:rsidR="007C2F80">
        <w:t>’</w:t>
      </w:r>
      <w:r w:rsidRPr="00B713EE">
        <w:t>il serait souhaitable que les membres de la Commission économique eurasienne puissent se consulter entre eux avant leur adoption.</w:t>
      </w:r>
    </w:p>
    <w:p w:rsidR="00CD04C1" w:rsidRPr="00B713EE" w:rsidRDefault="00CD04C1" w:rsidP="00CA41BB">
      <w:pPr>
        <w:pStyle w:val="ParNoG"/>
        <w:tabs>
          <w:tab w:val="clear" w:pos="1701"/>
        </w:tabs>
      </w:pPr>
      <w:r w:rsidRPr="00B713EE">
        <w:t>Le Vice-Président du WP.29 a souligné que l</w:t>
      </w:r>
      <w:r w:rsidR="007C2F80">
        <w:t>’</w:t>
      </w:r>
      <w:r w:rsidRPr="00B713EE">
        <w:t>introduction de telles dispositions transitoires dans les Règlements n</w:t>
      </w:r>
      <w:r w:rsidRPr="00B713EE">
        <w:rPr>
          <w:vertAlign w:val="superscript"/>
        </w:rPr>
        <w:t>os</w:t>
      </w:r>
      <w:r w:rsidRPr="00B713EE">
        <w:t xml:space="preserve"> 83 et 101 pouvait prêter à confusion et conduire à certains abus. </w:t>
      </w:r>
    </w:p>
    <w:p w:rsidR="00CD04C1" w:rsidRPr="00B713EE" w:rsidRDefault="00CD04C1" w:rsidP="00CA41BB">
      <w:pPr>
        <w:pStyle w:val="ParNoG"/>
        <w:tabs>
          <w:tab w:val="clear" w:pos="1701"/>
        </w:tabs>
      </w:pPr>
      <w:r w:rsidRPr="00B713EE">
        <w:t>Le représentant de l</w:t>
      </w:r>
      <w:r w:rsidR="007C2F80">
        <w:t>’</w:t>
      </w:r>
      <w:r w:rsidRPr="00B713EE">
        <w:t>OICA a fait observer que les dispositions transitoires étaient censées laisser la possibilité d</w:t>
      </w:r>
      <w:r w:rsidR="007C2F80">
        <w:t>’</w:t>
      </w:r>
      <w:r w:rsidRPr="00B713EE">
        <w:t>accorder des homologat</w:t>
      </w:r>
      <w:r w:rsidR="00AF5629" w:rsidRPr="00B713EE">
        <w:t>ions en application de la série </w:t>
      </w:r>
      <w:r w:rsidRPr="00B713EE">
        <w:t>07 d</w:t>
      </w:r>
      <w:r w:rsidR="007C2F80">
        <w:t>’</w:t>
      </w:r>
      <w:r w:rsidRPr="00B713EE">
        <w:t xml:space="preserve">amendements au Règlement </w:t>
      </w:r>
      <w:r w:rsidR="00AF5629" w:rsidRPr="00B713EE">
        <w:rPr>
          <w:rFonts w:eastAsia="MS Mincho"/>
        </w:rPr>
        <w:t>n</w:t>
      </w:r>
      <w:r w:rsidR="00AF5629" w:rsidRPr="00B713EE">
        <w:rPr>
          <w:rFonts w:eastAsia="MS Mincho"/>
          <w:vertAlign w:val="superscript"/>
        </w:rPr>
        <w:t>o</w:t>
      </w:r>
      <w:r w:rsidR="00AF5629" w:rsidRPr="00B713EE">
        <w:rPr>
          <w:rFonts w:eastAsia="MS Mincho"/>
        </w:rPr>
        <w:t> </w:t>
      </w:r>
      <w:r w:rsidRPr="00B713EE">
        <w:t>83 (ou d</w:t>
      </w:r>
      <w:r w:rsidR="007C2F80">
        <w:t>’</w:t>
      </w:r>
      <w:r w:rsidRPr="00B713EE">
        <w:t xml:space="preserve">une version antérieure) et du Règlement </w:t>
      </w:r>
      <w:r w:rsidR="00AF5629" w:rsidRPr="00B713EE">
        <w:rPr>
          <w:rFonts w:eastAsia="MS Mincho"/>
        </w:rPr>
        <w:t>n</w:t>
      </w:r>
      <w:r w:rsidR="00AF5629" w:rsidRPr="00B713EE">
        <w:rPr>
          <w:rFonts w:eastAsia="MS Mincho"/>
          <w:vertAlign w:val="superscript"/>
        </w:rPr>
        <w:t>o</w:t>
      </w:r>
      <w:r w:rsidR="00AF5629" w:rsidRPr="00B713EE">
        <w:rPr>
          <w:rFonts w:eastAsia="MS Mincho"/>
        </w:rPr>
        <w:t> </w:t>
      </w:r>
      <w:r w:rsidRPr="00B713EE">
        <w:t>101, y compris pour les Parties contractantes qui refuseraient ces homologations après l</w:t>
      </w:r>
      <w:r w:rsidR="007C2F80">
        <w:t>’</w:t>
      </w:r>
      <w:r w:rsidRPr="00B713EE">
        <w:t>introduction de l</w:t>
      </w:r>
      <w:r w:rsidR="007C2F80">
        <w:t>’</w:t>
      </w:r>
      <w:r w:rsidRPr="00B713EE">
        <w:t>application obligatoire d</w:t>
      </w:r>
      <w:r w:rsidR="007C2F80">
        <w:t>’</w:t>
      </w:r>
      <w:r w:rsidRPr="00B713EE">
        <w:t>une législation relative au</w:t>
      </w:r>
      <w:r w:rsidR="00D93F15">
        <w:t>x émissions fondée sur la WLTP.</w:t>
      </w:r>
    </w:p>
    <w:p w:rsidR="00CD04C1" w:rsidRPr="00B713EE" w:rsidRDefault="00CD04C1" w:rsidP="00CA41BB">
      <w:pPr>
        <w:pStyle w:val="ParNoG"/>
        <w:tabs>
          <w:tab w:val="clear" w:pos="1701"/>
        </w:tabs>
      </w:pPr>
      <w:r w:rsidRPr="00B713EE">
        <w:t>À cet égard, il a fait observer que la dérogation mentionnée dans les dispositions transitoires proposées faisait en réalité référence à l</w:t>
      </w:r>
      <w:r w:rsidR="007C2F80">
        <w:t>’</w:t>
      </w:r>
      <w:r w:rsidRPr="00B713EE">
        <w:t>obligation de refuser les véhicules homologués conformément à l</w:t>
      </w:r>
      <w:r w:rsidR="00AF5629" w:rsidRPr="00B713EE">
        <w:t>a série </w:t>
      </w:r>
      <w:r w:rsidRPr="00B713EE">
        <w:t xml:space="preserve">07 (ou 06) du Règlement </w:t>
      </w:r>
      <w:r w:rsidR="00AF5629" w:rsidRPr="00B713EE">
        <w:rPr>
          <w:rFonts w:eastAsia="MS Mincho"/>
        </w:rPr>
        <w:t>n</w:t>
      </w:r>
      <w:r w:rsidR="00AF5629" w:rsidRPr="00B713EE">
        <w:rPr>
          <w:rFonts w:eastAsia="MS Mincho"/>
          <w:vertAlign w:val="superscript"/>
        </w:rPr>
        <w:t>o</w:t>
      </w:r>
      <w:r w:rsidR="00AF5629" w:rsidRPr="00B713EE">
        <w:rPr>
          <w:rFonts w:eastAsia="MS Mincho"/>
        </w:rPr>
        <w:t> </w:t>
      </w:r>
      <w:r w:rsidRPr="00B713EE">
        <w:t xml:space="preserve">83 ou au Règlement </w:t>
      </w:r>
      <w:r w:rsidR="00AF5629" w:rsidRPr="00B713EE">
        <w:rPr>
          <w:rFonts w:eastAsia="MS Mincho"/>
        </w:rPr>
        <w:t>n</w:t>
      </w:r>
      <w:r w:rsidR="00AF5629" w:rsidRPr="00B713EE">
        <w:rPr>
          <w:rFonts w:eastAsia="MS Mincho"/>
          <w:vertAlign w:val="superscript"/>
        </w:rPr>
        <w:t>o</w:t>
      </w:r>
      <w:r w:rsidR="00AF5629" w:rsidRPr="00B713EE">
        <w:rPr>
          <w:rFonts w:eastAsia="MS Mincho"/>
        </w:rPr>
        <w:t> </w:t>
      </w:r>
      <w:r w:rsidRPr="00B713EE">
        <w:t>101 sur le territoire d</w:t>
      </w:r>
      <w:r w:rsidR="007C2F80">
        <w:t>’</w:t>
      </w:r>
      <w:r w:rsidRPr="00B713EE">
        <w:t>une Partie contractante appliquant déjà la WLTP et qu</w:t>
      </w:r>
      <w:r w:rsidR="007C2F80">
        <w:t>’</w:t>
      </w:r>
      <w:r w:rsidRPr="00B713EE">
        <w:t>elle n</w:t>
      </w:r>
      <w:r w:rsidR="007C2F80">
        <w:t>’</w:t>
      </w:r>
      <w:r w:rsidRPr="00B713EE">
        <w:t>excluait nullement la possibilité de délivrer une homologation conformément à ces Règlements à des fins d</w:t>
      </w:r>
      <w:r w:rsidR="007C2F80">
        <w:t>’</w:t>
      </w:r>
      <w:r w:rsidRPr="00B713EE">
        <w:t>exportation vers d</w:t>
      </w:r>
      <w:r w:rsidR="007C2F80">
        <w:t>’</w:t>
      </w:r>
      <w:r w:rsidRPr="00B713EE">
        <w:t>autres pays. Le WP.29 a confirmé cette interprétation.</w:t>
      </w:r>
    </w:p>
    <w:p w:rsidR="00CD04C1" w:rsidRPr="00B713EE" w:rsidRDefault="00CD04C1" w:rsidP="00CA41BB">
      <w:pPr>
        <w:pStyle w:val="ParNoG"/>
        <w:tabs>
          <w:tab w:val="clear" w:pos="1701"/>
        </w:tabs>
      </w:pPr>
      <w:r w:rsidRPr="00B713EE">
        <w:t>Le Forum mondial a examiné les projets d</w:t>
      </w:r>
      <w:r w:rsidR="007C2F80">
        <w:t>’</w:t>
      </w:r>
      <w:r w:rsidRPr="00B713EE">
        <w:t>amendements soumis au titre des points 4.10.1 à 4.10.3 de l</w:t>
      </w:r>
      <w:r w:rsidR="007C2F80">
        <w:t>’</w:t>
      </w:r>
      <w:r w:rsidRPr="00B713EE">
        <w:t>ordre du jour et recommandé qu</w:t>
      </w:r>
      <w:r w:rsidR="007C2F80">
        <w:t>’</w:t>
      </w:r>
      <w:r w:rsidRPr="00B713EE">
        <w:t>ils soient soumis à l</w:t>
      </w:r>
      <w:r w:rsidR="007C2F80">
        <w:t>’</w:t>
      </w:r>
      <w:r w:rsidRPr="00B713EE">
        <w:t xml:space="preserve">AC.1 pour mise aux voix. </w:t>
      </w:r>
    </w:p>
    <w:p w:rsidR="00CD04C1" w:rsidRPr="00B713EE" w:rsidRDefault="00CD04C1" w:rsidP="00E24A0B">
      <w:pPr>
        <w:pStyle w:val="H1G"/>
      </w:pPr>
      <w:r w:rsidRPr="00B713EE">
        <w:tab/>
      </w:r>
      <w:bookmarkStart w:id="36" w:name="_Toc478663134"/>
      <w:r w:rsidRPr="00B713EE">
        <w:t>K.</w:t>
      </w:r>
      <w:r w:rsidRPr="00B713EE">
        <w:tab/>
        <w:t xml:space="preserve">Examen de projets de rectificatifs à des Règlements existants, </w:t>
      </w:r>
      <w:r w:rsidR="00E24A0B" w:rsidRPr="00B713EE">
        <w:br/>
      </w:r>
      <w:r w:rsidR="00D93F15">
        <w:t>soumis par le GRRF (point </w:t>
      </w:r>
      <w:r w:rsidRPr="00B713EE">
        <w:t>4.11 de l</w:t>
      </w:r>
      <w:r w:rsidR="007C2F80">
        <w:t>’</w:t>
      </w:r>
      <w:r w:rsidRPr="00B713EE">
        <w:t>ordre du jour)</w:t>
      </w:r>
      <w:bookmarkEnd w:id="36"/>
    </w:p>
    <w:p w:rsidR="00CD04C1" w:rsidRPr="00B713EE" w:rsidRDefault="00CD04C1" w:rsidP="00CA41BB">
      <w:pPr>
        <w:pStyle w:val="ParNoG"/>
        <w:tabs>
          <w:tab w:val="clear" w:pos="1701"/>
        </w:tabs>
      </w:pPr>
      <w:r w:rsidRPr="00B713EE">
        <w:t>Le Forum mondial a examiné les projets de rectificatifs soumis au titre du point 4.11.1 de l</w:t>
      </w:r>
      <w:r w:rsidR="007C2F80">
        <w:t>’</w:t>
      </w:r>
      <w:r w:rsidRPr="00B713EE">
        <w:t>ordre du jour et a recommandé qu</w:t>
      </w:r>
      <w:r w:rsidR="007C2F80">
        <w:t>’</w:t>
      </w:r>
      <w:r w:rsidRPr="00B713EE">
        <w:t>ils soient soumis à l</w:t>
      </w:r>
      <w:r w:rsidR="007C2F80">
        <w:t>’</w:t>
      </w:r>
      <w:r w:rsidRPr="00B713EE">
        <w:t>AC.1 pour mise aux voix.</w:t>
      </w:r>
    </w:p>
    <w:p w:rsidR="00CD04C1" w:rsidRPr="00B713EE" w:rsidRDefault="00CD04C1" w:rsidP="00E24A0B">
      <w:pPr>
        <w:pStyle w:val="H1G"/>
      </w:pPr>
      <w:r w:rsidRPr="00B713EE">
        <w:tab/>
      </w:r>
      <w:bookmarkStart w:id="37" w:name="_Toc478663135"/>
      <w:r w:rsidRPr="00B713EE">
        <w:t>L.</w:t>
      </w:r>
      <w:r w:rsidRPr="00B713EE">
        <w:tab/>
        <w:t>Examen d</w:t>
      </w:r>
      <w:r w:rsidR="007C2F80">
        <w:t>’</w:t>
      </w:r>
      <w:r w:rsidRPr="00B713EE">
        <w:t>éventuels projets de rectificatifs à des Règlements existants, s</w:t>
      </w:r>
      <w:r w:rsidR="00D93F15">
        <w:t>oumis par le secrétariat (point </w:t>
      </w:r>
      <w:r w:rsidRPr="00B713EE">
        <w:t>4.12 de l</w:t>
      </w:r>
      <w:r w:rsidR="007C2F80">
        <w:t>’</w:t>
      </w:r>
      <w:r w:rsidRPr="00B713EE">
        <w:t>ordre du jour)</w:t>
      </w:r>
      <w:bookmarkEnd w:id="37"/>
    </w:p>
    <w:p w:rsidR="00CD04C1" w:rsidRPr="00B713EE" w:rsidRDefault="00CD04C1" w:rsidP="00CA41BB">
      <w:pPr>
        <w:pStyle w:val="ParNoG"/>
        <w:tabs>
          <w:tab w:val="clear" w:pos="1701"/>
        </w:tabs>
        <w:rPr>
          <w:rFonts w:eastAsia="MS Mincho"/>
          <w:bCs/>
          <w:strike/>
          <w:lang w:eastAsia="ja-JP"/>
        </w:rPr>
      </w:pPr>
      <w:r w:rsidRPr="00B713EE">
        <w:t>Aucun projet de rectificatif n</w:t>
      </w:r>
      <w:r w:rsidR="007C2F80">
        <w:t>’</w:t>
      </w:r>
      <w:r w:rsidRPr="00B713EE">
        <w:t>a été soumis.</w:t>
      </w:r>
    </w:p>
    <w:p w:rsidR="00CD04C1" w:rsidRPr="00B713EE" w:rsidRDefault="00CD04C1" w:rsidP="00E24A0B">
      <w:pPr>
        <w:pStyle w:val="H1G"/>
        <w:rPr>
          <w:bCs/>
        </w:rPr>
      </w:pPr>
      <w:r w:rsidRPr="00B713EE">
        <w:tab/>
      </w:r>
      <w:bookmarkStart w:id="38" w:name="_Toc478663136"/>
      <w:r w:rsidRPr="00B713EE">
        <w:t>M.</w:t>
      </w:r>
      <w:r w:rsidRPr="00B713EE">
        <w:tab/>
        <w:t xml:space="preserve">Examen de propositions de nouveaux Règlements soumises </w:t>
      </w:r>
      <w:r w:rsidR="00E24A0B" w:rsidRPr="00B713EE">
        <w:br/>
      </w:r>
      <w:r w:rsidRPr="00B713EE">
        <w:t xml:space="preserve">par les groupes de travail subsidiaires du Forum mondial </w:t>
      </w:r>
      <w:r w:rsidR="00E24A0B" w:rsidRPr="00B713EE">
        <w:br/>
      </w:r>
      <w:r w:rsidRPr="00B713EE">
        <w:rPr>
          <w:bCs/>
        </w:rPr>
        <w:t>(point 4.13 de l</w:t>
      </w:r>
      <w:r w:rsidR="007C2F80">
        <w:rPr>
          <w:bCs/>
        </w:rPr>
        <w:t>’</w:t>
      </w:r>
      <w:r w:rsidRPr="00B713EE">
        <w:rPr>
          <w:bCs/>
        </w:rPr>
        <w:t>ordre du jour)</w:t>
      </w:r>
      <w:bookmarkEnd w:id="38"/>
    </w:p>
    <w:p w:rsidR="00CD04C1" w:rsidRPr="00B713EE" w:rsidRDefault="00CD04C1" w:rsidP="00844FD4">
      <w:pPr>
        <w:pStyle w:val="ParNoG"/>
        <w:tabs>
          <w:tab w:val="clear" w:pos="1701"/>
        </w:tabs>
      </w:pPr>
      <w:r w:rsidRPr="00B713EE">
        <w:t>Aucune proposition de nouveau Règlement n</w:t>
      </w:r>
      <w:r w:rsidR="007C2F80">
        <w:t>’</w:t>
      </w:r>
      <w:r w:rsidRPr="00B713EE">
        <w:t xml:space="preserve">a été soumise. </w:t>
      </w:r>
    </w:p>
    <w:p w:rsidR="00CD04C1" w:rsidRPr="00B713EE" w:rsidRDefault="00CD04C1" w:rsidP="00E24A0B">
      <w:pPr>
        <w:pStyle w:val="H1G"/>
        <w:rPr>
          <w:rFonts w:eastAsia="SimSun"/>
          <w:bCs/>
        </w:rPr>
      </w:pPr>
      <w:r w:rsidRPr="00B713EE">
        <w:rPr>
          <w:rFonts w:eastAsia="SimSun"/>
        </w:rPr>
        <w:tab/>
      </w:r>
      <w:bookmarkStart w:id="39" w:name="_Toc478663137"/>
      <w:r w:rsidRPr="00B713EE">
        <w:rPr>
          <w:rFonts w:eastAsia="SimSun"/>
        </w:rPr>
        <w:t>N.</w:t>
      </w:r>
      <w:r w:rsidRPr="00B713EE">
        <w:rPr>
          <w:rFonts w:eastAsia="SimSun"/>
        </w:rPr>
        <w:tab/>
        <w:t>Propositions d</w:t>
      </w:r>
      <w:r w:rsidR="007C2F80">
        <w:rPr>
          <w:rFonts w:eastAsia="SimSun"/>
        </w:rPr>
        <w:t>’</w:t>
      </w:r>
      <w:r w:rsidRPr="00B713EE">
        <w:rPr>
          <w:rFonts w:eastAsia="SimSun"/>
        </w:rPr>
        <w:t>amendements à la Résolution d</w:t>
      </w:r>
      <w:r w:rsidR="007C2F80">
        <w:rPr>
          <w:rFonts w:eastAsia="SimSun"/>
        </w:rPr>
        <w:t>’</w:t>
      </w:r>
      <w:r w:rsidRPr="00B713EE">
        <w:rPr>
          <w:rFonts w:eastAsia="SimSun"/>
        </w:rPr>
        <w:t xml:space="preserve">ensemble </w:t>
      </w:r>
      <w:r w:rsidR="00E24A0B" w:rsidRPr="00B713EE">
        <w:rPr>
          <w:rFonts w:eastAsia="SimSun"/>
        </w:rPr>
        <w:br/>
      </w:r>
      <w:r w:rsidRPr="00B713EE">
        <w:rPr>
          <w:rFonts w:eastAsia="SimSun"/>
        </w:rPr>
        <w:t xml:space="preserve">sur la construction des véhicules (R.E.3) soumises </w:t>
      </w:r>
      <w:r w:rsidR="00E24A0B" w:rsidRPr="00B713EE">
        <w:rPr>
          <w:rFonts w:eastAsia="SimSun"/>
        </w:rPr>
        <w:br/>
      </w:r>
      <w:r w:rsidRPr="00B713EE">
        <w:rPr>
          <w:rFonts w:eastAsia="SimSun"/>
        </w:rPr>
        <w:t xml:space="preserve">par les groupes de travail au Forum mondial </w:t>
      </w:r>
      <w:r w:rsidR="00E24A0B" w:rsidRPr="00B713EE">
        <w:rPr>
          <w:rFonts w:eastAsia="SimSun"/>
        </w:rPr>
        <w:br/>
      </w:r>
      <w:r w:rsidRPr="00B713EE">
        <w:rPr>
          <w:rFonts w:eastAsia="SimSun"/>
        </w:rPr>
        <w:t xml:space="preserve">pour examen </w:t>
      </w:r>
      <w:r w:rsidRPr="00B713EE">
        <w:rPr>
          <w:rFonts w:eastAsia="SimSun"/>
          <w:bCs/>
        </w:rPr>
        <w:t>(point 4.14 de l</w:t>
      </w:r>
      <w:r w:rsidR="007C2F80">
        <w:rPr>
          <w:rFonts w:eastAsia="SimSun"/>
          <w:bCs/>
        </w:rPr>
        <w:t>’</w:t>
      </w:r>
      <w:r w:rsidRPr="00B713EE">
        <w:rPr>
          <w:rFonts w:eastAsia="SimSun"/>
          <w:bCs/>
        </w:rPr>
        <w:t>ordre du jour)</w:t>
      </w:r>
      <w:bookmarkEnd w:id="39"/>
    </w:p>
    <w:p w:rsidR="00CD04C1" w:rsidRPr="00B713EE" w:rsidRDefault="001F7EFD" w:rsidP="001F7EFD">
      <w:pPr>
        <w:pStyle w:val="SingleTxtG"/>
        <w:ind w:left="2835" w:hanging="1701"/>
        <w:jc w:val="left"/>
        <w:rPr>
          <w:rFonts w:eastAsia="SimSun"/>
        </w:rPr>
      </w:pPr>
      <w:r w:rsidRPr="00B713EE">
        <w:rPr>
          <w:rFonts w:eastAsia="SimSun"/>
          <w:i/>
        </w:rPr>
        <w:t>Document(s)</w:t>
      </w:r>
      <w:r w:rsidR="00A30ED3" w:rsidRPr="00B713EE">
        <w:rPr>
          <w:rFonts w:eastAsia="SimSun"/>
          <w:i/>
        </w:rPr>
        <w:t> </w:t>
      </w:r>
      <w:r w:rsidR="00CD04C1" w:rsidRPr="00B713EE">
        <w:rPr>
          <w:rFonts w:eastAsia="SimSun"/>
        </w:rPr>
        <w:t>:</w:t>
      </w:r>
      <w:r w:rsidR="00CD04C1" w:rsidRPr="00B713EE">
        <w:rPr>
          <w:rFonts w:eastAsia="SimSun"/>
          <w:i/>
        </w:rPr>
        <w:tab/>
      </w:r>
      <w:r w:rsidR="00CD04C1" w:rsidRPr="00B713EE">
        <w:rPr>
          <w:rFonts w:eastAsia="SimSun"/>
          <w:i/>
        </w:rPr>
        <w:tab/>
      </w:r>
      <w:r w:rsidR="00CD04C1" w:rsidRPr="00B713EE">
        <w:rPr>
          <w:rFonts w:eastAsia="SimSun"/>
        </w:rPr>
        <w:t>ECE/</w:t>
      </w:r>
      <w:r w:rsidR="00CD04C1" w:rsidRPr="00B713EE">
        <w:t>TRANS</w:t>
      </w:r>
      <w:r w:rsidR="00CD04C1" w:rsidRPr="00B713EE">
        <w:rPr>
          <w:rFonts w:eastAsia="SimSun"/>
        </w:rPr>
        <w:t>/WP.29/2017/46</w:t>
      </w:r>
      <w:r w:rsidR="00A30ED3" w:rsidRPr="00B713EE">
        <w:rPr>
          <w:rFonts w:eastAsia="SimSun"/>
        </w:rPr>
        <w:t>.</w:t>
      </w:r>
    </w:p>
    <w:p w:rsidR="00CD04C1" w:rsidRPr="00B713EE" w:rsidRDefault="00CD04C1" w:rsidP="00844FD4">
      <w:pPr>
        <w:pStyle w:val="ParNoG"/>
        <w:tabs>
          <w:tab w:val="clear" w:pos="1701"/>
        </w:tabs>
        <w:rPr>
          <w:rFonts w:eastAsia="SimSun"/>
        </w:rPr>
      </w:pPr>
      <w:r w:rsidRPr="00B713EE">
        <w:t>Le</w:t>
      </w:r>
      <w:r w:rsidRPr="00B713EE">
        <w:rPr>
          <w:rFonts w:eastAsia="SimSun"/>
        </w:rPr>
        <w:t xml:space="preserve"> représentant du Royaume-Uni, Coprésident du groupe de travail informel des systèmes de transport intelligents et de la conduite automatisée (STI/CA), a présenté pour examen au Forum mondial une proposition de projet de directive sur la cybersécurité et la protection des données (ECE/TRANS/WP.29/2017/46), élaborée en tant qu</w:t>
      </w:r>
      <w:r w:rsidR="007C2F80">
        <w:rPr>
          <w:rFonts w:eastAsia="SimSun"/>
        </w:rPr>
        <w:t>’</w:t>
      </w:r>
      <w:r w:rsidRPr="00B713EE">
        <w:rPr>
          <w:rFonts w:eastAsia="SimSun"/>
        </w:rPr>
        <w:t>amendement à la Résolution d</w:t>
      </w:r>
      <w:r w:rsidR="007C2F80">
        <w:rPr>
          <w:rFonts w:eastAsia="SimSun"/>
        </w:rPr>
        <w:t>’</w:t>
      </w:r>
      <w:r w:rsidRPr="00B713EE">
        <w:rPr>
          <w:rFonts w:eastAsia="SimSun"/>
        </w:rPr>
        <w:t xml:space="preserve">ensemble sur la construction des véhicules (R.E.3). </w:t>
      </w:r>
    </w:p>
    <w:p w:rsidR="00CD04C1" w:rsidRPr="00B713EE" w:rsidRDefault="00CD04C1" w:rsidP="00844FD4">
      <w:pPr>
        <w:pStyle w:val="ParNoG"/>
        <w:tabs>
          <w:tab w:val="clear" w:pos="1701"/>
        </w:tabs>
        <w:rPr>
          <w:rFonts w:eastAsia="SimSun"/>
        </w:rPr>
      </w:pPr>
      <w:r w:rsidRPr="00B713EE">
        <w:rPr>
          <w:rFonts w:eastAsia="SimSun"/>
        </w:rPr>
        <w:t>Le WP.29 a adopté le document ECE/TRANS/WP.29/2017/46 sans objections ni abstentions et a prié le secrétariat de supprimer de son titre les mots « Proposition de projet » et d</w:t>
      </w:r>
      <w:r w:rsidR="007C2F80">
        <w:rPr>
          <w:rFonts w:eastAsia="SimSun"/>
        </w:rPr>
        <w:t>’</w:t>
      </w:r>
      <w:r w:rsidRPr="00B713EE">
        <w:rPr>
          <w:rFonts w:eastAsia="SimSun"/>
        </w:rPr>
        <w:t>introduire le document dans la R.E</w:t>
      </w:r>
      <w:r w:rsidR="00D93F15">
        <w:rPr>
          <w:rFonts w:eastAsia="SimSun"/>
        </w:rPr>
        <w:t>.3 en tant qu</w:t>
      </w:r>
      <w:r w:rsidR="007C2F80">
        <w:rPr>
          <w:rFonts w:eastAsia="SimSun"/>
        </w:rPr>
        <w:t>’</w:t>
      </w:r>
      <w:r w:rsidR="00D93F15">
        <w:rPr>
          <w:rFonts w:eastAsia="SimSun"/>
        </w:rPr>
        <w:t>annexe.</w:t>
      </w:r>
    </w:p>
    <w:p w:rsidR="00CD04C1" w:rsidRPr="00B713EE" w:rsidRDefault="00CD04C1" w:rsidP="00E24A0B">
      <w:pPr>
        <w:pStyle w:val="HChG"/>
        <w:rPr>
          <w:rFonts w:eastAsia="SimSun"/>
        </w:rPr>
      </w:pPr>
      <w:r w:rsidRPr="00B713EE">
        <w:rPr>
          <w:rFonts w:eastAsia="SimSun"/>
        </w:rPr>
        <w:tab/>
      </w:r>
      <w:bookmarkStart w:id="40" w:name="_Toc478663138"/>
      <w:r w:rsidRPr="00B713EE">
        <w:rPr>
          <w:rFonts w:eastAsia="SimSun"/>
        </w:rPr>
        <w:t>VII.</w:t>
      </w:r>
      <w:r w:rsidRPr="00B713EE">
        <w:rPr>
          <w:rFonts w:eastAsia="SimSun"/>
        </w:rPr>
        <w:tab/>
        <w:t>Accord de 1998 (point 5 de l</w:t>
      </w:r>
      <w:r w:rsidR="007C2F80">
        <w:rPr>
          <w:rFonts w:eastAsia="SimSun"/>
        </w:rPr>
        <w:t>’</w:t>
      </w:r>
      <w:r w:rsidRPr="00B713EE">
        <w:rPr>
          <w:rFonts w:eastAsia="SimSun"/>
        </w:rPr>
        <w:t>ordre du jour)</w:t>
      </w:r>
      <w:bookmarkEnd w:id="40"/>
    </w:p>
    <w:p w:rsidR="00CD04C1" w:rsidRPr="00B713EE" w:rsidRDefault="00CD04C1" w:rsidP="00E24A0B">
      <w:pPr>
        <w:pStyle w:val="H1G"/>
        <w:rPr>
          <w:rFonts w:eastAsia="SimSun"/>
        </w:rPr>
      </w:pPr>
      <w:r w:rsidRPr="00B713EE">
        <w:rPr>
          <w:rFonts w:eastAsia="SimSun"/>
        </w:rPr>
        <w:tab/>
      </w:r>
      <w:bookmarkStart w:id="41" w:name="_Toc478663139"/>
      <w:r w:rsidRPr="00B713EE">
        <w:rPr>
          <w:rFonts w:eastAsia="SimSun"/>
        </w:rPr>
        <w:tab/>
        <w:t>État de l</w:t>
      </w:r>
      <w:r w:rsidR="007C2F80">
        <w:rPr>
          <w:rFonts w:eastAsia="SimSun"/>
        </w:rPr>
        <w:t>’</w:t>
      </w:r>
      <w:r w:rsidRPr="00B713EE">
        <w:rPr>
          <w:rFonts w:eastAsia="SimSun"/>
        </w:rPr>
        <w:t>Accord, y compris l</w:t>
      </w:r>
      <w:r w:rsidR="007C2F80">
        <w:rPr>
          <w:rFonts w:eastAsia="SimSun"/>
        </w:rPr>
        <w:t>’</w:t>
      </w:r>
      <w:r w:rsidRPr="00B713EE">
        <w:rPr>
          <w:rFonts w:eastAsia="SimSun"/>
        </w:rPr>
        <w:t xml:space="preserve">application de son paragraphe 7.1 </w:t>
      </w:r>
      <w:r w:rsidR="001D03E3" w:rsidRPr="00B713EE">
        <w:rPr>
          <w:rFonts w:eastAsia="SimSun"/>
        </w:rPr>
        <w:br/>
      </w:r>
      <w:r w:rsidR="00D93F15">
        <w:rPr>
          <w:rFonts w:eastAsia="SimSun"/>
        </w:rPr>
        <w:t>(point </w:t>
      </w:r>
      <w:r w:rsidRPr="00B713EE">
        <w:rPr>
          <w:rFonts w:eastAsia="SimSun"/>
        </w:rPr>
        <w:t>5.1 de l</w:t>
      </w:r>
      <w:r w:rsidR="007C2F80">
        <w:rPr>
          <w:rFonts w:eastAsia="SimSun"/>
        </w:rPr>
        <w:t>’</w:t>
      </w:r>
      <w:r w:rsidRPr="00B713EE">
        <w:rPr>
          <w:rFonts w:eastAsia="SimSun"/>
        </w:rPr>
        <w:t>ordre du jour)</w:t>
      </w:r>
      <w:bookmarkEnd w:id="41"/>
    </w:p>
    <w:p w:rsidR="00CD04C1" w:rsidRPr="00567416" w:rsidRDefault="00CD04C1" w:rsidP="001F7EFD">
      <w:pPr>
        <w:pStyle w:val="SingleTxtG"/>
        <w:ind w:left="2835" w:hanging="1701"/>
        <w:jc w:val="left"/>
        <w:rPr>
          <w:rFonts w:eastAsia="SimSun"/>
          <w:lang w:val="en-US"/>
        </w:rPr>
      </w:pPr>
      <w:r w:rsidRPr="00567416">
        <w:rPr>
          <w:rFonts w:eastAsia="SimSun"/>
          <w:i/>
          <w:lang w:val="en-US"/>
        </w:rPr>
        <w:t>Document</w:t>
      </w:r>
      <w:r w:rsidR="00A30ED3" w:rsidRPr="00567416">
        <w:rPr>
          <w:rFonts w:eastAsia="SimSun"/>
          <w:i/>
          <w:lang w:val="en-US"/>
        </w:rPr>
        <w:t>(s)</w:t>
      </w:r>
      <w:r w:rsidR="00A30ED3" w:rsidRPr="00567416">
        <w:rPr>
          <w:rFonts w:eastAsia="SimSun"/>
          <w:lang w:val="en-US"/>
        </w:rPr>
        <w:t> </w:t>
      </w:r>
      <w:r w:rsidRPr="00567416">
        <w:rPr>
          <w:rFonts w:eastAsia="SimSun"/>
          <w:lang w:val="en-US"/>
        </w:rPr>
        <w:t>:</w:t>
      </w:r>
      <w:r w:rsidRPr="00567416">
        <w:rPr>
          <w:rFonts w:eastAsia="SimSun"/>
          <w:lang w:val="en-US"/>
        </w:rPr>
        <w:tab/>
      </w:r>
      <w:r w:rsidRPr="00567416">
        <w:rPr>
          <w:rFonts w:eastAsia="SimSun"/>
          <w:lang w:val="en-US"/>
        </w:rPr>
        <w:tab/>
        <w:t>ECE/</w:t>
      </w:r>
      <w:r w:rsidRPr="00567416">
        <w:rPr>
          <w:lang w:val="en-US"/>
        </w:rPr>
        <w:t>TRANS</w:t>
      </w:r>
      <w:r w:rsidRPr="00567416">
        <w:rPr>
          <w:rFonts w:eastAsia="SimSun"/>
          <w:lang w:val="en-US"/>
        </w:rPr>
        <w:t>/WP.29/1073/Rev.18</w:t>
      </w:r>
      <w:r w:rsidR="00A30ED3" w:rsidRPr="00567416">
        <w:rPr>
          <w:rFonts w:eastAsia="SimSun"/>
          <w:lang w:val="en-US"/>
        </w:rPr>
        <w:t>.</w:t>
      </w:r>
    </w:p>
    <w:p w:rsidR="00CD04C1" w:rsidRPr="00B713EE" w:rsidRDefault="00CD04C1" w:rsidP="00844FD4">
      <w:pPr>
        <w:pStyle w:val="ParNoG"/>
        <w:tabs>
          <w:tab w:val="clear" w:pos="1701"/>
        </w:tabs>
        <w:rPr>
          <w:rFonts w:eastAsia="SimSun"/>
        </w:rPr>
      </w:pPr>
      <w:r w:rsidRPr="00B713EE">
        <w:rPr>
          <w:rFonts w:eastAsia="SimSun"/>
        </w:rPr>
        <w:t>Le Foru</w:t>
      </w:r>
      <w:r w:rsidR="00D93F15">
        <w:rPr>
          <w:rFonts w:eastAsia="SimSun"/>
        </w:rPr>
        <w:t>m mondial a décidé que le point </w:t>
      </w:r>
      <w:r w:rsidRPr="00B713EE">
        <w:rPr>
          <w:rFonts w:eastAsia="SimSun"/>
        </w:rPr>
        <w:t>5.1 de l</w:t>
      </w:r>
      <w:r w:rsidR="007C2F80">
        <w:rPr>
          <w:rFonts w:eastAsia="SimSun"/>
        </w:rPr>
        <w:t>’</w:t>
      </w:r>
      <w:r w:rsidRPr="00B713EE">
        <w:rPr>
          <w:rFonts w:eastAsia="SimSun"/>
        </w:rPr>
        <w:t>ordre du jour devait être examiné en détail par le Comité exécu</w:t>
      </w:r>
      <w:r w:rsidR="000F7ED0" w:rsidRPr="00B713EE">
        <w:rPr>
          <w:rFonts w:eastAsia="SimSun"/>
        </w:rPr>
        <w:t>tif de l</w:t>
      </w:r>
      <w:r w:rsidR="007C2F80">
        <w:rPr>
          <w:rFonts w:eastAsia="SimSun"/>
        </w:rPr>
        <w:t>’</w:t>
      </w:r>
      <w:r w:rsidR="000F7ED0" w:rsidRPr="00B713EE">
        <w:rPr>
          <w:rFonts w:eastAsia="SimSun"/>
        </w:rPr>
        <w:t>Accord de 1998 (AC.3).</w:t>
      </w:r>
    </w:p>
    <w:p w:rsidR="00CD04C1" w:rsidRPr="00B713EE" w:rsidRDefault="00CD04C1" w:rsidP="00844FD4">
      <w:pPr>
        <w:pStyle w:val="ParNoG"/>
        <w:tabs>
          <w:tab w:val="clear" w:pos="1701"/>
        </w:tabs>
        <w:rPr>
          <w:rFonts w:eastAsia="SimSun"/>
        </w:rPr>
      </w:pPr>
      <w:r w:rsidRPr="00B713EE">
        <w:rPr>
          <w:rFonts w:eastAsia="SimSun"/>
        </w:rPr>
        <w:t xml:space="preserve">Le Forum mondial a </w:t>
      </w:r>
      <w:r w:rsidR="00D93F15">
        <w:rPr>
          <w:rFonts w:eastAsia="SimSun"/>
        </w:rPr>
        <w:t>également décidé que les points </w:t>
      </w:r>
      <w:r w:rsidRPr="00B713EE">
        <w:rPr>
          <w:rFonts w:eastAsia="SimSun"/>
        </w:rPr>
        <w:t>5.2 à 5.6 de l</w:t>
      </w:r>
      <w:r w:rsidR="007C2F80">
        <w:rPr>
          <w:rFonts w:eastAsia="SimSun"/>
        </w:rPr>
        <w:t>’</w:t>
      </w:r>
      <w:r w:rsidRPr="00B713EE">
        <w:rPr>
          <w:rFonts w:eastAsia="SimSun"/>
        </w:rPr>
        <w:t>ordre du jour devaient être examinés en détail par le Comité exécutif de l</w:t>
      </w:r>
      <w:r w:rsidR="007C2F80">
        <w:rPr>
          <w:rFonts w:eastAsia="SimSun"/>
        </w:rPr>
        <w:t>’</w:t>
      </w:r>
      <w:r w:rsidRPr="00B713EE">
        <w:rPr>
          <w:rFonts w:eastAsia="SimSun"/>
        </w:rPr>
        <w:t xml:space="preserve">Accord de 1998 (AC.3). </w:t>
      </w:r>
    </w:p>
    <w:p w:rsidR="00CD04C1" w:rsidRPr="00B713EE" w:rsidRDefault="00CD04C1" w:rsidP="001D03E3">
      <w:pPr>
        <w:pStyle w:val="HChG"/>
        <w:rPr>
          <w:rFonts w:eastAsia="SimSun"/>
        </w:rPr>
      </w:pPr>
      <w:r w:rsidRPr="00B713EE">
        <w:rPr>
          <w:rFonts w:eastAsia="SimSun"/>
        </w:rPr>
        <w:tab/>
      </w:r>
      <w:bookmarkStart w:id="42" w:name="_Toc478663140"/>
      <w:r w:rsidRPr="00B713EE">
        <w:rPr>
          <w:rFonts w:eastAsia="SimSun"/>
        </w:rPr>
        <w:t>VIII.</w:t>
      </w:r>
      <w:r w:rsidRPr="00B713EE">
        <w:rPr>
          <w:rFonts w:eastAsia="SimSun"/>
        </w:rPr>
        <w:tab/>
        <w:t xml:space="preserve">Échange de vues sur les procédures législatives nationales </w:t>
      </w:r>
      <w:r w:rsidR="001D03E3" w:rsidRPr="00B713EE">
        <w:rPr>
          <w:rFonts w:eastAsia="SimSun"/>
        </w:rPr>
        <w:br/>
      </w:r>
      <w:r w:rsidRPr="00B713EE">
        <w:rPr>
          <w:rFonts w:eastAsia="SimSun"/>
        </w:rPr>
        <w:t xml:space="preserve">ou régionales et sur la transposition de Règlements </w:t>
      </w:r>
      <w:r w:rsidR="001D03E3" w:rsidRPr="00B713EE">
        <w:rPr>
          <w:rFonts w:eastAsia="SimSun"/>
        </w:rPr>
        <w:br/>
      </w:r>
      <w:r w:rsidRPr="00B713EE">
        <w:rPr>
          <w:rFonts w:eastAsia="SimSun"/>
        </w:rPr>
        <w:t xml:space="preserve">et/ou des RTM existants dans la législation </w:t>
      </w:r>
      <w:r w:rsidR="001D03E3" w:rsidRPr="00B713EE">
        <w:rPr>
          <w:rFonts w:eastAsia="SimSun"/>
        </w:rPr>
        <w:br/>
      </w:r>
      <w:r w:rsidR="00D93F15">
        <w:rPr>
          <w:rFonts w:eastAsia="SimSun"/>
        </w:rPr>
        <w:t>nationale ou régionale (point </w:t>
      </w:r>
      <w:r w:rsidRPr="00B713EE">
        <w:rPr>
          <w:rFonts w:eastAsia="SimSun"/>
        </w:rPr>
        <w:t>6 de l</w:t>
      </w:r>
      <w:r w:rsidR="007C2F80">
        <w:rPr>
          <w:rFonts w:eastAsia="SimSun"/>
        </w:rPr>
        <w:t>’</w:t>
      </w:r>
      <w:r w:rsidRPr="00B713EE">
        <w:rPr>
          <w:rFonts w:eastAsia="SimSun"/>
        </w:rPr>
        <w:t>ordre du jour)</w:t>
      </w:r>
      <w:bookmarkEnd w:id="42"/>
    </w:p>
    <w:p w:rsidR="00CD04C1" w:rsidRPr="00B713EE" w:rsidRDefault="00CD04C1" w:rsidP="00844FD4">
      <w:pPr>
        <w:pStyle w:val="ParNoG"/>
        <w:tabs>
          <w:tab w:val="clear" w:pos="1701"/>
        </w:tabs>
      </w:pPr>
      <w:r w:rsidRPr="00B713EE">
        <w:t>Le</w:t>
      </w:r>
      <w:r w:rsidRPr="00B713EE">
        <w:rPr>
          <w:rFonts w:eastAsia="SimSun"/>
        </w:rPr>
        <w:t xml:space="preserve"> représentant du</w:t>
      </w:r>
      <w:r w:rsidRPr="00B713EE">
        <w:t xml:space="preserve"> </w:t>
      </w:r>
      <w:r w:rsidR="00D77236">
        <w:t>P</w:t>
      </w:r>
      <w:r w:rsidRPr="00B713EE">
        <w:rPr>
          <w:rFonts w:eastAsia="SimSun"/>
        </w:rPr>
        <w:t>rogramme mondial d</w:t>
      </w:r>
      <w:r w:rsidR="007C2F80">
        <w:rPr>
          <w:rFonts w:eastAsia="SimSun"/>
        </w:rPr>
        <w:t>’</w:t>
      </w:r>
      <w:r w:rsidRPr="00B713EE">
        <w:rPr>
          <w:rFonts w:eastAsia="SimSun"/>
        </w:rPr>
        <w:t>évaluation des nouveaux modèles d</w:t>
      </w:r>
      <w:r w:rsidR="007C2F80">
        <w:rPr>
          <w:rFonts w:eastAsia="SimSun"/>
        </w:rPr>
        <w:t>’</w:t>
      </w:r>
      <w:r w:rsidRPr="00B713EE">
        <w:rPr>
          <w:rFonts w:eastAsia="SimSun"/>
        </w:rPr>
        <w:t>automobiles (</w:t>
      </w:r>
      <w:r w:rsidRPr="00B713EE">
        <w:t>Global NCAP) a remercié la Division des transports de la CEE et l</w:t>
      </w:r>
      <w:r w:rsidR="007C2F80">
        <w:t>’</w:t>
      </w:r>
      <w:r w:rsidRPr="00B713EE">
        <w:t>Envoyé spécial de l</w:t>
      </w:r>
      <w:r w:rsidR="007C2F80">
        <w:t>’</w:t>
      </w:r>
      <w:r w:rsidRPr="00B713EE">
        <w:t>ONU pour la sécurité routière d</w:t>
      </w:r>
      <w:r w:rsidR="007C2F80">
        <w:t>’</w:t>
      </w:r>
      <w:r w:rsidRPr="00B713EE">
        <w:t>avoir organisé un ateli</w:t>
      </w:r>
      <w:r w:rsidR="000F7ED0" w:rsidRPr="00B713EE">
        <w:t>er à Buenos-Aires (les 13 et 14 </w:t>
      </w:r>
      <w:r w:rsidRPr="00B713EE">
        <w:t xml:space="preserve">mars) avec les </w:t>
      </w:r>
      <w:r w:rsidR="00D77236">
        <w:t>G</w:t>
      </w:r>
      <w:r w:rsidRPr="00B713EE">
        <w:t>ouvernements d</w:t>
      </w:r>
      <w:r w:rsidR="007C2F80">
        <w:t>’</w:t>
      </w:r>
      <w:r w:rsidRPr="00B713EE">
        <w:t>Amérique latine pour promouvoir les instruments juridiques de l</w:t>
      </w:r>
      <w:r w:rsidR="007C2F80">
        <w:t>’</w:t>
      </w:r>
      <w:r w:rsidRPr="00B713EE">
        <w:t>ONU afin d</w:t>
      </w:r>
      <w:r w:rsidR="007C2F80">
        <w:t>’</w:t>
      </w:r>
      <w:r w:rsidRPr="00B713EE">
        <w:t>améliorer la sécurité routière dans la région. Il a souligné à nouveau que le programme Global NCAP encourage fortement toutes les parties contractantes aux Accords de 1958 et 1998 à appliquer les normes de sécurité des véhicules les plus importantes au titre de leur Feuille de route pour des véhicules plus sûrs 2020, et notamment en ce qui concerne les chocs avant et latéraux, ainsi que le contrôle électronique de la stabilité. L</w:t>
      </w:r>
      <w:r w:rsidR="007C2F80">
        <w:t>’</w:t>
      </w:r>
      <w:r w:rsidRPr="00B713EE">
        <w:t>une des principales conclusions de l</w:t>
      </w:r>
      <w:r w:rsidR="007C2F80">
        <w:t>’</w:t>
      </w:r>
      <w:r w:rsidRPr="00B713EE">
        <w:t>atelier de Buenos-Aires a été que les gouvernements latino-américains sont actuellement incapables de mettre en œuvre des programmes efficaces de surveillance du marché pour vérifier la conformité des véhicules locaux avec les règlements nécessaires. C</w:t>
      </w:r>
      <w:r w:rsidR="007C2F80">
        <w:t>’</w:t>
      </w:r>
      <w:r w:rsidRPr="00B713EE">
        <w:t>est la raison pour laquelle les dispositions relatives à la conformité de la production contenues dans les Règlements de l</w:t>
      </w:r>
      <w:r w:rsidR="007C2F80">
        <w:t>’</w:t>
      </w:r>
      <w:r w:rsidRPr="00B713EE">
        <w:t>Accord de 1958 constituent une proposition intéressante. Le représentant a fait valoir qu</w:t>
      </w:r>
      <w:r w:rsidR="007C2F80">
        <w:t>’</w:t>
      </w:r>
      <w:r w:rsidRPr="00B713EE">
        <w:t>il serait également très utile que le Forum mondial de l</w:t>
      </w:r>
      <w:r w:rsidR="007C2F80">
        <w:t>’</w:t>
      </w:r>
      <w:r w:rsidRPr="00B713EE">
        <w:t>harmonisation des Règlements concernant les véhicules puisse promouvoir l</w:t>
      </w:r>
      <w:r w:rsidR="007C2F80">
        <w:t>’</w:t>
      </w:r>
      <w:r w:rsidRPr="00B713EE">
        <w:t>élaboration, dans le cadre des Accords de 1958 et 1998, d</w:t>
      </w:r>
      <w:r w:rsidR="007C2F80">
        <w:t>’</w:t>
      </w:r>
      <w:r w:rsidRPr="00B713EE">
        <w:t>instruments visant à regrouper des réglementations internationales, notamment en matière de protection contre les chocs avant et latéraux, qui combinent les éléments cl</w:t>
      </w:r>
      <w:r w:rsidR="00D77236">
        <w:t>ef</w:t>
      </w:r>
      <w:r w:rsidRPr="00B713EE">
        <w:t>s des règlements de l</w:t>
      </w:r>
      <w:r w:rsidR="007C2F80">
        <w:t>’</w:t>
      </w:r>
      <w:r w:rsidRPr="00B713EE">
        <w:t>ONU et des États-Unis d</w:t>
      </w:r>
      <w:r w:rsidR="007C2F80">
        <w:t>’</w:t>
      </w:r>
      <w:r w:rsidRPr="00B713EE">
        <w:t>Amérique. Cela pourrait faciliter l</w:t>
      </w:r>
      <w:r w:rsidR="007C2F80">
        <w:t>’</w:t>
      </w:r>
      <w:r w:rsidRPr="00B713EE">
        <w:t>engagement dans le WP.29 de pays aux marchés émergents.</w:t>
      </w:r>
    </w:p>
    <w:p w:rsidR="00CD04C1" w:rsidRPr="00B713EE" w:rsidRDefault="00CD04C1" w:rsidP="00756B89">
      <w:pPr>
        <w:pStyle w:val="HChG"/>
        <w:rPr>
          <w:rFonts w:eastAsia="SimSun"/>
        </w:rPr>
      </w:pPr>
      <w:r w:rsidRPr="00B713EE">
        <w:rPr>
          <w:rFonts w:eastAsia="SimSun"/>
        </w:rPr>
        <w:tab/>
      </w:r>
      <w:bookmarkStart w:id="43" w:name="_Toc478663141"/>
      <w:r w:rsidRPr="00B713EE">
        <w:rPr>
          <w:rFonts w:eastAsia="SimSun"/>
        </w:rPr>
        <w:t>IX.</w:t>
      </w:r>
      <w:r w:rsidRPr="00B713EE">
        <w:rPr>
          <w:rFonts w:eastAsia="SimSun"/>
        </w:rPr>
        <w:tab/>
        <w:t xml:space="preserve">Accord de 1997 (Contrôles techniques périodiques) </w:t>
      </w:r>
      <w:r w:rsidRPr="00B713EE">
        <w:rPr>
          <w:rFonts w:eastAsia="SimSun"/>
        </w:rPr>
        <w:br/>
        <w:t>(point 7 de l</w:t>
      </w:r>
      <w:r w:rsidR="007C2F80">
        <w:rPr>
          <w:rFonts w:eastAsia="SimSun"/>
        </w:rPr>
        <w:t>’</w:t>
      </w:r>
      <w:r w:rsidRPr="00B713EE">
        <w:rPr>
          <w:rFonts w:eastAsia="SimSun"/>
        </w:rPr>
        <w:t>ordre du jour)</w:t>
      </w:r>
      <w:bookmarkEnd w:id="43"/>
    </w:p>
    <w:p w:rsidR="00CD04C1" w:rsidRPr="00B713EE" w:rsidRDefault="00CD04C1" w:rsidP="00756B89">
      <w:pPr>
        <w:pStyle w:val="H1G"/>
        <w:rPr>
          <w:rFonts w:eastAsia="SimSun"/>
        </w:rPr>
      </w:pPr>
      <w:r w:rsidRPr="00B713EE">
        <w:rPr>
          <w:rFonts w:eastAsia="SimSun"/>
        </w:rPr>
        <w:tab/>
      </w:r>
      <w:bookmarkStart w:id="44" w:name="_Toc478663142"/>
      <w:r w:rsidRPr="00B713EE">
        <w:rPr>
          <w:rFonts w:eastAsia="SimSun"/>
        </w:rPr>
        <w:t>A.</w:t>
      </w:r>
      <w:r w:rsidRPr="00B713EE">
        <w:rPr>
          <w:rFonts w:eastAsia="SimSun"/>
        </w:rPr>
        <w:tab/>
        <w:t>État de l</w:t>
      </w:r>
      <w:r w:rsidR="007C2F80">
        <w:rPr>
          <w:rFonts w:eastAsia="SimSun"/>
        </w:rPr>
        <w:t>’</w:t>
      </w:r>
      <w:r w:rsidRPr="00B713EE">
        <w:rPr>
          <w:rFonts w:eastAsia="SimSun"/>
        </w:rPr>
        <w:t>Accord (point 7.1 de l</w:t>
      </w:r>
      <w:r w:rsidR="007C2F80">
        <w:rPr>
          <w:rFonts w:eastAsia="SimSun"/>
        </w:rPr>
        <w:t>’</w:t>
      </w:r>
      <w:r w:rsidRPr="00B713EE">
        <w:rPr>
          <w:rFonts w:eastAsia="SimSun"/>
        </w:rPr>
        <w:t>ordre du jour)</w:t>
      </w:r>
      <w:bookmarkEnd w:id="44"/>
    </w:p>
    <w:p w:rsidR="00CD04C1" w:rsidRPr="00B713EE" w:rsidRDefault="001F7EFD" w:rsidP="00A30ED3">
      <w:pPr>
        <w:pStyle w:val="SingleTxtG"/>
        <w:ind w:left="2835" w:hanging="1701"/>
        <w:jc w:val="left"/>
        <w:rPr>
          <w:rFonts w:eastAsia="SimSun"/>
        </w:rPr>
      </w:pPr>
      <w:r w:rsidRPr="00B713EE">
        <w:rPr>
          <w:rFonts w:eastAsia="SimSun"/>
          <w:i/>
        </w:rPr>
        <w:t>Document(s)</w:t>
      </w:r>
      <w:r w:rsidRPr="00B713EE">
        <w:rPr>
          <w:rFonts w:eastAsia="SimSun"/>
        </w:rPr>
        <w:t> :</w:t>
      </w:r>
      <w:r w:rsidR="00CD04C1" w:rsidRPr="00B713EE">
        <w:rPr>
          <w:rFonts w:eastAsia="SimSun"/>
          <w:i/>
        </w:rPr>
        <w:tab/>
      </w:r>
      <w:r w:rsidR="00CD04C1" w:rsidRPr="00B713EE">
        <w:rPr>
          <w:rFonts w:eastAsia="SimSun"/>
        </w:rPr>
        <w:t>ECE/TRANS/</w:t>
      </w:r>
      <w:r w:rsidR="00CD04C1" w:rsidRPr="00B713EE">
        <w:t>WP</w:t>
      </w:r>
      <w:r w:rsidR="00CD04C1" w:rsidRPr="00B713EE">
        <w:rPr>
          <w:rFonts w:eastAsia="SimSun"/>
        </w:rPr>
        <w:t>.29/1074/Rev.8</w:t>
      </w:r>
      <w:r w:rsidR="00223DA6" w:rsidRPr="00B713EE">
        <w:rPr>
          <w:rFonts w:eastAsia="SimSun"/>
        </w:rPr>
        <w:t> </w:t>
      </w:r>
      <w:r w:rsidR="00A30ED3" w:rsidRPr="00B713EE">
        <w:rPr>
          <w:rFonts w:eastAsia="SimSun"/>
        </w:rPr>
        <w:t xml:space="preserve">; </w:t>
      </w:r>
      <w:r w:rsidR="00A30ED3" w:rsidRPr="00B713EE">
        <w:rPr>
          <w:rFonts w:eastAsia="SimSun"/>
        </w:rPr>
        <w:br/>
      </w:r>
      <w:r w:rsidR="00CD04C1" w:rsidRPr="00B713EE">
        <w:rPr>
          <w:rFonts w:eastAsia="SimSun"/>
        </w:rPr>
        <w:t>Document informel WP.29-171-26</w:t>
      </w:r>
      <w:r w:rsidR="00A30ED3" w:rsidRPr="00B713EE">
        <w:rPr>
          <w:rFonts w:eastAsia="SimSun"/>
        </w:rPr>
        <w:t>.</w:t>
      </w:r>
    </w:p>
    <w:p w:rsidR="00CD04C1" w:rsidRPr="00B713EE" w:rsidRDefault="00CD04C1" w:rsidP="00844FD4">
      <w:pPr>
        <w:pStyle w:val="ParNoG"/>
        <w:tabs>
          <w:tab w:val="clear" w:pos="1701"/>
        </w:tabs>
        <w:rPr>
          <w:rFonts w:eastAsia="SimSun"/>
        </w:rPr>
      </w:pPr>
      <w:r w:rsidRPr="00B713EE">
        <w:rPr>
          <w:rFonts w:eastAsia="SimSun"/>
        </w:rPr>
        <w:t>Le secrétariat a présenté le document de synthèse (ECE/TRANS/WP.29/10</w:t>
      </w:r>
      <w:r w:rsidR="000F7ED0" w:rsidRPr="00B713EE">
        <w:rPr>
          <w:rFonts w:eastAsia="SimSun"/>
        </w:rPr>
        <w:t>74/</w:t>
      </w:r>
      <w:r w:rsidRPr="00B713EE">
        <w:rPr>
          <w:rFonts w:eastAsia="SimSun"/>
        </w:rPr>
        <w:t>Rev.8) sur l</w:t>
      </w:r>
      <w:r w:rsidR="007C2F80">
        <w:rPr>
          <w:rFonts w:eastAsia="SimSun"/>
        </w:rPr>
        <w:t>’</w:t>
      </w:r>
      <w:r w:rsidRPr="00B713EE">
        <w:rPr>
          <w:rFonts w:eastAsia="SimSun"/>
        </w:rPr>
        <w:t>état de l</w:t>
      </w:r>
      <w:r w:rsidR="007C2F80">
        <w:rPr>
          <w:rFonts w:eastAsia="SimSun"/>
        </w:rPr>
        <w:t>’</w:t>
      </w:r>
      <w:r w:rsidRPr="00B713EE">
        <w:rPr>
          <w:rFonts w:eastAsia="SimSun"/>
        </w:rPr>
        <w:t>Accord, y compris l</w:t>
      </w:r>
      <w:r w:rsidR="007C2F80">
        <w:rPr>
          <w:rFonts w:eastAsia="SimSun"/>
        </w:rPr>
        <w:t>’</w:t>
      </w:r>
      <w:r w:rsidRPr="00B713EE">
        <w:rPr>
          <w:rFonts w:eastAsia="SimSun"/>
        </w:rPr>
        <w:t>état des Règles annexées à l</w:t>
      </w:r>
      <w:r w:rsidR="007C2F80">
        <w:rPr>
          <w:rFonts w:eastAsia="SimSun"/>
        </w:rPr>
        <w:t>’</w:t>
      </w:r>
      <w:r w:rsidRPr="00B713EE">
        <w:rPr>
          <w:rFonts w:eastAsia="SimSun"/>
        </w:rPr>
        <w:t>Accord et la liste des Parties contractantes à l</w:t>
      </w:r>
      <w:r w:rsidR="007C2F80">
        <w:rPr>
          <w:rFonts w:eastAsia="SimSun"/>
        </w:rPr>
        <w:t>’</w:t>
      </w:r>
      <w:r w:rsidRPr="00B713EE">
        <w:rPr>
          <w:rFonts w:eastAsia="SimSun"/>
        </w:rPr>
        <w:t>Accord et de leurs services administratifs. Il a été rappelé aux Parties contractantes de notifier au secrétariat toute information à mettre à jour.</w:t>
      </w:r>
    </w:p>
    <w:p w:rsidR="00CD04C1" w:rsidRPr="00B713EE" w:rsidRDefault="00CD04C1" w:rsidP="00844FD4">
      <w:pPr>
        <w:pStyle w:val="ParNoG"/>
        <w:tabs>
          <w:tab w:val="clear" w:pos="1701"/>
        </w:tabs>
        <w:rPr>
          <w:rFonts w:eastAsia="SimSun"/>
        </w:rPr>
      </w:pPr>
      <w:r w:rsidRPr="00B713EE">
        <w:rPr>
          <w:rFonts w:eastAsia="SimSun"/>
        </w:rPr>
        <w:t>Le secrétariat a informé le Forum mondial que la Géorgie avait adhéré à l</w:t>
      </w:r>
      <w:r w:rsidR="007C2F80">
        <w:rPr>
          <w:rFonts w:eastAsia="SimSun"/>
        </w:rPr>
        <w:t>’</w:t>
      </w:r>
      <w:r w:rsidRPr="00B713EE">
        <w:rPr>
          <w:rFonts w:eastAsia="SimSun"/>
        </w:rPr>
        <w:t>Accord de 1997. Le WP.29 a félicité ce pays pour son adhésion.</w:t>
      </w:r>
    </w:p>
    <w:p w:rsidR="00CD04C1" w:rsidRPr="00B713EE" w:rsidRDefault="00CD04C1" w:rsidP="00756B89">
      <w:pPr>
        <w:pStyle w:val="H1G"/>
        <w:rPr>
          <w:rFonts w:eastAsia="SimSun"/>
        </w:rPr>
      </w:pPr>
      <w:r w:rsidRPr="00B713EE">
        <w:rPr>
          <w:rFonts w:eastAsia="SimSun"/>
        </w:rPr>
        <w:tab/>
      </w:r>
      <w:bookmarkStart w:id="45" w:name="_Toc478663143"/>
      <w:r w:rsidRPr="00B713EE">
        <w:rPr>
          <w:rFonts w:eastAsia="SimSun"/>
        </w:rPr>
        <w:t>B.</w:t>
      </w:r>
      <w:r w:rsidRPr="00B713EE">
        <w:rPr>
          <w:rFonts w:eastAsia="SimSun"/>
        </w:rPr>
        <w:tab/>
        <w:t>M</w:t>
      </w:r>
      <w:r w:rsidR="000F7ED0" w:rsidRPr="00B713EE">
        <w:rPr>
          <w:rFonts w:eastAsia="SimSun"/>
        </w:rPr>
        <w:t>ise à jour des Règles de l</w:t>
      </w:r>
      <w:r w:rsidR="007C2F80">
        <w:rPr>
          <w:rFonts w:eastAsia="SimSun"/>
        </w:rPr>
        <w:t>’</w:t>
      </w:r>
      <w:r w:rsidR="000F7ED0" w:rsidRPr="00B713EE">
        <w:rPr>
          <w:rFonts w:eastAsia="SimSun"/>
        </w:rPr>
        <w:t xml:space="preserve">ONU </w:t>
      </w:r>
      <w:r w:rsidR="000F7ED0" w:rsidRPr="00B713EE">
        <w:rPr>
          <w:rFonts w:eastAsia="MS Mincho"/>
        </w:rPr>
        <w:t>n</w:t>
      </w:r>
      <w:r w:rsidR="000F7ED0" w:rsidRPr="00B713EE">
        <w:rPr>
          <w:rFonts w:eastAsia="MS Mincho"/>
          <w:vertAlign w:val="superscript"/>
        </w:rPr>
        <w:t>os</w:t>
      </w:r>
      <w:r w:rsidR="000F7ED0" w:rsidRPr="00B713EE">
        <w:rPr>
          <w:rFonts w:eastAsia="MS Mincho"/>
        </w:rPr>
        <w:t> </w:t>
      </w:r>
      <w:r w:rsidR="00897D46">
        <w:rPr>
          <w:rFonts w:eastAsia="SimSun"/>
        </w:rPr>
        <w:t>1 et 2 (point </w:t>
      </w:r>
      <w:r w:rsidRPr="00B713EE">
        <w:rPr>
          <w:rFonts w:eastAsia="SimSun"/>
        </w:rPr>
        <w:t>7.2 de l</w:t>
      </w:r>
      <w:r w:rsidR="007C2F80">
        <w:rPr>
          <w:rFonts w:eastAsia="SimSun"/>
        </w:rPr>
        <w:t>’</w:t>
      </w:r>
      <w:r w:rsidRPr="00B713EE">
        <w:rPr>
          <w:rFonts w:eastAsia="SimSun"/>
        </w:rPr>
        <w:t>ordre du jour)</w:t>
      </w:r>
      <w:bookmarkEnd w:id="45"/>
    </w:p>
    <w:p w:rsidR="00CD04C1" w:rsidRPr="00B713EE" w:rsidRDefault="001F7EFD" w:rsidP="00223DA6">
      <w:pPr>
        <w:pStyle w:val="SingleTxtG"/>
        <w:ind w:left="2835" w:hanging="1701"/>
        <w:jc w:val="left"/>
        <w:rPr>
          <w:rFonts w:eastAsia="SimSun"/>
          <w:spacing w:val="-2"/>
        </w:rPr>
      </w:pPr>
      <w:r w:rsidRPr="00B713EE">
        <w:rPr>
          <w:rFonts w:eastAsia="SimSun"/>
          <w:i/>
        </w:rPr>
        <w:t>Document(s)</w:t>
      </w:r>
      <w:r w:rsidR="00A30ED3" w:rsidRPr="00B713EE">
        <w:rPr>
          <w:rFonts w:eastAsia="SimSun"/>
          <w:i/>
        </w:rPr>
        <w:t> </w:t>
      </w:r>
      <w:r w:rsidR="00CD04C1" w:rsidRPr="00B713EE">
        <w:rPr>
          <w:rFonts w:eastAsia="SimSun"/>
        </w:rPr>
        <w:t>:</w:t>
      </w:r>
      <w:r w:rsidR="00CD04C1" w:rsidRPr="00B713EE">
        <w:rPr>
          <w:rFonts w:eastAsia="SimSun"/>
        </w:rPr>
        <w:tab/>
        <w:t>ECE/TRANS/</w:t>
      </w:r>
      <w:r w:rsidR="00CD04C1" w:rsidRPr="00B713EE">
        <w:t>WP</w:t>
      </w:r>
      <w:r w:rsidR="00CD04C1" w:rsidRPr="00B713EE">
        <w:rPr>
          <w:rFonts w:eastAsia="SimSun"/>
        </w:rPr>
        <w:t>.29/2013/132/Rev.1</w:t>
      </w:r>
      <w:r w:rsidR="00223DA6" w:rsidRPr="00B713EE">
        <w:rPr>
          <w:rFonts w:eastAsia="SimSun"/>
        </w:rPr>
        <w:t> </w:t>
      </w:r>
      <w:r w:rsidR="00A30ED3" w:rsidRPr="00B713EE">
        <w:rPr>
          <w:rFonts w:eastAsia="SimSun"/>
        </w:rPr>
        <w:t xml:space="preserve">; </w:t>
      </w:r>
      <w:r w:rsidR="00A30ED3" w:rsidRPr="00B713EE">
        <w:rPr>
          <w:rFonts w:eastAsia="SimSun"/>
        </w:rPr>
        <w:br/>
      </w:r>
      <w:r w:rsidR="00CD04C1" w:rsidRPr="00B713EE">
        <w:rPr>
          <w:rFonts w:eastAsia="SimSun"/>
        </w:rPr>
        <w:t>ECE/TRANS/WP.29/2016/87</w:t>
      </w:r>
      <w:r w:rsidR="00A30ED3" w:rsidRPr="00B713EE">
        <w:rPr>
          <w:rFonts w:eastAsia="SimSun"/>
        </w:rPr>
        <w:t> ;</w:t>
      </w:r>
      <w:r w:rsidR="00A30ED3" w:rsidRPr="00B713EE">
        <w:rPr>
          <w:rFonts w:eastAsia="SimSun"/>
        </w:rPr>
        <w:br/>
      </w:r>
      <w:r w:rsidR="00CD04C1" w:rsidRPr="00B713EE">
        <w:rPr>
          <w:rFonts w:eastAsia="SimSun"/>
        </w:rPr>
        <w:t>ECE/TRANS/WP.29/2017/47</w:t>
      </w:r>
      <w:r w:rsidR="00A30ED3" w:rsidRPr="00B713EE">
        <w:rPr>
          <w:rFonts w:eastAsia="SimSun"/>
        </w:rPr>
        <w:t xml:space="preserve"> ; </w:t>
      </w:r>
      <w:r w:rsidR="00CD04C1" w:rsidRPr="00B713EE">
        <w:rPr>
          <w:rFonts w:eastAsia="SimSun"/>
          <w:i/>
        </w:rPr>
        <w:tab/>
      </w:r>
      <w:r w:rsidR="00CD04C1" w:rsidRPr="00B713EE">
        <w:rPr>
          <w:rFonts w:eastAsia="SimSun"/>
        </w:rPr>
        <w:t>ECE/TRANS/WP.29/2013/133/Rev.1</w:t>
      </w:r>
      <w:r w:rsidR="00A30ED3" w:rsidRPr="00B713EE">
        <w:rPr>
          <w:rFonts w:eastAsia="SimSun"/>
        </w:rPr>
        <w:t> ;</w:t>
      </w:r>
      <w:r w:rsidR="00223DA6" w:rsidRPr="00B713EE">
        <w:rPr>
          <w:rFonts w:eastAsia="SimSun"/>
        </w:rPr>
        <w:br/>
      </w:r>
      <w:r w:rsidR="00CD04C1" w:rsidRPr="00B713EE">
        <w:rPr>
          <w:rFonts w:eastAsia="SimSun"/>
        </w:rPr>
        <w:tab/>
        <w:t>ECE/TRANS/WP.29/2016/88</w:t>
      </w:r>
      <w:r w:rsidR="00223DA6" w:rsidRPr="00B713EE">
        <w:rPr>
          <w:rFonts w:eastAsia="SimSun"/>
        </w:rPr>
        <w:t xml:space="preserve"> ; </w:t>
      </w:r>
      <w:r w:rsidR="00223DA6" w:rsidRPr="00B713EE">
        <w:rPr>
          <w:rFonts w:eastAsia="SimSun"/>
        </w:rPr>
        <w:br/>
      </w:r>
      <w:r w:rsidR="00CD04C1" w:rsidRPr="00B713EE">
        <w:rPr>
          <w:rFonts w:eastAsia="SimSun"/>
        </w:rPr>
        <w:t>ECE/TRANS/WP.29/2017/48</w:t>
      </w:r>
      <w:r w:rsidR="00223DA6" w:rsidRPr="00B713EE">
        <w:rPr>
          <w:rFonts w:eastAsia="SimSun"/>
        </w:rPr>
        <w:t xml:space="preserve"> ; </w:t>
      </w:r>
      <w:r w:rsidR="00223DA6" w:rsidRPr="00B713EE">
        <w:rPr>
          <w:rFonts w:eastAsia="SimSun"/>
        </w:rPr>
        <w:br/>
      </w:r>
      <w:r w:rsidR="00CD04C1" w:rsidRPr="00B713EE">
        <w:rPr>
          <w:rFonts w:eastAsia="SimSun"/>
          <w:spacing w:val="-2"/>
        </w:rPr>
        <w:t>Documents informels WP.29-171-17, WP.29-171-18 et WP.29-171-19</w:t>
      </w:r>
      <w:r w:rsidR="00223DA6" w:rsidRPr="00B713EE">
        <w:rPr>
          <w:rFonts w:eastAsia="SimSun"/>
          <w:spacing w:val="-2"/>
        </w:rPr>
        <w:t>.</w:t>
      </w:r>
    </w:p>
    <w:p w:rsidR="00CD04C1" w:rsidRPr="00B713EE" w:rsidRDefault="00CD04C1" w:rsidP="00844FD4">
      <w:pPr>
        <w:pStyle w:val="ParNoG"/>
        <w:tabs>
          <w:tab w:val="clear" w:pos="1701"/>
        </w:tabs>
        <w:rPr>
          <w:rFonts w:eastAsia="SimSun"/>
        </w:rPr>
      </w:pPr>
      <w:r w:rsidRPr="00B713EE">
        <w:rPr>
          <w:rFonts w:eastAsia="SimSun"/>
        </w:rPr>
        <w:t xml:space="preserve">Le représentant de la Fédération de Russie, Coprésident du groupe de travail informel du contrôle technique périodique, a informé le Forum mondial des faits nouveaux concernant les travaux du groupe. Il a présenté le document ECE/TRANS/WP.29/2017/47 modifiant le </w:t>
      </w:r>
      <w:r w:rsidRPr="00B713EE">
        <w:rPr>
          <w:rFonts w:eastAsia="SimSun"/>
          <w:spacing w:val="-3"/>
        </w:rPr>
        <w:t xml:space="preserve">document ECE/TRANS/WP.29/2016/87, ainsi que </w:t>
      </w:r>
      <w:r w:rsidR="000F7ED0" w:rsidRPr="00B713EE">
        <w:rPr>
          <w:rFonts w:eastAsia="SimSun"/>
          <w:spacing w:val="-3"/>
        </w:rPr>
        <w:t>le document ECE/TRANS/WP.29/</w:t>
      </w:r>
      <w:r w:rsidRPr="00B713EE">
        <w:rPr>
          <w:rFonts w:eastAsia="SimSun"/>
          <w:spacing w:val="-3"/>
        </w:rPr>
        <w:t>2017/48</w:t>
      </w:r>
      <w:r w:rsidRPr="00B713EE">
        <w:rPr>
          <w:rFonts w:eastAsia="SimSun"/>
        </w:rPr>
        <w:t xml:space="preserve"> modifiant le document ECE/TRANS/WP.29/2016/88.</w:t>
      </w:r>
    </w:p>
    <w:p w:rsidR="00CD04C1" w:rsidRPr="00B713EE" w:rsidRDefault="00CD04C1" w:rsidP="00844FD4">
      <w:pPr>
        <w:pStyle w:val="ParNoG"/>
        <w:tabs>
          <w:tab w:val="clear" w:pos="1701"/>
        </w:tabs>
        <w:rPr>
          <w:rFonts w:eastAsia="SimSun"/>
        </w:rPr>
      </w:pPr>
      <w:r w:rsidRPr="00B713EE">
        <w:rPr>
          <w:rFonts w:eastAsia="SimSun"/>
        </w:rPr>
        <w:t>Le Forum mondial a examiné les projets d</w:t>
      </w:r>
      <w:r w:rsidR="007C2F80">
        <w:rPr>
          <w:rFonts w:eastAsia="SimSun"/>
        </w:rPr>
        <w:t>’</w:t>
      </w:r>
      <w:r w:rsidRPr="00B713EE">
        <w:rPr>
          <w:rFonts w:eastAsia="SimSun"/>
        </w:rPr>
        <w:t>amendements et a recommandé qu</w:t>
      </w:r>
      <w:r w:rsidR="007C2F80">
        <w:rPr>
          <w:rFonts w:eastAsia="SimSun"/>
        </w:rPr>
        <w:t>’</w:t>
      </w:r>
      <w:r w:rsidRPr="00B713EE">
        <w:rPr>
          <w:rFonts w:eastAsia="SimSun"/>
        </w:rPr>
        <w:t>ils soient soum</w:t>
      </w:r>
      <w:r w:rsidR="00897D46">
        <w:rPr>
          <w:rFonts w:eastAsia="SimSun"/>
        </w:rPr>
        <w:t>is à l</w:t>
      </w:r>
      <w:r w:rsidR="007C2F80">
        <w:rPr>
          <w:rFonts w:eastAsia="SimSun"/>
        </w:rPr>
        <w:t>’</w:t>
      </w:r>
      <w:r w:rsidR="00897D46">
        <w:rPr>
          <w:rFonts w:eastAsia="SimSun"/>
        </w:rPr>
        <w:t>AC.4 pour mise aux voix.</w:t>
      </w:r>
    </w:p>
    <w:p w:rsidR="00CD04C1" w:rsidRPr="00B713EE" w:rsidRDefault="00CD04C1" w:rsidP="00844FD4">
      <w:pPr>
        <w:pStyle w:val="ParNoG"/>
        <w:tabs>
          <w:tab w:val="clear" w:pos="1701"/>
        </w:tabs>
        <w:rPr>
          <w:rFonts w:eastAsia="SimSun"/>
        </w:rPr>
      </w:pPr>
      <w:r w:rsidRPr="00B713EE">
        <w:rPr>
          <w:rFonts w:eastAsia="SimSun"/>
        </w:rPr>
        <w:t>Le Coprésident a rappelé que le mandat du groupe de travail informel s</w:t>
      </w:r>
      <w:r w:rsidR="007C2F80">
        <w:rPr>
          <w:rFonts w:eastAsia="SimSun"/>
        </w:rPr>
        <w:t>’</w:t>
      </w:r>
      <w:r w:rsidRPr="00B713EE">
        <w:rPr>
          <w:rFonts w:eastAsia="SimSun"/>
        </w:rPr>
        <w:t>achevait à la fin de l</w:t>
      </w:r>
      <w:r w:rsidR="007C2F80">
        <w:rPr>
          <w:rFonts w:eastAsia="SimSun"/>
        </w:rPr>
        <w:t>’</w:t>
      </w:r>
      <w:r w:rsidRPr="00B713EE">
        <w:rPr>
          <w:rFonts w:eastAsia="SimSun"/>
        </w:rPr>
        <w:t>année 2017. Il a consulté le WP.29 au sujet de l</w:t>
      </w:r>
      <w:r w:rsidR="007C2F80">
        <w:rPr>
          <w:rFonts w:eastAsia="SimSun"/>
        </w:rPr>
        <w:t>’</w:t>
      </w:r>
      <w:r w:rsidRPr="00B713EE">
        <w:rPr>
          <w:rFonts w:eastAsia="SimSun"/>
        </w:rPr>
        <w:t>avenir du groupe et a proposé d</w:t>
      </w:r>
      <w:r w:rsidR="007C2F80">
        <w:rPr>
          <w:rFonts w:eastAsia="SimSun"/>
        </w:rPr>
        <w:t>’</w:t>
      </w:r>
      <w:r w:rsidRPr="00B713EE">
        <w:rPr>
          <w:rFonts w:eastAsia="SimSun"/>
        </w:rPr>
        <w:t>établir un groupe de travail chargé du</w:t>
      </w:r>
      <w:r w:rsidR="00897D46">
        <w:rPr>
          <w:rFonts w:eastAsia="SimSun"/>
        </w:rPr>
        <w:t xml:space="preserve"> contrôle technique périodique.</w:t>
      </w:r>
    </w:p>
    <w:p w:rsidR="00CD04C1" w:rsidRPr="00B713EE" w:rsidRDefault="00CD04C1" w:rsidP="00844FD4">
      <w:pPr>
        <w:pStyle w:val="ParNoG"/>
        <w:tabs>
          <w:tab w:val="clear" w:pos="1701"/>
        </w:tabs>
        <w:rPr>
          <w:rFonts w:eastAsia="SimSun"/>
        </w:rPr>
      </w:pPr>
      <w:r w:rsidRPr="00B713EE">
        <w:rPr>
          <w:rFonts w:eastAsia="SimSun"/>
        </w:rPr>
        <w:t>Le secrétariat a rappelé que toute nouvelle activité ou tout nouveau groupe de travail au sein du Forum mondial nécessiterait des ressources.</w:t>
      </w:r>
      <w:r w:rsidRPr="00B713EE">
        <w:rPr>
          <w:rFonts w:ascii="Segoe UI" w:hAnsi="Segoe UI" w:cs="Segoe UI"/>
        </w:rPr>
        <w:t xml:space="preserve"> </w:t>
      </w:r>
      <w:r w:rsidRPr="00B713EE">
        <w:rPr>
          <w:rFonts w:eastAsia="SimSun"/>
        </w:rPr>
        <w:t>Compte tenu des restrictions budgétaires actuelles et de la tendance générale des dernières années à réduire les budgets de façon répétée, le secrétariat a indiqué qu</w:t>
      </w:r>
      <w:r w:rsidR="007C2F80">
        <w:rPr>
          <w:rFonts w:eastAsia="SimSun"/>
        </w:rPr>
        <w:t>’</w:t>
      </w:r>
      <w:r w:rsidRPr="00B713EE">
        <w:rPr>
          <w:rFonts w:eastAsia="SimSun"/>
        </w:rPr>
        <w:t>il ne serait pas raisonnable de s</w:t>
      </w:r>
      <w:r w:rsidR="007C2F80">
        <w:rPr>
          <w:rFonts w:eastAsia="SimSun"/>
        </w:rPr>
        <w:t>’</w:t>
      </w:r>
      <w:r w:rsidRPr="00B713EE">
        <w:rPr>
          <w:rFonts w:eastAsia="SimSun"/>
        </w:rPr>
        <w:t>attendre à ce que des ressources supplémentaires soient mises à disposition pour un nouveau groupe</w:t>
      </w:r>
      <w:r w:rsidR="00897D46">
        <w:rPr>
          <w:rFonts w:eastAsia="SimSun"/>
        </w:rPr>
        <w:t xml:space="preserve"> de travail relevant du WP.29. </w:t>
      </w:r>
      <w:r w:rsidRPr="00B713EE">
        <w:rPr>
          <w:rFonts w:eastAsia="SimSun"/>
        </w:rPr>
        <w:t>Il a donc suggéré au WP.29 d</w:t>
      </w:r>
      <w:r w:rsidR="007C2F80">
        <w:rPr>
          <w:rFonts w:eastAsia="SimSun"/>
        </w:rPr>
        <w:t>’</w:t>
      </w:r>
      <w:r w:rsidRPr="00B713EE">
        <w:rPr>
          <w:rFonts w:eastAsia="SimSun"/>
        </w:rPr>
        <w:t>envisager de récupérer des ressources allouées à d</w:t>
      </w:r>
      <w:r w:rsidR="007C2F80">
        <w:rPr>
          <w:rFonts w:eastAsia="SimSun"/>
        </w:rPr>
        <w:t>’</w:t>
      </w:r>
      <w:r w:rsidRPr="00B713EE">
        <w:rPr>
          <w:rFonts w:eastAsia="SimSun"/>
        </w:rPr>
        <w:t>autres groupes s</w:t>
      </w:r>
      <w:r w:rsidR="007C2F80">
        <w:rPr>
          <w:rFonts w:eastAsia="SimSun"/>
        </w:rPr>
        <w:t>’</w:t>
      </w:r>
      <w:r w:rsidRPr="00B713EE">
        <w:rPr>
          <w:rFonts w:eastAsia="SimSun"/>
        </w:rPr>
        <w:t>il décidait d</w:t>
      </w:r>
      <w:r w:rsidR="007C2F80">
        <w:rPr>
          <w:rFonts w:eastAsia="SimSun"/>
        </w:rPr>
        <w:t>’</w:t>
      </w:r>
      <w:r w:rsidRPr="00B713EE">
        <w:rPr>
          <w:rFonts w:eastAsia="SimSun"/>
        </w:rPr>
        <w:t>établir un nouveau groupe de travail chargé du contrôle technique périodique.</w:t>
      </w:r>
    </w:p>
    <w:p w:rsidR="00CD04C1" w:rsidRPr="00743036" w:rsidRDefault="00CD04C1" w:rsidP="00A9494A">
      <w:pPr>
        <w:pStyle w:val="ParNoG"/>
        <w:tabs>
          <w:tab w:val="clear" w:pos="1701"/>
        </w:tabs>
        <w:rPr>
          <w:rFonts w:eastAsia="SimSun"/>
          <w:spacing w:val="-3"/>
        </w:rPr>
      </w:pPr>
      <w:r w:rsidRPr="00743036">
        <w:rPr>
          <w:rFonts w:eastAsia="SimSun"/>
          <w:spacing w:val="-3"/>
        </w:rPr>
        <w:t>Le représentant de la Finlande a fait observer que l</w:t>
      </w:r>
      <w:r w:rsidR="007C2F80">
        <w:rPr>
          <w:rFonts w:eastAsia="SimSun"/>
          <w:spacing w:val="-3"/>
        </w:rPr>
        <w:t>’</w:t>
      </w:r>
      <w:r w:rsidRPr="00743036">
        <w:rPr>
          <w:rFonts w:eastAsia="SimSun"/>
          <w:spacing w:val="-3"/>
        </w:rPr>
        <w:t>idée de l</w:t>
      </w:r>
      <w:r w:rsidR="007C2F80">
        <w:rPr>
          <w:rFonts w:eastAsia="SimSun"/>
          <w:spacing w:val="-3"/>
        </w:rPr>
        <w:t>’</w:t>
      </w:r>
      <w:r w:rsidRPr="00743036">
        <w:rPr>
          <w:rFonts w:eastAsia="SimSun"/>
          <w:spacing w:val="-3"/>
        </w:rPr>
        <w:t>établissement d</w:t>
      </w:r>
      <w:r w:rsidR="007C2F80">
        <w:rPr>
          <w:rFonts w:eastAsia="SimSun"/>
          <w:spacing w:val="-3"/>
        </w:rPr>
        <w:t>’</w:t>
      </w:r>
      <w:r w:rsidRPr="00743036">
        <w:rPr>
          <w:rFonts w:eastAsia="SimSun"/>
          <w:spacing w:val="-3"/>
        </w:rPr>
        <w:t>un nouveau groupe de travail serait compréhensible si le contrôle technique périodique devait occuper une place plus importante au sein du WP.29. Il a suggéré qu</w:t>
      </w:r>
      <w:r w:rsidR="007C2F80">
        <w:rPr>
          <w:rFonts w:eastAsia="SimSun"/>
          <w:spacing w:val="-3"/>
        </w:rPr>
        <w:t>’</w:t>
      </w:r>
      <w:r w:rsidRPr="00743036">
        <w:rPr>
          <w:rFonts w:eastAsia="SimSun"/>
          <w:spacing w:val="-3"/>
        </w:rPr>
        <w:t>une autre proposition soit faite et a évoqué des discussions en cours avec le représentant de la Suède et les Coprésidents du groupe de travail informel. Il a ajouté que les résultats de ces consultations pourraient vraisemblablement être portés à l</w:t>
      </w:r>
      <w:r w:rsidR="007C2F80">
        <w:rPr>
          <w:rFonts w:eastAsia="SimSun"/>
          <w:spacing w:val="-3"/>
        </w:rPr>
        <w:t>’</w:t>
      </w:r>
      <w:r w:rsidRPr="00743036">
        <w:rPr>
          <w:rFonts w:eastAsia="SimSun"/>
          <w:spacing w:val="-3"/>
        </w:rPr>
        <w:t>attention des délégués à la prochaine session du Forum mondial.</w:t>
      </w:r>
    </w:p>
    <w:p w:rsidR="00CD04C1" w:rsidRPr="00B713EE" w:rsidRDefault="00CD04C1" w:rsidP="00756B89">
      <w:pPr>
        <w:pStyle w:val="H1G"/>
        <w:rPr>
          <w:rFonts w:eastAsia="SimSun"/>
        </w:rPr>
      </w:pPr>
      <w:r w:rsidRPr="00B713EE">
        <w:rPr>
          <w:rFonts w:eastAsia="SimSun"/>
        </w:rPr>
        <w:tab/>
      </w:r>
      <w:bookmarkStart w:id="46" w:name="_Toc478663144"/>
      <w:r w:rsidRPr="00B713EE">
        <w:rPr>
          <w:rFonts w:eastAsia="SimSun"/>
        </w:rPr>
        <w:t>C.</w:t>
      </w:r>
      <w:r w:rsidRPr="00B713EE">
        <w:rPr>
          <w:rFonts w:eastAsia="SimSun"/>
        </w:rPr>
        <w:tab/>
        <w:t>Élaboration de prescriptions applicables au matériel d</w:t>
      </w:r>
      <w:r w:rsidR="007C2F80">
        <w:rPr>
          <w:rFonts w:eastAsia="SimSun"/>
        </w:rPr>
        <w:t>’</w:t>
      </w:r>
      <w:r w:rsidRPr="00B713EE">
        <w:rPr>
          <w:rFonts w:eastAsia="SimSun"/>
        </w:rPr>
        <w:t xml:space="preserve">essai, </w:t>
      </w:r>
      <w:r w:rsidR="00756B89" w:rsidRPr="00B713EE">
        <w:rPr>
          <w:rFonts w:eastAsia="SimSun"/>
        </w:rPr>
        <w:br/>
      </w:r>
      <w:r w:rsidRPr="00B713EE">
        <w:rPr>
          <w:rFonts w:eastAsia="SimSun"/>
        </w:rPr>
        <w:t xml:space="preserve">aux qualifications et à la formation des inspecteurs ainsi </w:t>
      </w:r>
      <w:r w:rsidR="00756B89" w:rsidRPr="00B713EE">
        <w:rPr>
          <w:rFonts w:eastAsia="SimSun"/>
        </w:rPr>
        <w:br/>
      </w:r>
      <w:r w:rsidRPr="00B713EE">
        <w:rPr>
          <w:rFonts w:eastAsia="SimSun"/>
        </w:rPr>
        <w:t>qu</w:t>
      </w:r>
      <w:r w:rsidR="007C2F80">
        <w:rPr>
          <w:rFonts w:eastAsia="SimSun"/>
        </w:rPr>
        <w:t>’</w:t>
      </w:r>
      <w:r w:rsidRPr="00B713EE">
        <w:rPr>
          <w:rFonts w:eastAsia="SimSun"/>
        </w:rPr>
        <w:t>à la supervision des centres d</w:t>
      </w:r>
      <w:r w:rsidR="007C2F80">
        <w:rPr>
          <w:rFonts w:eastAsia="SimSun"/>
        </w:rPr>
        <w:t>’</w:t>
      </w:r>
      <w:r w:rsidRPr="00B713EE">
        <w:rPr>
          <w:rFonts w:eastAsia="SimSun"/>
        </w:rPr>
        <w:t>essai (point 7.3 de l</w:t>
      </w:r>
      <w:r w:rsidR="007C2F80">
        <w:rPr>
          <w:rFonts w:eastAsia="SimSun"/>
        </w:rPr>
        <w:t>’</w:t>
      </w:r>
      <w:r w:rsidRPr="00B713EE">
        <w:rPr>
          <w:rFonts w:eastAsia="SimSun"/>
        </w:rPr>
        <w:t>ordre du jour)</w:t>
      </w:r>
      <w:bookmarkEnd w:id="46"/>
    </w:p>
    <w:p w:rsidR="00CD04C1" w:rsidRPr="00B713EE" w:rsidRDefault="001F7EFD" w:rsidP="00223DA6">
      <w:pPr>
        <w:pStyle w:val="SingleTxtG"/>
        <w:ind w:left="2835" w:hanging="1701"/>
        <w:jc w:val="left"/>
        <w:rPr>
          <w:rFonts w:eastAsia="SimSun"/>
        </w:rPr>
      </w:pPr>
      <w:r w:rsidRPr="00B713EE">
        <w:rPr>
          <w:rFonts w:eastAsia="SimSun"/>
          <w:i/>
        </w:rPr>
        <w:t>Document(s)</w:t>
      </w:r>
      <w:r w:rsidRPr="00B713EE">
        <w:rPr>
          <w:rFonts w:eastAsia="SimSun"/>
        </w:rPr>
        <w:t> :</w:t>
      </w:r>
      <w:r w:rsidR="00CD04C1" w:rsidRPr="00B713EE">
        <w:rPr>
          <w:rFonts w:eastAsia="SimSun"/>
        </w:rPr>
        <w:tab/>
        <w:t>ECE/TRANS/WP.29/2017/49</w:t>
      </w:r>
      <w:r w:rsidR="00223DA6" w:rsidRPr="00B713EE">
        <w:rPr>
          <w:rFonts w:eastAsia="SimSun"/>
        </w:rPr>
        <w:t xml:space="preserve"> ; </w:t>
      </w:r>
      <w:r w:rsidR="00223DA6" w:rsidRPr="00B713EE">
        <w:rPr>
          <w:rFonts w:eastAsia="SimSun"/>
        </w:rPr>
        <w:br/>
      </w:r>
      <w:r w:rsidR="00CD04C1" w:rsidRPr="00B713EE">
        <w:rPr>
          <w:rFonts w:eastAsia="SimSun"/>
        </w:rPr>
        <w:t>ECE/TRANS/WP.29/2017/50</w:t>
      </w:r>
      <w:r w:rsidR="00223DA6" w:rsidRPr="00B713EE">
        <w:rPr>
          <w:rFonts w:eastAsia="SimSun"/>
        </w:rPr>
        <w:t xml:space="preserve"> ; </w:t>
      </w:r>
      <w:r w:rsidR="00223DA6" w:rsidRPr="00B713EE">
        <w:rPr>
          <w:rFonts w:eastAsia="SimSun"/>
        </w:rPr>
        <w:br/>
      </w:r>
      <w:r w:rsidR="00CD04C1" w:rsidRPr="00B713EE">
        <w:rPr>
          <w:rFonts w:eastAsia="SimSun"/>
        </w:rPr>
        <w:t>Documents informels WP.29-171-20 et WP.29-171-21</w:t>
      </w:r>
      <w:r w:rsidR="00223DA6" w:rsidRPr="00B713EE">
        <w:rPr>
          <w:rFonts w:eastAsia="SimSun"/>
        </w:rPr>
        <w:t>.</w:t>
      </w:r>
    </w:p>
    <w:p w:rsidR="00CD04C1" w:rsidRPr="00B713EE" w:rsidRDefault="00CD04C1" w:rsidP="00A9494A">
      <w:pPr>
        <w:pStyle w:val="ParNoG"/>
        <w:tabs>
          <w:tab w:val="clear" w:pos="1701"/>
        </w:tabs>
        <w:rPr>
          <w:rFonts w:eastAsia="SimSun"/>
        </w:rPr>
      </w:pPr>
      <w:r w:rsidRPr="00B713EE">
        <w:rPr>
          <w:rFonts w:eastAsia="SimSun"/>
        </w:rPr>
        <w:t>Le représentant de la Fédération de Russie, Coprésident du groupe de travail informel du contrôle technique périodique, a présen</w:t>
      </w:r>
      <w:r w:rsidR="00897D46">
        <w:rPr>
          <w:rFonts w:eastAsia="SimSun"/>
        </w:rPr>
        <w:t>té le document ECE/TRANS/WP.29/</w:t>
      </w:r>
      <w:r w:rsidRPr="00B713EE">
        <w:rPr>
          <w:rFonts w:eastAsia="SimSun"/>
        </w:rPr>
        <w:t>2017/49, tel que modifié par le document informel WP.29-171-20, qui propose des amendements à l</w:t>
      </w:r>
      <w:r w:rsidR="007C2F80">
        <w:rPr>
          <w:rFonts w:eastAsia="SimSun"/>
        </w:rPr>
        <w:t>’</w:t>
      </w:r>
      <w:r w:rsidRPr="00B713EE">
        <w:rPr>
          <w:rFonts w:eastAsia="SimSun"/>
        </w:rPr>
        <w:t>Accord de 1997 et le document ECE/TRANS/WP.29/2017/50, contenant un projet de résolution sur les exigences relatives au matériel d</w:t>
      </w:r>
      <w:r w:rsidR="007C2F80">
        <w:rPr>
          <w:rFonts w:eastAsia="SimSun"/>
        </w:rPr>
        <w:t>’</w:t>
      </w:r>
      <w:r w:rsidRPr="00B713EE">
        <w:rPr>
          <w:rFonts w:eastAsia="SimSun"/>
        </w:rPr>
        <w:t>essai, aux qualifications et à la formation des inspecteurs et à la supervision des centres d</w:t>
      </w:r>
      <w:r w:rsidR="007C2F80">
        <w:rPr>
          <w:rFonts w:eastAsia="SimSun"/>
        </w:rPr>
        <w:t>’</w:t>
      </w:r>
      <w:r w:rsidRPr="00B713EE">
        <w:rPr>
          <w:rFonts w:eastAsia="SimSun"/>
        </w:rPr>
        <w:t xml:space="preserve">essai. </w:t>
      </w:r>
    </w:p>
    <w:p w:rsidR="00CD04C1" w:rsidRPr="00B713EE" w:rsidRDefault="00CD04C1" w:rsidP="00A9494A">
      <w:pPr>
        <w:pStyle w:val="ParNoG"/>
        <w:tabs>
          <w:tab w:val="clear" w:pos="1701"/>
        </w:tabs>
        <w:rPr>
          <w:rFonts w:eastAsia="SimSun"/>
        </w:rPr>
      </w:pPr>
      <w:r w:rsidRPr="00B713EE">
        <w:rPr>
          <w:rFonts w:eastAsia="SimSun"/>
        </w:rPr>
        <w:t>S</w:t>
      </w:r>
      <w:r w:rsidR="007C2F80">
        <w:rPr>
          <w:rFonts w:eastAsia="SimSun"/>
        </w:rPr>
        <w:t>’</w:t>
      </w:r>
      <w:r w:rsidRPr="00B713EE">
        <w:rPr>
          <w:rFonts w:eastAsia="SimSun"/>
        </w:rPr>
        <w:t>agissant des propositions d</w:t>
      </w:r>
      <w:r w:rsidR="007C2F80">
        <w:rPr>
          <w:rFonts w:eastAsia="SimSun"/>
        </w:rPr>
        <w:t>’</w:t>
      </w:r>
      <w:r w:rsidRPr="00B713EE">
        <w:rPr>
          <w:rFonts w:eastAsia="SimSun"/>
        </w:rPr>
        <w:t>amendements à l</w:t>
      </w:r>
      <w:r w:rsidR="007C2F80">
        <w:rPr>
          <w:rFonts w:eastAsia="SimSun"/>
        </w:rPr>
        <w:t>’</w:t>
      </w:r>
      <w:r w:rsidRPr="00B713EE">
        <w:rPr>
          <w:rFonts w:eastAsia="SimSun"/>
        </w:rPr>
        <w:t>Accord de 1997, le WP.29 a décidé que le secrétariat établirait un document de synthèse contenant tous les amendements pertinents et que le Forum mondial procéderait à son examen à sa 172</w:t>
      </w:r>
      <w:r w:rsidRPr="00B713EE">
        <w:rPr>
          <w:rFonts w:eastAsia="SimSun"/>
          <w:vertAlign w:val="superscript"/>
        </w:rPr>
        <w:t>e</w:t>
      </w:r>
      <w:r w:rsidRPr="00B713EE">
        <w:rPr>
          <w:rFonts w:eastAsia="SimSun"/>
        </w:rPr>
        <w:t> session, en juin 2017. Le Coprésident a posé la question de savoir si une Partie contractante serait disposée à soumettre ces propositions au Secrétaire général des Nations Unies. Le représentant de la Fédération de Russie a répondu positivement en ajoutant qu</w:t>
      </w:r>
      <w:r w:rsidR="007C2F80">
        <w:rPr>
          <w:rFonts w:eastAsia="SimSun"/>
        </w:rPr>
        <w:t>’</w:t>
      </w:r>
      <w:r w:rsidRPr="00B713EE">
        <w:rPr>
          <w:rFonts w:eastAsia="SimSun"/>
        </w:rPr>
        <w:t>il envisageait qu</w:t>
      </w:r>
      <w:r w:rsidR="007C2F80">
        <w:rPr>
          <w:rFonts w:eastAsia="SimSun"/>
        </w:rPr>
        <w:t>’</w:t>
      </w:r>
      <w:r w:rsidRPr="00B713EE">
        <w:rPr>
          <w:rFonts w:eastAsia="SimSun"/>
        </w:rPr>
        <w:t>un groupe constitué de plusieurs Parties contractantes soumette les propositions d</w:t>
      </w:r>
      <w:r w:rsidR="007C2F80">
        <w:rPr>
          <w:rFonts w:eastAsia="SimSun"/>
        </w:rPr>
        <w:t>’</w:t>
      </w:r>
      <w:r w:rsidRPr="00B713EE">
        <w:rPr>
          <w:rFonts w:eastAsia="SimSun"/>
        </w:rPr>
        <w:t>amendements.</w:t>
      </w:r>
    </w:p>
    <w:p w:rsidR="00CD04C1" w:rsidRPr="00B713EE" w:rsidRDefault="00CD04C1" w:rsidP="00A9494A">
      <w:pPr>
        <w:pStyle w:val="ParNoG"/>
        <w:tabs>
          <w:tab w:val="clear" w:pos="1701"/>
        </w:tabs>
        <w:rPr>
          <w:rFonts w:eastAsia="SimSun"/>
        </w:rPr>
      </w:pPr>
      <w:r w:rsidRPr="00B713EE">
        <w:rPr>
          <w:rFonts w:eastAsia="SimSun"/>
        </w:rPr>
        <w:t>Le Forum mondial a adopté le document ECE/TRANS/WP.29/2017/50 contenant un projet de résolution sur les exigences relatives au matériel d</w:t>
      </w:r>
      <w:r w:rsidR="007C2F80">
        <w:rPr>
          <w:rFonts w:eastAsia="SimSun"/>
        </w:rPr>
        <w:t>’</w:t>
      </w:r>
      <w:r w:rsidRPr="00B713EE">
        <w:rPr>
          <w:rFonts w:eastAsia="SimSun"/>
        </w:rPr>
        <w:t>essai, aux qualifications et à la formation des inspecteurs ainsi qu</w:t>
      </w:r>
      <w:r w:rsidR="007C2F80">
        <w:rPr>
          <w:rFonts w:eastAsia="SimSun"/>
        </w:rPr>
        <w:t>’</w:t>
      </w:r>
      <w:r w:rsidRPr="00B713EE">
        <w:rPr>
          <w:rFonts w:eastAsia="SimSun"/>
        </w:rPr>
        <w:t>à la supervision des centres d</w:t>
      </w:r>
      <w:r w:rsidR="007C2F80">
        <w:rPr>
          <w:rFonts w:eastAsia="SimSun"/>
        </w:rPr>
        <w:t>’</w:t>
      </w:r>
      <w:r w:rsidRPr="00B713EE">
        <w:rPr>
          <w:rFonts w:eastAsia="SimSun"/>
        </w:rPr>
        <w:t xml:space="preserve">essai. </w:t>
      </w:r>
    </w:p>
    <w:p w:rsidR="00CD04C1" w:rsidRPr="00B713EE" w:rsidRDefault="00CD04C1" w:rsidP="00A9494A">
      <w:pPr>
        <w:pStyle w:val="ParNoG"/>
        <w:tabs>
          <w:tab w:val="clear" w:pos="1701"/>
        </w:tabs>
      </w:pPr>
      <w:r w:rsidRPr="00B713EE">
        <w:rPr>
          <w:rFonts w:eastAsia="SimSun"/>
        </w:rPr>
        <w:t>Le WP.29 a pris note des progrès accomplis concernant le contrôle technique périodique des véhicules alimentés au gaz naturel comprimé (GNC) et au gaz naturel liquéfié (GNL) ainsi que des véhicules électriques. Il a prié le secrétariat de faire distribuer le document WP.29-171-21 sous une cote officielle à sa 172</w:t>
      </w:r>
      <w:r w:rsidRPr="00B713EE">
        <w:rPr>
          <w:rFonts w:eastAsia="SimSun"/>
          <w:vertAlign w:val="superscript"/>
        </w:rPr>
        <w:t>e</w:t>
      </w:r>
      <w:r w:rsidR="000F7ED0" w:rsidRPr="00B713EE">
        <w:rPr>
          <w:rFonts w:eastAsia="SimSun"/>
        </w:rPr>
        <w:t> </w:t>
      </w:r>
      <w:r w:rsidRPr="00B713EE">
        <w:rPr>
          <w:rFonts w:eastAsia="SimSun"/>
        </w:rPr>
        <w:t>session, en juin 2017.</w:t>
      </w:r>
    </w:p>
    <w:p w:rsidR="00CD04C1" w:rsidRPr="00B713EE" w:rsidRDefault="00CD04C1" w:rsidP="00756B89">
      <w:pPr>
        <w:pStyle w:val="HChG"/>
      </w:pPr>
      <w:r w:rsidRPr="00B713EE">
        <w:tab/>
      </w:r>
      <w:bookmarkStart w:id="47" w:name="_Toc478663145"/>
      <w:r w:rsidRPr="00B713EE">
        <w:t>X.</w:t>
      </w:r>
      <w:r w:rsidRPr="00B713EE">
        <w:tab/>
        <w:t>Questions diverses (point 8 de l</w:t>
      </w:r>
      <w:r w:rsidR="007C2F80">
        <w:t>’</w:t>
      </w:r>
      <w:r w:rsidRPr="00B713EE">
        <w:t>ordre du jour)</w:t>
      </w:r>
      <w:bookmarkEnd w:id="47"/>
    </w:p>
    <w:p w:rsidR="00CD04C1" w:rsidRPr="00B713EE" w:rsidRDefault="00CD04C1" w:rsidP="00756B89">
      <w:pPr>
        <w:pStyle w:val="H1G"/>
        <w:rPr>
          <w:rFonts w:eastAsia="SimSun"/>
        </w:rPr>
      </w:pPr>
      <w:r w:rsidRPr="00B713EE">
        <w:rPr>
          <w:rFonts w:eastAsia="SimSun"/>
        </w:rPr>
        <w:tab/>
      </w:r>
      <w:bookmarkStart w:id="48" w:name="_Toc478663146"/>
      <w:r w:rsidRPr="00B713EE">
        <w:rPr>
          <w:rFonts w:eastAsia="SimSun"/>
        </w:rPr>
        <w:t>A.</w:t>
      </w:r>
      <w:r w:rsidRPr="00B713EE">
        <w:rPr>
          <w:rFonts w:eastAsia="SimSun"/>
        </w:rPr>
        <w:tab/>
        <w:t>Échange d</w:t>
      </w:r>
      <w:r w:rsidR="007C2F80">
        <w:rPr>
          <w:rFonts w:eastAsia="SimSun"/>
        </w:rPr>
        <w:t>’</w:t>
      </w:r>
      <w:r w:rsidRPr="00B713EE">
        <w:rPr>
          <w:rFonts w:eastAsia="SimSun"/>
        </w:rPr>
        <w:t xml:space="preserve">informations sur les mesures appliquées en cas de défaut </w:t>
      </w:r>
      <w:r w:rsidR="00756B89" w:rsidRPr="00B713EE">
        <w:rPr>
          <w:rFonts w:eastAsia="SimSun"/>
        </w:rPr>
        <w:br/>
      </w:r>
      <w:r w:rsidRPr="00B713EE">
        <w:rPr>
          <w:rFonts w:eastAsia="SimSun"/>
        </w:rPr>
        <w:t xml:space="preserve">et de non-conformité, notamment les systèmes de rappel </w:t>
      </w:r>
      <w:r w:rsidR="00756B89" w:rsidRPr="00B713EE">
        <w:rPr>
          <w:rFonts w:eastAsia="SimSun"/>
        </w:rPr>
        <w:br/>
      </w:r>
      <w:r w:rsidRPr="00B713EE">
        <w:rPr>
          <w:rFonts w:eastAsia="SimSun"/>
        </w:rPr>
        <w:t>(point 8.1 de l</w:t>
      </w:r>
      <w:r w:rsidR="007C2F80">
        <w:rPr>
          <w:rFonts w:eastAsia="SimSun"/>
        </w:rPr>
        <w:t>’</w:t>
      </w:r>
      <w:r w:rsidRPr="00B713EE">
        <w:rPr>
          <w:rFonts w:eastAsia="SimSun"/>
        </w:rPr>
        <w:t>ordre du jour)</w:t>
      </w:r>
      <w:bookmarkEnd w:id="48"/>
    </w:p>
    <w:p w:rsidR="00CD04C1" w:rsidRPr="00B713EE" w:rsidRDefault="00CD04C1" w:rsidP="00A9494A">
      <w:pPr>
        <w:pStyle w:val="ParNoG"/>
        <w:tabs>
          <w:tab w:val="clear" w:pos="1701"/>
        </w:tabs>
        <w:rPr>
          <w:rFonts w:eastAsia="SimSun"/>
        </w:rPr>
      </w:pPr>
      <w:r w:rsidRPr="00B713EE">
        <w:rPr>
          <w:rFonts w:eastAsia="SimSun"/>
        </w:rPr>
        <w:t>Le représentant de la Fédération de Russie a donné au WP.29 des informations sur le système de rappel qui existe dans son pays. En 2016, environ 90 campagnes de rappel ont concerné plus d</w:t>
      </w:r>
      <w:r w:rsidR="007C2F80">
        <w:rPr>
          <w:rFonts w:eastAsia="SimSun"/>
        </w:rPr>
        <w:t>’</w:t>
      </w:r>
      <w:r w:rsidRPr="00B713EE">
        <w:rPr>
          <w:rFonts w:eastAsia="SimSun"/>
        </w:rPr>
        <w:t>un million d</w:t>
      </w:r>
      <w:r w:rsidR="007C2F80">
        <w:rPr>
          <w:rFonts w:eastAsia="SimSun"/>
        </w:rPr>
        <w:t>’</w:t>
      </w:r>
      <w:r w:rsidRPr="00B713EE">
        <w:rPr>
          <w:rFonts w:eastAsia="SimSun"/>
        </w:rPr>
        <w:t>automobiles. Depuis le</w:t>
      </w:r>
      <w:r w:rsidR="00897D46">
        <w:rPr>
          <w:rFonts w:eastAsia="SimSun"/>
        </w:rPr>
        <w:t xml:space="preserve"> début de 2017, ce sont 250 000 </w:t>
      </w:r>
      <w:r w:rsidRPr="00B713EE">
        <w:rPr>
          <w:rFonts w:eastAsia="SimSun"/>
        </w:rPr>
        <w:t>unités qui ont ét</w:t>
      </w:r>
      <w:r w:rsidR="002D0B1F">
        <w:rPr>
          <w:rFonts w:eastAsia="SimSun"/>
        </w:rPr>
        <w:t>é rappelées dans le cadre de 17 </w:t>
      </w:r>
      <w:r w:rsidRPr="00B713EE">
        <w:rPr>
          <w:rFonts w:eastAsia="SimSun"/>
        </w:rPr>
        <w:t>campagnes. Le représentant a aussi souligné qu</w:t>
      </w:r>
      <w:r w:rsidR="007C2F80">
        <w:rPr>
          <w:rFonts w:eastAsia="SimSun"/>
        </w:rPr>
        <w:t>’</w:t>
      </w:r>
      <w:r w:rsidRPr="00B713EE">
        <w:rPr>
          <w:rFonts w:eastAsia="SimSun"/>
        </w:rPr>
        <w:t>en vertu de l</w:t>
      </w:r>
      <w:r w:rsidR="007C2F80">
        <w:rPr>
          <w:rFonts w:eastAsia="SimSun"/>
        </w:rPr>
        <w:t>’</w:t>
      </w:r>
      <w:r w:rsidRPr="00B713EE">
        <w:rPr>
          <w:rFonts w:eastAsia="SimSun"/>
        </w:rPr>
        <w:t xml:space="preserve">amendement au Règlement </w:t>
      </w:r>
      <w:r w:rsidR="000F7ED0" w:rsidRPr="00B713EE">
        <w:rPr>
          <w:rFonts w:eastAsia="MS Mincho"/>
        </w:rPr>
        <w:t>n</w:t>
      </w:r>
      <w:r w:rsidR="000F7ED0" w:rsidRPr="00B713EE">
        <w:rPr>
          <w:rFonts w:eastAsia="MS Mincho"/>
          <w:vertAlign w:val="superscript"/>
        </w:rPr>
        <w:t>o</w:t>
      </w:r>
      <w:r w:rsidR="000F7ED0" w:rsidRPr="00B713EE">
        <w:rPr>
          <w:rFonts w:eastAsia="MS Mincho"/>
        </w:rPr>
        <w:t> </w:t>
      </w:r>
      <w:r w:rsidRPr="00B713EE">
        <w:rPr>
          <w:rFonts w:eastAsia="SimSun"/>
        </w:rPr>
        <w:t xml:space="preserve">44 adopté à la session de juin 2016, qui exclut les « sangles guides » de la définition des « dispositifs de retenue pour enfants », le fabricant de ces sangles a accepté le programme de rappel spécial adopté par les autorités de la Fédération de Russie et lancé en </w:t>
      </w:r>
      <w:r w:rsidR="00D77236">
        <w:rPr>
          <w:rFonts w:eastAsia="SimSun"/>
        </w:rPr>
        <w:t xml:space="preserve">janvier </w:t>
      </w:r>
      <w:r w:rsidRPr="00B713EE">
        <w:rPr>
          <w:rFonts w:eastAsia="SimSun"/>
        </w:rPr>
        <w:t xml:space="preserve">2017. </w:t>
      </w:r>
    </w:p>
    <w:p w:rsidR="00CD04C1" w:rsidRPr="00B713EE" w:rsidRDefault="00CD04C1" w:rsidP="00A9494A">
      <w:pPr>
        <w:pStyle w:val="ParNoG"/>
        <w:tabs>
          <w:tab w:val="clear" w:pos="1701"/>
        </w:tabs>
        <w:rPr>
          <w:rFonts w:eastAsia="SimSun"/>
        </w:rPr>
      </w:pPr>
      <w:r w:rsidRPr="00B713EE">
        <w:rPr>
          <w:rFonts w:eastAsia="SimSun"/>
        </w:rPr>
        <w:t>Le représentant de l</w:t>
      </w:r>
      <w:r w:rsidR="007C2F80">
        <w:rPr>
          <w:rFonts w:eastAsia="SimSun"/>
        </w:rPr>
        <w:t>’</w:t>
      </w:r>
      <w:r w:rsidRPr="00B713EE">
        <w:rPr>
          <w:rFonts w:eastAsia="SimSun"/>
        </w:rPr>
        <w:t>Union européenne a informé le WP.29 des mesures législatives, des activités d</w:t>
      </w:r>
      <w:r w:rsidR="007C2F80">
        <w:rPr>
          <w:rFonts w:eastAsia="SimSun"/>
        </w:rPr>
        <w:t>’</w:t>
      </w:r>
      <w:r w:rsidRPr="00B713EE">
        <w:rPr>
          <w:rFonts w:eastAsia="SimSun"/>
        </w:rPr>
        <w:t>application de la loi et des campagnes de rappel menées. L</w:t>
      </w:r>
      <w:r w:rsidR="007C2F80">
        <w:rPr>
          <w:rFonts w:eastAsia="SimSun"/>
        </w:rPr>
        <w:t>’</w:t>
      </w:r>
      <w:r w:rsidRPr="00B713EE">
        <w:rPr>
          <w:rFonts w:eastAsia="SimSun"/>
        </w:rPr>
        <w:t>année dernière et au début de cette année la Commission européenne a envoyé aux États membres plusieurs demandes de renseignements complémentaires concernant le suivi donné à leurs rapports d</w:t>
      </w:r>
      <w:r w:rsidR="007C2F80">
        <w:rPr>
          <w:rFonts w:eastAsia="SimSun"/>
        </w:rPr>
        <w:t>’</w:t>
      </w:r>
      <w:r w:rsidRPr="00B713EE">
        <w:rPr>
          <w:rFonts w:eastAsia="SimSun"/>
        </w:rPr>
        <w:t>enquête. Elle a aussi lancé plusieurs « pilotes de l</w:t>
      </w:r>
      <w:r w:rsidR="007C2F80">
        <w:rPr>
          <w:rFonts w:eastAsia="SimSun"/>
        </w:rPr>
        <w:t>’</w:t>
      </w:r>
      <w:r w:rsidRPr="00B713EE">
        <w:rPr>
          <w:rFonts w:eastAsia="SimSun"/>
        </w:rPr>
        <w:t>UE » (partie non</w:t>
      </w:r>
      <w:r w:rsidR="002D0B1F">
        <w:rPr>
          <w:rFonts w:eastAsia="SimSun"/>
        </w:rPr>
        <w:t xml:space="preserve"> </w:t>
      </w:r>
      <w:r w:rsidRPr="00B713EE">
        <w:rPr>
          <w:rFonts w:eastAsia="SimSun"/>
        </w:rPr>
        <w:t>contestée de la procédure d</w:t>
      </w:r>
      <w:r w:rsidR="007C2F80">
        <w:rPr>
          <w:rFonts w:eastAsia="SimSun"/>
        </w:rPr>
        <w:t>’</w:t>
      </w:r>
      <w:r w:rsidRPr="00B713EE">
        <w:rPr>
          <w:rFonts w:eastAsia="SimSun"/>
        </w:rPr>
        <w:t>infraction) aux États membres, pour demander des éclaircissements concernant la mise en œuvre des règles relatives aux sanctions prévues par le Règlement 2007/715 et la Directive 2007/46. Elle a adressé à plusieurs États membres des lettres de mise en demeure (procédure formelle d</w:t>
      </w:r>
      <w:r w:rsidR="007C2F80">
        <w:rPr>
          <w:rFonts w:eastAsia="SimSun"/>
        </w:rPr>
        <w:t>’</w:t>
      </w:r>
      <w:r w:rsidRPr="00B713EE">
        <w:rPr>
          <w:rFonts w:eastAsia="SimSun"/>
        </w:rPr>
        <w:t>infraction) visant les mesures correctives mises en œuvre en ce qui concerne les véhicules affectés par des dispositifs de manipulation illégaux. L</w:t>
      </w:r>
      <w:r w:rsidR="007C2F80">
        <w:rPr>
          <w:rFonts w:eastAsia="SimSun"/>
        </w:rPr>
        <w:t>’</w:t>
      </w:r>
      <w:r w:rsidRPr="00B713EE">
        <w:rPr>
          <w:rFonts w:eastAsia="SimSun"/>
        </w:rPr>
        <w:t>analyse des informations reçues est en cours. S</w:t>
      </w:r>
      <w:r w:rsidR="007C2F80">
        <w:rPr>
          <w:rFonts w:eastAsia="SimSun"/>
        </w:rPr>
        <w:t>’</w:t>
      </w:r>
      <w:r w:rsidRPr="00B713EE">
        <w:rPr>
          <w:rFonts w:eastAsia="SimSun"/>
        </w:rPr>
        <w:t>agissant des mesures l</w:t>
      </w:r>
      <w:r w:rsidR="002D0B1F">
        <w:rPr>
          <w:rFonts w:eastAsia="SimSun"/>
        </w:rPr>
        <w:t>égislatives, les règlements RDE 2 (NOx) et RDE </w:t>
      </w:r>
      <w:r w:rsidRPr="00B713EE">
        <w:rPr>
          <w:rFonts w:eastAsia="SimSun"/>
        </w:rPr>
        <w:t>3 (PM), qui concernent les émissions en conditions de conduite réelles</w:t>
      </w:r>
      <w:r w:rsidRPr="00B713EE">
        <w:t xml:space="preserve"> (</w:t>
      </w:r>
      <w:r w:rsidRPr="00B713EE">
        <w:rPr>
          <w:rFonts w:eastAsia="SimSun"/>
        </w:rPr>
        <w:t>Real Driving Emission), ont été adoptés (le RDE 2 est appli</w:t>
      </w:r>
      <w:r w:rsidR="002D0B1F">
        <w:rPr>
          <w:rFonts w:eastAsia="SimSun"/>
        </w:rPr>
        <w:t>cable depuis mai 2016 et le RDE </w:t>
      </w:r>
      <w:r w:rsidRPr="00B713EE">
        <w:rPr>
          <w:rFonts w:eastAsia="SimSun"/>
        </w:rPr>
        <w:t>3 est actuellement en cours d</w:t>
      </w:r>
      <w:r w:rsidR="007C2F80">
        <w:rPr>
          <w:rFonts w:eastAsia="SimSun"/>
        </w:rPr>
        <w:t>’</w:t>
      </w:r>
      <w:r w:rsidRPr="00B713EE">
        <w:rPr>
          <w:rFonts w:eastAsia="SimSun"/>
        </w:rPr>
        <w:t xml:space="preserve">examen par les colégislateurs). </w:t>
      </w:r>
      <w:r w:rsidR="000F7ED0" w:rsidRPr="00B713EE">
        <w:rPr>
          <w:rFonts w:eastAsia="SimSun"/>
        </w:rPr>
        <w:t>L</w:t>
      </w:r>
      <w:r w:rsidR="007C2F80">
        <w:rPr>
          <w:rFonts w:eastAsia="SimSun"/>
        </w:rPr>
        <w:t>’</w:t>
      </w:r>
      <w:r w:rsidR="000F7ED0" w:rsidRPr="00B713EE">
        <w:rPr>
          <w:rFonts w:eastAsia="SimSun"/>
        </w:rPr>
        <w:t>adoption de la RDE 4 − </w:t>
      </w:r>
      <w:r w:rsidRPr="00B713EE">
        <w:rPr>
          <w:rFonts w:eastAsia="SimSun"/>
        </w:rPr>
        <w:t>conformité en service</w:t>
      </w:r>
      <w:r w:rsidR="000F7ED0" w:rsidRPr="00B713EE">
        <w:rPr>
          <w:rFonts w:eastAsia="SimSun"/>
        </w:rPr>
        <w:t> −</w:t>
      </w:r>
      <w:r w:rsidRPr="00B713EE">
        <w:rPr>
          <w:rFonts w:eastAsia="SimSun"/>
        </w:rPr>
        <w:t xml:space="preserve"> est envisagée pour la fin de 2017. En outre, une réforme des règles d</w:t>
      </w:r>
      <w:r w:rsidR="007C2F80">
        <w:rPr>
          <w:rFonts w:eastAsia="SimSun"/>
        </w:rPr>
        <w:t>’</w:t>
      </w:r>
      <w:r w:rsidRPr="00B713EE">
        <w:rPr>
          <w:rFonts w:eastAsia="SimSun"/>
        </w:rPr>
        <w:t>homologation de type est en cours. Enfin, le représentant de l</w:t>
      </w:r>
      <w:r w:rsidR="007C2F80">
        <w:rPr>
          <w:rFonts w:eastAsia="SimSun"/>
        </w:rPr>
        <w:t>’</w:t>
      </w:r>
      <w:r w:rsidRPr="00B713EE">
        <w:rPr>
          <w:rFonts w:eastAsia="SimSun"/>
        </w:rPr>
        <w:t>Union européenne a</w:t>
      </w:r>
      <w:r w:rsidR="000F7ED0" w:rsidRPr="00B713EE">
        <w:rPr>
          <w:rFonts w:eastAsia="SimSun"/>
        </w:rPr>
        <w:t xml:space="preserve"> informé le WP.29 que 22 </w:t>
      </w:r>
      <w:r w:rsidRPr="00B713EE">
        <w:rPr>
          <w:rFonts w:eastAsia="SimSun"/>
        </w:rPr>
        <w:t>États membres avaient annoncé des opérations de rappel : quatre d</w:t>
      </w:r>
      <w:r w:rsidR="007C2F80">
        <w:rPr>
          <w:rFonts w:eastAsia="SimSun"/>
        </w:rPr>
        <w:t>’</w:t>
      </w:r>
      <w:r w:rsidRPr="00B713EE">
        <w:rPr>
          <w:rFonts w:eastAsia="SimSun"/>
        </w:rPr>
        <w:t xml:space="preserve">entre eux à titre obligatoire et les autres sur une base volontaire. </w:t>
      </w:r>
    </w:p>
    <w:p w:rsidR="00CD04C1" w:rsidRPr="00B713EE" w:rsidRDefault="00CD04C1" w:rsidP="00A9494A">
      <w:pPr>
        <w:pStyle w:val="ParNoG"/>
        <w:tabs>
          <w:tab w:val="clear" w:pos="1701"/>
        </w:tabs>
        <w:rPr>
          <w:rFonts w:eastAsia="SimSun"/>
        </w:rPr>
      </w:pPr>
      <w:r w:rsidRPr="00B713EE">
        <w:rPr>
          <w:rFonts w:eastAsia="SimSun"/>
        </w:rPr>
        <w:t>Le représentant des États-Unis d</w:t>
      </w:r>
      <w:r w:rsidR="007C2F80">
        <w:rPr>
          <w:rFonts w:eastAsia="SimSun"/>
        </w:rPr>
        <w:t>’</w:t>
      </w:r>
      <w:r w:rsidRPr="00B713EE">
        <w:rPr>
          <w:rFonts w:eastAsia="SimSun"/>
        </w:rPr>
        <w:t>Amérique a fait le point sur les activités en cours en matière d</w:t>
      </w:r>
      <w:r w:rsidR="007C2F80">
        <w:rPr>
          <w:rFonts w:eastAsia="SimSun"/>
        </w:rPr>
        <w:t>’</w:t>
      </w:r>
      <w:r w:rsidRPr="00B713EE">
        <w:rPr>
          <w:rFonts w:eastAsia="SimSun"/>
        </w:rPr>
        <w:t>application de la loi. Il a relevé plusieurs annonces récentes concernant divers aspects de l</w:t>
      </w:r>
      <w:r w:rsidR="007C2F80">
        <w:rPr>
          <w:rFonts w:eastAsia="SimSun"/>
        </w:rPr>
        <w:t>’</w:t>
      </w:r>
      <w:r w:rsidRPr="00B713EE">
        <w:rPr>
          <w:rFonts w:eastAsia="SimSun"/>
        </w:rPr>
        <w:t>affaire Volkswagen sur les plans criminel et civil, notamment au sujet de l</w:t>
      </w:r>
      <w:r w:rsidR="007C2F80">
        <w:rPr>
          <w:rFonts w:eastAsia="SimSun"/>
        </w:rPr>
        <w:t>’</w:t>
      </w:r>
      <w:r w:rsidRPr="00B713EE">
        <w:rPr>
          <w:rFonts w:eastAsia="SimSun"/>
        </w:rPr>
        <w:t>aide apportée aux consommateurs. Il a également noté qu</w:t>
      </w:r>
      <w:r w:rsidR="007C2F80">
        <w:rPr>
          <w:rFonts w:eastAsia="SimSun"/>
        </w:rPr>
        <w:t>’</w:t>
      </w:r>
      <w:r w:rsidRPr="00B713EE">
        <w:rPr>
          <w:rFonts w:eastAsia="SimSun"/>
        </w:rPr>
        <w:t>au début de cette année l</w:t>
      </w:r>
      <w:r w:rsidR="007C2F80">
        <w:rPr>
          <w:rFonts w:eastAsia="SimSun"/>
        </w:rPr>
        <w:t>’</w:t>
      </w:r>
      <w:r w:rsidRPr="00B713EE">
        <w:rPr>
          <w:rFonts w:eastAsia="SimSun"/>
        </w:rPr>
        <w:t>Agence de protection de l</w:t>
      </w:r>
      <w:r w:rsidR="007C2F80">
        <w:rPr>
          <w:rFonts w:eastAsia="SimSun"/>
        </w:rPr>
        <w:t>’</w:t>
      </w:r>
      <w:r w:rsidRPr="00B713EE">
        <w:rPr>
          <w:rFonts w:eastAsia="SimSun"/>
        </w:rPr>
        <w:t>environnement des États-Unis d</w:t>
      </w:r>
      <w:r w:rsidR="007C2F80">
        <w:rPr>
          <w:rFonts w:eastAsia="SimSun"/>
        </w:rPr>
        <w:t>’</w:t>
      </w:r>
      <w:r w:rsidRPr="00B713EE">
        <w:rPr>
          <w:rFonts w:eastAsia="SimSun"/>
        </w:rPr>
        <w:t>Amérique avait annoncé qu</w:t>
      </w:r>
      <w:r w:rsidR="007C2F80">
        <w:rPr>
          <w:rFonts w:eastAsia="SimSun"/>
        </w:rPr>
        <w:t>’</w:t>
      </w:r>
      <w:r w:rsidRPr="00B713EE">
        <w:rPr>
          <w:rFonts w:eastAsia="SimSun"/>
        </w:rPr>
        <w:t>elle enquêtait sur les activités de la FCA. Il a indiqué que ces activités étaient en cours et que des informations supplémentaires seraient communiquées au fur et à mesure de leur avancement.</w:t>
      </w:r>
    </w:p>
    <w:p w:rsidR="00CD04C1" w:rsidRPr="00B713EE" w:rsidRDefault="00CD04C1" w:rsidP="00A9494A">
      <w:pPr>
        <w:pStyle w:val="ParNoG"/>
        <w:tabs>
          <w:tab w:val="clear" w:pos="1701"/>
        </w:tabs>
        <w:rPr>
          <w:rFonts w:eastAsia="SimSun"/>
        </w:rPr>
      </w:pPr>
      <w:r w:rsidRPr="00B713EE">
        <w:rPr>
          <w:rFonts w:eastAsia="SimSun"/>
        </w:rPr>
        <w:t>Le représentant du Canada a fait le point des récents développements survenus au Canada en relation avec l</w:t>
      </w:r>
      <w:r w:rsidR="007C2F80">
        <w:rPr>
          <w:rFonts w:eastAsia="SimSun"/>
        </w:rPr>
        <w:t>’</w:t>
      </w:r>
      <w:r w:rsidRPr="00B713EE">
        <w:rPr>
          <w:rFonts w:eastAsia="SimSun"/>
        </w:rPr>
        <w:t>affaire Volkswagen. En décembre 2016, le Bureau fédéral de la concurrence du Canada a annoncé qu</w:t>
      </w:r>
      <w:r w:rsidR="007C2F80">
        <w:rPr>
          <w:rFonts w:eastAsia="SimSun"/>
        </w:rPr>
        <w:t>’</w:t>
      </w:r>
      <w:r w:rsidRPr="00B713EE">
        <w:rPr>
          <w:rFonts w:eastAsia="SimSun"/>
        </w:rPr>
        <w:t xml:space="preserve">il était parvenu à un accord avec le groupe Volkswagen Canada Inc. et avec Audi Canada Inc. à un accord qui prévoit une sanction financière de </w:t>
      </w:r>
      <w:r w:rsidR="000F7ED0" w:rsidRPr="00B713EE">
        <w:rPr>
          <w:rFonts w:eastAsia="SimSun"/>
        </w:rPr>
        <w:t>15 </w:t>
      </w:r>
      <w:r w:rsidRPr="00B713EE">
        <w:rPr>
          <w:rFonts w:eastAsia="SimSun"/>
        </w:rPr>
        <w:t>millions de dollars comme conséquence des conclusions du Bureau selon lesquelles une publicité mensongère a été utilisée pour promouv</w:t>
      </w:r>
      <w:r w:rsidR="000F7ED0" w:rsidRPr="00B713EE">
        <w:rPr>
          <w:rFonts w:eastAsia="SimSun"/>
        </w:rPr>
        <w:t>oir les véhicules diesel de 2,0 </w:t>
      </w:r>
      <w:r w:rsidRPr="00B713EE">
        <w:rPr>
          <w:rFonts w:eastAsia="SimSun"/>
        </w:rPr>
        <w:t>l concernés. Le Bureau fédéral de la concurrence a en outre participé à la convention de règlement d</w:t>
      </w:r>
      <w:r w:rsidR="007C2F80">
        <w:rPr>
          <w:rFonts w:eastAsia="SimSun"/>
        </w:rPr>
        <w:t>’</w:t>
      </w:r>
      <w:r w:rsidRPr="00B713EE">
        <w:rPr>
          <w:rFonts w:eastAsia="SimSun"/>
        </w:rPr>
        <w:t>un recours collectif conclue avec des consommateurs, qui prévoit que Volkswagen rachètera ou réparera les véhicules diesel de 2,</w:t>
      </w:r>
      <w:r w:rsidR="000F7ED0" w:rsidRPr="00B713EE">
        <w:rPr>
          <w:rFonts w:eastAsia="SimSun"/>
        </w:rPr>
        <w:t>0 </w:t>
      </w:r>
      <w:r w:rsidRPr="00B713EE">
        <w:rPr>
          <w:rFonts w:eastAsia="SimSun"/>
        </w:rPr>
        <w:t>l concernés et dédommagera leurs propriétaires. Le coût des mesures prévues par cette convention de règlement devrait atteindre 2,</w:t>
      </w:r>
      <w:r w:rsidR="000F7ED0" w:rsidRPr="00B713EE">
        <w:rPr>
          <w:rFonts w:eastAsia="SimSun"/>
        </w:rPr>
        <w:t>1 </w:t>
      </w:r>
      <w:r w:rsidRPr="00B713EE">
        <w:rPr>
          <w:rFonts w:eastAsia="SimSun"/>
        </w:rPr>
        <w:t>milliards de dollars. Elle doit encore être approuvée par les tribunaux canadiens et les discussions portant sur un éventuel règlement du recours collectif concernant les véhicules diesel de 3,</w:t>
      </w:r>
      <w:r w:rsidR="000F7ED0" w:rsidRPr="00B713EE">
        <w:rPr>
          <w:rFonts w:eastAsia="SimSun"/>
        </w:rPr>
        <w:t>0 </w:t>
      </w:r>
      <w:r w:rsidRPr="00B713EE">
        <w:rPr>
          <w:rFonts w:eastAsia="SimSun"/>
        </w:rPr>
        <w:t>l devraient maintenant aller de l</w:t>
      </w:r>
      <w:r w:rsidR="007C2F80">
        <w:rPr>
          <w:rFonts w:eastAsia="SimSun"/>
        </w:rPr>
        <w:t>’</w:t>
      </w:r>
      <w:r w:rsidRPr="00B713EE">
        <w:rPr>
          <w:rFonts w:eastAsia="SimSun"/>
        </w:rPr>
        <w:t>avant. Enfin, la Direction générale de l</w:t>
      </w:r>
      <w:r w:rsidR="007C2F80">
        <w:rPr>
          <w:rFonts w:eastAsia="SimSun"/>
        </w:rPr>
        <w:t>’</w:t>
      </w:r>
      <w:r w:rsidRPr="00B713EE">
        <w:rPr>
          <w:rFonts w:eastAsia="SimSun"/>
        </w:rPr>
        <w:t>application de la loi en matière d</w:t>
      </w:r>
      <w:r w:rsidR="007C2F80">
        <w:rPr>
          <w:rFonts w:eastAsia="SimSun"/>
        </w:rPr>
        <w:t>’</w:t>
      </w:r>
      <w:r w:rsidRPr="00B713EE">
        <w:rPr>
          <w:rFonts w:eastAsia="SimSun"/>
        </w:rPr>
        <w:t>environnement et de changement climatique du Canada poursuit son enquête concernant des violations présumées de la réglementation du pays en matière d</w:t>
      </w:r>
      <w:r w:rsidR="007C2F80">
        <w:rPr>
          <w:rFonts w:eastAsia="SimSun"/>
        </w:rPr>
        <w:t>’</w:t>
      </w:r>
      <w:r w:rsidRPr="00B713EE">
        <w:rPr>
          <w:rFonts w:eastAsia="SimSun"/>
        </w:rPr>
        <w:t>émissions des véhicules. S</w:t>
      </w:r>
      <w:r w:rsidR="007C2F80">
        <w:rPr>
          <w:rFonts w:eastAsia="SimSun"/>
        </w:rPr>
        <w:t>’</w:t>
      </w:r>
      <w:r w:rsidRPr="00B713EE">
        <w:rPr>
          <w:rFonts w:eastAsia="SimSun"/>
        </w:rPr>
        <w:t>il existe des preuves suffisantes de telles violations, des mesures seront prises conformément à la politique de conformité et d</w:t>
      </w:r>
      <w:r w:rsidR="007C2F80">
        <w:rPr>
          <w:rFonts w:eastAsia="SimSun"/>
        </w:rPr>
        <w:t>’</w:t>
      </w:r>
      <w:r w:rsidRPr="00B713EE">
        <w:rPr>
          <w:rFonts w:eastAsia="SimSun"/>
        </w:rPr>
        <w:t>application de la loi canadienne de 1999 sur la protection de l</w:t>
      </w:r>
      <w:r w:rsidR="007C2F80">
        <w:rPr>
          <w:rFonts w:eastAsia="SimSun"/>
        </w:rPr>
        <w:t>’</w:t>
      </w:r>
      <w:r w:rsidRPr="00B713EE">
        <w:rPr>
          <w:rFonts w:eastAsia="SimSun"/>
        </w:rPr>
        <w:t>environnement.</w:t>
      </w:r>
    </w:p>
    <w:p w:rsidR="00CD04C1" w:rsidRPr="00B713EE" w:rsidRDefault="00CD04C1" w:rsidP="00A9494A">
      <w:pPr>
        <w:pStyle w:val="ParNoG"/>
        <w:tabs>
          <w:tab w:val="clear" w:pos="1701"/>
        </w:tabs>
        <w:rPr>
          <w:rFonts w:eastAsia="SimSun"/>
        </w:rPr>
      </w:pPr>
      <w:r w:rsidRPr="00B713EE">
        <w:rPr>
          <w:rFonts w:eastAsia="SimSun"/>
        </w:rPr>
        <w:t>Le secrétariat a annoncé que dans le cadre des activités de l</w:t>
      </w:r>
      <w:r w:rsidR="007C2F80">
        <w:rPr>
          <w:rFonts w:eastAsia="SimSun"/>
        </w:rPr>
        <w:t>’</w:t>
      </w:r>
      <w:r w:rsidRPr="00B713EE">
        <w:rPr>
          <w:rFonts w:eastAsia="SimSun"/>
        </w:rPr>
        <w:t xml:space="preserve">envoyé spécial pour la sécurité routière un atelier serait organisé </w:t>
      </w:r>
      <w:r w:rsidR="000F7ED0" w:rsidRPr="00B713EE">
        <w:rPr>
          <w:rFonts w:eastAsia="SimSun"/>
        </w:rPr>
        <w:t>le 7 </w:t>
      </w:r>
      <w:r w:rsidRPr="00B713EE">
        <w:rPr>
          <w:rFonts w:eastAsia="SimSun"/>
        </w:rPr>
        <w:t>avril à Kuala Lumpur, en Malaisie, dans le but d</w:t>
      </w:r>
      <w:r w:rsidR="007C2F80">
        <w:rPr>
          <w:rFonts w:eastAsia="SimSun"/>
        </w:rPr>
        <w:t>’</w:t>
      </w:r>
      <w:r w:rsidRPr="00B713EE">
        <w:rPr>
          <w:rFonts w:eastAsia="SimSun"/>
        </w:rPr>
        <w:t>améliorer ces aspects de la sécurité routière dans</w:t>
      </w:r>
      <w:r w:rsidR="000F7ED0" w:rsidRPr="00B713EE">
        <w:rPr>
          <w:rFonts w:eastAsia="SimSun"/>
        </w:rPr>
        <w:t xml:space="preserve"> les pays de l</w:t>
      </w:r>
      <w:r w:rsidR="007C2F80">
        <w:rPr>
          <w:rFonts w:eastAsia="SimSun"/>
        </w:rPr>
        <w:t>’</w:t>
      </w:r>
      <w:r w:rsidR="000F7ED0" w:rsidRPr="00B713EE">
        <w:rPr>
          <w:rFonts w:eastAsia="SimSun"/>
        </w:rPr>
        <w:t>Asie du Sud-Est.</w:t>
      </w:r>
    </w:p>
    <w:p w:rsidR="00CD04C1" w:rsidRPr="00B713EE" w:rsidRDefault="00CD04C1" w:rsidP="00756B89">
      <w:pPr>
        <w:pStyle w:val="H1G"/>
        <w:rPr>
          <w:rFonts w:eastAsia="SimSun"/>
        </w:rPr>
      </w:pPr>
      <w:r w:rsidRPr="00B713EE">
        <w:rPr>
          <w:rFonts w:eastAsia="SimSun"/>
        </w:rPr>
        <w:tab/>
      </w:r>
      <w:bookmarkStart w:id="49" w:name="_Toc478663147"/>
      <w:r w:rsidRPr="00B713EE">
        <w:rPr>
          <w:rFonts w:eastAsia="SimSun"/>
        </w:rPr>
        <w:t>B.</w:t>
      </w:r>
      <w:r w:rsidRPr="00B713EE">
        <w:rPr>
          <w:rFonts w:eastAsia="SimSun"/>
        </w:rPr>
        <w:tab/>
        <w:t xml:space="preserve">Cohérence entre les dispositions de la Convention de Vienne de 1968 </w:t>
      </w:r>
      <w:r w:rsidR="00756B89" w:rsidRPr="00B713EE">
        <w:rPr>
          <w:rFonts w:eastAsia="SimSun"/>
        </w:rPr>
        <w:br/>
      </w:r>
      <w:r w:rsidRPr="00B713EE">
        <w:rPr>
          <w:rFonts w:eastAsia="SimSun"/>
        </w:rPr>
        <w:t xml:space="preserve">et les dispositions techniques concernant les véhicules contenues </w:t>
      </w:r>
      <w:r w:rsidR="00756B89" w:rsidRPr="00B713EE">
        <w:rPr>
          <w:rFonts w:eastAsia="SimSun"/>
        </w:rPr>
        <w:br/>
      </w:r>
      <w:r w:rsidRPr="00B713EE">
        <w:rPr>
          <w:rFonts w:eastAsia="SimSun"/>
        </w:rPr>
        <w:t xml:space="preserve">dans les Règlements et les RTM découlant des Accords de 1958 </w:t>
      </w:r>
      <w:r w:rsidR="00D77236">
        <w:rPr>
          <w:rFonts w:eastAsia="SimSun"/>
        </w:rPr>
        <w:t>et 1998</w:t>
      </w:r>
      <w:r w:rsidR="00756B89" w:rsidRPr="00B713EE">
        <w:rPr>
          <w:rFonts w:eastAsia="SimSun"/>
        </w:rPr>
        <w:br/>
      </w:r>
      <w:r w:rsidR="002D0B1F">
        <w:rPr>
          <w:rFonts w:eastAsia="SimSun"/>
        </w:rPr>
        <w:t>(point </w:t>
      </w:r>
      <w:r w:rsidRPr="00B713EE">
        <w:rPr>
          <w:rFonts w:eastAsia="SimSun"/>
        </w:rPr>
        <w:t>8.2 de l</w:t>
      </w:r>
      <w:r w:rsidR="007C2F80">
        <w:rPr>
          <w:rFonts w:eastAsia="SimSun"/>
        </w:rPr>
        <w:t>’</w:t>
      </w:r>
      <w:r w:rsidRPr="00B713EE">
        <w:rPr>
          <w:rFonts w:eastAsia="SimSun"/>
        </w:rPr>
        <w:t>ordre du jour)</w:t>
      </w:r>
      <w:bookmarkEnd w:id="49"/>
    </w:p>
    <w:p w:rsidR="00CD04C1" w:rsidRPr="00B713EE" w:rsidRDefault="00CD04C1" w:rsidP="00A9494A">
      <w:pPr>
        <w:pStyle w:val="ParNoG"/>
        <w:tabs>
          <w:tab w:val="clear" w:pos="1701"/>
        </w:tabs>
        <w:rPr>
          <w:rFonts w:eastAsia="SimSun"/>
        </w:rPr>
      </w:pPr>
      <w:r w:rsidRPr="00B713EE">
        <w:rPr>
          <w:rFonts w:eastAsia="SimSun"/>
        </w:rPr>
        <w:t>L</w:t>
      </w:r>
      <w:r w:rsidR="007C2F80">
        <w:rPr>
          <w:rFonts w:eastAsia="SimSun"/>
        </w:rPr>
        <w:t>’</w:t>
      </w:r>
      <w:r w:rsidRPr="00B713EE">
        <w:rPr>
          <w:rFonts w:eastAsia="SimSun"/>
        </w:rPr>
        <w:t>ambassadeur des WP.29 et WP.1 pour la conduite automatisée ont indiqué que comme le WP.1 ne s</w:t>
      </w:r>
      <w:r w:rsidR="007C2F80">
        <w:rPr>
          <w:rFonts w:eastAsia="SimSun"/>
        </w:rPr>
        <w:t>’</w:t>
      </w:r>
      <w:r w:rsidRPr="00B713EE">
        <w:rPr>
          <w:rFonts w:eastAsia="SimSun"/>
        </w:rPr>
        <w:t>était pas réuni depuis la 170</w:t>
      </w:r>
      <w:r w:rsidRPr="00B713EE">
        <w:rPr>
          <w:rFonts w:eastAsia="SimSun"/>
          <w:vertAlign w:val="superscript"/>
        </w:rPr>
        <w:t>e</w:t>
      </w:r>
      <w:r w:rsidR="000F7ED0" w:rsidRPr="00B713EE">
        <w:rPr>
          <w:rFonts w:eastAsia="SimSun"/>
        </w:rPr>
        <w:t> </w:t>
      </w:r>
      <w:r w:rsidRPr="00B713EE">
        <w:rPr>
          <w:rFonts w:eastAsia="SimSun"/>
        </w:rPr>
        <w:t>session du WP.29 en novembre 2016 il n</w:t>
      </w:r>
      <w:r w:rsidR="007C2F80">
        <w:rPr>
          <w:rFonts w:eastAsia="SimSun"/>
        </w:rPr>
        <w:t>’</w:t>
      </w:r>
      <w:r w:rsidRPr="00B713EE">
        <w:rPr>
          <w:rFonts w:eastAsia="SimSun"/>
        </w:rPr>
        <w:t>avait aucune information nouvelle à communiquer au Forum mondial à ce sujet. Il a ajouté que le groupe informel de la conduite automatisée s</w:t>
      </w:r>
      <w:r w:rsidR="007C2F80">
        <w:rPr>
          <w:rFonts w:eastAsia="SimSun"/>
        </w:rPr>
        <w:t>’</w:t>
      </w:r>
      <w:r w:rsidRPr="00B713EE">
        <w:rPr>
          <w:rFonts w:eastAsia="SimSun"/>
        </w:rPr>
        <w:t>était réuni et avait inclus dans son ordre du jour les catégories de systèmes FDCA et notamment l</w:t>
      </w:r>
      <w:r w:rsidR="007C2F80">
        <w:rPr>
          <w:rFonts w:eastAsia="SimSun"/>
        </w:rPr>
        <w:t>’</w:t>
      </w:r>
      <w:r w:rsidRPr="00B713EE">
        <w:rPr>
          <w:rFonts w:eastAsia="SimSun"/>
        </w:rPr>
        <w:t>aspect concernant leur interface homme-machine (IHM), tel qu</w:t>
      </w:r>
      <w:r w:rsidR="007C2F80">
        <w:rPr>
          <w:rFonts w:eastAsia="SimSun"/>
        </w:rPr>
        <w:t>’</w:t>
      </w:r>
      <w:r w:rsidRPr="00B713EE">
        <w:rPr>
          <w:rFonts w:eastAsia="SimSun"/>
        </w:rPr>
        <w:t>il est défini dans la Convention de Vienne sur la circulation routière. Il a conclu en disant que le WP.1 examinerait les progrès réalisés par le groupe informel lors de sa prochaine session en mars 2017, en même temps que la question de la cohérence entre les dispositions de la Convention de Vienne de 1968 et les dispositions techniques définies par le WP.29.</w:t>
      </w:r>
    </w:p>
    <w:p w:rsidR="00CD04C1" w:rsidRPr="00B713EE" w:rsidRDefault="00CD04C1" w:rsidP="00756B89">
      <w:pPr>
        <w:pStyle w:val="H1G"/>
        <w:rPr>
          <w:rFonts w:eastAsia="SimSun"/>
        </w:rPr>
      </w:pPr>
      <w:r w:rsidRPr="00B713EE">
        <w:rPr>
          <w:rFonts w:eastAsia="SimSun"/>
        </w:rPr>
        <w:tab/>
      </w:r>
      <w:bookmarkStart w:id="50" w:name="_Toc478663148"/>
      <w:r w:rsidRPr="00B713EE">
        <w:rPr>
          <w:rFonts w:eastAsia="SimSun"/>
        </w:rPr>
        <w:t>C.</w:t>
      </w:r>
      <w:r w:rsidRPr="00B713EE">
        <w:rPr>
          <w:rFonts w:eastAsia="SimSun"/>
        </w:rPr>
        <w:tab/>
        <w:t>Proposition d</w:t>
      </w:r>
      <w:r w:rsidR="007C2F80">
        <w:rPr>
          <w:rFonts w:eastAsia="SimSun"/>
        </w:rPr>
        <w:t>’</w:t>
      </w:r>
      <w:r w:rsidRPr="00B713EE">
        <w:rPr>
          <w:rFonts w:eastAsia="SimSun"/>
        </w:rPr>
        <w:t>amendements à la Résolution d</w:t>
      </w:r>
      <w:r w:rsidR="007C2F80">
        <w:rPr>
          <w:rFonts w:eastAsia="SimSun"/>
        </w:rPr>
        <w:t>’</w:t>
      </w:r>
      <w:r w:rsidRPr="00B713EE">
        <w:rPr>
          <w:rFonts w:eastAsia="SimSun"/>
        </w:rPr>
        <w:t>ensemble sur la constructi</w:t>
      </w:r>
      <w:r w:rsidR="002D0B1F">
        <w:rPr>
          <w:rFonts w:eastAsia="SimSun"/>
        </w:rPr>
        <w:t>on des véhicules (R.E.3) (point </w:t>
      </w:r>
      <w:r w:rsidRPr="00B713EE">
        <w:rPr>
          <w:rFonts w:eastAsia="SimSun"/>
        </w:rPr>
        <w:t>8.3 de l</w:t>
      </w:r>
      <w:r w:rsidR="007C2F80">
        <w:rPr>
          <w:rFonts w:eastAsia="SimSun"/>
        </w:rPr>
        <w:t>’</w:t>
      </w:r>
      <w:r w:rsidRPr="00B713EE">
        <w:rPr>
          <w:rFonts w:eastAsia="SimSun"/>
        </w:rPr>
        <w:t>ordre du jour)</w:t>
      </w:r>
      <w:bookmarkEnd w:id="50"/>
    </w:p>
    <w:p w:rsidR="00CD04C1" w:rsidRPr="00B713EE" w:rsidRDefault="00CD04C1" w:rsidP="00A9494A">
      <w:pPr>
        <w:pStyle w:val="ParNoG"/>
        <w:tabs>
          <w:tab w:val="clear" w:pos="1701"/>
        </w:tabs>
        <w:rPr>
          <w:rFonts w:eastAsia="SimSun"/>
        </w:rPr>
      </w:pPr>
      <w:r w:rsidRPr="00B713EE">
        <w:rPr>
          <w:rFonts w:eastAsia="SimSun"/>
        </w:rPr>
        <w:t>Aucune autre proposition nouvelle d</w:t>
      </w:r>
      <w:r w:rsidR="007C2F80">
        <w:rPr>
          <w:rFonts w:eastAsia="SimSun"/>
        </w:rPr>
        <w:t>’</w:t>
      </w:r>
      <w:r w:rsidRPr="00B713EE">
        <w:rPr>
          <w:rFonts w:eastAsia="SimSun"/>
        </w:rPr>
        <w:t xml:space="preserve">amendement à la R.E.3 que celles </w:t>
      </w:r>
      <w:r w:rsidR="000F7ED0" w:rsidRPr="00B713EE">
        <w:rPr>
          <w:rFonts w:eastAsia="SimSun"/>
        </w:rPr>
        <w:t>qui sont décrites sous le point </w:t>
      </w:r>
      <w:r w:rsidRPr="00B713EE">
        <w:rPr>
          <w:rFonts w:eastAsia="SimSun"/>
        </w:rPr>
        <w:t>4.14 de l</w:t>
      </w:r>
      <w:r w:rsidR="007C2F80">
        <w:rPr>
          <w:rFonts w:eastAsia="SimSun"/>
        </w:rPr>
        <w:t>’</w:t>
      </w:r>
      <w:r w:rsidRPr="00B713EE">
        <w:rPr>
          <w:rFonts w:eastAsia="SimSun"/>
        </w:rPr>
        <w:t>ordre du jour</w:t>
      </w:r>
      <w:r w:rsidR="000F7ED0" w:rsidRPr="00B713EE">
        <w:rPr>
          <w:rFonts w:eastAsia="SimSun"/>
        </w:rPr>
        <w:t xml:space="preserve"> (par. </w:t>
      </w:r>
      <w:r w:rsidRPr="00B713EE">
        <w:rPr>
          <w:rFonts w:eastAsia="SimSun"/>
        </w:rPr>
        <w:t>85 et 86, ECE/TRANS/WP.29/2017/46) n</w:t>
      </w:r>
      <w:r w:rsidR="007C2F80">
        <w:rPr>
          <w:rFonts w:eastAsia="SimSun"/>
        </w:rPr>
        <w:t>’</w:t>
      </w:r>
      <w:r w:rsidRPr="00B713EE">
        <w:rPr>
          <w:rFonts w:eastAsia="SimSun"/>
        </w:rPr>
        <w:t>a été soumise au titre de ce point.</w:t>
      </w:r>
    </w:p>
    <w:p w:rsidR="00CD04C1" w:rsidRPr="00B713EE" w:rsidRDefault="00CD04C1" w:rsidP="00756B89">
      <w:pPr>
        <w:pStyle w:val="H1G"/>
      </w:pPr>
      <w:r w:rsidRPr="00B713EE">
        <w:tab/>
      </w:r>
      <w:bookmarkStart w:id="51" w:name="_Toc478663149"/>
      <w:r w:rsidRPr="00B713EE">
        <w:t>D.</w:t>
      </w:r>
      <w:r w:rsidRPr="00B713EE">
        <w:tab/>
        <w:t xml:space="preserve">Objectifs et indicateurs en matière de sécurité routière </w:t>
      </w:r>
      <w:r w:rsidR="00756B89" w:rsidRPr="00B713EE">
        <w:br/>
      </w:r>
      <w:r w:rsidRPr="00B713EE">
        <w:t>(point 8.4 de l</w:t>
      </w:r>
      <w:r w:rsidR="007C2F80">
        <w:t>’</w:t>
      </w:r>
      <w:r w:rsidRPr="00B713EE">
        <w:t>ordre du jour)</w:t>
      </w:r>
      <w:bookmarkEnd w:id="51"/>
    </w:p>
    <w:p w:rsidR="00CD04C1" w:rsidRPr="00B713EE" w:rsidRDefault="001F7EFD" w:rsidP="001F7EFD">
      <w:pPr>
        <w:pStyle w:val="SingleTxtG"/>
        <w:ind w:left="2835" w:hanging="1701"/>
        <w:jc w:val="left"/>
      </w:pPr>
      <w:r w:rsidRPr="00B713EE">
        <w:rPr>
          <w:i/>
        </w:rPr>
        <w:t>Document(s)</w:t>
      </w:r>
      <w:r w:rsidR="00223DA6" w:rsidRPr="00B713EE">
        <w:t> </w:t>
      </w:r>
      <w:r w:rsidR="00CD04C1" w:rsidRPr="00B713EE">
        <w:t>:</w:t>
      </w:r>
      <w:r w:rsidR="00CD04C1" w:rsidRPr="00B713EE">
        <w:rPr>
          <w:i/>
        </w:rPr>
        <w:tab/>
      </w:r>
      <w:r w:rsidR="00CD04C1" w:rsidRPr="00B713EE">
        <w:rPr>
          <w:i/>
        </w:rPr>
        <w:tab/>
      </w:r>
      <w:r w:rsidR="00CD04C1" w:rsidRPr="00B713EE">
        <w:t>Document informel WP.29-171-10</w:t>
      </w:r>
      <w:r w:rsidR="00223DA6" w:rsidRPr="00B713EE">
        <w:t>.</w:t>
      </w:r>
    </w:p>
    <w:p w:rsidR="00CD04C1" w:rsidRPr="00B713EE" w:rsidRDefault="00CD04C1" w:rsidP="00A9494A">
      <w:pPr>
        <w:pStyle w:val="ParNoG"/>
        <w:tabs>
          <w:tab w:val="clear" w:pos="1701"/>
        </w:tabs>
      </w:pPr>
      <w:r w:rsidRPr="00B713EE">
        <w:t>La représentante de l</w:t>
      </w:r>
      <w:r w:rsidR="007C2F80">
        <w:t>’</w:t>
      </w:r>
      <w:r w:rsidRPr="00B713EE">
        <w:t xml:space="preserve">Organisation mondiale de la Santé (OMS) a présenté au Forum mondial le document de travail WP.29-171-10 intitulé </w:t>
      </w:r>
      <w:r w:rsidR="003E70DE" w:rsidRPr="00B713EE">
        <w:t>« </w:t>
      </w:r>
      <w:r w:rsidRPr="00B713EE">
        <w:t>Developing voluntary global performance targets for road safety risk factors and service delivery mechanisms</w:t>
      </w:r>
      <w:r w:rsidR="003E70DE" w:rsidRPr="00B713EE">
        <w:t> »</w:t>
      </w:r>
      <w:r w:rsidRPr="00B713EE">
        <w:t>. Il contient un ensemble de cibles fixées volontairement à l</w:t>
      </w:r>
      <w:r w:rsidR="007C2F80">
        <w:t>’</w:t>
      </w:r>
      <w:r w:rsidRPr="00B713EE">
        <w:t>échelle mondiale en matière de prévention des blessures et des morts dues aux accidents de la circulation routière, ainsi que des indicateurs permettant d</w:t>
      </w:r>
      <w:r w:rsidR="007C2F80">
        <w:t>’</w:t>
      </w:r>
      <w:r w:rsidRPr="00B713EE">
        <w:t>évaluer leur réalisation pour examen par les États Membres de l</w:t>
      </w:r>
      <w:r w:rsidR="007C2F80">
        <w:t>’</w:t>
      </w:r>
      <w:r w:rsidRPr="00B713EE">
        <w:t>ONU. Elle a souligné que les activités menées dans le cadre de cette initiative avaient pour but de compléter et d</w:t>
      </w:r>
      <w:r w:rsidR="007C2F80">
        <w:t>’</w:t>
      </w:r>
      <w:r w:rsidRPr="00B713EE">
        <w:t xml:space="preserve">appuyer les efforts déployés pour en vue </w:t>
      </w:r>
      <w:r w:rsidR="001E39A4" w:rsidRPr="00B713EE">
        <w:t>de réalisation de la cible </w:t>
      </w:r>
      <w:r w:rsidRPr="00B713EE">
        <w:t>3.6 du cadre des objectifs de développement durable.</w:t>
      </w:r>
    </w:p>
    <w:p w:rsidR="00CD04C1" w:rsidRPr="00B713EE" w:rsidRDefault="00CD04C1" w:rsidP="00A9494A">
      <w:pPr>
        <w:pStyle w:val="ParNoG"/>
        <w:tabs>
          <w:tab w:val="clear" w:pos="1701"/>
        </w:tabs>
      </w:pPr>
      <w:r w:rsidRPr="00B713EE">
        <w:rPr>
          <w:rFonts w:eastAsia="SimSun"/>
        </w:rPr>
        <w:t>La</w:t>
      </w:r>
      <w:r w:rsidRPr="00B713EE">
        <w:t xml:space="preserve"> représentante de l</w:t>
      </w:r>
      <w:r w:rsidR="007C2F80">
        <w:t>’</w:t>
      </w:r>
      <w:r w:rsidRPr="00B713EE">
        <w:t>OMS a présenté le processus de consultation ayant permis de définir les cibles et indicateurs actuellement proposés à l</w:t>
      </w:r>
      <w:r w:rsidR="007C2F80">
        <w:t>’</w:t>
      </w:r>
      <w:r w:rsidRPr="00B713EE">
        <w:t>échelle mondiale, ainsi que la phase de consultation à venir en vue de leur mise au point définitive en novembre 2017. Elle a expliqué que les cinq grands domaines dans lesquels des cibles étaient définies correspondaient aux cinq volets du Plan mondial pour la Décennie d</w:t>
      </w:r>
      <w:r w:rsidR="007C2F80">
        <w:t>’</w:t>
      </w:r>
      <w:r w:rsidRPr="00B713EE">
        <w:t>action pour la sécurité routière 2011-2020, notamment au troisième volet, celui de la sécurité des véhicules. Elle a invité le Forum mondial à faire part de ses observations et avis concernant la formulation actuelle de la cible considérée, c</w:t>
      </w:r>
      <w:r w:rsidR="007C2F80">
        <w:t>’</w:t>
      </w:r>
      <w:r w:rsidRPr="00B713EE">
        <w:t>est-à-dire « 100 % des véhicules neufs conformes à huit normes prioritaires » (sur la base des Règlements de l</w:t>
      </w:r>
      <w:r w:rsidR="007C2F80">
        <w:t>’</w:t>
      </w:r>
      <w:r w:rsidRPr="00B713EE">
        <w:t>ONU ou de normes nationales considérées comme équivalentes). Elle a demandé pour cela aux représentants participant aux travaux du Forum mondial d</w:t>
      </w:r>
      <w:r w:rsidR="007C2F80">
        <w:t>’</w:t>
      </w:r>
      <w:r w:rsidRPr="00B713EE">
        <w:t>envoyer leurs contributions, d</w:t>
      </w:r>
      <w:r w:rsidR="007C2F80">
        <w:t>’</w:t>
      </w:r>
      <w:r w:rsidRPr="00B713EE">
        <w:t>ici la fin du mois d</w:t>
      </w:r>
      <w:r w:rsidR="007C2F80">
        <w:t>’</w:t>
      </w:r>
      <w:r w:rsidRPr="00B713EE">
        <w:t>avril 2017, par courrier électronique à l</w:t>
      </w:r>
      <w:r w:rsidR="007C2F80">
        <w:t>’</w:t>
      </w:r>
      <w:r w:rsidRPr="00B713EE">
        <w:t>adresse roadsafetytarget@who.int.</w:t>
      </w:r>
    </w:p>
    <w:p w:rsidR="00CD04C1" w:rsidRPr="00B713EE" w:rsidRDefault="00CD04C1" w:rsidP="00A9494A">
      <w:pPr>
        <w:pStyle w:val="ParNoG"/>
        <w:tabs>
          <w:tab w:val="clear" w:pos="1701"/>
        </w:tabs>
      </w:pPr>
      <w:r w:rsidRPr="00B713EE">
        <w:rPr>
          <w:rFonts w:eastAsia="SimSun"/>
        </w:rPr>
        <w:t>Le</w:t>
      </w:r>
      <w:r w:rsidRPr="00B713EE">
        <w:t xml:space="preserve"> Président du Forum mondial a remercié la représentante de l</w:t>
      </w:r>
      <w:r w:rsidR="007C2F80">
        <w:t>’</w:t>
      </w:r>
      <w:r w:rsidRPr="00B713EE">
        <w:t>OMS d</w:t>
      </w:r>
      <w:r w:rsidR="007C2F80">
        <w:t>’</w:t>
      </w:r>
      <w:r w:rsidRPr="00B713EE">
        <w:t xml:space="preserve">avoir présenté le document de </w:t>
      </w:r>
      <w:r w:rsidR="002D0B1F">
        <w:t>travail de cette organisation. Il a proposé</w:t>
      </w:r>
      <w:r w:rsidRPr="00B713EE">
        <w:t xml:space="preserve"> que l</w:t>
      </w:r>
      <w:r w:rsidR="007C2F80">
        <w:t>’</w:t>
      </w:r>
      <w:r w:rsidRPr="00B713EE">
        <w:t>adhésion aux Règlements technique mondiaux annexés à l</w:t>
      </w:r>
      <w:r w:rsidR="007C2F80">
        <w:t>’</w:t>
      </w:r>
      <w:r w:rsidRPr="00B713EE">
        <w:t>Accord de 1998 soit considérée comme un indicateur, en plus de l</w:t>
      </w:r>
      <w:r w:rsidR="007C2F80">
        <w:t>’</w:t>
      </w:r>
      <w:r w:rsidRPr="00B713EE">
        <w:t>adhésion aux huit Règlements de l</w:t>
      </w:r>
      <w:r w:rsidR="007C2F80">
        <w:t>’</w:t>
      </w:r>
      <w:r w:rsidRPr="00B713EE">
        <w:t>ONU déjà cités dans le document de l</w:t>
      </w:r>
      <w:r w:rsidR="007C2F80">
        <w:t>’</w:t>
      </w:r>
      <w:r w:rsidRPr="00B713EE">
        <w:t>OMS. Il a fait observer que certaines formulations employées dans le document pour proposer des indicateurs et avancer des justifications concernant la cible visant à réduire le nombre de motocyclistes roulant sans casque, définie au titre du quatrième volet « La sécurité des usagers de la route », étaient vagues. Il a proposé de mentionner l</w:t>
      </w:r>
      <w:r w:rsidR="007C2F80">
        <w:t>’</w:t>
      </w:r>
      <w:r w:rsidRPr="00B713EE">
        <w:t>application de certaines normes portant sur les casques de motocyclistes comme indicateur de la conformité de la réglementation sur ces casques aux pratiques de référence, en l</w:t>
      </w:r>
      <w:r w:rsidR="007C2F80">
        <w:t>’</w:t>
      </w:r>
      <w:r w:rsidRPr="00B713EE">
        <w:t xml:space="preserve">occurrence les normes établies dans le Règlement </w:t>
      </w:r>
      <w:r w:rsidR="001E39A4" w:rsidRPr="00B713EE">
        <w:rPr>
          <w:rFonts w:eastAsia="MS Mincho"/>
        </w:rPr>
        <w:t>n</w:t>
      </w:r>
      <w:r w:rsidR="001E39A4" w:rsidRPr="00B713EE">
        <w:rPr>
          <w:rFonts w:eastAsia="MS Mincho"/>
          <w:vertAlign w:val="superscript"/>
        </w:rPr>
        <w:t>o</w:t>
      </w:r>
      <w:r w:rsidR="001E39A4" w:rsidRPr="00B713EE">
        <w:rPr>
          <w:rFonts w:eastAsia="MS Mincho"/>
        </w:rPr>
        <w:t> </w:t>
      </w:r>
      <w:r w:rsidRPr="00B713EE">
        <w:t>22.</w:t>
      </w:r>
    </w:p>
    <w:p w:rsidR="00CD04C1" w:rsidRPr="00B713EE" w:rsidRDefault="00CD04C1" w:rsidP="00A9494A">
      <w:pPr>
        <w:pStyle w:val="ParNoG"/>
        <w:tabs>
          <w:tab w:val="clear" w:pos="1701"/>
        </w:tabs>
      </w:pPr>
      <w:r w:rsidRPr="00B713EE">
        <w:t>Le Président du Forum mondial a rappelé que le WP.29 était un organe intergouvernemental et qu</w:t>
      </w:r>
      <w:r w:rsidR="007C2F80">
        <w:t>’</w:t>
      </w:r>
      <w:r w:rsidRPr="00B713EE">
        <w:t>il n</w:t>
      </w:r>
      <w:r w:rsidR="007C2F80">
        <w:t>’</w:t>
      </w:r>
      <w:r w:rsidRPr="00B713EE">
        <w:t>était pas exact de le citer dans le document de travail de l</w:t>
      </w:r>
      <w:r w:rsidR="007C2F80">
        <w:t>’</w:t>
      </w:r>
      <w:r w:rsidRPr="00B713EE">
        <w:t>OMS comme « source de données » pour l</w:t>
      </w:r>
      <w:r w:rsidR="007C2F80">
        <w:t>’</w:t>
      </w:r>
      <w:r w:rsidRPr="00B713EE">
        <w:t>ensemble des indicateurs s</w:t>
      </w:r>
      <w:r w:rsidR="007C2F80">
        <w:t>’</w:t>
      </w:r>
      <w:r w:rsidRPr="00B713EE">
        <w:t>adressant aux pays qui s</w:t>
      </w:r>
      <w:r w:rsidR="007C2F80">
        <w:t>’</w:t>
      </w:r>
      <w:r w:rsidRPr="00B713EE">
        <w:t>efforcent d</w:t>
      </w:r>
      <w:r w:rsidR="007C2F80">
        <w:t>’</w:t>
      </w:r>
      <w:r w:rsidRPr="00B713EE">
        <w:t xml:space="preserve">atteindre la cible correspondant à des véhicules plus sûrs. </w:t>
      </w:r>
    </w:p>
    <w:p w:rsidR="00CD04C1" w:rsidRPr="00B713EE" w:rsidRDefault="00CD04C1" w:rsidP="00A9494A">
      <w:pPr>
        <w:pStyle w:val="ParNoG"/>
        <w:tabs>
          <w:tab w:val="clear" w:pos="1701"/>
        </w:tabs>
      </w:pPr>
      <w:r w:rsidRPr="00B713EE">
        <w:t>Le vice-président du WP.29 a également remercié l</w:t>
      </w:r>
      <w:r w:rsidR="007C2F80">
        <w:t>’</w:t>
      </w:r>
      <w:r w:rsidRPr="00B713EE">
        <w:t>OMS de cet exposé et souligné que le Règlement sur les systèmes d</w:t>
      </w:r>
      <w:r w:rsidR="007C2F80">
        <w:t>’</w:t>
      </w:r>
      <w:r w:rsidRPr="00B713EE">
        <w:t>appel d</w:t>
      </w:r>
      <w:r w:rsidR="007C2F80">
        <w:t>’</w:t>
      </w:r>
      <w:r w:rsidRPr="00B713EE">
        <w:t>urgence en cours d</w:t>
      </w:r>
      <w:r w:rsidR="007C2F80">
        <w:t>’</w:t>
      </w:r>
      <w:r w:rsidRPr="00B713EE">
        <w:t>élaboration sous la présidence de la Fédération de Russie jouerait un rôle très important en permettant de sauver des vies lors d</w:t>
      </w:r>
      <w:r w:rsidR="007C2F80">
        <w:t>’</w:t>
      </w:r>
      <w:r w:rsidRPr="00B713EE">
        <w:t>accidents de la route. Il a rappelé que les prescriptions correspondantes existent déjà depuis 2015 dans l</w:t>
      </w:r>
      <w:r w:rsidR="007C2F80">
        <w:t>’</w:t>
      </w:r>
      <w:r w:rsidRPr="00B713EE">
        <w:t>Union économique eurasienne et qu</w:t>
      </w:r>
      <w:r w:rsidR="007C2F80">
        <w:t>’</w:t>
      </w:r>
      <w:r w:rsidRPr="00B713EE">
        <w:t>elles entreront en vigueur dans l</w:t>
      </w:r>
      <w:r w:rsidR="007C2F80">
        <w:t>’</w:t>
      </w:r>
      <w:r w:rsidRPr="00B713EE">
        <w:t>Union européenne en mars 2018.</w:t>
      </w:r>
    </w:p>
    <w:p w:rsidR="00CD04C1" w:rsidRPr="00B713EE" w:rsidRDefault="00CD04C1" w:rsidP="00756B89">
      <w:pPr>
        <w:pStyle w:val="H1G"/>
        <w:rPr>
          <w:rFonts w:eastAsia="SimSun"/>
        </w:rPr>
      </w:pPr>
      <w:r w:rsidRPr="00B713EE">
        <w:rPr>
          <w:rFonts w:eastAsia="SimSun"/>
        </w:rPr>
        <w:tab/>
      </w:r>
      <w:bookmarkStart w:id="52" w:name="_Toc478663150"/>
      <w:r w:rsidRPr="00B713EE">
        <w:rPr>
          <w:rFonts w:eastAsia="SimSun"/>
        </w:rPr>
        <w:t>E.</w:t>
      </w:r>
      <w:r w:rsidRPr="00B713EE">
        <w:rPr>
          <w:rFonts w:eastAsia="SimSun"/>
        </w:rPr>
        <w:tab/>
        <w:t>Documents d</w:t>
      </w:r>
      <w:r w:rsidR="002D0B1F">
        <w:rPr>
          <w:rFonts w:eastAsia="SimSun"/>
        </w:rPr>
        <w:t>estinés à la publication (point </w:t>
      </w:r>
      <w:r w:rsidRPr="00B713EE">
        <w:rPr>
          <w:rFonts w:eastAsia="SimSun"/>
        </w:rPr>
        <w:t>8.5 de l</w:t>
      </w:r>
      <w:r w:rsidR="007C2F80">
        <w:rPr>
          <w:rFonts w:eastAsia="SimSun"/>
        </w:rPr>
        <w:t>’</w:t>
      </w:r>
      <w:r w:rsidRPr="00B713EE">
        <w:rPr>
          <w:rFonts w:eastAsia="SimSun"/>
        </w:rPr>
        <w:t>ordre du jour)</w:t>
      </w:r>
      <w:bookmarkEnd w:id="52"/>
    </w:p>
    <w:p w:rsidR="00CD04C1" w:rsidRPr="00B713EE" w:rsidRDefault="001F7EFD" w:rsidP="001F7EFD">
      <w:pPr>
        <w:pStyle w:val="SingleTxtG"/>
        <w:ind w:left="2835" w:hanging="1701"/>
        <w:jc w:val="left"/>
        <w:rPr>
          <w:rFonts w:eastAsia="SimSun"/>
        </w:rPr>
      </w:pPr>
      <w:r w:rsidRPr="00B713EE">
        <w:rPr>
          <w:rFonts w:eastAsia="SimSun"/>
          <w:i/>
        </w:rPr>
        <w:t>Document(s)</w:t>
      </w:r>
      <w:r w:rsidRPr="00B713EE">
        <w:rPr>
          <w:rFonts w:eastAsia="SimSun"/>
        </w:rPr>
        <w:t> :</w:t>
      </w:r>
      <w:r w:rsidR="00CD04C1" w:rsidRPr="00B713EE">
        <w:rPr>
          <w:rFonts w:eastAsia="SimSun"/>
          <w:i/>
        </w:rPr>
        <w:tab/>
      </w:r>
      <w:r w:rsidR="00CD04C1" w:rsidRPr="00B713EE">
        <w:rPr>
          <w:rFonts w:eastAsia="SimSun"/>
        </w:rPr>
        <w:t xml:space="preserve">Document </w:t>
      </w:r>
      <w:r w:rsidR="00CD04C1" w:rsidRPr="00B713EE">
        <w:t>informel</w:t>
      </w:r>
      <w:r w:rsidR="00CD04C1" w:rsidRPr="00B713EE">
        <w:rPr>
          <w:rFonts w:eastAsia="SimSun"/>
        </w:rPr>
        <w:t xml:space="preserve"> WP.29-171-23</w:t>
      </w:r>
      <w:r w:rsidR="00223DA6" w:rsidRPr="00B713EE">
        <w:rPr>
          <w:rFonts w:eastAsia="SimSun"/>
        </w:rPr>
        <w:t>.</w:t>
      </w:r>
    </w:p>
    <w:p w:rsidR="00CD04C1" w:rsidRPr="00B713EE" w:rsidRDefault="00CD04C1" w:rsidP="00A9494A">
      <w:pPr>
        <w:pStyle w:val="ParNoG"/>
        <w:tabs>
          <w:tab w:val="clear" w:pos="1701"/>
        </w:tabs>
        <w:rPr>
          <w:rFonts w:eastAsia="SimSun"/>
        </w:rPr>
      </w:pPr>
      <w:r w:rsidRPr="00B713EE">
        <w:rPr>
          <w:rFonts w:eastAsia="SimSun"/>
          <w:lang w:eastAsia="es-ES"/>
        </w:rPr>
        <w:t>Le secrétariat a présenté le document W</w:t>
      </w:r>
      <w:r w:rsidRPr="00B713EE">
        <w:rPr>
          <w:rFonts w:eastAsia="SimSun"/>
        </w:rPr>
        <w:t>P.29-171-23, qui énumère toutes les propositions adoptées au cours de la 171</w:t>
      </w:r>
      <w:r w:rsidRPr="00B713EE">
        <w:rPr>
          <w:rFonts w:eastAsia="SimSun"/>
          <w:vertAlign w:val="superscript"/>
        </w:rPr>
        <w:t>e</w:t>
      </w:r>
      <w:r w:rsidR="001E39A4" w:rsidRPr="00B713EE">
        <w:rPr>
          <w:rFonts w:eastAsia="SimSun"/>
        </w:rPr>
        <w:t> </w:t>
      </w:r>
      <w:r w:rsidRPr="00B713EE">
        <w:rPr>
          <w:rFonts w:eastAsia="SimSun"/>
        </w:rPr>
        <w:t>session du WP.29, avec les dates prévues de leur entrée en vigueur. Le secrétariat a expliqué que la préparation des documents récapitulatifs avait pris du retard en raison des contraintes en matière de ressources humaines.</w:t>
      </w:r>
    </w:p>
    <w:p w:rsidR="00CD04C1" w:rsidRPr="00B713EE" w:rsidRDefault="00CD04C1" w:rsidP="00A9494A">
      <w:pPr>
        <w:pStyle w:val="ParNoG"/>
        <w:tabs>
          <w:tab w:val="clear" w:pos="1701"/>
        </w:tabs>
        <w:rPr>
          <w:rFonts w:eastAsia="SimSun"/>
          <w:lang w:eastAsia="es-ES"/>
        </w:rPr>
      </w:pPr>
      <w:r w:rsidRPr="00B713EE">
        <w:rPr>
          <w:rFonts w:eastAsia="SimSun"/>
          <w:lang w:eastAsia="es-ES"/>
        </w:rPr>
        <w:t>Le Forum mondial en a pris note et il a prié le secrétariat d</w:t>
      </w:r>
      <w:r w:rsidR="007C2F80">
        <w:rPr>
          <w:rFonts w:eastAsia="SimSun"/>
          <w:lang w:eastAsia="es-ES"/>
        </w:rPr>
        <w:t>’</w:t>
      </w:r>
      <w:r w:rsidRPr="00B713EE">
        <w:rPr>
          <w:rFonts w:eastAsia="SimSun"/>
          <w:lang w:eastAsia="es-ES"/>
        </w:rPr>
        <w:t>établir pour la 172</w:t>
      </w:r>
      <w:r w:rsidRPr="00B713EE">
        <w:rPr>
          <w:rFonts w:eastAsia="SimSun"/>
          <w:vertAlign w:val="superscript"/>
          <w:lang w:eastAsia="es-ES"/>
        </w:rPr>
        <w:t>e</w:t>
      </w:r>
      <w:r w:rsidR="003F52EE" w:rsidRPr="00B713EE">
        <w:rPr>
          <w:rFonts w:eastAsia="SimSun"/>
          <w:lang w:eastAsia="es-ES"/>
        </w:rPr>
        <w:t> </w:t>
      </w:r>
      <w:r w:rsidRPr="00B713EE">
        <w:rPr>
          <w:rFonts w:eastAsia="SimSun"/>
          <w:lang w:eastAsia="es-ES"/>
        </w:rPr>
        <w:t>session du WP.29 un document décrivant tous ces retards et contraintes.</w:t>
      </w:r>
    </w:p>
    <w:p w:rsidR="00CD04C1" w:rsidRPr="00B713EE" w:rsidRDefault="00CD04C1" w:rsidP="00756B89">
      <w:pPr>
        <w:pStyle w:val="HChG"/>
        <w:rPr>
          <w:rFonts w:eastAsia="SimSun"/>
        </w:rPr>
      </w:pPr>
      <w:r w:rsidRPr="00B713EE">
        <w:rPr>
          <w:rFonts w:eastAsia="SimSun"/>
        </w:rPr>
        <w:tab/>
      </w:r>
      <w:bookmarkStart w:id="53" w:name="_Toc478663151"/>
      <w:r w:rsidRPr="00B713EE">
        <w:rPr>
          <w:rFonts w:eastAsia="SimSun"/>
        </w:rPr>
        <w:t>XI.</w:t>
      </w:r>
      <w:r w:rsidRPr="00B713EE">
        <w:rPr>
          <w:rFonts w:eastAsia="SimSun"/>
        </w:rPr>
        <w:tab/>
        <w:t>Adoption du rapport (point 9 de l</w:t>
      </w:r>
      <w:r w:rsidR="007C2F80">
        <w:rPr>
          <w:rFonts w:eastAsia="SimSun"/>
        </w:rPr>
        <w:t>’</w:t>
      </w:r>
      <w:r w:rsidRPr="00B713EE">
        <w:rPr>
          <w:rFonts w:eastAsia="SimSun"/>
        </w:rPr>
        <w:t>ordre du jour)</w:t>
      </w:r>
      <w:bookmarkEnd w:id="53"/>
    </w:p>
    <w:p w:rsidR="00CD04C1" w:rsidRPr="00B713EE" w:rsidRDefault="00CD04C1" w:rsidP="00A9494A">
      <w:pPr>
        <w:pStyle w:val="ParNoG"/>
        <w:tabs>
          <w:tab w:val="clear" w:pos="1701"/>
        </w:tabs>
        <w:rPr>
          <w:rFonts w:eastAsia="SimSun"/>
        </w:rPr>
      </w:pPr>
      <w:r w:rsidRPr="00B713EE">
        <w:rPr>
          <w:rFonts w:eastAsia="SimSun"/>
        </w:rPr>
        <w:t>Le Forum mondial a adopté le rapport de sa 171</w:t>
      </w:r>
      <w:r w:rsidRPr="00B713EE">
        <w:rPr>
          <w:rFonts w:eastAsia="SimSun"/>
          <w:vertAlign w:val="superscript"/>
        </w:rPr>
        <w:t>e</w:t>
      </w:r>
      <w:r w:rsidR="003F52EE" w:rsidRPr="00B713EE">
        <w:rPr>
          <w:rFonts w:eastAsia="SimSun"/>
        </w:rPr>
        <w:t> </w:t>
      </w:r>
      <w:r w:rsidRPr="00B713EE">
        <w:rPr>
          <w:rFonts w:eastAsia="SimSun"/>
        </w:rPr>
        <w:t>session et ses annexes sur la base d</w:t>
      </w:r>
      <w:r w:rsidR="007C2F80">
        <w:rPr>
          <w:rFonts w:eastAsia="SimSun"/>
        </w:rPr>
        <w:t>’</w:t>
      </w:r>
      <w:r w:rsidRPr="00B713EE">
        <w:rPr>
          <w:rFonts w:eastAsia="SimSun"/>
        </w:rPr>
        <w:t xml:space="preserve">un projet établi par le secrétariat. Ce rapport comprend les sections relatives </w:t>
      </w:r>
      <w:r w:rsidR="00D77236">
        <w:rPr>
          <w:rFonts w:eastAsia="SimSun"/>
        </w:rPr>
        <w:t>à la soixante-cinquième session du</w:t>
      </w:r>
      <w:r w:rsidR="00D77236" w:rsidRPr="00B713EE">
        <w:rPr>
          <w:rFonts w:eastAsia="SimSun"/>
        </w:rPr>
        <w:t xml:space="preserve"> </w:t>
      </w:r>
      <w:r w:rsidRPr="00B713EE">
        <w:rPr>
          <w:rFonts w:eastAsia="SimSun"/>
        </w:rPr>
        <w:t>Comité d</w:t>
      </w:r>
      <w:r w:rsidR="007C2F80">
        <w:rPr>
          <w:rFonts w:eastAsia="SimSun"/>
        </w:rPr>
        <w:t>’</w:t>
      </w:r>
      <w:r w:rsidRPr="00B713EE">
        <w:rPr>
          <w:rFonts w:eastAsia="SimSun"/>
        </w:rPr>
        <w:t>administration de l</w:t>
      </w:r>
      <w:r w:rsidR="007C2F80">
        <w:rPr>
          <w:rFonts w:eastAsia="SimSun"/>
        </w:rPr>
        <w:t>’</w:t>
      </w:r>
      <w:r w:rsidRPr="00B713EE">
        <w:rPr>
          <w:rFonts w:eastAsia="SimSun"/>
        </w:rPr>
        <w:t xml:space="preserve">Accord de 1958 (AC.1) et </w:t>
      </w:r>
      <w:r w:rsidR="00D77236">
        <w:rPr>
          <w:rFonts w:eastAsia="SimSun"/>
        </w:rPr>
        <w:t>à la quarante-neuvième session du</w:t>
      </w:r>
      <w:r w:rsidR="00D77236" w:rsidRPr="00B713EE">
        <w:rPr>
          <w:rFonts w:eastAsia="SimSun"/>
        </w:rPr>
        <w:t xml:space="preserve"> </w:t>
      </w:r>
      <w:r w:rsidRPr="00B713EE">
        <w:rPr>
          <w:rFonts w:eastAsia="SimSun"/>
        </w:rPr>
        <w:t>Comité exécutif de l</w:t>
      </w:r>
      <w:r w:rsidR="007C2F80">
        <w:rPr>
          <w:rFonts w:eastAsia="SimSun"/>
        </w:rPr>
        <w:t>’</w:t>
      </w:r>
      <w:r w:rsidRPr="00B713EE">
        <w:rPr>
          <w:rFonts w:eastAsia="SimSun"/>
        </w:rPr>
        <w:t>Accord de 1998 (AC.3).</w:t>
      </w:r>
    </w:p>
    <w:p w:rsidR="00CD04C1" w:rsidRPr="00B713EE" w:rsidRDefault="008535B6" w:rsidP="008535B6">
      <w:pPr>
        <w:pStyle w:val="HChG"/>
      </w:pPr>
      <w:r w:rsidRPr="00B713EE">
        <w:br w:type="page"/>
      </w:r>
      <w:r w:rsidR="00CD04C1" w:rsidRPr="00B713EE">
        <w:tab/>
      </w:r>
      <w:bookmarkStart w:id="54" w:name="_Toc478663152"/>
      <w:r w:rsidR="00CD04C1" w:rsidRPr="00B713EE">
        <w:t>B.</w:t>
      </w:r>
      <w:r w:rsidR="00CD04C1" w:rsidRPr="00B713EE">
        <w:tab/>
        <w:t>Comité d</w:t>
      </w:r>
      <w:r w:rsidR="007C2F80">
        <w:t>’</w:t>
      </w:r>
      <w:r w:rsidR="00CD04C1" w:rsidRPr="00B713EE">
        <w:t>administration de l</w:t>
      </w:r>
      <w:r w:rsidR="007C2F80">
        <w:t>’</w:t>
      </w:r>
      <w:r w:rsidR="00CD04C1" w:rsidRPr="00B713EE">
        <w:t>Accord de 1958 (AC.1)</w:t>
      </w:r>
      <w:bookmarkEnd w:id="54"/>
    </w:p>
    <w:p w:rsidR="00CD04C1" w:rsidRPr="00B713EE" w:rsidRDefault="00CD04C1" w:rsidP="00756B89">
      <w:pPr>
        <w:pStyle w:val="HChG"/>
      </w:pPr>
      <w:r w:rsidRPr="00B713EE">
        <w:tab/>
      </w:r>
      <w:bookmarkStart w:id="55" w:name="_Toc478663153"/>
      <w:r w:rsidRPr="00B713EE">
        <w:t>XII.</w:t>
      </w:r>
      <w:r w:rsidRPr="00B713EE">
        <w:tab/>
        <w:t>Constitution du Comité (point 10 de l</w:t>
      </w:r>
      <w:r w:rsidR="007C2F80">
        <w:t>’</w:t>
      </w:r>
      <w:r w:rsidRPr="00B713EE">
        <w:t>ordre du jour)</w:t>
      </w:r>
      <w:bookmarkEnd w:id="55"/>
    </w:p>
    <w:p w:rsidR="00CD04C1" w:rsidRPr="00B713EE" w:rsidRDefault="00CD04C1" w:rsidP="008C0F4C">
      <w:pPr>
        <w:pStyle w:val="ParNoG"/>
        <w:tabs>
          <w:tab w:val="clear" w:pos="1701"/>
        </w:tabs>
      </w:pPr>
      <w:r w:rsidRPr="00B713EE">
        <w:rPr>
          <w:rFonts w:eastAsia="SimSun"/>
        </w:rPr>
        <w:t>Sur</w:t>
      </w:r>
      <w:r w:rsidR="00973ACD">
        <w:t xml:space="preserve"> les 54 </w:t>
      </w:r>
      <w:r w:rsidRPr="00B713EE">
        <w:t>Parties contractantes à l</w:t>
      </w:r>
      <w:r w:rsidR="007C2F80">
        <w:t>’</w:t>
      </w:r>
      <w:r w:rsidRPr="00B713EE">
        <w:t>Accord,</w:t>
      </w:r>
      <w:r w:rsidRPr="00B713EE">
        <w:rPr>
          <w:bCs/>
        </w:rPr>
        <w:t xml:space="preserve"> 38 étaient représentées et ont constitué l</w:t>
      </w:r>
      <w:r w:rsidR="007C2F80">
        <w:rPr>
          <w:bCs/>
        </w:rPr>
        <w:t>’</w:t>
      </w:r>
      <w:r w:rsidRPr="00B713EE">
        <w:rPr>
          <w:bCs/>
        </w:rPr>
        <w:t xml:space="preserve">AC.1 à sa soixante-cinquième </w:t>
      </w:r>
      <w:r w:rsidR="00973ACD">
        <w:t>session tenue le 15 </w:t>
      </w:r>
      <w:r w:rsidRPr="00B713EE">
        <w:t>mars 2017.</w:t>
      </w:r>
    </w:p>
    <w:p w:rsidR="00CD04C1" w:rsidRPr="00B713EE" w:rsidRDefault="00CD04C1" w:rsidP="008C0F4C">
      <w:pPr>
        <w:pStyle w:val="ParNoG"/>
        <w:tabs>
          <w:tab w:val="clear" w:pos="1701"/>
        </w:tabs>
      </w:pPr>
      <w:r w:rsidRPr="00B713EE">
        <w:rPr>
          <w:rFonts w:eastAsia="SimSun"/>
        </w:rPr>
        <w:t>L</w:t>
      </w:r>
      <w:r w:rsidR="007C2F80">
        <w:rPr>
          <w:rFonts w:eastAsia="SimSun"/>
        </w:rPr>
        <w:t>’</w:t>
      </w:r>
      <w:r w:rsidRPr="00B713EE">
        <w:rPr>
          <w:rFonts w:eastAsia="SimSun"/>
        </w:rPr>
        <w:t>AC</w:t>
      </w:r>
      <w:r w:rsidRPr="00B713EE">
        <w:t>.1 a invité le Président du WP.29, à présider la session.</w:t>
      </w:r>
    </w:p>
    <w:p w:rsidR="00CD04C1" w:rsidRPr="00B713EE" w:rsidRDefault="00CD04C1" w:rsidP="00756B89">
      <w:pPr>
        <w:pStyle w:val="HChG"/>
      </w:pPr>
      <w:r w:rsidRPr="00B713EE">
        <w:tab/>
      </w:r>
      <w:bookmarkStart w:id="56" w:name="_Toc478663154"/>
      <w:r w:rsidRPr="00B713EE">
        <w:t>XIII.</w:t>
      </w:r>
      <w:r w:rsidRPr="00B713EE">
        <w:tab/>
        <w:t>Proposition d</w:t>
      </w:r>
      <w:r w:rsidR="007C2F80">
        <w:t>’</w:t>
      </w:r>
      <w:r w:rsidRPr="00B713EE">
        <w:t>amendements et de rectificatifs à des Règlements existan</w:t>
      </w:r>
      <w:r w:rsidR="001E39A4" w:rsidRPr="00B713EE">
        <w:t xml:space="preserve">ts et à de nouveaux règlements </w:t>
      </w:r>
      <w:r w:rsidR="001E39A4" w:rsidRPr="00B713EE">
        <w:br/>
        <w:t>− </w:t>
      </w:r>
      <w:r w:rsidR="00973ACD">
        <w:t>Vote de l</w:t>
      </w:r>
      <w:r w:rsidR="007C2F80">
        <w:t>’</w:t>
      </w:r>
      <w:r w:rsidR="00973ACD">
        <w:t>AC.1 (point </w:t>
      </w:r>
      <w:r w:rsidRPr="00B713EE">
        <w:t>11 de l</w:t>
      </w:r>
      <w:r w:rsidR="007C2F80">
        <w:t>’</w:t>
      </w:r>
      <w:r w:rsidRPr="00B713EE">
        <w:t>ordre du jour)</w:t>
      </w:r>
      <w:bookmarkEnd w:id="56"/>
    </w:p>
    <w:p w:rsidR="00CD04C1" w:rsidRPr="00B713EE" w:rsidRDefault="00CD04C1" w:rsidP="008C0F4C">
      <w:pPr>
        <w:pStyle w:val="ParNoG"/>
        <w:tabs>
          <w:tab w:val="clear" w:pos="1701"/>
        </w:tabs>
      </w:pPr>
      <w:r w:rsidRPr="00B713EE">
        <w:rPr>
          <w:rFonts w:eastAsia="SimSun"/>
        </w:rPr>
        <w:t>Les</w:t>
      </w:r>
      <w:r w:rsidRPr="00B713EE">
        <w:t xml:space="preserve"> résultats du vote sur les documents présentés sont indiqués dans les tableaux suivants</w:t>
      </w:r>
      <w:r w:rsidR="001E39A4" w:rsidRPr="00B713EE">
        <w:t> </w:t>
      </w:r>
      <w:r w:rsidRPr="00B713EE">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
        <w:gridCol w:w="2065"/>
        <w:gridCol w:w="993"/>
        <w:gridCol w:w="932"/>
        <w:gridCol w:w="1567"/>
        <w:gridCol w:w="854"/>
        <w:gridCol w:w="1610"/>
        <w:gridCol w:w="853"/>
      </w:tblGrid>
      <w:tr w:rsidR="00CD04C1" w:rsidRPr="00B713EE" w:rsidTr="00FC4127">
        <w:trPr>
          <w:cantSplit/>
          <w:trHeight w:val="350"/>
          <w:tblHeader/>
        </w:trPr>
        <w:tc>
          <w:tcPr>
            <w:tcW w:w="9639" w:type="dxa"/>
            <w:gridSpan w:val="8"/>
            <w:tcBorders>
              <w:bottom w:val="single" w:sz="4" w:space="0" w:color="auto"/>
            </w:tcBorders>
            <w:vAlign w:val="center"/>
          </w:tcPr>
          <w:p w:rsidR="00CD04C1" w:rsidRPr="00B713EE" w:rsidRDefault="00CD04C1" w:rsidP="00233EB7">
            <w:pPr>
              <w:spacing w:before="60" w:after="60"/>
              <w:ind w:left="57" w:right="57"/>
              <w:jc w:val="center"/>
              <w:rPr>
                <w:i/>
                <w:sz w:val="16"/>
                <w:szCs w:val="16"/>
              </w:rPr>
            </w:pPr>
            <w:r w:rsidRPr="00B713EE">
              <w:rPr>
                <w:i/>
                <w:sz w:val="16"/>
                <w:szCs w:val="16"/>
              </w:rPr>
              <w:t>Amendements à des Règlements existants</w:t>
            </w:r>
          </w:p>
        </w:tc>
      </w:tr>
      <w:tr w:rsidR="00584E43" w:rsidRPr="00B713EE" w:rsidTr="00584E43">
        <w:trPr>
          <w:cantSplit/>
          <w:trHeight w:val="907"/>
          <w:tblHeader/>
        </w:trPr>
        <w:tc>
          <w:tcPr>
            <w:tcW w:w="765" w:type="dxa"/>
            <w:vMerge w:val="restart"/>
            <w:tcBorders>
              <w:bottom w:val="single" w:sz="12" w:space="0" w:color="auto"/>
            </w:tcBorders>
            <w:vAlign w:val="bottom"/>
          </w:tcPr>
          <w:p w:rsidR="00CD04C1" w:rsidRPr="00B713EE" w:rsidRDefault="00CD04C1" w:rsidP="00FC4127">
            <w:pPr>
              <w:spacing w:before="60" w:after="60"/>
              <w:ind w:left="57" w:right="57"/>
              <w:rPr>
                <w:i/>
                <w:spacing w:val="-4"/>
                <w:sz w:val="16"/>
                <w:szCs w:val="16"/>
              </w:rPr>
            </w:pPr>
            <w:r w:rsidRPr="00B713EE">
              <w:rPr>
                <w:i/>
                <w:spacing w:val="-4"/>
                <w:sz w:val="16"/>
                <w:szCs w:val="16"/>
              </w:rPr>
              <w:t xml:space="preserve">Règlement </w:t>
            </w:r>
            <w:r w:rsidR="0051257F" w:rsidRPr="0051257F">
              <w:rPr>
                <w:rFonts w:eastAsia="MS Mincho"/>
                <w:i/>
                <w:spacing w:val="-4"/>
                <w:sz w:val="16"/>
                <w:szCs w:val="16"/>
              </w:rPr>
              <w:t>n</w:t>
            </w:r>
            <w:r w:rsidR="0051257F" w:rsidRPr="0051257F">
              <w:rPr>
                <w:rFonts w:eastAsia="MS Mincho"/>
                <w:i/>
                <w:spacing w:val="-4"/>
                <w:sz w:val="16"/>
                <w:szCs w:val="16"/>
                <w:vertAlign w:val="superscript"/>
              </w:rPr>
              <w:t>o</w:t>
            </w:r>
          </w:p>
        </w:tc>
        <w:tc>
          <w:tcPr>
            <w:tcW w:w="2065" w:type="dxa"/>
            <w:vMerge w:val="restart"/>
            <w:tcBorders>
              <w:bottom w:val="single" w:sz="12" w:space="0" w:color="auto"/>
            </w:tcBorders>
            <w:vAlign w:val="bottom"/>
          </w:tcPr>
          <w:p w:rsidR="00CD04C1" w:rsidRPr="00B713EE" w:rsidRDefault="00CD04C1" w:rsidP="00FC4127">
            <w:pPr>
              <w:spacing w:before="60" w:after="60"/>
              <w:ind w:left="57" w:right="57"/>
              <w:rPr>
                <w:i/>
                <w:spacing w:val="-4"/>
                <w:sz w:val="16"/>
                <w:szCs w:val="16"/>
              </w:rPr>
            </w:pPr>
            <w:r w:rsidRPr="00B713EE">
              <w:rPr>
                <w:i/>
                <w:spacing w:val="-4"/>
                <w:sz w:val="16"/>
                <w:szCs w:val="16"/>
              </w:rPr>
              <w:t>Sujet du Règlement</w:t>
            </w:r>
          </w:p>
        </w:tc>
        <w:tc>
          <w:tcPr>
            <w:tcW w:w="1925" w:type="dxa"/>
            <w:gridSpan w:val="2"/>
            <w:tcBorders>
              <w:bottom w:val="single" w:sz="4" w:space="0" w:color="auto"/>
            </w:tcBorders>
            <w:vAlign w:val="bottom"/>
          </w:tcPr>
          <w:p w:rsidR="00CD04C1" w:rsidRPr="00B713EE" w:rsidRDefault="00CD04C1" w:rsidP="00FC4127">
            <w:pPr>
              <w:spacing w:before="60" w:after="60"/>
              <w:ind w:left="57" w:right="57"/>
              <w:jc w:val="center"/>
              <w:rPr>
                <w:i/>
                <w:spacing w:val="-4"/>
                <w:sz w:val="16"/>
                <w:szCs w:val="16"/>
              </w:rPr>
            </w:pPr>
            <w:r w:rsidRPr="00B713EE">
              <w:rPr>
                <w:i/>
                <w:spacing w:val="-4"/>
                <w:sz w:val="16"/>
                <w:szCs w:val="16"/>
              </w:rPr>
              <w:t>Parties contractantes</w:t>
            </w:r>
          </w:p>
        </w:tc>
        <w:tc>
          <w:tcPr>
            <w:tcW w:w="1567" w:type="dxa"/>
            <w:vMerge w:val="restart"/>
            <w:tcBorders>
              <w:bottom w:val="single" w:sz="12" w:space="0" w:color="auto"/>
            </w:tcBorders>
            <w:vAlign w:val="bottom"/>
          </w:tcPr>
          <w:p w:rsidR="00CD04C1" w:rsidRPr="00B713EE" w:rsidRDefault="005530CC" w:rsidP="00FC4127">
            <w:pPr>
              <w:spacing w:before="60" w:after="60"/>
              <w:ind w:left="57" w:right="57"/>
              <w:rPr>
                <w:i/>
                <w:spacing w:val="-4"/>
                <w:sz w:val="16"/>
                <w:szCs w:val="16"/>
              </w:rPr>
            </w:pPr>
            <w:r>
              <w:rPr>
                <w:i/>
                <w:spacing w:val="-4"/>
                <w:sz w:val="16"/>
                <w:szCs w:val="16"/>
              </w:rPr>
              <w:t>Document </w:t>
            </w:r>
            <w:r w:rsidR="00CD04C1" w:rsidRPr="00B713EE">
              <w:rPr>
                <w:i/>
                <w:spacing w:val="-4"/>
                <w:sz w:val="16"/>
                <w:szCs w:val="16"/>
              </w:rPr>
              <w:t>:</w:t>
            </w:r>
          </w:p>
          <w:p w:rsidR="00CD04C1" w:rsidRPr="00B713EE" w:rsidRDefault="00CD04C1" w:rsidP="00FC4127">
            <w:pPr>
              <w:spacing w:before="60" w:after="60"/>
              <w:ind w:left="57" w:right="57"/>
              <w:rPr>
                <w:i/>
                <w:spacing w:val="-4"/>
                <w:sz w:val="16"/>
                <w:szCs w:val="16"/>
              </w:rPr>
            </w:pPr>
            <w:r w:rsidRPr="00B713EE">
              <w:rPr>
                <w:i/>
                <w:spacing w:val="-4"/>
                <w:sz w:val="16"/>
                <w:szCs w:val="16"/>
              </w:rPr>
              <w:t>ECE/TRANS/WP.29/…</w:t>
            </w:r>
          </w:p>
        </w:tc>
        <w:tc>
          <w:tcPr>
            <w:tcW w:w="854" w:type="dxa"/>
            <w:vMerge w:val="restart"/>
            <w:tcBorders>
              <w:bottom w:val="single" w:sz="12" w:space="0" w:color="auto"/>
            </w:tcBorders>
            <w:vAlign w:val="bottom"/>
          </w:tcPr>
          <w:p w:rsidR="00CD04C1" w:rsidRPr="00B713EE" w:rsidRDefault="00CD04C1" w:rsidP="00FC4127">
            <w:pPr>
              <w:spacing w:before="60" w:after="60"/>
              <w:ind w:left="57" w:right="57"/>
              <w:rPr>
                <w:i/>
                <w:spacing w:val="-4"/>
                <w:sz w:val="16"/>
                <w:szCs w:val="16"/>
              </w:rPr>
            </w:pPr>
            <w:r w:rsidRPr="00B713EE">
              <w:rPr>
                <w:i/>
                <w:spacing w:val="-4"/>
                <w:sz w:val="16"/>
                <w:szCs w:val="16"/>
              </w:rPr>
              <w:t xml:space="preserve">Résultat </w:t>
            </w:r>
            <w:r w:rsidR="00FC4127" w:rsidRPr="00B713EE">
              <w:rPr>
                <w:i/>
                <w:spacing w:val="-4"/>
                <w:sz w:val="16"/>
                <w:szCs w:val="16"/>
              </w:rPr>
              <w:br/>
            </w:r>
            <w:r w:rsidRPr="00B713EE">
              <w:rPr>
                <w:i/>
                <w:spacing w:val="-4"/>
                <w:sz w:val="16"/>
                <w:szCs w:val="16"/>
              </w:rPr>
              <w:t>du vote</w:t>
            </w:r>
            <w:r w:rsidR="00FC4127" w:rsidRPr="00B713EE">
              <w:rPr>
                <w:i/>
                <w:spacing w:val="-4"/>
                <w:sz w:val="16"/>
                <w:szCs w:val="16"/>
              </w:rPr>
              <w:t> </w:t>
            </w:r>
            <w:r w:rsidRPr="00B713EE">
              <w:rPr>
                <w:i/>
                <w:spacing w:val="-4"/>
                <w:sz w:val="16"/>
                <w:szCs w:val="16"/>
              </w:rPr>
              <w:t>: pour/contre/abstentions</w:t>
            </w:r>
          </w:p>
        </w:tc>
        <w:tc>
          <w:tcPr>
            <w:tcW w:w="1610" w:type="dxa"/>
            <w:vMerge w:val="restart"/>
            <w:tcBorders>
              <w:bottom w:val="single" w:sz="12" w:space="0" w:color="auto"/>
            </w:tcBorders>
            <w:vAlign w:val="bottom"/>
          </w:tcPr>
          <w:p w:rsidR="00CD04C1" w:rsidRPr="00B713EE" w:rsidRDefault="00CD04C1" w:rsidP="00FC4127">
            <w:pPr>
              <w:spacing w:before="60" w:after="60"/>
              <w:ind w:left="57" w:right="57"/>
              <w:rPr>
                <w:i/>
                <w:spacing w:val="-4"/>
                <w:sz w:val="16"/>
                <w:szCs w:val="16"/>
              </w:rPr>
            </w:pPr>
            <w:r w:rsidRPr="00B713EE">
              <w:rPr>
                <w:i/>
                <w:spacing w:val="-4"/>
                <w:sz w:val="16"/>
                <w:szCs w:val="16"/>
              </w:rPr>
              <w:t>Statut du document</w:t>
            </w:r>
          </w:p>
        </w:tc>
        <w:tc>
          <w:tcPr>
            <w:tcW w:w="853" w:type="dxa"/>
            <w:vMerge w:val="restart"/>
            <w:tcBorders>
              <w:bottom w:val="single" w:sz="12" w:space="0" w:color="auto"/>
            </w:tcBorders>
            <w:vAlign w:val="bottom"/>
          </w:tcPr>
          <w:p w:rsidR="00CD04C1" w:rsidRPr="00B713EE" w:rsidRDefault="00CD04C1" w:rsidP="00FC4127">
            <w:pPr>
              <w:spacing w:before="60" w:after="60"/>
              <w:ind w:left="57" w:right="57"/>
              <w:rPr>
                <w:i/>
                <w:spacing w:val="-4"/>
                <w:sz w:val="16"/>
                <w:szCs w:val="16"/>
              </w:rPr>
            </w:pPr>
            <w:r w:rsidRPr="00B713EE">
              <w:rPr>
                <w:i/>
                <w:spacing w:val="-4"/>
                <w:sz w:val="16"/>
                <w:szCs w:val="16"/>
              </w:rPr>
              <w:t>Remarque :</w:t>
            </w:r>
          </w:p>
        </w:tc>
      </w:tr>
      <w:tr w:rsidR="00FC4127" w:rsidRPr="00B713EE" w:rsidTr="00D54083">
        <w:trPr>
          <w:cantSplit/>
          <w:trHeight w:val="957"/>
          <w:tblHeader/>
        </w:trPr>
        <w:tc>
          <w:tcPr>
            <w:tcW w:w="765" w:type="dxa"/>
            <w:vMerge/>
            <w:tcBorders>
              <w:top w:val="single" w:sz="4" w:space="0" w:color="auto"/>
              <w:bottom w:val="single" w:sz="4" w:space="0" w:color="auto"/>
            </w:tcBorders>
            <w:textDirection w:val="btLr"/>
            <w:vAlign w:val="bottom"/>
          </w:tcPr>
          <w:p w:rsidR="00CD04C1" w:rsidRPr="00B713EE" w:rsidRDefault="00CD04C1" w:rsidP="00FC4127">
            <w:pPr>
              <w:spacing w:before="60" w:after="60"/>
              <w:ind w:left="57" w:right="57"/>
              <w:rPr>
                <w:sz w:val="16"/>
                <w:szCs w:val="16"/>
              </w:rPr>
            </w:pPr>
          </w:p>
        </w:tc>
        <w:tc>
          <w:tcPr>
            <w:tcW w:w="2065" w:type="dxa"/>
            <w:vMerge/>
            <w:tcBorders>
              <w:top w:val="single" w:sz="4" w:space="0" w:color="auto"/>
              <w:bottom w:val="single" w:sz="4" w:space="0" w:color="auto"/>
            </w:tcBorders>
            <w:textDirection w:val="btLr"/>
            <w:vAlign w:val="bottom"/>
          </w:tcPr>
          <w:p w:rsidR="00CD04C1" w:rsidRPr="00B713EE" w:rsidRDefault="00CD04C1" w:rsidP="00FC4127">
            <w:pPr>
              <w:spacing w:before="60" w:after="60"/>
              <w:ind w:left="57" w:right="57"/>
              <w:rPr>
                <w:sz w:val="16"/>
                <w:szCs w:val="16"/>
              </w:rPr>
            </w:pPr>
          </w:p>
        </w:tc>
        <w:tc>
          <w:tcPr>
            <w:tcW w:w="993" w:type="dxa"/>
            <w:tcBorders>
              <w:top w:val="single" w:sz="4" w:space="0" w:color="auto"/>
              <w:bottom w:val="single" w:sz="4" w:space="0" w:color="auto"/>
            </w:tcBorders>
            <w:vAlign w:val="bottom"/>
          </w:tcPr>
          <w:p w:rsidR="00CD04C1" w:rsidRPr="00B713EE" w:rsidRDefault="00CD04C1" w:rsidP="00FC4127">
            <w:pPr>
              <w:spacing w:before="60" w:after="60"/>
              <w:ind w:left="57" w:right="57"/>
              <w:rPr>
                <w:i/>
                <w:sz w:val="16"/>
                <w:szCs w:val="16"/>
              </w:rPr>
            </w:pPr>
            <w:r w:rsidRPr="00B713EE">
              <w:rPr>
                <w:i/>
                <w:sz w:val="16"/>
                <w:szCs w:val="16"/>
              </w:rPr>
              <w:t>Appliquant le Règlement</w:t>
            </w:r>
          </w:p>
        </w:tc>
        <w:tc>
          <w:tcPr>
            <w:tcW w:w="932" w:type="dxa"/>
            <w:tcBorders>
              <w:top w:val="single" w:sz="4" w:space="0" w:color="auto"/>
              <w:bottom w:val="single" w:sz="4" w:space="0" w:color="auto"/>
            </w:tcBorders>
            <w:vAlign w:val="bottom"/>
          </w:tcPr>
          <w:p w:rsidR="00CD04C1" w:rsidRPr="00B713EE" w:rsidRDefault="00CD04C1" w:rsidP="00FC4127">
            <w:pPr>
              <w:spacing w:before="60" w:after="60"/>
              <w:ind w:left="57" w:right="57"/>
              <w:rPr>
                <w:i/>
                <w:sz w:val="16"/>
                <w:szCs w:val="16"/>
              </w:rPr>
            </w:pPr>
            <w:r w:rsidRPr="00B713EE">
              <w:rPr>
                <w:i/>
                <w:sz w:val="16"/>
                <w:szCs w:val="16"/>
              </w:rPr>
              <w:t xml:space="preserve">Présentes </w:t>
            </w:r>
            <w:r w:rsidR="00973ACD">
              <w:rPr>
                <w:i/>
                <w:sz w:val="16"/>
                <w:szCs w:val="16"/>
              </w:rPr>
              <w:br/>
            </w:r>
            <w:r w:rsidRPr="00B713EE">
              <w:rPr>
                <w:i/>
                <w:sz w:val="16"/>
                <w:szCs w:val="16"/>
              </w:rPr>
              <w:t>et votantes</w:t>
            </w:r>
          </w:p>
        </w:tc>
        <w:tc>
          <w:tcPr>
            <w:tcW w:w="1567" w:type="dxa"/>
            <w:vMerge/>
            <w:tcBorders>
              <w:top w:val="single" w:sz="4" w:space="0" w:color="auto"/>
              <w:bottom w:val="single" w:sz="4" w:space="0" w:color="auto"/>
            </w:tcBorders>
            <w:vAlign w:val="bottom"/>
          </w:tcPr>
          <w:p w:rsidR="00CD04C1" w:rsidRPr="00B713EE" w:rsidRDefault="00CD04C1" w:rsidP="00FC4127">
            <w:pPr>
              <w:spacing w:before="60" w:after="60"/>
              <w:ind w:left="57" w:right="57"/>
              <w:rPr>
                <w:sz w:val="16"/>
                <w:szCs w:val="16"/>
              </w:rPr>
            </w:pPr>
          </w:p>
        </w:tc>
        <w:tc>
          <w:tcPr>
            <w:tcW w:w="854" w:type="dxa"/>
            <w:vMerge/>
            <w:tcBorders>
              <w:top w:val="single" w:sz="4" w:space="0" w:color="auto"/>
              <w:bottom w:val="single" w:sz="4" w:space="0" w:color="auto"/>
            </w:tcBorders>
            <w:vAlign w:val="bottom"/>
          </w:tcPr>
          <w:p w:rsidR="00CD04C1" w:rsidRPr="00B713EE" w:rsidRDefault="00CD04C1" w:rsidP="00FC4127">
            <w:pPr>
              <w:spacing w:before="60" w:after="60"/>
              <w:ind w:left="57" w:right="57"/>
              <w:rPr>
                <w:sz w:val="16"/>
                <w:szCs w:val="16"/>
              </w:rPr>
            </w:pPr>
          </w:p>
        </w:tc>
        <w:tc>
          <w:tcPr>
            <w:tcW w:w="1610" w:type="dxa"/>
            <w:vMerge/>
            <w:tcBorders>
              <w:top w:val="single" w:sz="4" w:space="0" w:color="auto"/>
              <w:bottom w:val="single" w:sz="4" w:space="0" w:color="auto"/>
            </w:tcBorders>
            <w:textDirection w:val="btLr"/>
            <w:vAlign w:val="bottom"/>
          </w:tcPr>
          <w:p w:rsidR="00CD04C1" w:rsidRPr="00B713EE" w:rsidRDefault="00CD04C1" w:rsidP="00FC4127">
            <w:pPr>
              <w:spacing w:before="60" w:after="60"/>
              <w:ind w:left="57" w:right="57"/>
              <w:rPr>
                <w:sz w:val="16"/>
                <w:szCs w:val="16"/>
              </w:rPr>
            </w:pPr>
          </w:p>
        </w:tc>
        <w:tc>
          <w:tcPr>
            <w:tcW w:w="853" w:type="dxa"/>
            <w:vMerge/>
            <w:tcBorders>
              <w:top w:val="single" w:sz="4" w:space="0" w:color="auto"/>
              <w:bottom w:val="single" w:sz="4" w:space="0" w:color="auto"/>
            </w:tcBorders>
            <w:textDirection w:val="btLr"/>
            <w:vAlign w:val="bottom"/>
          </w:tcPr>
          <w:p w:rsidR="00CD04C1" w:rsidRPr="00B713EE" w:rsidRDefault="00CD04C1" w:rsidP="00FC4127">
            <w:pPr>
              <w:spacing w:before="60" w:after="60"/>
              <w:ind w:left="57" w:right="57"/>
              <w:rPr>
                <w:sz w:val="16"/>
                <w:szCs w:val="16"/>
              </w:rPr>
            </w:pPr>
          </w:p>
        </w:tc>
      </w:tr>
      <w:tr w:rsidR="00FC4127" w:rsidRPr="00B713EE" w:rsidTr="00D54083">
        <w:trPr>
          <w:cantSplit/>
        </w:trPr>
        <w:tc>
          <w:tcPr>
            <w:tcW w:w="765" w:type="dxa"/>
            <w:tcBorders>
              <w:top w:val="single" w:sz="4" w:space="0" w:color="auto"/>
            </w:tcBorders>
          </w:tcPr>
          <w:p w:rsidR="00CD04C1" w:rsidRPr="00B713EE" w:rsidRDefault="00CD04C1" w:rsidP="00FC4127">
            <w:pPr>
              <w:spacing w:before="60" w:after="60"/>
              <w:ind w:left="57" w:right="57"/>
            </w:pPr>
            <w:r w:rsidRPr="00B713EE">
              <w:t>3</w:t>
            </w:r>
          </w:p>
        </w:tc>
        <w:tc>
          <w:tcPr>
            <w:tcW w:w="2065" w:type="dxa"/>
            <w:tcBorders>
              <w:top w:val="single" w:sz="4" w:space="0" w:color="auto"/>
            </w:tcBorders>
          </w:tcPr>
          <w:p w:rsidR="00CD04C1" w:rsidRPr="00B713EE" w:rsidRDefault="00CD04C1" w:rsidP="00FC4127">
            <w:pPr>
              <w:spacing w:before="60" w:after="60"/>
              <w:ind w:left="57" w:right="57"/>
              <w:rPr>
                <w:bCs/>
              </w:rPr>
            </w:pPr>
            <w:r w:rsidRPr="00B713EE">
              <w:rPr>
                <w:bCs/>
              </w:rPr>
              <w:t xml:space="preserve">Dispositifs catadioptriques </w:t>
            </w:r>
          </w:p>
        </w:tc>
        <w:tc>
          <w:tcPr>
            <w:tcW w:w="993" w:type="dxa"/>
            <w:tcBorders>
              <w:top w:val="single" w:sz="4" w:space="0" w:color="auto"/>
              <w:bottom w:val="single" w:sz="4" w:space="0" w:color="auto"/>
            </w:tcBorders>
          </w:tcPr>
          <w:p w:rsidR="00CD04C1" w:rsidRPr="00B713EE" w:rsidRDefault="00CD04C1" w:rsidP="00FC4127">
            <w:pPr>
              <w:spacing w:before="60" w:after="60"/>
              <w:ind w:left="57" w:right="57"/>
            </w:pPr>
            <w:r w:rsidRPr="00B713EE">
              <w:t>48</w:t>
            </w:r>
          </w:p>
        </w:tc>
        <w:tc>
          <w:tcPr>
            <w:tcW w:w="932" w:type="dxa"/>
            <w:tcBorders>
              <w:top w:val="single" w:sz="4" w:space="0" w:color="auto"/>
              <w:bottom w:val="single" w:sz="4" w:space="0" w:color="auto"/>
            </w:tcBorders>
          </w:tcPr>
          <w:p w:rsidR="00CD04C1" w:rsidRPr="00B713EE" w:rsidRDefault="00CD04C1" w:rsidP="00FC4127">
            <w:pPr>
              <w:spacing w:before="60" w:after="60"/>
              <w:ind w:left="57" w:right="57"/>
            </w:pPr>
            <w:r w:rsidRPr="00B713EE">
              <w:t>37</w:t>
            </w:r>
          </w:p>
        </w:tc>
        <w:tc>
          <w:tcPr>
            <w:tcW w:w="1567" w:type="dxa"/>
            <w:tcBorders>
              <w:top w:val="single" w:sz="4" w:space="0" w:color="auto"/>
            </w:tcBorders>
          </w:tcPr>
          <w:p w:rsidR="00CD04C1" w:rsidRPr="00B713EE" w:rsidRDefault="00CD04C1" w:rsidP="00FC4127">
            <w:pPr>
              <w:spacing w:before="60" w:after="60"/>
              <w:ind w:left="57" w:right="57"/>
            </w:pPr>
            <w:r w:rsidRPr="00B713EE">
              <w:t>2017/19</w:t>
            </w:r>
          </w:p>
        </w:tc>
        <w:tc>
          <w:tcPr>
            <w:tcW w:w="854" w:type="dxa"/>
            <w:tcBorders>
              <w:top w:val="single" w:sz="4" w:space="0" w:color="auto"/>
            </w:tcBorders>
          </w:tcPr>
          <w:p w:rsidR="00CD04C1" w:rsidRPr="00B713EE" w:rsidRDefault="00CD04C1" w:rsidP="00FC4127">
            <w:pPr>
              <w:spacing w:before="60" w:after="60"/>
              <w:ind w:left="57" w:right="57"/>
              <w:rPr>
                <w:highlight w:val="yellow"/>
              </w:rPr>
            </w:pPr>
            <w:r w:rsidRPr="00B713EE">
              <w:t>37/0/0</w:t>
            </w:r>
          </w:p>
        </w:tc>
        <w:tc>
          <w:tcPr>
            <w:tcW w:w="1610" w:type="dxa"/>
            <w:tcBorders>
              <w:top w:val="single" w:sz="4" w:space="0" w:color="auto"/>
            </w:tcBorders>
          </w:tcPr>
          <w:p w:rsidR="00CD04C1" w:rsidRPr="00B713EE" w:rsidRDefault="00CD04C1" w:rsidP="00FC4127">
            <w:pPr>
              <w:spacing w:before="60" w:after="60"/>
              <w:ind w:left="57" w:right="57"/>
            </w:pPr>
            <w:r w:rsidRPr="00B713EE">
              <w:t>Complément 17</w:t>
            </w:r>
            <w:r w:rsidR="00584E43" w:rsidRPr="00B713EE">
              <w:t xml:space="preserve"> à </w:t>
            </w:r>
            <w:r w:rsidRPr="00B713EE">
              <w:t>la série 02</w:t>
            </w:r>
          </w:p>
        </w:tc>
        <w:tc>
          <w:tcPr>
            <w:tcW w:w="853" w:type="dxa"/>
            <w:tcBorders>
              <w:top w:val="single" w:sz="4" w:space="0" w:color="auto"/>
            </w:tcBorders>
          </w:tcPr>
          <w:p w:rsidR="00CD04C1" w:rsidRPr="0051257F" w:rsidRDefault="00CD04C1" w:rsidP="00FC4127">
            <w:pPr>
              <w:spacing w:before="60" w:after="60"/>
              <w:ind w:left="57" w:right="57"/>
            </w:pPr>
            <w:r w:rsidRPr="0051257F">
              <w:t>*</w:t>
            </w:r>
          </w:p>
        </w:tc>
      </w:tr>
      <w:tr w:rsidR="00FC4127" w:rsidRPr="00B713EE" w:rsidTr="00584E43">
        <w:trPr>
          <w:cantSplit/>
        </w:trPr>
        <w:tc>
          <w:tcPr>
            <w:tcW w:w="765" w:type="dxa"/>
          </w:tcPr>
          <w:p w:rsidR="00CD04C1" w:rsidRPr="00B713EE" w:rsidRDefault="00CD04C1" w:rsidP="00FC4127">
            <w:pPr>
              <w:spacing w:before="60" w:after="60"/>
              <w:ind w:left="57" w:right="57"/>
            </w:pPr>
            <w:r w:rsidRPr="00B713EE">
              <w:t>4</w:t>
            </w:r>
          </w:p>
        </w:tc>
        <w:tc>
          <w:tcPr>
            <w:tcW w:w="2065" w:type="dxa"/>
          </w:tcPr>
          <w:p w:rsidR="00CD04C1" w:rsidRPr="00B713EE" w:rsidRDefault="00CD04C1" w:rsidP="00FC4127">
            <w:pPr>
              <w:spacing w:before="60" w:after="60"/>
              <w:ind w:left="57" w:right="57"/>
              <w:rPr>
                <w:bCs/>
              </w:rPr>
            </w:pPr>
            <w:r w:rsidRPr="00B713EE">
              <w:rPr>
                <w:bCs/>
              </w:rPr>
              <w:t>Éclairage de la plaque d</w:t>
            </w:r>
            <w:r w:rsidR="007C2F80">
              <w:rPr>
                <w:bCs/>
              </w:rPr>
              <w:t>’</w:t>
            </w:r>
            <w:r w:rsidRPr="00B713EE">
              <w:rPr>
                <w:bCs/>
              </w:rPr>
              <w:t>immatriculation arrière</w:t>
            </w:r>
          </w:p>
        </w:tc>
        <w:tc>
          <w:tcPr>
            <w:tcW w:w="993" w:type="dxa"/>
            <w:tcBorders>
              <w:top w:val="single" w:sz="6" w:space="0" w:color="auto"/>
              <w:bottom w:val="single" w:sz="4" w:space="0" w:color="auto"/>
            </w:tcBorders>
          </w:tcPr>
          <w:p w:rsidR="00CD04C1" w:rsidRPr="00B713EE" w:rsidRDefault="00CD04C1" w:rsidP="00FC4127">
            <w:pPr>
              <w:spacing w:before="60" w:after="60"/>
              <w:ind w:left="57" w:right="57"/>
            </w:pPr>
            <w:r w:rsidRPr="00B713EE">
              <w:t>47</w:t>
            </w:r>
          </w:p>
        </w:tc>
        <w:tc>
          <w:tcPr>
            <w:tcW w:w="932" w:type="dxa"/>
            <w:tcBorders>
              <w:top w:val="single" w:sz="6" w:space="0" w:color="auto"/>
              <w:bottom w:val="single" w:sz="4" w:space="0" w:color="auto"/>
            </w:tcBorders>
          </w:tcPr>
          <w:p w:rsidR="00CD04C1" w:rsidRPr="00B713EE" w:rsidRDefault="00CD04C1" w:rsidP="00FC4127">
            <w:pPr>
              <w:spacing w:before="60" w:after="60"/>
              <w:ind w:left="57" w:right="57"/>
            </w:pPr>
            <w:r w:rsidRPr="00B713EE">
              <w:t>36</w:t>
            </w:r>
          </w:p>
        </w:tc>
        <w:tc>
          <w:tcPr>
            <w:tcW w:w="1567" w:type="dxa"/>
          </w:tcPr>
          <w:p w:rsidR="00CD04C1" w:rsidRPr="00B713EE" w:rsidRDefault="00CD04C1" w:rsidP="00FC4127">
            <w:pPr>
              <w:spacing w:before="60" w:after="60"/>
              <w:ind w:left="57" w:right="57"/>
            </w:pPr>
            <w:r w:rsidRPr="00B713EE">
              <w:t>2017/20</w:t>
            </w:r>
          </w:p>
        </w:tc>
        <w:tc>
          <w:tcPr>
            <w:tcW w:w="854" w:type="dxa"/>
          </w:tcPr>
          <w:p w:rsidR="00CD04C1" w:rsidRPr="00B713EE" w:rsidRDefault="00CD04C1" w:rsidP="00FC4127">
            <w:pPr>
              <w:spacing w:before="60" w:after="60"/>
              <w:ind w:left="57" w:right="57"/>
              <w:rPr>
                <w:highlight w:val="yellow"/>
              </w:rPr>
            </w:pPr>
            <w:r w:rsidRPr="00B713EE">
              <w:t>36/0/0</w:t>
            </w:r>
          </w:p>
        </w:tc>
        <w:tc>
          <w:tcPr>
            <w:tcW w:w="1610" w:type="dxa"/>
          </w:tcPr>
          <w:p w:rsidR="00CD04C1" w:rsidRPr="00B713EE" w:rsidRDefault="00CD04C1" w:rsidP="00FC4127">
            <w:pPr>
              <w:spacing w:before="60" w:after="60"/>
              <w:ind w:left="57" w:right="57"/>
            </w:pPr>
            <w:r w:rsidRPr="00B713EE">
              <w:t>Complément 18 à la série 00</w:t>
            </w:r>
          </w:p>
        </w:tc>
        <w:tc>
          <w:tcPr>
            <w:tcW w:w="853" w:type="dxa"/>
          </w:tcPr>
          <w:p w:rsidR="00CD04C1" w:rsidRPr="0051257F" w:rsidRDefault="00CD04C1" w:rsidP="00FC4127">
            <w:pPr>
              <w:spacing w:before="60" w:after="60"/>
              <w:ind w:left="57" w:right="57"/>
            </w:pPr>
            <w:r w:rsidRPr="0051257F">
              <w:t>*</w:t>
            </w:r>
          </w:p>
        </w:tc>
      </w:tr>
      <w:tr w:rsidR="00FC4127" w:rsidRPr="00B713EE" w:rsidTr="00584E43">
        <w:trPr>
          <w:cantSplit/>
        </w:trPr>
        <w:tc>
          <w:tcPr>
            <w:tcW w:w="765" w:type="dxa"/>
          </w:tcPr>
          <w:p w:rsidR="00CD04C1" w:rsidRPr="00B713EE" w:rsidRDefault="00CD04C1" w:rsidP="00FC4127">
            <w:pPr>
              <w:spacing w:before="60" w:after="60"/>
              <w:ind w:left="57" w:right="57"/>
            </w:pPr>
            <w:r w:rsidRPr="00B713EE">
              <w:t>6</w:t>
            </w:r>
          </w:p>
        </w:tc>
        <w:tc>
          <w:tcPr>
            <w:tcW w:w="2065" w:type="dxa"/>
          </w:tcPr>
          <w:p w:rsidR="00CD04C1" w:rsidRPr="00B713EE" w:rsidRDefault="00CD04C1" w:rsidP="00FC4127">
            <w:pPr>
              <w:spacing w:before="60" w:after="60"/>
              <w:ind w:left="57" w:right="57"/>
              <w:rPr>
                <w:bCs/>
              </w:rPr>
            </w:pPr>
            <w:r w:rsidRPr="00B713EE">
              <w:rPr>
                <w:bCs/>
              </w:rPr>
              <w:t>Feux indicateurs de direction</w:t>
            </w:r>
          </w:p>
        </w:tc>
        <w:tc>
          <w:tcPr>
            <w:tcW w:w="993" w:type="dxa"/>
            <w:tcBorders>
              <w:top w:val="single" w:sz="6" w:space="0" w:color="auto"/>
              <w:bottom w:val="single" w:sz="4" w:space="0" w:color="auto"/>
            </w:tcBorders>
          </w:tcPr>
          <w:p w:rsidR="00CD04C1" w:rsidRPr="00B713EE" w:rsidRDefault="00CD04C1" w:rsidP="00FC4127">
            <w:pPr>
              <w:spacing w:before="60" w:after="60"/>
              <w:ind w:left="57" w:right="57"/>
            </w:pPr>
            <w:r w:rsidRPr="00B713EE">
              <w:t>48</w:t>
            </w:r>
          </w:p>
        </w:tc>
        <w:tc>
          <w:tcPr>
            <w:tcW w:w="932" w:type="dxa"/>
            <w:tcBorders>
              <w:top w:val="single" w:sz="6" w:space="0" w:color="auto"/>
              <w:bottom w:val="single" w:sz="4" w:space="0" w:color="auto"/>
            </w:tcBorders>
          </w:tcPr>
          <w:p w:rsidR="00CD04C1" w:rsidRPr="00B713EE" w:rsidRDefault="00CD04C1" w:rsidP="00FC4127">
            <w:pPr>
              <w:spacing w:before="60" w:after="60"/>
              <w:ind w:left="57" w:right="57"/>
            </w:pPr>
            <w:r w:rsidRPr="00B713EE">
              <w:t>37</w:t>
            </w:r>
          </w:p>
        </w:tc>
        <w:tc>
          <w:tcPr>
            <w:tcW w:w="1567" w:type="dxa"/>
          </w:tcPr>
          <w:p w:rsidR="00CD04C1" w:rsidRPr="00B713EE" w:rsidRDefault="00CD04C1" w:rsidP="00FC4127">
            <w:pPr>
              <w:spacing w:before="60" w:after="60"/>
              <w:ind w:left="57" w:right="57"/>
            </w:pPr>
            <w:r w:rsidRPr="00B713EE">
              <w:t>2017/21</w:t>
            </w:r>
          </w:p>
        </w:tc>
        <w:tc>
          <w:tcPr>
            <w:tcW w:w="854" w:type="dxa"/>
          </w:tcPr>
          <w:p w:rsidR="00CD04C1" w:rsidRPr="00B713EE" w:rsidRDefault="00CD04C1" w:rsidP="00FC4127">
            <w:pPr>
              <w:spacing w:before="60" w:after="60"/>
              <w:ind w:left="57" w:right="57"/>
            </w:pPr>
            <w:r w:rsidRPr="00B713EE">
              <w:t>37/0/0</w:t>
            </w:r>
          </w:p>
        </w:tc>
        <w:tc>
          <w:tcPr>
            <w:tcW w:w="1610" w:type="dxa"/>
          </w:tcPr>
          <w:p w:rsidR="00CD04C1" w:rsidRPr="00B713EE" w:rsidRDefault="00CD04C1" w:rsidP="00FC4127">
            <w:pPr>
              <w:spacing w:before="60" w:after="60"/>
              <w:ind w:left="57" w:right="57"/>
            </w:pPr>
            <w:r w:rsidRPr="00B713EE">
              <w:t>Complément 27 à la série 01</w:t>
            </w:r>
          </w:p>
        </w:tc>
        <w:tc>
          <w:tcPr>
            <w:tcW w:w="853" w:type="dxa"/>
          </w:tcPr>
          <w:p w:rsidR="00CD04C1" w:rsidRPr="0051257F" w:rsidRDefault="00CD04C1" w:rsidP="00FC4127">
            <w:pPr>
              <w:spacing w:before="60" w:after="60"/>
              <w:ind w:left="57" w:right="57"/>
            </w:pPr>
            <w:r w:rsidRPr="0051257F">
              <w:t>*</w:t>
            </w:r>
          </w:p>
        </w:tc>
      </w:tr>
      <w:tr w:rsidR="00FC4127" w:rsidRPr="00B713EE" w:rsidTr="00584E43">
        <w:trPr>
          <w:cantSplit/>
        </w:trPr>
        <w:tc>
          <w:tcPr>
            <w:tcW w:w="765" w:type="dxa"/>
          </w:tcPr>
          <w:p w:rsidR="00CD04C1" w:rsidRPr="00B713EE" w:rsidRDefault="00CD04C1" w:rsidP="00FC4127">
            <w:pPr>
              <w:spacing w:before="60" w:after="60"/>
              <w:ind w:left="57" w:right="57"/>
            </w:pPr>
            <w:r w:rsidRPr="00B713EE">
              <w:t>7</w:t>
            </w:r>
          </w:p>
        </w:tc>
        <w:tc>
          <w:tcPr>
            <w:tcW w:w="2065" w:type="dxa"/>
          </w:tcPr>
          <w:p w:rsidR="00CD04C1" w:rsidRPr="00B713EE" w:rsidRDefault="00CD04C1" w:rsidP="00FC4127">
            <w:pPr>
              <w:spacing w:before="60" w:after="60"/>
              <w:ind w:left="57" w:right="57"/>
              <w:rPr>
                <w:bCs/>
              </w:rPr>
            </w:pPr>
            <w:r w:rsidRPr="00B713EE">
              <w:rPr>
                <w:bCs/>
              </w:rPr>
              <w:t>Feux de position, feux-stop et feux d</w:t>
            </w:r>
            <w:r w:rsidR="007C2F80">
              <w:rPr>
                <w:bCs/>
              </w:rPr>
              <w:t>’</w:t>
            </w:r>
            <w:r w:rsidRPr="00B713EE">
              <w:rPr>
                <w:bCs/>
              </w:rPr>
              <w:t>encombrement</w:t>
            </w:r>
          </w:p>
        </w:tc>
        <w:tc>
          <w:tcPr>
            <w:tcW w:w="993" w:type="dxa"/>
            <w:tcBorders>
              <w:top w:val="single" w:sz="6" w:space="0" w:color="auto"/>
              <w:bottom w:val="single" w:sz="4" w:space="0" w:color="auto"/>
            </w:tcBorders>
          </w:tcPr>
          <w:p w:rsidR="00CD04C1" w:rsidRPr="00B713EE" w:rsidRDefault="00CD04C1" w:rsidP="00FC4127">
            <w:pPr>
              <w:spacing w:before="60" w:after="60"/>
              <w:ind w:left="57" w:right="57"/>
            </w:pPr>
            <w:r w:rsidRPr="00B713EE">
              <w:t>48</w:t>
            </w:r>
          </w:p>
        </w:tc>
        <w:tc>
          <w:tcPr>
            <w:tcW w:w="932" w:type="dxa"/>
            <w:tcBorders>
              <w:top w:val="single" w:sz="6" w:space="0" w:color="auto"/>
              <w:bottom w:val="single" w:sz="4" w:space="0" w:color="auto"/>
            </w:tcBorders>
          </w:tcPr>
          <w:p w:rsidR="00CD04C1" w:rsidRPr="00B713EE" w:rsidRDefault="00CD04C1" w:rsidP="00FC4127">
            <w:pPr>
              <w:spacing w:before="60" w:after="60"/>
              <w:ind w:left="57" w:right="57"/>
            </w:pPr>
            <w:r w:rsidRPr="00B713EE">
              <w:t>37</w:t>
            </w:r>
          </w:p>
        </w:tc>
        <w:tc>
          <w:tcPr>
            <w:tcW w:w="1567" w:type="dxa"/>
          </w:tcPr>
          <w:p w:rsidR="00CD04C1" w:rsidRPr="00B713EE" w:rsidRDefault="00CD04C1" w:rsidP="00FC4127">
            <w:pPr>
              <w:spacing w:before="60" w:after="60"/>
              <w:ind w:left="57" w:right="57"/>
            </w:pPr>
            <w:r w:rsidRPr="00B713EE">
              <w:t>2017/22</w:t>
            </w:r>
          </w:p>
        </w:tc>
        <w:tc>
          <w:tcPr>
            <w:tcW w:w="854" w:type="dxa"/>
          </w:tcPr>
          <w:p w:rsidR="00CD04C1" w:rsidRPr="00B713EE" w:rsidRDefault="00CD04C1" w:rsidP="00FC4127">
            <w:pPr>
              <w:spacing w:before="60" w:after="60"/>
              <w:ind w:left="57" w:right="57"/>
              <w:rPr>
                <w:highlight w:val="yellow"/>
              </w:rPr>
            </w:pPr>
            <w:r w:rsidRPr="00B713EE">
              <w:t>37/0/0</w:t>
            </w:r>
          </w:p>
        </w:tc>
        <w:tc>
          <w:tcPr>
            <w:tcW w:w="1610" w:type="dxa"/>
          </w:tcPr>
          <w:p w:rsidR="00CD04C1" w:rsidRPr="00B713EE" w:rsidRDefault="00CD04C1" w:rsidP="00FC4127">
            <w:pPr>
              <w:spacing w:before="60" w:after="60"/>
              <w:ind w:left="57" w:right="57"/>
            </w:pPr>
            <w:r w:rsidRPr="00B713EE">
              <w:t>Complément 26 à la série 02</w:t>
            </w:r>
          </w:p>
        </w:tc>
        <w:tc>
          <w:tcPr>
            <w:tcW w:w="853" w:type="dxa"/>
          </w:tcPr>
          <w:p w:rsidR="00CD04C1" w:rsidRPr="0051257F" w:rsidRDefault="00CD04C1" w:rsidP="00FC4127">
            <w:pPr>
              <w:spacing w:before="60" w:after="60"/>
              <w:ind w:left="57" w:right="57"/>
            </w:pPr>
            <w:r w:rsidRPr="0051257F">
              <w:t>*</w:t>
            </w:r>
          </w:p>
        </w:tc>
      </w:tr>
      <w:tr w:rsidR="00FC4127" w:rsidRPr="00B713EE" w:rsidTr="00584E43">
        <w:trPr>
          <w:cantSplit/>
        </w:trPr>
        <w:tc>
          <w:tcPr>
            <w:tcW w:w="765" w:type="dxa"/>
          </w:tcPr>
          <w:p w:rsidR="00CD04C1" w:rsidRPr="00B713EE" w:rsidRDefault="00CD04C1" w:rsidP="00FC4127">
            <w:pPr>
              <w:spacing w:before="60" w:after="60"/>
              <w:ind w:left="57" w:right="57"/>
            </w:pPr>
            <w:r w:rsidRPr="00B713EE">
              <w:t>9</w:t>
            </w:r>
          </w:p>
        </w:tc>
        <w:tc>
          <w:tcPr>
            <w:tcW w:w="2065" w:type="dxa"/>
          </w:tcPr>
          <w:p w:rsidR="00CD04C1" w:rsidRPr="00B713EE" w:rsidRDefault="00CD04C1" w:rsidP="00FC4127">
            <w:pPr>
              <w:spacing w:before="60" w:after="60"/>
              <w:ind w:left="57" w:right="57"/>
              <w:rPr>
                <w:bCs/>
              </w:rPr>
            </w:pPr>
            <w:r w:rsidRPr="00B713EE">
              <w:rPr>
                <w:bCs/>
              </w:rPr>
              <w:t>Bruit des véhicules à trois roues</w:t>
            </w:r>
          </w:p>
        </w:tc>
        <w:tc>
          <w:tcPr>
            <w:tcW w:w="993" w:type="dxa"/>
            <w:tcBorders>
              <w:top w:val="single" w:sz="4" w:space="0" w:color="auto"/>
            </w:tcBorders>
          </w:tcPr>
          <w:p w:rsidR="00CD04C1" w:rsidRPr="00B713EE" w:rsidRDefault="00CD04C1" w:rsidP="00FC4127">
            <w:pPr>
              <w:spacing w:before="60" w:after="60"/>
              <w:ind w:left="57" w:right="57"/>
            </w:pPr>
            <w:r w:rsidRPr="00B713EE">
              <w:t>27</w:t>
            </w:r>
          </w:p>
        </w:tc>
        <w:tc>
          <w:tcPr>
            <w:tcW w:w="932" w:type="dxa"/>
            <w:tcBorders>
              <w:top w:val="single" w:sz="4" w:space="0" w:color="auto"/>
            </w:tcBorders>
          </w:tcPr>
          <w:p w:rsidR="00CD04C1" w:rsidRPr="00B713EE" w:rsidRDefault="00CD04C1" w:rsidP="00FC4127">
            <w:pPr>
              <w:spacing w:before="60" w:after="60"/>
              <w:ind w:left="57" w:right="57"/>
            </w:pPr>
            <w:r w:rsidRPr="00B713EE">
              <w:t>15</w:t>
            </w:r>
          </w:p>
        </w:tc>
        <w:tc>
          <w:tcPr>
            <w:tcW w:w="1567" w:type="dxa"/>
          </w:tcPr>
          <w:p w:rsidR="00CD04C1" w:rsidRPr="00B713EE" w:rsidRDefault="00CD04C1" w:rsidP="00FC4127">
            <w:pPr>
              <w:spacing w:before="60" w:after="60"/>
              <w:ind w:left="57" w:right="57"/>
            </w:pPr>
            <w:r w:rsidRPr="00B713EE">
              <w:t>2017/2</w:t>
            </w:r>
          </w:p>
        </w:tc>
        <w:tc>
          <w:tcPr>
            <w:tcW w:w="854" w:type="dxa"/>
          </w:tcPr>
          <w:p w:rsidR="00CD04C1" w:rsidRPr="00B713EE" w:rsidRDefault="00CD04C1" w:rsidP="00FC4127">
            <w:pPr>
              <w:spacing w:before="60" w:after="60"/>
              <w:ind w:left="57" w:right="57"/>
            </w:pPr>
            <w:r w:rsidRPr="00B713EE">
              <w:t>15/0/0</w:t>
            </w:r>
          </w:p>
        </w:tc>
        <w:tc>
          <w:tcPr>
            <w:tcW w:w="1610" w:type="dxa"/>
          </w:tcPr>
          <w:p w:rsidR="00CD04C1" w:rsidRPr="00B713EE" w:rsidRDefault="00CD04C1" w:rsidP="00FC4127">
            <w:pPr>
              <w:spacing w:before="60" w:after="60"/>
              <w:ind w:left="57" w:right="57"/>
            </w:pPr>
            <w:r w:rsidRPr="00B713EE">
              <w:t>Complément 3 à la série 07</w:t>
            </w:r>
          </w:p>
        </w:tc>
        <w:tc>
          <w:tcPr>
            <w:tcW w:w="853" w:type="dxa"/>
          </w:tcPr>
          <w:p w:rsidR="00CD04C1" w:rsidRPr="00B713EE" w:rsidRDefault="00CD04C1" w:rsidP="00FC4127">
            <w:pPr>
              <w:spacing w:before="60" w:after="60"/>
              <w:ind w:left="57" w:right="57"/>
              <w:rPr>
                <w:vertAlign w:val="superscript"/>
              </w:rPr>
            </w:pPr>
          </w:p>
        </w:tc>
      </w:tr>
      <w:tr w:rsidR="00FC4127" w:rsidRPr="00B713EE" w:rsidTr="00584E43">
        <w:trPr>
          <w:cantSplit/>
        </w:trPr>
        <w:tc>
          <w:tcPr>
            <w:tcW w:w="765" w:type="dxa"/>
          </w:tcPr>
          <w:p w:rsidR="00CD04C1" w:rsidRPr="00B713EE" w:rsidRDefault="00CD04C1" w:rsidP="00FC4127">
            <w:pPr>
              <w:spacing w:before="60" w:after="60"/>
              <w:ind w:left="57" w:right="57"/>
            </w:pPr>
            <w:r w:rsidRPr="00B713EE">
              <w:t>19</w:t>
            </w:r>
          </w:p>
        </w:tc>
        <w:tc>
          <w:tcPr>
            <w:tcW w:w="2065" w:type="dxa"/>
          </w:tcPr>
          <w:p w:rsidR="00CD04C1" w:rsidRPr="00B713EE" w:rsidRDefault="00CD04C1" w:rsidP="00FC4127">
            <w:pPr>
              <w:spacing w:before="60" w:after="60"/>
              <w:ind w:left="57" w:right="57"/>
              <w:rPr>
                <w:bCs/>
              </w:rPr>
            </w:pPr>
            <w:r w:rsidRPr="00B713EE">
              <w:rPr>
                <w:bCs/>
              </w:rPr>
              <w:t>Feux de brouillard avant</w:t>
            </w:r>
          </w:p>
        </w:tc>
        <w:tc>
          <w:tcPr>
            <w:tcW w:w="993" w:type="dxa"/>
            <w:tcBorders>
              <w:top w:val="single" w:sz="4" w:space="0" w:color="auto"/>
            </w:tcBorders>
          </w:tcPr>
          <w:p w:rsidR="00CD04C1" w:rsidRPr="00B713EE" w:rsidRDefault="00CD04C1" w:rsidP="00FC4127">
            <w:pPr>
              <w:spacing w:before="60" w:after="60"/>
              <w:ind w:left="57" w:right="57"/>
            </w:pPr>
            <w:r w:rsidRPr="00B713EE">
              <w:t>46</w:t>
            </w:r>
          </w:p>
        </w:tc>
        <w:tc>
          <w:tcPr>
            <w:tcW w:w="932" w:type="dxa"/>
            <w:tcBorders>
              <w:top w:val="single" w:sz="4" w:space="0" w:color="auto"/>
            </w:tcBorders>
          </w:tcPr>
          <w:p w:rsidR="00CD04C1" w:rsidRPr="00B713EE" w:rsidRDefault="00CD04C1" w:rsidP="00FC4127">
            <w:pPr>
              <w:spacing w:before="60" w:after="60"/>
              <w:ind w:left="57" w:right="57"/>
            </w:pPr>
            <w:r w:rsidRPr="00B713EE">
              <w:t>35</w:t>
            </w:r>
          </w:p>
        </w:tc>
        <w:tc>
          <w:tcPr>
            <w:tcW w:w="1567" w:type="dxa"/>
          </w:tcPr>
          <w:p w:rsidR="00CD04C1" w:rsidRPr="00B713EE" w:rsidRDefault="00CD04C1" w:rsidP="00FC4127">
            <w:pPr>
              <w:spacing w:before="60" w:after="60"/>
              <w:ind w:left="57" w:right="57"/>
            </w:pPr>
            <w:r w:rsidRPr="00B713EE">
              <w:t>2017/23</w:t>
            </w:r>
          </w:p>
        </w:tc>
        <w:tc>
          <w:tcPr>
            <w:tcW w:w="854" w:type="dxa"/>
          </w:tcPr>
          <w:p w:rsidR="00CD04C1" w:rsidRPr="00B713EE" w:rsidRDefault="00CD04C1" w:rsidP="00FC4127">
            <w:pPr>
              <w:spacing w:before="60" w:after="60"/>
              <w:ind w:left="57" w:right="57"/>
              <w:rPr>
                <w:highlight w:val="yellow"/>
              </w:rPr>
            </w:pPr>
            <w:r w:rsidRPr="00B713EE">
              <w:t>35/0/0</w:t>
            </w:r>
          </w:p>
        </w:tc>
        <w:tc>
          <w:tcPr>
            <w:tcW w:w="1610" w:type="dxa"/>
          </w:tcPr>
          <w:p w:rsidR="00CD04C1" w:rsidRPr="00B713EE" w:rsidRDefault="00CD04C1" w:rsidP="00FC4127">
            <w:pPr>
              <w:spacing w:before="60" w:after="60"/>
              <w:ind w:left="57" w:right="57"/>
            </w:pPr>
            <w:r w:rsidRPr="00B713EE">
              <w:t>Complément 9 à la série 04</w:t>
            </w:r>
          </w:p>
        </w:tc>
        <w:tc>
          <w:tcPr>
            <w:tcW w:w="853" w:type="dxa"/>
          </w:tcPr>
          <w:p w:rsidR="00CD04C1" w:rsidRPr="0051257F" w:rsidRDefault="00CD04C1" w:rsidP="00FC4127">
            <w:pPr>
              <w:spacing w:before="60" w:after="60"/>
              <w:ind w:left="57" w:right="57"/>
            </w:pPr>
            <w:r w:rsidRPr="0051257F">
              <w:t>*</w:t>
            </w:r>
          </w:p>
        </w:tc>
      </w:tr>
      <w:tr w:rsidR="00FC4127" w:rsidRPr="00B713EE" w:rsidTr="00584E43">
        <w:trPr>
          <w:cantSplit/>
        </w:trPr>
        <w:tc>
          <w:tcPr>
            <w:tcW w:w="765" w:type="dxa"/>
          </w:tcPr>
          <w:p w:rsidR="00CD04C1" w:rsidRPr="00B713EE" w:rsidRDefault="00CD04C1" w:rsidP="00FC4127">
            <w:pPr>
              <w:spacing w:before="60" w:after="60"/>
              <w:ind w:left="57" w:right="57"/>
            </w:pPr>
            <w:r w:rsidRPr="00B713EE">
              <w:t>23</w:t>
            </w:r>
          </w:p>
        </w:tc>
        <w:tc>
          <w:tcPr>
            <w:tcW w:w="2065" w:type="dxa"/>
          </w:tcPr>
          <w:p w:rsidR="00CD04C1" w:rsidRPr="00B713EE" w:rsidRDefault="00CD04C1" w:rsidP="00FC4127">
            <w:pPr>
              <w:spacing w:before="60" w:after="60"/>
              <w:ind w:left="57" w:right="57"/>
              <w:rPr>
                <w:bCs/>
              </w:rPr>
            </w:pPr>
            <w:r w:rsidRPr="00B713EE">
              <w:rPr>
                <w:bCs/>
              </w:rPr>
              <w:t>Feux de marche arrière</w:t>
            </w:r>
          </w:p>
        </w:tc>
        <w:tc>
          <w:tcPr>
            <w:tcW w:w="993" w:type="dxa"/>
            <w:tcBorders>
              <w:top w:val="single" w:sz="4" w:space="0" w:color="auto"/>
            </w:tcBorders>
          </w:tcPr>
          <w:p w:rsidR="00CD04C1" w:rsidRPr="00B713EE" w:rsidRDefault="00CD04C1" w:rsidP="00FC4127">
            <w:pPr>
              <w:spacing w:before="60" w:after="60"/>
              <w:ind w:left="57" w:right="57"/>
            </w:pPr>
            <w:r w:rsidRPr="00B713EE">
              <w:t>48</w:t>
            </w:r>
          </w:p>
        </w:tc>
        <w:tc>
          <w:tcPr>
            <w:tcW w:w="932" w:type="dxa"/>
            <w:tcBorders>
              <w:top w:val="single" w:sz="4" w:space="0" w:color="auto"/>
            </w:tcBorders>
          </w:tcPr>
          <w:p w:rsidR="00CD04C1" w:rsidRPr="00B713EE" w:rsidRDefault="00CD04C1" w:rsidP="00FC4127">
            <w:pPr>
              <w:spacing w:before="60" w:after="60"/>
              <w:ind w:left="57" w:right="57"/>
            </w:pPr>
            <w:r w:rsidRPr="00B713EE">
              <w:t>37</w:t>
            </w:r>
          </w:p>
        </w:tc>
        <w:tc>
          <w:tcPr>
            <w:tcW w:w="1567" w:type="dxa"/>
          </w:tcPr>
          <w:p w:rsidR="00CD04C1" w:rsidRPr="00B713EE" w:rsidRDefault="00CD04C1" w:rsidP="00FC4127">
            <w:pPr>
              <w:spacing w:before="60" w:after="60"/>
              <w:ind w:left="57" w:right="57"/>
            </w:pPr>
            <w:r w:rsidRPr="00B713EE">
              <w:t>2017/24</w:t>
            </w:r>
          </w:p>
        </w:tc>
        <w:tc>
          <w:tcPr>
            <w:tcW w:w="854" w:type="dxa"/>
          </w:tcPr>
          <w:p w:rsidR="00CD04C1" w:rsidRPr="00B713EE" w:rsidRDefault="00CD04C1" w:rsidP="00FC4127">
            <w:pPr>
              <w:spacing w:before="60" w:after="60"/>
              <w:ind w:left="57" w:right="57"/>
              <w:rPr>
                <w:highlight w:val="yellow"/>
              </w:rPr>
            </w:pPr>
            <w:r w:rsidRPr="00B713EE">
              <w:t>37/0/0</w:t>
            </w:r>
          </w:p>
        </w:tc>
        <w:tc>
          <w:tcPr>
            <w:tcW w:w="1610" w:type="dxa"/>
          </w:tcPr>
          <w:p w:rsidR="00CD04C1" w:rsidRPr="00B713EE" w:rsidRDefault="00CD04C1" w:rsidP="00FC4127">
            <w:pPr>
              <w:spacing w:before="60" w:after="60"/>
              <w:ind w:left="57" w:right="57"/>
            </w:pPr>
            <w:r w:rsidRPr="00B713EE">
              <w:t>Complément 21 à la série 00</w:t>
            </w:r>
          </w:p>
        </w:tc>
        <w:tc>
          <w:tcPr>
            <w:tcW w:w="853" w:type="dxa"/>
          </w:tcPr>
          <w:p w:rsidR="00CD04C1" w:rsidRPr="0051257F" w:rsidRDefault="00CD04C1" w:rsidP="00FC4127">
            <w:pPr>
              <w:spacing w:before="60" w:after="60"/>
              <w:ind w:left="57" w:right="57"/>
            </w:pPr>
            <w:r w:rsidRPr="0051257F">
              <w:t>*</w:t>
            </w:r>
          </w:p>
        </w:tc>
      </w:tr>
      <w:tr w:rsidR="00FC4127" w:rsidRPr="00B713EE" w:rsidTr="00584E43">
        <w:trPr>
          <w:cantSplit/>
        </w:trPr>
        <w:tc>
          <w:tcPr>
            <w:tcW w:w="765" w:type="dxa"/>
          </w:tcPr>
          <w:p w:rsidR="00CD04C1" w:rsidRPr="00B713EE" w:rsidRDefault="00CD04C1" w:rsidP="00FC4127">
            <w:pPr>
              <w:spacing w:before="60" w:after="60"/>
              <w:ind w:left="57" w:right="57"/>
            </w:pPr>
            <w:r w:rsidRPr="00B713EE">
              <w:t>27</w:t>
            </w:r>
          </w:p>
        </w:tc>
        <w:tc>
          <w:tcPr>
            <w:tcW w:w="2065" w:type="dxa"/>
          </w:tcPr>
          <w:p w:rsidR="00CD04C1" w:rsidRPr="00B713EE" w:rsidRDefault="00CD04C1" w:rsidP="00FC4127">
            <w:pPr>
              <w:spacing w:before="60" w:after="60"/>
              <w:ind w:left="57" w:right="57"/>
              <w:rPr>
                <w:bCs/>
              </w:rPr>
            </w:pPr>
            <w:r w:rsidRPr="00B713EE">
              <w:rPr>
                <w:bCs/>
              </w:rPr>
              <w:t>Triangles de présignalisation</w:t>
            </w:r>
          </w:p>
        </w:tc>
        <w:tc>
          <w:tcPr>
            <w:tcW w:w="993" w:type="dxa"/>
            <w:tcBorders>
              <w:top w:val="single" w:sz="4" w:space="0" w:color="auto"/>
            </w:tcBorders>
          </w:tcPr>
          <w:p w:rsidR="00CD04C1" w:rsidRPr="00B713EE" w:rsidRDefault="00CD04C1" w:rsidP="00FC4127">
            <w:pPr>
              <w:spacing w:before="60" w:after="60"/>
              <w:ind w:left="57" w:right="57"/>
            </w:pPr>
            <w:r w:rsidRPr="00B713EE">
              <w:t>44</w:t>
            </w:r>
          </w:p>
        </w:tc>
        <w:tc>
          <w:tcPr>
            <w:tcW w:w="932" w:type="dxa"/>
            <w:tcBorders>
              <w:top w:val="single" w:sz="4" w:space="0" w:color="auto"/>
            </w:tcBorders>
          </w:tcPr>
          <w:p w:rsidR="00CD04C1" w:rsidRPr="00B713EE" w:rsidRDefault="00CD04C1" w:rsidP="00FC4127">
            <w:pPr>
              <w:spacing w:before="60" w:after="60"/>
              <w:ind w:left="57" w:right="57"/>
            </w:pPr>
            <w:r w:rsidRPr="00B713EE">
              <w:t>35</w:t>
            </w:r>
          </w:p>
        </w:tc>
        <w:tc>
          <w:tcPr>
            <w:tcW w:w="1567" w:type="dxa"/>
          </w:tcPr>
          <w:p w:rsidR="00CD04C1" w:rsidRPr="00B713EE" w:rsidRDefault="00CD04C1" w:rsidP="00FC4127">
            <w:pPr>
              <w:spacing w:before="60" w:after="60"/>
              <w:ind w:left="57" w:right="57"/>
            </w:pPr>
            <w:r w:rsidRPr="00B713EE">
              <w:t>2017/25</w:t>
            </w:r>
          </w:p>
        </w:tc>
        <w:tc>
          <w:tcPr>
            <w:tcW w:w="854" w:type="dxa"/>
          </w:tcPr>
          <w:p w:rsidR="00CD04C1" w:rsidRPr="00B713EE" w:rsidRDefault="00CD04C1" w:rsidP="00FC4127">
            <w:pPr>
              <w:spacing w:before="60" w:after="60"/>
              <w:ind w:left="57" w:right="57"/>
            </w:pPr>
            <w:r w:rsidRPr="00B713EE">
              <w:t>35/0/0</w:t>
            </w:r>
          </w:p>
        </w:tc>
        <w:tc>
          <w:tcPr>
            <w:tcW w:w="1610" w:type="dxa"/>
          </w:tcPr>
          <w:p w:rsidR="00CD04C1" w:rsidRPr="00B713EE" w:rsidRDefault="00CD04C1" w:rsidP="00FC4127">
            <w:pPr>
              <w:spacing w:before="60" w:after="60"/>
              <w:ind w:left="57" w:right="57"/>
            </w:pPr>
            <w:r w:rsidRPr="00B713EE">
              <w:t>Complément 1 à la série 04</w:t>
            </w:r>
          </w:p>
        </w:tc>
        <w:tc>
          <w:tcPr>
            <w:tcW w:w="853" w:type="dxa"/>
          </w:tcPr>
          <w:p w:rsidR="00CD04C1" w:rsidRPr="0051257F" w:rsidRDefault="00CD04C1" w:rsidP="00FC4127">
            <w:pPr>
              <w:spacing w:before="60" w:after="60"/>
              <w:ind w:left="57" w:right="57"/>
            </w:pPr>
            <w:r w:rsidRPr="0051257F">
              <w:t>*</w:t>
            </w:r>
          </w:p>
        </w:tc>
      </w:tr>
      <w:tr w:rsidR="00FC4127" w:rsidRPr="00B713EE" w:rsidTr="00584E43">
        <w:trPr>
          <w:cantSplit/>
        </w:trPr>
        <w:tc>
          <w:tcPr>
            <w:tcW w:w="765" w:type="dxa"/>
          </w:tcPr>
          <w:p w:rsidR="00CD04C1" w:rsidRPr="00B713EE" w:rsidRDefault="00CD04C1" w:rsidP="00FC4127">
            <w:pPr>
              <w:spacing w:before="60" w:after="60"/>
              <w:ind w:left="57" w:right="57"/>
            </w:pPr>
            <w:r w:rsidRPr="00B713EE">
              <w:t>28</w:t>
            </w:r>
          </w:p>
        </w:tc>
        <w:tc>
          <w:tcPr>
            <w:tcW w:w="2065" w:type="dxa"/>
          </w:tcPr>
          <w:p w:rsidR="00CD04C1" w:rsidRPr="00B713EE" w:rsidRDefault="00CD04C1" w:rsidP="00FC4127">
            <w:pPr>
              <w:spacing w:before="60" w:after="60"/>
              <w:ind w:left="57" w:right="57"/>
              <w:rPr>
                <w:bCs/>
              </w:rPr>
            </w:pPr>
            <w:r w:rsidRPr="00B713EE">
              <w:rPr>
                <w:bCs/>
              </w:rPr>
              <w:t>Avertisseurs sonores</w:t>
            </w:r>
          </w:p>
        </w:tc>
        <w:tc>
          <w:tcPr>
            <w:tcW w:w="993" w:type="dxa"/>
          </w:tcPr>
          <w:p w:rsidR="00CD04C1" w:rsidRPr="00B713EE" w:rsidRDefault="00CD04C1" w:rsidP="00FC4127">
            <w:pPr>
              <w:spacing w:before="60" w:after="60"/>
              <w:ind w:left="57" w:right="57"/>
            </w:pPr>
            <w:r w:rsidRPr="00B713EE">
              <w:t>45</w:t>
            </w:r>
          </w:p>
        </w:tc>
        <w:tc>
          <w:tcPr>
            <w:tcW w:w="932" w:type="dxa"/>
          </w:tcPr>
          <w:p w:rsidR="00CD04C1" w:rsidRPr="00B713EE" w:rsidRDefault="00CD04C1" w:rsidP="00FC4127">
            <w:pPr>
              <w:spacing w:before="60" w:after="60"/>
              <w:ind w:left="57" w:right="57"/>
            </w:pPr>
            <w:r w:rsidRPr="00B713EE">
              <w:t>35</w:t>
            </w:r>
          </w:p>
        </w:tc>
        <w:tc>
          <w:tcPr>
            <w:tcW w:w="1567" w:type="dxa"/>
          </w:tcPr>
          <w:p w:rsidR="00CD04C1" w:rsidRPr="00B713EE" w:rsidRDefault="00CD04C1" w:rsidP="00FC4127">
            <w:pPr>
              <w:spacing w:before="60" w:after="60"/>
              <w:ind w:left="57" w:right="57"/>
            </w:pPr>
            <w:r w:rsidRPr="00B713EE">
              <w:t>2017/3</w:t>
            </w:r>
          </w:p>
        </w:tc>
        <w:tc>
          <w:tcPr>
            <w:tcW w:w="854" w:type="dxa"/>
          </w:tcPr>
          <w:p w:rsidR="00CD04C1" w:rsidRPr="00B713EE" w:rsidRDefault="00CD04C1" w:rsidP="00FC4127">
            <w:pPr>
              <w:spacing w:before="60" w:after="60"/>
              <w:ind w:left="57" w:right="57"/>
              <w:rPr>
                <w:highlight w:val="yellow"/>
              </w:rPr>
            </w:pPr>
            <w:r w:rsidRPr="00B713EE">
              <w:t>35/0/0</w:t>
            </w:r>
          </w:p>
        </w:tc>
        <w:tc>
          <w:tcPr>
            <w:tcW w:w="1610" w:type="dxa"/>
          </w:tcPr>
          <w:p w:rsidR="00CD04C1" w:rsidRPr="00B713EE" w:rsidRDefault="00CD04C1" w:rsidP="00FC4127">
            <w:pPr>
              <w:spacing w:before="60" w:after="60"/>
              <w:ind w:left="57" w:right="57"/>
            </w:pPr>
            <w:r w:rsidRPr="00B713EE">
              <w:t>Complément 5 à la série 00</w:t>
            </w:r>
          </w:p>
        </w:tc>
        <w:tc>
          <w:tcPr>
            <w:tcW w:w="853" w:type="dxa"/>
          </w:tcPr>
          <w:p w:rsidR="00CD04C1" w:rsidRPr="0051257F" w:rsidRDefault="00CD04C1" w:rsidP="00FC4127">
            <w:pPr>
              <w:spacing w:before="60" w:after="60"/>
              <w:ind w:left="57" w:right="57"/>
              <w:rPr>
                <w:u w:val="single"/>
              </w:rPr>
            </w:pPr>
            <w:r w:rsidRPr="0051257F">
              <w:t>*</w:t>
            </w:r>
          </w:p>
        </w:tc>
      </w:tr>
      <w:tr w:rsidR="00FC4127" w:rsidRPr="00B713EE" w:rsidTr="00584E43">
        <w:trPr>
          <w:cantSplit/>
        </w:trPr>
        <w:tc>
          <w:tcPr>
            <w:tcW w:w="765" w:type="dxa"/>
          </w:tcPr>
          <w:p w:rsidR="00CD04C1" w:rsidRPr="00B713EE" w:rsidRDefault="00CD04C1" w:rsidP="00FC4127">
            <w:pPr>
              <w:spacing w:before="60" w:after="60"/>
              <w:ind w:left="57" w:right="57"/>
            </w:pPr>
            <w:r w:rsidRPr="00B713EE">
              <w:t>38</w:t>
            </w:r>
          </w:p>
        </w:tc>
        <w:tc>
          <w:tcPr>
            <w:tcW w:w="2065" w:type="dxa"/>
          </w:tcPr>
          <w:p w:rsidR="00CD04C1" w:rsidRPr="00B713EE" w:rsidRDefault="00CD04C1" w:rsidP="00FC4127">
            <w:pPr>
              <w:spacing w:before="60" w:after="60"/>
              <w:ind w:left="57" w:right="57"/>
              <w:rPr>
                <w:bCs/>
              </w:rPr>
            </w:pPr>
            <w:r w:rsidRPr="00B713EE">
              <w:rPr>
                <w:bCs/>
              </w:rPr>
              <w:t>Feux de brouillard arrière</w:t>
            </w:r>
          </w:p>
        </w:tc>
        <w:tc>
          <w:tcPr>
            <w:tcW w:w="993" w:type="dxa"/>
          </w:tcPr>
          <w:p w:rsidR="00CD04C1" w:rsidRPr="00B713EE" w:rsidRDefault="00CD04C1" w:rsidP="00FC4127">
            <w:pPr>
              <w:spacing w:before="60" w:after="60"/>
              <w:ind w:left="57" w:right="57"/>
            </w:pPr>
            <w:r w:rsidRPr="00B713EE">
              <w:t>47</w:t>
            </w:r>
          </w:p>
        </w:tc>
        <w:tc>
          <w:tcPr>
            <w:tcW w:w="932" w:type="dxa"/>
          </w:tcPr>
          <w:p w:rsidR="00CD04C1" w:rsidRPr="00B713EE" w:rsidRDefault="00CD04C1" w:rsidP="00FC4127">
            <w:pPr>
              <w:spacing w:before="60" w:after="60"/>
              <w:ind w:left="57" w:right="57"/>
              <w:rPr>
                <w:highlight w:val="yellow"/>
              </w:rPr>
            </w:pPr>
            <w:r w:rsidRPr="00B713EE">
              <w:t>37</w:t>
            </w:r>
          </w:p>
        </w:tc>
        <w:tc>
          <w:tcPr>
            <w:tcW w:w="1567" w:type="dxa"/>
          </w:tcPr>
          <w:p w:rsidR="00CD04C1" w:rsidRPr="00B713EE" w:rsidRDefault="00CD04C1" w:rsidP="00FC4127">
            <w:pPr>
              <w:spacing w:before="60" w:after="60"/>
              <w:ind w:left="57" w:right="57"/>
            </w:pPr>
            <w:r w:rsidRPr="00B713EE">
              <w:t>2017/26</w:t>
            </w:r>
          </w:p>
        </w:tc>
        <w:tc>
          <w:tcPr>
            <w:tcW w:w="854" w:type="dxa"/>
          </w:tcPr>
          <w:p w:rsidR="00CD04C1" w:rsidRPr="00B713EE" w:rsidRDefault="00CD04C1" w:rsidP="00FC4127">
            <w:pPr>
              <w:spacing w:before="60" w:after="60"/>
              <w:ind w:left="57" w:right="57"/>
              <w:rPr>
                <w:highlight w:val="yellow"/>
              </w:rPr>
            </w:pPr>
            <w:r w:rsidRPr="00B713EE">
              <w:t>37/0/0</w:t>
            </w:r>
          </w:p>
        </w:tc>
        <w:tc>
          <w:tcPr>
            <w:tcW w:w="1610" w:type="dxa"/>
          </w:tcPr>
          <w:p w:rsidR="00CD04C1" w:rsidRPr="00B713EE" w:rsidRDefault="00CD04C1" w:rsidP="00FC4127">
            <w:pPr>
              <w:spacing w:before="60" w:after="60"/>
              <w:ind w:left="57" w:right="57"/>
            </w:pPr>
            <w:r w:rsidRPr="00B713EE">
              <w:t>Complément 18 à la série 00</w:t>
            </w:r>
          </w:p>
        </w:tc>
        <w:tc>
          <w:tcPr>
            <w:tcW w:w="853" w:type="dxa"/>
          </w:tcPr>
          <w:p w:rsidR="00CD04C1" w:rsidRPr="0051257F" w:rsidRDefault="00CD04C1" w:rsidP="00FC4127">
            <w:pPr>
              <w:spacing w:before="60" w:after="60"/>
              <w:ind w:left="57" w:right="57"/>
            </w:pPr>
            <w:r w:rsidRPr="0051257F">
              <w:t>*</w:t>
            </w:r>
          </w:p>
        </w:tc>
      </w:tr>
      <w:tr w:rsidR="00FC4127" w:rsidRPr="00B713EE" w:rsidTr="00584E43">
        <w:trPr>
          <w:cantSplit/>
        </w:trPr>
        <w:tc>
          <w:tcPr>
            <w:tcW w:w="765" w:type="dxa"/>
          </w:tcPr>
          <w:p w:rsidR="00CD04C1" w:rsidRPr="00B713EE" w:rsidRDefault="00CD04C1" w:rsidP="00FC4127">
            <w:pPr>
              <w:spacing w:before="60" w:after="60"/>
              <w:ind w:left="57" w:right="57"/>
            </w:pPr>
            <w:r w:rsidRPr="00B713EE">
              <w:t>39</w:t>
            </w:r>
          </w:p>
        </w:tc>
        <w:tc>
          <w:tcPr>
            <w:tcW w:w="2065" w:type="dxa"/>
          </w:tcPr>
          <w:p w:rsidR="00CD04C1" w:rsidRPr="00B713EE" w:rsidRDefault="00CD04C1" w:rsidP="00FC4127">
            <w:pPr>
              <w:spacing w:before="60" w:after="60"/>
              <w:ind w:left="57" w:right="57"/>
              <w:rPr>
                <w:bCs/>
              </w:rPr>
            </w:pPr>
            <w:r w:rsidRPr="00B713EE">
              <w:rPr>
                <w:bCs/>
              </w:rPr>
              <w:t>Indicateur de vitesse et compteur kilométrique</w:t>
            </w:r>
          </w:p>
        </w:tc>
        <w:tc>
          <w:tcPr>
            <w:tcW w:w="993" w:type="dxa"/>
          </w:tcPr>
          <w:p w:rsidR="00CD04C1" w:rsidRPr="00B713EE" w:rsidRDefault="00CD04C1" w:rsidP="00FC4127">
            <w:pPr>
              <w:spacing w:before="60" w:after="60"/>
              <w:ind w:left="57" w:right="57"/>
            </w:pPr>
            <w:r w:rsidRPr="00B713EE">
              <w:t>46</w:t>
            </w:r>
          </w:p>
        </w:tc>
        <w:tc>
          <w:tcPr>
            <w:tcW w:w="932" w:type="dxa"/>
          </w:tcPr>
          <w:p w:rsidR="00CD04C1" w:rsidRPr="00B713EE" w:rsidRDefault="00CD04C1" w:rsidP="00FC4127">
            <w:pPr>
              <w:spacing w:before="60" w:after="60"/>
              <w:ind w:left="57" w:right="57"/>
              <w:rPr>
                <w:highlight w:val="yellow"/>
              </w:rPr>
            </w:pPr>
            <w:r w:rsidRPr="00B713EE">
              <w:t>36</w:t>
            </w:r>
          </w:p>
        </w:tc>
        <w:tc>
          <w:tcPr>
            <w:tcW w:w="1567" w:type="dxa"/>
          </w:tcPr>
          <w:p w:rsidR="00CD04C1" w:rsidRPr="00B713EE" w:rsidRDefault="00CD04C1" w:rsidP="00FC4127">
            <w:pPr>
              <w:spacing w:before="60" w:after="60"/>
              <w:ind w:left="57" w:right="57"/>
            </w:pPr>
            <w:r w:rsidRPr="00B713EE">
              <w:t>2017/11</w:t>
            </w:r>
          </w:p>
        </w:tc>
        <w:tc>
          <w:tcPr>
            <w:tcW w:w="854" w:type="dxa"/>
          </w:tcPr>
          <w:p w:rsidR="00CD04C1" w:rsidRPr="00B713EE" w:rsidRDefault="00CD04C1" w:rsidP="00FC4127">
            <w:pPr>
              <w:spacing w:before="60" w:after="60"/>
              <w:ind w:left="57" w:right="57"/>
              <w:rPr>
                <w:highlight w:val="yellow"/>
              </w:rPr>
            </w:pPr>
            <w:r w:rsidRPr="00B713EE">
              <w:t>36/0/0</w:t>
            </w:r>
          </w:p>
        </w:tc>
        <w:tc>
          <w:tcPr>
            <w:tcW w:w="1610" w:type="dxa"/>
          </w:tcPr>
          <w:p w:rsidR="00CD04C1" w:rsidRPr="00B713EE" w:rsidRDefault="00CD04C1" w:rsidP="00FC4127">
            <w:pPr>
              <w:spacing w:before="60" w:after="60"/>
              <w:ind w:left="57" w:right="57"/>
            </w:pPr>
            <w:r w:rsidRPr="00B713EE">
              <w:t>Complément 1 à la série 01</w:t>
            </w:r>
          </w:p>
        </w:tc>
        <w:tc>
          <w:tcPr>
            <w:tcW w:w="853" w:type="dxa"/>
          </w:tcPr>
          <w:p w:rsidR="00CD04C1" w:rsidRPr="0051257F" w:rsidRDefault="00CD04C1" w:rsidP="00FC4127">
            <w:pPr>
              <w:spacing w:before="60" w:after="60"/>
              <w:ind w:left="57" w:right="57"/>
            </w:pPr>
            <w:r w:rsidRPr="0051257F">
              <w:t>*</w:t>
            </w:r>
          </w:p>
        </w:tc>
      </w:tr>
      <w:tr w:rsidR="00FC4127" w:rsidRPr="00B713EE" w:rsidTr="00584E43">
        <w:trPr>
          <w:cantSplit/>
        </w:trPr>
        <w:tc>
          <w:tcPr>
            <w:tcW w:w="765" w:type="dxa"/>
          </w:tcPr>
          <w:p w:rsidR="00CD04C1" w:rsidRPr="00B713EE" w:rsidRDefault="00CD04C1" w:rsidP="00FC4127">
            <w:pPr>
              <w:spacing w:before="60" w:after="60"/>
              <w:ind w:left="57" w:right="57"/>
            </w:pPr>
            <w:r w:rsidRPr="00B713EE">
              <w:t>43</w:t>
            </w:r>
          </w:p>
        </w:tc>
        <w:tc>
          <w:tcPr>
            <w:tcW w:w="2065" w:type="dxa"/>
          </w:tcPr>
          <w:p w:rsidR="00CD04C1" w:rsidRPr="00B713EE" w:rsidRDefault="00CD04C1" w:rsidP="00FC4127">
            <w:pPr>
              <w:spacing w:before="60" w:after="60"/>
              <w:ind w:left="57" w:right="57"/>
              <w:rPr>
                <w:bCs/>
              </w:rPr>
            </w:pPr>
            <w:r w:rsidRPr="00B713EE">
              <w:rPr>
                <w:bCs/>
              </w:rPr>
              <w:t>Vitrages de sécurité</w:t>
            </w:r>
          </w:p>
        </w:tc>
        <w:tc>
          <w:tcPr>
            <w:tcW w:w="993" w:type="dxa"/>
          </w:tcPr>
          <w:p w:rsidR="00CD04C1" w:rsidRPr="00B713EE" w:rsidRDefault="00CD04C1" w:rsidP="00FC4127">
            <w:pPr>
              <w:spacing w:before="60" w:after="60"/>
              <w:ind w:left="57" w:right="57"/>
            </w:pPr>
            <w:r w:rsidRPr="00B713EE">
              <w:t>47</w:t>
            </w:r>
          </w:p>
        </w:tc>
        <w:tc>
          <w:tcPr>
            <w:tcW w:w="932" w:type="dxa"/>
          </w:tcPr>
          <w:p w:rsidR="00CD04C1" w:rsidRPr="00B713EE" w:rsidRDefault="00CD04C1" w:rsidP="00FC4127">
            <w:pPr>
              <w:spacing w:before="60" w:after="60"/>
              <w:ind w:left="57" w:right="57"/>
              <w:rPr>
                <w:highlight w:val="yellow"/>
              </w:rPr>
            </w:pPr>
            <w:r w:rsidRPr="00B713EE">
              <w:t>36</w:t>
            </w:r>
          </w:p>
        </w:tc>
        <w:tc>
          <w:tcPr>
            <w:tcW w:w="1567" w:type="dxa"/>
          </w:tcPr>
          <w:p w:rsidR="00CD04C1" w:rsidRPr="00B713EE" w:rsidRDefault="00CD04C1" w:rsidP="00FC4127">
            <w:pPr>
              <w:spacing w:before="60" w:after="60"/>
              <w:ind w:left="57" w:right="57"/>
            </w:pPr>
            <w:r w:rsidRPr="00B713EE">
              <w:t>2017/12</w:t>
            </w:r>
          </w:p>
        </w:tc>
        <w:tc>
          <w:tcPr>
            <w:tcW w:w="854" w:type="dxa"/>
          </w:tcPr>
          <w:p w:rsidR="00CD04C1" w:rsidRPr="00B713EE" w:rsidRDefault="00CD04C1" w:rsidP="00FC4127">
            <w:pPr>
              <w:spacing w:before="60" w:after="60"/>
              <w:ind w:left="57" w:right="57"/>
              <w:rPr>
                <w:highlight w:val="yellow"/>
              </w:rPr>
            </w:pPr>
            <w:r w:rsidRPr="00B713EE">
              <w:t>36/0/0</w:t>
            </w:r>
          </w:p>
        </w:tc>
        <w:tc>
          <w:tcPr>
            <w:tcW w:w="1610" w:type="dxa"/>
          </w:tcPr>
          <w:p w:rsidR="00CD04C1" w:rsidRPr="00B713EE" w:rsidRDefault="00CD04C1" w:rsidP="00FC4127">
            <w:pPr>
              <w:spacing w:before="60" w:after="60"/>
              <w:ind w:left="57" w:right="57"/>
            </w:pPr>
            <w:r w:rsidRPr="00B713EE">
              <w:t>Complément 5 à la série 01</w:t>
            </w:r>
          </w:p>
        </w:tc>
        <w:tc>
          <w:tcPr>
            <w:tcW w:w="853" w:type="dxa"/>
          </w:tcPr>
          <w:p w:rsidR="00CD04C1" w:rsidRPr="0051257F" w:rsidRDefault="00CD04C1" w:rsidP="00FC4127">
            <w:pPr>
              <w:spacing w:before="60" w:after="60"/>
              <w:ind w:left="57" w:right="57"/>
            </w:pPr>
            <w:r w:rsidRPr="0051257F">
              <w:t>*</w:t>
            </w:r>
          </w:p>
        </w:tc>
      </w:tr>
      <w:tr w:rsidR="00FC4127" w:rsidRPr="00B713EE" w:rsidTr="00584E43">
        <w:trPr>
          <w:cantSplit/>
        </w:trPr>
        <w:tc>
          <w:tcPr>
            <w:tcW w:w="765" w:type="dxa"/>
          </w:tcPr>
          <w:p w:rsidR="00CD04C1" w:rsidRPr="00B713EE" w:rsidRDefault="00CD04C1" w:rsidP="00FC4127">
            <w:pPr>
              <w:spacing w:before="60" w:after="60"/>
              <w:ind w:left="57" w:right="57"/>
            </w:pPr>
            <w:r w:rsidRPr="00B713EE">
              <w:t>45</w:t>
            </w:r>
          </w:p>
        </w:tc>
        <w:tc>
          <w:tcPr>
            <w:tcW w:w="2065" w:type="dxa"/>
          </w:tcPr>
          <w:p w:rsidR="00CD04C1" w:rsidRPr="00B713EE" w:rsidRDefault="00CD04C1" w:rsidP="00FC4127">
            <w:pPr>
              <w:spacing w:before="60" w:after="60"/>
              <w:ind w:left="57" w:right="57"/>
              <w:rPr>
                <w:bCs/>
              </w:rPr>
            </w:pPr>
            <w:r w:rsidRPr="00B713EE">
              <w:rPr>
                <w:bCs/>
              </w:rPr>
              <w:t>Nettoie-projecteurs</w:t>
            </w:r>
          </w:p>
        </w:tc>
        <w:tc>
          <w:tcPr>
            <w:tcW w:w="993" w:type="dxa"/>
          </w:tcPr>
          <w:p w:rsidR="00CD04C1" w:rsidRPr="00B713EE" w:rsidRDefault="00CD04C1" w:rsidP="00FC4127">
            <w:pPr>
              <w:spacing w:before="60" w:after="60"/>
              <w:ind w:left="57" w:right="57"/>
            </w:pPr>
            <w:r w:rsidRPr="00B713EE">
              <w:t>41</w:t>
            </w:r>
          </w:p>
        </w:tc>
        <w:tc>
          <w:tcPr>
            <w:tcW w:w="932" w:type="dxa"/>
          </w:tcPr>
          <w:p w:rsidR="00CD04C1" w:rsidRPr="00B713EE" w:rsidRDefault="00CD04C1" w:rsidP="00FC4127">
            <w:pPr>
              <w:spacing w:before="60" w:after="60"/>
              <w:ind w:left="57" w:right="57"/>
              <w:rPr>
                <w:highlight w:val="yellow"/>
              </w:rPr>
            </w:pPr>
            <w:r w:rsidRPr="00B713EE">
              <w:t>34</w:t>
            </w:r>
          </w:p>
        </w:tc>
        <w:tc>
          <w:tcPr>
            <w:tcW w:w="1567" w:type="dxa"/>
          </w:tcPr>
          <w:p w:rsidR="00CD04C1" w:rsidRPr="00B713EE" w:rsidRDefault="00CD04C1" w:rsidP="00FC4127">
            <w:pPr>
              <w:spacing w:before="60" w:after="60"/>
              <w:ind w:left="57" w:right="57"/>
            </w:pPr>
            <w:r w:rsidRPr="00B713EE">
              <w:t>2017/27</w:t>
            </w:r>
          </w:p>
        </w:tc>
        <w:tc>
          <w:tcPr>
            <w:tcW w:w="854" w:type="dxa"/>
          </w:tcPr>
          <w:p w:rsidR="00CD04C1" w:rsidRPr="00B713EE" w:rsidRDefault="00CD04C1" w:rsidP="00FC4127">
            <w:pPr>
              <w:spacing w:before="60" w:after="60"/>
              <w:ind w:left="57" w:right="57"/>
            </w:pPr>
            <w:r w:rsidRPr="00B713EE">
              <w:t>34/0/0</w:t>
            </w:r>
          </w:p>
        </w:tc>
        <w:tc>
          <w:tcPr>
            <w:tcW w:w="1610" w:type="dxa"/>
          </w:tcPr>
          <w:p w:rsidR="00CD04C1" w:rsidRPr="00B713EE" w:rsidRDefault="00CD04C1" w:rsidP="00FC4127">
            <w:pPr>
              <w:spacing w:before="60" w:after="60"/>
              <w:ind w:left="57" w:right="57"/>
            </w:pPr>
            <w:r w:rsidRPr="00B713EE">
              <w:t>Complément 11 à la série 01</w:t>
            </w:r>
          </w:p>
        </w:tc>
        <w:tc>
          <w:tcPr>
            <w:tcW w:w="853" w:type="dxa"/>
          </w:tcPr>
          <w:p w:rsidR="00CD04C1" w:rsidRPr="0051257F" w:rsidRDefault="00CD04C1" w:rsidP="00FC4127">
            <w:pPr>
              <w:spacing w:before="60" w:after="60"/>
              <w:ind w:left="57" w:right="57"/>
            </w:pPr>
            <w:r w:rsidRPr="0051257F">
              <w:t>*</w:t>
            </w:r>
          </w:p>
        </w:tc>
      </w:tr>
      <w:tr w:rsidR="00FC4127" w:rsidRPr="00B713EE" w:rsidTr="00584E43">
        <w:trPr>
          <w:cantSplit/>
        </w:trPr>
        <w:tc>
          <w:tcPr>
            <w:tcW w:w="765" w:type="dxa"/>
          </w:tcPr>
          <w:p w:rsidR="00CD04C1" w:rsidRPr="00B713EE" w:rsidRDefault="00CD04C1" w:rsidP="00FC4127">
            <w:pPr>
              <w:spacing w:before="60" w:after="60"/>
              <w:ind w:left="57" w:right="57"/>
            </w:pPr>
            <w:r w:rsidRPr="00B713EE">
              <w:t>50</w:t>
            </w:r>
          </w:p>
        </w:tc>
        <w:tc>
          <w:tcPr>
            <w:tcW w:w="2065" w:type="dxa"/>
          </w:tcPr>
          <w:p w:rsidR="00CD04C1" w:rsidRPr="00B713EE" w:rsidRDefault="00CD04C1" w:rsidP="00FC4127">
            <w:pPr>
              <w:spacing w:before="60" w:after="60"/>
              <w:ind w:left="57" w:right="57"/>
              <w:rPr>
                <w:bCs/>
              </w:rPr>
            </w:pPr>
            <w:r w:rsidRPr="00B713EE">
              <w:rPr>
                <w:bCs/>
              </w:rPr>
              <w:t>Feux de position, feux-stop, feux indicateurs de direction pour cyclomoteurs et motocycles</w:t>
            </w:r>
          </w:p>
        </w:tc>
        <w:tc>
          <w:tcPr>
            <w:tcW w:w="993" w:type="dxa"/>
          </w:tcPr>
          <w:p w:rsidR="00CD04C1" w:rsidRPr="00B713EE" w:rsidRDefault="00CD04C1" w:rsidP="00FC4127">
            <w:pPr>
              <w:spacing w:before="60" w:after="60"/>
              <w:ind w:left="57" w:right="57"/>
            </w:pPr>
            <w:r w:rsidRPr="00B713EE">
              <w:t>47</w:t>
            </w:r>
          </w:p>
        </w:tc>
        <w:tc>
          <w:tcPr>
            <w:tcW w:w="932" w:type="dxa"/>
          </w:tcPr>
          <w:p w:rsidR="00CD04C1" w:rsidRPr="00B713EE" w:rsidRDefault="00CD04C1" w:rsidP="00FC4127">
            <w:pPr>
              <w:spacing w:before="60" w:after="60"/>
              <w:ind w:left="57" w:right="57"/>
              <w:rPr>
                <w:highlight w:val="yellow"/>
              </w:rPr>
            </w:pPr>
            <w:r w:rsidRPr="00B713EE">
              <w:t>37</w:t>
            </w:r>
          </w:p>
        </w:tc>
        <w:tc>
          <w:tcPr>
            <w:tcW w:w="1567" w:type="dxa"/>
          </w:tcPr>
          <w:p w:rsidR="00CD04C1" w:rsidRPr="00B713EE" w:rsidRDefault="00CD04C1" w:rsidP="00FC4127">
            <w:pPr>
              <w:spacing w:before="60" w:after="60"/>
              <w:ind w:left="57" w:right="57"/>
            </w:pPr>
            <w:r w:rsidRPr="00B713EE">
              <w:t>2017/28</w:t>
            </w:r>
          </w:p>
        </w:tc>
        <w:tc>
          <w:tcPr>
            <w:tcW w:w="854" w:type="dxa"/>
          </w:tcPr>
          <w:p w:rsidR="00CD04C1" w:rsidRPr="00B713EE" w:rsidRDefault="00CD04C1" w:rsidP="00FC4127">
            <w:pPr>
              <w:spacing w:before="60" w:after="60"/>
              <w:ind w:left="57" w:right="57"/>
              <w:rPr>
                <w:highlight w:val="yellow"/>
              </w:rPr>
            </w:pPr>
            <w:r w:rsidRPr="00B713EE">
              <w:t>37/0/0</w:t>
            </w:r>
          </w:p>
        </w:tc>
        <w:tc>
          <w:tcPr>
            <w:tcW w:w="1610" w:type="dxa"/>
          </w:tcPr>
          <w:p w:rsidR="00CD04C1" w:rsidRPr="00B713EE" w:rsidRDefault="00CD04C1" w:rsidP="00FC4127">
            <w:pPr>
              <w:spacing w:before="60" w:after="60"/>
              <w:ind w:left="57" w:right="57"/>
            </w:pPr>
            <w:r w:rsidRPr="00B713EE">
              <w:t>Complément 19 à la série 00</w:t>
            </w:r>
          </w:p>
        </w:tc>
        <w:tc>
          <w:tcPr>
            <w:tcW w:w="853" w:type="dxa"/>
          </w:tcPr>
          <w:p w:rsidR="00CD04C1" w:rsidRPr="0051257F" w:rsidRDefault="00CD04C1" w:rsidP="00FC4127">
            <w:pPr>
              <w:spacing w:before="60" w:after="60"/>
              <w:ind w:left="57" w:right="57"/>
            </w:pPr>
            <w:r w:rsidRPr="0051257F">
              <w:t>*</w:t>
            </w:r>
          </w:p>
        </w:tc>
      </w:tr>
      <w:tr w:rsidR="00FC4127" w:rsidRPr="00B713EE" w:rsidTr="00584E43">
        <w:trPr>
          <w:cantSplit/>
        </w:trPr>
        <w:tc>
          <w:tcPr>
            <w:tcW w:w="765" w:type="dxa"/>
          </w:tcPr>
          <w:p w:rsidR="00CD04C1" w:rsidRPr="00B713EE" w:rsidRDefault="00CD04C1" w:rsidP="00FC4127">
            <w:pPr>
              <w:spacing w:before="60" w:after="60"/>
              <w:ind w:left="57" w:right="57"/>
            </w:pPr>
            <w:r w:rsidRPr="00B713EE">
              <w:t>63</w:t>
            </w:r>
          </w:p>
        </w:tc>
        <w:tc>
          <w:tcPr>
            <w:tcW w:w="2065" w:type="dxa"/>
          </w:tcPr>
          <w:p w:rsidR="00CD04C1" w:rsidRPr="00B713EE" w:rsidRDefault="00CD04C1" w:rsidP="00FC4127">
            <w:pPr>
              <w:spacing w:before="60" w:after="60"/>
              <w:ind w:left="57" w:right="57"/>
              <w:rPr>
                <w:bCs/>
              </w:rPr>
            </w:pPr>
            <w:r w:rsidRPr="00B713EE">
              <w:rPr>
                <w:bCs/>
              </w:rPr>
              <w:t>Bruit émis par les cyclomoteurs</w:t>
            </w:r>
          </w:p>
        </w:tc>
        <w:tc>
          <w:tcPr>
            <w:tcW w:w="993" w:type="dxa"/>
          </w:tcPr>
          <w:p w:rsidR="00CD04C1" w:rsidRPr="00B713EE" w:rsidRDefault="00CD04C1" w:rsidP="00FC4127">
            <w:pPr>
              <w:spacing w:before="60" w:after="60"/>
              <w:ind w:left="57" w:right="57"/>
            </w:pPr>
            <w:r w:rsidRPr="00B713EE">
              <w:t>28</w:t>
            </w:r>
          </w:p>
        </w:tc>
        <w:tc>
          <w:tcPr>
            <w:tcW w:w="932" w:type="dxa"/>
          </w:tcPr>
          <w:p w:rsidR="00CD04C1" w:rsidRPr="00B713EE" w:rsidRDefault="00CD04C1" w:rsidP="00FC4127">
            <w:pPr>
              <w:spacing w:before="60" w:after="60"/>
              <w:ind w:left="57" w:right="57"/>
              <w:rPr>
                <w:highlight w:val="yellow"/>
              </w:rPr>
            </w:pPr>
            <w:r w:rsidRPr="00B713EE">
              <w:t>16</w:t>
            </w:r>
          </w:p>
        </w:tc>
        <w:tc>
          <w:tcPr>
            <w:tcW w:w="1567" w:type="dxa"/>
          </w:tcPr>
          <w:p w:rsidR="00CD04C1" w:rsidRPr="00B713EE" w:rsidRDefault="00CD04C1" w:rsidP="00FC4127">
            <w:pPr>
              <w:spacing w:before="60" w:after="60"/>
              <w:ind w:left="57" w:right="57"/>
            </w:pPr>
            <w:r w:rsidRPr="00B713EE">
              <w:t>2017/4</w:t>
            </w:r>
          </w:p>
        </w:tc>
        <w:tc>
          <w:tcPr>
            <w:tcW w:w="854" w:type="dxa"/>
          </w:tcPr>
          <w:p w:rsidR="00CD04C1" w:rsidRPr="00B713EE" w:rsidRDefault="00CD04C1" w:rsidP="00FC4127">
            <w:pPr>
              <w:spacing w:before="60" w:after="60"/>
              <w:ind w:left="57" w:right="57"/>
              <w:rPr>
                <w:highlight w:val="yellow"/>
              </w:rPr>
            </w:pPr>
            <w:r w:rsidRPr="00B713EE">
              <w:t>16/0/0</w:t>
            </w:r>
          </w:p>
        </w:tc>
        <w:tc>
          <w:tcPr>
            <w:tcW w:w="1610" w:type="dxa"/>
          </w:tcPr>
          <w:p w:rsidR="00CD04C1" w:rsidRPr="00B713EE" w:rsidRDefault="00CD04C1" w:rsidP="00FC4127">
            <w:pPr>
              <w:spacing w:before="60" w:after="60"/>
              <w:ind w:left="57" w:right="57"/>
            </w:pPr>
            <w:r w:rsidRPr="00B713EE">
              <w:t>Complément 3 à la série 02</w:t>
            </w:r>
          </w:p>
        </w:tc>
        <w:tc>
          <w:tcPr>
            <w:tcW w:w="853" w:type="dxa"/>
          </w:tcPr>
          <w:p w:rsidR="00CD04C1" w:rsidRPr="0051257F" w:rsidRDefault="00CD04C1" w:rsidP="00FC4127">
            <w:pPr>
              <w:spacing w:before="60" w:after="60"/>
              <w:ind w:left="57" w:right="57"/>
              <w:rPr>
                <w:u w:val="single"/>
              </w:rPr>
            </w:pPr>
          </w:p>
        </w:tc>
      </w:tr>
      <w:tr w:rsidR="00FC4127" w:rsidRPr="00B713EE" w:rsidTr="00584E43">
        <w:trPr>
          <w:cantSplit/>
        </w:trPr>
        <w:tc>
          <w:tcPr>
            <w:tcW w:w="765" w:type="dxa"/>
          </w:tcPr>
          <w:p w:rsidR="00CD04C1" w:rsidRPr="00B713EE" w:rsidRDefault="00CD04C1" w:rsidP="00FC4127">
            <w:pPr>
              <w:spacing w:before="60" w:after="60"/>
              <w:ind w:left="57" w:right="57"/>
            </w:pPr>
            <w:r w:rsidRPr="00B713EE">
              <w:t>65</w:t>
            </w:r>
          </w:p>
        </w:tc>
        <w:tc>
          <w:tcPr>
            <w:tcW w:w="2065" w:type="dxa"/>
          </w:tcPr>
          <w:p w:rsidR="00CD04C1" w:rsidRPr="00B713EE" w:rsidRDefault="00CD04C1" w:rsidP="00FC4127">
            <w:pPr>
              <w:spacing w:before="60" w:after="60"/>
              <w:ind w:left="57" w:right="57"/>
              <w:rPr>
                <w:bCs/>
              </w:rPr>
            </w:pPr>
            <w:r w:rsidRPr="00B713EE">
              <w:rPr>
                <w:bCs/>
              </w:rPr>
              <w:t>Feux spéciaux d</w:t>
            </w:r>
            <w:r w:rsidR="007C2F80">
              <w:rPr>
                <w:bCs/>
              </w:rPr>
              <w:t>’</w:t>
            </w:r>
            <w:r w:rsidRPr="00B713EE">
              <w:rPr>
                <w:bCs/>
              </w:rPr>
              <w:t>avertissement</w:t>
            </w:r>
          </w:p>
        </w:tc>
        <w:tc>
          <w:tcPr>
            <w:tcW w:w="993" w:type="dxa"/>
          </w:tcPr>
          <w:p w:rsidR="00CD04C1" w:rsidRPr="00B713EE" w:rsidRDefault="00CD04C1" w:rsidP="00FC4127">
            <w:pPr>
              <w:spacing w:before="60" w:after="60"/>
              <w:ind w:left="57" w:right="57"/>
            </w:pPr>
            <w:r w:rsidRPr="00B713EE">
              <w:t>32</w:t>
            </w:r>
          </w:p>
        </w:tc>
        <w:tc>
          <w:tcPr>
            <w:tcW w:w="932" w:type="dxa"/>
          </w:tcPr>
          <w:p w:rsidR="00CD04C1" w:rsidRPr="00B713EE" w:rsidRDefault="00CD04C1" w:rsidP="00FC4127">
            <w:pPr>
              <w:spacing w:before="60" w:after="60"/>
              <w:ind w:left="57" w:right="57"/>
              <w:rPr>
                <w:highlight w:val="yellow"/>
              </w:rPr>
            </w:pPr>
            <w:r w:rsidRPr="00B713EE">
              <w:t>21</w:t>
            </w:r>
          </w:p>
        </w:tc>
        <w:tc>
          <w:tcPr>
            <w:tcW w:w="1567" w:type="dxa"/>
          </w:tcPr>
          <w:p w:rsidR="00CD04C1" w:rsidRPr="00B713EE" w:rsidRDefault="00CD04C1" w:rsidP="00FC4127">
            <w:pPr>
              <w:spacing w:before="60" w:after="60"/>
              <w:ind w:left="57" w:right="57"/>
            </w:pPr>
            <w:r w:rsidRPr="00B713EE">
              <w:t>2017/29</w:t>
            </w:r>
          </w:p>
        </w:tc>
        <w:tc>
          <w:tcPr>
            <w:tcW w:w="854" w:type="dxa"/>
          </w:tcPr>
          <w:p w:rsidR="00CD04C1" w:rsidRPr="00B713EE" w:rsidRDefault="00CD04C1" w:rsidP="00FC4127">
            <w:pPr>
              <w:spacing w:before="60" w:after="60"/>
              <w:ind w:left="57" w:right="57"/>
              <w:rPr>
                <w:highlight w:val="yellow"/>
              </w:rPr>
            </w:pPr>
            <w:r w:rsidRPr="00B713EE">
              <w:t>21/0/0</w:t>
            </w:r>
          </w:p>
        </w:tc>
        <w:tc>
          <w:tcPr>
            <w:tcW w:w="1610" w:type="dxa"/>
          </w:tcPr>
          <w:p w:rsidR="00CD04C1" w:rsidRPr="00B713EE" w:rsidRDefault="00CD04C1" w:rsidP="00FC4127">
            <w:pPr>
              <w:spacing w:before="60" w:after="60"/>
              <w:ind w:left="57" w:right="57"/>
            </w:pPr>
            <w:r w:rsidRPr="00B713EE">
              <w:t>Complément 10 à la série 00</w:t>
            </w:r>
          </w:p>
        </w:tc>
        <w:tc>
          <w:tcPr>
            <w:tcW w:w="853" w:type="dxa"/>
          </w:tcPr>
          <w:p w:rsidR="00CD04C1" w:rsidRPr="0051257F" w:rsidRDefault="00CD04C1" w:rsidP="00FC4127">
            <w:pPr>
              <w:spacing w:before="60" w:after="60"/>
              <w:ind w:left="57" w:right="57"/>
            </w:pPr>
          </w:p>
        </w:tc>
      </w:tr>
      <w:tr w:rsidR="00FC4127" w:rsidRPr="00B713EE" w:rsidTr="00584E43">
        <w:trPr>
          <w:cantSplit/>
        </w:trPr>
        <w:tc>
          <w:tcPr>
            <w:tcW w:w="765" w:type="dxa"/>
          </w:tcPr>
          <w:p w:rsidR="00CD04C1" w:rsidRPr="00B713EE" w:rsidRDefault="00CD04C1" w:rsidP="00FC4127">
            <w:pPr>
              <w:spacing w:before="60" w:after="60"/>
              <w:ind w:left="57" w:right="57"/>
            </w:pPr>
            <w:r w:rsidRPr="00B713EE">
              <w:t>69</w:t>
            </w:r>
          </w:p>
        </w:tc>
        <w:tc>
          <w:tcPr>
            <w:tcW w:w="2065" w:type="dxa"/>
          </w:tcPr>
          <w:p w:rsidR="00CD04C1" w:rsidRPr="00B713EE" w:rsidRDefault="00CD04C1" w:rsidP="00FC4127">
            <w:pPr>
              <w:spacing w:before="60" w:after="60"/>
              <w:ind w:left="57" w:right="57"/>
              <w:rPr>
                <w:bCs/>
              </w:rPr>
            </w:pPr>
            <w:r w:rsidRPr="00B713EE">
              <w:rPr>
                <w:bCs/>
              </w:rPr>
              <w:t>Plaques de signalisation arrière pour véhicules lents</w:t>
            </w:r>
          </w:p>
        </w:tc>
        <w:tc>
          <w:tcPr>
            <w:tcW w:w="993" w:type="dxa"/>
          </w:tcPr>
          <w:p w:rsidR="00CD04C1" w:rsidRPr="00B713EE" w:rsidRDefault="00CD04C1" w:rsidP="00FC4127">
            <w:pPr>
              <w:spacing w:before="60" w:after="60"/>
              <w:ind w:left="57" w:right="57"/>
            </w:pPr>
            <w:r w:rsidRPr="00B713EE">
              <w:t>44</w:t>
            </w:r>
          </w:p>
        </w:tc>
        <w:tc>
          <w:tcPr>
            <w:tcW w:w="932" w:type="dxa"/>
          </w:tcPr>
          <w:p w:rsidR="00CD04C1" w:rsidRPr="00B713EE" w:rsidRDefault="00CD04C1" w:rsidP="00FC4127">
            <w:pPr>
              <w:spacing w:before="60" w:after="60"/>
              <w:ind w:left="57" w:right="57"/>
              <w:rPr>
                <w:highlight w:val="yellow"/>
              </w:rPr>
            </w:pPr>
            <w:r w:rsidRPr="00B713EE">
              <w:t>34</w:t>
            </w:r>
          </w:p>
        </w:tc>
        <w:tc>
          <w:tcPr>
            <w:tcW w:w="1567" w:type="dxa"/>
          </w:tcPr>
          <w:p w:rsidR="00CD04C1" w:rsidRPr="00B713EE" w:rsidRDefault="00CD04C1" w:rsidP="00FC4127">
            <w:pPr>
              <w:spacing w:before="60" w:after="60"/>
              <w:ind w:left="57" w:right="57"/>
            </w:pPr>
            <w:r w:rsidRPr="00B713EE">
              <w:t>2017/30</w:t>
            </w:r>
          </w:p>
        </w:tc>
        <w:tc>
          <w:tcPr>
            <w:tcW w:w="854" w:type="dxa"/>
          </w:tcPr>
          <w:p w:rsidR="00CD04C1" w:rsidRPr="00B713EE" w:rsidRDefault="00CD04C1" w:rsidP="00FC4127">
            <w:pPr>
              <w:spacing w:before="60" w:after="60"/>
              <w:ind w:left="57" w:right="57"/>
              <w:rPr>
                <w:highlight w:val="yellow"/>
              </w:rPr>
            </w:pPr>
            <w:r w:rsidRPr="00B713EE">
              <w:t>34/0/0</w:t>
            </w:r>
          </w:p>
        </w:tc>
        <w:tc>
          <w:tcPr>
            <w:tcW w:w="1610" w:type="dxa"/>
          </w:tcPr>
          <w:p w:rsidR="00CD04C1" w:rsidRPr="00B713EE" w:rsidRDefault="00CD04C1" w:rsidP="00FC4127">
            <w:pPr>
              <w:spacing w:before="60" w:after="60"/>
              <w:ind w:left="57" w:right="57"/>
            </w:pPr>
            <w:r w:rsidRPr="00B713EE">
              <w:t>Complément 6 à la série 01</w:t>
            </w:r>
          </w:p>
        </w:tc>
        <w:tc>
          <w:tcPr>
            <w:tcW w:w="853" w:type="dxa"/>
          </w:tcPr>
          <w:p w:rsidR="00CD04C1" w:rsidRPr="0051257F" w:rsidRDefault="00CD04C1" w:rsidP="00FC4127">
            <w:pPr>
              <w:spacing w:before="60" w:after="60"/>
              <w:ind w:left="57" w:right="57"/>
            </w:pPr>
            <w:r w:rsidRPr="0051257F">
              <w:t>*</w:t>
            </w:r>
          </w:p>
        </w:tc>
      </w:tr>
      <w:tr w:rsidR="00FC4127" w:rsidRPr="00B713EE" w:rsidTr="00584E43">
        <w:trPr>
          <w:cantSplit/>
        </w:trPr>
        <w:tc>
          <w:tcPr>
            <w:tcW w:w="765" w:type="dxa"/>
          </w:tcPr>
          <w:p w:rsidR="00CD04C1" w:rsidRPr="00B713EE" w:rsidRDefault="00CD04C1" w:rsidP="00FC4127">
            <w:pPr>
              <w:spacing w:before="60" w:after="60"/>
              <w:ind w:left="57" w:right="57"/>
            </w:pPr>
            <w:r w:rsidRPr="00B713EE">
              <w:t>70</w:t>
            </w:r>
          </w:p>
        </w:tc>
        <w:tc>
          <w:tcPr>
            <w:tcW w:w="2065" w:type="dxa"/>
          </w:tcPr>
          <w:p w:rsidR="00CD04C1" w:rsidRPr="00B713EE" w:rsidRDefault="00CD04C1" w:rsidP="00FC4127">
            <w:pPr>
              <w:spacing w:before="60" w:after="60"/>
              <w:ind w:left="57" w:right="57"/>
              <w:rPr>
                <w:bCs/>
              </w:rPr>
            </w:pPr>
            <w:r w:rsidRPr="00B713EE">
              <w:rPr>
                <w:bCs/>
              </w:rPr>
              <w:t>Plaques de signalisation arrière pour véhicules lourds et longs</w:t>
            </w:r>
          </w:p>
        </w:tc>
        <w:tc>
          <w:tcPr>
            <w:tcW w:w="993" w:type="dxa"/>
          </w:tcPr>
          <w:p w:rsidR="00CD04C1" w:rsidRPr="00B713EE" w:rsidRDefault="00CD04C1" w:rsidP="00FC4127">
            <w:pPr>
              <w:spacing w:before="60" w:after="60"/>
              <w:ind w:left="57" w:right="57"/>
            </w:pPr>
            <w:r w:rsidRPr="00B713EE">
              <w:t>45</w:t>
            </w:r>
          </w:p>
        </w:tc>
        <w:tc>
          <w:tcPr>
            <w:tcW w:w="932" w:type="dxa"/>
          </w:tcPr>
          <w:p w:rsidR="00CD04C1" w:rsidRPr="00B713EE" w:rsidRDefault="00CD04C1" w:rsidP="00FC4127">
            <w:pPr>
              <w:spacing w:before="60" w:after="60"/>
              <w:ind w:left="57" w:right="57"/>
              <w:rPr>
                <w:highlight w:val="yellow"/>
              </w:rPr>
            </w:pPr>
            <w:r w:rsidRPr="00B713EE">
              <w:t>35</w:t>
            </w:r>
          </w:p>
        </w:tc>
        <w:tc>
          <w:tcPr>
            <w:tcW w:w="1567" w:type="dxa"/>
          </w:tcPr>
          <w:p w:rsidR="00CD04C1" w:rsidRPr="00B713EE" w:rsidRDefault="00CD04C1" w:rsidP="00FC4127">
            <w:pPr>
              <w:spacing w:before="60" w:after="60"/>
              <w:ind w:left="57" w:right="57"/>
            </w:pPr>
            <w:r w:rsidRPr="00B713EE">
              <w:t>2017/31</w:t>
            </w:r>
          </w:p>
        </w:tc>
        <w:tc>
          <w:tcPr>
            <w:tcW w:w="854" w:type="dxa"/>
          </w:tcPr>
          <w:p w:rsidR="00CD04C1" w:rsidRPr="00B713EE" w:rsidRDefault="00CD04C1" w:rsidP="00FC4127">
            <w:pPr>
              <w:spacing w:before="60" w:after="60"/>
              <w:ind w:left="57" w:right="57"/>
              <w:rPr>
                <w:highlight w:val="yellow"/>
              </w:rPr>
            </w:pPr>
            <w:r w:rsidRPr="00B713EE">
              <w:t>35/0/0</w:t>
            </w:r>
          </w:p>
        </w:tc>
        <w:tc>
          <w:tcPr>
            <w:tcW w:w="1610" w:type="dxa"/>
          </w:tcPr>
          <w:p w:rsidR="00CD04C1" w:rsidRPr="00B713EE" w:rsidRDefault="00CD04C1" w:rsidP="00FC4127">
            <w:pPr>
              <w:spacing w:before="60" w:after="60"/>
              <w:ind w:left="57" w:right="57"/>
            </w:pPr>
            <w:r w:rsidRPr="00B713EE">
              <w:t>Complément 10 à la série 01</w:t>
            </w:r>
          </w:p>
        </w:tc>
        <w:tc>
          <w:tcPr>
            <w:tcW w:w="853" w:type="dxa"/>
          </w:tcPr>
          <w:p w:rsidR="00CD04C1" w:rsidRPr="0051257F" w:rsidRDefault="00CD04C1" w:rsidP="00FC4127">
            <w:pPr>
              <w:spacing w:before="60" w:after="60"/>
              <w:ind w:left="57" w:right="57"/>
            </w:pPr>
            <w:r w:rsidRPr="0051257F">
              <w:t>*</w:t>
            </w:r>
          </w:p>
        </w:tc>
      </w:tr>
      <w:tr w:rsidR="00FC4127" w:rsidRPr="00B713EE" w:rsidTr="00584E43">
        <w:trPr>
          <w:cantSplit/>
        </w:trPr>
        <w:tc>
          <w:tcPr>
            <w:tcW w:w="765" w:type="dxa"/>
          </w:tcPr>
          <w:p w:rsidR="00CD04C1" w:rsidRPr="00B713EE" w:rsidRDefault="00CD04C1" w:rsidP="00FC4127">
            <w:pPr>
              <w:spacing w:before="60" w:after="60"/>
              <w:ind w:left="57" w:right="57"/>
            </w:pPr>
            <w:r w:rsidRPr="00B713EE">
              <w:t>73</w:t>
            </w:r>
          </w:p>
        </w:tc>
        <w:tc>
          <w:tcPr>
            <w:tcW w:w="2065" w:type="dxa"/>
          </w:tcPr>
          <w:p w:rsidR="00CD04C1" w:rsidRPr="00B713EE" w:rsidRDefault="00CD04C1" w:rsidP="00FC4127">
            <w:pPr>
              <w:spacing w:before="60" w:after="60"/>
              <w:ind w:left="57" w:right="57"/>
              <w:rPr>
                <w:bCs/>
              </w:rPr>
            </w:pPr>
            <w:r w:rsidRPr="00B713EE">
              <w:rPr>
                <w:bCs/>
              </w:rPr>
              <w:t>Dispositifs de protection latérale</w:t>
            </w:r>
          </w:p>
        </w:tc>
        <w:tc>
          <w:tcPr>
            <w:tcW w:w="993" w:type="dxa"/>
          </w:tcPr>
          <w:p w:rsidR="00CD04C1" w:rsidRPr="00B713EE" w:rsidRDefault="00CD04C1" w:rsidP="00FC4127">
            <w:pPr>
              <w:spacing w:before="60" w:after="60"/>
              <w:ind w:left="57" w:right="57"/>
            </w:pPr>
            <w:r w:rsidRPr="00B713EE">
              <w:t>43</w:t>
            </w:r>
          </w:p>
        </w:tc>
        <w:tc>
          <w:tcPr>
            <w:tcW w:w="932" w:type="dxa"/>
          </w:tcPr>
          <w:p w:rsidR="00CD04C1" w:rsidRPr="00B713EE" w:rsidRDefault="00CD04C1" w:rsidP="00FC4127">
            <w:pPr>
              <w:spacing w:before="60" w:after="60"/>
              <w:ind w:left="57" w:right="57"/>
              <w:rPr>
                <w:highlight w:val="yellow"/>
              </w:rPr>
            </w:pPr>
            <w:r w:rsidRPr="00B713EE">
              <w:t>33</w:t>
            </w:r>
          </w:p>
        </w:tc>
        <w:tc>
          <w:tcPr>
            <w:tcW w:w="1567" w:type="dxa"/>
          </w:tcPr>
          <w:p w:rsidR="00CD04C1" w:rsidRPr="00B713EE" w:rsidRDefault="00CD04C1" w:rsidP="00FC4127">
            <w:pPr>
              <w:spacing w:before="60" w:after="60"/>
              <w:ind w:left="57" w:right="57"/>
            </w:pPr>
            <w:r w:rsidRPr="00B713EE">
              <w:t>2017/17</w:t>
            </w:r>
          </w:p>
        </w:tc>
        <w:tc>
          <w:tcPr>
            <w:tcW w:w="854" w:type="dxa"/>
          </w:tcPr>
          <w:p w:rsidR="00CD04C1" w:rsidRPr="00B713EE" w:rsidRDefault="00CD04C1" w:rsidP="00FC4127">
            <w:pPr>
              <w:spacing w:before="60" w:after="60"/>
              <w:ind w:left="57" w:right="57"/>
              <w:rPr>
                <w:highlight w:val="yellow"/>
              </w:rPr>
            </w:pPr>
            <w:r w:rsidRPr="00B713EE">
              <w:t>33/0/0</w:t>
            </w:r>
          </w:p>
        </w:tc>
        <w:tc>
          <w:tcPr>
            <w:tcW w:w="1610" w:type="dxa"/>
          </w:tcPr>
          <w:p w:rsidR="00CD04C1" w:rsidRPr="00B713EE" w:rsidRDefault="00CD04C1" w:rsidP="00FC4127">
            <w:pPr>
              <w:spacing w:before="60" w:after="60"/>
              <w:ind w:left="57" w:right="57"/>
            </w:pPr>
            <w:r w:rsidRPr="00B713EE">
              <w:t>Complément 1 à la série 01</w:t>
            </w:r>
          </w:p>
        </w:tc>
        <w:tc>
          <w:tcPr>
            <w:tcW w:w="853" w:type="dxa"/>
          </w:tcPr>
          <w:p w:rsidR="00CD04C1" w:rsidRPr="0051257F" w:rsidRDefault="00CD04C1" w:rsidP="00FC4127">
            <w:pPr>
              <w:spacing w:before="60" w:after="60"/>
              <w:ind w:left="57" w:right="57"/>
            </w:pPr>
            <w:r w:rsidRPr="0051257F">
              <w:t>*</w:t>
            </w:r>
          </w:p>
        </w:tc>
      </w:tr>
      <w:tr w:rsidR="00FC4127" w:rsidRPr="00B713EE" w:rsidTr="00584E43">
        <w:trPr>
          <w:cantSplit/>
        </w:trPr>
        <w:tc>
          <w:tcPr>
            <w:tcW w:w="765" w:type="dxa"/>
          </w:tcPr>
          <w:p w:rsidR="00CD04C1" w:rsidRPr="00B713EE" w:rsidRDefault="00CD04C1" w:rsidP="00FC4127">
            <w:pPr>
              <w:spacing w:before="60" w:after="60"/>
              <w:ind w:left="57" w:right="57"/>
            </w:pPr>
            <w:r w:rsidRPr="00B713EE">
              <w:t>75</w:t>
            </w:r>
          </w:p>
        </w:tc>
        <w:tc>
          <w:tcPr>
            <w:tcW w:w="2065" w:type="dxa"/>
          </w:tcPr>
          <w:p w:rsidR="00CD04C1" w:rsidRPr="00B713EE" w:rsidRDefault="00CD04C1" w:rsidP="00FC4127">
            <w:pPr>
              <w:spacing w:before="60" w:after="60"/>
              <w:ind w:left="57" w:right="57"/>
              <w:rPr>
                <w:bCs/>
              </w:rPr>
            </w:pPr>
            <w:r w:rsidRPr="00B713EE">
              <w:rPr>
                <w:bCs/>
              </w:rPr>
              <w:t>Pneumatiques des véhicules de la catégorie L</w:t>
            </w:r>
          </w:p>
        </w:tc>
        <w:tc>
          <w:tcPr>
            <w:tcW w:w="993" w:type="dxa"/>
          </w:tcPr>
          <w:p w:rsidR="00CD04C1" w:rsidRPr="00B713EE" w:rsidRDefault="00CD04C1" w:rsidP="00FC4127">
            <w:pPr>
              <w:spacing w:before="60" w:after="60"/>
              <w:ind w:left="57" w:right="57"/>
            </w:pPr>
            <w:r w:rsidRPr="00B713EE">
              <w:t>44</w:t>
            </w:r>
          </w:p>
        </w:tc>
        <w:tc>
          <w:tcPr>
            <w:tcW w:w="932" w:type="dxa"/>
          </w:tcPr>
          <w:p w:rsidR="00CD04C1" w:rsidRPr="00B713EE" w:rsidRDefault="00CD04C1" w:rsidP="00FC4127">
            <w:pPr>
              <w:spacing w:before="60" w:after="60"/>
              <w:ind w:left="57" w:right="57"/>
              <w:rPr>
                <w:highlight w:val="yellow"/>
              </w:rPr>
            </w:pPr>
            <w:r w:rsidRPr="00B713EE">
              <w:t>33</w:t>
            </w:r>
          </w:p>
        </w:tc>
        <w:tc>
          <w:tcPr>
            <w:tcW w:w="1567" w:type="dxa"/>
          </w:tcPr>
          <w:p w:rsidR="00CD04C1" w:rsidRPr="00B713EE" w:rsidRDefault="00CD04C1" w:rsidP="00FC4127">
            <w:pPr>
              <w:spacing w:before="60" w:after="60"/>
              <w:ind w:left="57" w:right="57"/>
            </w:pPr>
            <w:r w:rsidRPr="00B713EE">
              <w:t>2017/8</w:t>
            </w:r>
          </w:p>
        </w:tc>
        <w:tc>
          <w:tcPr>
            <w:tcW w:w="854" w:type="dxa"/>
          </w:tcPr>
          <w:p w:rsidR="00CD04C1" w:rsidRPr="00B713EE" w:rsidRDefault="00CD04C1" w:rsidP="00FC4127">
            <w:pPr>
              <w:spacing w:before="60" w:after="60"/>
              <w:ind w:left="57" w:right="57"/>
            </w:pPr>
            <w:r w:rsidRPr="00B713EE">
              <w:t>33/0/0</w:t>
            </w:r>
          </w:p>
        </w:tc>
        <w:tc>
          <w:tcPr>
            <w:tcW w:w="1610" w:type="dxa"/>
          </w:tcPr>
          <w:p w:rsidR="00CD04C1" w:rsidRPr="00B713EE" w:rsidRDefault="00CD04C1" w:rsidP="00FC4127">
            <w:pPr>
              <w:spacing w:before="60" w:after="60"/>
              <w:ind w:left="57" w:right="57"/>
            </w:pPr>
            <w:r w:rsidRPr="00B713EE">
              <w:t>Complément 16 à la série 00</w:t>
            </w:r>
          </w:p>
        </w:tc>
        <w:tc>
          <w:tcPr>
            <w:tcW w:w="853" w:type="dxa"/>
          </w:tcPr>
          <w:p w:rsidR="00CD04C1" w:rsidRPr="0051257F" w:rsidRDefault="00CD04C1" w:rsidP="00FC4127">
            <w:pPr>
              <w:spacing w:before="60" w:after="60"/>
              <w:ind w:left="57" w:right="57"/>
            </w:pPr>
            <w:r w:rsidRPr="0051257F">
              <w:t>*</w:t>
            </w:r>
          </w:p>
        </w:tc>
      </w:tr>
      <w:tr w:rsidR="00FC4127" w:rsidRPr="00B713EE" w:rsidTr="00584E43">
        <w:trPr>
          <w:cantSplit/>
        </w:trPr>
        <w:tc>
          <w:tcPr>
            <w:tcW w:w="765" w:type="dxa"/>
          </w:tcPr>
          <w:p w:rsidR="00CD04C1" w:rsidRPr="00B713EE" w:rsidRDefault="00CD04C1" w:rsidP="00FC4127">
            <w:pPr>
              <w:spacing w:before="60" w:after="60"/>
              <w:ind w:left="57" w:right="57"/>
            </w:pPr>
            <w:r w:rsidRPr="00B713EE">
              <w:t>77</w:t>
            </w:r>
          </w:p>
        </w:tc>
        <w:tc>
          <w:tcPr>
            <w:tcW w:w="2065" w:type="dxa"/>
          </w:tcPr>
          <w:p w:rsidR="00CD04C1" w:rsidRPr="00B713EE" w:rsidRDefault="00CD04C1" w:rsidP="00FC4127">
            <w:pPr>
              <w:spacing w:before="60" w:after="60"/>
              <w:ind w:left="57" w:right="57"/>
              <w:rPr>
                <w:bCs/>
              </w:rPr>
            </w:pPr>
            <w:r w:rsidRPr="00B713EE">
              <w:rPr>
                <w:bCs/>
              </w:rPr>
              <w:t>Feux de stationnement</w:t>
            </w:r>
          </w:p>
        </w:tc>
        <w:tc>
          <w:tcPr>
            <w:tcW w:w="993" w:type="dxa"/>
          </w:tcPr>
          <w:p w:rsidR="00CD04C1" w:rsidRPr="00B713EE" w:rsidRDefault="00CD04C1" w:rsidP="00FC4127">
            <w:pPr>
              <w:spacing w:before="60" w:after="60"/>
              <w:ind w:left="57" w:right="57"/>
            </w:pPr>
            <w:r w:rsidRPr="00B713EE">
              <w:t>44</w:t>
            </w:r>
          </w:p>
        </w:tc>
        <w:tc>
          <w:tcPr>
            <w:tcW w:w="932" w:type="dxa"/>
          </w:tcPr>
          <w:p w:rsidR="00CD04C1" w:rsidRPr="00B713EE" w:rsidRDefault="00CD04C1" w:rsidP="00FC4127">
            <w:pPr>
              <w:spacing w:before="60" w:after="60"/>
              <w:ind w:left="57" w:right="57"/>
              <w:rPr>
                <w:highlight w:val="yellow"/>
              </w:rPr>
            </w:pPr>
            <w:r w:rsidRPr="00B713EE">
              <w:t>35</w:t>
            </w:r>
          </w:p>
        </w:tc>
        <w:tc>
          <w:tcPr>
            <w:tcW w:w="1567" w:type="dxa"/>
          </w:tcPr>
          <w:p w:rsidR="00CD04C1" w:rsidRPr="00B713EE" w:rsidRDefault="00CD04C1" w:rsidP="00FC4127">
            <w:pPr>
              <w:spacing w:before="60" w:after="60"/>
              <w:ind w:left="57" w:right="57"/>
            </w:pPr>
            <w:r w:rsidRPr="00B713EE">
              <w:t>2017/32</w:t>
            </w:r>
          </w:p>
        </w:tc>
        <w:tc>
          <w:tcPr>
            <w:tcW w:w="854" w:type="dxa"/>
          </w:tcPr>
          <w:p w:rsidR="00CD04C1" w:rsidRPr="00B713EE" w:rsidRDefault="00CD04C1" w:rsidP="00FC4127">
            <w:pPr>
              <w:spacing w:before="60" w:after="60"/>
              <w:ind w:left="57" w:right="57"/>
              <w:rPr>
                <w:highlight w:val="yellow"/>
              </w:rPr>
            </w:pPr>
            <w:r w:rsidRPr="00B713EE">
              <w:t>35/0/0</w:t>
            </w:r>
          </w:p>
        </w:tc>
        <w:tc>
          <w:tcPr>
            <w:tcW w:w="1610" w:type="dxa"/>
          </w:tcPr>
          <w:p w:rsidR="00CD04C1" w:rsidRPr="00B713EE" w:rsidRDefault="00CD04C1" w:rsidP="00FC4127">
            <w:pPr>
              <w:spacing w:before="60" w:after="60"/>
              <w:ind w:left="57" w:right="57"/>
            </w:pPr>
            <w:r w:rsidRPr="00B713EE">
              <w:t>Complément 17 à la série 00</w:t>
            </w:r>
          </w:p>
        </w:tc>
        <w:tc>
          <w:tcPr>
            <w:tcW w:w="853" w:type="dxa"/>
          </w:tcPr>
          <w:p w:rsidR="00CD04C1" w:rsidRPr="0051257F" w:rsidRDefault="00CD04C1" w:rsidP="00FC4127">
            <w:pPr>
              <w:spacing w:before="60" w:after="60"/>
              <w:ind w:left="57" w:right="57"/>
            </w:pPr>
            <w:r w:rsidRPr="0051257F">
              <w:t>*</w:t>
            </w:r>
          </w:p>
        </w:tc>
      </w:tr>
      <w:tr w:rsidR="00FC4127" w:rsidRPr="00B713EE" w:rsidTr="00584E43">
        <w:trPr>
          <w:cantSplit/>
        </w:trPr>
        <w:tc>
          <w:tcPr>
            <w:tcW w:w="765" w:type="dxa"/>
          </w:tcPr>
          <w:p w:rsidR="00CD04C1" w:rsidRPr="00B713EE" w:rsidRDefault="00CD04C1" w:rsidP="00FC4127">
            <w:pPr>
              <w:spacing w:before="60" w:after="60"/>
              <w:ind w:left="57" w:right="57"/>
              <w:rPr>
                <w:highlight w:val="yellow"/>
              </w:rPr>
            </w:pPr>
            <w:r w:rsidRPr="00B713EE">
              <w:t>79</w:t>
            </w:r>
          </w:p>
        </w:tc>
        <w:tc>
          <w:tcPr>
            <w:tcW w:w="2065" w:type="dxa"/>
          </w:tcPr>
          <w:p w:rsidR="00CD04C1" w:rsidRPr="00B713EE" w:rsidRDefault="00CD04C1" w:rsidP="00FC4127">
            <w:pPr>
              <w:spacing w:before="60" w:after="60"/>
              <w:ind w:left="57" w:right="57"/>
              <w:rPr>
                <w:bCs/>
                <w:highlight w:val="yellow"/>
              </w:rPr>
            </w:pPr>
            <w:r w:rsidRPr="00B713EE">
              <w:rPr>
                <w:bCs/>
              </w:rPr>
              <w:t>Équipement de direction</w:t>
            </w:r>
          </w:p>
        </w:tc>
        <w:tc>
          <w:tcPr>
            <w:tcW w:w="993" w:type="dxa"/>
          </w:tcPr>
          <w:p w:rsidR="00CD04C1" w:rsidRPr="00B713EE" w:rsidRDefault="00CD04C1" w:rsidP="00FC4127">
            <w:pPr>
              <w:spacing w:before="60" w:after="60"/>
              <w:ind w:left="57" w:right="57"/>
            </w:pPr>
            <w:r w:rsidRPr="00B713EE">
              <w:t>43</w:t>
            </w:r>
          </w:p>
        </w:tc>
        <w:tc>
          <w:tcPr>
            <w:tcW w:w="932" w:type="dxa"/>
          </w:tcPr>
          <w:p w:rsidR="00CD04C1" w:rsidRPr="00B713EE" w:rsidRDefault="00CD04C1" w:rsidP="00FC4127">
            <w:pPr>
              <w:spacing w:before="60" w:after="60"/>
              <w:ind w:left="57" w:right="57"/>
            </w:pPr>
            <w:r w:rsidRPr="00B713EE">
              <w:t>33</w:t>
            </w:r>
          </w:p>
        </w:tc>
        <w:tc>
          <w:tcPr>
            <w:tcW w:w="1567" w:type="dxa"/>
          </w:tcPr>
          <w:p w:rsidR="00CD04C1" w:rsidRPr="00E6243E" w:rsidRDefault="00CD04C1" w:rsidP="00E6243E">
            <w:pPr>
              <w:spacing w:before="60" w:after="60"/>
              <w:ind w:left="57" w:right="57"/>
              <w:rPr>
                <w:spacing w:val="-10"/>
                <w:highlight w:val="yellow"/>
              </w:rPr>
            </w:pPr>
            <w:r w:rsidRPr="00E6243E">
              <w:rPr>
                <w:spacing w:val="-10"/>
              </w:rPr>
              <w:t>2017/10</w:t>
            </w:r>
            <w:r w:rsidR="009A2D64" w:rsidRPr="00E6243E">
              <w:rPr>
                <w:spacing w:val="-10"/>
              </w:rPr>
              <w:t xml:space="preserve"> </w:t>
            </w:r>
            <w:r w:rsidRPr="00E6243E">
              <w:rPr>
                <w:spacing w:val="-10"/>
              </w:rPr>
              <w:t>modifié par le</w:t>
            </w:r>
            <w:r w:rsidR="009A2D64" w:rsidRPr="00E6243E">
              <w:rPr>
                <w:spacing w:val="-10"/>
              </w:rPr>
              <w:t xml:space="preserve"> </w:t>
            </w:r>
            <w:r w:rsidR="00E6243E" w:rsidRPr="00E6243E">
              <w:rPr>
                <w:spacing w:val="-10"/>
              </w:rPr>
              <w:t>paragraphe </w:t>
            </w:r>
            <w:r w:rsidRPr="00E6243E">
              <w:rPr>
                <w:spacing w:val="-10"/>
              </w:rPr>
              <w:t>70</w:t>
            </w:r>
          </w:p>
        </w:tc>
        <w:tc>
          <w:tcPr>
            <w:tcW w:w="854" w:type="dxa"/>
          </w:tcPr>
          <w:p w:rsidR="00CD04C1" w:rsidRPr="00B713EE" w:rsidRDefault="00CD04C1" w:rsidP="00FC4127">
            <w:pPr>
              <w:spacing w:before="60" w:after="60"/>
              <w:ind w:left="57" w:right="57"/>
              <w:rPr>
                <w:highlight w:val="yellow"/>
              </w:rPr>
            </w:pPr>
            <w:r w:rsidRPr="00B713EE">
              <w:t>32/1/0</w:t>
            </w:r>
          </w:p>
        </w:tc>
        <w:tc>
          <w:tcPr>
            <w:tcW w:w="1610" w:type="dxa"/>
          </w:tcPr>
          <w:p w:rsidR="00CD04C1" w:rsidRPr="00B713EE" w:rsidRDefault="00CD04C1" w:rsidP="00FC4127">
            <w:pPr>
              <w:spacing w:before="60" w:after="60"/>
              <w:ind w:left="57" w:right="57"/>
              <w:rPr>
                <w:b/>
                <w:highlight w:val="yellow"/>
              </w:rPr>
            </w:pPr>
            <w:r w:rsidRPr="00B713EE">
              <w:t>Série 02</w:t>
            </w:r>
          </w:p>
        </w:tc>
        <w:tc>
          <w:tcPr>
            <w:tcW w:w="853" w:type="dxa"/>
          </w:tcPr>
          <w:p w:rsidR="00CD04C1" w:rsidRPr="0051257F" w:rsidRDefault="00CD04C1" w:rsidP="00FC4127">
            <w:pPr>
              <w:spacing w:before="60" w:after="60"/>
              <w:ind w:left="57" w:right="57"/>
              <w:rPr>
                <w:u w:val="single"/>
              </w:rPr>
            </w:pPr>
            <w:r w:rsidRPr="0051257F">
              <w:t>**</w:t>
            </w:r>
          </w:p>
        </w:tc>
      </w:tr>
      <w:tr w:rsidR="00FC4127" w:rsidRPr="00B713EE" w:rsidTr="00584E43">
        <w:trPr>
          <w:cantSplit/>
        </w:trPr>
        <w:tc>
          <w:tcPr>
            <w:tcW w:w="765" w:type="dxa"/>
          </w:tcPr>
          <w:p w:rsidR="00CD04C1" w:rsidRPr="00B713EE" w:rsidRDefault="00CD04C1" w:rsidP="00FC4127">
            <w:pPr>
              <w:spacing w:before="60" w:after="60"/>
              <w:ind w:left="57" w:right="57"/>
            </w:pPr>
            <w:r w:rsidRPr="00B713EE">
              <w:t>83</w:t>
            </w:r>
          </w:p>
        </w:tc>
        <w:tc>
          <w:tcPr>
            <w:tcW w:w="2065" w:type="dxa"/>
          </w:tcPr>
          <w:p w:rsidR="00CD04C1" w:rsidRPr="00B713EE" w:rsidRDefault="00CD04C1" w:rsidP="00FC4127">
            <w:pPr>
              <w:spacing w:before="60" w:after="60"/>
              <w:ind w:left="57" w:right="57"/>
              <w:rPr>
                <w:bCs/>
              </w:rPr>
            </w:pPr>
            <w:r w:rsidRPr="00B713EE">
              <w:rPr>
                <w:bCs/>
              </w:rPr>
              <w:t>Émissions des véhicules des catégories M</w:t>
            </w:r>
            <w:r w:rsidRPr="00B713EE">
              <w:rPr>
                <w:bCs/>
                <w:vertAlign w:val="subscript"/>
              </w:rPr>
              <w:t>1</w:t>
            </w:r>
            <w:r w:rsidRPr="00B713EE">
              <w:rPr>
                <w:bCs/>
              </w:rPr>
              <w:t xml:space="preserve"> et N</w:t>
            </w:r>
            <w:r w:rsidRPr="00B713EE">
              <w:rPr>
                <w:bCs/>
                <w:vertAlign w:val="subscript"/>
              </w:rPr>
              <w:t>1</w:t>
            </w:r>
          </w:p>
        </w:tc>
        <w:tc>
          <w:tcPr>
            <w:tcW w:w="993" w:type="dxa"/>
          </w:tcPr>
          <w:p w:rsidR="00CD04C1" w:rsidRPr="00B713EE" w:rsidRDefault="00CD04C1" w:rsidP="00FC4127">
            <w:pPr>
              <w:spacing w:before="60" w:after="60"/>
              <w:ind w:left="57" w:right="57"/>
            </w:pPr>
            <w:r w:rsidRPr="00B713EE">
              <w:t>44</w:t>
            </w:r>
          </w:p>
        </w:tc>
        <w:tc>
          <w:tcPr>
            <w:tcW w:w="932" w:type="dxa"/>
          </w:tcPr>
          <w:p w:rsidR="00CD04C1" w:rsidRPr="00B713EE" w:rsidRDefault="00CD04C1" w:rsidP="00FC4127">
            <w:pPr>
              <w:spacing w:before="60" w:after="60"/>
              <w:ind w:left="57" w:right="57"/>
            </w:pPr>
            <w:r w:rsidRPr="00B713EE">
              <w:t>34</w:t>
            </w:r>
          </w:p>
        </w:tc>
        <w:tc>
          <w:tcPr>
            <w:tcW w:w="1567" w:type="dxa"/>
          </w:tcPr>
          <w:p w:rsidR="00CD04C1" w:rsidRPr="00B713EE" w:rsidRDefault="00CD04C1" w:rsidP="00FC4127">
            <w:pPr>
              <w:spacing w:before="60" w:after="60"/>
              <w:ind w:left="57" w:right="57"/>
            </w:pPr>
            <w:r w:rsidRPr="00B713EE">
              <w:t>2017/42</w:t>
            </w:r>
          </w:p>
        </w:tc>
        <w:tc>
          <w:tcPr>
            <w:tcW w:w="854" w:type="dxa"/>
          </w:tcPr>
          <w:p w:rsidR="00CD04C1" w:rsidRPr="00B713EE" w:rsidRDefault="00CD04C1" w:rsidP="00FC4127">
            <w:pPr>
              <w:spacing w:before="60" w:after="60"/>
              <w:ind w:left="57" w:right="57"/>
              <w:rPr>
                <w:highlight w:val="yellow"/>
              </w:rPr>
            </w:pPr>
            <w:r w:rsidRPr="00B713EE">
              <w:t>33/0/1</w:t>
            </w:r>
          </w:p>
        </w:tc>
        <w:tc>
          <w:tcPr>
            <w:tcW w:w="1610" w:type="dxa"/>
          </w:tcPr>
          <w:p w:rsidR="00CD04C1" w:rsidRPr="00B713EE" w:rsidRDefault="00CD04C1" w:rsidP="00FC4127">
            <w:pPr>
              <w:spacing w:before="60" w:after="60"/>
              <w:ind w:left="57" w:right="57"/>
            </w:pPr>
            <w:r w:rsidRPr="00B713EE">
              <w:t>Complément 9 à la série 06</w:t>
            </w:r>
          </w:p>
        </w:tc>
        <w:tc>
          <w:tcPr>
            <w:tcW w:w="853" w:type="dxa"/>
          </w:tcPr>
          <w:p w:rsidR="00CD04C1" w:rsidRPr="0051257F" w:rsidRDefault="00CD04C1" w:rsidP="00FC4127">
            <w:pPr>
              <w:spacing w:before="60" w:after="60"/>
              <w:ind w:left="57" w:right="57"/>
            </w:pPr>
            <w:r w:rsidRPr="0051257F">
              <w:t>***</w:t>
            </w:r>
          </w:p>
        </w:tc>
      </w:tr>
      <w:tr w:rsidR="00FC4127" w:rsidRPr="00B713EE" w:rsidTr="00584E43">
        <w:trPr>
          <w:cantSplit/>
        </w:trPr>
        <w:tc>
          <w:tcPr>
            <w:tcW w:w="765" w:type="dxa"/>
          </w:tcPr>
          <w:p w:rsidR="00CD04C1" w:rsidRPr="00B713EE" w:rsidRDefault="00CD04C1" w:rsidP="00FC4127">
            <w:pPr>
              <w:spacing w:before="60" w:after="60"/>
              <w:ind w:left="57" w:right="57"/>
            </w:pPr>
            <w:r w:rsidRPr="00B713EE">
              <w:t>83</w:t>
            </w:r>
          </w:p>
        </w:tc>
        <w:tc>
          <w:tcPr>
            <w:tcW w:w="2065" w:type="dxa"/>
          </w:tcPr>
          <w:p w:rsidR="00CD04C1" w:rsidRPr="00B713EE" w:rsidRDefault="00CD04C1" w:rsidP="00FC4127">
            <w:pPr>
              <w:spacing w:before="60" w:after="60"/>
              <w:ind w:left="57" w:right="57"/>
              <w:rPr>
                <w:bCs/>
              </w:rPr>
            </w:pPr>
            <w:r w:rsidRPr="00B713EE">
              <w:rPr>
                <w:bCs/>
              </w:rPr>
              <w:t>Émissions des véhicules des catégories M</w:t>
            </w:r>
            <w:r w:rsidRPr="00B713EE">
              <w:rPr>
                <w:bCs/>
                <w:vertAlign w:val="subscript"/>
              </w:rPr>
              <w:t>1</w:t>
            </w:r>
            <w:r w:rsidRPr="00B713EE">
              <w:rPr>
                <w:bCs/>
              </w:rPr>
              <w:t xml:space="preserve"> et N</w:t>
            </w:r>
            <w:r w:rsidRPr="00B713EE">
              <w:rPr>
                <w:bCs/>
                <w:vertAlign w:val="subscript"/>
              </w:rPr>
              <w:t>1</w:t>
            </w:r>
          </w:p>
        </w:tc>
        <w:tc>
          <w:tcPr>
            <w:tcW w:w="993" w:type="dxa"/>
          </w:tcPr>
          <w:p w:rsidR="00CD04C1" w:rsidRPr="00B713EE" w:rsidRDefault="00CD04C1" w:rsidP="00FC4127">
            <w:pPr>
              <w:spacing w:before="60" w:after="60"/>
              <w:ind w:left="57" w:right="57"/>
            </w:pPr>
            <w:r w:rsidRPr="00B713EE">
              <w:t>44</w:t>
            </w:r>
          </w:p>
        </w:tc>
        <w:tc>
          <w:tcPr>
            <w:tcW w:w="932" w:type="dxa"/>
          </w:tcPr>
          <w:p w:rsidR="00CD04C1" w:rsidRPr="00B713EE" w:rsidRDefault="00CD04C1" w:rsidP="00FC4127">
            <w:pPr>
              <w:spacing w:before="60" w:after="60"/>
              <w:ind w:left="57" w:right="57"/>
            </w:pPr>
            <w:r w:rsidRPr="00B713EE">
              <w:t>34</w:t>
            </w:r>
          </w:p>
        </w:tc>
        <w:tc>
          <w:tcPr>
            <w:tcW w:w="1567" w:type="dxa"/>
          </w:tcPr>
          <w:p w:rsidR="00CD04C1" w:rsidRPr="00B713EE" w:rsidRDefault="00CD04C1" w:rsidP="00FC4127">
            <w:pPr>
              <w:spacing w:before="60" w:after="60"/>
              <w:ind w:left="57" w:right="57"/>
            </w:pPr>
            <w:r w:rsidRPr="00B713EE">
              <w:t>2017/43</w:t>
            </w:r>
          </w:p>
        </w:tc>
        <w:tc>
          <w:tcPr>
            <w:tcW w:w="854" w:type="dxa"/>
          </w:tcPr>
          <w:p w:rsidR="00CD04C1" w:rsidRPr="00B713EE" w:rsidRDefault="00CD04C1" w:rsidP="00FC4127">
            <w:pPr>
              <w:spacing w:before="60" w:after="60"/>
              <w:ind w:left="57" w:right="57"/>
              <w:rPr>
                <w:highlight w:val="yellow"/>
              </w:rPr>
            </w:pPr>
            <w:r w:rsidRPr="00B713EE">
              <w:t>33/0/1</w:t>
            </w:r>
          </w:p>
        </w:tc>
        <w:tc>
          <w:tcPr>
            <w:tcW w:w="1610" w:type="dxa"/>
          </w:tcPr>
          <w:p w:rsidR="00CD04C1" w:rsidRPr="00B713EE" w:rsidRDefault="00CD04C1" w:rsidP="00FC4127">
            <w:pPr>
              <w:spacing w:before="60" w:after="60"/>
              <w:ind w:left="57" w:right="57"/>
            </w:pPr>
            <w:r w:rsidRPr="00B713EE">
              <w:t>Complément 5 à la série 07</w:t>
            </w:r>
          </w:p>
        </w:tc>
        <w:tc>
          <w:tcPr>
            <w:tcW w:w="853" w:type="dxa"/>
          </w:tcPr>
          <w:p w:rsidR="00CD04C1" w:rsidRPr="0051257F" w:rsidRDefault="00CD04C1" w:rsidP="00FC4127">
            <w:pPr>
              <w:spacing w:before="60" w:after="60"/>
              <w:ind w:left="57" w:right="57"/>
            </w:pPr>
            <w:r w:rsidRPr="0051257F">
              <w:t>***</w:t>
            </w:r>
          </w:p>
        </w:tc>
      </w:tr>
      <w:tr w:rsidR="00FC4127" w:rsidRPr="00B713EE" w:rsidTr="00584E43">
        <w:trPr>
          <w:cantSplit/>
        </w:trPr>
        <w:tc>
          <w:tcPr>
            <w:tcW w:w="765" w:type="dxa"/>
          </w:tcPr>
          <w:p w:rsidR="00CD04C1" w:rsidRPr="00B713EE" w:rsidRDefault="00CD04C1" w:rsidP="00FC4127">
            <w:pPr>
              <w:spacing w:before="60" w:after="60"/>
              <w:ind w:left="57" w:right="57"/>
            </w:pPr>
            <w:r w:rsidRPr="00B713EE">
              <w:t>87</w:t>
            </w:r>
          </w:p>
        </w:tc>
        <w:tc>
          <w:tcPr>
            <w:tcW w:w="2065" w:type="dxa"/>
          </w:tcPr>
          <w:p w:rsidR="00CD04C1" w:rsidRPr="00B713EE" w:rsidRDefault="00CD04C1" w:rsidP="00FC4127">
            <w:pPr>
              <w:spacing w:before="60" w:after="60"/>
              <w:ind w:left="57" w:right="57"/>
            </w:pPr>
            <w:r w:rsidRPr="00B713EE">
              <w:rPr>
                <w:bCs/>
              </w:rPr>
              <w:t>Feux de circulation diurne</w:t>
            </w:r>
          </w:p>
        </w:tc>
        <w:tc>
          <w:tcPr>
            <w:tcW w:w="993" w:type="dxa"/>
          </w:tcPr>
          <w:p w:rsidR="00CD04C1" w:rsidRPr="00B713EE" w:rsidRDefault="00CD04C1" w:rsidP="00FC4127">
            <w:pPr>
              <w:spacing w:before="60" w:after="60"/>
              <w:ind w:left="57" w:right="57"/>
            </w:pPr>
            <w:r w:rsidRPr="00B713EE">
              <w:t>42</w:t>
            </w:r>
          </w:p>
        </w:tc>
        <w:tc>
          <w:tcPr>
            <w:tcW w:w="932" w:type="dxa"/>
          </w:tcPr>
          <w:p w:rsidR="00CD04C1" w:rsidRPr="00B713EE" w:rsidRDefault="00CD04C1" w:rsidP="00FC4127">
            <w:pPr>
              <w:spacing w:before="60" w:after="60"/>
              <w:ind w:left="57" w:right="57"/>
            </w:pPr>
            <w:r w:rsidRPr="00B713EE">
              <w:t>34</w:t>
            </w:r>
          </w:p>
        </w:tc>
        <w:tc>
          <w:tcPr>
            <w:tcW w:w="1567" w:type="dxa"/>
          </w:tcPr>
          <w:p w:rsidR="00CD04C1" w:rsidRPr="00B713EE" w:rsidRDefault="00CD04C1" w:rsidP="00FC4127">
            <w:pPr>
              <w:spacing w:before="60" w:after="60"/>
              <w:ind w:left="57" w:right="57"/>
            </w:pPr>
            <w:r w:rsidRPr="00B713EE">
              <w:t>2017/33</w:t>
            </w:r>
          </w:p>
        </w:tc>
        <w:tc>
          <w:tcPr>
            <w:tcW w:w="854" w:type="dxa"/>
          </w:tcPr>
          <w:p w:rsidR="00CD04C1" w:rsidRPr="00B713EE" w:rsidRDefault="00CD04C1" w:rsidP="00FC4127">
            <w:pPr>
              <w:spacing w:before="60" w:after="60"/>
              <w:ind w:left="57" w:right="57"/>
            </w:pPr>
            <w:r w:rsidRPr="00B713EE">
              <w:t>34/0/0</w:t>
            </w:r>
          </w:p>
        </w:tc>
        <w:tc>
          <w:tcPr>
            <w:tcW w:w="1610" w:type="dxa"/>
          </w:tcPr>
          <w:p w:rsidR="00CD04C1" w:rsidRPr="00B713EE" w:rsidRDefault="00CD04C1" w:rsidP="00FC4127">
            <w:pPr>
              <w:spacing w:before="60" w:after="60"/>
              <w:ind w:left="57" w:right="57"/>
            </w:pPr>
            <w:r w:rsidRPr="00B713EE">
              <w:t>Complément 19 à la série 00</w:t>
            </w:r>
          </w:p>
        </w:tc>
        <w:tc>
          <w:tcPr>
            <w:tcW w:w="853" w:type="dxa"/>
          </w:tcPr>
          <w:p w:rsidR="00CD04C1" w:rsidRPr="0051257F" w:rsidRDefault="00CD04C1" w:rsidP="00FC4127">
            <w:pPr>
              <w:spacing w:before="60" w:after="60"/>
              <w:ind w:left="57" w:right="57"/>
              <w:rPr>
                <w:u w:val="single"/>
              </w:rPr>
            </w:pPr>
            <w:r w:rsidRPr="0051257F">
              <w:t>*</w:t>
            </w:r>
          </w:p>
        </w:tc>
      </w:tr>
      <w:tr w:rsidR="00FC4127" w:rsidRPr="00B713EE" w:rsidTr="00584E43">
        <w:trPr>
          <w:cantSplit/>
        </w:trPr>
        <w:tc>
          <w:tcPr>
            <w:tcW w:w="765" w:type="dxa"/>
          </w:tcPr>
          <w:p w:rsidR="00CD04C1" w:rsidRPr="00B713EE" w:rsidRDefault="00CD04C1" w:rsidP="00FC4127">
            <w:pPr>
              <w:spacing w:before="60" w:after="60"/>
              <w:ind w:left="57" w:right="57"/>
            </w:pPr>
            <w:r w:rsidRPr="00B713EE">
              <w:t>91</w:t>
            </w:r>
          </w:p>
        </w:tc>
        <w:tc>
          <w:tcPr>
            <w:tcW w:w="2065" w:type="dxa"/>
          </w:tcPr>
          <w:p w:rsidR="00CD04C1" w:rsidRPr="00B713EE" w:rsidRDefault="00CD04C1" w:rsidP="00FC4127">
            <w:pPr>
              <w:spacing w:before="60" w:after="60"/>
              <w:ind w:left="57" w:right="57"/>
              <w:rPr>
                <w:bCs/>
              </w:rPr>
            </w:pPr>
            <w:r w:rsidRPr="00B713EE">
              <w:rPr>
                <w:bCs/>
              </w:rPr>
              <w:t>Feux de position latéraux</w:t>
            </w:r>
          </w:p>
        </w:tc>
        <w:tc>
          <w:tcPr>
            <w:tcW w:w="993" w:type="dxa"/>
          </w:tcPr>
          <w:p w:rsidR="00CD04C1" w:rsidRPr="00B713EE" w:rsidRDefault="00CD04C1" w:rsidP="00FC4127">
            <w:pPr>
              <w:spacing w:before="60" w:after="60"/>
              <w:ind w:left="57" w:right="57"/>
            </w:pPr>
            <w:r w:rsidRPr="00B713EE">
              <w:t>44</w:t>
            </w:r>
          </w:p>
        </w:tc>
        <w:tc>
          <w:tcPr>
            <w:tcW w:w="932" w:type="dxa"/>
          </w:tcPr>
          <w:p w:rsidR="00CD04C1" w:rsidRPr="00B713EE" w:rsidRDefault="00CD04C1" w:rsidP="00FC4127">
            <w:pPr>
              <w:spacing w:before="60" w:after="60"/>
              <w:ind w:left="57" w:right="57"/>
              <w:rPr>
                <w:highlight w:val="yellow"/>
              </w:rPr>
            </w:pPr>
            <w:r w:rsidRPr="00B713EE">
              <w:t>36</w:t>
            </w:r>
          </w:p>
        </w:tc>
        <w:tc>
          <w:tcPr>
            <w:tcW w:w="1567" w:type="dxa"/>
          </w:tcPr>
          <w:p w:rsidR="00CD04C1" w:rsidRPr="00B713EE" w:rsidRDefault="00CD04C1" w:rsidP="00FC4127">
            <w:pPr>
              <w:spacing w:before="60" w:after="60"/>
              <w:ind w:left="57" w:right="57"/>
            </w:pPr>
            <w:r w:rsidRPr="00B713EE">
              <w:t>2017/34</w:t>
            </w:r>
          </w:p>
        </w:tc>
        <w:tc>
          <w:tcPr>
            <w:tcW w:w="854" w:type="dxa"/>
          </w:tcPr>
          <w:p w:rsidR="00CD04C1" w:rsidRPr="00B713EE" w:rsidRDefault="00CD04C1" w:rsidP="00FC4127">
            <w:pPr>
              <w:spacing w:before="60" w:after="60"/>
              <w:ind w:left="57" w:right="57"/>
              <w:rPr>
                <w:highlight w:val="yellow"/>
              </w:rPr>
            </w:pPr>
            <w:r w:rsidRPr="00B713EE">
              <w:t>36/0/0</w:t>
            </w:r>
          </w:p>
        </w:tc>
        <w:tc>
          <w:tcPr>
            <w:tcW w:w="1610" w:type="dxa"/>
          </w:tcPr>
          <w:p w:rsidR="00CD04C1" w:rsidRPr="00B713EE" w:rsidRDefault="00CD04C1" w:rsidP="00FC4127">
            <w:pPr>
              <w:spacing w:before="60" w:after="60"/>
              <w:ind w:left="57" w:right="57"/>
            </w:pPr>
            <w:r w:rsidRPr="00B713EE">
              <w:t>Complément 16 à la série 00</w:t>
            </w:r>
          </w:p>
        </w:tc>
        <w:tc>
          <w:tcPr>
            <w:tcW w:w="853" w:type="dxa"/>
          </w:tcPr>
          <w:p w:rsidR="00CD04C1" w:rsidRPr="0051257F" w:rsidRDefault="00CD04C1" w:rsidP="00FC4127">
            <w:pPr>
              <w:spacing w:before="60" w:after="60"/>
              <w:ind w:left="57" w:right="57"/>
            </w:pPr>
            <w:r w:rsidRPr="0051257F">
              <w:t>*</w:t>
            </w:r>
          </w:p>
        </w:tc>
      </w:tr>
      <w:tr w:rsidR="00FC4127" w:rsidRPr="00B713EE" w:rsidTr="00584E43">
        <w:trPr>
          <w:cantSplit/>
        </w:trPr>
        <w:tc>
          <w:tcPr>
            <w:tcW w:w="765" w:type="dxa"/>
          </w:tcPr>
          <w:p w:rsidR="00CD04C1" w:rsidRPr="00B713EE" w:rsidRDefault="00CD04C1" w:rsidP="00FC4127">
            <w:pPr>
              <w:spacing w:before="60" w:after="60"/>
              <w:ind w:left="57" w:right="57"/>
            </w:pPr>
            <w:r w:rsidRPr="00B713EE">
              <w:t>92</w:t>
            </w:r>
          </w:p>
        </w:tc>
        <w:tc>
          <w:tcPr>
            <w:tcW w:w="2065" w:type="dxa"/>
          </w:tcPr>
          <w:p w:rsidR="00CD04C1" w:rsidRPr="00B713EE" w:rsidRDefault="00CD04C1" w:rsidP="00FC4127">
            <w:pPr>
              <w:spacing w:before="60" w:after="60"/>
              <w:ind w:left="57" w:right="57"/>
            </w:pPr>
            <w:r w:rsidRPr="00B713EE">
              <w:t>Silencieux d</w:t>
            </w:r>
            <w:r w:rsidR="007C2F80">
              <w:t>’</w:t>
            </w:r>
            <w:r w:rsidRPr="00B713EE">
              <w:t>échappement de remplacement (RESS) pour motocycles</w:t>
            </w:r>
          </w:p>
        </w:tc>
        <w:tc>
          <w:tcPr>
            <w:tcW w:w="993" w:type="dxa"/>
          </w:tcPr>
          <w:p w:rsidR="00CD04C1" w:rsidRPr="00B713EE" w:rsidRDefault="00CD04C1" w:rsidP="00FC4127">
            <w:pPr>
              <w:spacing w:before="60" w:after="60"/>
              <w:ind w:left="57" w:right="57"/>
            </w:pPr>
            <w:r w:rsidRPr="00B713EE">
              <w:t>23</w:t>
            </w:r>
          </w:p>
        </w:tc>
        <w:tc>
          <w:tcPr>
            <w:tcW w:w="932" w:type="dxa"/>
          </w:tcPr>
          <w:p w:rsidR="00CD04C1" w:rsidRPr="00B713EE" w:rsidRDefault="00CD04C1" w:rsidP="00FC4127">
            <w:pPr>
              <w:spacing w:before="60" w:after="60"/>
              <w:ind w:left="57" w:right="57"/>
              <w:rPr>
                <w:highlight w:val="yellow"/>
              </w:rPr>
            </w:pPr>
            <w:r w:rsidRPr="00B713EE">
              <w:t>13</w:t>
            </w:r>
          </w:p>
        </w:tc>
        <w:tc>
          <w:tcPr>
            <w:tcW w:w="1567" w:type="dxa"/>
          </w:tcPr>
          <w:p w:rsidR="00CD04C1" w:rsidRPr="00B713EE" w:rsidRDefault="00CD04C1" w:rsidP="00FC4127">
            <w:pPr>
              <w:spacing w:before="60" w:after="60"/>
              <w:ind w:left="57" w:right="57"/>
            </w:pPr>
            <w:r w:rsidRPr="00B713EE">
              <w:t>2017/5</w:t>
            </w:r>
          </w:p>
        </w:tc>
        <w:tc>
          <w:tcPr>
            <w:tcW w:w="854" w:type="dxa"/>
          </w:tcPr>
          <w:p w:rsidR="00CD04C1" w:rsidRPr="00B713EE" w:rsidRDefault="00CD04C1" w:rsidP="00FC4127">
            <w:pPr>
              <w:spacing w:before="60" w:after="60"/>
              <w:ind w:left="57" w:right="57"/>
              <w:rPr>
                <w:highlight w:val="yellow"/>
              </w:rPr>
            </w:pPr>
            <w:r w:rsidRPr="00B713EE">
              <w:t>13/0/0</w:t>
            </w:r>
          </w:p>
        </w:tc>
        <w:tc>
          <w:tcPr>
            <w:tcW w:w="1610" w:type="dxa"/>
          </w:tcPr>
          <w:p w:rsidR="00CD04C1" w:rsidRPr="00B713EE" w:rsidRDefault="00CD04C1" w:rsidP="00FC4127">
            <w:pPr>
              <w:spacing w:before="60" w:after="60"/>
              <w:ind w:left="57" w:right="57"/>
            </w:pPr>
            <w:r w:rsidRPr="00B713EE">
              <w:t>Complément 2 à la série 01</w:t>
            </w:r>
          </w:p>
        </w:tc>
        <w:tc>
          <w:tcPr>
            <w:tcW w:w="853" w:type="dxa"/>
          </w:tcPr>
          <w:p w:rsidR="00CD04C1" w:rsidRPr="00B713EE" w:rsidRDefault="00CD04C1" w:rsidP="00FC4127">
            <w:pPr>
              <w:spacing w:before="60" w:after="60"/>
              <w:ind w:left="57" w:right="57"/>
              <w:rPr>
                <w:vertAlign w:val="superscript"/>
              </w:rPr>
            </w:pPr>
          </w:p>
        </w:tc>
      </w:tr>
      <w:tr w:rsidR="00FC4127" w:rsidRPr="00B713EE" w:rsidTr="00584E43">
        <w:trPr>
          <w:cantSplit/>
        </w:trPr>
        <w:tc>
          <w:tcPr>
            <w:tcW w:w="765" w:type="dxa"/>
          </w:tcPr>
          <w:p w:rsidR="00CD04C1" w:rsidRPr="00B713EE" w:rsidRDefault="00CD04C1" w:rsidP="00FC4127">
            <w:pPr>
              <w:spacing w:before="60" w:after="60"/>
              <w:ind w:left="57" w:right="57"/>
            </w:pPr>
            <w:r w:rsidRPr="00B713EE">
              <w:t>98</w:t>
            </w:r>
          </w:p>
        </w:tc>
        <w:tc>
          <w:tcPr>
            <w:tcW w:w="2065" w:type="dxa"/>
          </w:tcPr>
          <w:p w:rsidR="00CD04C1" w:rsidRPr="00B713EE" w:rsidRDefault="00CD04C1" w:rsidP="00FC4127">
            <w:pPr>
              <w:spacing w:before="60" w:after="60"/>
              <w:ind w:left="57" w:right="57"/>
            </w:pPr>
            <w:r w:rsidRPr="00B713EE">
              <w:t xml:space="preserve">Projecteurs à source lumineuse à décharge </w:t>
            </w:r>
          </w:p>
        </w:tc>
        <w:tc>
          <w:tcPr>
            <w:tcW w:w="993" w:type="dxa"/>
          </w:tcPr>
          <w:p w:rsidR="00CD04C1" w:rsidRPr="00B713EE" w:rsidRDefault="00CD04C1" w:rsidP="00FC4127">
            <w:pPr>
              <w:spacing w:before="60" w:after="60"/>
              <w:ind w:left="57" w:right="57"/>
            </w:pPr>
            <w:r w:rsidRPr="00B713EE">
              <w:t>45</w:t>
            </w:r>
          </w:p>
        </w:tc>
        <w:tc>
          <w:tcPr>
            <w:tcW w:w="932" w:type="dxa"/>
          </w:tcPr>
          <w:p w:rsidR="00CD04C1" w:rsidRPr="00B713EE" w:rsidRDefault="00CD04C1" w:rsidP="00FC4127">
            <w:pPr>
              <w:spacing w:before="60" w:after="60"/>
              <w:ind w:left="57" w:right="57"/>
            </w:pPr>
            <w:r w:rsidRPr="00B713EE">
              <w:t>36</w:t>
            </w:r>
          </w:p>
        </w:tc>
        <w:tc>
          <w:tcPr>
            <w:tcW w:w="1567" w:type="dxa"/>
          </w:tcPr>
          <w:p w:rsidR="00CD04C1" w:rsidRPr="00B713EE" w:rsidRDefault="00CD04C1" w:rsidP="00FC4127">
            <w:pPr>
              <w:spacing w:before="60" w:after="60"/>
              <w:ind w:left="57" w:right="57"/>
            </w:pPr>
            <w:r w:rsidRPr="00B713EE">
              <w:t>2017/35</w:t>
            </w:r>
          </w:p>
        </w:tc>
        <w:tc>
          <w:tcPr>
            <w:tcW w:w="854" w:type="dxa"/>
          </w:tcPr>
          <w:p w:rsidR="00CD04C1" w:rsidRPr="00B713EE" w:rsidRDefault="00CD04C1" w:rsidP="00FC4127">
            <w:pPr>
              <w:spacing w:before="60" w:after="60"/>
              <w:ind w:left="57" w:right="57"/>
              <w:rPr>
                <w:highlight w:val="yellow"/>
              </w:rPr>
            </w:pPr>
            <w:r w:rsidRPr="00B713EE">
              <w:t>36/0/0</w:t>
            </w:r>
          </w:p>
        </w:tc>
        <w:tc>
          <w:tcPr>
            <w:tcW w:w="1610" w:type="dxa"/>
          </w:tcPr>
          <w:p w:rsidR="00CD04C1" w:rsidRPr="00B713EE" w:rsidRDefault="00CD04C1" w:rsidP="00FC4127">
            <w:pPr>
              <w:spacing w:before="60" w:after="60"/>
              <w:ind w:left="57" w:right="57"/>
            </w:pPr>
            <w:r w:rsidRPr="00B713EE">
              <w:t>Complément 8 à la série 01</w:t>
            </w:r>
          </w:p>
        </w:tc>
        <w:tc>
          <w:tcPr>
            <w:tcW w:w="853" w:type="dxa"/>
          </w:tcPr>
          <w:p w:rsidR="00CD04C1" w:rsidRPr="0051257F" w:rsidRDefault="00CD04C1" w:rsidP="00FC4127">
            <w:pPr>
              <w:spacing w:before="60" w:after="60"/>
              <w:ind w:left="57" w:right="57"/>
            </w:pPr>
            <w:r w:rsidRPr="0051257F">
              <w:t>*</w:t>
            </w:r>
          </w:p>
        </w:tc>
      </w:tr>
      <w:tr w:rsidR="00FC4127" w:rsidRPr="00B713EE" w:rsidTr="00584E43">
        <w:trPr>
          <w:cantSplit/>
        </w:trPr>
        <w:tc>
          <w:tcPr>
            <w:tcW w:w="765" w:type="dxa"/>
          </w:tcPr>
          <w:p w:rsidR="00CD04C1" w:rsidRPr="00B713EE" w:rsidRDefault="00CD04C1" w:rsidP="00FC4127">
            <w:pPr>
              <w:spacing w:before="60" w:after="60"/>
              <w:ind w:left="57" w:right="57"/>
            </w:pPr>
            <w:r w:rsidRPr="00B713EE">
              <w:t>99</w:t>
            </w:r>
          </w:p>
        </w:tc>
        <w:tc>
          <w:tcPr>
            <w:tcW w:w="2065" w:type="dxa"/>
          </w:tcPr>
          <w:p w:rsidR="00CD04C1" w:rsidRPr="00B713EE" w:rsidRDefault="00CD04C1" w:rsidP="00FC4127">
            <w:pPr>
              <w:spacing w:before="60" w:after="60"/>
              <w:ind w:left="57" w:right="57"/>
            </w:pPr>
            <w:r w:rsidRPr="00B713EE">
              <w:rPr>
                <w:bCs/>
              </w:rPr>
              <w:t>Sources lumineuses à décharge</w:t>
            </w:r>
          </w:p>
        </w:tc>
        <w:tc>
          <w:tcPr>
            <w:tcW w:w="993" w:type="dxa"/>
          </w:tcPr>
          <w:p w:rsidR="00CD04C1" w:rsidRPr="00B713EE" w:rsidRDefault="00CD04C1" w:rsidP="00FC4127">
            <w:pPr>
              <w:spacing w:before="60" w:after="60"/>
              <w:ind w:left="57" w:right="57"/>
            </w:pPr>
            <w:r w:rsidRPr="00B713EE">
              <w:t>44</w:t>
            </w:r>
          </w:p>
        </w:tc>
        <w:tc>
          <w:tcPr>
            <w:tcW w:w="932" w:type="dxa"/>
          </w:tcPr>
          <w:p w:rsidR="00CD04C1" w:rsidRPr="00B713EE" w:rsidRDefault="00CD04C1" w:rsidP="00FC4127">
            <w:pPr>
              <w:spacing w:before="60" w:after="60"/>
              <w:ind w:left="57" w:right="57"/>
            </w:pPr>
            <w:r w:rsidRPr="00B713EE">
              <w:t>36</w:t>
            </w:r>
          </w:p>
        </w:tc>
        <w:tc>
          <w:tcPr>
            <w:tcW w:w="1567" w:type="dxa"/>
          </w:tcPr>
          <w:p w:rsidR="00CD04C1" w:rsidRPr="00B713EE" w:rsidRDefault="00CD04C1" w:rsidP="00FC4127">
            <w:pPr>
              <w:spacing w:before="60" w:after="60"/>
              <w:ind w:left="57" w:right="57"/>
            </w:pPr>
            <w:r w:rsidRPr="00B713EE">
              <w:t>2017/36</w:t>
            </w:r>
          </w:p>
        </w:tc>
        <w:tc>
          <w:tcPr>
            <w:tcW w:w="854" w:type="dxa"/>
          </w:tcPr>
          <w:p w:rsidR="00CD04C1" w:rsidRPr="00B713EE" w:rsidRDefault="00CD04C1" w:rsidP="00FC4127">
            <w:pPr>
              <w:spacing w:before="60" w:after="60"/>
              <w:ind w:left="57" w:right="57"/>
              <w:rPr>
                <w:highlight w:val="yellow"/>
              </w:rPr>
            </w:pPr>
            <w:r w:rsidRPr="00B713EE">
              <w:t>36/0/0</w:t>
            </w:r>
          </w:p>
        </w:tc>
        <w:tc>
          <w:tcPr>
            <w:tcW w:w="1610" w:type="dxa"/>
          </w:tcPr>
          <w:p w:rsidR="00CD04C1" w:rsidRPr="00B713EE" w:rsidRDefault="00CD04C1" w:rsidP="00FC4127">
            <w:pPr>
              <w:spacing w:before="60" w:after="60"/>
              <w:ind w:left="57" w:right="57"/>
            </w:pPr>
            <w:r w:rsidRPr="00B713EE">
              <w:t>Complément 13 à la série 00</w:t>
            </w:r>
          </w:p>
        </w:tc>
        <w:tc>
          <w:tcPr>
            <w:tcW w:w="853" w:type="dxa"/>
          </w:tcPr>
          <w:p w:rsidR="00CD04C1" w:rsidRPr="0051257F" w:rsidRDefault="00CD04C1" w:rsidP="00FC4127">
            <w:pPr>
              <w:spacing w:before="60" w:after="60"/>
              <w:ind w:left="57" w:right="57"/>
            </w:pPr>
            <w:r w:rsidRPr="0051257F">
              <w:t>*</w:t>
            </w:r>
          </w:p>
        </w:tc>
      </w:tr>
      <w:tr w:rsidR="00FC4127" w:rsidRPr="00B713EE" w:rsidTr="00584E43">
        <w:trPr>
          <w:cantSplit/>
        </w:trPr>
        <w:tc>
          <w:tcPr>
            <w:tcW w:w="765" w:type="dxa"/>
          </w:tcPr>
          <w:p w:rsidR="00CD04C1" w:rsidRPr="00B713EE" w:rsidRDefault="00CD04C1" w:rsidP="00FC4127">
            <w:pPr>
              <w:spacing w:before="60" w:after="60"/>
              <w:ind w:left="57" w:right="57"/>
            </w:pPr>
            <w:r w:rsidRPr="00B713EE">
              <w:t>101</w:t>
            </w:r>
          </w:p>
        </w:tc>
        <w:tc>
          <w:tcPr>
            <w:tcW w:w="2065" w:type="dxa"/>
          </w:tcPr>
          <w:p w:rsidR="00CD04C1" w:rsidRPr="00B713EE" w:rsidRDefault="00CD04C1" w:rsidP="00FC4127">
            <w:pPr>
              <w:spacing w:before="60" w:after="60"/>
              <w:ind w:left="57" w:right="57"/>
              <w:rPr>
                <w:bCs/>
              </w:rPr>
            </w:pPr>
            <w:r w:rsidRPr="00B713EE">
              <w:rPr>
                <w:bCs/>
              </w:rPr>
              <w:t>Émissions de CO</w:t>
            </w:r>
            <w:r w:rsidRPr="00E6243E">
              <w:rPr>
                <w:bCs/>
                <w:vertAlign w:val="subscript"/>
              </w:rPr>
              <w:t>2</w:t>
            </w:r>
            <w:r w:rsidRPr="00B713EE">
              <w:rPr>
                <w:bCs/>
              </w:rPr>
              <w:t>/consommation de carburant</w:t>
            </w:r>
          </w:p>
        </w:tc>
        <w:tc>
          <w:tcPr>
            <w:tcW w:w="993" w:type="dxa"/>
          </w:tcPr>
          <w:p w:rsidR="00CD04C1" w:rsidRPr="00B713EE" w:rsidRDefault="00CD04C1" w:rsidP="00FC4127">
            <w:pPr>
              <w:spacing w:before="60" w:after="60"/>
              <w:ind w:left="57" w:right="57"/>
            </w:pPr>
            <w:r w:rsidRPr="00B713EE">
              <w:t>47</w:t>
            </w:r>
          </w:p>
        </w:tc>
        <w:tc>
          <w:tcPr>
            <w:tcW w:w="932" w:type="dxa"/>
          </w:tcPr>
          <w:p w:rsidR="00CD04C1" w:rsidRPr="00B713EE" w:rsidRDefault="00CD04C1" w:rsidP="00FC4127">
            <w:pPr>
              <w:spacing w:before="60" w:after="60"/>
              <w:ind w:left="57" w:right="57"/>
              <w:rPr>
                <w:highlight w:val="yellow"/>
              </w:rPr>
            </w:pPr>
            <w:r w:rsidRPr="00B713EE">
              <w:t>34</w:t>
            </w:r>
          </w:p>
        </w:tc>
        <w:tc>
          <w:tcPr>
            <w:tcW w:w="1567" w:type="dxa"/>
          </w:tcPr>
          <w:p w:rsidR="00CD04C1" w:rsidRPr="00B713EE" w:rsidRDefault="00CD04C1" w:rsidP="00FC4127">
            <w:pPr>
              <w:spacing w:before="60" w:after="60"/>
              <w:ind w:left="57" w:right="57"/>
            </w:pPr>
            <w:r w:rsidRPr="00B713EE">
              <w:t>2017/44</w:t>
            </w:r>
          </w:p>
        </w:tc>
        <w:tc>
          <w:tcPr>
            <w:tcW w:w="854" w:type="dxa"/>
          </w:tcPr>
          <w:p w:rsidR="00CD04C1" w:rsidRPr="00B713EE" w:rsidRDefault="00CD04C1" w:rsidP="00FC4127">
            <w:pPr>
              <w:spacing w:before="60" w:after="60"/>
              <w:ind w:left="57" w:right="57"/>
              <w:rPr>
                <w:highlight w:val="yellow"/>
              </w:rPr>
            </w:pPr>
            <w:r w:rsidRPr="00B713EE">
              <w:t>33/0/1</w:t>
            </w:r>
          </w:p>
        </w:tc>
        <w:tc>
          <w:tcPr>
            <w:tcW w:w="1610" w:type="dxa"/>
          </w:tcPr>
          <w:p w:rsidR="00CD04C1" w:rsidRPr="00B713EE" w:rsidRDefault="00CD04C1" w:rsidP="00FC4127">
            <w:pPr>
              <w:spacing w:before="60" w:after="60"/>
              <w:ind w:left="57" w:right="57"/>
            </w:pPr>
            <w:r w:rsidRPr="00B713EE">
              <w:t>Complément 7 à la série 01</w:t>
            </w:r>
          </w:p>
        </w:tc>
        <w:tc>
          <w:tcPr>
            <w:tcW w:w="853" w:type="dxa"/>
          </w:tcPr>
          <w:p w:rsidR="00CD04C1" w:rsidRPr="0051257F" w:rsidRDefault="00CD04C1" w:rsidP="00FC4127">
            <w:pPr>
              <w:spacing w:before="60" w:after="60"/>
              <w:ind w:left="57" w:right="57"/>
            </w:pPr>
            <w:r w:rsidRPr="0051257F">
              <w:t>***</w:t>
            </w:r>
          </w:p>
        </w:tc>
      </w:tr>
      <w:tr w:rsidR="00FC4127" w:rsidRPr="00B713EE" w:rsidTr="00584E43">
        <w:trPr>
          <w:cantSplit/>
        </w:trPr>
        <w:tc>
          <w:tcPr>
            <w:tcW w:w="765" w:type="dxa"/>
          </w:tcPr>
          <w:p w:rsidR="00CD04C1" w:rsidRPr="00B713EE" w:rsidRDefault="00CD04C1" w:rsidP="00FC4127">
            <w:pPr>
              <w:spacing w:before="60" w:after="60"/>
              <w:ind w:left="57" w:right="57"/>
            </w:pPr>
            <w:r w:rsidRPr="00B713EE">
              <w:t>104</w:t>
            </w:r>
          </w:p>
        </w:tc>
        <w:tc>
          <w:tcPr>
            <w:tcW w:w="2065" w:type="dxa"/>
          </w:tcPr>
          <w:p w:rsidR="00CD04C1" w:rsidRPr="00B713EE" w:rsidRDefault="00CD04C1" w:rsidP="00FC4127">
            <w:pPr>
              <w:spacing w:before="60" w:after="60"/>
              <w:ind w:left="57" w:right="57"/>
              <w:rPr>
                <w:bCs/>
              </w:rPr>
            </w:pPr>
            <w:r w:rsidRPr="00B713EE">
              <w:rPr>
                <w:bCs/>
              </w:rPr>
              <w:t>Marquages rétroréfléchissants</w:t>
            </w:r>
          </w:p>
        </w:tc>
        <w:tc>
          <w:tcPr>
            <w:tcW w:w="993" w:type="dxa"/>
          </w:tcPr>
          <w:p w:rsidR="00CD04C1" w:rsidRPr="00B713EE" w:rsidRDefault="00CD04C1" w:rsidP="00FC4127">
            <w:pPr>
              <w:spacing w:before="60" w:after="60"/>
              <w:ind w:left="57" w:right="57"/>
            </w:pPr>
            <w:r w:rsidRPr="00B713EE">
              <w:t>49</w:t>
            </w:r>
          </w:p>
        </w:tc>
        <w:tc>
          <w:tcPr>
            <w:tcW w:w="932" w:type="dxa"/>
          </w:tcPr>
          <w:p w:rsidR="00CD04C1" w:rsidRPr="00B713EE" w:rsidRDefault="00CD04C1" w:rsidP="00FC4127">
            <w:pPr>
              <w:spacing w:before="60" w:after="60"/>
              <w:ind w:left="57" w:right="57"/>
              <w:rPr>
                <w:highlight w:val="yellow"/>
              </w:rPr>
            </w:pPr>
            <w:r w:rsidRPr="00B713EE">
              <w:t>36</w:t>
            </w:r>
          </w:p>
        </w:tc>
        <w:tc>
          <w:tcPr>
            <w:tcW w:w="1567" w:type="dxa"/>
          </w:tcPr>
          <w:p w:rsidR="00CD04C1" w:rsidRPr="00B713EE" w:rsidRDefault="00CD04C1" w:rsidP="00FC4127">
            <w:pPr>
              <w:spacing w:before="60" w:after="60"/>
              <w:ind w:left="57" w:right="57"/>
            </w:pPr>
            <w:r w:rsidRPr="00B713EE">
              <w:t>2017/37</w:t>
            </w:r>
          </w:p>
        </w:tc>
        <w:tc>
          <w:tcPr>
            <w:tcW w:w="854" w:type="dxa"/>
          </w:tcPr>
          <w:p w:rsidR="00CD04C1" w:rsidRPr="00B713EE" w:rsidRDefault="00CD04C1" w:rsidP="00FC4127">
            <w:pPr>
              <w:spacing w:before="60" w:after="60"/>
              <w:ind w:left="57" w:right="57"/>
              <w:rPr>
                <w:highlight w:val="yellow"/>
              </w:rPr>
            </w:pPr>
            <w:r w:rsidRPr="00B713EE">
              <w:t>36/0/0</w:t>
            </w:r>
          </w:p>
        </w:tc>
        <w:tc>
          <w:tcPr>
            <w:tcW w:w="1610" w:type="dxa"/>
          </w:tcPr>
          <w:p w:rsidR="00CD04C1" w:rsidRPr="00B713EE" w:rsidRDefault="00CD04C1" w:rsidP="00FC4127">
            <w:pPr>
              <w:spacing w:before="60" w:after="60"/>
              <w:ind w:left="57" w:right="57"/>
            </w:pPr>
            <w:r w:rsidRPr="00B713EE">
              <w:t>Complément 9 à la série 00</w:t>
            </w:r>
          </w:p>
        </w:tc>
        <w:tc>
          <w:tcPr>
            <w:tcW w:w="853" w:type="dxa"/>
          </w:tcPr>
          <w:p w:rsidR="00CD04C1" w:rsidRPr="0051257F" w:rsidRDefault="00CD04C1" w:rsidP="00FC4127">
            <w:pPr>
              <w:spacing w:before="60" w:after="60"/>
              <w:ind w:left="57" w:right="57"/>
            </w:pPr>
            <w:r w:rsidRPr="0051257F">
              <w:t>*</w:t>
            </w:r>
          </w:p>
        </w:tc>
      </w:tr>
      <w:tr w:rsidR="00FC4127" w:rsidRPr="00B713EE" w:rsidTr="00584E43">
        <w:trPr>
          <w:cantSplit/>
        </w:trPr>
        <w:tc>
          <w:tcPr>
            <w:tcW w:w="765" w:type="dxa"/>
          </w:tcPr>
          <w:p w:rsidR="00CD04C1" w:rsidRPr="00B713EE" w:rsidRDefault="00CD04C1" w:rsidP="00FC4127">
            <w:pPr>
              <w:spacing w:before="60" w:after="60"/>
              <w:ind w:left="57" w:right="57"/>
            </w:pPr>
            <w:r w:rsidRPr="00B713EE">
              <w:t>109</w:t>
            </w:r>
          </w:p>
        </w:tc>
        <w:tc>
          <w:tcPr>
            <w:tcW w:w="2065" w:type="dxa"/>
          </w:tcPr>
          <w:p w:rsidR="00CD04C1" w:rsidRPr="00B713EE" w:rsidRDefault="00CD04C1" w:rsidP="00FC4127">
            <w:pPr>
              <w:spacing w:before="60" w:after="60"/>
              <w:ind w:left="57" w:right="57"/>
            </w:pPr>
            <w:r w:rsidRPr="00B713EE">
              <w:t>Pneumatiques rechapés pour les véhicules utilitaires et leurs remorques</w:t>
            </w:r>
          </w:p>
        </w:tc>
        <w:tc>
          <w:tcPr>
            <w:tcW w:w="993" w:type="dxa"/>
          </w:tcPr>
          <w:p w:rsidR="00CD04C1" w:rsidRPr="00B713EE" w:rsidRDefault="00CD04C1" w:rsidP="00FC4127">
            <w:pPr>
              <w:spacing w:before="60" w:after="60"/>
              <w:ind w:left="57" w:right="57"/>
            </w:pPr>
            <w:r w:rsidRPr="00B713EE">
              <w:t>48</w:t>
            </w:r>
          </w:p>
        </w:tc>
        <w:tc>
          <w:tcPr>
            <w:tcW w:w="932" w:type="dxa"/>
          </w:tcPr>
          <w:p w:rsidR="00CD04C1" w:rsidRPr="00B713EE" w:rsidRDefault="00CD04C1" w:rsidP="00FC4127">
            <w:pPr>
              <w:spacing w:before="60" w:after="60"/>
              <w:ind w:left="57" w:right="57"/>
              <w:rPr>
                <w:highlight w:val="yellow"/>
              </w:rPr>
            </w:pPr>
            <w:r w:rsidRPr="00B713EE">
              <w:t>34</w:t>
            </w:r>
          </w:p>
        </w:tc>
        <w:tc>
          <w:tcPr>
            <w:tcW w:w="1567" w:type="dxa"/>
          </w:tcPr>
          <w:p w:rsidR="00CD04C1" w:rsidRPr="00B713EE" w:rsidRDefault="00CD04C1" w:rsidP="00FC4127">
            <w:pPr>
              <w:spacing w:before="60" w:after="60"/>
              <w:ind w:left="57" w:right="57"/>
            </w:pPr>
            <w:r w:rsidRPr="00B713EE">
              <w:t>2017/9</w:t>
            </w:r>
          </w:p>
        </w:tc>
        <w:tc>
          <w:tcPr>
            <w:tcW w:w="854" w:type="dxa"/>
          </w:tcPr>
          <w:p w:rsidR="00CD04C1" w:rsidRPr="00B713EE" w:rsidRDefault="00CD04C1" w:rsidP="00FC4127">
            <w:pPr>
              <w:spacing w:before="60" w:after="60"/>
              <w:ind w:left="57" w:right="57"/>
              <w:rPr>
                <w:highlight w:val="yellow"/>
              </w:rPr>
            </w:pPr>
            <w:r w:rsidRPr="00B713EE">
              <w:t>34/0/0</w:t>
            </w:r>
          </w:p>
        </w:tc>
        <w:tc>
          <w:tcPr>
            <w:tcW w:w="1610" w:type="dxa"/>
          </w:tcPr>
          <w:p w:rsidR="00CD04C1" w:rsidRPr="00B713EE" w:rsidRDefault="00CD04C1" w:rsidP="00FC4127">
            <w:pPr>
              <w:spacing w:before="60" w:after="60"/>
              <w:ind w:left="57" w:right="57"/>
            </w:pPr>
            <w:r w:rsidRPr="00B713EE">
              <w:t>Complément 8 à la série 00</w:t>
            </w:r>
          </w:p>
        </w:tc>
        <w:tc>
          <w:tcPr>
            <w:tcW w:w="853" w:type="dxa"/>
          </w:tcPr>
          <w:p w:rsidR="00CD04C1" w:rsidRPr="0051257F" w:rsidRDefault="00CD04C1" w:rsidP="00FC4127">
            <w:pPr>
              <w:spacing w:before="60" w:after="60"/>
              <w:ind w:left="57" w:right="57"/>
            </w:pPr>
            <w:r w:rsidRPr="0051257F">
              <w:t>*</w:t>
            </w:r>
          </w:p>
        </w:tc>
      </w:tr>
      <w:tr w:rsidR="00FC4127" w:rsidRPr="00B713EE" w:rsidTr="00584E43">
        <w:trPr>
          <w:cantSplit/>
        </w:trPr>
        <w:tc>
          <w:tcPr>
            <w:tcW w:w="765" w:type="dxa"/>
          </w:tcPr>
          <w:p w:rsidR="00CD04C1" w:rsidRPr="00B713EE" w:rsidRDefault="00CD04C1" w:rsidP="00FC4127">
            <w:pPr>
              <w:spacing w:before="60" w:after="60"/>
              <w:ind w:left="57" w:right="57"/>
            </w:pPr>
            <w:r w:rsidRPr="00B713EE">
              <w:t>110</w:t>
            </w:r>
          </w:p>
        </w:tc>
        <w:tc>
          <w:tcPr>
            <w:tcW w:w="2065" w:type="dxa"/>
          </w:tcPr>
          <w:p w:rsidR="00CD04C1" w:rsidRPr="00B713EE" w:rsidRDefault="00CD04C1" w:rsidP="00FC4127">
            <w:pPr>
              <w:spacing w:before="60" w:after="60"/>
              <w:ind w:left="57" w:right="57"/>
              <w:rPr>
                <w:bCs/>
              </w:rPr>
            </w:pPr>
            <w:r w:rsidRPr="00B713EE">
              <w:rPr>
                <w:bCs/>
              </w:rPr>
              <w:t>Véhicules alimentés au GNC/GNL</w:t>
            </w:r>
          </w:p>
        </w:tc>
        <w:tc>
          <w:tcPr>
            <w:tcW w:w="993" w:type="dxa"/>
          </w:tcPr>
          <w:p w:rsidR="00CD04C1" w:rsidRPr="00B713EE" w:rsidRDefault="00CD04C1" w:rsidP="00FC4127">
            <w:pPr>
              <w:spacing w:before="60" w:after="60"/>
              <w:ind w:left="57" w:right="57"/>
            </w:pPr>
            <w:r w:rsidRPr="00B713EE">
              <w:t>48</w:t>
            </w:r>
          </w:p>
        </w:tc>
        <w:tc>
          <w:tcPr>
            <w:tcW w:w="932" w:type="dxa"/>
          </w:tcPr>
          <w:p w:rsidR="00CD04C1" w:rsidRPr="00B713EE" w:rsidRDefault="00CD04C1" w:rsidP="00FC4127">
            <w:pPr>
              <w:spacing w:before="60" w:after="60"/>
              <w:ind w:left="57" w:right="57"/>
            </w:pPr>
            <w:r w:rsidRPr="00B713EE">
              <w:t>35</w:t>
            </w:r>
          </w:p>
        </w:tc>
        <w:tc>
          <w:tcPr>
            <w:tcW w:w="1567" w:type="dxa"/>
          </w:tcPr>
          <w:p w:rsidR="00CD04C1" w:rsidRPr="00B713EE" w:rsidRDefault="00CD04C1" w:rsidP="00FC4127">
            <w:pPr>
              <w:spacing w:before="60" w:after="60"/>
              <w:ind w:left="57" w:right="57"/>
            </w:pPr>
            <w:r w:rsidRPr="00B713EE">
              <w:t>2017/15</w:t>
            </w:r>
          </w:p>
        </w:tc>
        <w:tc>
          <w:tcPr>
            <w:tcW w:w="854" w:type="dxa"/>
          </w:tcPr>
          <w:p w:rsidR="00CD04C1" w:rsidRPr="00B713EE" w:rsidRDefault="00CD04C1" w:rsidP="00FC4127">
            <w:pPr>
              <w:spacing w:before="60" w:after="60"/>
              <w:ind w:left="57" w:right="57"/>
            </w:pPr>
            <w:r w:rsidRPr="00B713EE">
              <w:t>35/0/0</w:t>
            </w:r>
          </w:p>
        </w:tc>
        <w:tc>
          <w:tcPr>
            <w:tcW w:w="1610" w:type="dxa"/>
          </w:tcPr>
          <w:p w:rsidR="00CD04C1" w:rsidRPr="00B713EE" w:rsidRDefault="00CD04C1" w:rsidP="00FC4127">
            <w:pPr>
              <w:spacing w:before="60" w:after="60"/>
              <w:ind w:left="57" w:right="57"/>
            </w:pPr>
            <w:r w:rsidRPr="00B713EE">
              <w:t>Complément 6 à la série 01</w:t>
            </w:r>
          </w:p>
        </w:tc>
        <w:tc>
          <w:tcPr>
            <w:tcW w:w="853" w:type="dxa"/>
          </w:tcPr>
          <w:p w:rsidR="00CD04C1" w:rsidRPr="0051257F" w:rsidRDefault="00CD04C1" w:rsidP="00FC4127">
            <w:pPr>
              <w:spacing w:before="60" w:after="60"/>
              <w:ind w:left="57" w:right="57"/>
              <w:rPr>
                <w:u w:val="single"/>
              </w:rPr>
            </w:pPr>
            <w:r w:rsidRPr="0051257F">
              <w:t>*</w:t>
            </w:r>
          </w:p>
        </w:tc>
      </w:tr>
      <w:tr w:rsidR="00FC4127" w:rsidRPr="00B713EE" w:rsidTr="00584E43">
        <w:trPr>
          <w:cantSplit/>
        </w:trPr>
        <w:tc>
          <w:tcPr>
            <w:tcW w:w="765" w:type="dxa"/>
          </w:tcPr>
          <w:p w:rsidR="00CD04C1" w:rsidRPr="00B713EE" w:rsidRDefault="00CD04C1" w:rsidP="00FC4127">
            <w:pPr>
              <w:spacing w:before="60" w:after="60"/>
              <w:ind w:left="57" w:right="57"/>
            </w:pPr>
            <w:r w:rsidRPr="00B713EE">
              <w:t>112</w:t>
            </w:r>
          </w:p>
        </w:tc>
        <w:tc>
          <w:tcPr>
            <w:tcW w:w="2065" w:type="dxa"/>
          </w:tcPr>
          <w:p w:rsidR="00CD04C1" w:rsidRPr="00B713EE" w:rsidRDefault="00CD04C1" w:rsidP="00FC4127">
            <w:pPr>
              <w:spacing w:before="60" w:after="60"/>
              <w:ind w:left="57" w:right="57"/>
              <w:rPr>
                <w:bCs/>
              </w:rPr>
            </w:pPr>
            <w:r w:rsidRPr="00B713EE">
              <w:rPr>
                <w:bCs/>
              </w:rPr>
              <w:t>Projecteurs émettant un faisceau de croisement asymétrique</w:t>
            </w:r>
          </w:p>
        </w:tc>
        <w:tc>
          <w:tcPr>
            <w:tcW w:w="993" w:type="dxa"/>
          </w:tcPr>
          <w:p w:rsidR="00CD04C1" w:rsidRPr="00B713EE" w:rsidRDefault="00CD04C1" w:rsidP="00FC4127">
            <w:pPr>
              <w:spacing w:before="60" w:after="60"/>
              <w:ind w:left="57" w:right="57"/>
            </w:pPr>
            <w:r w:rsidRPr="00B713EE">
              <w:t>50</w:t>
            </w:r>
          </w:p>
        </w:tc>
        <w:tc>
          <w:tcPr>
            <w:tcW w:w="932" w:type="dxa"/>
          </w:tcPr>
          <w:p w:rsidR="00CD04C1" w:rsidRPr="00B713EE" w:rsidRDefault="00CD04C1" w:rsidP="00FC4127">
            <w:pPr>
              <w:spacing w:before="60" w:after="60"/>
              <w:ind w:left="57" w:right="57"/>
            </w:pPr>
            <w:r w:rsidRPr="00B713EE">
              <w:t>37</w:t>
            </w:r>
          </w:p>
        </w:tc>
        <w:tc>
          <w:tcPr>
            <w:tcW w:w="1567" w:type="dxa"/>
          </w:tcPr>
          <w:p w:rsidR="00CD04C1" w:rsidRPr="00B713EE" w:rsidRDefault="00CD04C1" w:rsidP="00FC4127">
            <w:pPr>
              <w:spacing w:before="60" w:after="60"/>
              <w:ind w:left="57" w:right="57"/>
            </w:pPr>
            <w:r w:rsidRPr="00B713EE">
              <w:t>2017/38</w:t>
            </w:r>
          </w:p>
        </w:tc>
        <w:tc>
          <w:tcPr>
            <w:tcW w:w="854" w:type="dxa"/>
          </w:tcPr>
          <w:p w:rsidR="00CD04C1" w:rsidRPr="00B713EE" w:rsidRDefault="00CD04C1" w:rsidP="00FC4127">
            <w:pPr>
              <w:spacing w:before="60" w:after="60"/>
              <w:ind w:left="57" w:right="57"/>
              <w:rPr>
                <w:highlight w:val="yellow"/>
              </w:rPr>
            </w:pPr>
            <w:r w:rsidRPr="00B713EE">
              <w:t>37/0/0</w:t>
            </w:r>
          </w:p>
        </w:tc>
        <w:tc>
          <w:tcPr>
            <w:tcW w:w="1610" w:type="dxa"/>
          </w:tcPr>
          <w:p w:rsidR="00CD04C1" w:rsidRPr="00B713EE" w:rsidRDefault="00CD04C1" w:rsidP="00FC4127">
            <w:pPr>
              <w:spacing w:before="60" w:after="60"/>
              <w:ind w:left="57" w:right="57"/>
            </w:pPr>
            <w:r w:rsidRPr="00B713EE">
              <w:t>Complément 7 à la série 01</w:t>
            </w:r>
          </w:p>
        </w:tc>
        <w:tc>
          <w:tcPr>
            <w:tcW w:w="853" w:type="dxa"/>
          </w:tcPr>
          <w:p w:rsidR="00CD04C1" w:rsidRPr="0051257F" w:rsidRDefault="00CD04C1" w:rsidP="00FC4127">
            <w:pPr>
              <w:spacing w:before="60" w:after="60"/>
              <w:ind w:left="57" w:right="57"/>
            </w:pPr>
            <w:r w:rsidRPr="0051257F">
              <w:t>*</w:t>
            </w:r>
          </w:p>
        </w:tc>
      </w:tr>
      <w:tr w:rsidR="00FC4127" w:rsidRPr="00B713EE" w:rsidTr="00584E43">
        <w:trPr>
          <w:cantSplit/>
        </w:trPr>
        <w:tc>
          <w:tcPr>
            <w:tcW w:w="765" w:type="dxa"/>
          </w:tcPr>
          <w:p w:rsidR="00CD04C1" w:rsidRPr="00B713EE" w:rsidRDefault="00CD04C1" w:rsidP="00FC4127">
            <w:pPr>
              <w:spacing w:before="60" w:after="60"/>
              <w:ind w:left="57" w:right="57"/>
            </w:pPr>
            <w:r w:rsidRPr="00B713EE">
              <w:t>118</w:t>
            </w:r>
          </w:p>
        </w:tc>
        <w:tc>
          <w:tcPr>
            <w:tcW w:w="2065" w:type="dxa"/>
          </w:tcPr>
          <w:p w:rsidR="00CD04C1" w:rsidRPr="00B713EE" w:rsidRDefault="00CD04C1" w:rsidP="00FC4127">
            <w:pPr>
              <w:spacing w:before="60" w:after="60"/>
              <w:ind w:left="57" w:right="57"/>
            </w:pPr>
            <w:r w:rsidRPr="00B713EE">
              <w:t>Comportement au feu des matériaux</w:t>
            </w:r>
          </w:p>
        </w:tc>
        <w:tc>
          <w:tcPr>
            <w:tcW w:w="993" w:type="dxa"/>
          </w:tcPr>
          <w:p w:rsidR="00CD04C1" w:rsidRPr="00B713EE" w:rsidRDefault="00CD04C1" w:rsidP="00FC4127">
            <w:pPr>
              <w:spacing w:before="60" w:after="60"/>
              <w:ind w:left="57" w:right="57"/>
            </w:pPr>
            <w:r w:rsidRPr="00B713EE">
              <w:t>49</w:t>
            </w:r>
          </w:p>
        </w:tc>
        <w:tc>
          <w:tcPr>
            <w:tcW w:w="932" w:type="dxa"/>
          </w:tcPr>
          <w:p w:rsidR="00CD04C1" w:rsidRPr="00B713EE" w:rsidRDefault="00CD04C1" w:rsidP="00FC4127">
            <w:pPr>
              <w:spacing w:before="60" w:after="60"/>
              <w:ind w:left="57" w:right="57"/>
            </w:pPr>
            <w:r w:rsidRPr="00B713EE">
              <w:t>35</w:t>
            </w:r>
          </w:p>
        </w:tc>
        <w:tc>
          <w:tcPr>
            <w:tcW w:w="1567" w:type="dxa"/>
          </w:tcPr>
          <w:p w:rsidR="00CD04C1" w:rsidRPr="00B713EE" w:rsidRDefault="00CD04C1" w:rsidP="00FC4127">
            <w:pPr>
              <w:spacing w:before="60" w:after="60"/>
              <w:ind w:left="57" w:right="57"/>
            </w:pPr>
            <w:r w:rsidRPr="00B713EE">
              <w:t>2017/16</w:t>
            </w:r>
          </w:p>
        </w:tc>
        <w:tc>
          <w:tcPr>
            <w:tcW w:w="854" w:type="dxa"/>
          </w:tcPr>
          <w:p w:rsidR="00CD04C1" w:rsidRPr="00B713EE" w:rsidRDefault="00CD04C1" w:rsidP="00FC4127">
            <w:pPr>
              <w:spacing w:before="60" w:after="60"/>
              <w:ind w:left="57" w:right="57"/>
              <w:rPr>
                <w:highlight w:val="yellow"/>
              </w:rPr>
            </w:pPr>
            <w:r w:rsidRPr="00B713EE">
              <w:t>35/0/0</w:t>
            </w:r>
          </w:p>
        </w:tc>
        <w:tc>
          <w:tcPr>
            <w:tcW w:w="1610" w:type="dxa"/>
          </w:tcPr>
          <w:p w:rsidR="00CD04C1" w:rsidRPr="00B713EE" w:rsidRDefault="00CD04C1" w:rsidP="00FC4127">
            <w:pPr>
              <w:spacing w:before="60" w:after="60"/>
              <w:ind w:left="57" w:right="57"/>
            </w:pPr>
            <w:r w:rsidRPr="00B713EE">
              <w:t>Complément 3 à la série 02</w:t>
            </w:r>
          </w:p>
        </w:tc>
        <w:tc>
          <w:tcPr>
            <w:tcW w:w="853" w:type="dxa"/>
          </w:tcPr>
          <w:p w:rsidR="00CD04C1" w:rsidRPr="0051257F" w:rsidRDefault="00CD04C1" w:rsidP="00FC4127">
            <w:pPr>
              <w:spacing w:before="60" w:after="60"/>
              <w:ind w:left="57" w:right="57"/>
            </w:pPr>
            <w:r w:rsidRPr="0051257F">
              <w:t>*</w:t>
            </w:r>
          </w:p>
        </w:tc>
      </w:tr>
      <w:tr w:rsidR="00FC4127" w:rsidRPr="00B713EE" w:rsidTr="00584E43">
        <w:trPr>
          <w:cantSplit/>
        </w:trPr>
        <w:tc>
          <w:tcPr>
            <w:tcW w:w="765" w:type="dxa"/>
          </w:tcPr>
          <w:p w:rsidR="00CD04C1" w:rsidRPr="00B713EE" w:rsidRDefault="00CD04C1" w:rsidP="00FC4127">
            <w:pPr>
              <w:spacing w:before="60" w:after="60"/>
              <w:ind w:left="57" w:right="57"/>
            </w:pPr>
            <w:r w:rsidRPr="00B713EE">
              <w:t>118</w:t>
            </w:r>
          </w:p>
        </w:tc>
        <w:tc>
          <w:tcPr>
            <w:tcW w:w="2065" w:type="dxa"/>
          </w:tcPr>
          <w:p w:rsidR="00CD04C1" w:rsidRPr="00B713EE" w:rsidRDefault="00CD04C1" w:rsidP="00FC4127">
            <w:pPr>
              <w:spacing w:before="60" w:after="60"/>
              <w:ind w:left="57" w:right="57"/>
            </w:pPr>
            <w:r w:rsidRPr="00B713EE">
              <w:t>Comportement au feu des matériaux</w:t>
            </w:r>
          </w:p>
        </w:tc>
        <w:tc>
          <w:tcPr>
            <w:tcW w:w="993" w:type="dxa"/>
          </w:tcPr>
          <w:p w:rsidR="00CD04C1" w:rsidRPr="00B713EE" w:rsidRDefault="00CD04C1" w:rsidP="00FC4127">
            <w:pPr>
              <w:spacing w:before="60" w:after="60"/>
              <w:ind w:left="57" w:right="57"/>
            </w:pPr>
            <w:r w:rsidRPr="00B713EE">
              <w:t>49</w:t>
            </w:r>
          </w:p>
        </w:tc>
        <w:tc>
          <w:tcPr>
            <w:tcW w:w="932" w:type="dxa"/>
          </w:tcPr>
          <w:p w:rsidR="00CD04C1" w:rsidRPr="00B713EE" w:rsidRDefault="00CD04C1" w:rsidP="00FC4127">
            <w:pPr>
              <w:spacing w:before="60" w:after="60"/>
              <w:ind w:left="57" w:right="57"/>
            </w:pPr>
            <w:r w:rsidRPr="00B713EE">
              <w:t>35</w:t>
            </w:r>
          </w:p>
        </w:tc>
        <w:tc>
          <w:tcPr>
            <w:tcW w:w="1567" w:type="dxa"/>
          </w:tcPr>
          <w:p w:rsidR="00CD04C1" w:rsidRPr="00B713EE" w:rsidRDefault="00CD04C1" w:rsidP="00FC4127">
            <w:pPr>
              <w:spacing w:before="60" w:after="60"/>
              <w:ind w:left="57" w:right="57"/>
            </w:pPr>
            <w:r w:rsidRPr="00B713EE">
              <w:t>2017/18</w:t>
            </w:r>
          </w:p>
        </w:tc>
        <w:tc>
          <w:tcPr>
            <w:tcW w:w="854" w:type="dxa"/>
          </w:tcPr>
          <w:p w:rsidR="00CD04C1" w:rsidRPr="00B713EE" w:rsidRDefault="00CD04C1" w:rsidP="00FC4127">
            <w:pPr>
              <w:spacing w:before="60" w:after="60"/>
              <w:ind w:left="57" w:right="57"/>
              <w:rPr>
                <w:highlight w:val="yellow"/>
              </w:rPr>
            </w:pPr>
            <w:r w:rsidRPr="00B713EE">
              <w:t>35/0/0</w:t>
            </w:r>
          </w:p>
        </w:tc>
        <w:tc>
          <w:tcPr>
            <w:tcW w:w="1610" w:type="dxa"/>
          </w:tcPr>
          <w:p w:rsidR="00CD04C1" w:rsidRPr="00B713EE" w:rsidRDefault="00CD04C1" w:rsidP="00FC4127">
            <w:pPr>
              <w:spacing w:before="60" w:after="60"/>
              <w:ind w:left="57" w:right="57"/>
            </w:pPr>
            <w:r w:rsidRPr="00B713EE">
              <w:t>Série 03</w:t>
            </w:r>
          </w:p>
        </w:tc>
        <w:tc>
          <w:tcPr>
            <w:tcW w:w="853" w:type="dxa"/>
          </w:tcPr>
          <w:p w:rsidR="00CD04C1" w:rsidRPr="0051257F" w:rsidRDefault="00CD04C1" w:rsidP="00FC4127">
            <w:pPr>
              <w:spacing w:before="60" w:after="60"/>
              <w:ind w:left="57" w:right="57"/>
            </w:pPr>
            <w:r w:rsidRPr="0051257F">
              <w:t>*</w:t>
            </w:r>
          </w:p>
        </w:tc>
      </w:tr>
      <w:tr w:rsidR="00FC4127" w:rsidRPr="00B713EE" w:rsidTr="00584E43">
        <w:trPr>
          <w:cantSplit/>
        </w:trPr>
        <w:tc>
          <w:tcPr>
            <w:tcW w:w="765" w:type="dxa"/>
          </w:tcPr>
          <w:p w:rsidR="00CD04C1" w:rsidRPr="00B713EE" w:rsidRDefault="00CD04C1" w:rsidP="00FC4127">
            <w:pPr>
              <w:spacing w:before="60" w:after="60"/>
              <w:ind w:left="57" w:right="57"/>
            </w:pPr>
            <w:r w:rsidRPr="00B713EE">
              <w:t>119</w:t>
            </w:r>
          </w:p>
        </w:tc>
        <w:tc>
          <w:tcPr>
            <w:tcW w:w="2065" w:type="dxa"/>
          </w:tcPr>
          <w:p w:rsidR="00CD04C1" w:rsidRPr="00B713EE" w:rsidRDefault="00CD04C1" w:rsidP="00FC4127">
            <w:pPr>
              <w:spacing w:before="60" w:after="60"/>
              <w:ind w:left="57" w:right="57"/>
            </w:pPr>
            <w:r w:rsidRPr="00B713EE">
              <w:t>Feux d</w:t>
            </w:r>
            <w:r w:rsidR="007C2F80">
              <w:t>’</w:t>
            </w:r>
            <w:r w:rsidRPr="00B713EE">
              <w:t>angle</w:t>
            </w:r>
          </w:p>
        </w:tc>
        <w:tc>
          <w:tcPr>
            <w:tcW w:w="993" w:type="dxa"/>
          </w:tcPr>
          <w:p w:rsidR="00CD04C1" w:rsidRPr="00B713EE" w:rsidRDefault="00CD04C1" w:rsidP="00FC4127">
            <w:pPr>
              <w:spacing w:before="60" w:after="60"/>
              <w:ind w:left="57" w:right="57"/>
            </w:pPr>
            <w:r w:rsidRPr="00B713EE">
              <w:t>50</w:t>
            </w:r>
          </w:p>
        </w:tc>
        <w:tc>
          <w:tcPr>
            <w:tcW w:w="932" w:type="dxa"/>
          </w:tcPr>
          <w:p w:rsidR="00CD04C1" w:rsidRPr="00B713EE" w:rsidRDefault="00CD04C1" w:rsidP="00FC4127">
            <w:pPr>
              <w:spacing w:before="60" w:after="60"/>
              <w:ind w:left="57" w:right="57"/>
              <w:rPr>
                <w:highlight w:val="yellow"/>
              </w:rPr>
            </w:pPr>
            <w:r w:rsidRPr="00B713EE">
              <w:t>36</w:t>
            </w:r>
          </w:p>
        </w:tc>
        <w:tc>
          <w:tcPr>
            <w:tcW w:w="1567" w:type="dxa"/>
          </w:tcPr>
          <w:p w:rsidR="00CD04C1" w:rsidRPr="00B713EE" w:rsidRDefault="00CD04C1" w:rsidP="00FC4127">
            <w:pPr>
              <w:spacing w:before="60" w:after="60"/>
              <w:ind w:left="57" w:right="57"/>
            </w:pPr>
            <w:r w:rsidRPr="00B713EE">
              <w:t>2017/40</w:t>
            </w:r>
          </w:p>
        </w:tc>
        <w:tc>
          <w:tcPr>
            <w:tcW w:w="854" w:type="dxa"/>
          </w:tcPr>
          <w:p w:rsidR="00CD04C1" w:rsidRPr="00B713EE" w:rsidRDefault="00CD04C1" w:rsidP="00FC4127">
            <w:pPr>
              <w:spacing w:before="60" w:after="60"/>
              <w:ind w:left="57" w:right="57"/>
              <w:rPr>
                <w:highlight w:val="yellow"/>
              </w:rPr>
            </w:pPr>
            <w:r w:rsidRPr="00B713EE">
              <w:t>36/0/0</w:t>
            </w:r>
          </w:p>
        </w:tc>
        <w:tc>
          <w:tcPr>
            <w:tcW w:w="1610" w:type="dxa"/>
          </w:tcPr>
          <w:p w:rsidR="00CD04C1" w:rsidRPr="00B713EE" w:rsidRDefault="00CD04C1" w:rsidP="00FC4127">
            <w:pPr>
              <w:spacing w:before="60" w:after="60"/>
              <w:ind w:left="57" w:right="57"/>
            </w:pPr>
            <w:r w:rsidRPr="00B713EE">
              <w:t>Complément 5 à la série 01</w:t>
            </w:r>
          </w:p>
        </w:tc>
        <w:tc>
          <w:tcPr>
            <w:tcW w:w="853" w:type="dxa"/>
          </w:tcPr>
          <w:p w:rsidR="00CD04C1" w:rsidRPr="0051257F" w:rsidRDefault="00CD04C1" w:rsidP="00FC4127">
            <w:pPr>
              <w:spacing w:before="60" w:after="60"/>
              <w:ind w:left="57" w:right="57"/>
            </w:pPr>
            <w:r w:rsidRPr="0051257F">
              <w:t>*</w:t>
            </w:r>
          </w:p>
        </w:tc>
      </w:tr>
      <w:tr w:rsidR="00FC4127" w:rsidRPr="00B713EE" w:rsidTr="00584E43">
        <w:trPr>
          <w:cantSplit/>
        </w:trPr>
        <w:tc>
          <w:tcPr>
            <w:tcW w:w="765" w:type="dxa"/>
          </w:tcPr>
          <w:p w:rsidR="00CD04C1" w:rsidRPr="00B713EE" w:rsidRDefault="00CD04C1" w:rsidP="00FC4127">
            <w:pPr>
              <w:spacing w:before="60" w:after="60"/>
              <w:ind w:left="57" w:right="57"/>
            </w:pPr>
            <w:r w:rsidRPr="00B713EE">
              <w:t>123</w:t>
            </w:r>
          </w:p>
        </w:tc>
        <w:tc>
          <w:tcPr>
            <w:tcW w:w="2065" w:type="dxa"/>
          </w:tcPr>
          <w:p w:rsidR="00CD04C1" w:rsidRPr="00B713EE" w:rsidRDefault="00CD04C1" w:rsidP="00FC4127">
            <w:pPr>
              <w:spacing w:before="60" w:after="60"/>
              <w:ind w:left="57" w:right="57"/>
            </w:pPr>
            <w:r w:rsidRPr="00B713EE">
              <w:t>Systèmes d</w:t>
            </w:r>
            <w:r w:rsidR="007C2F80">
              <w:t>’</w:t>
            </w:r>
            <w:r w:rsidRPr="00B713EE">
              <w:t>éclairage avant actifs (AFS)</w:t>
            </w:r>
          </w:p>
        </w:tc>
        <w:tc>
          <w:tcPr>
            <w:tcW w:w="993" w:type="dxa"/>
          </w:tcPr>
          <w:p w:rsidR="00CD04C1" w:rsidRPr="00B713EE" w:rsidRDefault="00CD04C1" w:rsidP="00FC4127">
            <w:pPr>
              <w:spacing w:before="60" w:after="60"/>
              <w:ind w:left="57" w:right="57"/>
            </w:pPr>
            <w:r w:rsidRPr="00B713EE">
              <w:t>50</w:t>
            </w:r>
          </w:p>
        </w:tc>
        <w:tc>
          <w:tcPr>
            <w:tcW w:w="932" w:type="dxa"/>
          </w:tcPr>
          <w:p w:rsidR="00CD04C1" w:rsidRPr="00B713EE" w:rsidRDefault="00CD04C1" w:rsidP="00FC4127">
            <w:pPr>
              <w:spacing w:before="60" w:after="60"/>
              <w:ind w:left="57" w:right="57"/>
              <w:rPr>
                <w:highlight w:val="yellow"/>
              </w:rPr>
            </w:pPr>
            <w:r w:rsidRPr="00B713EE">
              <w:t>37</w:t>
            </w:r>
          </w:p>
        </w:tc>
        <w:tc>
          <w:tcPr>
            <w:tcW w:w="1567" w:type="dxa"/>
          </w:tcPr>
          <w:p w:rsidR="00CD04C1" w:rsidRPr="00B713EE" w:rsidRDefault="00CD04C1" w:rsidP="00FC4127">
            <w:pPr>
              <w:spacing w:before="60" w:after="60"/>
              <w:ind w:left="57" w:right="57"/>
            </w:pPr>
            <w:r w:rsidRPr="00B713EE">
              <w:t>2017/41</w:t>
            </w:r>
          </w:p>
        </w:tc>
        <w:tc>
          <w:tcPr>
            <w:tcW w:w="854" w:type="dxa"/>
          </w:tcPr>
          <w:p w:rsidR="00CD04C1" w:rsidRPr="00B713EE" w:rsidRDefault="00CD04C1" w:rsidP="00FC4127">
            <w:pPr>
              <w:spacing w:before="60" w:after="60"/>
              <w:ind w:left="57" w:right="57"/>
              <w:rPr>
                <w:highlight w:val="yellow"/>
              </w:rPr>
            </w:pPr>
            <w:r w:rsidRPr="00B713EE">
              <w:t>37/0/0</w:t>
            </w:r>
          </w:p>
        </w:tc>
        <w:tc>
          <w:tcPr>
            <w:tcW w:w="1610" w:type="dxa"/>
          </w:tcPr>
          <w:p w:rsidR="00CD04C1" w:rsidRPr="00B713EE" w:rsidRDefault="00CD04C1" w:rsidP="00FC4127">
            <w:pPr>
              <w:spacing w:before="60" w:after="60"/>
              <w:ind w:left="57" w:right="57"/>
            </w:pPr>
            <w:r w:rsidRPr="00B713EE">
              <w:t>Complément 8 à la série 01</w:t>
            </w:r>
          </w:p>
        </w:tc>
        <w:tc>
          <w:tcPr>
            <w:tcW w:w="853" w:type="dxa"/>
          </w:tcPr>
          <w:p w:rsidR="00CD04C1" w:rsidRPr="0051257F" w:rsidRDefault="00CD04C1" w:rsidP="00FC4127">
            <w:pPr>
              <w:spacing w:before="60" w:after="60"/>
              <w:ind w:left="57" w:right="57"/>
            </w:pPr>
            <w:r w:rsidRPr="0051257F">
              <w:t>*</w:t>
            </w:r>
          </w:p>
        </w:tc>
      </w:tr>
      <w:tr w:rsidR="00FC4127" w:rsidRPr="00B713EE" w:rsidTr="007345F1">
        <w:trPr>
          <w:cantSplit/>
        </w:trPr>
        <w:tc>
          <w:tcPr>
            <w:tcW w:w="765" w:type="dxa"/>
            <w:tcBorders>
              <w:bottom w:val="single" w:sz="4" w:space="0" w:color="auto"/>
            </w:tcBorders>
          </w:tcPr>
          <w:p w:rsidR="00CD04C1" w:rsidRPr="00B713EE" w:rsidRDefault="00CD04C1" w:rsidP="00FC4127">
            <w:pPr>
              <w:spacing w:before="60" w:after="60"/>
              <w:ind w:left="57" w:right="57"/>
            </w:pPr>
            <w:r w:rsidRPr="00B713EE">
              <w:t>138</w:t>
            </w:r>
          </w:p>
        </w:tc>
        <w:tc>
          <w:tcPr>
            <w:tcW w:w="2065" w:type="dxa"/>
            <w:tcBorders>
              <w:bottom w:val="single" w:sz="4" w:space="0" w:color="auto"/>
            </w:tcBorders>
          </w:tcPr>
          <w:p w:rsidR="00CD04C1" w:rsidRPr="00B713EE" w:rsidRDefault="00CD04C1" w:rsidP="00FC4127">
            <w:pPr>
              <w:spacing w:before="60" w:after="60"/>
              <w:ind w:left="57" w:right="57"/>
            </w:pPr>
            <w:r w:rsidRPr="00B713EE">
              <w:t>Véhicules à moteur silencieux</w:t>
            </w:r>
          </w:p>
        </w:tc>
        <w:tc>
          <w:tcPr>
            <w:tcW w:w="993" w:type="dxa"/>
            <w:tcBorders>
              <w:bottom w:val="single" w:sz="4" w:space="0" w:color="auto"/>
            </w:tcBorders>
          </w:tcPr>
          <w:p w:rsidR="00CD04C1" w:rsidRPr="00B713EE" w:rsidRDefault="00CD04C1" w:rsidP="00FC4127">
            <w:pPr>
              <w:spacing w:before="60" w:after="60"/>
              <w:ind w:left="57" w:right="57"/>
            </w:pPr>
            <w:r w:rsidRPr="00B713EE">
              <w:t>52</w:t>
            </w:r>
          </w:p>
        </w:tc>
        <w:tc>
          <w:tcPr>
            <w:tcW w:w="932" w:type="dxa"/>
            <w:tcBorders>
              <w:bottom w:val="single" w:sz="4" w:space="0" w:color="auto"/>
            </w:tcBorders>
          </w:tcPr>
          <w:p w:rsidR="00CD04C1" w:rsidRPr="00B713EE" w:rsidRDefault="00CD04C1" w:rsidP="00FC4127">
            <w:pPr>
              <w:spacing w:before="60" w:after="60"/>
              <w:ind w:left="57" w:right="57"/>
            </w:pPr>
            <w:r w:rsidRPr="00B713EE">
              <w:t>37</w:t>
            </w:r>
          </w:p>
        </w:tc>
        <w:tc>
          <w:tcPr>
            <w:tcW w:w="1567" w:type="dxa"/>
            <w:tcBorders>
              <w:bottom w:val="single" w:sz="4" w:space="0" w:color="auto"/>
            </w:tcBorders>
          </w:tcPr>
          <w:p w:rsidR="00CD04C1" w:rsidRPr="00B713EE" w:rsidRDefault="00CD04C1" w:rsidP="00FC4127">
            <w:pPr>
              <w:spacing w:before="60" w:after="60"/>
              <w:ind w:left="57" w:right="57"/>
            </w:pPr>
            <w:r w:rsidRPr="00B713EE">
              <w:t>2017/6</w:t>
            </w:r>
          </w:p>
        </w:tc>
        <w:tc>
          <w:tcPr>
            <w:tcW w:w="854" w:type="dxa"/>
            <w:tcBorders>
              <w:bottom w:val="single" w:sz="4" w:space="0" w:color="auto"/>
            </w:tcBorders>
          </w:tcPr>
          <w:p w:rsidR="00CD04C1" w:rsidRPr="00B713EE" w:rsidRDefault="00CD04C1" w:rsidP="00FC4127">
            <w:pPr>
              <w:spacing w:before="60" w:after="60"/>
              <w:ind w:left="57" w:right="57"/>
            </w:pPr>
            <w:r w:rsidRPr="00B713EE">
              <w:t>37/0/0</w:t>
            </w:r>
          </w:p>
        </w:tc>
        <w:tc>
          <w:tcPr>
            <w:tcW w:w="1610" w:type="dxa"/>
            <w:tcBorders>
              <w:bottom w:val="single" w:sz="4" w:space="0" w:color="auto"/>
            </w:tcBorders>
          </w:tcPr>
          <w:p w:rsidR="00CD04C1" w:rsidRPr="00B713EE" w:rsidRDefault="00CD04C1" w:rsidP="00FC4127">
            <w:pPr>
              <w:spacing w:before="60" w:after="60"/>
              <w:ind w:left="57" w:right="57"/>
            </w:pPr>
            <w:r w:rsidRPr="00B713EE">
              <w:t>Complément 1 à la série 00</w:t>
            </w:r>
          </w:p>
        </w:tc>
        <w:tc>
          <w:tcPr>
            <w:tcW w:w="853" w:type="dxa"/>
            <w:tcBorders>
              <w:bottom w:val="single" w:sz="4" w:space="0" w:color="auto"/>
            </w:tcBorders>
          </w:tcPr>
          <w:p w:rsidR="00CD04C1" w:rsidRPr="0051257F" w:rsidRDefault="00CD04C1" w:rsidP="00FC4127">
            <w:pPr>
              <w:spacing w:before="60" w:after="60"/>
              <w:ind w:left="57" w:right="57"/>
              <w:rPr>
                <w:u w:val="single"/>
              </w:rPr>
            </w:pPr>
            <w:r w:rsidRPr="0051257F">
              <w:t>*</w:t>
            </w:r>
          </w:p>
        </w:tc>
      </w:tr>
      <w:tr w:rsidR="00FC4127" w:rsidRPr="00B713EE" w:rsidTr="007345F1">
        <w:trPr>
          <w:cantSplit/>
        </w:trPr>
        <w:tc>
          <w:tcPr>
            <w:tcW w:w="765" w:type="dxa"/>
            <w:tcBorders>
              <w:bottom w:val="single" w:sz="4" w:space="0" w:color="auto"/>
            </w:tcBorders>
          </w:tcPr>
          <w:p w:rsidR="00CD04C1" w:rsidRPr="00B713EE" w:rsidRDefault="00CD04C1" w:rsidP="00FC4127">
            <w:pPr>
              <w:spacing w:before="60" w:after="60"/>
              <w:ind w:left="57" w:right="57"/>
            </w:pPr>
            <w:r w:rsidRPr="00B713EE">
              <w:t>138</w:t>
            </w:r>
          </w:p>
        </w:tc>
        <w:tc>
          <w:tcPr>
            <w:tcW w:w="2065" w:type="dxa"/>
            <w:tcBorders>
              <w:bottom w:val="single" w:sz="4" w:space="0" w:color="auto"/>
            </w:tcBorders>
          </w:tcPr>
          <w:p w:rsidR="00CD04C1" w:rsidRPr="00B713EE" w:rsidRDefault="00CD04C1" w:rsidP="00FC4127">
            <w:pPr>
              <w:spacing w:before="60" w:after="60"/>
              <w:ind w:left="57" w:right="57"/>
            </w:pPr>
            <w:r w:rsidRPr="00B713EE">
              <w:t>Véhicules à moteur silencieux</w:t>
            </w:r>
          </w:p>
        </w:tc>
        <w:tc>
          <w:tcPr>
            <w:tcW w:w="993" w:type="dxa"/>
            <w:tcBorders>
              <w:bottom w:val="single" w:sz="4" w:space="0" w:color="auto"/>
            </w:tcBorders>
          </w:tcPr>
          <w:p w:rsidR="00CD04C1" w:rsidRPr="00B713EE" w:rsidRDefault="00CD04C1" w:rsidP="00FC4127">
            <w:pPr>
              <w:spacing w:before="60" w:after="60"/>
              <w:ind w:left="57" w:right="57"/>
            </w:pPr>
            <w:r w:rsidRPr="00B713EE">
              <w:t>52</w:t>
            </w:r>
          </w:p>
        </w:tc>
        <w:tc>
          <w:tcPr>
            <w:tcW w:w="932" w:type="dxa"/>
            <w:tcBorders>
              <w:bottom w:val="single" w:sz="4" w:space="0" w:color="auto"/>
            </w:tcBorders>
          </w:tcPr>
          <w:p w:rsidR="00CD04C1" w:rsidRPr="00B713EE" w:rsidRDefault="00CD04C1" w:rsidP="00FC4127">
            <w:pPr>
              <w:spacing w:before="60" w:after="60"/>
              <w:ind w:left="57" w:right="57"/>
            </w:pPr>
            <w:r w:rsidRPr="00B713EE">
              <w:t>37</w:t>
            </w:r>
          </w:p>
        </w:tc>
        <w:tc>
          <w:tcPr>
            <w:tcW w:w="1567" w:type="dxa"/>
            <w:tcBorders>
              <w:bottom w:val="single" w:sz="4" w:space="0" w:color="auto"/>
            </w:tcBorders>
          </w:tcPr>
          <w:p w:rsidR="00CD04C1" w:rsidRPr="00E6243E" w:rsidRDefault="00CD04C1" w:rsidP="00E6243E">
            <w:pPr>
              <w:spacing w:before="60" w:after="60"/>
              <w:ind w:left="57" w:right="57"/>
              <w:rPr>
                <w:spacing w:val="-10"/>
              </w:rPr>
            </w:pPr>
            <w:r w:rsidRPr="00E6243E">
              <w:rPr>
                <w:spacing w:val="-10"/>
              </w:rPr>
              <w:t xml:space="preserve">2017/7 modifié par </w:t>
            </w:r>
            <w:r w:rsidR="00E6243E">
              <w:rPr>
                <w:spacing w:val="-10"/>
              </w:rPr>
              <w:t>le paragraphe </w:t>
            </w:r>
            <w:r w:rsidRPr="00E6243E">
              <w:rPr>
                <w:spacing w:val="-10"/>
              </w:rPr>
              <w:t>67</w:t>
            </w:r>
          </w:p>
        </w:tc>
        <w:tc>
          <w:tcPr>
            <w:tcW w:w="854" w:type="dxa"/>
            <w:tcBorders>
              <w:bottom w:val="single" w:sz="4" w:space="0" w:color="auto"/>
            </w:tcBorders>
          </w:tcPr>
          <w:p w:rsidR="00CD04C1" w:rsidRPr="00B713EE" w:rsidRDefault="00CD04C1" w:rsidP="00FC4127">
            <w:pPr>
              <w:spacing w:before="60" w:after="60"/>
              <w:ind w:left="57" w:right="57"/>
            </w:pPr>
            <w:r w:rsidRPr="00B713EE">
              <w:t>37/0/0</w:t>
            </w:r>
          </w:p>
        </w:tc>
        <w:tc>
          <w:tcPr>
            <w:tcW w:w="1610" w:type="dxa"/>
            <w:tcBorders>
              <w:bottom w:val="single" w:sz="4" w:space="0" w:color="auto"/>
            </w:tcBorders>
          </w:tcPr>
          <w:p w:rsidR="00CD04C1" w:rsidRPr="00B713EE" w:rsidRDefault="00CD04C1" w:rsidP="00FC4127">
            <w:pPr>
              <w:spacing w:before="60" w:after="60"/>
              <w:ind w:left="57" w:right="57"/>
            </w:pPr>
            <w:r w:rsidRPr="00B713EE">
              <w:t>Série 01</w:t>
            </w:r>
          </w:p>
        </w:tc>
        <w:tc>
          <w:tcPr>
            <w:tcW w:w="853" w:type="dxa"/>
            <w:tcBorders>
              <w:bottom w:val="single" w:sz="4" w:space="0" w:color="auto"/>
            </w:tcBorders>
          </w:tcPr>
          <w:p w:rsidR="00CD04C1" w:rsidRPr="0051257F" w:rsidRDefault="00CD04C1" w:rsidP="00FC4127">
            <w:pPr>
              <w:spacing w:before="60" w:after="60"/>
              <w:ind w:left="57" w:right="57"/>
              <w:rPr>
                <w:u w:val="single"/>
              </w:rPr>
            </w:pPr>
            <w:r w:rsidRPr="0051257F">
              <w:t>*</w:t>
            </w:r>
          </w:p>
        </w:tc>
      </w:tr>
    </w:tbl>
    <w:p w:rsidR="00CD04C1" w:rsidRPr="00B713EE" w:rsidRDefault="00CD04C1" w:rsidP="00CD04C1">
      <w:pPr>
        <w:rPr>
          <w:u w:val="singl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
        <w:gridCol w:w="2058"/>
        <w:gridCol w:w="1008"/>
        <w:gridCol w:w="924"/>
        <w:gridCol w:w="1567"/>
        <w:gridCol w:w="882"/>
        <w:gridCol w:w="1610"/>
        <w:gridCol w:w="825"/>
      </w:tblGrid>
      <w:tr w:rsidR="00CD04C1" w:rsidRPr="00B713EE" w:rsidTr="00FF3B18">
        <w:trPr>
          <w:cantSplit/>
          <w:trHeight w:val="350"/>
          <w:tblHeader/>
        </w:trPr>
        <w:tc>
          <w:tcPr>
            <w:tcW w:w="9639" w:type="dxa"/>
            <w:gridSpan w:val="8"/>
            <w:tcBorders>
              <w:bottom w:val="single" w:sz="4" w:space="0" w:color="auto"/>
            </w:tcBorders>
            <w:vAlign w:val="center"/>
          </w:tcPr>
          <w:p w:rsidR="00CD04C1" w:rsidRPr="00B713EE" w:rsidRDefault="00CD04C1" w:rsidP="009A0DE3">
            <w:pPr>
              <w:keepNext/>
              <w:spacing w:before="60" w:after="60"/>
              <w:ind w:left="57" w:right="57"/>
              <w:jc w:val="center"/>
              <w:rPr>
                <w:i/>
                <w:sz w:val="16"/>
                <w:szCs w:val="16"/>
              </w:rPr>
            </w:pPr>
            <w:r w:rsidRPr="00B713EE">
              <w:rPr>
                <w:i/>
                <w:sz w:val="16"/>
                <w:szCs w:val="16"/>
              </w:rPr>
              <w:t>Rectificatifs à des Règlements existants</w:t>
            </w:r>
          </w:p>
        </w:tc>
      </w:tr>
      <w:tr w:rsidR="00CD04C1" w:rsidRPr="00B713EE" w:rsidTr="00B06A76">
        <w:trPr>
          <w:cantSplit/>
          <w:trHeight w:val="907"/>
          <w:tblHeader/>
        </w:trPr>
        <w:tc>
          <w:tcPr>
            <w:tcW w:w="765" w:type="dxa"/>
            <w:vMerge w:val="restart"/>
            <w:tcBorders>
              <w:bottom w:val="single" w:sz="12" w:space="0" w:color="auto"/>
            </w:tcBorders>
            <w:vAlign w:val="bottom"/>
          </w:tcPr>
          <w:p w:rsidR="00CD04C1" w:rsidRPr="00B713EE" w:rsidRDefault="00CD04C1" w:rsidP="009A0DE3">
            <w:pPr>
              <w:keepNext/>
              <w:spacing w:before="60" w:after="60"/>
              <w:ind w:left="57" w:right="57"/>
              <w:rPr>
                <w:i/>
                <w:spacing w:val="-4"/>
                <w:sz w:val="16"/>
                <w:szCs w:val="16"/>
              </w:rPr>
            </w:pPr>
            <w:r w:rsidRPr="00B713EE">
              <w:rPr>
                <w:i/>
                <w:spacing w:val="-4"/>
                <w:sz w:val="16"/>
                <w:szCs w:val="16"/>
              </w:rPr>
              <w:t xml:space="preserve">Règlement </w:t>
            </w:r>
            <w:r w:rsidR="007345F1" w:rsidRPr="007345F1">
              <w:rPr>
                <w:rFonts w:eastAsia="MS Mincho"/>
                <w:i/>
                <w:spacing w:val="-4"/>
                <w:sz w:val="16"/>
                <w:szCs w:val="16"/>
              </w:rPr>
              <w:t>n</w:t>
            </w:r>
            <w:r w:rsidR="007345F1" w:rsidRPr="007345F1">
              <w:rPr>
                <w:rFonts w:eastAsia="MS Mincho"/>
                <w:i/>
                <w:spacing w:val="-4"/>
                <w:sz w:val="16"/>
                <w:szCs w:val="16"/>
                <w:vertAlign w:val="superscript"/>
              </w:rPr>
              <w:t>o</w:t>
            </w:r>
          </w:p>
        </w:tc>
        <w:tc>
          <w:tcPr>
            <w:tcW w:w="2058" w:type="dxa"/>
            <w:vMerge w:val="restart"/>
            <w:tcBorders>
              <w:bottom w:val="single" w:sz="12" w:space="0" w:color="auto"/>
            </w:tcBorders>
            <w:vAlign w:val="bottom"/>
          </w:tcPr>
          <w:p w:rsidR="00CD04C1" w:rsidRPr="00B713EE" w:rsidRDefault="00CD04C1" w:rsidP="009A0DE3">
            <w:pPr>
              <w:keepNext/>
              <w:spacing w:before="60" w:after="60"/>
              <w:ind w:left="57" w:right="57"/>
              <w:rPr>
                <w:i/>
                <w:sz w:val="16"/>
                <w:szCs w:val="16"/>
              </w:rPr>
            </w:pPr>
            <w:r w:rsidRPr="00B713EE">
              <w:rPr>
                <w:i/>
                <w:sz w:val="16"/>
                <w:szCs w:val="16"/>
              </w:rPr>
              <w:t>Sujet du Règlement</w:t>
            </w:r>
          </w:p>
        </w:tc>
        <w:tc>
          <w:tcPr>
            <w:tcW w:w="1932" w:type="dxa"/>
            <w:gridSpan w:val="2"/>
            <w:tcBorders>
              <w:bottom w:val="single" w:sz="4" w:space="0" w:color="auto"/>
            </w:tcBorders>
            <w:vAlign w:val="center"/>
          </w:tcPr>
          <w:p w:rsidR="00CD04C1" w:rsidRPr="00B713EE" w:rsidRDefault="00CD04C1" w:rsidP="009A0DE3">
            <w:pPr>
              <w:keepNext/>
              <w:spacing w:before="60" w:after="60"/>
              <w:ind w:left="57" w:right="57"/>
              <w:jc w:val="center"/>
              <w:rPr>
                <w:i/>
                <w:sz w:val="16"/>
                <w:szCs w:val="16"/>
              </w:rPr>
            </w:pPr>
            <w:r w:rsidRPr="00B713EE">
              <w:rPr>
                <w:i/>
                <w:sz w:val="16"/>
                <w:szCs w:val="16"/>
              </w:rPr>
              <w:t>Parties contractantes</w:t>
            </w:r>
          </w:p>
        </w:tc>
        <w:tc>
          <w:tcPr>
            <w:tcW w:w="1567" w:type="dxa"/>
            <w:vMerge w:val="restart"/>
            <w:tcBorders>
              <w:bottom w:val="single" w:sz="12" w:space="0" w:color="auto"/>
            </w:tcBorders>
            <w:vAlign w:val="bottom"/>
          </w:tcPr>
          <w:p w:rsidR="00CD04C1" w:rsidRPr="00B713EE" w:rsidRDefault="00B06A76" w:rsidP="009A0DE3">
            <w:pPr>
              <w:keepNext/>
              <w:spacing w:before="60" w:after="60"/>
              <w:ind w:left="57" w:right="57"/>
              <w:rPr>
                <w:i/>
                <w:sz w:val="16"/>
                <w:szCs w:val="16"/>
              </w:rPr>
            </w:pPr>
            <w:r w:rsidRPr="00B713EE">
              <w:rPr>
                <w:i/>
                <w:sz w:val="16"/>
                <w:szCs w:val="16"/>
              </w:rPr>
              <w:t>Document </w:t>
            </w:r>
            <w:r w:rsidR="00CD04C1" w:rsidRPr="00B713EE">
              <w:rPr>
                <w:i/>
                <w:sz w:val="16"/>
                <w:szCs w:val="16"/>
              </w:rPr>
              <w:t>:</w:t>
            </w:r>
          </w:p>
          <w:p w:rsidR="00CD04C1" w:rsidRPr="00B713EE" w:rsidRDefault="00B06A76" w:rsidP="009A0DE3">
            <w:pPr>
              <w:keepNext/>
              <w:spacing w:before="60" w:after="60"/>
              <w:ind w:left="57" w:right="57"/>
              <w:rPr>
                <w:i/>
                <w:spacing w:val="-4"/>
                <w:sz w:val="16"/>
                <w:szCs w:val="16"/>
              </w:rPr>
            </w:pPr>
            <w:r w:rsidRPr="00B713EE">
              <w:rPr>
                <w:i/>
                <w:spacing w:val="-4"/>
                <w:sz w:val="16"/>
                <w:szCs w:val="16"/>
              </w:rPr>
              <w:t>ECE/TRANS/WP.29/…</w:t>
            </w:r>
          </w:p>
        </w:tc>
        <w:tc>
          <w:tcPr>
            <w:tcW w:w="882" w:type="dxa"/>
            <w:vMerge w:val="restart"/>
            <w:tcBorders>
              <w:bottom w:val="single" w:sz="12" w:space="0" w:color="auto"/>
            </w:tcBorders>
            <w:vAlign w:val="bottom"/>
          </w:tcPr>
          <w:p w:rsidR="00CD04C1" w:rsidRPr="00B713EE" w:rsidRDefault="00CD04C1" w:rsidP="009A0DE3">
            <w:pPr>
              <w:keepNext/>
              <w:spacing w:before="60" w:after="60"/>
              <w:ind w:left="57" w:right="57"/>
              <w:rPr>
                <w:i/>
                <w:sz w:val="16"/>
                <w:szCs w:val="16"/>
              </w:rPr>
            </w:pPr>
            <w:r w:rsidRPr="00B713EE">
              <w:rPr>
                <w:i/>
                <w:sz w:val="16"/>
                <w:szCs w:val="16"/>
              </w:rPr>
              <w:t xml:space="preserve">Résultat </w:t>
            </w:r>
            <w:r w:rsidR="00B06A76" w:rsidRPr="00B713EE">
              <w:rPr>
                <w:i/>
                <w:sz w:val="16"/>
                <w:szCs w:val="16"/>
              </w:rPr>
              <w:br/>
            </w:r>
            <w:r w:rsidRPr="00B713EE">
              <w:rPr>
                <w:i/>
                <w:sz w:val="16"/>
                <w:szCs w:val="16"/>
              </w:rPr>
              <w:t>du vote</w:t>
            </w:r>
            <w:r w:rsidR="005530CC">
              <w:rPr>
                <w:i/>
                <w:sz w:val="16"/>
                <w:szCs w:val="16"/>
              </w:rPr>
              <w:t> :</w:t>
            </w:r>
            <w:r w:rsidRPr="00B713EE">
              <w:rPr>
                <w:i/>
                <w:sz w:val="16"/>
                <w:szCs w:val="16"/>
              </w:rPr>
              <w:t xml:space="preserve"> pour/contre</w:t>
            </w:r>
            <w:r w:rsidRPr="00B713EE">
              <w:rPr>
                <w:i/>
                <w:spacing w:val="-4"/>
                <w:sz w:val="16"/>
                <w:szCs w:val="16"/>
              </w:rPr>
              <w:t>/abstentions</w:t>
            </w:r>
          </w:p>
        </w:tc>
        <w:tc>
          <w:tcPr>
            <w:tcW w:w="1610" w:type="dxa"/>
            <w:vMerge w:val="restart"/>
            <w:tcBorders>
              <w:bottom w:val="single" w:sz="12" w:space="0" w:color="auto"/>
            </w:tcBorders>
            <w:vAlign w:val="bottom"/>
          </w:tcPr>
          <w:p w:rsidR="00CD04C1" w:rsidRPr="00B713EE" w:rsidRDefault="00CD04C1" w:rsidP="009A0DE3">
            <w:pPr>
              <w:keepNext/>
              <w:spacing w:before="60" w:after="60"/>
              <w:ind w:left="57" w:right="57"/>
              <w:rPr>
                <w:i/>
                <w:sz w:val="16"/>
                <w:szCs w:val="16"/>
              </w:rPr>
            </w:pPr>
            <w:r w:rsidRPr="00B713EE">
              <w:rPr>
                <w:i/>
                <w:sz w:val="16"/>
                <w:szCs w:val="16"/>
              </w:rPr>
              <w:t>Statut du document</w:t>
            </w:r>
          </w:p>
        </w:tc>
        <w:tc>
          <w:tcPr>
            <w:tcW w:w="825" w:type="dxa"/>
            <w:vMerge w:val="restart"/>
            <w:tcBorders>
              <w:bottom w:val="single" w:sz="12" w:space="0" w:color="auto"/>
            </w:tcBorders>
            <w:vAlign w:val="bottom"/>
          </w:tcPr>
          <w:p w:rsidR="00CD04C1" w:rsidRPr="00B713EE" w:rsidRDefault="00CD04C1" w:rsidP="009A0DE3">
            <w:pPr>
              <w:keepNext/>
              <w:spacing w:before="60" w:after="60"/>
              <w:ind w:left="57" w:right="57"/>
              <w:rPr>
                <w:i/>
                <w:spacing w:val="-6"/>
                <w:sz w:val="16"/>
                <w:szCs w:val="16"/>
              </w:rPr>
            </w:pPr>
            <w:r w:rsidRPr="00B713EE">
              <w:rPr>
                <w:i/>
                <w:spacing w:val="-6"/>
                <w:sz w:val="16"/>
                <w:szCs w:val="16"/>
              </w:rPr>
              <w:t>Remarque :</w:t>
            </w:r>
          </w:p>
        </w:tc>
      </w:tr>
      <w:tr w:rsidR="00CD04C1" w:rsidRPr="00B713EE" w:rsidTr="00B06A76">
        <w:trPr>
          <w:cantSplit/>
          <w:trHeight w:val="957"/>
          <w:tblHeader/>
        </w:trPr>
        <w:tc>
          <w:tcPr>
            <w:tcW w:w="765" w:type="dxa"/>
            <w:vMerge/>
            <w:tcBorders>
              <w:top w:val="single" w:sz="4" w:space="0" w:color="auto"/>
              <w:bottom w:val="single" w:sz="4" w:space="0" w:color="auto"/>
            </w:tcBorders>
            <w:textDirection w:val="btLr"/>
            <w:vAlign w:val="center"/>
          </w:tcPr>
          <w:p w:rsidR="00CD04C1" w:rsidRPr="00B713EE" w:rsidRDefault="00CD04C1" w:rsidP="00233EB7">
            <w:pPr>
              <w:spacing w:before="60" w:after="60"/>
              <w:ind w:left="57" w:right="57"/>
              <w:rPr>
                <w:sz w:val="16"/>
                <w:szCs w:val="16"/>
              </w:rPr>
            </w:pPr>
          </w:p>
        </w:tc>
        <w:tc>
          <w:tcPr>
            <w:tcW w:w="2058" w:type="dxa"/>
            <w:vMerge/>
            <w:tcBorders>
              <w:top w:val="single" w:sz="4" w:space="0" w:color="auto"/>
              <w:bottom w:val="single" w:sz="4" w:space="0" w:color="auto"/>
            </w:tcBorders>
            <w:textDirection w:val="btLr"/>
            <w:vAlign w:val="center"/>
          </w:tcPr>
          <w:p w:rsidR="00CD04C1" w:rsidRPr="00B713EE" w:rsidRDefault="00CD04C1" w:rsidP="00233EB7">
            <w:pPr>
              <w:spacing w:before="60" w:after="60"/>
              <w:ind w:left="57" w:right="57"/>
              <w:rPr>
                <w:sz w:val="16"/>
                <w:szCs w:val="16"/>
              </w:rPr>
            </w:pPr>
          </w:p>
        </w:tc>
        <w:tc>
          <w:tcPr>
            <w:tcW w:w="1008" w:type="dxa"/>
            <w:tcBorders>
              <w:top w:val="single" w:sz="4" w:space="0" w:color="auto"/>
              <w:bottom w:val="single" w:sz="4" w:space="0" w:color="auto"/>
            </w:tcBorders>
            <w:vAlign w:val="bottom"/>
          </w:tcPr>
          <w:p w:rsidR="00CD04C1" w:rsidRPr="00B713EE" w:rsidRDefault="00CD04C1" w:rsidP="00B06A76">
            <w:pPr>
              <w:spacing w:before="60" w:after="60"/>
              <w:ind w:left="57" w:right="57"/>
              <w:rPr>
                <w:i/>
                <w:sz w:val="16"/>
                <w:szCs w:val="16"/>
              </w:rPr>
            </w:pPr>
            <w:r w:rsidRPr="00B713EE">
              <w:rPr>
                <w:i/>
                <w:sz w:val="16"/>
                <w:szCs w:val="16"/>
              </w:rPr>
              <w:t xml:space="preserve">Appliquant </w:t>
            </w:r>
            <w:r w:rsidR="00B06A76" w:rsidRPr="00B713EE">
              <w:rPr>
                <w:i/>
                <w:sz w:val="16"/>
                <w:szCs w:val="16"/>
              </w:rPr>
              <w:br/>
            </w:r>
            <w:r w:rsidRPr="00B713EE">
              <w:rPr>
                <w:i/>
                <w:sz w:val="16"/>
                <w:szCs w:val="16"/>
              </w:rPr>
              <w:t>le Règlement</w:t>
            </w:r>
          </w:p>
        </w:tc>
        <w:tc>
          <w:tcPr>
            <w:tcW w:w="924" w:type="dxa"/>
            <w:tcBorders>
              <w:top w:val="single" w:sz="4" w:space="0" w:color="auto"/>
              <w:bottom w:val="single" w:sz="4" w:space="0" w:color="auto"/>
            </w:tcBorders>
            <w:vAlign w:val="bottom"/>
          </w:tcPr>
          <w:p w:rsidR="00CD04C1" w:rsidRPr="00B713EE" w:rsidRDefault="00CD04C1" w:rsidP="00B06A76">
            <w:pPr>
              <w:spacing w:before="60" w:after="60"/>
              <w:ind w:left="57" w:right="57"/>
              <w:rPr>
                <w:i/>
                <w:sz w:val="16"/>
                <w:szCs w:val="16"/>
              </w:rPr>
            </w:pPr>
            <w:r w:rsidRPr="00B713EE">
              <w:rPr>
                <w:i/>
                <w:sz w:val="16"/>
                <w:szCs w:val="16"/>
              </w:rPr>
              <w:t xml:space="preserve">Présentes </w:t>
            </w:r>
            <w:r w:rsidR="00B06A76" w:rsidRPr="00B713EE">
              <w:rPr>
                <w:i/>
                <w:sz w:val="16"/>
                <w:szCs w:val="16"/>
              </w:rPr>
              <w:br/>
            </w:r>
            <w:r w:rsidRPr="00B713EE">
              <w:rPr>
                <w:i/>
                <w:sz w:val="16"/>
                <w:szCs w:val="16"/>
              </w:rPr>
              <w:t>et votantes</w:t>
            </w:r>
          </w:p>
        </w:tc>
        <w:tc>
          <w:tcPr>
            <w:tcW w:w="1567" w:type="dxa"/>
            <w:vMerge/>
            <w:tcBorders>
              <w:bottom w:val="single" w:sz="4" w:space="0" w:color="auto"/>
            </w:tcBorders>
            <w:textDirection w:val="btLr"/>
            <w:vAlign w:val="center"/>
          </w:tcPr>
          <w:p w:rsidR="00CD04C1" w:rsidRPr="00B713EE" w:rsidRDefault="00CD04C1" w:rsidP="00233EB7">
            <w:pPr>
              <w:spacing w:before="60" w:after="60"/>
              <w:ind w:left="57" w:right="57"/>
              <w:rPr>
                <w:sz w:val="16"/>
                <w:szCs w:val="16"/>
              </w:rPr>
            </w:pPr>
          </w:p>
        </w:tc>
        <w:tc>
          <w:tcPr>
            <w:tcW w:w="882" w:type="dxa"/>
            <w:vMerge/>
            <w:tcBorders>
              <w:bottom w:val="single" w:sz="4" w:space="0" w:color="auto"/>
            </w:tcBorders>
            <w:textDirection w:val="btLr"/>
            <w:vAlign w:val="center"/>
          </w:tcPr>
          <w:p w:rsidR="00CD04C1" w:rsidRPr="00B713EE" w:rsidRDefault="00CD04C1" w:rsidP="00233EB7">
            <w:pPr>
              <w:spacing w:before="60" w:after="60"/>
              <w:ind w:left="57" w:right="57"/>
              <w:rPr>
                <w:sz w:val="16"/>
                <w:szCs w:val="16"/>
              </w:rPr>
            </w:pPr>
          </w:p>
        </w:tc>
        <w:tc>
          <w:tcPr>
            <w:tcW w:w="1610" w:type="dxa"/>
            <w:vMerge/>
            <w:tcBorders>
              <w:bottom w:val="single" w:sz="4" w:space="0" w:color="auto"/>
            </w:tcBorders>
            <w:textDirection w:val="btLr"/>
            <w:vAlign w:val="center"/>
          </w:tcPr>
          <w:p w:rsidR="00CD04C1" w:rsidRPr="00B713EE" w:rsidRDefault="00CD04C1" w:rsidP="00233EB7">
            <w:pPr>
              <w:spacing w:before="60" w:after="60"/>
              <w:ind w:left="57" w:right="57"/>
              <w:rPr>
                <w:sz w:val="16"/>
                <w:szCs w:val="16"/>
              </w:rPr>
            </w:pPr>
          </w:p>
        </w:tc>
        <w:tc>
          <w:tcPr>
            <w:tcW w:w="825" w:type="dxa"/>
            <w:vMerge/>
            <w:tcBorders>
              <w:top w:val="single" w:sz="4" w:space="0" w:color="auto"/>
              <w:bottom w:val="single" w:sz="4" w:space="0" w:color="auto"/>
            </w:tcBorders>
            <w:textDirection w:val="btLr"/>
            <w:vAlign w:val="center"/>
          </w:tcPr>
          <w:p w:rsidR="00CD04C1" w:rsidRPr="00B713EE" w:rsidRDefault="00CD04C1" w:rsidP="00233EB7">
            <w:pPr>
              <w:spacing w:before="60" w:after="60"/>
              <w:ind w:left="57" w:right="57"/>
              <w:rPr>
                <w:sz w:val="16"/>
                <w:szCs w:val="16"/>
              </w:rPr>
            </w:pPr>
          </w:p>
        </w:tc>
      </w:tr>
      <w:tr w:rsidR="00CD04C1" w:rsidRPr="00B713EE" w:rsidTr="00FF3B18">
        <w:tblPrEx>
          <w:tblLook w:val="04A0" w:firstRow="1" w:lastRow="0" w:firstColumn="1" w:lastColumn="0" w:noHBand="0" w:noVBand="1"/>
        </w:tblPrEx>
        <w:trPr>
          <w:cantSplit/>
        </w:trPr>
        <w:tc>
          <w:tcPr>
            <w:tcW w:w="765" w:type="dxa"/>
            <w:tcBorders>
              <w:top w:val="single" w:sz="4" w:space="0" w:color="auto"/>
              <w:left w:val="single" w:sz="4" w:space="0" w:color="auto"/>
              <w:bottom w:val="single" w:sz="4" w:space="0" w:color="auto"/>
              <w:right w:val="single" w:sz="4" w:space="0" w:color="auto"/>
            </w:tcBorders>
          </w:tcPr>
          <w:p w:rsidR="00CD04C1" w:rsidRPr="00B713EE" w:rsidRDefault="00CD04C1" w:rsidP="00233EB7">
            <w:pPr>
              <w:spacing w:before="60" w:after="60"/>
              <w:ind w:left="57" w:right="57"/>
            </w:pPr>
            <w:r w:rsidRPr="00B713EE">
              <w:t>13</w:t>
            </w:r>
          </w:p>
        </w:tc>
        <w:tc>
          <w:tcPr>
            <w:tcW w:w="2058" w:type="dxa"/>
            <w:tcBorders>
              <w:top w:val="single" w:sz="4" w:space="0" w:color="auto"/>
              <w:left w:val="single" w:sz="4" w:space="0" w:color="auto"/>
              <w:bottom w:val="single" w:sz="4" w:space="0" w:color="auto"/>
              <w:right w:val="single" w:sz="4" w:space="0" w:color="auto"/>
            </w:tcBorders>
          </w:tcPr>
          <w:p w:rsidR="00CD04C1" w:rsidRPr="00B713EE" w:rsidRDefault="00CD04C1" w:rsidP="00233EB7">
            <w:pPr>
              <w:spacing w:before="60" w:after="60"/>
              <w:ind w:left="57" w:right="57"/>
            </w:pPr>
            <w:r w:rsidRPr="00B713EE">
              <w:t>Freinage des poids lourds</w:t>
            </w:r>
          </w:p>
        </w:tc>
        <w:tc>
          <w:tcPr>
            <w:tcW w:w="1008" w:type="dxa"/>
            <w:tcBorders>
              <w:top w:val="single" w:sz="4" w:space="0" w:color="auto"/>
              <w:left w:val="single" w:sz="4" w:space="0" w:color="auto"/>
              <w:bottom w:val="single" w:sz="4" w:space="0" w:color="auto"/>
              <w:right w:val="single" w:sz="4" w:space="0" w:color="auto"/>
            </w:tcBorders>
          </w:tcPr>
          <w:p w:rsidR="00CD04C1" w:rsidRPr="00B713EE" w:rsidRDefault="00CD04C1" w:rsidP="00233EB7">
            <w:pPr>
              <w:spacing w:before="60" w:after="60"/>
              <w:ind w:left="57" w:right="57"/>
            </w:pPr>
            <w:r w:rsidRPr="00B713EE">
              <w:t>47</w:t>
            </w:r>
          </w:p>
        </w:tc>
        <w:tc>
          <w:tcPr>
            <w:tcW w:w="924" w:type="dxa"/>
            <w:tcBorders>
              <w:top w:val="single" w:sz="4" w:space="0" w:color="auto"/>
              <w:left w:val="single" w:sz="4" w:space="0" w:color="auto"/>
              <w:bottom w:val="single" w:sz="4" w:space="0" w:color="auto"/>
              <w:right w:val="single" w:sz="4" w:space="0" w:color="auto"/>
            </w:tcBorders>
          </w:tcPr>
          <w:p w:rsidR="00CD04C1" w:rsidRPr="00B713EE" w:rsidRDefault="00CD04C1" w:rsidP="00233EB7">
            <w:pPr>
              <w:spacing w:before="60" w:after="60"/>
              <w:ind w:left="57" w:right="57"/>
            </w:pPr>
            <w:r w:rsidRPr="00B713EE">
              <w:t>36</w:t>
            </w:r>
          </w:p>
        </w:tc>
        <w:tc>
          <w:tcPr>
            <w:tcW w:w="1567" w:type="dxa"/>
            <w:tcBorders>
              <w:top w:val="single" w:sz="4" w:space="0" w:color="auto"/>
              <w:left w:val="single" w:sz="4" w:space="0" w:color="auto"/>
              <w:bottom w:val="single" w:sz="4" w:space="0" w:color="auto"/>
              <w:right w:val="single" w:sz="4" w:space="0" w:color="auto"/>
            </w:tcBorders>
          </w:tcPr>
          <w:p w:rsidR="00CD04C1" w:rsidRPr="00B713EE" w:rsidRDefault="00CD04C1" w:rsidP="00233EB7">
            <w:pPr>
              <w:spacing w:before="60" w:after="60"/>
              <w:ind w:left="57" w:right="57"/>
            </w:pPr>
            <w:r w:rsidRPr="00B713EE">
              <w:t>2017/45</w:t>
            </w:r>
          </w:p>
        </w:tc>
        <w:tc>
          <w:tcPr>
            <w:tcW w:w="882" w:type="dxa"/>
            <w:tcBorders>
              <w:top w:val="single" w:sz="4" w:space="0" w:color="auto"/>
              <w:left w:val="single" w:sz="4" w:space="0" w:color="auto"/>
              <w:bottom w:val="single" w:sz="4" w:space="0" w:color="auto"/>
              <w:right w:val="single" w:sz="4" w:space="0" w:color="auto"/>
            </w:tcBorders>
          </w:tcPr>
          <w:p w:rsidR="00CD04C1" w:rsidRPr="00B713EE" w:rsidRDefault="00CD04C1" w:rsidP="00233EB7">
            <w:pPr>
              <w:spacing w:before="60" w:after="60"/>
              <w:ind w:left="57" w:right="57"/>
            </w:pPr>
            <w:r w:rsidRPr="00B713EE">
              <w:t>36/0/0</w:t>
            </w:r>
          </w:p>
        </w:tc>
        <w:tc>
          <w:tcPr>
            <w:tcW w:w="1610" w:type="dxa"/>
            <w:tcBorders>
              <w:top w:val="single" w:sz="4" w:space="0" w:color="auto"/>
              <w:left w:val="single" w:sz="4" w:space="0" w:color="auto"/>
              <w:bottom w:val="single" w:sz="4" w:space="0" w:color="auto"/>
              <w:right w:val="single" w:sz="4" w:space="0" w:color="auto"/>
            </w:tcBorders>
          </w:tcPr>
          <w:p w:rsidR="00CD04C1" w:rsidRPr="00B713EE" w:rsidRDefault="00CD04C1" w:rsidP="00233EB7">
            <w:pPr>
              <w:spacing w:before="60" w:after="60"/>
              <w:ind w:left="57" w:right="57"/>
            </w:pPr>
            <w:r w:rsidRPr="00B713EE">
              <w:t>Rectificatif 2 à la révision 8</w:t>
            </w:r>
          </w:p>
        </w:tc>
        <w:tc>
          <w:tcPr>
            <w:tcW w:w="825" w:type="dxa"/>
            <w:tcBorders>
              <w:top w:val="single" w:sz="4" w:space="0" w:color="auto"/>
              <w:left w:val="single" w:sz="4" w:space="0" w:color="auto"/>
              <w:bottom w:val="single" w:sz="4" w:space="0" w:color="auto"/>
              <w:right w:val="single" w:sz="4" w:space="0" w:color="auto"/>
            </w:tcBorders>
          </w:tcPr>
          <w:p w:rsidR="00CD04C1" w:rsidRPr="0051257F" w:rsidRDefault="00CD04C1" w:rsidP="00233EB7">
            <w:pPr>
              <w:spacing w:before="60" w:after="60"/>
              <w:ind w:left="57" w:right="57"/>
            </w:pPr>
            <w:r w:rsidRPr="0051257F">
              <w:t>*</w:t>
            </w:r>
          </w:p>
        </w:tc>
      </w:tr>
      <w:tr w:rsidR="00CD04C1" w:rsidRPr="00B713EE" w:rsidTr="007345F1">
        <w:tblPrEx>
          <w:tblLook w:val="04A0" w:firstRow="1" w:lastRow="0" w:firstColumn="1" w:lastColumn="0" w:noHBand="0" w:noVBand="1"/>
        </w:tblPrEx>
        <w:trPr>
          <w:cantSplit/>
        </w:trPr>
        <w:tc>
          <w:tcPr>
            <w:tcW w:w="765" w:type="dxa"/>
            <w:tcBorders>
              <w:top w:val="single" w:sz="4" w:space="0" w:color="auto"/>
              <w:left w:val="single" w:sz="4" w:space="0" w:color="auto"/>
              <w:bottom w:val="single" w:sz="4" w:space="0" w:color="auto"/>
              <w:right w:val="single" w:sz="4" w:space="0" w:color="auto"/>
            </w:tcBorders>
          </w:tcPr>
          <w:p w:rsidR="00CD04C1" w:rsidRPr="00B713EE" w:rsidRDefault="00CD04C1" w:rsidP="00233EB7">
            <w:pPr>
              <w:spacing w:before="60" w:after="60"/>
              <w:ind w:left="57" w:right="57"/>
            </w:pPr>
            <w:r w:rsidRPr="00B713EE">
              <w:t>107</w:t>
            </w:r>
          </w:p>
        </w:tc>
        <w:tc>
          <w:tcPr>
            <w:tcW w:w="2058" w:type="dxa"/>
            <w:tcBorders>
              <w:top w:val="single" w:sz="4" w:space="0" w:color="auto"/>
              <w:left w:val="single" w:sz="4" w:space="0" w:color="auto"/>
              <w:bottom w:val="single" w:sz="4" w:space="0" w:color="auto"/>
              <w:right w:val="single" w:sz="4" w:space="0" w:color="auto"/>
            </w:tcBorders>
          </w:tcPr>
          <w:p w:rsidR="00CD04C1" w:rsidRPr="00B713EE" w:rsidRDefault="00CD04C1" w:rsidP="00233EB7">
            <w:pPr>
              <w:spacing w:before="60" w:after="60"/>
              <w:ind w:left="57" w:right="57"/>
            </w:pPr>
            <w:r w:rsidRPr="00B713EE">
              <w:t>Véhicules des catégories M</w:t>
            </w:r>
            <w:r w:rsidRPr="00B713EE">
              <w:rPr>
                <w:vertAlign w:val="subscript"/>
              </w:rPr>
              <w:t>2</w:t>
            </w:r>
            <w:r w:rsidRPr="00B713EE">
              <w:t xml:space="preserve"> et M</w:t>
            </w:r>
            <w:r w:rsidRPr="00B713EE">
              <w:rPr>
                <w:vertAlign w:val="subscript"/>
              </w:rPr>
              <w:t>3</w:t>
            </w:r>
          </w:p>
        </w:tc>
        <w:tc>
          <w:tcPr>
            <w:tcW w:w="1008" w:type="dxa"/>
            <w:tcBorders>
              <w:top w:val="single" w:sz="4" w:space="0" w:color="auto"/>
              <w:left w:val="single" w:sz="4" w:space="0" w:color="auto"/>
              <w:bottom w:val="single" w:sz="4" w:space="0" w:color="auto"/>
              <w:right w:val="single" w:sz="4" w:space="0" w:color="auto"/>
            </w:tcBorders>
          </w:tcPr>
          <w:p w:rsidR="00CD04C1" w:rsidRPr="00B713EE" w:rsidRDefault="00CD04C1" w:rsidP="00233EB7">
            <w:pPr>
              <w:spacing w:before="60" w:after="60"/>
              <w:ind w:left="57" w:right="57"/>
            </w:pPr>
            <w:r w:rsidRPr="00B713EE">
              <w:t>47</w:t>
            </w:r>
          </w:p>
        </w:tc>
        <w:tc>
          <w:tcPr>
            <w:tcW w:w="924" w:type="dxa"/>
            <w:tcBorders>
              <w:top w:val="single" w:sz="4" w:space="0" w:color="auto"/>
              <w:left w:val="single" w:sz="4" w:space="0" w:color="auto"/>
              <w:bottom w:val="single" w:sz="4" w:space="0" w:color="auto"/>
              <w:right w:val="single" w:sz="4" w:space="0" w:color="auto"/>
            </w:tcBorders>
          </w:tcPr>
          <w:p w:rsidR="00CD04C1" w:rsidRPr="00B713EE" w:rsidRDefault="00CD04C1" w:rsidP="00233EB7">
            <w:pPr>
              <w:spacing w:before="60" w:after="60"/>
              <w:ind w:left="57" w:right="57"/>
            </w:pPr>
            <w:r w:rsidRPr="00B713EE">
              <w:t>34</w:t>
            </w:r>
          </w:p>
        </w:tc>
        <w:tc>
          <w:tcPr>
            <w:tcW w:w="1567" w:type="dxa"/>
            <w:tcBorders>
              <w:top w:val="single" w:sz="4" w:space="0" w:color="auto"/>
              <w:left w:val="single" w:sz="4" w:space="0" w:color="auto"/>
              <w:bottom w:val="single" w:sz="4" w:space="0" w:color="auto"/>
              <w:right w:val="single" w:sz="4" w:space="0" w:color="auto"/>
            </w:tcBorders>
          </w:tcPr>
          <w:p w:rsidR="00CD04C1" w:rsidRPr="00B713EE" w:rsidRDefault="00CD04C1" w:rsidP="00233EB7">
            <w:pPr>
              <w:spacing w:before="60" w:after="60"/>
              <w:ind w:left="57" w:right="57"/>
            </w:pPr>
            <w:r w:rsidRPr="00B713EE">
              <w:t>2017/13</w:t>
            </w:r>
          </w:p>
        </w:tc>
        <w:tc>
          <w:tcPr>
            <w:tcW w:w="882" w:type="dxa"/>
            <w:tcBorders>
              <w:top w:val="single" w:sz="4" w:space="0" w:color="auto"/>
              <w:left w:val="single" w:sz="4" w:space="0" w:color="auto"/>
              <w:bottom w:val="single" w:sz="4" w:space="0" w:color="auto"/>
              <w:right w:val="single" w:sz="4" w:space="0" w:color="auto"/>
            </w:tcBorders>
          </w:tcPr>
          <w:p w:rsidR="00CD04C1" w:rsidRPr="00B713EE" w:rsidRDefault="00CD04C1" w:rsidP="00233EB7">
            <w:pPr>
              <w:spacing w:before="60" w:after="60"/>
              <w:ind w:left="57" w:right="57"/>
            </w:pPr>
            <w:r w:rsidRPr="00B713EE">
              <w:t>34/0/0</w:t>
            </w:r>
          </w:p>
        </w:tc>
        <w:tc>
          <w:tcPr>
            <w:tcW w:w="1610" w:type="dxa"/>
            <w:tcBorders>
              <w:top w:val="single" w:sz="4" w:space="0" w:color="auto"/>
              <w:left w:val="single" w:sz="4" w:space="0" w:color="auto"/>
              <w:bottom w:val="single" w:sz="4" w:space="0" w:color="auto"/>
              <w:right w:val="single" w:sz="4" w:space="0" w:color="auto"/>
            </w:tcBorders>
          </w:tcPr>
          <w:p w:rsidR="00CD04C1" w:rsidRPr="00B713EE" w:rsidRDefault="00CD04C1" w:rsidP="00233EB7">
            <w:pPr>
              <w:spacing w:before="60" w:after="60"/>
              <w:ind w:left="57" w:right="57"/>
            </w:pPr>
            <w:r w:rsidRPr="00B713EE">
              <w:t>Rectificatif 2 à la série 06</w:t>
            </w:r>
          </w:p>
        </w:tc>
        <w:tc>
          <w:tcPr>
            <w:tcW w:w="825" w:type="dxa"/>
            <w:tcBorders>
              <w:top w:val="single" w:sz="4" w:space="0" w:color="auto"/>
              <w:left w:val="single" w:sz="4" w:space="0" w:color="auto"/>
              <w:bottom w:val="single" w:sz="4" w:space="0" w:color="auto"/>
              <w:right w:val="single" w:sz="4" w:space="0" w:color="auto"/>
            </w:tcBorders>
          </w:tcPr>
          <w:p w:rsidR="00CD04C1" w:rsidRPr="0051257F" w:rsidRDefault="00CD04C1" w:rsidP="00233EB7">
            <w:pPr>
              <w:spacing w:before="60" w:after="60"/>
              <w:ind w:left="57" w:right="57"/>
            </w:pPr>
            <w:r w:rsidRPr="0051257F">
              <w:t>*</w:t>
            </w:r>
          </w:p>
        </w:tc>
      </w:tr>
      <w:tr w:rsidR="00CD04C1" w:rsidRPr="00B713EE" w:rsidTr="007345F1">
        <w:tblPrEx>
          <w:tblLook w:val="04A0" w:firstRow="1" w:lastRow="0" w:firstColumn="1" w:lastColumn="0" w:noHBand="0" w:noVBand="1"/>
        </w:tblPrEx>
        <w:trPr>
          <w:cantSplit/>
        </w:trPr>
        <w:tc>
          <w:tcPr>
            <w:tcW w:w="765" w:type="dxa"/>
            <w:tcBorders>
              <w:top w:val="single" w:sz="4" w:space="0" w:color="auto"/>
              <w:left w:val="single" w:sz="4" w:space="0" w:color="auto"/>
              <w:bottom w:val="single" w:sz="4" w:space="0" w:color="auto"/>
              <w:right w:val="single" w:sz="4" w:space="0" w:color="auto"/>
            </w:tcBorders>
          </w:tcPr>
          <w:p w:rsidR="00CD04C1" w:rsidRPr="00B713EE" w:rsidRDefault="00CD04C1" w:rsidP="00233EB7">
            <w:pPr>
              <w:spacing w:before="60" w:after="60"/>
              <w:ind w:left="57" w:right="57"/>
            </w:pPr>
            <w:r w:rsidRPr="00B713EE">
              <w:t>107</w:t>
            </w:r>
          </w:p>
        </w:tc>
        <w:tc>
          <w:tcPr>
            <w:tcW w:w="2058" w:type="dxa"/>
            <w:tcBorders>
              <w:top w:val="single" w:sz="4" w:space="0" w:color="auto"/>
              <w:left w:val="single" w:sz="4" w:space="0" w:color="auto"/>
              <w:bottom w:val="single" w:sz="4" w:space="0" w:color="auto"/>
              <w:right w:val="single" w:sz="4" w:space="0" w:color="auto"/>
            </w:tcBorders>
          </w:tcPr>
          <w:p w:rsidR="00CD04C1" w:rsidRPr="00B713EE" w:rsidRDefault="00CD04C1" w:rsidP="00233EB7">
            <w:pPr>
              <w:spacing w:before="60" w:after="60"/>
              <w:ind w:left="57" w:right="57"/>
            </w:pPr>
            <w:r w:rsidRPr="00B713EE">
              <w:t>Véhicules des catégories M</w:t>
            </w:r>
            <w:r w:rsidRPr="007345F1">
              <w:rPr>
                <w:vertAlign w:val="subscript"/>
              </w:rPr>
              <w:t>2</w:t>
            </w:r>
            <w:r w:rsidRPr="00B713EE">
              <w:t xml:space="preserve"> et M</w:t>
            </w:r>
            <w:r w:rsidRPr="007345F1">
              <w:rPr>
                <w:vertAlign w:val="subscript"/>
              </w:rPr>
              <w:t>3</w:t>
            </w:r>
          </w:p>
        </w:tc>
        <w:tc>
          <w:tcPr>
            <w:tcW w:w="1008" w:type="dxa"/>
            <w:tcBorders>
              <w:top w:val="single" w:sz="4" w:space="0" w:color="auto"/>
              <w:left w:val="single" w:sz="4" w:space="0" w:color="auto"/>
              <w:bottom w:val="single" w:sz="4" w:space="0" w:color="auto"/>
              <w:right w:val="single" w:sz="4" w:space="0" w:color="auto"/>
            </w:tcBorders>
          </w:tcPr>
          <w:p w:rsidR="00CD04C1" w:rsidRPr="00B713EE" w:rsidRDefault="00CD04C1" w:rsidP="00233EB7">
            <w:pPr>
              <w:spacing w:before="60" w:after="60"/>
              <w:ind w:left="57" w:right="57"/>
            </w:pPr>
            <w:r w:rsidRPr="00B713EE">
              <w:t>47</w:t>
            </w:r>
          </w:p>
        </w:tc>
        <w:tc>
          <w:tcPr>
            <w:tcW w:w="924" w:type="dxa"/>
            <w:tcBorders>
              <w:top w:val="single" w:sz="4" w:space="0" w:color="auto"/>
              <w:left w:val="single" w:sz="4" w:space="0" w:color="auto"/>
              <w:bottom w:val="single" w:sz="4" w:space="0" w:color="auto"/>
              <w:right w:val="single" w:sz="4" w:space="0" w:color="auto"/>
            </w:tcBorders>
          </w:tcPr>
          <w:p w:rsidR="00CD04C1" w:rsidRPr="00B713EE" w:rsidRDefault="00CD04C1" w:rsidP="00233EB7">
            <w:pPr>
              <w:spacing w:before="60" w:after="60"/>
              <w:ind w:left="57" w:right="57"/>
            </w:pPr>
            <w:r w:rsidRPr="00B713EE">
              <w:t>34</w:t>
            </w:r>
          </w:p>
        </w:tc>
        <w:tc>
          <w:tcPr>
            <w:tcW w:w="1567" w:type="dxa"/>
            <w:tcBorders>
              <w:top w:val="single" w:sz="4" w:space="0" w:color="auto"/>
              <w:left w:val="single" w:sz="4" w:space="0" w:color="auto"/>
              <w:bottom w:val="single" w:sz="4" w:space="0" w:color="auto"/>
              <w:right w:val="single" w:sz="4" w:space="0" w:color="auto"/>
            </w:tcBorders>
          </w:tcPr>
          <w:p w:rsidR="00CD04C1" w:rsidRPr="00B713EE" w:rsidRDefault="00CD04C1" w:rsidP="00233EB7">
            <w:pPr>
              <w:spacing w:before="60" w:after="60"/>
              <w:ind w:left="57" w:right="57"/>
            </w:pPr>
            <w:r w:rsidRPr="00B713EE">
              <w:t>2017/14</w:t>
            </w:r>
          </w:p>
        </w:tc>
        <w:tc>
          <w:tcPr>
            <w:tcW w:w="882" w:type="dxa"/>
            <w:tcBorders>
              <w:top w:val="single" w:sz="4" w:space="0" w:color="auto"/>
              <w:left w:val="single" w:sz="4" w:space="0" w:color="auto"/>
              <w:bottom w:val="single" w:sz="4" w:space="0" w:color="auto"/>
              <w:right w:val="single" w:sz="4" w:space="0" w:color="auto"/>
            </w:tcBorders>
          </w:tcPr>
          <w:p w:rsidR="00CD04C1" w:rsidRPr="00B713EE" w:rsidRDefault="00CD04C1" w:rsidP="00233EB7">
            <w:pPr>
              <w:spacing w:before="60" w:after="60"/>
              <w:ind w:left="57" w:right="57"/>
            </w:pPr>
            <w:r w:rsidRPr="00B713EE">
              <w:t>34/0/0</w:t>
            </w:r>
          </w:p>
        </w:tc>
        <w:tc>
          <w:tcPr>
            <w:tcW w:w="1610" w:type="dxa"/>
            <w:tcBorders>
              <w:top w:val="single" w:sz="4" w:space="0" w:color="auto"/>
              <w:left w:val="single" w:sz="4" w:space="0" w:color="auto"/>
              <w:bottom w:val="single" w:sz="4" w:space="0" w:color="auto"/>
              <w:right w:val="single" w:sz="4" w:space="0" w:color="auto"/>
            </w:tcBorders>
          </w:tcPr>
          <w:p w:rsidR="00CD04C1" w:rsidRPr="00B713EE" w:rsidRDefault="00CD04C1" w:rsidP="00233EB7">
            <w:pPr>
              <w:spacing w:before="60" w:after="60"/>
              <w:ind w:left="57" w:right="57"/>
            </w:pPr>
            <w:r w:rsidRPr="00B713EE">
              <w:t>Rectificatif 1 à la série 07</w:t>
            </w:r>
          </w:p>
        </w:tc>
        <w:tc>
          <w:tcPr>
            <w:tcW w:w="825" w:type="dxa"/>
            <w:tcBorders>
              <w:top w:val="single" w:sz="4" w:space="0" w:color="auto"/>
              <w:left w:val="single" w:sz="4" w:space="0" w:color="auto"/>
              <w:bottom w:val="single" w:sz="4" w:space="0" w:color="auto"/>
              <w:right w:val="single" w:sz="4" w:space="0" w:color="auto"/>
            </w:tcBorders>
          </w:tcPr>
          <w:p w:rsidR="00CD04C1" w:rsidRPr="0051257F" w:rsidRDefault="00CD04C1" w:rsidP="00233EB7">
            <w:pPr>
              <w:spacing w:before="60" w:after="60"/>
              <w:ind w:left="57" w:right="57"/>
            </w:pPr>
            <w:r w:rsidRPr="0051257F">
              <w:t>*</w:t>
            </w:r>
          </w:p>
        </w:tc>
      </w:tr>
    </w:tbl>
    <w:p w:rsidR="00CD04C1" w:rsidRPr="00B713EE" w:rsidRDefault="00CD04C1" w:rsidP="00756B89">
      <w:pPr>
        <w:spacing w:before="120"/>
        <w:ind w:firstLine="170"/>
        <w:rPr>
          <w:sz w:val="18"/>
          <w:szCs w:val="18"/>
        </w:rPr>
      </w:pPr>
      <w:r w:rsidRPr="00B713EE">
        <w:rPr>
          <w:sz w:val="18"/>
          <w:szCs w:val="18"/>
        </w:rPr>
        <w:t>*</w:t>
      </w:r>
      <w:r w:rsidR="009B39AB" w:rsidRPr="00B713EE">
        <w:rPr>
          <w:sz w:val="18"/>
          <w:szCs w:val="18"/>
        </w:rPr>
        <w:t xml:space="preserve">  </w:t>
      </w:r>
      <w:r w:rsidRPr="00B713EE">
        <w:rPr>
          <w:sz w:val="18"/>
          <w:szCs w:val="18"/>
        </w:rPr>
        <w:t>Le représentant de l</w:t>
      </w:r>
      <w:r w:rsidR="007C2F80">
        <w:rPr>
          <w:sz w:val="18"/>
          <w:szCs w:val="18"/>
        </w:rPr>
        <w:t>’</w:t>
      </w:r>
      <w:r w:rsidRPr="00B713EE">
        <w:rPr>
          <w:sz w:val="18"/>
          <w:szCs w:val="18"/>
        </w:rPr>
        <w:t>Unio</w:t>
      </w:r>
      <w:r w:rsidR="00973ACD">
        <w:rPr>
          <w:sz w:val="18"/>
          <w:szCs w:val="18"/>
        </w:rPr>
        <w:t>n européenne votant pour les 28 </w:t>
      </w:r>
      <w:r w:rsidRPr="00B713EE">
        <w:rPr>
          <w:sz w:val="18"/>
          <w:szCs w:val="18"/>
        </w:rPr>
        <w:t>États membres de l</w:t>
      </w:r>
      <w:r w:rsidR="007C2F80">
        <w:rPr>
          <w:sz w:val="18"/>
          <w:szCs w:val="18"/>
        </w:rPr>
        <w:t>’</w:t>
      </w:r>
      <w:r w:rsidRPr="00B713EE">
        <w:rPr>
          <w:sz w:val="18"/>
          <w:szCs w:val="18"/>
        </w:rPr>
        <w:t>Union.</w:t>
      </w:r>
    </w:p>
    <w:p w:rsidR="00CD04C1" w:rsidRPr="00B713EE" w:rsidRDefault="00CD04C1" w:rsidP="00756B89">
      <w:pPr>
        <w:ind w:firstLine="170"/>
        <w:rPr>
          <w:sz w:val="18"/>
          <w:szCs w:val="18"/>
        </w:rPr>
      </w:pPr>
      <w:r w:rsidRPr="00B713EE">
        <w:rPr>
          <w:sz w:val="18"/>
          <w:szCs w:val="18"/>
        </w:rPr>
        <w:t>**</w:t>
      </w:r>
      <w:r w:rsidR="009B39AB" w:rsidRPr="00B713EE">
        <w:rPr>
          <w:sz w:val="18"/>
          <w:szCs w:val="18"/>
        </w:rPr>
        <w:t xml:space="preserve">  </w:t>
      </w:r>
      <w:r w:rsidRPr="00B713EE">
        <w:rPr>
          <w:sz w:val="18"/>
          <w:szCs w:val="18"/>
        </w:rPr>
        <w:t>Le représentant du Japon a voté contre.</w:t>
      </w:r>
    </w:p>
    <w:p w:rsidR="00CD04C1" w:rsidRPr="00B713EE" w:rsidRDefault="00CD04C1" w:rsidP="00756B89">
      <w:pPr>
        <w:spacing w:after="240"/>
        <w:ind w:firstLine="170"/>
        <w:rPr>
          <w:sz w:val="18"/>
          <w:szCs w:val="18"/>
        </w:rPr>
      </w:pPr>
      <w:r w:rsidRPr="00B713EE">
        <w:rPr>
          <w:sz w:val="18"/>
          <w:szCs w:val="18"/>
        </w:rPr>
        <w:t>***</w:t>
      </w:r>
      <w:r w:rsidR="009B39AB" w:rsidRPr="00B713EE">
        <w:rPr>
          <w:sz w:val="18"/>
          <w:szCs w:val="18"/>
        </w:rPr>
        <w:t xml:space="preserve">  </w:t>
      </w:r>
      <w:r w:rsidRPr="00B713EE">
        <w:rPr>
          <w:sz w:val="18"/>
          <w:szCs w:val="18"/>
        </w:rPr>
        <w:t>Le représentant de la Fédération de Russie s</w:t>
      </w:r>
      <w:r w:rsidR="007C2F80">
        <w:rPr>
          <w:sz w:val="18"/>
          <w:szCs w:val="18"/>
        </w:rPr>
        <w:t>’</w:t>
      </w:r>
      <w:r w:rsidRPr="00B713EE">
        <w:rPr>
          <w:sz w:val="18"/>
          <w:szCs w:val="18"/>
        </w:rPr>
        <w:t>est abstenu.</w:t>
      </w:r>
    </w:p>
    <w:p w:rsidR="00CD04C1" w:rsidRPr="00B713EE" w:rsidRDefault="008535B6" w:rsidP="00756B89">
      <w:pPr>
        <w:pStyle w:val="HChG"/>
      </w:pPr>
      <w:r w:rsidRPr="00B713EE">
        <w:br w:type="page"/>
      </w:r>
      <w:r w:rsidR="00CD04C1" w:rsidRPr="00B713EE">
        <w:tab/>
      </w:r>
      <w:bookmarkStart w:id="57" w:name="_Toc478663155"/>
      <w:r w:rsidR="00CD04C1" w:rsidRPr="00B713EE">
        <w:t>C.</w:t>
      </w:r>
      <w:r w:rsidR="00CD04C1" w:rsidRPr="00B713EE">
        <w:tab/>
        <w:t>Comité exécutif de l</w:t>
      </w:r>
      <w:r w:rsidR="007C2F80">
        <w:t>’</w:t>
      </w:r>
      <w:r w:rsidR="00CD04C1" w:rsidRPr="00B713EE">
        <w:t>Accord de 1998 (AC.3)</w:t>
      </w:r>
      <w:bookmarkEnd w:id="57"/>
    </w:p>
    <w:p w:rsidR="00CD04C1" w:rsidRPr="00B713EE" w:rsidRDefault="00CD04C1" w:rsidP="00756B89">
      <w:pPr>
        <w:pStyle w:val="HChG"/>
      </w:pPr>
      <w:r w:rsidRPr="00B713EE">
        <w:tab/>
      </w:r>
      <w:bookmarkStart w:id="58" w:name="_Toc478663156"/>
      <w:r w:rsidRPr="00B713EE">
        <w:t>XIV.</w:t>
      </w:r>
      <w:r w:rsidRPr="00B713EE">
        <w:tab/>
        <w:t xml:space="preserve">Constitution du Comité AC.3 et élection des membres </w:t>
      </w:r>
      <w:r w:rsidR="008535B6" w:rsidRPr="00B713EE">
        <w:br/>
      </w:r>
      <w:r w:rsidRPr="00B713EE">
        <w:t xml:space="preserve">du </w:t>
      </w:r>
      <w:r w:rsidR="00973ACD">
        <w:t>Bureau pour l</w:t>
      </w:r>
      <w:r w:rsidR="007C2F80">
        <w:t>’</w:t>
      </w:r>
      <w:r w:rsidR="00973ACD">
        <w:t>année 2017 (point </w:t>
      </w:r>
      <w:r w:rsidRPr="00B713EE">
        <w:t>12 de l</w:t>
      </w:r>
      <w:r w:rsidR="007C2F80">
        <w:t>’</w:t>
      </w:r>
      <w:r w:rsidRPr="00B713EE">
        <w:t>ordre du jour)</w:t>
      </w:r>
      <w:bookmarkEnd w:id="58"/>
    </w:p>
    <w:p w:rsidR="00CD04C1" w:rsidRPr="00B713EE" w:rsidRDefault="00CD04C1" w:rsidP="001F7EFD">
      <w:pPr>
        <w:pStyle w:val="SingleTxtG"/>
        <w:ind w:left="2835" w:hanging="1701"/>
        <w:jc w:val="left"/>
      </w:pPr>
      <w:r w:rsidRPr="00B713EE">
        <w:rPr>
          <w:i/>
        </w:rPr>
        <w:t>Document</w:t>
      </w:r>
      <w:r w:rsidR="00E4024E" w:rsidRPr="00B713EE">
        <w:rPr>
          <w:i/>
        </w:rPr>
        <w:t>(s)</w:t>
      </w:r>
      <w:r w:rsidR="00E4024E" w:rsidRPr="00B713EE">
        <w:t> </w:t>
      </w:r>
      <w:r w:rsidRPr="00B713EE">
        <w:t>:</w:t>
      </w:r>
      <w:r w:rsidRPr="00B713EE">
        <w:tab/>
        <w:t>Document informel WP.29-171-08</w:t>
      </w:r>
      <w:r w:rsidR="00E4024E" w:rsidRPr="00B713EE">
        <w:t>.</w:t>
      </w:r>
    </w:p>
    <w:p w:rsidR="00CD04C1" w:rsidRPr="00B713EE" w:rsidRDefault="00CD04C1" w:rsidP="008C0F4C">
      <w:pPr>
        <w:pStyle w:val="ParNoG"/>
        <w:tabs>
          <w:tab w:val="clear" w:pos="1701"/>
        </w:tabs>
      </w:pPr>
      <w:r w:rsidRPr="00B713EE">
        <w:t>La quarante-neuvième session du Comité exécutif de l</w:t>
      </w:r>
      <w:r w:rsidR="007C2F80">
        <w:t>’</w:t>
      </w:r>
      <w:r w:rsidRPr="00B713EE">
        <w:t xml:space="preserve">Accord de 1998 (AC.3) </w:t>
      </w:r>
      <w:r w:rsidR="009B39AB" w:rsidRPr="00B713EE">
        <w:t>s</w:t>
      </w:r>
      <w:r w:rsidR="007C2F80">
        <w:t>’</w:t>
      </w:r>
      <w:r w:rsidR="009B39AB" w:rsidRPr="00B713EE">
        <w:t>est tenue le 15 </w:t>
      </w:r>
      <w:r w:rsidRPr="00B713EE">
        <w:t xml:space="preserve">mars 2017 sous la présidence du représentant du Japon. Y ont assisté les représentants </w:t>
      </w:r>
      <w:r w:rsidR="009B39AB" w:rsidRPr="00B713EE">
        <w:t>de 14 des 36 </w:t>
      </w:r>
      <w:r w:rsidRPr="00B713EE">
        <w:t>Parties con</w:t>
      </w:r>
      <w:r w:rsidR="009B39AB" w:rsidRPr="00B713EE">
        <w:t>tractantes à l</w:t>
      </w:r>
      <w:r w:rsidR="007C2F80">
        <w:t>’</w:t>
      </w:r>
      <w:r w:rsidR="009B39AB" w:rsidRPr="00B713EE">
        <w:t>Accord, à savoir </w:t>
      </w:r>
      <w:r w:rsidRPr="00B713EE">
        <w:t>: Afrique du Sud, Australie, Canada, Chine, États-Unis d</w:t>
      </w:r>
      <w:r w:rsidR="007C2F80">
        <w:t>’</w:t>
      </w:r>
      <w:r w:rsidRPr="00B713EE">
        <w:t xml:space="preserve">Amérique, Fédération de Russie, Inde, Japon, Malaisie, Norvège, République de Corée, </w:t>
      </w:r>
      <w:r w:rsidR="00A17440">
        <w:t>Saint-Marin,</w:t>
      </w:r>
      <w:r w:rsidRPr="00B713EE">
        <w:t xml:space="preserve"> Turquie</w:t>
      </w:r>
      <w:r w:rsidR="00A17440">
        <w:t xml:space="preserve"> et </w:t>
      </w:r>
      <w:r w:rsidR="00A17440" w:rsidRPr="00B713EE">
        <w:t>Union européenne (représentant l</w:t>
      </w:r>
      <w:r w:rsidR="00A17440">
        <w:t>’</w:t>
      </w:r>
      <w:r w:rsidR="00A17440" w:rsidRPr="00B713EE">
        <w:t>Allemagne, Chypre, l</w:t>
      </w:r>
      <w:r w:rsidR="00A17440">
        <w:t>’</w:t>
      </w:r>
      <w:r w:rsidR="00A17440" w:rsidRPr="00B713EE">
        <w:t>Espagne, la Finlande, la France, la Hongrie, l</w:t>
      </w:r>
      <w:r w:rsidR="00A17440">
        <w:t>’</w:t>
      </w:r>
      <w:r w:rsidR="00A17440" w:rsidRPr="00B713EE">
        <w:t xml:space="preserve">Italie, la Lituanie, le Luxembourg, les Pays-Bas, le Royaume-Uni, la Roumanie, la Slovaquie, </w:t>
      </w:r>
      <w:r w:rsidR="00A17440">
        <w:t>la Slovénie et la Suède)</w:t>
      </w:r>
      <w:r w:rsidRPr="00B713EE">
        <w:t xml:space="preserve">. </w:t>
      </w:r>
    </w:p>
    <w:p w:rsidR="00CD04C1" w:rsidRPr="00B713EE" w:rsidRDefault="00CD04C1" w:rsidP="008C0F4C">
      <w:pPr>
        <w:pStyle w:val="ParNoG"/>
        <w:tabs>
          <w:tab w:val="clear" w:pos="1701"/>
        </w:tabs>
      </w:pPr>
      <w:r w:rsidRPr="00B713EE">
        <w:t>L</w:t>
      </w:r>
      <w:r w:rsidR="007C2F80">
        <w:t>’</w:t>
      </w:r>
      <w:r w:rsidRPr="00B713EE">
        <w:t xml:space="preserve">AC.3 a élu </w:t>
      </w:r>
      <w:r w:rsidR="00A17440">
        <w:t>le représentant du Japon comme P</w:t>
      </w:r>
      <w:r w:rsidRPr="00B713EE">
        <w:t>résident et les représentants des États-Unis d</w:t>
      </w:r>
      <w:r w:rsidR="007C2F80">
        <w:t>’</w:t>
      </w:r>
      <w:r w:rsidRPr="00B713EE">
        <w:t>Amérique et du Royaume-Uni, au nom de l</w:t>
      </w:r>
      <w:r w:rsidR="007C2F80">
        <w:t>’</w:t>
      </w:r>
      <w:r w:rsidRPr="00B713EE">
        <w:t xml:space="preserve">Union européenne, comme </w:t>
      </w:r>
      <w:r w:rsidR="00A17440">
        <w:t>C</w:t>
      </w:r>
      <w:r w:rsidRPr="00B713EE">
        <w:t>oprésidents.</w:t>
      </w:r>
    </w:p>
    <w:p w:rsidR="00CD04C1" w:rsidRPr="00B713EE" w:rsidRDefault="00CD04C1" w:rsidP="008535B6">
      <w:pPr>
        <w:pStyle w:val="HChG"/>
      </w:pPr>
      <w:r w:rsidRPr="00B713EE">
        <w:tab/>
      </w:r>
      <w:bookmarkStart w:id="59" w:name="_Toc478663157"/>
      <w:r w:rsidRPr="00B713EE">
        <w:t>XV.</w:t>
      </w:r>
      <w:r w:rsidRPr="00B713EE">
        <w:tab/>
        <w:t>Suivi de la mi</w:t>
      </w:r>
      <w:r w:rsidR="009B39AB" w:rsidRPr="00B713EE">
        <w:t>se en œuvre de l</w:t>
      </w:r>
      <w:r w:rsidR="007C2F80">
        <w:t>’</w:t>
      </w:r>
      <w:r w:rsidR="009B39AB" w:rsidRPr="00B713EE">
        <w:t>Accord de 1998 </w:t>
      </w:r>
      <w:r w:rsidRPr="00B713EE">
        <w:t xml:space="preserve">: rapports </w:t>
      </w:r>
      <w:r w:rsidR="008535B6" w:rsidRPr="00B713EE">
        <w:br/>
      </w:r>
      <w:r w:rsidRPr="00B713EE">
        <w:t xml:space="preserve">des Parties contractantes sur la transposition des RTM </w:t>
      </w:r>
      <w:r w:rsidR="008535B6" w:rsidRPr="00B713EE">
        <w:br/>
      </w:r>
      <w:r w:rsidRPr="00B713EE">
        <w:t xml:space="preserve">et de leurs amendements dans la législation nationale </w:t>
      </w:r>
      <w:r w:rsidR="008535B6" w:rsidRPr="00B713EE">
        <w:br/>
      </w:r>
      <w:r w:rsidR="00973ACD">
        <w:t>ou régionale (point </w:t>
      </w:r>
      <w:r w:rsidRPr="00B713EE">
        <w:t>13 de l</w:t>
      </w:r>
      <w:r w:rsidR="007C2F80">
        <w:t>’</w:t>
      </w:r>
      <w:r w:rsidRPr="00B713EE">
        <w:t>ordre du jour)</w:t>
      </w:r>
      <w:bookmarkEnd w:id="59"/>
    </w:p>
    <w:p w:rsidR="00CD04C1" w:rsidRPr="00B713EE" w:rsidRDefault="001F7EFD" w:rsidP="00E4024E">
      <w:pPr>
        <w:pStyle w:val="SingleTxtG"/>
        <w:ind w:left="2835" w:hanging="1701"/>
        <w:jc w:val="left"/>
      </w:pPr>
      <w:r w:rsidRPr="00B713EE">
        <w:rPr>
          <w:i/>
        </w:rPr>
        <w:t>Document(s)</w:t>
      </w:r>
      <w:r w:rsidR="00E4024E" w:rsidRPr="00B713EE">
        <w:t> </w:t>
      </w:r>
      <w:r w:rsidR="00CD04C1" w:rsidRPr="00B713EE">
        <w:t>:</w:t>
      </w:r>
      <w:r w:rsidR="00CD04C1" w:rsidRPr="00B713EE">
        <w:tab/>
        <w:t>ECE/TRANS/WP.29/1073/Rev.18</w:t>
      </w:r>
      <w:r w:rsidR="00E4024E" w:rsidRPr="00B713EE">
        <w:t xml:space="preserve"> ; </w:t>
      </w:r>
      <w:r w:rsidR="00E4024E" w:rsidRPr="00B713EE">
        <w:br/>
      </w:r>
      <w:r w:rsidR="00CD04C1" w:rsidRPr="00B713EE">
        <w:t>Document informel WP.29-171-09</w:t>
      </w:r>
      <w:r w:rsidR="00E4024E" w:rsidRPr="00B713EE">
        <w:t>.</w:t>
      </w:r>
    </w:p>
    <w:p w:rsidR="00CD04C1" w:rsidRPr="00B713EE" w:rsidRDefault="00CD04C1" w:rsidP="008C0F4C">
      <w:pPr>
        <w:pStyle w:val="ParNoG"/>
        <w:tabs>
          <w:tab w:val="clear" w:pos="1701"/>
        </w:tabs>
      </w:pPr>
      <w:r w:rsidRPr="00B713EE">
        <w:t>L</w:t>
      </w:r>
      <w:r w:rsidR="007C2F80">
        <w:t>’</w:t>
      </w:r>
      <w:r w:rsidRPr="00B713EE">
        <w:t>AC.3 a pris note de l</w:t>
      </w:r>
      <w:r w:rsidR="007C2F80">
        <w:t>’</w:t>
      </w:r>
      <w:r w:rsidRPr="00B713EE">
        <w:t>état de l</w:t>
      </w:r>
      <w:r w:rsidR="007C2F80">
        <w:t>’</w:t>
      </w:r>
      <w:r w:rsidRPr="00B713EE">
        <w:t>Accord, du Registre mondial et du Recueil des règlements admissibles,</w:t>
      </w:r>
      <w:r w:rsidR="009B39AB" w:rsidRPr="00B713EE">
        <w:t xml:space="preserve"> au 8 </w:t>
      </w:r>
      <w:r w:rsidRPr="00B713EE">
        <w:t>mars 2017, (ECE/TRANS/WP.29/1073/Rev.18), de l</w:t>
      </w:r>
      <w:r w:rsidR="007C2F80">
        <w:t>’</w:t>
      </w:r>
      <w:r w:rsidRPr="00B713EE">
        <w:t>état des priorités (sur la base du document WP.29-170-09 tel qu</w:t>
      </w:r>
      <w:r w:rsidR="007C2F80">
        <w:t>’</w:t>
      </w:r>
      <w:r w:rsidRPr="00B713EE">
        <w:t>il est reproduit à l</w:t>
      </w:r>
      <w:r w:rsidR="007C2F80">
        <w:t>’</w:t>
      </w:r>
      <w:r w:rsidRPr="00B713EE">
        <w:t>annexe II du présent rapport) de l</w:t>
      </w:r>
      <w:r w:rsidR="007C2F80">
        <w:t>’</w:t>
      </w:r>
      <w:r w:rsidRPr="00B713EE">
        <w:t>Accord de 1998 et des questions sur lesquelles l</w:t>
      </w:r>
      <w:r w:rsidR="007C2F80">
        <w:t>’</w:t>
      </w:r>
      <w:r w:rsidRPr="00B713EE">
        <w:t>échange de vues devrait être poursuivi. L</w:t>
      </w:r>
      <w:r w:rsidR="007C2F80">
        <w:t>’</w:t>
      </w:r>
      <w:r w:rsidRPr="00B713EE">
        <w:t>AC.3 a aussi noté que le secrétariat pouvait fournir une assistance concernant les obligations qui incombent aux Parties contractantes dans le cadre du processus de transposition. Il a par ailleurs été rappelé aux représentants qu</w:t>
      </w:r>
      <w:r w:rsidR="007C2F80">
        <w:t>’</w:t>
      </w:r>
      <w:r w:rsidRPr="00B713EE">
        <w:t>ils étaient tenus d</w:t>
      </w:r>
      <w:r w:rsidR="007C2F80">
        <w:t>’</w:t>
      </w:r>
      <w:r w:rsidRPr="00B713EE">
        <w:t>envoyer les rapports obligatoires sur le processus de transposition par l</w:t>
      </w:r>
      <w:r w:rsidR="007C2F80">
        <w:t>’</w:t>
      </w:r>
      <w:r w:rsidRPr="00B713EE">
        <w:t xml:space="preserve">intermédiaire de leur mission permanente à Genève, par le </w:t>
      </w:r>
      <w:r w:rsidR="009B39AB" w:rsidRPr="00B713EE">
        <w:t>biais du système électronique « 1998 AGREEMENT-MISSIONS List </w:t>
      </w:r>
      <w:r w:rsidRPr="00B713EE">
        <w:t>», au secrétariat, afin de garantir l</w:t>
      </w:r>
      <w:r w:rsidR="007C2F80">
        <w:t>’</w:t>
      </w:r>
      <w:r w:rsidRPr="00B713EE">
        <w:t>actualisation du document d</w:t>
      </w:r>
      <w:r w:rsidR="007C2F80">
        <w:t>’</w:t>
      </w:r>
      <w:r w:rsidRPr="00B713EE">
        <w:t>état, qui sert à suivre l</w:t>
      </w:r>
      <w:r w:rsidR="007C2F80">
        <w:t>’</w:t>
      </w:r>
      <w:r w:rsidRPr="00B713EE">
        <w:t>évolution de l</w:t>
      </w:r>
      <w:r w:rsidR="007C2F80">
        <w:t>’</w:t>
      </w:r>
      <w:r w:rsidRPr="00B713EE">
        <w:t>Accord.</w:t>
      </w:r>
    </w:p>
    <w:p w:rsidR="00CD04C1" w:rsidRPr="00B713EE" w:rsidRDefault="00CD04C1" w:rsidP="001C6A52">
      <w:pPr>
        <w:pStyle w:val="HChG"/>
      </w:pPr>
      <w:r w:rsidRPr="00B713EE">
        <w:tab/>
      </w:r>
      <w:bookmarkStart w:id="60" w:name="_Toc478663158"/>
      <w:r w:rsidRPr="00B713EE">
        <w:t>XVI.</w:t>
      </w:r>
      <w:r w:rsidRPr="00B713EE">
        <w:tab/>
        <w:t>Examen et vote par l</w:t>
      </w:r>
      <w:r w:rsidR="007C2F80">
        <w:t>’</w:t>
      </w:r>
      <w:r w:rsidRPr="00B713EE">
        <w:t>AC.3 de projets de règlement techniques mondiaux ou de projets d</w:t>
      </w:r>
      <w:r w:rsidR="007C2F80">
        <w:t>’</w:t>
      </w:r>
      <w:r w:rsidRPr="00B713EE">
        <w:t xml:space="preserve">amendements </w:t>
      </w:r>
      <w:r w:rsidR="001C6A52" w:rsidRPr="00B713EE">
        <w:br/>
      </w:r>
      <w:r w:rsidRPr="00B713EE">
        <w:t>à des RTM existants, le ca</w:t>
      </w:r>
      <w:r w:rsidR="00973ACD">
        <w:t>s échéant (point </w:t>
      </w:r>
      <w:r w:rsidRPr="00B713EE">
        <w:t xml:space="preserve">14 </w:t>
      </w:r>
      <w:r w:rsidR="001C6A52" w:rsidRPr="00B713EE">
        <w:br/>
      </w:r>
      <w:r w:rsidRPr="00B713EE">
        <w:t>de l</w:t>
      </w:r>
      <w:r w:rsidR="007C2F80">
        <w:t>’</w:t>
      </w:r>
      <w:r w:rsidRPr="00B713EE">
        <w:t>ordre du jour)</w:t>
      </w:r>
      <w:bookmarkEnd w:id="60"/>
    </w:p>
    <w:p w:rsidR="00CD04C1" w:rsidRPr="00B713EE" w:rsidRDefault="00CD04C1" w:rsidP="001C6A52">
      <w:pPr>
        <w:pStyle w:val="H1G"/>
      </w:pPr>
      <w:r w:rsidRPr="00B713EE">
        <w:tab/>
      </w:r>
      <w:bookmarkStart w:id="61" w:name="_Toc478663159"/>
      <w:r w:rsidRPr="00B713EE">
        <w:t>A.</w:t>
      </w:r>
      <w:r w:rsidRPr="00B713EE">
        <w:tab/>
        <w:t xml:space="preserve">Proposition de nouveau règlement techniques mondial, </w:t>
      </w:r>
      <w:r w:rsidR="001C6A52" w:rsidRPr="00B713EE">
        <w:br/>
      </w:r>
      <w:r w:rsidRPr="00B713EE">
        <w:t>le cas échéant (point 14.1 de l</w:t>
      </w:r>
      <w:r w:rsidR="007C2F80">
        <w:t>’</w:t>
      </w:r>
      <w:r w:rsidRPr="00B713EE">
        <w:t>ordre du jour)</w:t>
      </w:r>
      <w:bookmarkEnd w:id="61"/>
    </w:p>
    <w:p w:rsidR="00CD04C1" w:rsidRPr="00B713EE" w:rsidRDefault="00CD04C1" w:rsidP="008C0F4C">
      <w:pPr>
        <w:pStyle w:val="ParNoG"/>
        <w:tabs>
          <w:tab w:val="clear" w:pos="1701"/>
        </w:tabs>
        <w:rPr>
          <w:lang w:eastAsia="es-ES"/>
        </w:rPr>
      </w:pPr>
      <w:r w:rsidRPr="00B713EE">
        <w:t>Aucune proposition nouvelle n</w:t>
      </w:r>
      <w:r w:rsidR="007C2F80">
        <w:t>’</w:t>
      </w:r>
      <w:r w:rsidRPr="00B713EE">
        <w:t>a été soumise au titre de ce point de l</w:t>
      </w:r>
      <w:r w:rsidR="007C2F80">
        <w:t>’</w:t>
      </w:r>
      <w:r w:rsidRPr="00B713EE">
        <w:t>ordre du jour.</w:t>
      </w:r>
    </w:p>
    <w:p w:rsidR="00CD04C1" w:rsidRPr="00B713EE" w:rsidRDefault="00CD04C1" w:rsidP="001C6A52">
      <w:pPr>
        <w:pStyle w:val="H1G"/>
      </w:pPr>
      <w:r w:rsidRPr="00B713EE">
        <w:tab/>
      </w:r>
      <w:bookmarkStart w:id="62" w:name="_Toc478663160"/>
      <w:r w:rsidRPr="00B713EE">
        <w:t>B.</w:t>
      </w:r>
      <w:r w:rsidRPr="00B713EE">
        <w:tab/>
        <w:t>Proposition d</w:t>
      </w:r>
      <w:r w:rsidR="007C2F80">
        <w:t>’</w:t>
      </w:r>
      <w:r w:rsidRPr="00B713EE">
        <w:t xml:space="preserve">amendements à un règlement technique mondial, </w:t>
      </w:r>
      <w:r w:rsidR="001C6A52" w:rsidRPr="00B713EE">
        <w:br/>
      </w:r>
      <w:r w:rsidR="00973ACD">
        <w:t>le cas échéant (point </w:t>
      </w:r>
      <w:r w:rsidRPr="00B713EE">
        <w:t>14.2 de l</w:t>
      </w:r>
      <w:r w:rsidR="007C2F80">
        <w:t>’</w:t>
      </w:r>
      <w:r w:rsidRPr="00B713EE">
        <w:t>ordre du jour)</w:t>
      </w:r>
      <w:bookmarkEnd w:id="62"/>
    </w:p>
    <w:p w:rsidR="00CD04C1" w:rsidRPr="00B713EE" w:rsidRDefault="00CD04C1" w:rsidP="008C0F4C">
      <w:pPr>
        <w:pStyle w:val="ParNoG"/>
        <w:tabs>
          <w:tab w:val="clear" w:pos="1701"/>
        </w:tabs>
        <w:rPr>
          <w:lang w:eastAsia="es-ES"/>
        </w:rPr>
      </w:pPr>
      <w:r w:rsidRPr="00B713EE">
        <w:rPr>
          <w:rFonts w:eastAsia="SimSun"/>
        </w:rPr>
        <w:t>Aucune</w:t>
      </w:r>
      <w:r w:rsidRPr="00B713EE">
        <w:t xml:space="preserve"> proposition nouvelle n</w:t>
      </w:r>
      <w:r w:rsidR="007C2F80">
        <w:t>’</w:t>
      </w:r>
      <w:r w:rsidRPr="00B713EE">
        <w:t>a été soumise au titre de ce point de l</w:t>
      </w:r>
      <w:r w:rsidR="007C2F80">
        <w:t>’</w:t>
      </w:r>
      <w:r w:rsidRPr="00B713EE">
        <w:t>ordre du jour.</w:t>
      </w:r>
    </w:p>
    <w:p w:rsidR="00CD04C1" w:rsidRPr="00B713EE" w:rsidRDefault="00CD04C1" w:rsidP="001C6A52">
      <w:pPr>
        <w:pStyle w:val="HChG"/>
      </w:pPr>
      <w:r w:rsidRPr="00B713EE">
        <w:tab/>
      </w:r>
      <w:bookmarkStart w:id="63" w:name="_Toc478663161"/>
      <w:r w:rsidRPr="00B713EE">
        <w:t>XVII.</w:t>
      </w:r>
      <w:r w:rsidRPr="00B713EE">
        <w:tab/>
        <w:t xml:space="preserve">Examen des éventuels Règlements techniques à inclure </w:t>
      </w:r>
      <w:r w:rsidR="001C6A52" w:rsidRPr="00B713EE">
        <w:br/>
      </w:r>
      <w:r w:rsidRPr="00B713EE">
        <w:t>dans le Recueil des règlements techniques mondiaux admissibles (point 15 de l</w:t>
      </w:r>
      <w:r w:rsidR="007C2F80">
        <w:t>’</w:t>
      </w:r>
      <w:r w:rsidRPr="00B713EE">
        <w:t>ordre du jour)</w:t>
      </w:r>
      <w:bookmarkEnd w:id="63"/>
    </w:p>
    <w:p w:rsidR="00CD04C1" w:rsidRPr="00B713EE" w:rsidRDefault="00CD04C1" w:rsidP="001F7EFD">
      <w:pPr>
        <w:pStyle w:val="SingleTxtG"/>
        <w:ind w:left="2835" w:hanging="1701"/>
        <w:jc w:val="left"/>
      </w:pPr>
      <w:r w:rsidRPr="00B713EE">
        <w:rPr>
          <w:i/>
        </w:rPr>
        <w:t>Document</w:t>
      </w:r>
      <w:r w:rsidR="00E4024E" w:rsidRPr="00B713EE">
        <w:rPr>
          <w:i/>
        </w:rPr>
        <w:t>(s)</w:t>
      </w:r>
      <w:r w:rsidR="00E4024E" w:rsidRPr="00B713EE">
        <w:t> </w:t>
      </w:r>
      <w:r w:rsidRPr="00B713EE">
        <w:t>:</w:t>
      </w:r>
      <w:r w:rsidRPr="00B713EE">
        <w:tab/>
        <w:t>Document informel WP.29-171-08</w:t>
      </w:r>
      <w:r w:rsidR="00E4024E" w:rsidRPr="00B713EE">
        <w:t>.</w:t>
      </w:r>
    </w:p>
    <w:p w:rsidR="00CD04C1" w:rsidRPr="00B713EE" w:rsidRDefault="00CD04C1" w:rsidP="008C0F4C">
      <w:pPr>
        <w:pStyle w:val="ParNoG"/>
        <w:tabs>
          <w:tab w:val="clear" w:pos="1701"/>
        </w:tabs>
      </w:pPr>
      <w:r w:rsidRPr="00B713EE">
        <w:rPr>
          <w:rFonts w:eastAsia="SimSun"/>
        </w:rPr>
        <w:t>L</w:t>
      </w:r>
      <w:r w:rsidR="007C2F80">
        <w:rPr>
          <w:rFonts w:eastAsia="SimSun"/>
        </w:rPr>
        <w:t>’</w:t>
      </w:r>
      <w:r w:rsidRPr="00B713EE">
        <w:rPr>
          <w:rFonts w:eastAsia="SimSun"/>
        </w:rPr>
        <w:t>AC</w:t>
      </w:r>
      <w:r w:rsidRPr="00B713EE">
        <w:t xml:space="preserve">.3 a rappelé aux représentants des Parties contractantes </w:t>
      </w:r>
      <w:r w:rsidR="00F70973" w:rsidRPr="00B713EE">
        <w:t>qu</w:t>
      </w:r>
      <w:r w:rsidR="007C2F80">
        <w:t>’</w:t>
      </w:r>
      <w:r w:rsidR="00F70973" w:rsidRPr="00B713EE">
        <w:t>en vertu de l</w:t>
      </w:r>
      <w:r w:rsidR="007C2F80">
        <w:t>’</w:t>
      </w:r>
      <w:r w:rsidR="00F70973" w:rsidRPr="00B713EE">
        <w:t>article </w:t>
      </w:r>
      <w:r w:rsidRPr="00B713EE">
        <w:t>6 de l</w:t>
      </w:r>
      <w:r w:rsidR="007C2F80">
        <w:t>’</w:t>
      </w:r>
      <w:r w:rsidRPr="00B713EE">
        <w:t>Accord on peut soumettre une proposition visant à établir un règlement technique mondial qui soit visé soit par les règlements techniques inscrits au Recueil des règlements admissibles, soit n</w:t>
      </w:r>
      <w:r w:rsidR="007C2F80">
        <w:t>’</w:t>
      </w:r>
      <w:r w:rsidRPr="00B713EE">
        <w:t>importe quel Règlement de l</w:t>
      </w:r>
      <w:r w:rsidR="007C2F80">
        <w:t>’</w:t>
      </w:r>
      <w:r w:rsidRPr="00B713EE">
        <w:t>ONU. Les Parties contractantes ont donc été de nouveau invitées à proposer l</w:t>
      </w:r>
      <w:r w:rsidR="007C2F80">
        <w:t>’</w:t>
      </w:r>
      <w:r w:rsidRPr="00B713EE">
        <w:t>inclusion de leurs normes nationales dans le Recueil des RTM admissibles, en vue de l</w:t>
      </w:r>
      <w:r w:rsidR="007C2F80">
        <w:t>’</w:t>
      </w:r>
      <w:r w:rsidRPr="00B713EE">
        <w:t>élaboration de futurs règlements techniques mondiaux. Le représentant des États-Unis d</w:t>
      </w:r>
      <w:r w:rsidR="007C2F80">
        <w:t>’</w:t>
      </w:r>
      <w:r w:rsidRPr="00B713EE">
        <w:t>Amérique a fait part de son intention de confirmer les demandes d</w:t>
      </w:r>
      <w:r w:rsidR="007C2F80">
        <w:t>’</w:t>
      </w:r>
      <w:r w:rsidRPr="00B713EE">
        <w:t xml:space="preserve">inscription </w:t>
      </w:r>
      <w:r w:rsidR="00F70973" w:rsidRPr="00B713EE">
        <w:rPr>
          <w:rFonts w:eastAsia="MS Mincho"/>
        </w:rPr>
        <w:t>n</w:t>
      </w:r>
      <w:r w:rsidR="00F70973" w:rsidRPr="00B713EE">
        <w:rPr>
          <w:rFonts w:eastAsia="MS Mincho"/>
          <w:vertAlign w:val="superscript"/>
        </w:rPr>
        <w:t>o</w:t>
      </w:r>
      <w:r w:rsidR="00973ACD">
        <w:rPr>
          <w:rFonts w:eastAsia="MS Mincho"/>
          <w:vertAlign w:val="superscript"/>
        </w:rPr>
        <w:t>s</w:t>
      </w:r>
      <w:r w:rsidR="00F70973" w:rsidRPr="00B713EE">
        <w:rPr>
          <w:rFonts w:eastAsia="MS Mincho"/>
        </w:rPr>
        <w:t> </w:t>
      </w:r>
      <w:r w:rsidRPr="00B713EE">
        <w:t xml:space="preserve">12 et 13 et de réintégrer le </w:t>
      </w:r>
      <w:r w:rsidR="00F70973" w:rsidRPr="00B713EE">
        <w:rPr>
          <w:rFonts w:eastAsia="MS Mincho"/>
        </w:rPr>
        <w:t>n</w:t>
      </w:r>
      <w:r w:rsidR="00F70973" w:rsidRPr="00B713EE">
        <w:rPr>
          <w:rFonts w:eastAsia="MS Mincho"/>
          <w:vertAlign w:val="superscript"/>
        </w:rPr>
        <w:t>o</w:t>
      </w:r>
      <w:r w:rsidR="00F70973" w:rsidRPr="00B713EE">
        <w:rPr>
          <w:rFonts w:eastAsia="MS Mincho"/>
        </w:rPr>
        <w:t> </w:t>
      </w:r>
      <w:r w:rsidR="00F70973" w:rsidRPr="00B713EE">
        <w:t>11 dans le Recueil.</w:t>
      </w:r>
    </w:p>
    <w:p w:rsidR="00CD04C1" w:rsidRPr="00B713EE" w:rsidRDefault="00EF2D08" w:rsidP="00EF2D08">
      <w:pPr>
        <w:pStyle w:val="H1G"/>
      </w:pPr>
      <w:bookmarkStart w:id="64" w:name="_Toc478663162"/>
      <w:r>
        <w:tab/>
      </w:r>
      <w:r>
        <w:tab/>
      </w:r>
      <w:r w:rsidR="00CD04C1" w:rsidRPr="00B713EE">
        <w:t>Demande d</w:t>
      </w:r>
      <w:r w:rsidR="007C2F80">
        <w:t>’</w:t>
      </w:r>
      <w:r w:rsidR="00CD04C1" w:rsidRPr="00B713EE">
        <w:t xml:space="preserve">inscription </w:t>
      </w:r>
      <w:r w:rsidR="00F70973" w:rsidRPr="00B713EE">
        <w:rPr>
          <w:rFonts w:eastAsia="MS Mincho"/>
        </w:rPr>
        <w:t>n</w:t>
      </w:r>
      <w:r w:rsidR="00F70973" w:rsidRPr="00B713EE">
        <w:rPr>
          <w:rFonts w:eastAsia="MS Mincho"/>
          <w:vertAlign w:val="superscript"/>
        </w:rPr>
        <w:t>o</w:t>
      </w:r>
      <w:r w:rsidR="00F70973" w:rsidRPr="00B713EE">
        <w:rPr>
          <w:rFonts w:eastAsia="MS Mincho"/>
        </w:rPr>
        <w:t> </w:t>
      </w:r>
      <w:r w:rsidR="00F70973" w:rsidRPr="00B713EE">
        <w:t>13 </w:t>
      </w:r>
      <w:r w:rsidR="00CD04C1" w:rsidRPr="00B713EE">
        <w:t>: programme de l</w:t>
      </w:r>
      <w:r w:rsidR="007C2F80">
        <w:t>’</w:t>
      </w:r>
      <w:r w:rsidR="00CD04C1" w:rsidRPr="00B713EE">
        <w:t xml:space="preserve">Agence </w:t>
      </w:r>
      <w:r>
        <w:br/>
      </w:r>
      <w:r w:rsidR="00CD04C1" w:rsidRPr="00B713EE">
        <w:t>pour la protection de l</w:t>
      </w:r>
      <w:r w:rsidR="007C2F80">
        <w:t>’</w:t>
      </w:r>
      <w:r w:rsidR="00CD04C1" w:rsidRPr="00B713EE">
        <w:t xml:space="preserve">environnement et du Département </w:t>
      </w:r>
      <w:r>
        <w:br/>
      </w:r>
      <w:r w:rsidR="00CD04C1" w:rsidRPr="00B713EE">
        <w:t>des transports des États-Unis d</w:t>
      </w:r>
      <w:r w:rsidR="007C2F80">
        <w:t>’</w:t>
      </w:r>
      <w:r w:rsidR="00CD04C1" w:rsidRPr="00B713EE">
        <w:t xml:space="preserve">Amérique concernant des révisions </w:t>
      </w:r>
      <w:r>
        <w:br/>
      </w:r>
      <w:r w:rsidR="00CD04C1" w:rsidRPr="00B713EE">
        <w:t>et additions s</w:t>
      </w:r>
      <w:r w:rsidR="007C2F80">
        <w:t>’</w:t>
      </w:r>
      <w:r w:rsidR="00CD04C1" w:rsidRPr="00B713EE">
        <w:t>appliquant à l</w:t>
      </w:r>
      <w:r w:rsidR="007C2F80">
        <w:t>’</w:t>
      </w:r>
      <w:r w:rsidR="00CD04C1" w:rsidRPr="00B713EE">
        <w:t>étiquette-énergie des automobiles</w:t>
      </w:r>
      <w:r w:rsidR="00F70973" w:rsidRPr="00B713EE">
        <w:t> </w:t>
      </w:r>
      <w:r w:rsidR="00CD04C1" w:rsidRPr="00B713EE">
        <w:t>: nouvelles étiquettes Consommation et Émissions pour une nouvelle</w:t>
      </w:r>
      <w:r w:rsidR="00973ACD">
        <w:t xml:space="preserve"> génération de véhicules (point </w:t>
      </w:r>
      <w:r w:rsidR="00CD04C1" w:rsidRPr="00B713EE">
        <w:t>15.1 de l</w:t>
      </w:r>
      <w:r w:rsidR="007C2F80">
        <w:t>’</w:t>
      </w:r>
      <w:r w:rsidR="00CD04C1" w:rsidRPr="00B713EE">
        <w:t>ordre du jour)</w:t>
      </w:r>
      <w:bookmarkEnd w:id="64"/>
    </w:p>
    <w:p w:rsidR="00CD04C1" w:rsidRPr="00B713EE" w:rsidRDefault="00CD04C1" w:rsidP="001F7EFD">
      <w:pPr>
        <w:pStyle w:val="SingleTxtG"/>
        <w:ind w:left="2835" w:hanging="1701"/>
        <w:jc w:val="left"/>
      </w:pPr>
      <w:r w:rsidRPr="00B713EE">
        <w:rPr>
          <w:i/>
        </w:rPr>
        <w:t>Document</w:t>
      </w:r>
      <w:r w:rsidR="00E4024E" w:rsidRPr="00B713EE">
        <w:rPr>
          <w:i/>
        </w:rPr>
        <w:t>(s) </w:t>
      </w:r>
      <w:r w:rsidRPr="00B713EE">
        <w:t>:</w:t>
      </w:r>
      <w:r w:rsidRPr="00B713EE">
        <w:tab/>
        <w:t>ECE/TRANS/WP.29/2017/57</w:t>
      </w:r>
      <w:r w:rsidR="00E4024E" w:rsidRPr="00B713EE">
        <w:t>.</w:t>
      </w:r>
    </w:p>
    <w:p w:rsidR="00CD04C1" w:rsidRPr="00B713EE" w:rsidRDefault="00CD04C1" w:rsidP="008C0F4C">
      <w:pPr>
        <w:pStyle w:val="ParNoG"/>
        <w:tabs>
          <w:tab w:val="clear" w:pos="1701"/>
        </w:tabs>
      </w:pPr>
      <w:r w:rsidRPr="00B713EE">
        <w:rPr>
          <w:rFonts w:eastAsia="SimSun"/>
        </w:rPr>
        <w:t>Le</w:t>
      </w:r>
      <w:r w:rsidRPr="00B713EE">
        <w:t xml:space="preserve"> représentant de l</w:t>
      </w:r>
      <w:r w:rsidR="007C2F80">
        <w:t>’</w:t>
      </w:r>
      <w:r w:rsidRPr="00B713EE">
        <w:t>Union européenne a relevé qu</w:t>
      </w:r>
      <w:r w:rsidR="007C2F80">
        <w:t>’</w:t>
      </w:r>
      <w:r w:rsidRPr="00B713EE">
        <w:t>il ne lui était pas possible, pour des raisons administratives, de voter sur cette question. Le représentant des États-Unis d</w:t>
      </w:r>
      <w:r w:rsidR="007C2F80">
        <w:t>’</w:t>
      </w:r>
      <w:r w:rsidRPr="00B713EE">
        <w:t>Amérique a soutenu cette demande et déclaré qu</w:t>
      </w:r>
      <w:r w:rsidR="007C2F80">
        <w:t>’</w:t>
      </w:r>
      <w:r w:rsidRPr="00B713EE">
        <w:t>il espérait un vote favorable à la prochaine session. L</w:t>
      </w:r>
      <w:r w:rsidR="007C2F80">
        <w:t>’</w:t>
      </w:r>
      <w:r w:rsidRPr="00B713EE">
        <w:t>AC.3 a décidé de renvoyer cette question à sa session de juin 2017. Le secrétariat a également demandé aux États-Unis d</w:t>
      </w:r>
      <w:r w:rsidR="007C2F80">
        <w:t>’</w:t>
      </w:r>
      <w:r w:rsidRPr="00B713EE">
        <w:t>Amérique d</w:t>
      </w:r>
      <w:r w:rsidR="007C2F80">
        <w:t>’</w:t>
      </w:r>
      <w:r w:rsidRPr="00B713EE">
        <w:t>envisager d</w:t>
      </w:r>
      <w:r w:rsidR="007C2F80">
        <w:t>’</w:t>
      </w:r>
      <w:r w:rsidRPr="00B713EE">
        <w:t>aller de l</w:t>
      </w:r>
      <w:r w:rsidR="007C2F80">
        <w:t>’</w:t>
      </w:r>
      <w:r w:rsidRPr="00B713EE">
        <w:t>avant en ce qui concerne les deux autres questions liées au Recueil en vue de la session de juin.</w:t>
      </w:r>
    </w:p>
    <w:p w:rsidR="00CD04C1" w:rsidRPr="00B713EE" w:rsidRDefault="00CD04C1" w:rsidP="001C6A52">
      <w:pPr>
        <w:pStyle w:val="HChG"/>
        <w:rPr>
          <w:color w:val="000000"/>
          <w:sz w:val="24"/>
        </w:rPr>
      </w:pPr>
      <w:r w:rsidRPr="00B713EE">
        <w:tab/>
      </w:r>
      <w:bookmarkStart w:id="65" w:name="_Toc478663163"/>
      <w:r w:rsidRPr="00B713EE">
        <w:t>XVIII.</w:t>
      </w:r>
      <w:r w:rsidRPr="00B713EE">
        <w:tab/>
        <w:t xml:space="preserve">Orientations, adoptées par consensus, concernant </w:t>
      </w:r>
      <w:r w:rsidR="001C6A52" w:rsidRPr="00B713EE">
        <w:br/>
      </w:r>
      <w:r w:rsidRPr="00B713EE">
        <w:t>les éventuels éléments de projets de RTM qui n</w:t>
      </w:r>
      <w:r w:rsidR="007C2F80">
        <w:t>’</w:t>
      </w:r>
      <w:r w:rsidRPr="00B713EE">
        <w:t xml:space="preserve">auraient </w:t>
      </w:r>
      <w:r w:rsidR="001C6A52" w:rsidRPr="00B713EE">
        <w:br/>
      </w:r>
      <w:r w:rsidRPr="00B713EE">
        <w:t xml:space="preserve">pas été réglés par les groupes de travail subsidiaires </w:t>
      </w:r>
      <w:r w:rsidR="001C6A52" w:rsidRPr="00B713EE">
        <w:br/>
      </w:r>
      <w:r w:rsidR="00973ACD">
        <w:t>du Forum mondial (point </w:t>
      </w:r>
      <w:r w:rsidRPr="00B713EE">
        <w:t>16 de l</w:t>
      </w:r>
      <w:r w:rsidR="007C2F80">
        <w:t>’</w:t>
      </w:r>
      <w:r w:rsidRPr="00B713EE">
        <w:t>ordre du jour)</w:t>
      </w:r>
      <w:bookmarkEnd w:id="65"/>
      <w:r w:rsidRPr="00B713EE">
        <w:rPr>
          <w:color w:val="000000"/>
          <w:sz w:val="24"/>
        </w:rPr>
        <w:t xml:space="preserve"> </w:t>
      </w:r>
    </w:p>
    <w:p w:rsidR="00CD04C1" w:rsidRPr="00B713EE" w:rsidRDefault="00CD04C1" w:rsidP="008C0F4C">
      <w:pPr>
        <w:pStyle w:val="ParNoG"/>
        <w:tabs>
          <w:tab w:val="clear" w:pos="1701"/>
        </w:tabs>
      </w:pPr>
      <w:r w:rsidRPr="00B713EE">
        <w:rPr>
          <w:rFonts w:eastAsia="SimSun"/>
        </w:rPr>
        <w:t>Les</w:t>
      </w:r>
      <w:r w:rsidRPr="00B713EE">
        <w:t xml:space="preserve"> Parties contractantes n</w:t>
      </w:r>
      <w:r w:rsidR="007C2F80">
        <w:t>’</w:t>
      </w:r>
      <w:r w:rsidRPr="00B713EE">
        <w:t>ont pas sollicité d</w:t>
      </w:r>
      <w:r w:rsidR="007C2F80">
        <w:t>’</w:t>
      </w:r>
      <w:r w:rsidRPr="00B713EE">
        <w:t xml:space="preserve">orientation au titre </w:t>
      </w:r>
      <w:r w:rsidR="00F70973" w:rsidRPr="00B713EE">
        <w:t>de ce point de l</w:t>
      </w:r>
      <w:r w:rsidR="007C2F80">
        <w:t>’</w:t>
      </w:r>
      <w:r w:rsidR="00F70973" w:rsidRPr="00B713EE">
        <w:t>ordre du jour.</w:t>
      </w:r>
    </w:p>
    <w:p w:rsidR="00CD04C1" w:rsidRPr="00B713EE" w:rsidRDefault="00CD04C1" w:rsidP="001C6A52">
      <w:pPr>
        <w:pStyle w:val="HChG"/>
        <w:rPr>
          <w:color w:val="000000"/>
          <w:sz w:val="24"/>
        </w:rPr>
      </w:pPr>
      <w:r w:rsidRPr="00B713EE">
        <w:tab/>
      </w:r>
      <w:bookmarkStart w:id="66" w:name="_Toc478663164"/>
      <w:r w:rsidRPr="00B713EE">
        <w:t>XIX.</w:t>
      </w:r>
      <w:r w:rsidRPr="00B713EE">
        <w:tab/>
        <w:t>Échange d</w:t>
      </w:r>
      <w:r w:rsidR="007C2F80">
        <w:t>’</w:t>
      </w:r>
      <w:r w:rsidRPr="00B713EE">
        <w:t>informations sur les nouvelles priorités à inclure dans</w:t>
      </w:r>
      <w:r w:rsidR="00973ACD">
        <w:t xml:space="preserve"> le programme de travail (point </w:t>
      </w:r>
      <w:r w:rsidRPr="00B713EE">
        <w:t>17 de l</w:t>
      </w:r>
      <w:r w:rsidR="007C2F80">
        <w:t>’</w:t>
      </w:r>
      <w:r w:rsidRPr="00B713EE">
        <w:t>ordre du jour)</w:t>
      </w:r>
      <w:bookmarkEnd w:id="66"/>
    </w:p>
    <w:p w:rsidR="00CD04C1" w:rsidRPr="00B713EE" w:rsidRDefault="00E4024E" w:rsidP="001F7EFD">
      <w:pPr>
        <w:pStyle w:val="SingleTxtG"/>
        <w:ind w:left="2835" w:hanging="1701"/>
        <w:jc w:val="left"/>
      </w:pPr>
      <w:r w:rsidRPr="00B713EE">
        <w:rPr>
          <w:i/>
        </w:rPr>
        <w:t>Document(s) </w:t>
      </w:r>
      <w:r w:rsidRPr="00B713EE">
        <w:t>:</w:t>
      </w:r>
      <w:r w:rsidR="00CD04C1" w:rsidRPr="00B713EE">
        <w:tab/>
      </w:r>
      <w:r w:rsidR="00CD04C1" w:rsidRPr="00B713EE">
        <w:rPr>
          <w:spacing w:val="-2"/>
        </w:rPr>
        <w:t xml:space="preserve">Documents </w:t>
      </w:r>
      <w:r w:rsidR="00CD04C1" w:rsidRPr="00B713EE">
        <w:t>informels</w:t>
      </w:r>
      <w:r w:rsidR="00CD04C1" w:rsidRPr="00B713EE">
        <w:rPr>
          <w:spacing w:val="-2"/>
        </w:rPr>
        <w:t xml:space="preserve"> WP.29-171-14, WP.29-171-29 et WP.29-171-30</w:t>
      </w:r>
      <w:r w:rsidRPr="00B713EE">
        <w:rPr>
          <w:spacing w:val="-2"/>
        </w:rPr>
        <w:t>.</w:t>
      </w:r>
    </w:p>
    <w:p w:rsidR="00CD04C1" w:rsidRPr="00B713EE" w:rsidRDefault="00CD04C1" w:rsidP="008C0F4C">
      <w:pPr>
        <w:pStyle w:val="ParNoG"/>
        <w:tabs>
          <w:tab w:val="clear" w:pos="1701"/>
        </w:tabs>
      </w:pPr>
      <w:r w:rsidRPr="00B713EE">
        <w:rPr>
          <w:rFonts w:eastAsia="SimSun"/>
        </w:rPr>
        <w:t>Le</w:t>
      </w:r>
      <w:r w:rsidRPr="00B713EE">
        <w:t xml:space="preserve"> représentant </w:t>
      </w:r>
      <w:r w:rsidR="001D0106">
        <w:t xml:space="preserve">de </w:t>
      </w:r>
      <w:r w:rsidR="001D0106" w:rsidRPr="00B713EE">
        <w:t>l</w:t>
      </w:r>
      <w:r w:rsidR="001D0106">
        <w:t>’</w:t>
      </w:r>
      <w:r w:rsidR="001D0106" w:rsidRPr="00B713EE">
        <w:t xml:space="preserve">Union européenne </w:t>
      </w:r>
      <w:r w:rsidRPr="00B713EE">
        <w:t>a présenté le document</w:t>
      </w:r>
      <w:r w:rsidR="009A2D64">
        <w:t xml:space="preserve"> </w:t>
      </w:r>
      <w:r w:rsidRPr="00B713EE">
        <w:t>WP-29-171-29. Il a fait savoir que pendant les travaux préparatoire les priorités avaient été abordées séparément en deux parties, l</w:t>
      </w:r>
      <w:r w:rsidR="007C2F80">
        <w:t>’</w:t>
      </w:r>
      <w:r w:rsidRPr="00B713EE">
        <w:t>une concernant le travail actuel dans le cadre des groupes de travail et l</w:t>
      </w:r>
      <w:r w:rsidR="007C2F80">
        <w:t>’</w:t>
      </w:r>
      <w:r w:rsidRPr="00B713EE">
        <w:t>autre les activités futures/nouvelles dans le cadre de l</w:t>
      </w:r>
      <w:r w:rsidR="007C2F80">
        <w:t>’</w:t>
      </w:r>
      <w:r w:rsidRPr="00B713EE">
        <w:t>Accord de 1998.</w:t>
      </w:r>
    </w:p>
    <w:p w:rsidR="00CD04C1" w:rsidRPr="00B713EE" w:rsidRDefault="00CD04C1" w:rsidP="008C0F4C">
      <w:pPr>
        <w:pStyle w:val="ParNoG"/>
        <w:tabs>
          <w:tab w:val="clear" w:pos="1701"/>
        </w:tabs>
      </w:pPr>
      <w:r w:rsidRPr="00B713EE">
        <w:t>Il a expliqué que le Japon et l</w:t>
      </w:r>
      <w:r w:rsidR="007C2F80">
        <w:t>’</w:t>
      </w:r>
      <w:r w:rsidRPr="00B713EE">
        <w:t>Agence de protection de l</w:t>
      </w:r>
      <w:r w:rsidR="007C2F80">
        <w:t>’</w:t>
      </w:r>
      <w:r w:rsidRPr="00B713EE">
        <w:t>environnement des États-Unis d</w:t>
      </w:r>
      <w:r w:rsidR="007C2F80">
        <w:t>’</w:t>
      </w:r>
      <w:r w:rsidRPr="00B713EE">
        <w:t>Amérique avaient apporté leur contribution à la première partie, ce qui a permis de définir les priorités pour les différentes activités de chaque groupe de travail, comme le montre le document informel. Il a souligné qu</w:t>
      </w:r>
      <w:r w:rsidR="007C2F80">
        <w:t>’</w:t>
      </w:r>
      <w:r w:rsidRPr="00B713EE">
        <w:t>aucune contribution n</w:t>
      </w:r>
      <w:r w:rsidR="007C2F80">
        <w:t>’</w:t>
      </w:r>
      <w:r w:rsidRPr="00B713EE">
        <w:t>était parvenue de la part de l</w:t>
      </w:r>
      <w:r w:rsidR="007C2F80">
        <w:t>’</w:t>
      </w:r>
      <w:r w:rsidRPr="00B713EE">
        <w:t>Administration nationale de la sécurité du trafic routier (NHTSA) et il a prié les États-Unis d</w:t>
      </w:r>
      <w:r w:rsidR="007C2F80">
        <w:t>’</w:t>
      </w:r>
      <w:r w:rsidRPr="00B713EE">
        <w:t>Amérique de la faire parvenir afin que le document puisse être complété d</w:t>
      </w:r>
      <w:r w:rsidR="007C2F80">
        <w:t>’</w:t>
      </w:r>
      <w:r w:rsidRPr="00B713EE">
        <w:t>ici le mois de juin.</w:t>
      </w:r>
    </w:p>
    <w:p w:rsidR="00CD04C1" w:rsidRPr="00B713EE" w:rsidRDefault="00CD04C1" w:rsidP="008C0F4C">
      <w:pPr>
        <w:pStyle w:val="ParNoG"/>
        <w:tabs>
          <w:tab w:val="clear" w:pos="1701"/>
        </w:tabs>
      </w:pPr>
      <w:r w:rsidRPr="00B713EE">
        <w:t>En ce qui concerne la seconde partie, le représentant de l</w:t>
      </w:r>
      <w:r w:rsidR="007C2F80">
        <w:t>’</w:t>
      </w:r>
      <w:r w:rsidRPr="00B713EE">
        <w:t>Union européenne a salué la contribution de l</w:t>
      </w:r>
      <w:r w:rsidR="007C2F80">
        <w:t>’</w:t>
      </w:r>
      <w:r w:rsidRPr="00B713EE">
        <w:t>OICA contenue dans le document WP.29-171-14. Il a déclaré qu</w:t>
      </w:r>
      <w:r w:rsidR="007C2F80">
        <w:t>’</w:t>
      </w:r>
      <w:r w:rsidRPr="00B713EE">
        <w:t>un document devrait être établi conjointement par l</w:t>
      </w:r>
      <w:r w:rsidR="007C2F80">
        <w:t>’</w:t>
      </w:r>
      <w:r w:rsidRPr="00B713EE">
        <w:t>UE, le Japon et les États-Unis d</w:t>
      </w:r>
      <w:r w:rsidR="007C2F80">
        <w:t>’</w:t>
      </w:r>
      <w:r w:rsidRPr="00B713EE">
        <w:t>Amérique pour la session de juin 2017, afin de préparer le vote du programme de travail à la session de novembre.</w:t>
      </w:r>
    </w:p>
    <w:p w:rsidR="00CD04C1" w:rsidRPr="00B713EE" w:rsidRDefault="00CD04C1" w:rsidP="008C0F4C">
      <w:pPr>
        <w:pStyle w:val="ParNoG"/>
        <w:tabs>
          <w:tab w:val="clear" w:pos="1701"/>
        </w:tabs>
      </w:pPr>
      <w:r w:rsidRPr="00B713EE">
        <w:t>Le représentant de l</w:t>
      </w:r>
      <w:r w:rsidR="007C2F80">
        <w:t>’</w:t>
      </w:r>
      <w:r w:rsidRPr="00B713EE">
        <w:t xml:space="preserve">OICA a présenté le document WP.29-171-14, qui donne un aperçu du point de vue de son </w:t>
      </w:r>
      <w:r w:rsidRPr="00B713EE">
        <w:rPr>
          <w:rFonts w:eastAsia="SimSun"/>
        </w:rPr>
        <w:t>organisation</w:t>
      </w:r>
      <w:r w:rsidRPr="00B713EE">
        <w:t xml:space="preserve"> sur les priorités réglementaires actuelles dans le champs d</w:t>
      </w:r>
      <w:r w:rsidR="007C2F80">
        <w:t>’</w:t>
      </w:r>
      <w:r w:rsidRPr="00B713EE">
        <w:t>application de l</w:t>
      </w:r>
      <w:r w:rsidR="007C2F80">
        <w:t>’</w:t>
      </w:r>
      <w:r w:rsidRPr="00B713EE">
        <w:t xml:space="preserve">Accord de 1998 </w:t>
      </w:r>
      <w:r w:rsidR="00F70973" w:rsidRPr="00B713EE">
        <w:t>dans diverses régions du monde.</w:t>
      </w:r>
    </w:p>
    <w:p w:rsidR="00CD04C1" w:rsidRPr="00B713EE" w:rsidRDefault="00CD04C1" w:rsidP="008C0F4C">
      <w:pPr>
        <w:pStyle w:val="ParNoG"/>
        <w:tabs>
          <w:tab w:val="clear" w:pos="1701"/>
        </w:tabs>
      </w:pPr>
      <w:r w:rsidRPr="00B713EE">
        <w:rPr>
          <w:rFonts w:eastAsia="SimSun"/>
        </w:rPr>
        <w:t>Il</w:t>
      </w:r>
      <w:r w:rsidRPr="00B713EE">
        <w:t xml:space="preserve"> a souligné que l</w:t>
      </w:r>
      <w:r w:rsidR="007C2F80">
        <w:t>’</w:t>
      </w:r>
      <w:r w:rsidRPr="00B713EE">
        <w:t>OICA considérait que l</w:t>
      </w:r>
      <w:r w:rsidR="007C2F80">
        <w:t>’</w:t>
      </w:r>
      <w:r w:rsidRPr="00B713EE">
        <w:t>élaboration d</w:t>
      </w:r>
      <w:r w:rsidR="007C2F80">
        <w:t>’</w:t>
      </w:r>
      <w:r w:rsidRPr="00B713EE">
        <w:t>un règlement technique mondial consacré aux enregistreurs de données routières (EDR) donnerait l</w:t>
      </w:r>
      <w:r w:rsidR="007C2F80">
        <w:t>’</w:t>
      </w:r>
      <w:r w:rsidRPr="00B713EE">
        <w:t>occasion d</w:t>
      </w:r>
      <w:r w:rsidR="007C2F80">
        <w:t>’</w:t>
      </w:r>
      <w:r w:rsidRPr="00B713EE">
        <w:t>harmoniser sur le plan mondial les prescriptions en matière d</w:t>
      </w:r>
      <w:r w:rsidR="007C2F80">
        <w:t>’</w:t>
      </w:r>
      <w:r w:rsidRPr="00B713EE">
        <w:t>architecture électronique des véhicules destinée à la collecte de données, ainsi que d</w:t>
      </w:r>
      <w:r w:rsidR="007C2F80">
        <w:t>’</w:t>
      </w:r>
      <w:r w:rsidRPr="00B713EE">
        <w:t>harmoniser les données à enregistrer par de tels dispositifs lorsqu</w:t>
      </w:r>
      <w:r w:rsidR="007C2F80">
        <w:t>’</w:t>
      </w:r>
      <w:r w:rsidRPr="00B713EE">
        <w:t>ils sont installés, par exemple, sur la base du règlement US Rule NHTSA 49CFR, Part 563, afin d</w:t>
      </w:r>
      <w:r w:rsidR="007C2F80">
        <w:t>’</w:t>
      </w:r>
      <w:r w:rsidRPr="00B713EE">
        <w:t>éviter autant que possible les prescriptions divergentes. Une telle harmonisation mondiale permettrait de mettre en œuvre l</w:t>
      </w:r>
      <w:r w:rsidR="007C2F80">
        <w:t>’</w:t>
      </w:r>
      <w:r w:rsidRPr="00B713EE">
        <w:t>enregistrement des données routières de la manière la plus efficace et la plus rentable pour la société tout en fournissant des données harmonisées pour les futures activités de réglementation.</w:t>
      </w:r>
    </w:p>
    <w:p w:rsidR="00CD04C1" w:rsidRPr="00B713EE" w:rsidRDefault="00CD04C1" w:rsidP="008C0F4C">
      <w:pPr>
        <w:pStyle w:val="ParNoG"/>
        <w:tabs>
          <w:tab w:val="clear" w:pos="1701"/>
        </w:tabs>
      </w:pPr>
      <w:r w:rsidRPr="00B713EE">
        <w:t>Il a insisté sur le fait que le travail effectué sur les systèmes avancés de freinage d</w:t>
      </w:r>
      <w:r w:rsidR="007C2F80">
        <w:t>’</w:t>
      </w:r>
      <w:r w:rsidRPr="00B713EE">
        <w:t>urgence dans le cadre de l</w:t>
      </w:r>
      <w:r w:rsidR="007C2F80">
        <w:t>’</w:t>
      </w:r>
      <w:r w:rsidRPr="00B713EE">
        <w:t xml:space="preserve">Accord de 1958 (Règlement </w:t>
      </w:r>
      <w:r w:rsidR="00F70973" w:rsidRPr="00B713EE">
        <w:rPr>
          <w:rFonts w:eastAsia="MS Mincho"/>
        </w:rPr>
        <w:t>n</w:t>
      </w:r>
      <w:r w:rsidR="00F70973" w:rsidRPr="00B713EE">
        <w:rPr>
          <w:rFonts w:eastAsia="MS Mincho"/>
          <w:vertAlign w:val="superscript"/>
        </w:rPr>
        <w:t>o</w:t>
      </w:r>
      <w:r w:rsidR="00F70973" w:rsidRPr="00B713EE">
        <w:rPr>
          <w:rFonts w:eastAsia="MS Mincho"/>
        </w:rPr>
        <w:t> </w:t>
      </w:r>
      <w:r w:rsidRPr="00B713EE">
        <w:t>131 de l</w:t>
      </w:r>
      <w:r w:rsidR="007C2F80">
        <w:t>’</w:t>
      </w:r>
      <w:r w:rsidRPr="00B713EE">
        <w:t>ONU) visant à éviter les collisions des camions et autobus avec des objets en mouvement et fixes pourrait servir de base pour d</w:t>
      </w:r>
      <w:r w:rsidR="007C2F80">
        <w:t>’</w:t>
      </w:r>
      <w:r w:rsidRPr="00B713EE">
        <w:t>autres catégories de véhicules ainsi que pour d</w:t>
      </w:r>
      <w:r w:rsidR="007C2F80">
        <w:t>’</w:t>
      </w:r>
      <w:r w:rsidRPr="00B713EE">
        <w:t>autres types d</w:t>
      </w:r>
      <w:r w:rsidR="007C2F80">
        <w:t>’</w:t>
      </w:r>
      <w:r w:rsidRPr="00B713EE">
        <w:t>obstacles tels que les piétons et les cyclistes.</w:t>
      </w:r>
    </w:p>
    <w:p w:rsidR="00CD04C1" w:rsidRPr="00B713EE" w:rsidRDefault="00CD04C1" w:rsidP="008C0F4C">
      <w:pPr>
        <w:pStyle w:val="ParNoG"/>
        <w:tabs>
          <w:tab w:val="clear" w:pos="1701"/>
        </w:tabs>
        <w:rPr>
          <w:bCs/>
        </w:rPr>
      </w:pPr>
      <w:r w:rsidRPr="00B713EE">
        <w:t>Il a indiqué, pour conclure, que le groupe de travail informel FDCA du GRRF était déjà en train d</w:t>
      </w:r>
      <w:r w:rsidR="007C2F80">
        <w:t>’</w:t>
      </w:r>
      <w:r w:rsidRPr="00B713EE">
        <w:t>élaborer un Règlement sur les systèmes d</w:t>
      </w:r>
      <w:r w:rsidR="007C2F80">
        <w:t>’</w:t>
      </w:r>
      <w:r w:rsidRPr="00B713EE">
        <w:t>aide au maintien dans la voie (LKAS), ce qui pourrait faciliter l</w:t>
      </w:r>
      <w:r w:rsidR="007C2F80">
        <w:t>’</w:t>
      </w:r>
      <w:r w:rsidRPr="00B713EE">
        <w:t>élaboration du règlement technique mondial. En ce qui concerne le système avancé de freinage d</w:t>
      </w:r>
      <w:r w:rsidR="007C2F80">
        <w:t>’</w:t>
      </w:r>
      <w:r w:rsidRPr="00B713EE">
        <w:t>urgence (</w:t>
      </w:r>
      <w:r w:rsidRPr="00B713EE">
        <w:rPr>
          <w:bCs/>
        </w:rPr>
        <w:t>AEBS),</w:t>
      </w:r>
      <w:r w:rsidRPr="00B713EE">
        <w:t xml:space="preserve"> </w:t>
      </w:r>
      <w:r w:rsidRPr="00B713EE">
        <w:rPr>
          <w:bCs/>
        </w:rPr>
        <w:t>le système d</w:t>
      </w:r>
      <w:r w:rsidR="007C2F80">
        <w:rPr>
          <w:bCs/>
        </w:rPr>
        <w:t>’</w:t>
      </w:r>
      <w:r w:rsidRPr="00B713EE">
        <w:rPr>
          <w:bCs/>
        </w:rPr>
        <w:t>aide au maintien dans la voie semble tout à fait prioritaire dans le contexte de l</w:t>
      </w:r>
      <w:r w:rsidR="007C2F80">
        <w:rPr>
          <w:bCs/>
        </w:rPr>
        <w:t>’</w:t>
      </w:r>
      <w:r w:rsidRPr="00B713EE">
        <w:rPr>
          <w:bCs/>
        </w:rPr>
        <w:t>Union européenne et il importe donc que les travaux visant à élaborer un règlement technique mondial ne viennent pas compromettre les progrès du travail déjà entrepris dans le cadre de l</w:t>
      </w:r>
      <w:r w:rsidR="007C2F80">
        <w:rPr>
          <w:bCs/>
        </w:rPr>
        <w:t>’</w:t>
      </w:r>
      <w:r w:rsidRPr="00B713EE">
        <w:rPr>
          <w:bCs/>
        </w:rPr>
        <w:t>Accord de 1958.</w:t>
      </w:r>
    </w:p>
    <w:p w:rsidR="00CD04C1" w:rsidRPr="00B713EE" w:rsidRDefault="00CD04C1" w:rsidP="008C0F4C">
      <w:pPr>
        <w:pStyle w:val="ParNoG"/>
        <w:tabs>
          <w:tab w:val="clear" w:pos="1701"/>
        </w:tabs>
        <w:rPr>
          <w:bCs/>
        </w:rPr>
      </w:pPr>
      <w:r w:rsidRPr="00B713EE">
        <w:rPr>
          <w:bCs/>
        </w:rPr>
        <w:t>Le représentant des États-Unis d</w:t>
      </w:r>
      <w:r w:rsidR="007C2F80">
        <w:rPr>
          <w:bCs/>
        </w:rPr>
        <w:t>’</w:t>
      </w:r>
      <w:r w:rsidRPr="00B713EE">
        <w:rPr>
          <w:bCs/>
        </w:rPr>
        <w:t>Amérique a déclaré que, compte tenu de l</w:t>
      </w:r>
      <w:r w:rsidR="007C2F80">
        <w:rPr>
          <w:bCs/>
        </w:rPr>
        <w:t>’</w:t>
      </w:r>
      <w:r w:rsidRPr="00B713EE">
        <w:rPr>
          <w:bCs/>
        </w:rPr>
        <w:t>orientation générale prise par l</w:t>
      </w:r>
      <w:r w:rsidR="007C2F80">
        <w:rPr>
          <w:bCs/>
        </w:rPr>
        <w:t>’</w:t>
      </w:r>
      <w:r w:rsidRPr="00B713EE">
        <w:rPr>
          <w:bCs/>
        </w:rPr>
        <w:t>évolution technologique dans l</w:t>
      </w:r>
      <w:r w:rsidR="007C2F80">
        <w:rPr>
          <w:bCs/>
        </w:rPr>
        <w:t>’</w:t>
      </w:r>
      <w:r w:rsidRPr="00B713EE">
        <w:rPr>
          <w:bCs/>
        </w:rPr>
        <w:t>industrie, il est dans l</w:t>
      </w:r>
      <w:r w:rsidR="007C2F80">
        <w:rPr>
          <w:bCs/>
        </w:rPr>
        <w:t>’</w:t>
      </w:r>
      <w:r w:rsidRPr="00B713EE">
        <w:rPr>
          <w:bCs/>
        </w:rPr>
        <w:t>intérêt de son pays que soit élaboré un futur programme de travail qui mette l</w:t>
      </w:r>
      <w:r w:rsidR="007C2F80">
        <w:rPr>
          <w:bCs/>
        </w:rPr>
        <w:t>’</w:t>
      </w:r>
      <w:r w:rsidRPr="00B713EE">
        <w:rPr>
          <w:bCs/>
        </w:rPr>
        <w:t>accent s</w:t>
      </w:r>
      <w:r w:rsidR="00F70973" w:rsidRPr="00B713EE">
        <w:rPr>
          <w:bCs/>
        </w:rPr>
        <w:t>ur les technologies de pointe.</w:t>
      </w:r>
    </w:p>
    <w:p w:rsidR="00CD04C1" w:rsidRPr="00B713EE" w:rsidRDefault="00CD04C1" w:rsidP="008C0F4C">
      <w:pPr>
        <w:pStyle w:val="ParNoG"/>
        <w:tabs>
          <w:tab w:val="clear" w:pos="1701"/>
        </w:tabs>
        <w:rPr>
          <w:bCs/>
        </w:rPr>
      </w:pPr>
      <w:r w:rsidRPr="00B713EE">
        <w:rPr>
          <w:bCs/>
        </w:rPr>
        <w:t>À propos du document présenté par l</w:t>
      </w:r>
      <w:r w:rsidR="007C2F80">
        <w:rPr>
          <w:bCs/>
        </w:rPr>
        <w:t>’</w:t>
      </w:r>
      <w:r w:rsidRPr="00B713EE">
        <w:rPr>
          <w:bCs/>
        </w:rPr>
        <w:t>OICA, le représentant de la Chine a demandé des précisions sur les propositions relatives aux enregistreurs de données routières. Il a souligné qu</w:t>
      </w:r>
      <w:r w:rsidR="007C2F80">
        <w:rPr>
          <w:bCs/>
        </w:rPr>
        <w:t>’</w:t>
      </w:r>
      <w:r w:rsidRPr="00B713EE">
        <w:rPr>
          <w:bCs/>
        </w:rPr>
        <w:t>un éventuel RTM sur les EDR ne devrait porter que sur les prescriptions techniques de ce système lui-même mais pas sur les dispositions administratives concernant la collecte des données, qui n</w:t>
      </w:r>
      <w:r w:rsidR="007C2F80">
        <w:rPr>
          <w:bCs/>
        </w:rPr>
        <w:t>’</w:t>
      </w:r>
      <w:r w:rsidRPr="00B713EE">
        <w:rPr>
          <w:bCs/>
        </w:rPr>
        <w:t>entrent pas dans le champ d</w:t>
      </w:r>
      <w:r w:rsidR="007C2F80">
        <w:rPr>
          <w:bCs/>
        </w:rPr>
        <w:t>’</w:t>
      </w:r>
      <w:r w:rsidRPr="00B713EE">
        <w:rPr>
          <w:bCs/>
        </w:rPr>
        <w:t>application de l</w:t>
      </w:r>
      <w:r w:rsidR="007C2F80">
        <w:rPr>
          <w:bCs/>
        </w:rPr>
        <w:t>’</w:t>
      </w:r>
      <w:r w:rsidRPr="00B713EE">
        <w:rPr>
          <w:bCs/>
        </w:rPr>
        <w:t>Accord de 1998.</w:t>
      </w:r>
    </w:p>
    <w:p w:rsidR="00CD04C1" w:rsidRPr="00B713EE" w:rsidRDefault="00CD04C1" w:rsidP="008C0F4C">
      <w:pPr>
        <w:pStyle w:val="ParNoG"/>
        <w:tabs>
          <w:tab w:val="clear" w:pos="1701"/>
        </w:tabs>
        <w:rPr>
          <w:bCs/>
        </w:rPr>
      </w:pPr>
      <w:r w:rsidRPr="00B713EE">
        <w:rPr>
          <w:rFonts w:eastAsia="SimSun"/>
        </w:rPr>
        <w:t>Le</w:t>
      </w:r>
      <w:r w:rsidRPr="00B713EE">
        <w:rPr>
          <w:bCs/>
        </w:rPr>
        <w:t xml:space="preserve"> représentant de l</w:t>
      </w:r>
      <w:r w:rsidR="007C2F80">
        <w:rPr>
          <w:bCs/>
        </w:rPr>
        <w:t>’</w:t>
      </w:r>
      <w:r w:rsidRPr="00B713EE">
        <w:rPr>
          <w:bCs/>
        </w:rPr>
        <w:t>OICA a répondu en confirmant que l</w:t>
      </w:r>
      <w:r w:rsidR="007C2F80">
        <w:rPr>
          <w:bCs/>
        </w:rPr>
        <w:t>’</w:t>
      </w:r>
      <w:r w:rsidRPr="00B713EE">
        <w:rPr>
          <w:bCs/>
        </w:rPr>
        <w:t>intention n</w:t>
      </w:r>
      <w:r w:rsidR="007C2F80">
        <w:rPr>
          <w:bCs/>
        </w:rPr>
        <w:t>’</w:t>
      </w:r>
      <w:r w:rsidRPr="00B713EE">
        <w:rPr>
          <w:bCs/>
        </w:rPr>
        <w:t>était que d</w:t>
      </w:r>
      <w:r w:rsidR="007C2F80">
        <w:rPr>
          <w:bCs/>
        </w:rPr>
        <w:t>’</w:t>
      </w:r>
      <w:r w:rsidRPr="00B713EE">
        <w:rPr>
          <w:bCs/>
        </w:rPr>
        <w:t>harmoniser les prescriptions techniques spécifiques applicables à l</w:t>
      </w:r>
      <w:r w:rsidR="007C2F80">
        <w:rPr>
          <w:bCs/>
        </w:rPr>
        <w:t>’</w:t>
      </w:r>
      <w:r w:rsidRPr="00B713EE">
        <w:rPr>
          <w:bCs/>
        </w:rPr>
        <w:t>enregistrement des données avant l</w:t>
      </w:r>
      <w:r w:rsidR="007C2F80">
        <w:rPr>
          <w:bCs/>
        </w:rPr>
        <w:t>’</w:t>
      </w:r>
      <w:r w:rsidRPr="00B713EE">
        <w:rPr>
          <w:bCs/>
        </w:rPr>
        <w:t>accident (quelles données, à quelle fréquence, etc.). Il a volontiers reconnu que les aspects administratifs concernant la propriété des données ne sauraient être traités dans le cadre de l</w:t>
      </w:r>
      <w:r w:rsidR="007C2F80">
        <w:rPr>
          <w:bCs/>
        </w:rPr>
        <w:t>’</w:t>
      </w:r>
      <w:r w:rsidRPr="00B713EE">
        <w:rPr>
          <w:bCs/>
        </w:rPr>
        <w:t>Accord de 1998 mais relèvent de la souveraineté nationale. Il a ajouté que le risque était grand de voir apparaître des réglementations différentes selon les pays, ce qui obligerait à adapter les véhicules à chaque marché individuel. Le fait de parvenir à un accord sur le type de données à enregistrer permettrait aux constructeurs de fabriquer une seule et même architecture électronique pour le marché mondial, tout en donnant la possibilité de l</w:t>
      </w:r>
      <w:r w:rsidR="007C2F80">
        <w:rPr>
          <w:bCs/>
        </w:rPr>
        <w:t>’</w:t>
      </w:r>
      <w:r w:rsidRPr="00B713EE">
        <w:rPr>
          <w:bCs/>
        </w:rPr>
        <w:t>ajuster pour tenir compte de prescriptions nationales supplémentaires.</w:t>
      </w:r>
    </w:p>
    <w:p w:rsidR="00CD04C1" w:rsidRPr="00B713EE" w:rsidRDefault="00CD04C1" w:rsidP="008C0F4C">
      <w:pPr>
        <w:pStyle w:val="ParNoG"/>
        <w:tabs>
          <w:tab w:val="clear" w:pos="1701"/>
        </w:tabs>
        <w:rPr>
          <w:bCs/>
        </w:rPr>
      </w:pPr>
      <w:r w:rsidRPr="00B713EE">
        <w:rPr>
          <w:bCs/>
        </w:rPr>
        <w:t>Le représentant des États-Unis d</w:t>
      </w:r>
      <w:r w:rsidR="007C2F80">
        <w:rPr>
          <w:bCs/>
        </w:rPr>
        <w:t>’</w:t>
      </w:r>
      <w:r w:rsidRPr="00B713EE">
        <w:rPr>
          <w:bCs/>
        </w:rPr>
        <w:t xml:space="preserve">Amérique a expliqué que deux pays seulement prévoyaient des prescriptions volontaires applicables aux EDR </w:t>
      </w:r>
      <w:r w:rsidR="00F70973" w:rsidRPr="00B713EE">
        <w:rPr>
          <w:bCs/>
        </w:rPr>
        <w:t>« </w:t>
      </w:r>
      <w:r w:rsidRPr="00B713EE">
        <w:rPr>
          <w:bCs/>
        </w:rPr>
        <w:t>s</w:t>
      </w:r>
      <w:r w:rsidR="007C2F80">
        <w:rPr>
          <w:bCs/>
        </w:rPr>
        <w:t>’</w:t>
      </w:r>
      <w:r w:rsidRPr="00B713EE">
        <w:rPr>
          <w:bCs/>
        </w:rPr>
        <w:t>ils existent</w:t>
      </w:r>
      <w:r w:rsidR="00F70973" w:rsidRPr="00B713EE">
        <w:rPr>
          <w:bCs/>
        </w:rPr>
        <w:t> » </w:t>
      </w:r>
      <w:r w:rsidRPr="00B713EE">
        <w:rPr>
          <w:bCs/>
        </w:rPr>
        <w:t>: la République de Corée et les États-Unis d</w:t>
      </w:r>
      <w:r w:rsidR="007C2F80">
        <w:rPr>
          <w:bCs/>
        </w:rPr>
        <w:t>’</w:t>
      </w:r>
      <w:r w:rsidRPr="00B713EE">
        <w:rPr>
          <w:bCs/>
        </w:rPr>
        <w:t>Amérique. Il a proposé que les États membres désireux de travailler sur les EDR consultent les réglementations qui existent déjà dans ces deux pays pour s</w:t>
      </w:r>
      <w:r w:rsidR="007C2F80">
        <w:rPr>
          <w:bCs/>
        </w:rPr>
        <w:t>’</w:t>
      </w:r>
      <w:r w:rsidRPr="00B713EE">
        <w:rPr>
          <w:bCs/>
        </w:rPr>
        <w:t>en inspirer et favoriser l</w:t>
      </w:r>
      <w:r w:rsidR="007C2F80">
        <w:rPr>
          <w:bCs/>
        </w:rPr>
        <w:t>’</w:t>
      </w:r>
      <w:r w:rsidRPr="00B713EE">
        <w:rPr>
          <w:bCs/>
        </w:rPr>
        <w:t xml:space="preserve">harmonisation. </w:t>
      </w:r>
    </w:p>
    <w:p w:rsidR="00CD04C1" w:rsidRPr="00B713EE" w:rsidRDefault="00CD04C1" w:rsidP="00743036">
      <w:pPr>
        <w:pStyle w:val="ParNoG"/>
        <w:keepNext/>
        <w:keepLines/>
        <w:tabs>
          <w:tab w:val="clear" w:pos="1701"/>
        </w:tabs>
        <w:rPr>
          <w:bCs/>
        </w:rPr>
      </w:pPr>
      <w:r w:rsidRPr="00B713EE">
        <w:rPr>
          <w:bCs/>
        </w:rPr>
        <w:t xml:space="preserve">Le secrétariat a présenté le document </w:t>
      </w:r>
      <w:r w:rsidRPr="00B713EE">
        <w:t>WP.29-171-30</w:t>
      </w:r>
      <w:r w:rsidR="00973ACD">
        <w:rPr>
          <w:bCs/>
        </w:rPr>
        <w:t xml:space="preserve">. Dans la </w:t>
      </w:r>
      <w:r w:rsidR="0093100A">
        <w:rPr>
          <w:bCs/>
        </w:rPr>
        <w:t>révision 3</w:t>
      </w:r>
      <w:r w:rsidRPr="00B713EE">
        <w:rPr>
          <w:bCs/>
        </w:rPr>
        <w:t xml:space="preserve"> de l</w:t>
      </w:r>
      <w:r w:rsidR="007C2F80">
        <w:rPr>
          <w:bCs/>
        </w:rPr>
        <w:t>’</w:t>
      </w:r>
      <w:r w:rsidRPr="00B713EE">
        <w:rPr>
          <w:bCs/>
        </w:rPr>
        <w:t>Accord de 1958 les mots « Règlement de l</w:t>
      </w:r>
      <w:r w:rsidR="007C2F80">
        <w:rPr>
          <w:bCs/>
        </w:rPr>
        <w:t>’</w:t>
      </w:r>
      <w:r w:rsidRPr="00B713EE">
        <w:rPr>
          <w:bCs/>
        </w:rPr>
        <w:t>ONU » figurent en majuscules alors que le terme « règlement technique mondial » est en minuscules dans l</w:t>
      </w:r>
      <w:r w:rsidR="007C2F80">
        <w:rPr>
          <w:bCs/>
        </w:rPr>
        <w:t>’</w:t>
      </w:r>
      <w:r w:rsidRPr="00B713EE">
        <w:rPr>
          <w:bCs/>
        </w:rPr>
        <w:t>Accord de 1998. Afin d</w:t>
      </w:r>
      <w:r w:rsidR="007C2F80">
        <w:rPr>
          <w:bCs/>
        </w:rPr>
        <w:t>’</w:t>
      </w:r>
      <w:r w:rsidRPr="00B713EE">
        <w:rPr>
          <w:bCs/>
        </w:rPr>
        <w:t>explorer les possibilités d</w:t>
      </w:r>
      <w:r w:rsidR="007C2F80">
        <w:rPr>
          <w:bCs/>
        </w:rPr>
        <w:t>’</w:t>
      </w:r>
      <w:r w:rsidRPr="00B713EE">
        <w:rPr>
          <w:bCs/>
        </w:rPr>
        <w:t>aligner le format de ces termes similaires dans les deux Accords, le secrétariat a consulté le Bureau des affaires juridiques de l</w:t>
      </w:r>
      <w:r w:rsidR="007C2F80">
        <w:rPr>
          <w:bCs/>
        </w:rPr>
        <w:t>’</w:t>
      </w:r>
      <w:r w:rsidRPr="00B713EE">
        <w:rPr>
          <w:bCs/>
        </w:rPr>
        <w:t>Office des Nations Unies à Genève (ONUG), qui a indiqué au secrétariat que les Parties contractantes pouvaient s</w:t>
      </w:r>
      <w:r w:rsidR="00F70973" w:rsidRPr="00B713EE">
        <w:rPr>
          <w:bCs/>
        </w:rPr>
        <w:t>e mettre d</w:t>
      </w:r>
      <w:r w:rsidR="007C2F80">
        <w:rPr>
          <w:bCs/>
        </w:rPr>
        <w:t>’</w:t>
      </w:r>
      <w:r w:rsidR="00F70973" w:rsidRPr="00B713EE">
        <w:rPr>
          <w:bCs/>
        </w:rPr>
        <w:t>accord pour écrire « RTM de l</w:t>
      </w:r>
      <w:r w:rsidR="007C2F80">
        <w:rPr>
          <w:bCs/>
        </w:rPr>
        <w:t>’</w:t>
      </w:r>
      <w:r w:rsidR="00F70973" w:rsidRPr="00B713EE">
        <w:rPr>
          <w:bCs/>
        </w:rPr>
        <w:t>ONU </w:t>
      </w:r>
      <w:r w:rsidRPr="00B713EE">
        <w:rPr>
          <w:bCs/>
        </w:rPr>
        <w:t>» en majuscules. Il a également conseillé de proposer au Comité exécutif de trancher sur la base d</w:t>
      </w:r>
      <w:r w:rsidR="007C2F80">
        <w:rPr>
          <w:bCs/>
        </w:rPr>
        <w:t>’</w:t>
      </w:r>
      <w:r w:rsidRPr="00B713EE">
        <w:rPr>
          <w:bCs/>
        </w:rPr>
        <w:t>un document de décision de l</w:t>
      </w:r>
      <w:r w:rsidR="007C2F80">
        <w:rPr>
          <w:bCs/>
        </w:rPr>
        <w:t>’</w:t>
      </w:r>
      <w:r w:rsidRPr="00B713EE">
        <w:rPr>
          <w:bCs/>
        </w:rPr>
        <w:t>AC.3 port</w:t>
      </w:r>
      <w:r w:rsidR="00F70973" w:rsidRPr="00B713EE">
        <w:rPr>
          <w:bCs/>
        </w:rPr>
        <w:t>ant sur l</w:t>
      </w:r>
      <w:r w:rsidR="007C2F80">
        <w:rPr>
          <w:bCs/>
        </w:rPr>
        <w:t>’</w:t>
      </w:r>
      <w:r w:rsidR="00F70973" w:rsidRPr="00B713EE">
        <w:rPr>
          <w:bCs/>
        </w:rPr>
        <w:t>utilisation du terme « RTM de l</w:t>
      </w:r>
      <w:r w:rsidR="007C2F80">
        <w:rPr>
          <w:bCs/>
        </w:rPr>
        <w:t>’</w:t>
      </w:r>
      <w:r w:rsidR="00F70973" w:rsidRPr="00B713EE">
        <w:rPr>
          <w:bCs/>
        </w:rPr>
        <w:t>ONU </w:t>
      </w:r>
      <w:r w:rsidRPr="00B713EE">
        <w:rPr>
          <w:bCs/>
        </w:rPr>
        <w:t>» en majuscules.</w:t>
      </w:r>
    </w:p>
    <w:p w:rsidR="00CD04C1" w:rsidRPr="00B713EE" w:rsidRDefault="00CD04C1" w:rsidP="008C0F4C">
      <w:pPr>
        <w:pStyle w:val="ParNoG"/>
        <w:tabs>
          <w:tab w:val="clear" w:pos="1701"/>
        </w:tabs>
        <w:rPr>
          <w:bCs/>
        </w:rPr>
      </w:pPr>
      <w:r w:rsidRPr="00B713EE">
        <w:rPr>
          <w:bCs/>
        </w:rPr>
        <w:t>Le représentant des États-Unis d</w:t>
      </w:r>
      <w:r w:rsidR="007C2F80">
        <w:rPr>
          <w:bCs/>
        </w:rPr>
        <w:t>’</w:t>
      </w:r>
      <w:r w:rsidRPr="00B713EE">
        <w:rPr>
          <w:bCs/>
        </w:rPr>
        <w:t>Amérique a appuyé la proposition du secrétariat et la proposition d</w:t>
      </w:r>
      <w:r w:rsidR="007C2F80">
        <w:rPr>
          <w:bCs/>
        </w:rPr>
        <w:t>’</w:t>
      </w:r>
      <w:r w:rsidR="00F70973" w:rsidRPr="00B713EE">
        <w:rPr>
          <w:bCs/>
        </w:rPr>
        <w:t>établir un projet de décision.</w:t>
      </w:r>
    </w:p>
    <w:p w:rsidR="00CD04C1" w:rsidRPr="00B713EE" w:rsidRDefault="00CD04C1" w:rsidP="008C0F4C">
      <w:pPr>
        <w:pStyle w:val="ParNoG"/>
        <w:tabs>
          <w:tab w:val="clear" w:pos="1701"/>
        </w:tabs>
        <w:rPr>
          <w:bCs/>
          <w:u w:val="single"/>
        </w:rPr>
      </w:pPr>
      <w:r w:rsidRPr="00B713EE">
        <w:rPr>
          <w:bCs/>
        </w:rPr>
        <w:t xml:space="preserve">Se référant au document </w:t>
      </w:r>
      <w:r w:rsidRPr="00B713EE">
        <w:t>WP.29-171-30, le Comité exécutif a prié le secrétariat d</w:t>
      </w:r>
      <w:r w:rsidR="007C2F80">
        <w:t>’</w:t>
      </w:r>
      <w:r w:rsidRPr="00B713EE">
        <w:t>établir un projet de document contenant la décision d</w:t>
      </w:r>
      <w:r w:rsidR="007C2F80">
        <w:t>’</w:t>
      </w:r>
      <w:r w:rsidRPr="00B713EE">
        <w:t xml:space="preserve">utiliser le terme </w:t>
      </w:r>
      <w:r w:rsidR="00F70973" w:rsidRPr="00B713EE">
        <w:t>« RTM de l</w:t>
      </w:r>
      <w:r w:rsidR="007C2F80">
        <w:t>’</w:t>
      </w:r>
      <w:r w:rsidR="00F70973" w:rsidRPr="00B713EE">
        <w:t>ONU </w:t>
      </w:r>
      <w:r w:rsidRPr="00B713EE">
        <w:t>» en majuscules et de le soumettre à la cinquantième session de l</w:t>
      </w:r>
      <w:r w:rsidR="007C2F80">
        <w:t>’</w:t>
      </w:r>
      <w:r w:rsidRPr="00B713EE">
        <w:t xml:space="preserve">AC.3 en juin 2017. </w:t>
      </w:r>
    </w:p>
    <w:p w:rsidR="00CD04C1" w:rsidRPr="00B713EE" w:rsidRDefault="00CD04C1" w:rsidP="001C6A52">
      <w:pPr>
        <w:pStyle w:val="HChG"/>
      </w:pPr>
      <w:r w:rsidRPr="00B713EE">
        <w:tab/>
      </w:r>
      <w:bookmarkStart w:id="67" w:name="_Toc478663165"/>
      <w:r w:rsidRPr="00B713EE">
        <w:t>XX.</w:t>
      </w:r>
      <w:r w:rsidRPr="00B713EE">
        <w:tab/>
        <w:t>État d</w:t>
      </w:r>
      <w:r w:rsidR="007C2F80">
        <w:t>’</w:t>
      </w:r>
      <w:r w:rsidRPr="00B713EE">
        <w:t>avancement de l</w:t>
      </w:r>
      <w:r w:rsidR="007C2F80">
        <w:t>’</w:t>
      </w:r>
      <w:r w:rsidRPr="00B713EE">
        <w:t xml:space="preserve">élaboration de nouveaux RTM </w:t>
      </w:r>
      <w:r w:rsidR="001C6A52" w:rsidRPr="00B713EE">
        <w:br/>
      </w:r>
      <w:r w:rsidRPr="00B713EE">
        <w:t>et d</w:t>
      </w:r>
      <w:r w:rsidR="007C2F80">
        <w:t>’</w:t>
      </w:r>
      <w:r w:rsidRPr="00B713EE">
        <w:t xml:space="preserve">amendements à des RTM existants </w:t>
      </w:r>
      <w:r w:rsidR="001C6A52" w:rsidRPr="00B713EE">
        <w:br/>
      </w:r>
      <w:r w:rsidR="00973ACD">
        <w:t>(point </w:t>
      </w:r>
      <w:r w:rsidRPr="00B713EE">
        <w:t>18 de l</w:t>
      </w:r>
      <w:r w:rsidR="007C2F80">
        <w:t>’</w:t>
      </w:r>
      <w:r w:rsidRPr="00B713EE">
        <w:t>ordre du jour)</w:t>
      </w:r>
      <w:bookmarkEnd w:id="67"/>
    </w:p>
    <w:p w:rsidR="00CD04C1" w:rsidRPr="00B713EE" w:rsidRDefault="00CD04C1" w:rsidP="001C6A52">
      <w:pPr>
        <w:pStyle w:val="H1G"/>
      </w:pPr>
      <w:r w:rsidRPr="00B713EE">
        <w:tab/>
      </w:r>
      <w:bookmarkStart w:id="68" w:name="_Toc478663166"/>
      <w:r w:rsidR="001C6A52" w:rsidRPr="00B713EE">
        <w:t>A.</w:t>
      </w:r>
      <w:r w:rsidR="001C6A52" w:rsidRPr="00B713EE">
        <w:tab/>
        <w:t xml:space="preserve">RTM </w:t>
      </w:r>
      <w:r w:rsidR="001C6A52" w:rsidRPr="00B713EE">
        <w:rPr>
          <w:rFonts w:eastAsia="MS Mincho"/>
        </w:rPr>
        <w:t>n</w:t>
      </w:r>
      <w:r w:rsidR="001C6A52" w:rsidRPr="00B713EE">
        <w:rPr>
          <w:rFonts w:eastAsia="MS Mincho"/>
          <w:vertAlign w:val="superscript"/>
        </w:rPr>
        <w:t>o</w:t>
      </w:r>
      <w:r w:rsidR="001C6A52" w:rsidRPr="00B713EE">
        <w:t> </w:t>
      </w:r>
      <w:r w:rsidRPr="00B713EE">
        <w:t xml:space="preserve">1 (Serrures et charnières des portes) </w:t>
      </w:r>
      <w:r w:rsidR="00F70973" w:rsidRPr="00B713EE">
        <w:br/>
      </w:r>
      <w:r w:rsidR="00973ACD">
        <w:t>(point </w:t>
      </w:r>
      <w:r w:rsidRPr="00B713EE">
        <w:t>18.1 de l</w:t>
      </w:r>
      <w:r w:rsidR="007C2F80">
        <w:t>’</w:t>
      </w:r>
      <w:r w:rsidRPr="00B713EE">
        <w:t>ordre du jour)</w:t>
      </w:r>
      <w:bookmarkEnd w:id="68"/>
    </w:p>
    <w:p w:rsidR="00CD04C1" w:rsidRPr="00B713EE" w:rsidRDefault="00E4024E" w:rsidP="001F7EFD">
      <w:pPr>
        <w:pStyle w:val="SingleTxtG"/>
        <w:ind w:left="2835" w:hanging="1701"/>
        <w:jc w:val="left"/>
      </w:pPr>
      <w:r w:rsidRPr="00B713EE">
        <w:rPr>
          <w:i/>
        </w:rPr>
        <w:t>Document(s) </w:t>
      </w:r>
      <w:r w:rsidRPr="00B713EE">
        <w:t>:</w:t>
      </w:r>
      <w:r w:rsidR="00CD04C1" w:rsidRPr="00B713EE">
        <w:tab/>
        <w:t>ECE/TRANS/WP.29/AC.3/43</w:t>
      </w:r>
      <w:r w:rsidRPr="00B713EE">
        <w:t>.</w:t>
      </w:r>
    </w:p>
    <w:p w:rsidR="00CD04C1" w:rsidRPr="00B713EE" w:rsidRDefault="00CD04C1" w:rsidP="008C0F4C">
      <w:pPr>
        <w:pStyle w:val="ParNoG"/>
        <w:tabs>
          <w:tab w:val="clear" w:pos="1701"/>
        </w:tabs>
        <w:rPr>
          <w:color w:val="000000"/>
        </w:rPr>
      </w:pPr>
      <w:r w:rsidRPr="00973ACD">
        <w:rPr>
          <w:color w:val="000000"/>
          <w:spacing w:val="-4"/>
        </w:rPr>
        <w:t>Se référant à l</w:t>
      </w:r>
      <w:r w:rsidR="007C2F80">
        <w:rPr>
          <w:color w:val="000000"/>
          <w:spacing w:val="-4"/>
        </w:rPr>
        <w:t>’</w:t>
      </w:r>
      <w:r w:rsidRPr="00973ACD">
        <w:rPr>
          <w:color w:val="000000"/>
          <w:spacing w:val="-4"/>
        </w:rPr>
        <w:t>autorisation d</w:t>
      </w:r>
      <w:r w:rsidR="007C2F80">
        <w:rPr>
          <w:color w:val="000000"/>
          <w:spacing w:val="-4"/>
        </w:rPr>
        <w:t>’</w:t>
      </w:r>
      <w:r w:rsidRPr="00973ACD">
        <w:rPr>
          <w:color w:val="000000"/>
          <w:spacing w:val="-4"/>
        </w:rPr>
        <w:t>élab</w:t>
      </w:r>
      <w:r w:rsidR="00F70973" w:rsidRPr="00973ACD">
        <w:rPr>
          <w:color w:val="000000"/>
          <w:spacing w:val="-4"/>
        </w:rPr>
        <w:t>orer un amendement </w:t>
      </w:r>
      <w:r w:rsidRPr="00973ACD">
        <w:rPr>
          <w:color w:val="000000"/>
          <w:spacing w:val="-4"/>
        </w:rPr>
        <w:t>2 (</w:t>
      </w:r>
      <w:r w:rsidR="00973ACD" w:rsidRPr="00973ACD">
        <w:rPr>
          <w:spacing w:val="-4"/>
        </w:rPr>
        <w:t>ECE/TRANS/</w:t>
      </w:r>
      <w:r w:rsidRPr="00973ACD">
        <w:rPr>
          <w:spacing w:val="-4"/>
        </w:rPr>
        <w:t>WP.29/AC.3/43)</w:t>
      </w:r>
      <w:r w:rsidRPr="00973ACD">
        <w:rPr>
          <w:color w:val="000000"/>
          <w:spacing w:val="-4"/>
        </w:rPr>
        <w:t>,</w:t>
      </w:r>
      <w:r w:rsidRPr="00B713EE">
        <w:t xml:space="preserve"> l</w:t>
      </w:r>
      <w:r w:rsidRPr="00B713EE">
        <w:rPr>
          <w:color w:val="000000"/>
        </w:rPr>
        <w:t>e représentant de l</w:t>
      </w:r>
      <w:r w:rsidR="007C2F80">
        <w:rPr>
          <w:color w:val="000000"/>
        </w:rPr>
        <w:t>’</w:t>
      </w:r>
      <w:r w:rsidRPr="00B713EE">
        <w:rPr>
          <w:color w:val="000000"/>
        </w:rPr>
        <w:t>Union européenne a informé l</w:t>
      </w:r>
      <w:r w:rsidR="007C2F80">
        <w:rPr>
          <w:color w:val="000000"/>
        </w:rPr>
        <w:t>’</w:t>
      </w:r>
      <w:r w:rsidRPr="00B713EE">
        <w:rPr>
          <w:color w:val="000000"/>
        </w:rPr>
        <w:t>AC.3 qu</w:t>
      </w:r>
      <w:r w:rsidR="007C2F80">
        <w:rPr>
          <w:color w:val="000000"/>
        </w:rPr>
        <w:t>’</w:t>
      </w:r>
      <w:r w:rsidRPr="00B713EE">
        <w:rPr>
          <w:color w:val="000000"/>
        </w:rPr>
        <w:t>il s</w:t>
      </w:r>
      <w:r w:rsidR="007C2F80">
        <w:rPr>
          <w:color w:val="000000"/>
        </w:rPr>
        <w:t>’</w:t>
      </w:r>
      <w:r w:rsidRPr="00B713EE">
        <w:rPr>
          <w:color w:val="000000"/>
        </w:rPr>
        <w:t>agissait d</w:t>
      </w:r>
      <w:r w:rsidR="007C2F80">
        <w:rPr>
          <w:color w:val="000000"/>
        </w:rPr>
        <w:t>’</w:t>
      </w:r>
      <w:r w:rsidRPr="00B713EE">
        <w:rPr>
          <w:color w:val="000000"/>
        </w:rPr>
        <w:t xml:space="preserve">apporter au texte du règlement des changements mineurs indispensables pour répercuter les amendements au Règlement </w:t>
      </w:r>
      <w:r w:rsidR="00973ACD">
        <w:rPr>
          <w:rFonts w:eastAsia="MS Mincho"/>
        </w:rPr>
        <w:t>n</w:t>
      </w:r>
      <w:r w:rsidR="00973ACD">
        <w:rPr>
          <w:rFonts w:eastAsia="MS Mincho"/>
          <w:vertAlign w:val="superscript"/>
        </w:rPr>
        <w:t>o</w:t>
      </w:r>
      <w:r w:rsidR="00973ACD" w:rsidRPr="00AA7C01">
        <w:rPr>
          <w:rFonts w:eastAsia="MS Mincho"/>
        </w:rPr>
        <w:t> </w:t>
      </w:r>
      <w:r w:rsidRPr="00B713EE">
        <w:rPr>
          <w:color w:val="000000"/>
        </w:rPr>
        <w:t>11, qui font l</w:t>
      </w:r>
      <w:r w:rsidR="007C2F80">
        <w:rPr>
          <w:color w:val="000000"/>
        </w:rPr>
        <w:t>’</w:t>
      </w:r>
      <w:r w:rsidRPr="00B713EE">
        <w:rPr>
          <w:color w:val="000000"/>
        </w:rPr>
        <w:t>objet d</w:t>
      </w:r>
      <w:r w:rsidR="007C2F80">
        <w:rPr>
          <w:color w:val="000000"/>
        </w:rPr>
        <w:t>’</w:t>
      </w:r>
      <w:r w:rsidRPr="00B713EE">
        <w:rPr>
          <w:color w:val="000000"/>
        </w:rPr>
        <w:t>un large soutien de la part du GRSP et seront probablement mis aux voix lors de la session de juin 2017 de l</w:t>
      </w:r>
      <w:r w:rsidR="007C2F80">
        <w:rPr>
          <w:color w:val="000000"/>
        </w:rPr>
        <w:t>’</w:t>
      </w:r>
      <w:r w:rsidRPr="00B713EE">
        <w:rPr>
          <w:color w:val="000000"/>
        </w:rPr>
        <w:t>AC.3.</w:t>
      </w:r>
    </w:p>
    <w:p w:rsidR="00CD04C1" w:rsidRPr="00B713EE" w:rsidRDefault="00CD04C1" w:rsidP="001C6A52">
      <w:pPr>
        <w:pStyle w:val="H1G"/>
      </w:pPr>
      <w:r w:rsidRPr="00B713EE">
        <w:tab/>
      </w:r>
      <w:bookmarkStart w:id="69" w:name="_Toc478663167"/>
      <w:r w:rsidRPr="00B713EE">
        <w:t>B.</w:t>
      </w:r>
      <w:r w:rsidRPr="00B713EE">
        <w:tab/>
        <w:t xml:space="preserve">RTM </w:t>
      </w:r>
      <w:r w:rsidR="001C6A52" w:rsidRPr="00B713EE">
        <w:rPr>
          <w:rFonts w:eastAsia="MS Mincho"/>
        </w:rPr>
        <w:t>n</w:t>
      </w:r>
      <w:r w:rsidR="001C6A52" w:rsidRPr="00B713EE">
        <w:rPr>
          <w:rFonts w:eastAsia="MS Mincho"/>
          <w:vertAlign w:val="superscript"/>
        </w:rPr>
        <w:t>o</w:t>
      </w:r>
      <w:r w:rsidR="001C6A52" w:rsidRPr="00B713EE">
        <w:t> </w:t>
      </w:r>
      <w:r w:rsidRPr="00B713EE">
        <w:t>2 (Cycle d</w:t>
      </w:r>
      <w:r w:rsidR="007C2F80">
        <w:t>’</w:t>
      </w:r>
      <w:r w:rsidRPr="00B713EE">
        <w:t xml:space="preserve">essai mondial harmonisé de mesure des émissions </w:t>
      </w:r>
      <w:r w:rsidR="00973ACD">
        <w:t>des motocycles (WMTC)) (point </w:t>
      </w:r>
      <w:r w:rsidRPr="00B713EE">
        <w:t>18.2 de l</w:t>
      </w:r>
      <w:r w:rsidR="007C2F80">
        <w:t>’</w:t>
      </w:r>
      <w:r w:rsidRPr="00B713EE">
        <w:t>ordre du jour)</w:t>
      </w:r>
      <w:bookmarkEnd w:id="69"/>
    </w:p>
    <w:p w:rsidR="00CD04C1" w:rsidRPr="00B713EE" w:rsidRDefault="00CD04C1" w:rsidP="008C0F4C">
      <w:pPr>
        <w:pStyle w:val="ParNoG"/>
        <w:tabs>
          <w:tab w:val="clear" w:pos="1701"/>
        </w:tabs>
      </w:pPr>
      <w:r w:rsidRPr="00B713EE">
        <w:rPr>
          <w:color w:val="000000"/>
        </w:rPr>
        <w:t>En tant que responsable technique de ce domaine, le représentant de l</w:t>
      </w:r>
      <w:r w:rsidR="007C2F80">
        <w:rPr>
          <w:color w:val="000000"/>
        </w:rPr>
        <w:t>’</w:t>
      </w:r>
      <w:r w:rsidRPr="00B713EE">
        <w:rPr>
          <w:color w:val="000000"/>
        </w:rPr>
        <w:t>UE a expliqué que le groupe de travail informel des prescriptions d</w:t>
      </w:r>
      <w:r w:rsidR="007C2F80">
        <w:rPr>
          <w:color w:val="000000"/>
        </w:rPr>
        <w:t>’</w:t>
      </w:r>
      <w:r w:rsidRPr="00B713EE">
        <w:rPr>
          <w:color w:val="000000"/>
        </w:rPr>
        <w:t>efficacité en matière d</w:t>
      </w:r>
      <w:r w:rsidR="007C2F80">
        <w:rPr>
          <w:color w:val="000000"/>
        </w:rPr>
        <w:t>’</w:t>
      </w:r>
      <w:r w:rsidRPr="00B713EE">
        <w:rPr>
          <w:color w:val="000000"/>
        </w:rPr>
        <w:t xml:space="preserve">environnement et de propulsion (PEEP), qui relève du GRPE, avait déjà entrepris la révision du RTM </w:t>
      </w:r>
      <w:r w:rsidR="00F70973" w:rsidRPr="00B713EE">
        <w:rPr>
          <w:rFonts w:eastAsia="MS Mincho"/>
        </w:rPr>
        <w:t>n</w:t>
      </w:r>
      <w:r w:rsidR="00F70973" w:rsidRPr="00B713EE">
        <w:rPr>
          <w:rFonts w:eastAsia="MS Mincho"/>
          <w:vertAlign w:val="superscript"/>
        </w:rPr>
        <w:t>o</w:t>
      </w:r>
      <w:r w:rsidR="00F70973" w:rsidRPr="00B713EE">
        <w:rPr>
          <w:rFonts w:eastAsia="MS Mincho"/>
        </w:rPr>
        <w:t> </w:t>
      </w:r>
      <w:r w:rsidRPr="00B713EE">
        <w:rPr>
          <w:color w:val="000000"/>
        </w:rPr>
        <w:t>2. Il a rappelé à l</w:t>
      </w:r>
      <w:r w:rsidR="007C2F80">
        <w:rPr>
          <w:color w:val="000000"/>
        </w:rPr>
        <w:t>’</w:t>
      </w:r>
      <w:r w:rsidRPr="00B713EE">
        <w:rPr>
          <w:color w:val="000000"/>
        </w:rPr>
        <w:t>AC.3 qu</w:t>
      </w:r>
      <w:r w:rsidR="007C2F80">
        <w:rPr>
          <w:color w:val="000000"/>
        </w:rPr>
        <w:t>’</w:t>
      </w:r>
      <w:r w:rsidRPr="00B713EE">
        <w:rPr>
          <w:color w:val="000000"/>
        </w:rPr>
        <w:t>il avait été convenu d</w:t>
      </w:r>
      <w:r w:rsidR="007C2F80">
        <w:rPr>
          <w:color w:val="000000"/>
        </w:rPr>
        <w:t>’</w:t>
      </w:r>
      <w:r w:rsidRPr="00B713EE">
        <w:rPr>
          <w:color w:val="000000"/>
        </w:rPr>
        <w:t>utilis</w:t>
      </w:r>
      <w:r w:rsidR="00973ACD">
        <w:rPr>
          <w:color w:val="000000"/>
        </w:rPr>
        <w:t>er les limites d</w:t>
      </w:r>
      <w:r w:rsidR="007C2F80">
        <w:rPr>
          <w:color w:val="000000"/>
        </w:rPr>
        <w:t>’</w:t>
      </w:r>
      <w:r w:rsidR="00973ACD">
        <w:rPr>
          <w:color w:val="000000"/>
        </w:rPr>
        <w:t>émissions Euro </w:t>
      </w:r>
      <w:r w:rsidRPr="00B713EE">
        <w:rPr>
          <w:color w:val="000000"/>
        </w:rPr>
        <w:t>5 comme point de référence.</w:t>
      </w:r>
    </w:p>
    <w:p w:rsidR="00CD04C1" w:rsidRPr="00B713EE" w:rsidRDefault="00CD04C1" w:rsidP="001C6A52">
      <w:pPr>
        <w:pStyle w:val="H1G"/>
      </w:pPr>
      <w:r w:rsidRPr="00B713EE">
        <w:tab/>
      </w:r>
      <w:bookmarkStart w:id="70" w:name="_Toc478663168"/>
      <w:r w:rsidRPr="00B713EE">
        <w:t>C.</w:t>
      </w:r>
      <w:r w:rsidRPr="00B713EE">
        <w:tab/>
        <w:t xml:space="preserve">RTM </w:t>
      </w:r>
      <w:r w:rsidR="001C6A52" w:rsidRPr="00B713EE">
        <w:rPr>
          <w:rFonts w:eastAsia="MS Mincho"/>
        </w:rPr>
        <w:t>n</w:t>
      </w:r>
      <w:r w:rsidR="001C6A52" w:rsidRPr="00B713EE">
        <w:rPr>
          <w:rFonts w:eastAsia="MS Mincho"/>
          <w:vertAlign w:val="superscript"/>
        </w:rPr>
        <w:t>o</w:t>
      </w:r>
      <w:r w:rsidR="001C6A52" w:rsidRPr="00B713EE">
        <w:t> </w:t>
      </w:r>
      <w:r w:rsidRPr="00B713EE">
        <w:t>3 (</w:t>
      </w:r>
      <w:r w:rsidR="00973ACD">
        <w:t>Freinage des motocycles) (point </w:t>
      </w:r>
      <w:r w:rsidRPr="00B713EE">
        <w:t>18.3 de l</w:t>
      </w:r>
      <w:r w:rsidR="007C2F80">
        <w:t>’</w:t>
      </w:r>
      <w:r w:rsidRPr="00B713EE">
        <w:t>ordre du jour)</w:t>
      </w:r>
      <w:bookmarkEnd w:id="70"/>
    </w:p>
    <w:p w:rsidR="00CD04C1" w:rsidRPr="00B713EE" w:rsidRDefault="00E4024E" w:rsidP="001F7EFD">
      <w:pPr>
        <w:pStyle w:val="SingleTxtG"/>
        <w:ind w:left="2835" w:hanging="1701"/>
        <w:jc w:val="left"/>
      </w:pPr>
      <w:r w:rsidRPr="00B713EE">
        <w:rPr>
          <w:i/>
        </w:rPr>
        <w:t>Document(s) </w:t>
      </w:r>
      <w:r w:rsidRPr="00B713EE">
        <w:t>:</w:t>
      </w:r>
      <w:r w:rsidR="00CD04C1" w:rsidRPr="00B713EE">
        <w:tab/>
      </w:r>
      <w:r w:rsidR="00CD04C1" w:rsidRPr="00B713EE">
        <w:tab/>
        <w:t>ECE/TRANS/WP.29/2017/51</w:t>
      </w:r>
      <w:r w:rsidRPr="00B713EE">
        <w:t>.</w:t>
      </w:r>
    </w:p>
    <w:p w:rsidR="00CD04C1" w:rsidRPr="00B713EE" w:rsidRDefault="00CD04C1" w:rsidP="008C0F4C">
      <w:pPr>
        <w:pStyle w:val="ParNoG"/>
        <w:tabs>
          <w:tab w:val="clear" w:pos="1701"/>
        </w:tabs>
        <w:rPr>
          <w:color w:val="000000"/>
        </w:rPr>
      </w:pPr>
      <w:r w:rsidRPr="00B713EE">
        <w:rPr>
          <w:color w:val="000000"/>
        </w:rPr>
        <w:t xml:space="preserve">Le représentant de </w:t>
      </w:r>
      <w:r w:rsidR="005C1CDA">
        <w:rPr>
          <w:color w:val="000000"/>
        </w:rPr>
        <w:t>l’</w:t>
      </w:r>
      <w:r w:rsidRPr="00B713EE">
        <w:rPr>
          <w:color w:val="000000"/>
        </w:rPr>
        <w:t>Italie a présenté le document ECE/TRANS/WP.29/51, dans lequel il est proposé que l</w:t>
      </w:r>
      <w:r w:rsidR="007C2F80">
        <w:rPr>
          <w:color w:val="000000"/>
        </w:rPr>
        <w:t>’</w:t>
      </w:r>
      <w:r w:rsidRPr="00B713EE">
        <w:rPr>
          <w:color w:val="000000"/>
        </w:rPr>
        <w:t>AC.3 autorise l</w:t>
      </w:r>
      <w:r w:rsidR="007C2F80">
        <w:rPr>
          <w:color w:val="000000"/>
        </w:rPr>
        <w:t>’</w:t>
      </w:r>
      <w:r w:rsidRPr="00B713EE">
        <w:rPr>
          <w:color w:val="000000"/>
        </w:rPr>
        <w:t>élaboration d</w:t>
      </w:r>
      <w:r w:rsidR="007C2F80">
        <w:rPr>
          <w:color w:val="000000"/>
        </w:rPr>
        <w:t>’</w:t>
      </w:r>
      <w:r w:rsidRPr="00B713EE">
        <w:rPr>
          <w:color w:val="000000"/>
        </w:rPr>
        <w:t xml:space="preserve">un amendement au RTM </w:t>
      </w:r>
      <w:r w:rsidR="00F70973" w:rsidRPr="00B713EE">
        <w:rPr>
          <w:rFonts w:eastAsia="MS Mincho"/>
        </w:rPr>
        <w:t>n</w:t>
      </w:r>
      <w:r w:rsidR="00F70973" w:rsidRPr="00B713EE">
        <w:rPr>
          <w:rFonts w:eastAsia="MS Mincho"/>
          <w:vertAlign w:val="superscript"/>
        </w:rPr>
        <w:t>o</w:t>
      </w:r>
      <w:r w:rsidR="00F70973" w:rsidRPr="00B713EE">
        <w:rPr>
          <w:rFonts w:eastAsia="MS Mincho"/>
        </w:rPr>
        <w:t> </w:t>
      </w:r>
      <w:r w:rsidRPr="00B713EE">
        <w:rPr>
          <w:color w:val="000000"/>
        </w:rPr>
        <w:t>3 sous la responsabilité de son pays afin d</w:t>
      </w:r>
      <w:r w:rsidR="007C2F80">
        <w:rPr>
          <w:color w:val="000000"/>
        </w:rPr>
        <w:t>’</w:t>
      </w:r>
      <w:r w:rsidRPr="00B713EE">
        <w:rPr>
          <w:color w:val="000000"/>
        </w:rPr>
        <w:t xml:space="preserve">aligner les dispositions du RTM </w:t>
      </w:r>
      <w:r w:rsidR="00F70973" w:rsidRPr="00B713EE">
        <w:rPr>
          <w:rFonts w:eastAsia="MS Mincho"/>
        </w:rPr>
        <w:t>n</w:t>
      </w:r>
      <w:r w:rsidR="00F70973" w:rsidRPr="00B713EE">
        <w:rPr>
          <w:rFonts w:eastAsia="MS Mincho"/>
          <w:vertAlign w:val="superscript"/>
        </w:rPr>
        <w:t>o</w:t>
      </w:r>
      <w:r w:rsidR="00F70973" w:rsidRPr="00B713EE">
        <w:rPr>
          <w:rFonts w:eastAsia="MS Mincho"/>
        </w:rPr>
        <w:t> </w:t>
      </w:r>
      <w:r w:rsidRPr="00B713EE">
        <w:rPr>
          <w:color w:val="000000"/>
        </w:rPr>
        <w:t xml:space="preserve">3 sur celles du Règlement </w:t>
      </w:r>
      <w:r w:rsidR="00F70973" w:rsidRPr="00B713EE">
        <w:rPr>
          <w:rFonts w:eastAsia="MS Mincho"/>
        </w:rPr>
        <w:t>n</w:t>
      </w:r>
      <w:r w:rsidR="00F70973" w:rsidRPr="00B713EE">
        <w:rPr>
          <w:rFonts w:eastAsia="MS Mincho"/>
          <w:vertAlign w:val="superscript"/>
        </w:rPr>
        <w:t>o</w:t>
      </w:r>
      <w:r w:rsidR="00F70973" w:rsidRPr="00B713EE">
        <w:rPr>
          <w:rFonts w:eastAsia="MS Mincho"/>
        </w:rPr>
        <w:t> </w:t>
      </w:r>
      <w:r w:rsidRPr="00B713EE">
        <w:rPr>
          <w:color w:val="000000"/>
        </w:rPr>
        <w:t>78, de garantir l</w:t>
      </w:r>
      <w:r w:rsidR="007C2F80">
        <w:rPr>
          <w:color w:val="000000"/>
        </w:rPr>
        <w:t>’</w:t>
      </w:r>
      <w:r w:rsidRPr="00B713EE">
        <w:rPr>
          <w:color w:val="000000"/>
        </w:rPr>
        <w:t>immunité électromagnétique des systèmes ABS, d</w:t>
      </w:r>
      <w:r w:rsidR="007C2F80">
        <w:rPr>
          <w:color w:val="000000"/>
        </w:rPr>
        <w:t>’</w:t>
      </w:r>
      <w:r w:rsidRPr="00B713EE">
        <w:rPr>
          <w:color w:val="000000"/>
        </w:rPr>
        <w:t>ajouter des prescriptions d</w:t>
      </w:r>
      <w:r w:rsidR="007C2F80">
        <w:rPr>
          <w:color w:val="000000"/>
        </w:rPr>
        <w:t>’</w:t>
      </w:r>
      <w:r w:rsidRPr="00B713EE">
        <w:rPr>
          <w:color w:val="000000"/>
        </w:rPr>
        <w:t>efficacité des systèmes ABS pou</w:t>
      </w:r>
      <w:r w:rsidR="00973ACD">
        <w:rPr>
          <w:color w:val="000000"/>
        </w:rPr>
        <w:t>r les véhicules de la catégorie </w:t>
      </w:r>
      <w:r w:rsidRPr="00B713EE">
        <w:rPr>
          <w:color w:val="000000"/>
        </w:rPr>
        <w:t>3-5 (véhicules à trois roues) et de garantir l</w:t>
      </w:r>
      <w:r w:rsidR="007C2F80">
        <w:rPr>
          <w:color w:val="000000"/>
        </w:rPr>
        <w:t>’</w:t>
      </w:r>
      <w:r w:rsidRPr="00B713EE">
        <w:rPr>
          <w:color w:val="000000"/>
        </w:rPr>
        <w:t>uniformité des prescriptions relatives à des équipements tels que le signal d</w:t>
      </w:r>
      <w:r w:rsidR="007C2F80">
        <w:rPr>
          <w:color w:val="000000"/>
        </w:rPr>
        <w:t>’</w:t>
      </w:r>
      <w:r w:rsidRPr="00B713EE">
        <w:rPr>
          <w:color w:val="000000"/>
        </w:rPr>
        <w:t>arrêt d</w:t>
      </w:r>
      <w:r w:rsidR="007C2F80">
        <w:rPr>
          <w:color w:val="000000"/>
        </w:rPr>
        <w:t>’</w:t>
      </w:r>
      <w:r w:rsidRPr="00B713EE">
        <w:rPr>
          <w:color w:val="000000"/>
        </w:rPr>
        <w:t xml:space="preserve">urgence et les dispositifs permettant de désactiver le système ABS. Cet amendement visant à harmoniser le règlement technique mondial avec les récents amendements apportés au Règlement </w:t>
      </w:r>
      <w:r w:rsidR="00F70973" w:rsidRPr="00B713EE">
        <w:rPr>
          <w:rFonts w:eastAsia="MS Mincho"/>
        </w:rPr>
        <w:t>n</w:t>
      </w:r>
      <w:r w:rsidR="00F70973" w:rsidRPr="00B713EE">
        <w:rPr>
          <w:rFonts w:eastAsia="MS Mincho"/>
          <w:vertAlign w:val="superscript"/>
        </w:rPr>
        <w:t>o</w:t>
      </w:r>
      <w:r w:rsidR="00F70973" w:rsidRPr="00B713EE">
        <w:rPr>
          <w:rFonts w:eastAsia="MS Mincho"/>
        </w:rPr>
        <w:t> </w:t>
      </w:r>
      <w:r w:rsidRPr="00B713EE">
        <w:rPr>
          <w:color w:val="000000"/>
        </w:rPr>
        <w:t>78 a été soumis à l</w:t>
      </w:r>
      <w:r w:rsidR="007C2F80">
        <w:rPr>
          <w:color w:val="000000"/>
        </w:rPr>
        <w:t>’</w:t>
      </w:r>
      <w:r w:rsidRPr="00B713EE">
        <w:rPr>
          <w:color w:val="000000"/>
        </w:rPr>
        <w:t>AC.3 pour examen.</w:t>
      </w:r>
    </w:p>
    <w:p w:rsidR="00CD04C1" w:rsidRPr="00B713EE" w:rsidRDefault="00CD04C1" w:rsidP="008C0F4C">
      <w:pPr>
        <w:pStyle w:val="ParNoG"/>
        <w:tabs>
          <w:tab w:val="clear" w:pos="1701"/>
        </w:tabs>
      </w:pPr>
      <w:r w:rsidRPr="00B713EE">
        <w:rPr>
          <w:color w:val="000000"/>
        </w:rPr>
        <w:t xml:space="preserve">Le Comité exécutif a adopté le document </w:t>
      </w:r>
      <w:r w:rsidRPr="00B713EE">
        <w:t>ECE/TRANS/WP.29/2017/51 et prié le secrétariat de le reproduire en tant que document de l</w:t>
      </w:r>
      <w:r w:rsidR="007C2F80">
        <w:t>’</w:t>
      </w:r>
      <w:r w:rsidRPr="00B713EE">
        <w:t xml:space="preserve">AC.3 pour sa cinquantième session en juin 2017. </w:t>
      </w:r>
    </w:p>
    <w:p w:rsidR="00CD04C1" w:rsidRPr="00B713EE" w:rsidRDefault="00CD04C1" w:rsidP="001C6A52">
      <w:pPr>
        <w:pStyle w:val="H1G"/>
      </w:pPr>
      <w:r w:rsidRPr="00B713EE">
        <w:tab/>
      </w:r>
      <w:bookmarkStart w:id="71" w:name="_Toc478663169"/>
      <w:r w:rsidRPr="00B713EE">
        <w:t>D.</w:t>
      </w:r>
      <w:r w:rsidRPr="00B713EE">
        <w:tab/>
        <w:t xml:space="preserve">RTM </w:t>
      </w:r>
      <w:r w:rsidR="0012407F" w:rsidRPr="00B713EE">
        <w:rPr>
          <w:rFonts w:eastAsia="MS Mincho"/>
        </w:rPr>
        <w:t>n</w:t>
      </w:r>
      <w:r w:rsidR="0012407F" w:rsidRPr="00B713EE">
        <w:rPr>
          <w:rFonts w:eastAsia="MS Mincho"/>
          <w:vertAlign w:val="superscript"/>
        </w:rPr>
        <w:t>o</w:t>
      </w:r>
      <w:r w:rsidR="0012407F" w:rsidRPr="00B713EE">
        <w:t> </w:t>
      </w:r>
      <w:r w:rsidRPr="00B713EE">
        <w:t>6 (Vitrages de sécurité) (point 18.4 de l</w:t>
      </w:r>
      <w:r w:rsidR="007C2F80">
        <w:t>’</w:t>
      </w:r>
      <w:r w:rsidRPr="00B713EE">
        <w:t>ordre du jour)</w:t>
      </w:r>
      <w:bookmarkEnd w:id="71"/>
    </w:p>
    <w:p w:rsidR="00CD04C1" w:rsidRPr="00B713EE" w:rsidRDefault="00CD04C1" w:rsidP="008C0F4C">
      <w:pPr>
        <w:pStyle w:val="ParNoG"/>
        <w:tabs>
          <w:tab w:val="clear" w:pos="1701"/>
        </w:tabs>
      </w:pPr>
      <w:r w:rsidRPr="00B713EE">
        <w:t>Le représentant de la République de Corée a rendu compte de l</w:t>
      </w:r>
      <w:r w:rsidR="007C2F80">
        <w:t>’</w:t>
      </w:r>
      <w:r w:rsidRPr="00B713EE">
        <w:t>état d</w:t>
      </w:r>
      <w:r w:rsidR="007C2F80">
        <w:t>’</w:t>
      </w:r>
      <w:r w:rsidRPr="00B713EE">
        <w:t>avancement des travaux menés par le groupe de travail informel des vitrages de toit panoramique (VTP) en vue de l</w:t>
      </w:r>
      <w:r w:rsidR="007C2F80">
        <w:t>’</w:t>
      </w:r>
      <w:r w:rsidRPr="00B713EE">
        <w:t>élaboration d</w:t>
      </w:r>
      <w:r w:rsidR="007C2F80">
        <w:t>’</w:t>
      </w:r>
      <w:r w:rsidRPr="00B713EE">
        <w:t xml:space="preserve">un amendement au RTM </w:t>
      </w:r>
      <w:r w:rsidR="00F70973" w:rsidRPr="00B713EE">
        <w:rPr>
          <w:rFonts w:eastAsia="MS Mincho"/>
        </w:rPr>
        <w:t>n</w:t>
      </w:r>
      <w:r w:rsidR="00F70973" w:rsidRPr="00B713EE">
        <w:rPr>
          <w:rFonts w:eastAsia="MS Mincho"/>
          <w:vertAlign w:val="superscript"/>
        </w:rPr>
        <w:t>o</w:t>
      </w:r>
      <w:r w:rsidR="00F70973" w:rsidRPr="00B713EE">
        <w:rPr>
          <w:rFonts w:eastAsia="MS Mincho"/>
        </w:rPr>
        <w:t> </w:t>
      </w:r>
      <w:r w:rsidRPr="00B713EE">
        <w:t>6. Il a expliqué que le but principal de cet amendement était d</w:t>
      </w:r>
      <w:r w:rsidR="007C2F80">
        <w:t>’</w:t>
      </w:r>
      <w:r w:rsidRPr="00B713EE">
        <w:t>élargir le champ d</w:t>
      </w:r>
      <w:r w:rsidR="007C2F80">
        <w:t>’</w:t>
      </w:r>
      <w:r w:rsidRPr="00B713EE">
        <w:t xml:space="preserve">application du RTM </w:t>
      </w:r>
      <w:r w:rsidR="00F70973" w:rsidRPr="00B713EE">
        <w:rPr>
          <w:rFonts w:eastAsia="MS Mincho"/>
        </w:rPr>
        <w:t>n</w:t>
      </w:r>
      <w:r w:rsidR="00F70973" w:rsidRPr="00B713EE">
        <w:rPr>
          <w:rFonts w:eastAsia="MS Mincho"/>
          <w:vertAlign w:val="superscript"/>
        </w:rPr>
        <w:t>o</w:t>
      </w:r>
      <w:r w:rsidR="00F70973" w:rsidRPr="00B713EE">
        <w:rPr>
          <w:rFonts w:eastAsia="MS Mincho"/>
        </w:rPr>
        <w:t> </w:t>
      </w:r>
      <w:r w:rsidRPr="00B713EE">
        <w:t>6 pour couvrir les vitrages de toit panoramique ainsi que de préciser le point d</w:t>
      </w:r>
      <w:r w:rsidR="007C2F80">
        <w:t>’</w:t>
      </w:r>
      <w:r w:rsidRPr="00B713EE">
        <w:t>impact dans l</w:t>
      </w:r>
      <w:r w:rsidR="007C2F80">
        <w:t>’</w:t>
      </w:r>
      <w:r w:rsidRPr="00B713EE">
        <w:t>essai à la bille d</w:t>
      </w:r>
      <w:r w:rsidR="007C2F80">
        <w:t>’</w:t>
      </w:r>
      <w:r w:rsidRPr="00B713EE">
        <w:t>acier, sur la base d</w:t>
      </w:r>
      <w:r w:rsidR="007C2F80">
        <w:t>’</w:t>
      </w:r>
      <w:r w:rsidRPr="00B713EE">
        <w:t>une proposition soumise par la CLEPA au GRSG en 2014. Il a rappelé à l</w:t>
      </w:r>
      <w:r w:rsidR="007C2F80">
        <w:t>’</w:t>
      </w:r>
      <w:r w:rsidRPr="00B713EE">
        <w:t>AC.3 que le mandat du groupe de travail informel avait été prolongé jusqu</w:t>
      </w:r>
      <w:r w:rsidR="007C2F80">
        <w:t>’</w:t>
      </w:r>
      <w:r w:rsidRPr="00B713EE">
        <w:t>en juin 2018 lors de la session de novembre du WP.29, pour qu</w:t>
      </w:r>
      <w:r w:rsidR="007C2F80">
        <w:t>’</w:t>
      </w:r>
      <w:r w:rsidRPr="00B713EE">
        <w:t>il tienne compte des résultats des recherches menées aux États-Unis d</w:t>
      </w:r>
      <w:r w:rsidR="007C2F80">
        <w:t>’</w:t>
      </w:r>
      <w:r w:rsidRPr="00B713EE">
        <w:t>Amérique. Il a ajouté que la NHTSA entreprendrait cette année des recherches pour déterminer la cause des défaillances des vitrages de toit panoramiques, notamment en procédant à une analyse des fractures. La se</w:t>
      </w:r>
      <w:r w:rsidR="00D84362" w:rsidRPr="00B713EE">
        <w:t>ptième réunion se tiendra le 24 </w:t>
      </w:r>
      <w:r w:rsidRPr="00B713EE">
        <w:t>avril en marge de la prochaine session du GRSG. Il a conclu en disant que le GTI s</w:t>
      </w:r>
      <w:r w:rsidR="007C2F80">
        <w:t>’</w:t>
      </w:r>
      <w:r w:rsidRPr="00B713EE">
        <w:t>attendait à ce que l</w:t>
      </w:r>
      <w:r w:rsidR="007C2F80">
        <w:t>’</w:t>
      </w:r>
      <w:r w:rsidRPr="00B713EE">
        <w:t xml:space="preserve">expert de la NHTSA fasse le point lors de cette réunion sur les recherches menées sur les vitrages de toit panoramiques. </w:t>
      </w:r>
    </w:p>
    <w:p w:rsidR="00CD04C1" w:rsidRPr="00B713EE" w:rsidRDefault="00CD04C1" w:rsidP="0012407F">
      <w:pPr>
        <w:pStyle w:val="H1G"/>
      </w:pPr>
      <w:r w:rsidRPr="00B713EE">
        <w:rPr>
          <w:color w:val="000000"/>
        </w:rPr>
        <w:tab/>
      </w:r>
      <w:bookmarkStart w:id="72" w:name="_Toc478663170"/>
      <w:r w:rsidRPr="00B713EE">
        <w:rPr>
          <w:color w:val="000000"/>
        </w:rPr>
        <w:t>E.</w:t>
      </w:r>
      <w:r w:rsidRPr="00B713EE">
        <w:rPr>
          <w:color w:val="000000"/>
        </w:rPr>
        <w:tab/>
        <w:t xml:space="preserve">RTM </w:t>
      </w:r>
      <w:r w:rsidR="0012407F" w:rsidRPr="00B713EE">
        <w:rPr>
          <w:rFonts w:eastAsia="MS Mincho"/>
        </w:rPr>
        <w:t>n</w:t>
      </w:r>
      <w:r w:rsidR="0012407F" w:rsidRPr="00B713EE">
        <w:rPr>
          <w:rFonts w:eastAsia="MS Mincho"/>
          <w:vertAlign w:val="superscript"/>
        </w:rPr>
        <w:t>o</w:t>
      </w:r>
      <w:r w:rsidR="0012407F" w:rsidRPr="00B713EE">
        <w:t> </w:t>
      </w:r>
      <w:r w:rsidRPr="00B713EE">
        <w:rPr>
          <w:color w:val="000000"/>
        </w:rPr>
        <w:t xml:space="preserve">7 (Appuie-tête) </w:t>
      </w:r>
      <w:r w:rsidR="00973ACD">
        <w:t>(point </w:t>
      </w:r>
      <w:r w:rsidRPr="00B713EE">
        <w:t>18.5 de l</w:t>
      </w:r>
      <w:r w:rsidR="007C2F80">
        <w:t>’</w:t>
      </w:r>
      <w:r w:rsidRPr="00B713EE">
        <w:t>ordre du jour)</w:t>
      </w:r>
      <w:bookmarkEnd w:id="72"/>
    </w:p>
    <w:p w:rsidR="00CD04C1" w:rsidRPr="00B713EE" w:rsidRDefault="00CD04C1" w:rsidP="008C0F4C">
      <w:pPr>
        <w:pStyle w:val="ParNoG"/>
        <w:tabs>
          <w:tab w:val="clear" w:pos="1701"/>
        </w:tabs>
      </w:pPr>
      <w:r w:rsidRPr="00B713EE">
        <w:t xml:space="preserve">Le président du groupe </w:t>
      </w:r>
      <w:r w:rsidR="00973ACD">
        <w:t>de travail informel de la phase </w:t>
      </w:r>
      <w:r w:rsidRPr="00B713EE">
        <w:t xml:space="preserve">2 du RTM </w:t>
      </w:r>
      <w:r w:rsidR="00D84362" w:rsidRPr="00B713EE">
        <w:rPr>
          <w:rFonts w:eastAsia="MS Mincho"/>
        </w:rPr>
        <w:t>n</w:t>
      </w:r>
      <w:r w:rsidR="00D84362" w:rsidRPr="00B713EE">
        <w:rPr>
          <w:rFonts w:eastAsia="MS Mincho"/>
          <w:vertAlign w:val="superscript"/>
        </w:rPr>
        <w:t>o</w:t>
      </w:r>
      <w:r w:rsidR="00D84362" w:rsidRPr="00B713EE">
        <w:rPr>
          <w:rFonts w:eastAsia="MS Mincho"/>
        </w:rPr>
        <w:t> </w:t>
      </w:r>
      <w:r w:rsidRPr="00B713EE">
        <w:t>7 sur les appuie-tête a rappelé à l</w:t>
      </w:r>
      <w:r w:rsidR="007C2F80">
        <w:t>’</w:t>
      </w:r>
      <w:r w:rsidRPr="00B713EE">
        <w:t>AC.3 que les travaux visant à définir des critères de blessure sur la base de données biomécaniques ne s</w:t>
      </w:r>
      <w:r w:rsidR="007C2F80">
        <w:t>’</w:t>
      </w:r>
      <w:r w:rsidRPr="00B713EE">
        <w:t xml:space="preserve">étaient pas avérés concluants et que le groupe avait </w:t>
      </w:r>
      <w:r w:rsidR="00D84362" w:rsidRPr="00B713EE">
        <w:t>été suspendu pendant presque 18 </w:t>
      </w:r>
      <w:r w:rsidRPr="00B713EE">
        <w:t>mois. Il semble que des nouvelles données ne seront pas disponibles avant la fin de 2017 et qu</w:t>
      </w:r>
      <w:r w:rsidR="007C2F80">
        <w:t>’</w:t>
      </w:r>
      <w:r w:rsidRPr="00B713EE">
        <w:t>il pourrait être nécessaire d</w:t>
      </w:r>
      <w:r w:rsidR="007C2F80">
        <w:t>’</w:t>
      </w:r>
      <w:r w:rsidRPr="00B713EE">
        <w:t>adopter une approche différente.</w:t>
      </w:r>
    </w:p>
    <w:p w:rsidR="00CD04C1" w:rsidRPr="00B713EE" w:rsidRDefault="00CD04C1" w:rsidP="008C0F4C">
      <w:pPr>
        <w:pStyle w:val="ParNoG"/>
        <w:tabs>
          <w:tab w:val="clear" w:pos="1701"/>
        </w:tabs>
      </w:pPr>
      <w:r w:rsidRPr="00B713EE">
        <w:t xml:space="preserve">Le Comité exécutif a convenu que cette question devait être examinée par le GRSP, qui devrait en rendre compte lors de la </w:t>
      </w:r>
      <w:r w:rsidR="0010036E" w:rsidRPr="00B713EE">
        <w:t xml:space="preserve">cinquantième </w:t>
      </w:r>
      <w:r w:rsidRPr="00B713EE">
        <w:t>session de l</w:t>
      </w:r>
      <w:r w:rsidR="007C2F80">
        <w:t>’</w:t>
      </w:r>
      <w:r w:rsidRPr="00B713EE">
        <w:t>AC.3 en juin. Le mandat du groupe de travail informel a été prolongé jusqu</w:t>
      </w:r>
      <w:r w:rsidR="007C2F80">
        <w:t>’</w:t>
      </w:r>
      <w:r w:rsidRPr="00B713EE">
        <w:t>en 2018.</w:t>
      </w:r>
    </w:p>
    <w:p w:rsidR="00CD04C1" w:rsidRPr="00B713EE" w:rsidRDefault="00CD04C1" w:rsidP="0012407F">
      <w:pPr>
        <w:pStyle w:val="H1G"/>
      </w:pPr>
      <w:r w:rsidRPr="00B713EE">
        <w:tab/>
      </w:r>
      <w:bookmarkStart w:id="73" w:name="_Toc478663171"/>
      <w:r w:rsidRPr="00B713EE">
        <w:t>F.</w:t>
      </w:r>
      <w:r w:rsidRPr="00B713EE">
        <w:tab/>
        <w:t xml:space="preserve">RTM </w:t>
      </w:r>
      <w:r w:rsidR="00742FB1" w:rsidRPr="00B713EE">
        <w:rPr>
          <w:rFonts w:eastAsia="MS Mincho"/>
        </w:rPr>
        <w:t>n</w:t>
      </w:r>
      <w:r w:rsidR="00742FB1" w:rsidRPr="00B713EE">
        <w:rPr>
          <w:rFonts w:eastAsia="MS Mincho"/>
          <w:vertAlign w:val="superscript"/>
        </w:rPr>
        <w:t>o</w:t>
      </w:r>
      <w:r w:rsidR="00742FB1" w:rsidRPr="00B713EE">
        <w:t> </w:t>
      </w:r>
      <w:r w:rsidRPr="00B713EE">
        <w:t>9 (Sécurité des piétons) (point 18.6 de l</w:t>
      </w:r>
      <w:r w:rsidR="007C2F80">
        <w:t>’</w:t>
      </w:r>
      <w:r w:rsidRPr="00B713EE">
        <w:t>ordre du jour)</w:t>
      </w:r>
      <w:bookmarkEnd w:id="73"/>
    </w:p>
    <w:p w:rsidR="00CD04C1" w:rsidRPr="00B713EE" w:rsidRDefault="00E4024E" w:rsidP="001F7EFD">
      <w:pPr>
        <w:pStyle w:val="SingleTxtG"/>
        <w:ind w:left="2835" w:hanging="1701"/>
        <w:jc w:val="left"/>
      </w:pPr>
      <w:r w:rsidRPr="00B713EE">
        <w:rPr>
          <w:i/>
        </w:rPr>
        <w:t>Document(s) </w:t>
      </w:r>
      <w:r w:rsidRPr="00B713EE">
        <w:t>:</w:t>
      </w:r>
      <w:r w:rsidR="00CD04C1" w:rsidRPr="00B713EE">
        <w:tab/>
        <w:t>ECE/TRANS/WP.29/AC.3/45</w:t>
      </w:r>
      <w:r w:rsidRPr="00B713EE">
        <w:t>.</w:t>
      </w:r>
    </w:p>
    <w:p w:rsidR="00CD04C1" w:rsidRPr="00B713EE" w:rsidRDefault="00CD04C1" w:rsidP="008C0F4C">
      <w:pPr>
        <w:pStyle w:val="ParNoG"/>
        <w:tabs>
          <w:tab w:val="clear" w:pos="1701"/>
        </w:tabs>
      </w:pPr>
      <w:r w:rsidRPr="00B713EE">
        <w:t>Le représentant des États-Unis d</w:t>
      </w:r>
      <w:r w:rsidR="007C2F80">
        <w:t>’</w:t>
      </w:r>
      <w:r w:rsidRPr="00B713EE">
        <w:t>Amérique a informé l</w:t>
      </w:r>
      <w:r w:rsidR="007C2F80">
        <w:t>’</w:t>
      </w:r>
      <w:r w:rsidRPr="00B713EE">
        <w:t>AC.3 que le GSRP avait décidé d</w:t>
      </w:r>
      <w:r w:rsidR="007C2F80">
        <w:t>’</w:t>
      </w:r>
      <w:r w:rsidRPr="00B713EE">
        <w:t>accepter les valeurs de référence de l</w:t>
      </w:r>
      <w:r w:rsidR="007C2F80">
        <w:t>’</w:t>
      </w:r>
      <w:r w:rsidRPr="00B713EE">
        <w:t xml:space="preserve">évaluation des blessures (VREB) afin de faire </w:t>
      </w:r>
      <w:r w:rsidR="00594E4D" w:rsidRPr="00B713EE">
        <w:t>avancer les travaux de la phase </w:t>
      </w:r>
      <w:r w:rsidRPr="00B713EE">
        <w:t>2 et d</w:t>
      </w:r>
      <w:r w:rsidR="007C2F80">
        <w:t>’</w:t>
      </w:r>
      <w:r w:rsidRPr="00B713EE">
        <w:t>y incorporer la jambe d</w:t>
      </w:r>
      <w:r w:rsidR="007C2F80">
        <w:t>’</w:t>
      </w:r>
      <w:r w:rsidRPr="00B713EE">
        <w:t>essai souple (FlexPLI) ainsi que la nouvelle procédure d</w:t>
      </w:r>
      <w:r w:rsidR="007C2F80">
        <w:t>’</w:t>
      </w:r>
      <w:r w:rsidRPr="00B713EE">
        <w:t>essai améliorée du pare-chocs proposée par l</w:t>
      </w:r>
      <w:r w:rsidR="007C2F80">
        <w:t>’</w:t>
      </w:r>
      <w:r w:rsidRPr="00B713EE">
        <w:t>équipe spéciale chargée de la zone d</w:t>
      </w:r>
      <w:r w:rsidR="007C2F80">
        <w:t>’</w:t>
      </w:r>
      <w:r w:rsidRPr="00B713EE">
        <w:t>impact du pare-chocs. S</w:t>
      </w:r>
      <w:r w:rsidR="007C2F80">
        <w:t>’</w:t>
      </w:r>
      <w:r w:rsidRPr="00B713EE">
        <w:t>agissant de la nouvelle tête factice d</w:t>
      </w:r>
      <w:r w:rsidR="007C2F80">
        <w:t>’</w:t>
      </w:r>
      <w:r w:rsidRPr="00B713EE">
        <w:t>essai, il a indiqué qu</w:t>
      </w:r>
      <w:r w:rsidR="007C2F80">
        <w:t>’</w:t>
      </w:r>
      <w:r w:rsidRPr="00B713EE">
        <w:t>une analyse plus approfondie serait nécessaire et que la modification proposée ne pouvait donc pas être acceptée par les États-Unis d</w:t>
      </w:r>
      <w:r w:rsidR="007C2F80">
        <w:t>’</w:t>
      </w:r>
      <w:r w:rsidRPr="00B713EE">
        <w:t>Amérique pour le moment.</w:t>
      </w:r>
    </w:p>
    <w:p w:rsidR="00CD04C1" w:rsidRPr="00B713EE" w:rsidRDefault="00CD04C1" w:rsidP="008C0F4C">
      <w:pPr>
        <w:pStyle w:val="ParNoG"/>
        <w:tabs>
          <w:tab w:val="clear" w:pos="1701"/>
        </w:tabs>
      </w:pPr>
      <w:r w:rsidRPr="00B713EE">
        <w:rPr>
          <w:rFonts w:eastAsia="SimSun"/>
        </w:rPr>
        <w:t>Le</w:t>
      </w:r>
      <w:r w:rsidRPr="00B713EE">
        <w:t xml:space="preserve"> représentant de la République de Corée a informé l</w:t>
      </w:r>
      <w:r w:rsidR="007C2F80">
        <w:t>’</w:t>
      </w:r>
      <w:r w:rsidRPr="00B713EE">
        <w:t>AC.3 de l</w:t>
      </w:r>
      <w:r w:rsidR="007C2F80">
        <w:t>’</w:t>
      </w:r>
      <w:r w:rsidRPr="00B713EE">
        <w:t>état d</w:t>
      </w:r>
      <w:r w:rsidR="007C2F80">
        <w:t>’</w:t>
      </w:r>
      <w:r w:rsidRPr="00B713EE">
        <w:t>avancement des travaux de l</w:t>
      </w:r>
      <w:r w:rsidR="007C2F80">
        <w:t>’</w:t>
      </w:r>
      <w:r w:rsidRPr="00B713EE">
        <w:t>équipe spéciale chargée d</w:t>
      </w:r>
      <w:r w:rsidR="007C2F80">
        <w:t>’</w:t>
      </w:r>
      <w:r w:rsidRPr="00B713EE">
        <w:t>ajouter des dispositions relatives aux systèmes de capots actifs. Il a ajouté que la première réunion s</w:t>
      </w:r>
      <w:r w:rsidR="007C2F80">
        <w:t>’</w:t>
      </w:r>
      <w:r w:rsidRPr="00B713EE">
        <w:t>était tenue l</w:t>
      </w:r>
      <w:r w:rsidR="008B16CA" w:rsidRPr="00B713EE">
        <w:t>e 7 et 8 </w:t>
      </w:r>
      <w:r w:rsidRPr="00B713EE">
        <w:t xml:space="preserve">février à </w:t>
      </w:r>
      <w:r w:rsidR="00973ACD">
        <w:t>Paris et avait réuni plus de 35 </w:t>
      </w:r>
      <w:r w:rsidRPr="00B713EE">
        <w:t>participants parmi lesquels les représentants de cinq parties contractantes, physiquement ou en ligne. Il a expliqué que l</w:t>
      </w:r>
      <w:r w:rsidR="007C2F80">
        <w:t>’</w:t>
      </w:r>
      <w:r w:rsidRPr="00B713EE">
        <w:t>équipe spéciale s</w:t>
      </w:r>
      <w:r w:rsidR="007C2F80">
        <w:t>’</w:t>
      </w:r>
      <w:r w:rsidRPr="00B713EE">
        <w:t>était concentrée lors de cette réunion sur des questions fo</w:t>
      </w:r>
      <w:r w:rsidR="008B16CA" w:rsidRPr="00B713EE">
        <w:t>ndamentales et décidé notamment : i) </w:t>
      </w:r>
      <w:r w:rsidRPr="00B713EE">
        <w:t>du champ des discussions</w:t>
      </w:r>
      <w:r w:rsidR="008B16CA" w:rsidRPr="00B713EE">
        <w:t> ; et ii) </w:t>
      </w:r>
      <w:r w:rsidRPr="00B713EE">
        <w:t>du nom l</w:t>
      </w:r>
      <w:r w:rsidR="007C2F80">
        <w:t>’</w:t>
      </w:r>
      <w:r w:rsidRPr="00B713EE">
        <w:t>équipe spéciale, abrégé en DPPS, pour «</w:t>
      </w:r>
      <w:r w:rsidR="008B16CA" w:rsidRPr="00B713EE">
        <w:t> </w:t>
      </w:r>
      <w:r w:rsidRPr="00B713EE">
        <w:t>Deployable Pedestrian Protection System » (système de capot actif pour la protection des piétons). Il a ajouté que l</w:t>
      </w:r>
      <w:r w:rsidR="007C2F80">
        <w:t>’</w:t>
      </w:r>
      <w:r w:rsidRPr="00B713EE">
        <w:t>équipe spéciale avait débattu des points à inclure dans le programme de travail et décidé de reprendre l</w:t>
      </w:r>
      <w:r w:rsidR="007C2F80">
        <w:t>’</w:t>
      </w:r>
      <w:r w:rsidRPr="00B713EE">
        <w:t>examen de cette question lors de sa deuxième réunion qui se</w:t>
      </w:r>
      <w:r w:rsidR="008B16CA" w:rsidRPr="00B713EE">
        <w:t xml:space="preserve"> tiendrait à Paris les 28 et 29 </w:t>
      </w:r>
      <w:r w:rsidRPr="00B713EE">
        <w:t>mars. Il a conclu en disant, en tant que président de l</w:t>
      </w:r>
      <w:r w:rsidR="007C2F80">
        <w:t>’</w:t>
      </w:r>
      <w:r w:rsidRPr="00B713EE">
        <w:t>équipe spéciale, que son pays sollicitait la participation active ainsi que l</w:t>
      </w:r>
      <w:r w:rsidR="007C2F80">
        <w:t>’</w:t>
      </w:r>
      <w:r w:rsidRPr="00B713EE">
        <w:t>appui de toutes les parties contractantes et partenaires intéressés.</w:t>
      </w:r>
    </w:p>
    <w:p w:rsidR="00CD04C1" w:rsidRPr="00B713EE" w:rsidRDefault="00CD04C1" w:rsidP="00AA44DC">
      <w:pPr>
        <w:pStyle w:val="H1G"/>
      </w:pPr>
      <w:r w:rsidRPr="00B713EE">
        <w:tab/>
      </w:r>
      <w:bookmarkStart w:id="74" w:name="_Toc478663172"/>
      <w:r w:rsidRPr="00B713EE">
        <w:t>G.</w:t>
      </w:r>
      <w:r w:rsidRPr="00B713EE">
        <w:tab/>
        <w:t xml:space="preserve">RTM </w:t>
      </w:r>
      <w:r w:rsidR="00AA44DC" w:rsidRPr="00B713EE">
        <w:rPr>
          <w:rFonts w:eastAsia="MS Mincho"/>
        </w:rPr>
        <w:t>n</w:t>
      </w:r>
      <w:r w:rsidR="00AA44DC" w:rsidRPr="00B713EE">
        <w:rPr>
          <w:rFonts w:eastAsia="MS Mincho"/>
          <w:vertAlign w:val="superscript"/>
        </w:rPr>
        <w:t>o</w:t>
      </w:r>
      <w:r w:rsidR="00AA44DC" w:rsidRPr="00B713EE">
        <w:t> </w:t>
      </w:r>
      <w:r w:rsidRPr="00B713EE">
        <w:t>15 (Procédure d</w:t>
      </w:r>
      <w:r w:rsidR="007C2F80">
        <w:t>’</w:t>
      </w:r>
      <w:r w:rsidRPr="00B713EE">
        <w:t xml:space="preserve">essai mondiale harmonisée pour les voitures particulières et véhicules utilitaires légers (WLTP) </w:t>
      </w:r>
      <w:r w:rsidR="00973ACD">
        <w:t>− Phase </w:t>
      </w:r>
      <w:r w:rsidRPr="00B713EE">
        <w:t xml:space="preserve">2) </w:t>
      </w:r>
      <w:r w:rsidR="00AA44DC" w:rsidRPr="00B713EE">
        <w:br/>
      </w:r>
      <w:r w:rsidR="00973ACD">
        <w:t>(point </w:t>
      </w:r>
      <w:r w:rsidRPr="00B713EE">
        <w:t>18.7 de l</w:t>
      </w:r>
      <w:r w:rsidR="007C2F80">
        <w:t>’</w:t>
      </w:r>
      <w:r w:rsidRPr="00B713EE">
        <w:t>ordre du jour)</w:t>
      </w:r>
      <w:bookmarkEnd w:id="74"/>
    </w:p>
    <w:p w:rsidR="00CD04C1" w:rsidRPr="00B713EE" w:rsidRDefault="00E4024E" w:rsidP="001F7EFD">
      <w:pPr>
        <w:pStyle w:val="SingleTxtG"/>
        <w:ind w:left="2835" w:hanging="1701"/>
        <w:jc w:val="left"/>
        <w:rPr>
          <w:color w:val="000000"/>
        </w:rPr>
      </w:pPr>
      <w:r w:rsidRPr="00B713EE">
        <w:rPr>
          <w:i/>
        </w:rPr>
        <w:t>Document(s) </w:t>
      </w:r>
      <w:r w:rsidRPr="00B713EE">
        <w:t>:</w:t>
      </w:r>
      <w:r w:rsidR="00CD04C1" w:rsidRPr="00B713EE">
        <w:tab/>
        <w:t>ECE/TRANS/WP.29/AC.3/44</w:t>
      </w:r>
      <w:r w:rsidRPr="00B713EE">
        <w:t>.</w:t>
      </w:r>
    </w:p>
    <w:p w:rsidR="00CD04C1" w:rsidRPr="00B713EE" w:rsidRDefault="00CD04C1" w:rsidP="00743036">
      <w:pPr>
        <w:pStyle w:val="ParNoG"/>
        <w:tabs>
          <w:tab w:val="clear" w:pos="1701"/>
        </w:tabs>
        <w:spacing w:line="220" w:lineRule="atLeast"/>
      </w:pPr>
      <w:r w:rsidRPr="00B713EE">
        <w:t>En tant que responsable technique de ce travail, le représentant du Japon a rendu c</w:t>
      </w:r>
      <w:r w:rsidR="00594E4D" w:rsidRPr="00B713EE">
        <w:t>ompte des activités de la phase </w:t>
      </w:r>
      <w:r w:rsidRPr="00B713EE">
        <w:t>2 menées par le groupe de travail informel WLTP dans le cadre du GRPE. Il a expliqué que le GRPE avait adopté deux propositio</w:t>
      </w:r>
      <w:r w:rsidR="00594E4D" w:rsidRPr="00B713EE">
        <w:t>ns à sa session de janvier 2017 </w:t>
      </w:r>
      <w:r w:rsidRPr="00B713EE">
        <w:t>: un projet de nouveau RTM sur la procédure de mesure des émissions par évaporation dans le cadre de la procédure d</w:t>
      </w:r>
      <w:r w:rsidR="007C2F80">
        <w:t>’</w:t>
      </w:r>
      <w:r w:rsidRPr="00B713EE">
        <w:t xml:space="preserve">essai mondiale harmonisée pour les voitures particulières et véhicules utilitaires légers (WLTP EVAP) et des amendements au RTM </w:t>
      </w:r>
      <w:r w:rsidR="00594E4D" w:rsidRPr="00B713EE">
        <w:rPr>
          <w:rFonts w:eastAsia="MS Mincho"/>
        </w:rPr>
        <w:t>n</w:t>
      </w:r>
      <w:r w:rsidR="00594E4D" w:rsidRPr="00B713EE">
        <w:rPr>
          <w:rFonts w:eastAsia="MS Mincho"/>
          <w:vertAlign w:val="superscript"/>
        </w:rPr>
        <w:t>o</w:t>
      </w:r>
      <w:r w:rsidR="00594E4D" w:rsidRPr="00B713EE">
        <w:rPr>
          <w:rFonts w:eastAsia="MS Mincho"/>
        </w:rPr>
        <w:t> </w:t>
      </w:r>
      <w:r w:rsidRPr="00B713EE">
        <w:t>15. Il a expliqué que l</w:t>
      </w:r>
      <w:r w:rsidR="007C2F80">
        <w:t>’</w:t>
      </w:r>
      <w:r w:rsidRPr="00B713EE">
        <w:t>équipe spéciale chargée de la transposition de la procédure d</w:t>
      </w:r>
      <w:r w:rsidR="007C2F80">
        <w:t>’</w:t>
      </w:r>
      <w:r w:rsidRPr="00B713EE">
        <w:t>essai mondiale harmonisée dans l</w:t>
      </w:r>
      <w:r w:rsidR="007C2F80">
        <w:t>’</w:t>
      </w:r>
      <w:r w:rsidRPr="00B713EE">
        <w:t>Accord de 1958 s</w:t>
      </w:r>
      <w:r w:rsidR="007C2F80">
        <w:t>’</w:t>
      </w:r>
      <w:r w:rsidRPr="00B713EE">
        <w:t xml:space="preserve">était réunie pour la première fois en février 2017 et devrait présenter une feuille de route à la prochaine session du GRPE en juin 2017. </w:t>
      </w:r>
    </w:p>
    <w:p w:rsidR="00CD04C1" w:rsidRPr="00B713EE" w:rsidRDefault="00CD04C1" w:rsidP="00AA44DC">
      <w:pPr>
        <w:pStyle w:val="H1G"/>
      </w:pPr>
      <w:r w:rsidRPr="00B713EE">
        <w:rPr>
          <w:color w:val="000000"/>
        </w:rPr>
        <w:tab/>
      </w:r>
      <w:bookmarkStart w:id="75" w:name="_Toc478663173"/>
      <w:r w:rsidRPr="00B713EE">
        <w:rPr>
          <w:color w:val="000000"/>
        </w:rPr>
        <w:t>H.</w:t>
      </w:r>
      <w:r w:rsidRPr="00B713EE">
        <w:rPr>
          <w:color w:val="000000"/>
        </w:rPr>
        <w:tab/>
        <w:t xml:space="preserve">RTM </w:t>
      </w:r>
      <w:r w:rsidR="00AA44DC" w:rsidRPr="00B713EE">
        <w:rPr>
          <w:rFonts w:eastAsia="MS Mincho"/>
        </w:rPr>
        <w:t>n</w:t>
      </w:r>
      <w:r w:rsidR="00AA44DC" w:rsidRPr="00B713EE">
        <w:rPr>
          <w:rFonts w:eastAsia="MS Mincho"/>
          <w:vertAlign w:val="superscript"/>
        </w:rPr>
        <w:t>o</w:t>
      </w:r>
      <w:r w:rsidR="00AA44DC" w:rsidRPr="00B713EE">
        <w:t> </w:t>
      </w:r>
      <w:r w:rsidRPr="00B713EE">
        <w:rPr>
          <w:color w:val="000000"/>
        </w:rPr>
        <w:t xml:space="preserve">16 (Pneumatiques) </w:t>
      </w:r>
      <w:r w:rsidR="007473D0">
        <w:t>(point </w:t>
      </w:r>
      <w:r w:rsidRPr="00B713EE">
        <w:t>18.8 de l</w:t>
      </w:r>
      <w:r w:rsidR="007C2F80">
        <w:t>’</w:t>
      </w:r>
      <w:r w:rsidRPr="00B713EE">
        <w:t>ordre du jour)</w:t>
      </w:r>
      <w:bookmarkEnd w:id="75"/>
    </w:p>
    <w:p w:rsidR="00CD04C1" w:rsidRPr="00B713EE" w:rsidRDefault="00E4024E" w:rsidP="001F7EFD">
      <w:pPr>
        <w:pStyle w:val="SingleTxtG"/>
        <w:ind w:left="2835" w:hanging="1701"/>
        <w:jc w:val="left"/>
      </w:pPr>
      <w:r w:rsidRPr="00B713EE">
        <w:rPr>
          <w:i/>
        </w:rPr>
        <w:t>Document(s) </w:t>
      </w:r>
      <w:r w:rsidRPr="00B713EE">
        <w:t>:</w:t>
      </w:r>
      <w:r w:rsidR="00CD04C1" w:rsidRPr="00B713EE">
        <w:tab/>
        <w:t>ECE/TRANS/WP.29/2017/52</w:t>
      </w:r>
      <w:r w:rsidRPr="00B713EE">
        <w:t>.</w:t>
      </w:r>
    </w:p>
    <w:p w:rsidR="00CD04C1" w:rsidRPr="00B713EE" w:rsidRDefault="00CD04C1" w:rsidP="00743036">
      <w:pPr>
        <w:pStyle w:val="ParNoG"/>
        <w:tabs>
          <w:tab w:val="clear" w:pos="1701"/>
        </w:tabs>
        <w:spacing w:line="220" w:lineRule="atLeast"/>
      </w:pPr>
      <w:r w:rsidRPr="00B713EE">
        <w:t>Le représentant de la Fédération de Russie a présenté le document ECE/TRANS/WP.29/2017/52, dans lequel il est proposé que l</w:t>
      </w:r>
      <w:r w:rsidR="007C2F80">
        <w:t>’</w:t>
      </w:r>
      <w:r w:rsidRPr="00B713EE">
        <w:t>AC.3 autorise l</w:t>
      </w:r>
      <w:r w:rsidR="007C2F80">
        <w:t>’</w:t>
      </w:r>
      <w:r w:rsidRPr="00B713EE">
        <w:t>élaboration d</w:t>
      </w:r>
      <w:r w:rsidR="007C2F80">
        <w:t>’</w:t>
      </w:r>
      <w:r w:rsidRPr="00B713EE">
        <w:t xml:space="preserve">un amendement au RTM </w:t>
      </w:r>
      <w:r w:rsidR="00594E4D" w:rsidRPr="00B713EE">
        <w:rPr>
          <w:rFonts w:eastAsia="MS Mincho"/>
        </w:rPr>
        <w:t>n</w:t>
      </w:r>
      <w:r w:rsidR="00594E4D" w:rsidRPr="00B713EE">
        <w:rPr>
          <w:rFonts w:eastAsia="MS Mincho"/>
          <w:vertAlign w:val="superscript"/>
        </w:rPr>
        <w:t>o</w:t>
      </w:r>
      <w:r w:rsidR="00594E4D" w:rsidRPr="00B713EE">
        <w:rPr>
          <w:rFonts w:eastAsia="MS Mincho"/>
        </w:rPr>
        <w:t> </w:t>
      </w:r>
      <w:r w:rsidRPr="00B713EE">
        <w:t>16 en deux phases (2A et 2B) sous la responsabilité de son pays. Il a également rappelé les objectifs du document WP.29-170-12 qui contient le mandat du groupe de travail informel du RTM sur les pneumatiques, ainsi que les progrès réalisés par le groupe. Il a mentionné les contributions de diverses Parties contractantes et de l</w:t>
      </w:r>
      <w:r w:rsidR="007C2F80">
        <w:t>’</w:t>
      </w:r>
      <w:r w:rsidRPr="00B713EE">
        <w:t>ETRTO, notamment celles de l</w:t>
      </w:r>
      <w:r w:rsidR="007C2F80">
        <w:t>’</w:t>
      </w:r>
      <w:r w:rsidRPr="00B713EE">
        <w:t xml:space="preserve">expert de la Chine et il a invité tous les participants intéressés à venir à Moscou en juin pour participer à la réunion du groupe informel. </w:t>
      </w:r>
    </w:p>
    <w:p w:rsidR="00CD04C1" w:rsidRPr="00B713EE" w:rsidRDefault="00CD04C1" w:rsidP="00743036">
      <w:pPr>
        <w:pStyle w:val="ParNoG"/>
        <w:tabs>
          <w:tab w:val="clear" w:pos="1701"/>
        </w:tabs>
        <w:spacing w:line="220" w:lineRule="atLeast"/>
      </w:pPr>
      <w:r w:rsidRPr="00B713EE">
        <w:rPr>
          <w:rFonts w:eastAsia="SimSun"/>
        </w:rPr>
        <w:t>Le</w:t>
      </w:r>
      <w:r w:rsidRPr="00B713EE">
        <w:t xml:space="preserve"> secrétariat a rappelé les objectifs du Recueil des RTM admissibles et encouragé les Parties contractantes à y inclure leurs normes et règlements nationaux sur les pneumatiques aux fins de leur harmonisation par le groupe de travail informel sur les pneumatiques. </w:t>
      </w:r>
    </w:p>
    <w:p w:rsidR="00CD04C1" w:rsidRPr="00B713EE" w:rsidRDefault="00CD04C1" w:rsidP="00743036">
      <w:pPr>
        <w:pStyle w:val="ParNoG"/>
        <w:tabs>
          <w:tab w:val="clear" w:pos="1701"/>
        </w:tabs>
        <w:spacing w:line="220" w:lineRule="atLeast"/>
      </w:pPr>
      <w:r w:rsidRPr="00B713EE">
        <w:rPr>
          <w:rFonts w:eastAsia="SimSun"/>
        </w:rPr>
        <w:t>Le</w:t>
      </w:r>
      <w:r w:rsidRPr="00B713EE">
        <w:t xml:space="preserve"> Comité exécutif a adopté le</w:t>
      </w:r>
      <w:r w:rsidR="000E41A7" w:rsidRPr="00B713EE">
        <w:t xml:space="preserve"> document ECE/TRANS/WP.29/2017/</w:t>
      </w:r>
      <w:r w:rsidRPr="00B713EE">
        <w:t>52 et prié le secrétariat de le reproduire en tant que document de l</w:t>
      </w:r>
      <w:r w:rsidR="007C2F80">
        <w:t>’</w:t>
      </w:r>
      <w:r w:rsidRPr="00B713EE">
        <w:t>AC.3 pour sa cinquantième session en juin 2017.</w:t>
      </w:r>
    </w:p>
    <w:p w:rsidR="00CD04C1" w:rsidRPr="00B713EE" w:rsidRDefault="00CD04C1" w:rsidP="00AA44DC">
      <w:pPr>
        <w:pStyle w:val="H1G"/>
      </w:pPr>
      <w:r w:rsidRPr="00B713EE">
        <w:tab/>
      </w:r>
      <w:bookmarkStart w:id="76" w:name="_Toc478663174"/>
      <w:r w:rsidRPr="00B713EE">
        <w:t>I.</w:t>
      </w:r>
      <w:r w:rsidRPr="00B713EE">
        <w:tab/>
        <w:t xml:space="preserve">Projet de RTM sur la sécurité des véhicules électriques </w:t>
      </w:r>
      <w:r w:rsidR="00AA44DC" w:rsidRPr="00B713EE">
        <w:br/>
      </w:r>
      <w:r w:rsidR="007473D0">
        <w:t>(point </w:t>
      </w:r>
      <w:r w:rsidRPr="00B713EE">
        <w:t>18.9 de l</w:t>
      </w:r>
      <w:r w:rsidR="007C2F80">
        <w:t>’</w:t>
      </w:r>
      <w:r w:rsidRPr="00B713EE">
        <w:t>ordre du jour)</w:t>
      </w:r>
      <w:bookmarkEnd w:id="76"/>
    </w:p>
    <w:p w:rsidR="00CD04C1" w:rsidRPr="00B713EE" w:rsidRDefault="000E41A7" w:rsidP="001F7EFD">
      <w:pPr>
        <w:pStyle w:val="SingleTxtG"/>
        <w:ind w:left="2835" w:hanging="1701"/>
        <w:jc w:val="left"/>
        <w:rPr>
          <w:color w:val="000000"/>
        </w:rPr>
      </w:pPr>
      <w:r w:rsidRPr="00B713EE">
        <w:rPr>
          <w:i/>
        </w:rPr>
        <w:t>Document(s) </w:t>
      </w:r>
      <w:r w:rsidRPr="00B713EE">
        <w:t>:</w:t>
      </w:r>
      <w:r w:rsidR="00CD04C1" w:rsidRPr="00B713EE">
        <w:tab/>
        <w:t>ECE/TRANS/WP.29/2016/30</w:t>
      </w:r>
      <w:r w:rsidRPr="00B713EE">
        <w:t> ;</w:t>
      </w:r>
      <w:r w:rsidR="00CD04C1" w:rsidRPr="00B713EE">
        <w:br/>
        <w:t>ECE/TRANS/WP.29/2015/107</w:t>
      </w:r>
      <w:r w:rsidRPr="00B713EE">
        <w:t> ;</w:t>
      </w:r>
      <w:r w:rsidR="00CD04C1" w:rsidRPr="00B713EE">
        <w:t xml:space="preserve"> </w:t>
      </w:r>
      <w:r w:rsidR="00CD04C1" w:rsidRPr="00B713EE">
        <w:br/>
        <w:t>ECE/TRANS/WP.29/2014/87</w:t>
      </w:r>
      <w:r w:rsidRPr="00B713EE">
        <w:t> ;</w:t>
      </w:r>
      <w:r w:rsidR="00CD04C1" w:rsidRPr="00B713EE">
        <w:t xml:space="preserve"> </w:t>
      </w:r>
      <w:r w:rsidR="00CD04C1" w:rsidRPr="00B713EE">
        <w:br/>
        <w:t>ECE/TRANS/WP.29/2012/122</w:t>
      </w:r>
      <w:r w:rsidRPr="00B713EE">
        <w:t> ;</w:t>
      </w:r>
      <w:r w:rsidR="00CD04C1" w:rsidRPr="00B713EE">
        <w:t xml:space="preserve"> </w:t>
      </w:r>
      <w:r w:rsidR="00CD04C1" w:rsidRPr="00B713EE">
        <w:br/>
        <w:t>ECE/TRANS/WP.29/2012/121</w:t>
      </w:r>
      <w:r w:rsidRPr="00B713EE">
        <w:t> ;</w:t>
      </w:r>
      <w:r w:rsidR="00CD04C1" w:rsidRPr="00B713EE">
        <w:t xml:space="preserve"> </w:t>
      </w:r>
      <w:r w:rsidR="00CD04C1" w:rsidRPr="00B713EE">
        <w:br/>
        <w:t>ECE/TRANS/WP.29/AC.3/32</w:t>
      </w:r>
      <w:r w:rsidRPr="00B713EE">
        <w:t xml:space="preserve"> ; </w:t>
      </w:r>
      <w:r w:rsidRPr="00B713EE">
        <w:br/>
      </w:r>
      <w:r w:rsidR="00CD04C1" w:rsidRPr="00B713EE">
        <w:rPr>
          <w:color w:val="000000"/>
        </w:rPr>
        <w:t xml:space="preserve">Document </w:t>
      </w:r>
      <w:r w:rsidR="00CD04C1" w:rsidRPr="00B713EE">
        <w:t>informel</w:t>
      </w:r>
      <w:r w:rsidRPr="00B713EE">
        <w:rPr>
          <w:color w:val="000000"/>
        </w:rPr>
        <w:t> </w:t>
      </w:r>
      <w:r w:rsidR="00CD04C1" w:rsidRPr="00B713EE">
        <w:rPr>
          <w:color w:val="000000"/>
        </w:rPr>
        <w:t>: WP.29-171-33</w:t>
      </w:r>
      <w:r w:rsidRPr="00B713EE">
        <w:rPr>
          <w:color w:val="000000"/>
        </w:rPr>
        <w:t>.</w:t>
      </w:r>
    </w:p>
    <w:p w:rsidR="00CD04C1" w:rsidRPr="00743036" w:rsidRDefault="00CD04C1" w:rsidP="00743036">
      <w:pPr>
        <w:pStyle w:val="ParNoG"/>
        <w:tabs>
          <w:tab w:val="clear" w:pos="1701"/>
        </w:tabs>
        <w:spacing w:line="220" w:lineRule="atLeast"/>
        <w:rPr>
          <w:color w:val="000000"/>
          <w:spacing w:val="-4"/>
        </w:rPr>
      </w:pPr>
      <w:r w:rsidRPr="00743036">
        <w:rPr>
          <w:spacing w:val="-4"/>
        </w:rPr>
        <w:t>Le représentant des États-Unis d</w:t>
      </w:r>
      <w:r w:rsidR="007C2F80">
        <w:rPr>
          <w:spacing w:val="-4"/>
        </w:rPr>
        <w:t>’</w:t>
      </w:r>
      <w:r w:rsidRPr="00743036">
        <w:rPr>
          <w:spacing w:val="-4"/>
        </w:rPr>
        <w:t xml:space="preserve">Amérique, </w:t>
      </w:r>
      <w:r w:rsidR="005C1CDA">
        <w:rPr>
          <w:spacing w:val="-4"/>
        </w:rPr>
        <w:t>P</w:t>
      </w:r>
      <w:r w:rsidRPr="00743036">
        <w:rPr>
          <w:spacing w:val="-4"/>
        </w:rPr>
        <w:t>résident du groupe de travail informel sur la sécurité des véhicules électriques (SVE), a présenté le cinquième rapport d</w:t>
      </w:r>
      <w:r w:rsidR="007C2F80">
        <w:rPr>
          <w:spacing w:val="-4"/>
        </w:rPr>
        <w:t>’</w:t>
      </w:r>
      <w:r w:rsidRPr="00743036">
        <w:rPr>
          <w:spacing w:val="-4"/>
        </w:rPr>
        <w:t>activité de son groupe (</w:t>
      </w:r>
      <w:r w:rsidRPr="00743036">
        <w:rPr>
          <w:color w:val="000000"/>
          <w:spacing w:val="-4"/>
        </w:rPr>
        <w:t>WP.29-171-33). Il a fait savoir que le travail du GTI était considéré comme achevé, mises à part quelques questions techniques concernant les véhicules utilitaires lourds qui doivent encore faire l</w:t>
      </w:r>
      <w:r w:rsidR="007C2F80">
        <w:rPr>
          <w:color w:val="000000"/>
          <w:spacing w:val="-4"/>
        </w:rPr>
        <w:t>’</w:t>
      </w:r>
      <w:r w:rsidRPr="00743036">
        <w:rPr>
          <w:color w:val="000000"/>
          <w:spacing w:val="-4"/>
        </w:rPr>
        <w:t>objet d</w:t>
      </w:r>
      <w:r w:rsidR="007C2F80">
        <w:rPr>
          <w:color w:val="000000"/>
          <w:spacing w:val="-4"/>
        </w:rPr>
        <w:t>’</w:t>
      </w:r>
      <w:r w:rsidRPr="00743036">
        <w:rPr>
          <w:color w:val="000000"/>
          <w:spacing w:val="-4"/>
        </w:rPr>
        <w:t>un accord entre les experts. Il a ajouté que les points non résolus resteraient entre crochets dans le document officiel soumis à la session de mai 2017 du GRSP et qu</w:t>
      </w:r>
      <w:r w:rsidR="007C2F80">
        <w:rPr>
          <w:color w:val="000000"/>
          <w:spacing w:val="-4"/>
        </w:rPr>
        <w:t>’</w:t>
      </w:r>
      <w:r w:rsidRPr="00743036">
        <w:rPr>
          <w:color w:val="000000"/>
          <w:spacing w:val="-4"/>
        </w:rPr>
        <w:t>un document informel serait présenté à ce moment-là par le GTI pour les résoudre. Il a en outre expliqué qu</w:t>
      </w:r>
      <w:r w:rsidR="007C2F80">
        <w:rPr>
          <w:color w:val="000000"/>
          <w:spacing w:val="-4"/>
        </w:rPr>
        <w:t>’</w:t>
      </w:r>
      <w:r w:rsidRPr="00743036">
        <w:rPr>
          <w:color w:val="000000"/>
          <w:spacing w:val="-4"/>
        </w:rPr>
        <w:t>un important travail portant sur la propagation thermique et les méthodes d</w:t>
      </w:r>
      <w:r w:rsidR="007C2F80">
        <w:rPr>
          <w:color w:val="000000"/>
          <w:spacing w:val="-4"/>
        </w:rPr>
        <w:t>’</w:t>
      </w:r>
      <w:r w:rsidRPr="00743036">
        <w:rPr>
          <w:color w:val="000000"/>
          <w:spacing w:val="-4"/>
        </w:rPr>
        <w:t>amorçage était toujours en cours (de même que sur d</w:t>
      </w:r>
      <w:r w:rsidR="007C2F80">
        <w:rPr>
          <w:color w:val="000000"/>
          <w:spacing w:val="-4"/>
        </w:rPr>
        <w:t>’</w:t>
      </w:r>
      <w:r w:rsidRPr="00743036">
        <w:rPr>
          <w:color w:val="000000"/>
          <w:spacing w:val="-4"/>
        </w:rPr>
        <w:t>autres questions techniques). Il a donc annoncé que la discussion sur ces question</w:t>
      </w:r>
      <w:r w:rsidR="00594E4D" w:rsidRPr="00743036">
        <w:rPr>
          <w:color w:val="000000"/>
          <w:spacing w:val="-4"/>
        </w:rPr>
        <w:t>s se poursuivrait dans la phase </w:t>
      </w:r>
      <w:r w:rsidRPr="00743036">
        <w:rPr>
          <w:color w:val="000000"/>
          <w:spacing w:val="-4"/>
        </w:rPr>
        <w:t>2, qui doit commencer immédiatement après l</w:t>
      </w:r>
      <w:r w:rsidR="007C2F80">
        <w:rPr>
          <w:color w:val="000000"/>
          <w:spacing w:val="-4"/>
        </w:rPr>
        <w:t>’</w:t>
      </w:r>
      <w:r w:rsidRPr="00743036">
        <w:rPr>
          <w:color w:val="000000"/>
          <w:spacing w:val="-4"/>
        </w:rPr>
        <w:t>ad</w:t>
      </w:r>
      <w:r w:rsidR="00594E4D" w:rsidRPr="00743036">
        <w:rPr>
          <w:color w:val="000000"/>
          <w:spacing w:val="-4"/>
        </w:rPr>
        <w:t>option par le WP.29 de la phase </w:t>
      </w:r>
      <w:r w:rsidRPr="00743036">
        <w:rPr>
          <w:color w:val="000000"/>
          <w:spacing w:val="-4"/>
        </w:rPr>
        <w:t>1 du RTM sur la sécurité des véhicules électriques, probablement lors de la session de novembre 2017 de l</w:t>
      </w:r>
      <w:r w:rsidR="007C2F80">
        <w:rPr>
          <w:color w:val="000000"/>
          <w:spacing w:val="-4"/>
        </w:rPr>
        <w:t>’</w:t>
      </w:r>
      <w:r w:rsidRPr="00743036">
        <w:rPr>
          <w:color w:val="000000"/>
          <w:spacing w:val="-4"/>
        </w:rPr>
        <w:t>AC.3. Il a enfin sollicité l</w:t>
      </w:r>
      <w:r w:rsidR="007C2F80">
        <w:rPr>
          <w:color w:val="000000"/>
          <w:spacing w:val="-4"/>
        </w:rPr>
        <w:t>’</w:t>
      </w:r>
      <w:r w:rsidRPr="00743036">
        <w:rPr>
          <w:color w:val="000000"/>
          <w:spacing w:val="-4"/>
        </w:rPr>
        <w:t>accord de l</w:t>
      </w:r>
      <w:r w:rsidR="007C2F80">
        <w:rPr>
          <w:color w:val="000000"/>
          <w:spacing w:val="-4"/>
        </w:rPr>
        <w:t>’</w:t>
      </w:r>
      <w:r w:rsidRPr="00743036">
        <w:rPr>
          <w:color w:val="000000"/>
          <w:spacing w:val="-4"/>
        </w:rPr>
        <w:t>AC.3 pour prolonger le mandat du groupe de travail informel jusqu</w:t>
      </w:r>
      <w:r w:rsidR="007C2F80">
        <w:rPr>
          <w:color w:val="000000"/>
          <w:spacing w:val="-4"/>
        </w:rPr>
        <w:t>’</w:t>
      </w:r>
      <w:r w:rsidRPr="00743036">
        <w:rPr>
          <w:color w:val="000000"/>
          <w:spacing w:val="-4"/>
        </w:rPr>
        <w:t>en décembre 2017.</w:t>
      </w:r>
    </w:p>
    <w:p w:rsidR="00CD04C1" w:rsidRPr="00B713EE" w:rsidRDefault="00CD04C1" w:rsidP="008C0F4C">
      <w:pPr>
        <w:pStyle w:val="ParNoG"/>
        <w:tabs>
          <w:tab w:val="clear" w:pos="1701"/>
        </w:tabs>
      </w:pPr>
      <w:r w:rsidRPr="00B713EE">
        <w:rPr>
          <w:rFonts w:eastAsia="SimSun"/>
        </w:rPr>
        <w:t>L</w:t>
      </w:r>
      <w:r w:rsidR="007C2F80">
        <w:rPr>
          <w:rFonts w:eastAsia="SimSun"/>
        </w:rPr>
        <w:t>’</w:t>
      </w:r>
      <w:r w:rsidRPr="00B713EE">
        <w:rPr>
          <w:rFonts w:eastAsia="SimSun"/>
        </w:rPr>
        <w:t>AC</w:t>
      </w:r>
      <w:r w:rsidRPr="00B713EE">
        <w:t xml:space="preserve">.3 a approuvé cette prolongation du mandat et prié le secrétariat de distribuer le document </w:t>
      </w:r>
      <w:r w:rsidRPr="00B713EE">
        <w:rPr>
          <w:color w:val="000000"/>
        </w:rPr>
        <w:t xml:space="preserve">WP.29-171-33 sous une cote officielle. </w:t>
      </w:r>
    </w:p>
    <w:p w:rsidR="00CD04C1" w:rsidRPr="00B713EE" w:rsidRDefault="00CD04C1" w:rsidP="00AA44DC">
      <w:pPr>
        <w:pStyle w:val="H1G"/>
      </w:pPr>
      <w:r w:rsidRPr="00B713EE">
        <w:tab/>
      </w:r>
      <w:bookmarkStart w:id="77" w:name="_Toc478663175"/>
      <w:r w:rsidRPr="00B713EE">
        <w:t>J.</w:t>
      </w:r>
      <w:r w:rsidRPr="00B713EE">
        <w:tab/>
        <w:t xml:space="preserve">Projet de RTM sur les véhicules à moteur silencieux </w:t>
      </w:r>
      <w:r w:rsidR="00AA44DC" w:rsidRPr="00B713EE">
        <w:br/>
      </w:r>
      <w:r w:rsidRPr="00B713EE">
        <w:t>(point 18.10 de l</w:t>
      </w:r>
      <w:r w:rsidR="007C2F80">
        <w:t>’</w:t>
      </w:r>
      <w:r w:rsidRPr="00B713EE">
        <w:t>ordre du jour)</w:t>
      </w:r>
      <w:bookmarkEnd w:id="77"/>
    </w:p>
    <w:p w:rsidR="00CD04C1" w:rsidRPr="00B713EE" w:rsidRDefault="00CE29D2" w:rsidP="001F7EFD">
      <w:pPr>
        <w:pStyle w:val="SingleTxtG"/>
        <w:ind w:left="2835" w:hanging="1701"/>
        <w:jc w:val="left"/>
      </w:pPr>
      <w:r w:rsidRPr="00B713EE">
        <w:rPr>
          <w:i/>
        </w:rPr>
        <w:t>Document(s) </w:t>
      </w:r>
      <w:r w:rsidRPr="00B713EE">
        <w:t>:</w:t>
      </w:r>
      <w:r w:rsidR="00CD04C1" w:rsidRPr="00B713EE">
        <w:tab/>
      </w:r>
      <w:r w:rsidR="00CD04C1" w:rsidRPr="00B713EE">
        <w:tab/>
        <w:t>ECE/TRANS/WP.29/AC.3/33</w:t>
      </w:r>
      <w:r w:rsidRPr="00B713EE">
        <w:t>.</w:t>
      </w:r>
    </w:p>
    <w:p w:rsidR="00CD04C1" w:rsidRPr="00B713EE" w:rsidRDefault="00CD04C1" w:rsidP="008C0F4C">
      <w:pPr>
        <w:pStyle w:val="ParNoG"/>
        <w:tabs>
          <w:tab w:val="clear" w:pos="1701"/>
        </w:tabs>
      </w:pPr>
      <w:r w:rsidRPr="00B713EE">
        <w:rPr>
          <w:rFonts w:eastAsia="SimSun"/>
        </w:rPr>
        <w:t>L</w:t>
      </w:r>
      <w:r w:rsidR="007C2F80">
        <w:rPr>
          <w:rFonts w:eastAsia="SimSun"/>
        </w:rPr>
        <w:t>’</w:t>
      </w:r>
      <w:r w:rsidRPr="00B713EE">
        <w:rPr>
          <w:rFonts w:eastAsia="SimSun"/>
        </w:rPr>
        <w:t>expert</w:t>
      </w:r>
      <w:r w:rsidRPr="00B713EE">
        <w:t xml:space="preserve"> des États-Unis d</w:t>
      </w:r>
      <w:r w:rsidR="007C2F80">
        <w:t>’</w:t>
      </w:r>
      <w:r w:rsidRPr="00B713EE">
        <w:t>Amérique, en sa qualité de Président du groupe de travail informel des véhicules à moteur silencieux (VAMS) chargé d</w:t>
      </w:r>
      <w:r w:rsidR="007C2F80">
        <w:t>’</w:t>
      </w:r>
      <w:r w:rsidRPr="00B713EE">
        <w:t>élaborer un Règlement technique mondial (RTM), a rappelé ce qu</w:t>
      </w:r>
      <w:r w:rsidR="007C2F80">
        <w:t>’</w:t>
      </w:r>
      <w:r w:rsidRPr="00B713EE">
        <w:t>il avait dit lors de la dernière session de l</w:t>
      </w:r>
      <w:r w:rsidR="007C2F80">
        <w:t>’</w:t>
      </w:r>
      <w:r w:rsidRPr="00B713EE">
        <w:t>AC.3 au sujet de la publication, en novembre 2016, de la réglementation nationale des États-Unis en matière de niveau sonore minimum des véhicules hybrides et des véhicules électriques. Il a aussi rappelé que le Forum mondial avait accepté de prolonger le mandat du groupe de travail informel jusqu</w:t>
      </w:r>
      <w:r w:rsidR="007C2F80">
        <w:t>’</w:t>
      </w:r>
      <w:r w:rsidRPr="00B713EE">
        <w:t xml:space="preserve">en </w:t>
      </w:r>
      <w:r w:rsidR="005C1CDA">
        <w:t xml:space="preserve">décembre </w:t>
      </w:r>
      <w:r w:rsidRPr="00B713EE">
        <w:t>2018. Il a rendu compte de la procédure régissant l</w:t>
      </w:r>
      <w:r w:rsidR="007C2F80">
        <w:t>’</w:t>
      </w:r>
      <w:r w:rsidRPr="00B713EE">
        <w:t>entrée en vigueur de ce règlement national et souligné que sa date officielle de mise en œuvre serait l</w:t>
      </w:r>
      <w:r w:rsidR="00594E4D" w:rsidRPr="00B713EE">
        <w:t>e 21 </w:t>
      </w:r>
      <w:r w:rsidRPr="00B713EE">
        <w:t>mars 2017, avec une phase d</w:t>
      </w:r>
      <w:r w:rsidR="007C2F80">
        <w:t>’</w:t>
      </w:r>
      <w:r w:rsidRPr="00B713EE">
        <w:t>introduction progressive en 2019-2020 (www.regulations.gov/docket?D =NHTSA-2016-0125). Il a également indiqué que le groupe de travail informel des véhicules à moteur silencieux chargé d</w:t>
      </w:r>
      <w:r w:rsidR="007C2F80">
        <w:t>’</w:t>
      </w:r>
      <w:r w:rsidRPr="00B713EE">
        <w:t>élaborer un Règlement technique mondial se remettrait prochainement au travail en procédant à une analyse détaillée des d</w:t>
      </w:r>
      <w:r w:rsidR="00641815">
        <w:t xml:space="preserve">ifférences entre le Règlement </w:t>
      </w:r>
      <w:r w:rsidR="00641815">
        <w:rPr>
          <w:rFonts w:eastAsia="MS Mincho"/>
        </w:rPr>
        <w:t>n</w:t>
      </w:r>
      <w:r w:rsidR="00641815">
        <w:rPr>
          <w:rFonts w:eastAsia="MS Mincho"/>
          <w:vertAlign w:val="superscript"/>
        </w:rPr>
        <w:t>o</w:t>
      </w:r>
      <w:r w:rsidR="00641815">
        <w:t> </w:t>
      </w:r>
      <w:r w:rsidRPr="00B713EE">
        <w:t>138 et le règlement national des États-Unis d</w:t>
      </w:r>
      <w:r w:rsidR="007C2F80">
        <w:t>’</w:t>
      </w:r>
      <w:r w:rsidRPr="00B713EE">
        <w:t>Amérique, afin d</w:t>
      </w:r>
      <w:r w:rsidR="007C2F80">
        <w:t>’</w:t>
      </w:r>
      <w:r w:rsidRPr="00B713EE">
        <w:t xml:space="preserve">élaborer une formulation de compromis pour le RTM. </w:t>
      </w:r>
    </w:p>
    <w:p w:rsidR="00CD04C1" w:rsidRPr="00B713EE" w:rsidRDefault="00CD04C1" w:rsidP="00AA44DC">
      <w:pPr>
        <w:pStyle w:val="HChG"/>
      </w:pPr>
      <w:r w:rsidRPr="00B713EE">
        <w:tab/>
      </w:r>
      <w:bookmarkStart w:id="78" w:name="_Toc478663176"/>
      <w:r w:rsidRPr="00B713EE">
        <w:t>XXI.</w:t>
      </w:r>
      <w:r w:rsidRPr="00B713EE">
        <w:tab/>
        <w:t xml:space="preserve">Questions sur lesquelles un échange de vues </w:t>
      </w:r>
      <w:r w:rsidR="00AA44DC" w:rsidRPr="00B713EE">
        <w:br/>
      </w:r>
      <w:r w:rsidRPr="00B713EE">
        <w:t>et de données devrait s</w:t>
      </w:r>
      <w:r w:rsidR="007C2F80">
        <w:t>’</w:t>
      </w:r>
      <w:r w:rsidRPr="00B713EE">
        <w:t xml:space="preserve">engager ou se poursuivre </w:t>
      </w:r>
      <w:r w:rsidR="00AA44DC" w:rsidRPr="00B713EE">
        <w:br/>
      </w:r>
      <w:r w:rsidR="007473D0">
        <w:t>(point </w:t>
      </w:r>
      <w:r w:rsidRPr="00B713EE">
        <w:t>19 de l</w:t>
      </w:r>
      <w:r w:rsidR="007C2F80">
        <w:t>’</w:t>
      </w:r>
      <w:r w:rsidRPr="00B713EE">
        <w:t>ordre du jour</w:t>
      </w:r>
      <w:bookmarkEnd w:id="78"/>
      <w:r w:rsidRPr="00B713EE">
        <w:t>)</w:t>
      </w:r>
    </w:p>
    <w:p w:rsidR="00CD04C1" w:rsidRPr="00B713EE" w:rsidRDefault="00CD04C1" w:rsidP="00AA44DC">
      <w:pPr>
        <w:pStyle w:val="H1G"/>
      </w:pPr>
      <w:r w:rsidRPr="00B713EE">
        <w:tab/>
      </w:r>
      <w:bookmarkStart w:id="79" w:name="_Toc478663177"/>
      <w:r w:rsidRPr="00B713EE">
        <w:t>A.</w:t>
      </w:r>
      <w:r w:rsidRPr="00B713EE">
        <w:tab/>
        <w:t xml:space="preserve">Harmonisation des dispositions relatives aux chocs latéraux </w:t>
      </w:r>
      <w:r w:rsidR="00AA44DC" w:rsidRPr="00B713EE">
        <w:br/>
      </w:r>
      <w:r w:rsidR="007473D0">
        <w:t>(point </w:t>
      </w:r>
      <w:r w:rsidRPr="00B713EE">
        <w:t>19.1 de l</w:t>
      </w:r>
      <w:r w:rsidR="007C2F80">
        <w:t>’</w:t>
      </w:r>
      <w:r w:rsidRPr="00B713EE">
        <w:t>ordre du jour)</w:t>
      </w:r>
      <w:bookmarkEnd w:id="79"/>
    </w:p>
    <w:p w:rsidR="00CD04C1" w:rsidRPr="00B713EE" w:rsidRDefault="00CD04C1" w:rsidP="004E6C37">
      <w:pPr>
        <w:pStyle w:val="H23G"/>
      </w:pPr>
      <w:r w:rsidRPr="00B713EE">
        <w:tab/>
      </w:r>
      <w:bookmarkStart w:id="80" w:name="_Toc478663178"/>
      <w:r w:rsidRPr="00B713EE">
        <w:t>1.</w:t>
      </w:r>
      <w:r w:rsidRPr="00B713EE">
        <w:tab/>
        <w:t>Mannequins</w:t>
      </w:r>
      <w:r w:rsidR="007473D0">
        <w:t xml:space="preserve"> d</w:t>
      </w:r>
      <w:r w:rsidR="007C2F80">
        <w:t>’</w:t>
      </w:r>
      <w:r w:rsidR="007473D0">
        <w:t>essai de choc latéral (point 19.1 </w:t>
      </w:r>
      <w:r w:rsidRPr="00B713EE">
        <w:t>a) de l</w:t>
      </w:r>
      <w:r w:rsidR="007C2F80">
        <w:t>’</w:t>
      </w:r>
      <w:r w:rsidRPr="00B713EE">
        <w:t>ordre du jour)</w:t>
      </w:r>
      <w:bookmarkEnd w:id="80"/>
    </w:p>
    <w:p w:rsidR="00CD04C1" w:rsidRPr="00743036" w:rsidRDefault="00CD04C1" w:rsidP="008C0F4C">
      <w:pPr>
        <w:pStyle w:val="ParNoG"/>
        <w:tabs>
          <w:tab w:val="clear" w:pos="1701"/>
        </w:tabs>
        <w:rPr>
          <w:spacing w:val="-3"/>
        </w:rPr>
      </w:pPr>
      <w:r w:rsidRPr="00743036">
        <w:rPr>
          <w:rFonts w:eastAsia="SimSun"/>
          <w:spacing w:val="-3"/>
        </w:rPr>
        <w:t>L</w:t>
      </w:r>
      <w:r w:rsidR="007C2F80">
        <w:rPr>
          <w:rFonts w:eastAsia="SimSun"/>
          <w:spacing w:val="-3"/>
        </w:rPr>
        <w:t>’</w:t>
      </w:r>
      <w:r w:rsidRPr="00743036">
        <w:rPr>
          <w:rFonts w:eastAsia="SimSun"/>
          <w:spacing w:val="-3"/>
        </w:rPr>
        <w:t>expert</w:t>
      </w:r>
      <w:r w:rsidRPr="00743036">
        <w:rPr>
          <w:spacing w:val="-3"/>
        </w:rPr>
        <w:t xml:space="preserve"> des États-Unis d</w:t>
      </w:r>
      <w:r w:rsidR="007C2F80">
        <w:rPr>
          <w:spacing w:val="-3"/>
        </w:rPr>
        <w:t>’</w:t>
      </w:r>
      <w:r w:rsidRPr="00743036">
        <w:rPr>
          <w:spacing w:val="-3"/>
        </w:rPr>
        <w:t>Amérique a informé l</w:t>
      </w:r>
      <w:r w:rsidR="007C2F80">
        <w:rPr>
          <w:spacing w:val="-3"/>
        </w:rPr>
        <w:t>’</w:t>
      </w:r>
      <w:r w:rsidRPr="00743036">
        <w:rPr>
          <w:spacing w:val="-3"/>
        </w:rPr>
        <w:t>AC.3 que les efforts visant à mettre au point le mannequin WorldSID femme du 5</w:t>
      </w:r>
      <w:r w:rsidRPr="00743036">
        <w:rPr>
          <w:spacing w:val="-3"/>
          <w:vertAlign w:val="superscript"/>
        </w:rPr>
        <w:t>e</w:t>
      </w:r>
      <w:r w:rsidR="00594E4D" w:rsidRPr="00743036">
        <w:rPr>
          <w:spacing w:val="-3"/>
        </w:rPr>
        <w:t> </w:t>
      </w:r>
      <w:r w:rsidRPr="00743036">
        <w:rPr>
          <w:spacing w:val="-3"/>
        </w:rPr>
        <w:t>centile avait pris du retard en raison de la nécessité d</w:t>
      </w:r>
      <w:r w:rsidR="007C2F80">
        <w:rPr>
          <w:spacing w:val="-3"/>
        </w:rPr>
        <w:t>’</w:t>
      </w:r>
      <w:r w:rsidRPr="00743036">
        <w:rPr>
          <w:spacing w:val="-3"/>
        </w:rPr>
        <w:t>en redessiner certains éléments et composants. Il a aussi indiqué que le groupe reprendrait ses travaux en vue de mettre la dernière main à un projet d</w:t>
      </w:r>
      <w:r w:rsidR="007C2F80">
        <w:rPr>
          <w:spacing w:val="-3"/>
        </w:rPr>
        <w:t>’</w:t>
      </w:r>
      <w:r w:rsidRPr="00743036">
        <w:rPr>
          <w:spacing w:val="-3"/>
        </w:rPr>
        <w:t xml:space="preserve">additif à la Résolution mutuelle </w:t>
      </w:r>
      <w:r w:rsidR="007473D0" w:rsidRPr="00743036">
        <w:rPr>
          <w:rFonts w:eastAsia="MS Mincho"/>
          <w:spacing w:val="-3"/>
        </w:rPr>
        <w:t>n</w:t>
      </w:r>
      <w:r w:rsidR="007473D0" w:rsidRPr="00743036">
        <w:rPr>
          <w:rFonts w:eastAsia="MS Mincho"/>
          <w:spacing w:val="-3"/>
          <w:vertAlign w:val="superscript"/>
        </w:rPr>
        <w:t>o</w:t>
      </w:r>
      <w:r w:rsidR="007473D0" w:rsidRPr="00743036">
        <w:rPr>
          <w:rFonts w:eastAsia="MS Mincho"/>
          <w:spacing w:val="-3"/>
        </w:rPr>
        <w:t> </w:t>
      </w:r>
      <w:r w:rsidRPr="00743036">
        <w:rPr>
          <w:spacing w:val="-3"/>
        </w:rPr>
        <w:t>1 visant à introduire les spécifications du mannequin pour essais de choc latéral World SID du 50</w:t>
      </w:r>
      <w:r w:rsidRPr="00743036">
        <w:rPr>
          <w:spacing w:val="-3"/>
          <w:vertAlign w:val="superscript"/>
        </w:rPr>
        <w:t>e</w:t>
      </w:r>
      <w:r w:rsidR="007473D0" w:rsidRPr="00743036">
        <w:rPr>
          <w:spacing w:val="-3"/>
        </w:rPr>
        <w:t> </w:t>
      </w:r>
      <w:r w:rsidRPr="00743036">
        <w:rPr>
          <w:spacing w:val="-3"/>
        </w:rPr>
        <w:t>centile (SID).</w:t>
      </w:r>
      <w:r w:rsidR="009A2D64" w:rsidRPr="00743036">
        <w:rPr>
          <w:spacing w:val="-3"/>
        </w:rPr>
        <w:t xml:space="preserve"> </w:t>
      </w:r>
      <w:r w:rsidRPr="00743036">
        <w:rPr>
          <w:spacing w:val="-3"/>
        </w:rPr>
        <w:t>Il a donc a demandé au WP.29 son aval pour que le mandat du groupe de travail informel soit prolongé jusqu</w:t>
      </w:r>
      <w:r w:rsidR="007C2F80">
        <w:rPr>
          <w:spacing w:val="-3"/>
        </w:rPr>
        <w:t>’</w:t>
      </w:r>
      <w:r w:rsidRPr="00743036">
        <w:rPr>
          <w:spacing w:val="-3"/>
        </w:rPr>
        <w:t>en décembre 2017. L</w:t>
      </w:r>
      <w:r w:rsidR="007C2F80">
        <w:rPr>
          <w:spacing w:val="-3"/>
        </w:rPr>
        <w:t>’</w:t>
      </w:r>
      <w:r w:rsidRPr="00743036">
        <w:rPr>
          <w:spacing w:val="-3"/>
        </w:rPr>
        <w:t xml:space="preserve">AC.3 a approuvé cette demande. </w:t>
      </w:r>
    </w:p>
    <w:p w:rsidR="00CD04C1" w:rsidRPr="00B713EE" w:rsidRDefault="00CD04C1" w:rsidP="004E6C37">
      <w:pPr>
        <w:pStyle w:val="H23G"/>
      </w:pPr>
      <w:r w:rsidRPr="00B713EE">
        <w:tab/>
      </w:r>
      <w:bookmarkStart w:id="81" w:name="_Toc478663179"/>
      <w:r w:rsidRPr="00B713EE">
        <w:t>2.</w:t>
      </w:r>
      <w:r w:rsidRPr="00B713EE">
        <w:tab/>
        <w:t>Choc latér</w:t>
      </w:r>
      <w:r w:rsidR="00F01852">
        <w:t>al contre un poteau (point 19.1 </w:t>
      </w:r>
      <w:r w:rsidRPr="00B713EE">
        <w:t>b) de l</w:t>
      </w:r>
      <w:r w:rsidR="007C2F80">
        <w:t>’</w:t>
      </w:r>
      <w:r w:rsidRPr="00B713EE">
        <w:t>ordre du jour)</w:t>
      </w:r>
      <w:bookmarkEnd w:id="81"/>
    </w:p>
    <w:p w:rsidR="00CD04C1" w:rsidRPr="00B713EE" w:rsidRDefault="00CD04C1" w:rsidP="008C0F4C">
      <w:pPr>
        <w:pStyle w:val="ParNoG"/>
        <w:tabs>
          <w:tab w:val="clear" w:pos="1701"/>
        </w:tabs>
      </w:pPr>
      <w:r w:rsidRPr="00B713EE">
        <w:t>Aucune question n</w:t>
      </w:r>
      <w:r w:rsidR="007C2F80">
        <w:t>’</w:t>
      </w:r>
      <w:r w:rsidRPr="00B713EE">
        <w:t>a été soulevée au titre de ce point de l</w:t>
      </w:r>
      <w:r w:rsidR="007C2F80">
        <w:t>’</w:t>
      </w:r>
      <w:r w:rsidRPr="00B713EE">
        <w:t>ordre du jour.</w:t>
      </w:r>
    </w:p>
    <w:p w:rsidR="00CD04C1" w:rsidRPr="00B713EE" w:rsidRDefault="00CD04C1" w:rsidP="004E6C37">
      <w:pPr>
        <w:pStyle w:val="H1G"/>
      </w:pPr>
      <w:r w:rsidRPr="00B713EE">
        <w:tab/>
        <w:t>B.</w:t>
      </w:r>
      <w:r w:rsidRPr="00B713EE">
        <w:tab/>
        <w:t>Véhicules élec</w:t>
      </w:r>
      <w:r w:rsidR="00F01852">
        <w:t>triques et environnement (point </w:t>
      </w:r>
      <w:r w:rsidRPr="00B713EE">
        <w:t>19.2 de l</w:t>
      </w:r>
      <w:r w:rsidR="007C2F80">
        <w:t>’</w:t>
      </w:r>
      <w:r w:rsidRPr="00B713EE">
        <w:t>ordre du jour)</w:t>
      </w:r>
    </w:p>
    <w:p w:rsidR="00CD04C1" w:rsidRPr="00B713EE" w:rsidRDefault="00CE29D2" w:rsidP="001F7EFD">
      <w:pPr>
        <w:pStyle w:val="SingleTxtG"/>
        <w:ind w:left="2835" w:hanging="1701"/>
        <w:jc w:val="left"/>
        <w:rPr>
          <w:color w:val="000000"/>
        </w:rPr>
      </w:pPr>
      <w:r w:rsidRPr="00B713EE">
        <w:rPr>
          <w:i/>
        </w:rPr>
        <w:t>Document(s) </w:t>
      </w:r>
      <w:r w:rsidRPr="00B713EE">
        <w:t>:</w:t>
      </w:r>
      <w:r w:rsidR="00CD04C1" w:rsidRPr="00B713EE">
        <w:tab/>
        <w:t>ECE/TRANS/WP.29/AC.3/46</w:t>
      </w:r>
      <w:r w:rsidRPr="00B713EE">
        <w:t>.</w:t>
      </w:r>
    </w:p>
    <w:p w:rsidR="00CD04C1" w:rsidRPr="00743036" w:rsidRDefault="00CD04C1" w:rsidP="008C0F4C">
      <w:pPr>
        <w:pStyle w:val="ParNoG"/>
        <w:tabs>
          <w:tab w:val="clear" w:pos="1701"/>
        </w:tabs>
        <w:rPr>
          <w:spacing w:val="-3"/>
        </w:rPr>
      </w:pPr>
      <w:r w:rsidRPr="00743036">
        <w:rPr>
          <w:spacing w:val="-3"/>
        </w:rPr>
        <w:t xml:space="preserve">Au nom de sa direction, le représentant du Canada a fait le point sur les activités du Groupe de travail informel des </w:t>
      </w:r>
      <w:r w:rsidRPr="00743036">
        <w:rPr>
          <w:rFonts w:eastAsia="SimSun"/>
          <w:spacing w:val="-3"/>
        </w:rPr>
        <w:t>véhicules</w:t>
      </w:r>
      <w:r w:rsidRPr="00743036">
        <w:rPr>
          <w:spacing w:val="-3"/>
        </w:rPr>
        <w:t xml:space="preserve"> électriques et de l</w:t>
      </w:r>
      <w:r w:rsidR="007C2F80">
        <w:rPr>
          <w:spacing w:val="-3"/>
        </w:rPr>
        <w:t>’</w:t>
      </w:r>
      <w:r w:rsidRPr="00743036">
        <w:rPr>
          <w:spacing w:val="-3"/>
        </w:rPr>
        <w:t>environnement (VEE).</w:t>
      </w:r>
      <w:r w:rsidR="009A2D64" w:rsidRPr="00743036">
        <w:rPr>
          <w:spacing w:val="-3"/>
        </w:rPr>
        <w:t xml:space="preserve"> </w:t>
      </w:r>
      <w:r w:rsidRPr="00743036">
        <w:rPr>
          <w:spacing w:val="-3"/>
        </w:rPr>
        <w:t>Il a indiqué que ce groupe s</w:t>
      </w:r>
      <w:r w:rsidR="007C2F80">
        <w:rPr>
          <w:spacing w:val="-3"/>
        </w:rPr>
        <w:t>’</w:t>
      </w:r>
      <w:r w:rsidRPr="00743036">
        <w:rPr>
          <w:spacing w:val="-3"/>
        </w:rPr>
        <w:t xml:space="preserve">était réuni une fois depuis la session de novembre 2016 du WP.29, au cours de laquelle avait été approuvée la partie B de son mandat ainsi que la poursuite de ses activités. </w:t>
      </w:r>
    </w:p>
    <w:p w:rsidR="00CD04C1" w:rsidRPr="00C0559D" w:rsidRDefault="00CD04C1" w:rsidP="008C0F4C">
      <w:pPr>
        <w:pStyle w:val="ParNoG"/>
        <w:tabs>
          <w:tab w:val="clear" w:pos="1701"/>
        </w:tabs>
        <w:rPr>
          <w:spacing w:val="-2"/>
        </w:rPr>
      </w:pPr>
      <w:r w:rsidRPr="00C0559D">
        <w:rPr>
          <w:spacing w:val="-2"/>
        </w:rPr>
        <w:t>Il a informé l</w:t>
      </w:r>
      <w:r w:rsidR="007C2F80" w:rsidRPr="00C0559D">
        <w:rPr>
          <w:spacing w:val="-2"/>
        </w:rPr>
        <w:t>’</w:t>
      </w:r>
      <w:r w:rsidRPr="00C0559D">
        <w:rPr>
          <w:spacing w:val="-2"/>
        </w:rPr>
        <w:t>AC.3 que la vingt et unième réunion du groupe de travail informel des véhicules électriques et de l</w:t>
      </w:r>
      <w:r w:rsidR="007C2F80" w:rsidRPr="00C0559D">
        <w:rPr>
          <w:spacing w:val="-2"/>
        </w:rPr>
        <w:t>’</w:t>
      </w:r>
      <w:r w:rsidRPr="00C0559D">
        <w:rPr>
          <w:spacing w:val="-2"/>
        </w:rPr>
        <w:t>environnement</w:t>
      </w:r>
      <w:r w:rsidR="00594E4D" w:rsidRPr="00C0559D">
        <w:rPr>
          <w:spacing w:val="-2"/>
        </w:rPr>
        <w:t xml:space="preserve"> s</w:t>
      </w:r>
      <w:r w:rsidR="007C2F80" w:rsidRPr="00C0559D">
        <w:rPr>
          <w:spacing w:val="-2"/>
        </w:rPr>
        <w:t>’</w:t>
      </w:r>
      <w:r w:rsidR="00594E4D" w:rsidRPr="00C0559D">
        <w:rPr>
          <w:spacing w:val="-2"/>
        </w:rPr>
        <w:t>était tenue à Genève le 11 </w:t>
      </w:r>
      <w:r w:rsidRPr="00C0559D">
        <w:rPr>
          <w:spacing w:val="-2"/>
        </w:rPr>
        <w:t>janvier 2017. Elle avait pris la forme d</w:t>
      </w:r>
      <w:r w:rsidR="007C2F80" w:rsidRPr="00C0559D">
        <w:rPr>
          <w:spacing w:val="-2"/>
        </w:rPr>
        <w:t>’</w:t>
      </w:r>
      <w:r w:rsidRPr="00C0559D">
        <w:rPr>
          <w:spacing w:val="-2"/>
        </w:rPr>
        <w:t>une session d</w:t>
      </w:r>
      <w:r w:rsidR="007C2F80" w:rsidRPr="00C0559D">
        <w:rPr>
          <w:spacing w:val="-2"/>
        </w:rPr>
        <w:t>’</w:t>
      </w:r>
      <w:r w:rsidRPr="00C0559D">
        <w:rPr>
          <w:spacing w:val="-2"/>
        </w:rPr>
        <w:t>une demi-journée consacrée à présente</w:t>
      </w:r>
      <w:r w:rsidR="00F01852" w:rsidRPr="00C0559D">
        <w:rPr>
          <w:spacing w:val="-2"/>
        </w:rPr>
        <w:t>r les réalisations de la Partie </w:t>
      </w:r>
      <w:r w:rsidRPr="00C0559D">
        <w:rPr>
          <w:spacing w:val="-2"/>
        </w:rPr>
        <w:t>A du mandat et à poser les jalons de travail à effec</w:t>
      </w:r>
      <w:r w:rsidR="00F01852" w:rsidRPr="00C0559D">
        <w:rPr>
          <w:spacing w:val="-2"/>
        </w:rPr>
        <w:t>tuer dans le cadre de la Partie </w:t>
      </w:r>
      <w:r w:rsidRPr="00C0559D">
        <w:rPr>
          <w:spacing w:val="-2"/>
        </w:rPr>
        <w:t xml:space="preserve">B. Il a noté que le groupe informel devait se réunir pendant </w:t>
      </w:r>
      <w:r w:rsidR="00C60236" w:rsidRPr="00C0559D">
        <w:rPr>
          <w:spacing w:val="-2"/>
        </w:rPr>
        <w:t>deux jours entiers</w:t>
      </w:r>
      <w:r w:rsidRPr="00C0559D">
        <w:rPr>
          <w:spacing w:val="-2"/>
        </w:rPr>
        <w:t xml:space="preserve"> à Ann Arbor, dans le Michigan, aux États-Unis d</w:t>
      </w:r>
      <w:r w:rsidR="007C2F80" w:rsidRPr="00C0559D">
        <w:rPr>
          <w:spacing w:val="-2"/>
        </w:rPr>
        <w:t>’</w:t>
      </w:r>
      <w:r w:rsidRPr="00C0559D">
        <w:rPr>
          <w:spacing w:val="-2"/>
        </w:rPr>
        <w:t>Amérique, les 10 et 11</w:t>
      </w:r>
      <w:r w:rsidR="00594E4D" w:rsidRPr="00C0559D">
        <w:rPr>
          <w:spacing w:val="-2"/>
        </w:rPr>
        <w:t> </w:t>
      </w:r>
      <w:r w:rsidRPr="00C0559D">
        <w:rPr>
          <w:spacing w:val="-2"/>
        </w:rPr>
        <w:t>avril 2017. Lors de cette réunion, le GTI VEE devait entamer officiellement l</w:t>
      </w:r>
      <w:r w:rsidR="007C2F80" w:rsidRPr="00C0559D">
        <w:rPr>
          <w:spacing w:val="-2"/>
        </w:rPr>
        <w:t>’</w:t>
      </w:r>
      <w:r w:rsidRPr="00C0559D">
        <w:rPr>
          <w:spacing w:val="-2"/>
        </w:rPr>
        <w:t>élaboration du RTM consacré à la détermination de la puissance des véhicules électriques,</w:t>
      </w:r>
      <w:r w:rsidR="009A2D64" w:rsidRPr="00C0559D">
        <w:rPr>
          <w:spacing w:val="-2"/>
        </w:rPr>
        <w:t xml:space="preserve"> </w:t>
      </w:r>
      <w:r w:rsidRPr="00C0559D">
        <w:rPr>
          <w:spacing w:val="-2"/>
        </w:rPr>
        <w:t>continuer à échanger des informations concernant la durabilité des batteries de ces véhicules et se mettre en relation avec le Groupe d</w:t>
      </w:r>
      <w:r w:rsidR="007C2F80" w:rsidRPr="00C0559D">
        <w:rPr>
          <w:spacing w:val="-2"/>
        </w:rPr>
        <w:t>’</w:t>
      </w:r>
      <w:r w:rsidRPr="00C0559D">
        <w:rPr>
          <w:spacing w:val="-2"/>
        </w:rPr>
        <w:t>experts de l</w:t>
      </w:r>
      <w:r w:rsidR="007C2F80" w:rsidRPr="00C0559D">
        <w:rPr>
          <w:spacing w:val="-2"/>
        </w:rPr>
        <w:t>’</w:t>
      </w:r>
      <w:r w:rsidRPr="00C0559D">
        <w:rPr>
          <w:spacing w:val="-2"/>
        </w:rPr>
        <w:t>efficacité énergétique (GEEE) en vue de collaborer avec lui pour déterminer une méthode de déclaration de la consommation d</w:t>
      </w:r>
      <w:r w:rsidR="007C2F80" w:rsidRPr="00C0559D">
        <w:rPr>
          <w:spacing w:val="-2"/>
        </w:rPr>
        <w:t>’</w:t>
      </w:r>
      <w:r w:rsidRPr="00C0559D">
        <w:rPr>
          <w:spacing w:val="-2"/>
        </w:rPr>
        <w:t>énergie des véhicules électriques. Le représentant du Canada a également noté que le GTI VEE avait continué à interagir avec le Groupe de travail informel WLTP pour faire en sorte que les travaux des deux groupes soient complémentaires et pour éviter les doubles emplois. Il a enfin annoncé qu</w:t>
      </w:r>
      <w:r w:rsidR="007C2F80" w:rsidRPr="00C0559D">
        <w:rPr>
          <w:spacing w:val="-2"/>
        </w:rPr>
        <w:t>’</w:t>
      </w:r>
      <w:r w:rsidRPr="00C0559D">
        <w:rPr>
          <w:spacing w:val="-2"/>
        </w:rPr>
        <w:t>après la réunion d</w:t>
      </w:r>
      <w:r w:rsidR="007C2F80" w:rsidRPr="00C0559D">
        <w:rPr>
          <w:spacing w:val="-2"/>
        </w:rPr>
        <w:t>’</w:t>
      </w:r>
      <w:r w:rsidRPr="00C0559D">
        <w:rPr>
          <w:spacing w:val="-2"/>
        </w:rPr>
        <w:t>avril à Ann Arbor, le Groupe de travail informel des véhicules électriques et de l</w:t>
      </w:r>
      <w:r w:rsidR="007C2F80" w:rsidRPr="00C0559D">
        <w:rPr>
          <w:spacing w:val="-2"/>
        </w:rPr>
        <w:t>’</w:t>
      </w:r>
      <w:r w:rsidRPr="00C0559D">
        <w:rPr>
          <w:spacing w:val="-2"/>
        </w:rPr>
        <w:t xml:space="preserve">environnement avait prévu de se réunir pour une demi-journée pendant la semaine du GRPE en juin 2017 à Genève, puis pour deux jours en Autriche en octobre 2017. </w:t>
      </w:r>
    </w:p>
    <w:p w:rsidR="00CD04C1" w:rsidRPr="00B713EE" w:rsidRDefault="00CD04C1" w:rsidP="004E6C37">
      <w:pPr>
        <w:pStyle w:val="H1G"/>
      </w:pPr>
      <w:r w:rsidRPr="00B713EE">
        <w:tab/>
      </w:r>
      <w:bookmarkStart w:id="82" w:name="_Toc478663180"/>
      <w:r w:rsidRPr="00B713EE">
        <w:t>C.</w:t>
      </w:r>
      <w:r w:rsidRPr="00B713EE">
        <w:tab/>
        <w:t>Caractéristi</w:t>
      </w:r>
      <w:r w:rsidR="00F01852">
        <w:t>ques de la machine 3-D H (point </w:t>
      </w:r>
      <w:r w:rsidRPr="00B713EE">
        <w:t>19.3 de l</w:t>
      </w:r>
      <w:r w:rsidR="007C2F80">
        <w:t>’</w:t>
      </w:r>
      <w:r w:rsidRPr="00B713EE">
        <w:t>ordre du jour)</w:t>
      </w:r>
      <w:bookmarkEnd w:id="82"/>
    </w:p>
    <w:p w:rsidR="00CD04C1" w:rsidRPr="00B713EE" w:rsidRDefault="00CD04C1" w:rsidP="008C0F4C">
      <w:pPr>
        <w:pStyle w:val="ParNoG"/>
        <w:tabs>
          <w:tab w:val="clear" w:pos="1701"/>
        </w:tabs>
      </w:pPr>
      <w:r w:rsidRPr="00B713EE">
        <w:rPr>
          <w:rFonts w:eastAsia="SimSun"/>
        </w:rPr>
        <w:t>Aucune</w:t>
      </w:r>
      <w:r w:rsidRPr="00B713EE">
        <w:t xml:space="preserve"> information nouvelle n</w:t>
      </w:r>
      <w:r w:rsidR="007C2F80">
        <w:t>’</w:t>
      </w:r>
      <w:r w:rsidRPr="00B713EE">
        <w:t>a été présentée à ce sujet.</w:t>
      </w:r>
    </w:p>
    <w:p w:rsidR="00CD04C1" w:rsidRPr="00B713EE" w:rsidRDefault="00CD04C1" w:rsidP="004E6C37">
      <w:pPr>
        <w:pStyle w:val="H1G"/>
      </w:pPr>
      <w:r w:rsidRPr="00B713EE">
        <w:tab/>
      </w:r>
      <w:bookmarkStart w:id="83" w:name="_Toc478663181"/>
      <w:r w:rsidRPr="00B713EE">
        <w:t>D.</w:t>
      </w:r>
      <w:r w:rsidRPr="00B713EE">
        <w:tab/>
        <w:t xml:space="preserve">Véhicules à hydrogène et à pile à combustible (HFCV) (RTM </w:t>
      </w:r>
      <w:r w:rsidR="004E6C37" w:rsidRPr="00B713EE">
        <w:rPr>
          <w:rFonts w:eastAsia="MS Mincho"/>
        </w:rPr>
        <w:t>n</w:t>
      </w:r>
      <w:r w:rsidR="004E6C37" w:rsidRPr="00B713EE">
        <w:rPr>
          <w:rFonts w:eastAsia="MS Mincho"/>
          <w:vertAlign w:val="superscript"/>
        </w:rPr>
        <w:t>o</w:t>
      </w:r>
      <w:r w:rsidR="004E6C37" w:rsidRPr="00B713EE">
        <w:t> </w:t>
      </w:r>
      <w:r w:rsidRPr="00B713EE">
        <w:t xml:space="preserve">13) </w:t>
      </w:r>
      <w:r w:rsidR="00594E4D" w:rsidRPr="00B713EE">
        <w:t>− </w:t>
      </w:r>
      <w:r w:rsidR="00F01852">
        <w:t>Phase 2 (point </w:t>
      </w:r>
      <w:r w:rsidRPr="00B713EE">
        <w:t>19.4 de l</w:t>
      </w:r>
      <w:r w:rsidR="007C2F80">
        <w:t>’</w:t>
      </w:r>
      <w:r w:rsidRPr="00B713EE">
        <w:t>ordre du jour)</w:t>
      </w:r>
      <w:bookmarkEnd w:id="83"/>
    </w:p>
    <w:p w:rsidR="00CD04C1" w:rsidRPr="00B713EE" w:rsidRDefault="00CE29D2" w:rsidP="001F7EFD">
      <w:pPr>
        <w:pStyle w:val="SingleTxtG"/>
        <w:ind w:left="2835" w:hanging="1701"/>
        <w:jc w:val="left"/>
        <w:rPr>
          <w:color w:val="000000"/>
        </w:rPr>
      </w:pPr>
      <w:r w:rsidRPr="00B713EE">
        <w:rPr>
          <w:i/>
        </w:rPr>
        <w:t>Document(s) </w:t>
      </w:r>
      <w:r w:rsidRPr="00B713EE">
        <w:t>:</w:t>
      </w:r>
      <w:r w:rsidR="00CD04C1" w:rsidRPr="00B713EE">
        <w:tab/>
      </w:r>
      <w:r w:rsidR="00CD04C1" w:rsidRPr="00B713EE">
        <w:tab/>
        <w:t>ECE/TRANS/WP.29/2017/56</w:t>
      </w:r>
      <w:r w:rsidRPr="00B713EE">
        <w:t>.</w:t>
      </w:r>
    </w:p>
    <w:p w:rsidR="00CD04C1" w:rsidRPr="00B713EE" w:rsidRDefault="00CD04C1" w:rsidP="008C0F4C">
      <w:pPr>
        <w:pStyle w:val="ParNoG"/>
        <w:tabs>
          <w:tab w:val="clear" w:pos="1701"/>
        </w:tabs>
      </w:pPr>
      <w:r w:rsidRPr="00B713EE">
        <w:t xml:space="preserve">Le </w:t>
      </w:r>
      <w:r w:rsidRPr="00B713EE">
        <w:rPr>
          <w:rFonts w:eastAsia="SimSun"/>
        </w:rPr>
        <w:t>représentant</w:t>
      </w:r>
      <w:r w:rsidRPr="00B713EE">
        <w:t xml:space="preserve"> de </w:t>
      </w:r>
      <w:r w:rsidR="00641815">
        <w:t>l’Union européenne</w:t>
      </w:r>
      <w:r w:rsidRPr="00B713EE">
        <w:t xml:space="preserve"> a présenté la proposition d</w:t>
      </w:r>
      <w:r w:rsidR="007C2F80">
        <w:t>’</w:t>
      </w:r>
      <w:r w:rsidRPr="00B713EE">
        <w:t>autoris</w:t>
      </w:r>
      <w:r w:rsidR="00594E4D" w:rsidRPr="00B713EE">
        <w:t>ation d</w:t>
      </w:r>
      <w:r w:rsidR="007C2F80">
        <w:t>’</w:t>
      </w:r>
      <w:r w:rsidR="00594E4D" w:rsidRPr="00B713EE">
        <w:t>élaboration de la phase </w:t>
      </w:r>
      <w:r w:rsidRPr="00B713EE">
        <w:t>2 du Règlement technique mondial. Il a expliqué</w:t>
      </w:r>
      <w:r w:rsidR="00594E4D" w:rsidRPr="00B713EE">
        <w:t xml:space="preserve"> qu</w:t>
      </w:r>
      <w:r w:rsidR="007C2F80">
        <w:t>’</w:t>
      </w:r>
      <w:r w:rsidR="00594E4D" w:rsidRPr="00B713EE">
        <w:t>il fallait entamer la phase </w:t>
      </w:r>
      <w:r w:rsidRPr="00B713EE">
        <w:t>2 pour aborder les questions encore en suspens, notamment en ce qui concerne les essais de qualification des matériaux. Il a indiqué que le Japon, la République de Corée et l</w:t>
      </w:r>
      <w:r w:rsidR="007C2F80">
        <w:t>’</w:t>
      </w:r>
      <w:r w:rsidRPr="00B713EE">
        <w:t xml:space="preserve">Union européenne parraineraient la </w:t>
      </w:r>
      <w:r w:rsidR="00594E4D" w:rsidRPr="00B713EE">
        <w:t>phase </w:t>
      </w:r>
      <w:r w:rsidRPr="00B713EE">
        <w:t>2. Il a toutefois précisé que la Chine, les États-Unis d</w:t>
      </w:r>
      <w:r w:rsidR="007C2F80">
        <w:t>’</w:t>
      </w:r>
      <w:r w:rsidRPr="00B713EE">
        <w:t>Amérique et d</w:t>
      </w:r>
      <w:r w:rsidR="007C2F80">
        <w:t>’</w:t>
      </w:r>
      <w:r w:rsidRPr="00B713EE">
        <w:t>autres Parties contractantes étaient invitées à apporter leurs contributions, et que le Centre commun de recherche de la Commission européenne était disposé à en faire autant.</w:t>
      </w:r>
    </w:p>
    <w:p w:rsidR="00CD04C1" w:rsidRPr="00B713EE" w:rsidRDefault="00CD04C1" w:rsidP="008C0F4C">
      <w:pPr>
        <w:pStyle w:val="ParNoG"/>
        <w:tabs>
          <w:tab w:val="clear" w:pos="1701"/>
        </w:tabs>
      </w:pPr>
      <w:r w:rsidRPr="00B713EE">
        <w:t xml:space="preserve">Le </w:t>
      </w:r>
      <w:r w:rsidRPr="00B713EE">
        <w:rPr>
          <w:rFonts w:eastAsia="SimSun"/>
        </w:rPr>
        <w:t>Comité</w:t>
      </w:r>
      <w:r w:rsidRPr="00B713EE">
        <w:t xml:space="preserve"> exécutif a adopté le document ECE/TRANS/WP.29/2017/56 et prié le secrétariat d</w:t>
      </w:r>
      <w:r w:rsidR="007C2F80">
        <w:t>’</w:t>
      </w:r>
      <w:r w:rsidRPr="00B713EE">
        <w:t>en faire un document de l</w:t>
      </w:r>
      <w:r w:rsidR="007C2F80">
        <w:t>’</w:t>
      </w:r>
      <w:r w:rsidRPr="00B713EE">
        <w:t>AC.3.</w:t>
      </w:r>
    </w:p>
    <w:p w:rsidR="00CD04C1" w:rsidRPr="00B713EE" w:rsidRDefault="00CD04C1" w:rsidP="004E6C37">
      <w:pPr>
        <w:pStyle w:val="HChG"/>
      </w:pPr>
      <w:r w:rsidRPr="00B713EE">
        <w:tab/>
      </w:r>
      <w:bookmarkStart w:id="84" w:name="_Toc478663182"/>
      <w:r w:rsidRPr="00B713EE">
        <w:t>XXII.</w:t>
      </w:r>
      <w:r w:rsidRPr="00B713EE">
        <w:tab/>
        <w:t>Questions diverses (point 20 de l</w:t>
      </w:r>
      <w:r w:rsidR="007C2F80">
        <w:t>’</w:t>
      </w:r>
      <w:r w:rsidRPr="00B713EE">
        <w:t>ordre du jour)</w:t>
      </w:r>
      <w:bookmarkEnd w:id="84"/>
    </w:p>
    <w:p w:rsidR="00CD04C1" w:rsidRPr="00B713EE" w:rsidRDefault="00CD04C1" w:rsidP="004E6C37">
      <w:pPr>
        <w:pStyle w:val="H1G"/>
      </w:pPr>
      <w:r w:rsidRPr="00B713EE">
        <w:tab/>
      </w:r>
      <w:bookmarkStart w:id="85" w:name="_Toc478663183"/>
      <w:r w:rsidR="004E6C37" w:rsidRPr="00B713EE">
        <w:tab/>
      </w:r>
      <w:r w:rsidRPr="00B713EE">
        <w:t>Proposition d</w:t>
      </w:r>
      <w:r w:rsidR="007C2F80">
        <w:t>’</w:t>
      </w:r>
      <w:r w:rsidRPr="00B713EE">
        <w:t xml:space="preserve">amendements à la Résolution spéciale </w:t>
      </w:r>
      <w:r w:rsidR="004E6C37" w:rsidRPr="00B713EE">
        <w:rPr>
          <w:rFonts w:eastAsia="MS Mincho"/>
        </w:rPr>
        <w:t>n</w:t>
      </w:r>
      <w:r w:rsidR="004E6C37" w:rsidRPr="00B713EE">
        <w:rPr>
          <w:rFonts w:eastAsia="MS Mincho"/>
          <w:vertAlign w:val="superscript"/>
        </w:rPr>
        <w:t>o</w:t>
      </w:r>
      <w:r w:rsidR="004E6C37" w:rsidRPr="00B713EE">
        <w:t> </w:t>
      </w:r>
      <w:r w:rsidRPr="00B713EE">
        <w:t xml:space="preserve">2 </w:t>
      </w:r>
      <w:r w:rsidR="00CE29D2" w:rsidRPr="00B713EE">
        <w:br/>
      </w:r>
      <w:r w:rsidR="00F01852">
        <w:t>(point </w:t>
      </w:r>
      <w:r w:rsidRPr="00B713EE">
        <w:t>20.1 de l</w:t>
      </w:r>
      <w:r w:rsidR="007C2F80">
        <w:t>’</w:t>
      </w:r>
      <w:r w:rsidRPr="00B713EE">
        <w:t>ordre du jour)</w:t>
      </w:r>
      <w:bookmarkEnd w:id="85"/>
    </w:p>
    <w:p w:rsidR="00CD04C1" w:rsidRPr="00B713EE" w:rsidRDefault="00CE29D2" w:rsidP="001F7EFD">
      <w:pPr>
        <w:pStyle w:val="SingleTxtG"/>
        <w:ind w:left="2835" w:hanging="1701"/>
        <w:jc w:val="left"/>
      </w:pPr>
      <w:r w:rsidRPr="00B713EE">
        <w:rPr>
          <w:i/>
        </w:rPr>
        <w:t>Document(s) </w:t>
      </w:r>
      <w:r w:rsidRPr="00B713EE">
        <w:t>:</w:t>
      </w:r>
      <w:r w:rsidR="00CD04C1" w:rsidRPr="00B713EE">
        <w:tab/>
        <w:t>Document informel WP.29-171-15</w:t>
      </w:r>
      <w:r w:rsidRPr="00B713EE">
        <w:t>.</w:t>
      </w:r>
    </w:p>
    <w:p w:rsidR="00CD04C1" w:rsidRPr="00B713EE" w:rsidRDefault="00CD04C1" w:rsidP="008C0F4C">
      <w:pPr>
        <w:pStyle w:val="ParNoG"/>
        <w:tabs>
          <w:tab w:val="clear" w:pos="1701"/>
        </w:tabs>
      </w:pPr>
      <w:r w:rsidRPr="00B713EE">
        <w:t>Le représentant de l</w:t>
      </w:r>
      <w:r w:rsidR="007C2F80">
        <w:t>’</w:t>
      </w:r>
      <w:r w:rsidRPr="00B713EE">
        <w:t>OICA a présenté le document WP.29-171-15, qui comportait une proposition d</w:t>
      </w:r>
      <w:r w:rsidR="007C2F80">
        <w:t>’</w:t>
      </w:r>
      <w:r w:rsidRPr="00B713EE">
        <w:t xml:space="preserve">amendement à la </w:t>
      </w:r>
      <w:r w:rsidRPr="00B713EE">
        <w:rPr>
          <w:rFonts w:eastAsia="SimSun"/>
        </w:rPr>
        <w:t>résolution</w:t>
      </w:r>
      <w:r w:rsidRPr="00B713EE">
        <w:t xml:space="preserve"> spéciale </w:t>
      </w:r>
      <w:r w:rsidR="00594E4D" w:rsidRPr="00B713EE">
        <w:rPr>
          <w:rFonts w:eastAsia="MS Mincho"/>
        </w:rPr>
        <w:t>n</w:t>
      </w:r>
      <w:r w:rsidR="00594E4D" w:rsidRPr="00B713EE">
        <w:rPr>
          <w:rFonts w:eastAsia="MS Mincho"/>
          <w:vertAlign w:val="superscript"/>
        </w:rPr>
        <w:t>o</w:t>
      </w:r>
      <w:r w:rsidR="00594E4D" w:rsidRPr="00B713EE">
        <w:rPr>
          <w:rFonts w:eastAsia="MS Mincho"/>
        </w:rPr>
        <w:t> </w:t>
      </w:r>
      <w:r w:rsidRPr="00B713EE">
        <w:t>2 (ECE/TRANS/WP.29/2016/65). Il a indiqué que l</w:t>
      </w:r>
      <w:r w:rsidR="007C2F80">
        <w:t>’</w:t>
      </w:r>
      <w:r w:rsidRPr="00B713EE">
        <w:t>OICA, qui représente l</w:t>
      </w:r>
      <w:r w:rsidR="007C2F80">
        <w:t>’</w:t>
      </w:r>
      <w:r w:rsidRPr="00B713EE">
        <w:t xml:space="preserve">industrie automobile mondiale, réaffirmait son plein appui à la résolution spéciale </w:t>
      </w:r>
      <w:r w:rsidR="00594E4D" w:rsidRPr="00B713EE">
        <w:rPr>
          <w:rFonts w:eastAsia="MS Mincho"/>
        </w:rPr>
        <w:t>n</w:t>
      </w:r>
      <w:r w:rsidR="00594E4D" w:rsidRPr="00B713EE">
        <w:rPr>
          <w:rFonts w:eastAsia="MS Mincho"/>
          <w:vertAlign w:val="superscript"/>
        </w:rPr>
        <w:t>o</w:t>
      </w:r>
      <w:r w:rsidR="00594E4D" w:rsidRPr="00B713EE">
        <w:rPr>
          <w:rFonts w:eastAsia="MS Mincho"/>
        </w:rPr>
        <w:t> </w:t>
      </w:r>
      <w:r w:rsidRPr="00B713EE">
        <w:t>2, qui constitue un pas important sur la voie d</w:t>
      </w:r>
      <w:r w:rsidR="007C2F80">
        <w:t>’</w:t>
      </w:r>
      <w:r w:rsidRPr="00B713EE">
        <w:t>une amélioration du fonctionnement de l</w:t>
      </w:r>
      <w:r w:rsidR="007C2F80">
        <w:t>’</w:t>
      </w:r>
      <w:r w:rsidRPr="00B713EE">
        <w:t>Accord de 1998.</w:t>
      </w:r>
    </w:p>
    <w:p w:rsidR="00CD04C1" w:rsidRPr="00B713EE" w:rsidRDefault="00CD04C1" w:rsidP="008C0F4C">
      <w:pPr>
        <w:pStyle w:val="ParNoG"/>
        <w:tabs>
          <w:tab w:val="clear" w:pos="1701"/>
        </w:tabs>
      </w:pPr>
      <w:r w:rsidRPr="00B713EE">
        <w:t>Il a relevé que le document WP29-171-15 tenait compte des observations formulées à la session de mars 2016 de l</w:t>
      </w:r>
      <w:r w:rsidR="007C2F80">
        <w:t>’</w:t>
      </w:r>
      <w:r w:rsidRPr="00B713EE">
        <w:t>AC.3. Il a ajouté que des travaux seraient encore nécessaires pour préciser les concepts des alternatives, modules et options. Il a souligné enfin que selon l</w:t>
      </w:r>
      <w:r w:rsidR="007C2F80">
        <w:t>’</w:t>
      </w:r>
      <w:r w:rsidRPr="00B713EE">
        <w:t>OICA une telle clarification constituerait une amélioration supplémentaire et contribuerait à l</w:t>
      </w:r>
      <w:r w:rsidR="007C2F80">
        <w:t>’</w:t>
      </w:r>
      <w:r w:rsidRPr="00B713EE">
        <w:t>élaboration de règlements techniques mondiaux nouveaux ou amendés.</w:t>
      </w:r>
    </w:p>
    <w:p w:rsidR="00742FB1" w:rsidRPr="00743036" w:rsidRDefault="00CD04C1" w:rsidP="007C2F80">
      <w:pPr>
        <w:pStyle w:val="ParNoG"/>
        <w:tabs>
          <w:tab w:val="clear" w:pos="1701"/>
        </w:tabs>
        <w:suppressAutoHyphens w:val="0"/>
        <w:kinsoku/>
        <w:overflowPunct/>
        <w:autoSpaceDE/>
        <w:autoSpaceDN/>
        <w:adjustRightInd/>
        <w:snapToGrid/>
        <w:spacing w:after="200" w:line="276" w:lineRule="auto"/>
        <w:rPr>
          <w:b/>
          <w:sz w:val="28"/>
        </w:rPr>
      </w:pPr>
      <w:r w:rsidRPr="00B713EE">
        <w:t>Faute de temps, l</w:t>
      </w:r>
      <w:r w:rsidR="007C2F80">
        <w:t>’</w:t>
      </w:r>
      <w:r w:rsidRPr="00B713EE">
        <w:t>AC.3 n</w:t>
      </w:r>
      <w:r w:rsidR="007C2F80">
        <w:t>’</w:t>
      </w:r>
      <w:r w:rsidRPr="00B713EE">
        <w:t>a pas épuisé ce point mais elle a décidé de lui consacrer davantage de temps et d</w:t>
      </w:r>
      <w:r w:rsidR="007C2F80">
        <w:t>’</w:t>
      </w:r>
      <w:r w:rsidRPr="00B713EE">
        <w:t>en reprendre l</w:t>
      </w:r>
      <w:r w:rsidR="007C2F80">
        <w:t>’</w:t>
      </w:r>
      <w:r w:rsidRPr="00B713EE">
        <w:t>examen à sa session de juin 2017. Les Parties contractantes ont été invitées à préparer leurs contributions.</w:t>
      </w:r>
      <w:r w:rsidR="00743036">
        <w:t xml:space="preserve"> </w:t>
      </w:r>
      <w:r w:rsidR="00742FB1">
        <w:br w:type="page"/>
      </w:r>
    </w:p>
    <w:p w:rsidR="00CD04C1" w:rsidRPr="00B713EE" w:rsidRDefault="00CD04C1" w:rsidP="004E6C37">
      <w:pPr>
        <w:pStyle w:val="HChG"/>
      </w:pPr>
      <w:r w:rsidRPr="00B713EE">
        <w:tab/>
      </w:r>
      <w:bookmarkStart w:id="86" w:name="_Toc478663184"/>
      <w:r w:rsidRPr="00B713EE">
        <w:t>D.</w:t>
      </w:r>
      <w:r w:rsidRPr="00B713EE">
        <w:tab/>
        <w:t>Comité d</w:t>
      </w:r>
      <w:r w:rsidR="007C2F80">
        <w:t>’</w:t>
      </w:r>
      <w:r w:rsidRPr="00B713EE">
        <w:t>administration de l</w:t>
      </w:r>
      <w:r w:rsidR="007C2F80">
        <w:t>’</w:t>
      </w:r>
      <w:r w:rsidRPr="00B713EE">
        <w:t>Accord de 1997 (AC.4)</w:t>
      </w:r>
      <w:bookmarkEnd w:id="86"/>
    </w:p>
    <w:p w:rsidR="00CD04C1" w:rsidRPr="00B713EE" w:rsidRDefault="00CD04C1" w:rsidP="004E6C37">
      <w:pPr>
        <w:pStyle w:val="HChG"/>
      </w:pPr>
      <w:r w:rsidRPr="00B713EE">
        <w:tab/>
      </w:r>
      <w:bookmarkStart w:id="87" w:name="_Toc478663185"/>
      <w:r w:rsidRPr="00B713EE">
        <w:t>XXIII.</w:t>
      </w:r>
      <w:r w:rsidRPr="00B713EE">
        <w:tab/>
        <w:t xml:space="preserve">Constitution du Comité et élection du Bureau </w:t>
      </w:r>
      <w:r w:rsidR="004E6C37" w:rsidRPr="00B713EE">
        <w:br/>
      </w:r>
      <w:r w:rsidR="00F01852">
        <w:t>pour l</w:t>
      </w:r>
      <w:r w:rsidR="007C2F80">
        <w:t>’</w:t>
      </w:r>
      <w:r w:rsidR="00F01852">
        <w:t>année 2017 (point </w:t>
      </w:r>
      <w:r w:rsidRPr="00B713EE">
        <w:t>21 de l</w:t>
      </w:r>
      <w:r w:rsidR="007C2F80">
        <w:t>’</w:t>
      </w:r>
      <w:r w:rsidRPr="00B713EE">
        <w:t>ordre du jour)</w:t>
      </w:r>
      <w:bookmarkEnd w:id="87"/>
    </w:p>
    <w:p w:rsidR="00CD04C1" w:rsidRPr="00B713EE" w:rsidRDefault="00CD04C1" w:rsidP="008C0F4C">
      <w:pPr>
        <w:pStyle w:val="ParNoG"/>
        <w:tabs>
          <w:tab w:val="clear" w:pos="1701"/>
        </w:tabs>
      </w:pPr>
      <w:r w:rsidRPr="00B713EE">
        <w:t xml:space="preserve">Le </w:t>
      </w:r>
      <w:r w:rsidRPr="00B713EE">
        <w:rPr>
          <w:rFonts w:eastAsia="SimSun"/>
        </w:rPr>
        <w:t>Comité</w:t>
      </w:r>
      <w:r w:rsidRPr="00B713EE">
        <w:t xml:space="preserve"> d</w:t>
      </w:r>
      <w:r w:rsidR="007C2F80">
        <w:t>’</w:t>
      </w:r>
      <w:r w:rsidRPr="00B713EE">
        <w:t>administration (AC.4) ne s</w:t>
      </w:r>
      <w:r w:rsidR="007C2F80">
        <w:t>’</w:t>
      </w:r>
      <w:r w:rsidRPr="00B713EE">
        <w:t>est pas réuni, le quorum fixé n</w:t>
      </w:r>
      <w:r w:rsidR="007C2F80">
        <w:t>’</w:t>
      </w:r>
      <w:r w:rsidRPr="00B713EE">
        <w:t>ayant pu être atteint.</w:t>
      </w:r>
    </w:p>
    <w:p w:rsidR="00CD04C1" w:rsidRPr="00B713EE" w:rsidRDefault="00CD04C1" w:rsidP="008C0F4C">
      <w:pPr>
        <w:pStyle w:val="ParNoG"/>
        <w:tabs>
          <w:tab w:val="clear" w:pos="1701"/>
        </w:tabs>
      </w:pPr>
      <w:r w:rsidRPr="00B713EE">
        <w:t xml:space="preserve">Le </w:t>
      </w:r>
      <w:r w:rsidRPr="00B713EE">
        <w:rPr>
          <w:rFonts w:eastAsia="SimSun"/>
        </w:rPr>
        <w:t>représentant</w:t>
      </w:r>
      <w:r w:rsidRPr="00B713EE">
        <w:t xml:space="preserve"> de la Fédération de Russie a demandé au secrétariat de réfléchir aux moyens d</w:t>
      </w:r>
      <w:r w:rsidR="007C2F80">
        <w:t>’</w:t>
      </w:r>
      <w:r w:rsidRPr="00B713EE">
        <w:t>inviter les Parties contractantes à participer aux session du Comité d</w:t>
      </w:r>
      <w:r w:rsidR="007C2F80">
        <w:t>’</w:t>
      </w:r>
      <w:r w:rsidRPr="00B713EE">
        <w:t>administration de l</w:t>
      </w:r>
      <w:r w:rsidR="007C2F80">
        <w:t>’</w:t>
      </w:r>
      <w:r w:rsidRPr="00B713EE">
        <w:t xml:space="preserve">Accord de 1997 (AC.4). </w:t>
      </w:r>
    </w:p>
    <w:p w:rsidR="00CD04C1" w:rsidRPr="00B713EE" w:rsidRDefault="00CD04C1" w:rsidP="008C0F4C">
      <w:pPr>
        <w:pStyle w:val="ParNoG"/>
        <w:tabs>
          <w:tab w:val="clear" w:pos="1701"/>
        </w:tabs>
      </w:pPr>
      <w:r w:rsidRPr="00B713EE">
        <w:t xml:space="preserve">Il a </w:t>
      </w:r>
      <w:r w:rsidRPr="00B713EE">
        <w:rPr>
          <w:rFonts w:eastAsia="SimSun"/>
        </w:rPr>
        <w:t>également</w:t>
      </w:r>
      <w:r w:rsidRPr="00B713EE">
        <w:t xml:space="preserve"> prié le secrétariat d</w:t>
      </w:r>
      <w:r w:rsidR="007C2F80">
        <w:t>’</w:t>
      </w:r>
      <w:r w:rsidRPr="00B713EE">
        <w:t>établir un document de synthèse portant sur les amendements pertinents présentés au titre du point 22 de l</w:t>
      </w:r>
      <w:r w:rsidR="007C2F80">
        <w:t>’</w:t>
      </w:r>
      <w:r w:rsidRPr="00B713EE">
        <w:t>ordre du jour pour examen par le Forum mondial à sa 172</w:t>
      </w:r>
      <w:r w:rsidRPr="00B713EE">
        <w:rPr>
          <w:vertAlign w:val="superscript"/>
        </w:rPr>
        <w:t>e</w:t>
      </w:r>
      <w:r w:rsidR="00594E4D" w:rsidRPr="00B713EE">
        <w:t> </w:t>
      </w:r>
      <w:r w:rsidRPr="00B713EE">
        <w:t>session en juin 2017.</w:t>
      </w:r>
    </w:p>
    <w:p w:rsidR="00CD04C1" w:rsidRPr="00B713EE" w:rsidRDefault="00CD04C1" w:rsidP="004E6C37">
      <w:pPr>
        <w:pStyle w:val="HChG"/>
      </w:pPr>
      <w:r w:rsidRPr="00B713EE">
        <w:tab/>
      </w:r>
      <w:bookmarkStart w:id="88" w:name="_Toc478663186"/>
      <w:r w:rsidRPr="00B713EE">
        <w:t>XXIV.</w:t>
      </w:r>
      <w:r w:rsidRPr="00B713EE">
        <w:tab/>
        <w:t xml:space="preserve">Amendements aux Règles </w:t>
      </w:r>
      <w:r w:rsidR="004E6C37" w:rsidRPr="00B713EE">
        <w:rPr>
          <w:rFonts w:eastAsia="MS Mincho"/>
        </w:rPr>
        <w:t>n</w:t>
      </w:r>
      <w:r w:rsidR="004E6C37" w:rsidRPr="00B713EE">
        <w:rPr>
          <w:rFonts w:eastAsia="MS Mincho"/>
          <w:vertAlign w:val="superscript"/>
        </w:rPr>
        <w:t>os</w:t>
      </w:r>
      <w:r w:rsidR="004E6C37" w:rsidRPr="00B713EE">
        <w:t> </w:t>
      </w:r>
      <w:r w:rsidRPr="00B713EE">
        <w:t xml:space="preserve">1 et 2 (point 22 </w:t>
      </w:r>
      <w:r w:rsidR="00594E4D" w:rsidRPr="00B713EE">
        <w:br/>
      </w:r>
      <w:r w:rsidRPr="00B713EE">
        <w:t>de l</w:t>
      </w:r>
      <w:r w:rsidR="007C2F80">
        <w:t>’</w:t>
      </w:r>
      <w:r w:rsidRPr="00B713EE">
        <w:t>ordre du jour)</w:t>
      </w:r>
      <w:bookmarkEnd w:id="88"/>
    </w:p>
    <w:p w:rsidR="00CD04C1" w:rsidRPr="00B713EE" w:rsidRDefault="00CE29D2" w:rsidP="001F7EFD">
      <w:pPr>
        <w:pStyle w:val="SingleTxtG"/>
        <w:ind w:left="2835" w:hanging="1701"/>
        <w:jc w:val="left"/>
      </w:pPr>
      <w:r w:rsidRPr="00B713EE">
        <w:rPr>
          <w:i/>
        </w:rPr>
        <w:t>Document(s) </w:t>
      </w:r>
      <w:r w:rsidRPr="00B713EE">
        <w:t>:</w:t>
      </w:r>
      <w:r w:rsidR="00CD04C1" w:rsidRPr="00B713EE">
        <w:tab/>
        <w:t>ECE/TRANS/WP.29/2013/132/Rev.1</w:t>
      </w:r>
      <w:r w:rsidRPr="00B713EE">
        <w:t xml:space="preserve"> ; </w:t>
      </w:r>
      <w:r w:rsidRPr="00B713EE">
        <w:br/>
      </w:r>
      <w:r w:rsidR="00CD04C1" w:rsidRPr="00B713EE">
        <w:t>ECE/TRANS/WP.29/2016/87</w:t>
      </w:r>
      <w:r w:rsidRPr="00B713EE">
        <w:t xml:space="preserve"> ; </w:t>
      </w:r>
      <w:r w:rsidRPr="00B713EE">
        <w:br/>
      </w:r>
      <w:r w:rsidR="00CD04C1" w:rsidRPr="00B713EE">
        <w:t>ECE/TRANS/WP.29/2017/47</w:t>
      </w:r>
      <w:r w:rsidRPr="00B713EE">
        <w:t xml:space="preserve"> ; </w:t>
      </w:r>
      <w:r w:rsidRPr="00B713EE">
        <w:br/>
      </w:r>
      <w:r w:rsidR="00CD04C1" w:rsidRPr="00B713EE">
        <w:rPr>
          <w:i/>
        </w:rPr>
        <w:tab/>
      </w:r>
      <w:r w:rsidR="00CD04C1" w:rsidRPr="00B713EE">
        <w:t>ECE/TRANS/WP.29/2013/133/Rev.1</w:t>
      </w:r>
      <w:r w:rsidRPr="00B713EE">
        <w:t xml:space="preserve"> ; </w:t>
      </w:r>
      <w:r w:rsidRPr="00B713EE">
        <w:br/>
      </w:r>
      <w:r w:rsidR="00CD04C1" w:rsidRPr="00B713EE">
        <w:tab/>
        <w:t>ECE/TRANS/WP.29/2016/88</w:t>
      </w:r>
      <w:r w:rsidRPr="00B713EE">
        <w:t xml:space="preserve"> ; </w:t>
      </w:r>
      <w:r w:rsidRPr="00B713EE">
        <w:br/>
      </w:r>
      <w:r w:rsidR="00CD04C1" w:rsidRPr="00B713EE">
        <w:t>ECE/TRANS/WP.29/2017/48</w:t>
      </w:r>
      <w:r w:rsidR="002171AC">
        <w:t> ;</w:t>
      </w:r>
      <w:r w:rsidRPr="00B713EE">
        <w:br/>
      </w:r>
      <w:r w:rsidR="00CD04C1" w:rsidRPr="00B713EE">
        <w:t>Document informel : WP.29-171-22</w:t>
      </w:r>
      <w:r w:rsidRPr="00B713EE">
        <w:t>.</w:t>
      </w:r>
    </w:p>
    <w:p w:rsidR="00CD04C1" w:rsidRPr="00B713EE" w:rsidRDefault="00CD04C1" w:rsidP="008C0F4C">
      <w:pPr>
        <w:pStyle w:val="ParNoG"/>
        <w:tabs>
          <w:tab w:val="clear" w:pos="1701"/>
        </w:tabs>
      </w:pPr>
      <w:r w:rsidRPr="00B713EE">
        <w:t>Aucune information supplémentaire n</w:t>
      </w:r>
      <w:r w:rsidR="007C2F80">
        <w:t>’</w:t>
      </w:r>
      <w:r w:rsidRPr="00B713EE">
        <w:t>a été communiquée en plus de c</w:t>
      </w:r>
      <w:r w:rsidR="00594E4D" w:rsidRPr="00B713EE">
        <w:t>elles données au titre du point </w:t>
      </w:r>
      <w:r w:rsidRPr="00B713EE">
        <w:t>7.2 de l</w:t>
      </w:r>
      <w:r w:rsidR="007C2F80">
        <w:t>’</w:t>
      </w:r>
      <w:r w:rsidRPr="00B713EE">
        <w:t xml:space="preserve">ordre du </w:t>
      </w:r>
      <w:r w:rsidRPr="00B713EE">
        <w:rPr>
          <w:rFonts w:eastAsia="SimSun"/>
        </w:rPr>
        <w:t>jour</w:t>
      </w:r>
      <w:r w:rsidRPr="00B713EE">
        <w:t xml:space="preserve"> (voir </w:t>
      </w:r>
      <w:r w:rsidR="00594E4D" w:rsidRPr="00B713EE">
        <w:t>par. </w:t>
      </w:r>
      <w:r w:rsidRPr="00B713EE">
        <w:t>92 et 93 ci-dessus).</w:t>
      </w:r>
    </w:p>
    <w:p w:rsidR="00CD04C1" w:rsidRPr="00B713EE" w:rsidRDefault="00CD04C1" w:rsidP="004E6C37">
      <w:pPr>
        <w:pStyle w:val="HChG"/>
      </w:pPr>
      <w:r w:rsidRPr="00B713EE">
        <w:tab/>
      </w:r>
      <w:bookmarkStart w:id="89" w:name="_Toc392251185"/>
      <w:bookmarkStart w:id="90" w:name="_Toc478663187"/>
      <w:r w:rsidRPr="00B713EE">
        <w:t>XXV.</w:t>
      </w:r>
      <w:r w:rsidRPr="00B713EE">
        <w:tab/>
        <w:t>Élaboration de prescriptions applicables au matériel d</w:t>
      </w:r>
      <w:r w:rsidR="007C2F80">
        <w:t>’</w:t>
      </w:r>
      <w:r w:rsidRPr="00B713EE">
        <w:t>essai, aux qualifications et à la formation des inspecteurs et à la supervision des centres d</w:t>
      </w:r>
      <w:r w:rsidR="007C2F80">
        <w:t>’</w:t>
      </w:r>
      <w:r w:rsidRPr="00B713EE">
        <w:t>essai (point 23 de l</w:t>
      </w:r>
      <w:r w:rsidR="007C2F80">
        <w:t>’</w:t>
      </w:r>
      <w:r w:rsidRPr="00B713EE">
        <w:t>ordre du jour</w:t>
      </w:r>
      <w:bookmarkEnd w:id="89"/>
      <w:bookmarkEnd w:id="90"/>
      <w:r w:rsidRPr="00B713EE">
        <w:t>)</w:t>
      </w:r>
    </w:p>
    <w:p w:rsidR="00CD04C1" w:rsidRPr="00B713EE" w:rsidRDefault="00CD04C1" w:rsidP="008C0F4C">
      <w:pPr>
        <w:pStyle w:val="ParNoG"/>
        <w:tabs>
          <w:tab w:val="clear" w:pos="1701"/>
        </w:tabs>
      </w:pPr>
      <w:r w:rsidRPr="00B713EE">
        <w:rPr>
          <w:rFonts w:eastAsia="SimSun"/>
        </w:rPr>
        <w:t>Aucune</w:t>
      </w:r>
      <w:r w:rsidRPr="00B713EE">
        <w:t xml:space="preserve"> information supplémentaire n</w:t>
      </w:r>
      <w:r w:rsidR="007C2F80">
        <w:t>’</w:t>
      </w:r>
      <w:r w:rsidRPr="00B713EE">
        <w:t>a été communiquée en plus de c</w:t>
      </w:r>
      <w:r w:rsidR="00594E4D" w:rsidRPr="00B713EE">
        <w:t>elles données au titre du point </w:t>
      </w:r>
      <w:r w:rsidRPr="00B713EE">
        <w:t>7.3</w:t>
      </w:r>
      <w:r w:rsidR="00594E4D" w:rsidRPr="00B713EE">
        <w:t xml:space="preserve"> de l</w:t>
      </w:r>
      <w:r w:rsidR="007C2F80">
        <w:t>’</w:t>
      </w:r>
      <w:r w:rsidR="00594E4D" w:rsidRPr="00B713EE">
        <w:t>ordre du jour (voir par. </w:t>
      </w:r>
      <w:r w:rsidRPr="00B713EE">
        <w:t>99 ci-dessus).</w:t>
      </w:r>
    </w:p>
    <w:p w:rsidR="00CD04C1" w:rsidRPr="00B713EE" w:rsidRDefault="004E6C37" w:rsidP="004E6C37">
      <w:pPr>
        <w:pStyle w:val="HChG"/>
      </w:pPr>
      <w:bookmarkStart w:id="91" w:name="_Toc478663188"/>
      <w:r w:rsidRPr="00B713EE">
        <w:tab/>
        <w:t>XXVI.</w:t>
      </w:r>
      <w:r w:rsidRPr="00B713EE">
        <w:tab/>
      </w:r>
      <w:r w:rsidR="00CD04C1" w:rsidRPr="00B713EE">
        <w:t>Questions diverses (point 24 de l</w:t>
      </w:r>
      <w:r w:rsidR="007C2F80">
        <w:t>’</w:t>
      </w:r>
      <w:r w:rsidR="00CD04C1" w:rsidRPr="00B713EE">
        <w:t>ordre du jour)</w:t>
      </w:r>
      <w:bookmarkEnd w:id="91"/>
    </w:p>
    <w:p w:rsidR="00B75260" w:rsidRPr="00B713EE" w:rsidRDefault="00CD04C1" w:rsidP="008C0F4C">
      <w:pPr>
        <w:pStyle w:val="ParNoG"/>
        <w:tabs>
          <w:tab w:val="clear" w:pos="1701"/>
        </w:tabs>
      </w:pPr>
      <w:r w:rsidRPr="00B713EE">
        <w:rPr>
          <w:rFonts w:eastAsia="SimSun"/>
        </w:rPr>
        <w:t>Aucune</w:t>
      </w:r>
      <w:r w:rsidRPr="00B713EE">
        <w:t xml:space="preserve"> question n</w:t>
      </w:r>
      <w:r w:rsidR="007C2F80">
        <w:t>’</w:t>
      </w:r>
      <w:r w:rsidRPr="00B713EE">
        <w:t>a été soulevée au titre de ce point de l</w:t>
      </w:r>
      <w:r w:rsidR="007C2F80">
        <w:t>’</w:t>
      </w:r>
      <w:r w:rsidRPr="00B713EE">
        <w:t>ordre du jour.</w:t>
      </w:r>
    </w:p>
    <w:p w:rsidR="00CD04C1" w:rsidRPr="00B713EE" w:rsidRDefault="00CD04C1" w:rsidP="00B1602D">
      <w:pPr>
        <w:pStyle w:val="HChG"/>
      </w:pPr>
      <w:r w:rsidRPr="00B713EE">
        <w:rPr>
          <w:rFonts w:eastAsia="SimSun"/>
        </w:rPr>
        <w:br w:type="page"/>
      </w:r>
      <w:bookmarkStart w:id="92" w:name="_Toc455504037"/>
      <w:bookmarkStart w:id="93" w:name="_Toc478663189"/>
      <w:r w:rsidRPr="00B713EE">
        <w:t>Annexe I</w:t>
      </w:r>
      <w:bookmarkEnd w:id="92"/>
      <w:bookmarkEnd w:id="93"/>
    </w:p>
    <w:p w:rsidR="00CD04C1" w:rsidRPr="00B713EE" w:rsidRDefault="00CD04C1" w:rsidP="00B1602D">
      <w:pPr>
        <w:pStyle w:val="HChG"/>
      </w:pPr>
      <w:r w:rsidRPr="00B713EE">
        <w:tab/>
      </w:r>
      <w:r w:rsidRPr="00B713EE">
        <w:tab/>
      </w:r>
      <w:bookmarkStart w:id="94" w:name="_Toc455504038"/>
      <w:bookmarkStart w:id="95" w:name="_Toc478663190"/>
      <w:r w:rsidRPr="00B713EE">
        <w:t xml:space="preserve">Liste des documents informels (WP.29-171…) distribués </w:t>
      </w:r>
      <w:r w:rsidR="00B1602D" w:rsidRPr="00B713EE">
        <w:br/>
      </w:r>
      <w:r w:rsidRPr="00B713EE">
        <w:t>sans cote lors de la 171</w:t>
      </w:r>
      <w:r w:rsidRPr="00B713EE">
        <w:rPr>
          <w:vertAlign w:val="superscript"/>
        </w:rPr>
        <w:t>e</w:t>
      </w:r>
      <w:r w:rsidR="00B1602D" w:rsidRPr="00B713EE">
        <w:t> </w:t>
      </w:r>
      <w:r w:rsidRPr="00B713EE">
        <w:t>session</w:t>
      </w:r>
      <w:bookmarkEnd w:id="94"/>
      <w:bookmarkEnd w:id="95"/>
    </w:p>
    <w:tbl>
      <w:tblPr>
        <w:tblW w:w="7370" w:type="dxa"/>
        <w:tblInd w:w="1134" w:type="dxa"/>
        <w:tblLayout w:type="fixed"/>
        <w:tblCellMar>
          <w:left w:w="0" w:type="dxa"/>
          <w:right w:w="0" w:type="dxa"/>
        </w:tblCellMar>
        <w:tblLook w:val="01E0" w:firstRow="1" w:lastRow="1" w:firstColumn="1" w:lastColumn="1" w:noHBand="0" w:noVBand="0"/>
      </w:tblPr>
      <w:tblGrid>
        <w:gridCol w:w="670"/>
        <w:gridCol w:w="1470"/>
        <w:gridCol w:w="803"/>
        <w:gridCol w:w="668"/>
        <w:gridCol w:w="3207"/>
        <w:gridCol w:w="552"/>
      </w:tblGrid>
      <w:tr w:rsidR="00CD04C1" w:rsidRPr="00B713EE" w:rsidTr="00A74844">
        <w:trPr>
          <w:cantSplit/>
          <w:tblHeader/>
        </w:trPr>
        <w:tc>
          <w:tcPr>
            <w:tcW w:w="670" w:type="dxa"/>
            <w:tcBorders>
              <w:top w:val="single" w:sz="4" w:space="0" w:color="auto"/>
              <w:bottom w:val="single" w:sz="12" w:space="0" w:color="auto"/>
            </w:tcBorders>
            <w:shd w:val="clear" w:color="auto" w:fill="auto"/>
            <w:vAlign w:val="bottom"/>
          </w:tcPr>
          <w:p w:rsidR="00CD04C1" w:rsidRPr="00B713EE" w:rsidRDefault="00641815" w:rsidP="00B1602D">
            <w:pPr>
              <w:spacing w:before="80" w:after="80" w:line="200" w:lineRule="exact"/>
              <w:ind w:right="113"/>
              <w:rPr>
                <w:i/>
                <w:sz w:val="16"/>
              </w:rPr>
            </w:pPr>
            <w:r>
              <w:rPr>
                <w:rFonts w:eastAsia="MS Mincho"/>
                <w:i/>
                <w:sz w:val="16"/>
              </w:rPr>
              <w:t>N</w:t>
            </w:r>
            <w:r w:rsidRPr="00641815">
              <w:rPr>
                <w:rFonts w:eastAsia="MS Mincho"/>
                <w:i/>
                <w:sz w:val="16"/>
                <w:vertAlign w:val="superscript"/>
              </w:rPr>
              <w:t>o</w:t>
            </w:r>
          </w:p>
        </w:tc>
        <w:tc>
          <w:tcPr>
            <w:tcW w:w="1470" w:type="dxa"/>
            <w:tcBorders>
              <w:top w:val="single" w:sz="4" w:space="0" w:color="auto"/>
              <w:bottom w:val="single" w:sz="12" w:space="0" w:color="auto"/>
            </w:tcBorders>
            <w:shd w:val="clear" w:color="auto" w:fill="auto"/>
            <w:vAlign w:val="bottom"/>
          </w:tcPr>
          <w:p w:rsidR="00CD04C1" w:rsidRPr="00B713EE" w:rsidRDefault="00CD04C1" w:rsidP="00B1602D">
            <w:pPr>
              <w:spacing w:before="80" w:after="80" w:line="200" w:lineRule="exact"/>
              <w:ind w:right="113"/>
              <w:rPr>
                <w:i/>
                <w:sz w:val="16"/>
              </w:rPr>
            </w:pPr>
            <w:r w:rsidRPr="00B713EE">
              <w:rPr>
                <w:i/>
                <w:sz w:val="16"/>
              </w:rPr>
              <w:t xml:space="preserve">Communiqué par </w:t>
            </w:r>
          </w:p>
        </w:tc>
        <w:tc>
          <w:tcPr>
            <w:tcW w:w="803" w:type="dxa"/>
            <w:tcBorders>
              <w:top w:val="single" w:sz="4" w:space="0" w:color="auto"/>
              <w:bottom w:val="single" w:sz="12" w:space="0" w:color="auto"/>
            </w:tcBorders>
            <w:shd w:val="clear" w:color="auto" w:fill="auto"/>
            <w:vAlign w:val="bottom"/>
          </w:tcPr>
          <w:p w:rsidR="00CD04C1" w:rsidRPr="00B713EE" w:rsidRDefault="00CD04C1" w:rsidP="00B1602D">
            <w:pPr>
              <w:spacing w:before="80" w:after="80" w:line="200" w:lineRule="exact"/>
              <w:ind w:right="113"/>
              <w:rPr>
                <w:i/>
                <w:sz w:val="16"/>
              </w:rPr>
            </w:pPr>
            <w:r w:rsidRPr="00B713EE">
              <w:rPr>
                <w:i/>
                <w:sz w:val="16"/>
              </w:rPr>
              <w:t>Point de l</w:t>
            </w:r>
            <w:r w:rsidR="007C2F80">
              <w:rPr>
                <w:i/>
                <w:sz w:val="16"/>
              </w:rPr>
              <w:t>’</w:t>
            </w:r>
            <w:r w:rsidRPr="00B713EE">
              <w:rPr>
                <w:i/>
                <w:sz w:val="16"/>
              </w:rPr>
              <w:t xml:space="preserve">ordre </w:t>
            </w:r>
            <w:r w:rsidR="00260D2A" w:rsidRPr="00B713EE">
              <w:rPr>
                <w:i/>
                <w:sz w:val="16"/>
              </w:rPr>
              <w:br/>
            </w:r>
            <w:r w:rsidRPr="00B713EE">
              <w:rPr>
                <w:i/>
                <w:sz w:val="16"/>
              </w:rPr>
              <w:t>du jour</w:t>
            </w:r>
          </w:p>
        </w:tc>
        <w:tc>
          <w:tcPr>
            <w:tcW w:w="668" w:type="dxa"/>
            <w:tcBorders>
              <w:top w:val="single" w:sz="4" w:space="0" w:color="auto"/>
              <w:bottom w:val="single" w:sz="12" w:space="0" w:color="auto"/>
            </w:tcBorders>
            <w:shd w:val="clear" w:color="auto" w:fill="auto"/>
            <w:vAlign w:val="bottom"/>
          </w:tcPr>
          <w:p w:rsidR="00CD04C1" w:rsidRPr="00B713EE" w:rsidRDefault="00CD04C1" w:rsidP="00B1602D">
            <w:pPr>
              <w:spacing w:before="80" w:after="80" w:line="200" w:lineRule="exact"/>
              <w:ind w:right="113"/>
              <w:rPr>
                <w:i/>
                <w:sz w:val="16"/>
              </w:rPr>
            </w:pPr>
            <w:r w:rsidRPr="00B713EE">
              <w:rPr>
                <w:i/>
                <w:sz w:val="16"/>
              </w:rPr>
              <w:t>Langue</w:t>
            </w:r>
          </w:p>
        </w:tc>
        <w:tc>
          <w:tcPr>
            <w:tcW w:w="3207" w:type="dxa"/>
            <w:tcBorders>
              <w:top w:val="single" w:sz="4" w:space="0" w:color="auto"/>
              <w:bottom w:val="single" w:sz="12" w:space="0" w:color="auto"/>
            </w:tcBorders>
            <w:shd w:val="clear" w:color="auto" w:fill="auto"/>
            <w:vAlign w:val="bottom"/>
          </w:tcPr>
          <w:p w:rsidR="00CD04C1" w:rsidRPr="00B713EE" w:rsidRDefault="00CD04C1" w:rsidP="00B1602D">
            <w:pPr>
              <w:spacing w:before="80" w:after="80" w:line="200" w:lineRule="exact"/>
              <w:ind w:right="113"/>
              <w:rPr>
                <w:i/>
                <w:sz w:val="16"/>
              </w:rPr>
            </w:pPr>
            <w:r w:rsidRPr="00B713EE">
              <w:rPr>
                <w:i/>
                <w:sz w:val="16"/>
              </w:rPr>
              <w:t>Titre</w:t>
            </w:r>
          </w:p>
        </w:tc>
        <w:tc>
          <w:tcPr>
            <w:tcW w:w="552" w:type="dxa"/>
            <w:tcBorders>
              <w:top w:val="single" w:sz="4" w:space="0" w:color="auto"/>
              <w:bottom w:val="single" w:sz="12" w:space="0" w:color="auto"/>
            </w:tcBorders>
            <w:shd w:val="clear" w:color="auto" w:fill="auto"/>
            <w:vAlign w:val="bottom"/>
          </w:tcPr>
          <w:p w:rsidR="00CD04C1" w:rsidRPr="00B713EE" w:rsidRDefault="00CD04C1" w:rsidP="00B1602D">
            <w:pPr>
              <w:spacing w:before="80" w:after="80" w:line="200" w:lineRule="exact"/>
              <w:ind w:right="113"/>
              <w:rPr>
                <w:i/>
                <w:sz w:val="16"/>
              </w:rPr>
            </w:pPr>
            <w:r w:rsidRPr="00B713EE">
              <w:rPr>
                <w:i/>
                <w:sz w:val="16"/>
              </w:rPr>
              <w:t>Suivi</w:t>
            </w:r>
          </w:p>
        </w:tc>
      </w:tr>
      <w:tr w:rsidR="00B1602D" w:rsidRPr="00B713EE" w:rsidTr="00A74844">
        <w:trPr>
          <w:cantSplit/>
          <w:trHeight w:hRule="exact" w:val="113"/>
          <w:tblHeader/>
        </w:trPr>
        <w:tc>
          <w:tcPr>
            <w:tcW w:w="670" w:type="dxa"/>
            <w:tcBorders>
              <w:top w:val="single" w:sz="12" w:space="0" w:color="auto"/>
            </w:tcBorders>
            <w:shd w:val="clear" w:color="auto" w:fill="auto"/>
          </w:tcPr>
          <w:p w:rsidR="00B1602D" w:rsidRPr="00B713EE" w:rsidRDefault="00B1602D" w:rsidP="00B1602D">
            <w:pPr>
              <w:spacing w:before="40" w:after="120"/>
              <w:ind w:right="113"/>
            </w:pPr>
          </w:p>
        </w:tc>
        <w:tc>
          <w:tcPr>
            <w:tcW w:w="1470" w:type="dxa"/>
            <w:tcBorders>
              <w:top w:val="single" w:sz="12" w:space="0" w:color="auto"/>
            </w:tcBorders>
            <w:shd w:val="clear" w:color="auto" w:fill="auto"/>
          </w:tcPr>
          <w:p w:rsidR="00B1602D" w:rsidRPr="00B713EE" w:rsidRDefault="00B1602D" w:rsidP="00B1602D">
            <w:pPr>
              <w:spacing w:before="40" w:after="120"/>
              <w:ind w:right="113"/>
            </w:pPr>
          </w:p>
        </w:tc>
        <w:tc>
          <w:tcPr>
            <w:tcW w:w="803" w:type="dxa"/>
            <w:tcBorders>
              <w:top w:val="single" w:sz="12" w:space="0" w:color="auto"/>
            </w:tcBorders>
            <w:shd w:val="clear" w:color="auto" w:fill="auto"/>
          </w:tcPr>
          <w:p w:rsidR="00B1602D" w:rsidRPr="00B713EE" w:rsidRDefault="00B1602D" w:rsidP="00B1602D">
            <w:pPr>
              <w:spacing w:before="40" w:after="120"/>
              <w:ind w:right="113"/>
            </w:pPr>
          </w:p>
        </w:tc>
        <w:tc>
          <w:tcPr>
            <w:tcW w:w="668" w:type="dxa"/>
            <w:tcBorders>
              <w:top w:val="single" w:sz="12" w:space="0" w:color="auto"/>
            </w:tcBorders>
            <w:shd w:val="clear" w:color="auto" w:fill="auto"/>
          </w:tcPr>
          <w:p w:rsidR="00B1602D" w:rsidRPr="00B713EE" w:rsidRDefault="00B1602D" w:rsidP="00B1602D">
            <w:pPr>
              <w:spacing w:before="40" w:after="120"/>
              <w:ind w:right="113"/>
            </w:pPr>
          </w:p>
        </w:tc>
        <w:tc>
          <w:tcPr>
            <w:tcW w:w="3207" w:type="dxa"/>
            <w:tcBorders>
              <w:top w:val="single" w:sz="12" w:space="0" w:color="auto"/>
            </w:tcBorders>
            <w:shd w:val="clear" w:color="auto" w:fill="auto"/>
          </w:tcPr>
          <w:p w:rsidR="00B1602D" w:rsidRPr="00B713EE" w:rsidRDefault="00B1602D" w:rsidP="00B1602D">
            <w:pPr>
              <w:spacing w:before="40" w:after="120"/>
              <w:ind w:right="113"/>
            </w:pPr>
          </w:p>
        </w:tc>
        <w:tc>
          <w:tcPr>
            <w:tcW w:w="552" w:type="dxa"/>
            <w:tcBorders>
              <w:top w:val="single" w:sz="12" w:space="0" w:color="auto"/>
            </w:tcBorders>
            <w:shd w:val="clear" w:color="auto" w:fill="auto"/>
          </w:tcPr>
          <w:p w:rsidR="00B1602D" w:rsidRPr="00B713EE" w:rsidRDefault="00B1602D" w:rsidP="00B1602D">
            <w:pPr>
              <w:spacing w:before="40" w:after="120"/>
              <w:ind w:right="113"/>
            </w:pPr>
          </w:p>
        </w:tc>
      </w:tr>
      <w:tr w:rsidR="00CD04C1" w:rsidRPr="00B713EE" w:rsidTr="00A74844">
        <w:trPr>
          <w:cantSplit/>
        </w:trPr>
        <w:tc>
          <w:tcPr>
            <w:tcW w:w="670" w:type="dxa"/>
            <w:shd w:val="clear" w:color="auto" w:fill="auto"/>
          </w:tcPr>
          <w:p w:rsidR="00CD04C1" w:rsidRPr="00B713EE" w:rsidRDefault="00CD04C1" w:rsidP="00B1602D">
            <w:pPr>
              <w:spacing w:before="40" w:after="120"/>
              <w:ind w:right="113"/>
            </w:pPr>
            <w:r w:rsidRPr="00B713EE">
              <w:t>1</w:t>
            </w:r>
          </w:p>
        </w:tc>
        <w:tc>
          <w:tcPr>
            <w:tcW w:w="1470" w:type="dxa"/>
            <w:shd w:val="clear" w:color="auto" w:fill="auto"/>
          </w:tcPr>
          <w:p w:rsidR="00CD04C1" w:rsidRPr="00B713EE" w:rsidRDefault="00CD04C1" w:rsidP="00B1602D">
            <w:pPr>
              <w:spacing w:before="40" w:after="120"/>
              <w:ind w:right="113"/>
            </w:pPr>
            <w:r w:rsidRPr="00B713EE">
              <w:t>Secrétariat</w:t>
            </w:r>
          </w:p>
        </w:tc>
        <w:tc>
          <w:tcPr>
            <w:tcW w:w="803" w:type="dxa"/>
            <w:shd w:val="clear" w:color="auto" w:fill="auto"/>
          </w:tcPr>
          <w:p w:rsidR="00CD04C1" w:rsidRPr="00B713EE" w:rsidRDefault="00CD04C1" w:rsidP="00B1602D">
            <w:pPr>
              <w:spacing w:before="40" w:after="120"/>
              <w:ind w:right="113"/>
            </w:pPr>
            <w:r w:rsidRPr="00B713EE">
              <w:t>2.2</w:t>
            </w:r>
          </w:p>
        </w:tc>
        <w:tc>
          <w:tcPr>
            <w:tcW w:w="668" w:type="dxa"/>
            <w:shd w:val="clear" w:color="auto" w:fill="auto"/>
          </w:tcPr>
          <w:p w:rsidR="00CD04C1" w:rsidRPr="00B713EE" w:rsidRDefault="00CD04C1" w:rsidP="00B1602D">
            <w:pPr>
              <w:spacing w:before="40" w:after="120"/>
              <w:ind w:right="113"/>
            </w:pPr>
            <w:r w:rsidRPr="00B713EE">
              <w:t>E</w:t>
            </w:r>
          </w:p>
        </w:tc>
        <w:tc>
          <w:tcPr>
            <w:tcW w:w="3207" w:type="dxa"/>
            <w:shd w:val="clear" w:color="auto" w:fill="auto"/>
          </w:tcPr>
          <w:p w:rsidR="00CD04C1" w:rsidRPr="00567416" w:rsidRDefault="00CD04C1" w:rsidP="00B1602D">
            <w:pPr>
              <w:spacing w:before="40" w:after="120"/>
              <w:ind w:right="113"/>
              <w:rPr>
                <w:lang w:val="en-US"/>
              </w:rPr>
            </w:pPr>
            <w:r w:rsidRPr="00567416">
              <w:rPr>
                <w:lang w:val="en-US"/>
              </w:rPr>
              <w:t>WP.29, Working Parties, Informal Working Groups and Chairmanship</w:t>
            </w:r>
          </w:p>
        </w:tc>
        <w:tc>
          <w:tcPr>
            <w:tcW w:w="552" w:type="dxa"/>
            <w:shd w:val="clear" w:color="auto" w:fill="auto"/>
          </w:tcPr>
          <w:p w:rsidR="00CD04C1" w:rsidRPr="00B713EE" w:rsidRDefault="00CD04C1" w:rsidP="00B1602D">
            <w:pPr>
              <w:spacing w:before="40" w:after="120"/>
              <w:ind w:right="113"/>
            </w:pPr>
            <w:r w:rsidRPr="00B713EE">
              <w:t>a)</w:t>
            </w:r>
          </w:p>
        </w:tc>
      </w:tr>
      <w:tr w:rsidR="00CD04C1" w:rsidRPr="00B713EE" w:rsidTr="00A74844">
        <w:trPr>
          <w:cantSplit/>
        </w:trPr>
        <w:tc>
          <w:tcPr>
            <w:tcW w:w="670" w:type="dxa"/>
            <w:shd w:val="clear" w:color="auto" w:fill="auto"/>
          </w:tcPr>
          <w:p w:rsidR="00CD04C1" w:rsidRPr="00B713EE" w:rsidRDefault="00CD04C1" w:rsidP="00B1602D">
            <w:pPr>
              <w:spacing w:before="40" w:after="120"/>
              <w:ind w:right="113"/>
            </w:pPr>
            <w:r w:rsidRPr="00B713EE">
              <w:t>2</w:t>
            </w:r>
          </w:p>
        </w:tc>
        <w:tc>
          <w:tcPr>
            <w:tcW w:w="1470" w:type="dxa"/>
            <w:shd w:val="clear" w:color="auto" w:fill="auto"/>
          </w:tcPr>
          <w:p w:rsidR="00CD04C1" w:rsidRPr="00B713EE" w:rsidRDefault="00CD04C1" w:rsidP="00B1602D">
            <w:pPr>
              <w:spacing w:before="40" w:after="120"/>
              <w:ind w:right="113"/>
            </w:pPr>
            <w:r w:rsidRPr="00B713EE">
              <w:t>Secrétariat</w:t>
            </w:r>
          </w:p>
        </w:tc>
        <w:tc>
          <w:tcPr>
            <w:tcW w:w="803" w:type="dxa"/>
            <w:shd w:val="clear" w:color="auto" w:fill="auto"/>
          </w:tcPr>
          <w:p w:rsidR="00CD04C1" w:rsidRPr="00B713EE" w:rsidRDefault="00CD04C1" w:rsidP="00B1602D">
            <w:pPr>
              <w:spacing w:before="40" w:after="120"/>
              <w:ind w:right="113"/>
            </w:pPr>
            <w:r w:rsidRPr="00B713EE">
              <w:t>1</w:t>
            </w:r>
          </w:p>
        </w:tc>
        <w:tc>
          <w:tcPr>
            <w:tcW w:w="668" w:type="dxa"/>
            <w:shd w:val="clear" w:color="auto" w:fill="auto"/>
          </w:tcPr>
          <w:p w:rsidR="00CD04C1" w:rsidRPr="00B713EE" w:rsidRDefault="00CD04C1" w:rsidP="00B1602D">
            <w:pPr>
              <w:spacing w:before="40" w:after="120"/>
              <w:ind w:right="113"/>
            </w:pPr>
            <w:r w:rsidRPr="00B713EE">
              <w:t>E</w:t>
            </w:r>
          </w:p>
        </w:tc>
        <w:tc>
          <w:tcPr>
            <w:tcW w:w="3207" w:type="dxa"/>
            <w:shd w:val="clear" w:color="auto" w:fill="auto"/>
          </w:tcPr>
          <w:p w:rsidR="00CD04C1" w:rsidRPr="00567416" w:rsidRDefault="00CD04C1" w:rsidP="00B1602D">
            <w:pPr>
              <w:spacing w:before="40" w:after="120"/>
              <w:ind w:right="113"/>
              <w:rPr>
                <w:lang w:val="en-US"/>
              </w:rPr>
            </w:pPr>
            <w:r w:rsidRPr="00567416">
              <w:rPr>
                <w:lang w:val="en-US"/>
              </w:rPr>
              <w:t xml:space="preserve">Consolidated Agenda including Informal documents </w:t>
            </w:r>
          </w:p>
        </w:tc>
        <w:tc>
          <w:tcPr>
            <w:tcW w:w="552" w:type="dxa"/>
            <w:shd w:val="clear" w:color="auto" w:fill="auto"/>
          </w:tcPr>
          <w:p w:rsidR="00CD04C1" w:rsidRPr="00B713EE" w:rsidRDefault="00CD04C1" w:rsidP="00B1602D">
            <w:pPr>
              <w:spacing w:before="40" w:after="120"/>
              <w:ind w:right="113"/>
            </w:pPr>
            <w:r w:rsidRPr="00B713EE">
              <w:t>a)</w:t>
            </w:r>
          </w:p>
        </w:tc>
      </w:tr>
      <w:tr w:rsidR="00CD04C1" w:rsidRPr="00B713EE" w:rsidTr="00A74844">
        <w:trPr>
          <w:cantSplit/>
        </w:trPr>
        <w:tc>
          <w:tcPr>
            <w:tcW w:w="670" w:type="dxa"/>
            <w:shd w:val="clear" w:color="auto" w:fill="auto"/>
          </w:tcPr>
          <w:p w:rsidR="00CD04C1" w:rsidRPr="00B713EE" w:rsidRDefault="00CD04C1" w:rsidP="00B1602D">
            <w:pPr>
              <w:spacing w:before="40" w:after="120"/>
              <w:ind w:right="113"/>
            </w:pPr>
            <w:r w:rsidRPr="00B713EE">
              <w:t>3</w:t>
            </w:r>
          </w:p>
        </w:tc>
        <w:tc>
          <w:tcPr>
            <w:tcW w:w="1470" w:type="dxa"/>
            <w:shd w:val="clear" w:color="auto" w:fill="auto"/>
          </w:tcPr>
          <w:p w:rsidR="00CD04C1" w:rsidRPr="00B713EE" w:rsidRDefault="00CD04C1" w:rsidP="00B1602D">
            <w:pPr>
              <w:spacing w:before="40" w:after="120"/>
              <w:ind w:right="113"/>
            </w:pPr>
            <w:r w:rsidRPr="00B713EE">
              <w:t>Union européenne</w:t>
            </w:r>
          </w:p>
        </w:tc>
        <w:tc>
          <w:tcPr>
            <w:tcW w:w="803" w:type="dxa"/>
            <w:shd w:val="clear" w:color="auto" w:fill="auto"/>
          </w:tcPr>
          <w:p w:rsidR="00CD04C1" w:rsidRPr="00B713EE" w:rsidRDefault="00260D2A" w:rsidP="00260D2A">
            <w:pPr>
              <w:spacing w:before="40" w:after="120"/>
              <w:ind w:right="113"/>
            </w:pPr>
            <w:r w:rsidRPr="00B713EE">
              <w:rPr>
                <w:szCs w:val="22"/>
              </w:rPr>
              <w:t>4.9.2</w:t>
            </w:r>
            <w:r w:rsidR="00CD04C1" w:rsidRPr="00B713EE">
              <w:rPr>
                <w:szCs w:val="22"/>
              </w:rPr>
              <w:t>-4.9.6, 4.9.8, 4.9.10, 4.</w:t>
            </w:r>
            <w:r w:rsidRPr="00B713EE">
              <w:rPr>
                <w:szCs w:val="22"/>
              </w:rPr>
              <w:t>9.14-4.9.17, 4.9.20-</w:t>
            </w:r>
            <w:r w:rsidR="00CD04C1" w:rsidRPr="00B713EE">
              <w:rPr>
                <w:szCs w:val="22"/>
              </w:rPr>
              <w:t>4.9.24</w:t>
            </w:r>
          </w:p>
        </w:tc>
        <w:tc>
          <w:tcPr>
            <w:tcW w:w="668" w:type="dxa"/>
            <w:shd w:val="clear" w:color="auto" w:fill="auto"/>
          </w:tcPr>
          <w:p w:rsidR="00CD04C1" w:rsidRPr="00B713EE" w:rsidRDefault="00CD04C1" w:rsidP="00B1602D">
            <w:pPr>
              <w:spacing w:before="40" w:after="120"/>
              <w:ind w:right="113"/>
            </w:pPr>
            <w:r w:rsidRPr="00B713EE">
              <w:t>E</w:t>
            </w:r>
          </w:p>
        </w:tc>
        <w:tc>
          <w:tcPr>
            <w:tcW w:w="3207" w:type="dxa"/>
            <w:shd w:val="clear" w:color="auto" w:fill="auto"/>
          </w:tcPr>
          <w:p w:rsidR="00CD04C1" w:rsidRPr="00567416" w:rsidRDefault="00CD04C1" w:rsidP="00B1602D">
            <w:pPr>
              <w:spacing w:before="40" w:after="120"/>
              <w:ind w:right="113"/>
              <w:rPr>
                <w:lang w:val="en-US"/>
              </w:rPr>
            </w:pPr>
            <w:r w:rsidRPr="00567416">
              <w:rPr>
                <w:lang w:val="en-US"/>
              </w:rPr>
              <w:t>Proposal for amendments to Regulations Nos. 4, 6, 7, 19, 23, 38, 48, 50, 77, 87, 91, 98, 112, 113, 119, 123</w:t>
            </w:r>
          </w:p>
        </w:tc>
        <w:tc>
          <w:tcPr>
            <w:tcW w:w="552" w:type="dxa"/>
            <w:shd w:val="clear" w:color="auto" w:fill="auto"/>
          </w:tcPr>
          <w:p w:rsidR="00CD04C1" w:rsidRPr="00B713EE" w:rsidRDefault="00CD04C1" w:rsidP="00B1602D">
            <w:pPr>
              <w:spacing w:before="40" w:after="120"/>
              <w:ind w:right="113"/>
            </w:pPr>
            <w:r w:rsidRPr="00B713EE">
              <w:t>e)</w:t>
            </w:r>
          </w:p>
        </w:tc>
      </w:tr>
      <w:tr w:rsidR="00CD04C1" w:rsidRPr="00B713EE" w:rsidTr="00A74844">
        <w:trPr>
          <w:cantSplit/>
        </w:trPr>
        <w:tc>
          <w:tcPr>
            <w:tcW w:w="670" w:type="dxa"/>
            <w:shd w:val="clear" w:color="auto" w:fill="auto"/>
          </w:tcPr>
          <w:p w:rsidR="00CD04C1" w:rsidRPr="00B713EE" w:rsidRDefault="00CD04C1" w:rsidP="00B1602D">
            <w:pPr>
              <w:spacing w:before="40" w:after="120"/>
              <w:ind w:right="113"/>
            </w:pPr>
            <w:r w:rsidRPr="00B713EE">
              <w:t>4</w:t>
            </w:r>
          </w:p>
        </w:tc>
        <w:tc>
          <w:tcPr>
            <w:tcW w:w="1470" w:type="dxa"/>
            <w:shd w:val="clear" w:color="auto" w:fill="auto"/>
          </w:tcPr>
          <w:p w:rsidR="00CD04C1" w:rsidRPr="00B713EE" w:rsidRDefault="00CD04C1" w:rsidP="00B1602D">
            <w:pPr>
              <w:spacing w:before="40" w:after="120"/>
              <w:ind w:right="113"/>
            </w:pPr>
            <w:r w:rsidRPr="00B713EE">
              <w:t>Union européenne</w:t>
            </w:r>
          </w:p>
        </w:tc>
        <w:tc>
          <w:tcPr>
            <w:tcW w:w="803" w:type="dxa"/>
            <w:shd w:val="clear" w:color="auto" w:fill="auto"/>
          </w:tcPr>
          <w:p w:rsidR="00CD04C1" w:rsidRPr="00B713EE" w:rsidRDefault="00CD04C1" w:rsidP="00B1602D">
            <w:pPr>
              <w:spacing w:before="40" w:after="120"/>
              <w:ind w:right="113"/>
            </w:pPr>
            <w:r w:rsidRPr="00B713EE">
              <w:rPr>
                <w:szCs w:val="22"/>
              </w:rPr>
              <w:t>4.9.21</w:t>
            </w:r>
          </w:p>
        </w:tc>
        <w:tc>
          <w:tcPr>
            <w:tcW w:w="668" w:type="dxa"/>
            <w:shd w:val="clear" w:color="auto" w:fill="auto"/>
          </w:tcPr>
          <w:p w:rsidR="00CD04C1" w:rsidRPr="00B713EE" w:rsidRDefault="00CD04C1" w:rsidP="00B1602D">
            <w:pPr>
              <w:spacing w:before="40" w:after="120"/>
              <w:ind w:right="113"/>
            </w:pPr>
            <w:r w:rsidRPr="00B713EE">
              <w:t>E</w:t>
            </w:r>
          </w:p>
        </w:tc>
        <w:tc>
          <w:tcPr>
            <w:tcW w:w="3207" w:type="dxa"/>
            <w:shd w:val="clear" w:color="auto" w:fill="auto"/>
          </w:tcPr>
          <w:p w:rsidR="00CD04C1" w:rsidRPr="00567416" w:rsidRDefault="00CD04C1" w:rsidP="00B1602D">
            <w:pPr>
              <w:spacing w:before="40" w:after="120"/>
              <w:ind w:right="113"/>
              <w:rPr>
                <w:lang w:val="en-US"/>
              </w:rPr>
            </w:pPr>
            <w:r w:rsidRPr="00567416">
              <w:rPr>
                <w:lang w:val="en-US"/>
              </w:rPr>
              <w:t>Proposal to amend the proposal for Supplement 7 to the 01 series of amendments to Regulation No. 113 (Headlamps emitting a symmetrical passing-beam), as contained in ECE/TRANS/WP.29/2017/39</w:t>
            </w:r>
          </w:p>
        </w:tc>
        <w:tc>
          <w:tcPr>
            <w:tcW w:w="552" w:type="dxa"/>
            <w:shd w:val="clear" w:color="auto" w:fill="auto"/>
          </w:tcPr>
          <w:p w:rsidR="00CD04C1" w:rsidRPr="00B713EE" w:rsidRDefault="00CD04C1" w:rsidP="00B1602D">
            <w:pPr>
              <w:spacing w:before="40" w:after="120"/>
              <w:ind w:right="113"/>
            </w:pPr>
            <w:r w:rsidRPr="00B713EE">
              <w:t>e)</w:t>
            </w:r>
          </w:p>
        </w:tc>
      </w:tr>
      <w:tr w:rsidR="00CD04C1" w:rsidRPr="00B713EE" w:rsidTr="00A74844">
        <w:trPr>
          <w:cantSplit/>
        </w:trPr>
        <w:tc>
          <w:tcPr>
            <w:tcW w:w="670" w:type="dxa"/>
            <w:shd w:val="clear" w:color="auto" w:fill="auto"/>
          </w:tcPr>
          <w:p w:rsidR="00CD04C1" w:rsidRPr="00B713EE" w:rsidRDefault="00CD04C1" w:rsidP="00B1602D">
            <w:pPr>
              <w:spacing w:before="40" w:after="120"/>
              <w:ind w:right="113"/>
            </w:pPr>
            <w:r w:rsidRPr="00B713EE">
              <w:t>5</w:t>
            </w:r>
          </w:p>
        </w:tc>
        <w:tc>
          <w:tcPr>
            <w:tcW w:w="1470" w:type="dxa"/>
            <w:shd w:val="clear" w:color="auto" w:fill="auto"/>
          </w:tcPr>
          <w:p w:rsidR="00CD04C1" w:rsidRPr="00B713EE" w:rsidRDefault="00CD04C1" w:rsidP="00B1602D">
            <w:pPr>
              <w:spacing w:before="40" w:after="120"/>
              <w:ind w:right="113"/>
            </w:pPr>
            <w:r w:rsidRPr="00B713EE">
              <w:t>OICA</w:t>
            </w:r>
          </w:p>
        </w:tc>
        <w:tc>
          <w:tcPr>
            <w:tcW w:w="803" w:type="dxa"/>
            <w:shd w:val="clear" w:color="auto" w:fill="auto"/>
          </w:tcPr>
          <w:p w:rsidR="00CD04C1" w:rsidRPr="00B713EE" w:rsidRDefault="00CD04C1" w:rsidP="00B1602D">
            <w:pPr>
              <w:spacing w:before="40" w:after="120"/>
              <w:ind w:right="113"/>
            </w:pPr>
            <w:r w:rsidRPr="00B713EE">
              <w:t>4.8.8</w:t>
            </w:r>
          </w:p>
        </w:tc>
        <w:tc>
          <w:tcPr>
            <w:tcW w:w="668" w:type="dxa"/>
            <w:shd w:val="clear" w:color="auto" w:fill="auto"/>
          </w:tcPr>
          <w:p w:rsidR="00CD04C1" w:rsidRPr="00B713EE" w:rsidRDefault="00CD04C1" w:rsidP="00B1602D">
            <w:pPr>
              <w:spacing w:before="40" w:after="120"/>
              <w:ind w:right="113"/>
            </w:pPr>
            <w:r w:rsidRPr="00B713EE">
              <w:t>E</w:t>
            </w:r>
          </w:p>
        </w:tc>
        <w:tc>
          <w:tcPr>
            <w:tcW w:w="3207" w:type="dxa"/>
            <w:shd w:val="clear" w:color="auto" w:fill="auto"/>
          </w:tcPr>
          <w:p w:rsidR="00CD04C1" w:rsidRPr="00567416" w:rsidRDefault="00CD04C1" w:rsidP="00B1602D">
            <w:pPr>
              <w:spacing w:before="40" w:after="120"/>
              <w:ind w:right="113"/>
              <w:rPr>
                <w:lang w:val="en-US"/>
              </w:rPr>
            </w:pPr>
            <w:r w:rsidRPr="00567416">
              <w:rPr>
                <w:lang w:val="en-US"/>
              </w:rPr>
              <w:t>Proposal to amend document ECE/TRANS/WP.29/2017/18</w:t>
            </w:r>
            <w:r w:rsidRPr="00567416">
              <w:rPr>
                <w:lang w:val="en-US"/>
              </w:rPr>
              <w:br/>
              <w:t>(Draft 03 series to Regulation No. 118)</w:t>
            </w:r>
          </w:p>
        </w:tc>
        <w:tc>
          <w:tcPr>
            <w:tcW w:w="552" w:type="dxa"/>
            <w:shd w:val="clear" w:color="auto" w:fill="auto"/>
          </w:tcPr>
          <w:p w:rsidR="00CD04C1" w:rsidRPr="00B713EE" w:rsidRDefault="00CD04C1" w:rsidP="00B1602D">
            <w:pPr>
              <w:spacing w:before="40" w:after="120"/>
              <w:ind w:right="113"/>
            </w:pPr>
            <w:r w:rsidRPr="00B713EE">
              <w:t>a)</w:t>
            </w:r>
          </w:p>
        </w:tc>
      </w:tr>
      <w:tr w:rsidR="00CD04C1" w:rsidRPr="00B713EE" w:rsidTr="00A74844">
        <w:trPr>
          <w:cantSplit/>
        </w:trPr>
        <w:tc>
          <w:tcPr>
            <w:tcW w:w="670" w:type="dxa"/>
            <w:shd w:val="clear" w:color="auto" w:fill="auto"/>
          </w:tcPr>
          <w:p w:rsidR="00CD04C1" w:rsidRPr="00B713EE" w:rsidRDefault="00CD04C1" w:rsidP="00B1602D">
            <w:pPr>
              <w:spacing w:before="40" w:after="120"/>
              <w:ind w:right="113"/>
            </w:pPr>
            <w:r w:rsidRPr="00B713EE">
              <w:t>6</w:t>
            </w:r>
          </w:p>
        </w:tc>
        <w:tc>
          <w:tcPr>
            <w:tcW w:w="1470" w:type="dxa"/>
            <w:shd w:val="clear" w:color="auto" w:fill="auto"/>
          </w:tcPr>
          <w:p w:rsidR="00CD04C1" w:rsidRPr="00B713EE" w:rsidRDefault="00CD04C1" w:rsidP="00F01852">
            <w:pPr>
              <w:spacing w:before="40" w:after="120"/>
              <w:ind w:right="113"/>
            </w:pPr>
            <w:r w:rsidRPr="00B713EE">
              <w:t xml:space="preserve">Groupe de travail en matière de roulement </w:t>
            </w:r>
            <w:r w:rsidR="00F01852">
              <w:br/>
            </w:r>
            <w:r w:rsidRPr="00B713EE">
              <w:t>et de freinage (GRRF)</w:t>
            </w:r>
          </w:p>
        </w:tc>
        <w:tc>
          <w:tcPr>
            <w:tcW w:w="803" w:type="dxa"/>
            <w:shd w:val="clear" w:color="auto" w:fill="auto"/>
          </w:tcPr>
          <w:p w:rsidR="00CD04C1" w:rsidRPr="00B713EE" w:rsidRDefault="00CD04C1" w:rsidP="00B1602D">
            <w:pPr>
              <w:spacing w:before="40" w:after="120"/>
              <w:ind w:right="113"/>
            </w:pPr>
            <w:r w:rsidRPr="00B713EE">
              <w:t>4.7.3</w:t>
            </w:r>
          </w:p>
        </w:tc>
        <w:tc>
          <w:tcPr>
            <w:tcW w:w="668" w:type="dxa"/>
            <w:shd w:val="clear" w:color="auto" w:fill="auto"/>
          </w:tcPr>
          <w:p w:rsidR="00CD04C1" w:rsidRPr="00B713EE" w:rsidRDefault="00CD04C1" w:rsidP="00B1602D">
            <w:pPr>
              <w:spacing w:before="40" w:after="120"/>
              <w:ind w:right="113"/>
            </w:pPr>
            <w:r w:rsidRPr="00B713EE">
              <w:t>E</w:t>
            </w:r>
          </w:p>
        </w:tc>
        <w:tc>
          <w:tcPr>
            <w:tcW w:w="3207" w:type="dxa"/>
            <w:shd w:val="clear" w:color="auto" w:fill="auto"/>
          </w:tcPr>
          <w:p w:rsidR="00CD04C1" w:rsidRPr="00B16631" w:rsidRDefault="00CD04C1" w:rsidP="00B1602D">
            <w:pPr>
              <w:spacing w:before="40" w:after="120"/>
              <w:ind w:right="113"/>
              <w:rPr>
                <w:lang w:val="en-US"/>
              </w:rPr>
            </w:pPr>
            <w:r w:rsidRPr="00B16631">
              <w:rPr>
                <w:lang w:val="en-US"/>
              </w:rPr>
              <w:t>Proposal for amendments to ECE/TRANS/WP.29/2017/10</w:t>
            </w:r>
          </w:p>
        </w:tc>
        <w:tc>
          <w:tcPr>
            <w:tcW w:w="552" w:type="dxa"/>
            <w:shd w:val="clear" w:color="auto" w:fill="auto"/>
          </w:tcPr>
          <w:p w:rsidR="00CD04C1" w:rsidRPr="00B713EE" w:rsidRDefault="00CD04C1" w:rsidP="00B1602D">
            <w:pPr>
              <w:spacing w:before="40" w:after="120"/>
              <w:ind w:right="113"/>
            </w:pPr>
            <w:r w:rsidRPr="00B713EE">
              <w:t>b)</w:t>
            </w:r>
          </w:p>
        </w:tc>
      </w:tr>
      <w:tr w:rsidR="00CD04C1" w:rsidRPr="00B713EE" w:rsidTr="00A74844">
        <w:trPr>
          <w:cantSplit/>
        </w:trPr>
        <w:tc>
          <w:tcPr>
            <w:tcW w:w="670" w:type="dxa"/>
            <w:shd w:val="clear" w:color="auto" w:fill="auto"/>
          </w:tcPr>
          <w:p w:rsidR="00CD04C1" w:rsidRPr="00B713EE" w:rsidRDefault="00CD04C1" w:rsidP="00B1602D">
            <w:pPr>
              <w:spacing w:before="40" w:after="120"/>
              <w:ind w:right="113"/>
            </w:pPr>
            <w:r w:rsidRPr="00B713EE">
              <w:t>7</w:t>
            </w:r>
          </w:p>
        </w:tc>
        <w:tc>
          <w:tcPr>
            <w:tcW w:w="1470" w:type="dxa"/>
            <w:shd w:val="clear" w:color="auto" w:fill="auto"/>
          </w:tcPr>
          <w:p w:rsidR="00CD04C1" w:rsidRPr="00B713EE" w:rsidRDefault="00CD04C1" w:rsidP="00B1602D">
            <w:pPr>
              <w:spacing w:before="40" w:after="120"/>
              <w:ind w:right="113"/>
            </w:pPr>
            <w:r w:rsidRPr="00B713EE">
              <w:rPr>
                <w:snapToGrid w:val="0"/>
                <w:lang w:eastAsia="de-DE"/>
              </w:rPr>
              <w:t>Secrétariat</w:t>
            </w:r>
          </w:p>
        </w:tc>
        <w:tc>
          <w:tcPr>
            <w:tcW w:w="803" w:type="dxa"/>
            <w:shd w:val="clear" w:color="auto" w:fill="auto"/>
          </w:tcPr>
          <w:p w:rsidR="00CD04C1" w:rsidRPr="00B713EE" w:rsidRDefault="00CD04C1" w:rsidP="00B1602D">
            <w:pPr>
              <w:spacing w:before="40" w:after="120"/>
              <w:ind w:right="113"/>
            </w:pPr>
            <w:r w:rsidRPr="00B713EE">
              <w:t>4.1</w:t>
            </w:r>
          </w:p>
        </w:tc>
        <w:tc>
          <w:tcPr>
            <w:tcW w:w="668" w:type="dxa"/>
            <w:shd w:val="clear" w:color="auto" w:fill="auto"/>
          </w:tcPr>
          <w:p w:rsidR="00CD04C1" w:rsidRPr="00B713EE" w:rsidRDefault="00CD04C1" w:rsidP="00B1602D">
            <w:pPr>
              <w:spacing w:before="40" w:after="120"/>
              <w:ind w:right="113"/>
            </w:pPr>
            <w:r w:rsidRPr="00B713EE">
              <w:t>E</w:t>
            </w:r>
          </w:p>
        </w:tc>
        <w:tc>
          <w:tcPr>
            <w:tcW w:w="3207" w:type="dxa"/>
            <w:shd w:val="clear" w:color="auto" w:fill="auto"/>
          </w:tcPr>
          <w:p w:rsidR="00CD04C1" w:rsidRPr="00567416" w:rsidRDefault="00CD04C1" w:rsidP="00B1602D">
            <w:pPr>
              <w:spacing w:before="40" w:after="120"/>
              <w:ind w:right="113"/>
              <w:rPr>
                <w:lang w:val="en-US"/>
              </w:rPr>
            </w:pPr>
            <w:r w:rsidRPr="00B16631">
              <w:rPr>
                <w:lang w:val="en-US"/>
              </w:rPr>
              <w:t>Electronic exchange of information concernin</w:t>
            </w:r>
            <w:r w:rsidRPr="00567416">
              <w:rPr>
                <w:lang w:val="en-US"/>
              </w:rPr>
              <w:t xml:space="preserve">g Type Approval Authorities and Technical Services </w:t>
            </w:r>
          </w:p>
        </w:tc>
        <w:tc>
          <w:tcPr>
            <w:tcW w:w="552" w:type="dxa"/>
            <w:shd w:val="clear" w:color="auto" w:fill="auto"/>
          </w:tcPr>
          <w:p w:rsidR="00CD04C1" w:rsidRPr="00B713EE" w:rsidRDefault="00CD04C1" w:rsidP="00B1602D">
            <w:pPr>
              <w:spacing w:before="40" w:after="120"/>
              <w:ind w:right="113"/>
            </w:pPr>
            <w:r w:rsidRPr="00B713EE">
              <w:t>b)</w:t>
            </w:r>
          </w:p>
        </w:tc>
      </w:tr>
      <w:tr w:rsidR="00CD04C1" w:rsidRPr="00B713EE" w:rsidTr="00A74844">
        <w:trPr>
          <w:cantSplit/>
        </w:trPr>
        <w:tc>
          <w:tcPr>
            <w:tcW w:w="670" w:type="dxa"/>
            <w:shd w:val="clear" w:color="auto" w:fill="auto"/>
          </w:tcPr>
          <w:p w:rsidR="00CD04C1" w:rsidRPr="00B713EE" w:rsidRDefault="00CD04C1" w:rsidP="00B1602D">
            <w:pPr>
              <w:spacing w:before="40" w:after="120"/>
              <w:ind w:right="113"/>
            </w:pPr>
            <w:r w:rsidRPr="00B713EE">
              <w:t>8</w:t>
            </w:r>
          </w:p>
        </w:tc>
        <w:tc>
          <w:tcPr>
            <w:tcW w:w="1470" w:type="dxa"/>
            <w:shd w:val="clear" w:color="auto" w:fill="auto"/>
          </w:tcPr>
          <w:p w:rsidR="00CD04C1" w:rsidRPr="00B713EE" w:rsidRDefault="00CD04C1" w:rsidP="00B1602D">
            <w:pPr>
              <w:spacing w:before="40" w:after="120"/>
              <w:ind w:right="113"/>
              <w:rPr>
                <w:snapToGrid w:val="0"/>
                <w:lang w:eastAsia="de-DE"/>
              </w:rPr>
            </w:pPr>
            <w:r w:rsidRPr="00B713EE">
              <w:rPr>
                <w:snapToGrid w:val="0"/>
                <w:lang w:eastAsia="de-DE"/>
              </w:rPr>
              <w:t>Secrétariat</w:t>
            </w:r>
          </w:p>
        </w:tc>
        <w:tc>
          <w:tcPr>
            <w:tcW w:w="803" w:type="dxa"/>
            <w:shd w:val="clear" w:color="auto" w:fill="auto"/>
          </w:tcPr>
          <w:p w:rsidR="00CD04C1" w:rsidRPr="00B713EE" w:rsidRDefault="00CD04C1" w:rsidP="00B1602D">
            <w:pPr>
              <w:spacing w:before="40" w:after="120"/>
              <w:ind w:right="113"/>
            </w:pPr>
            <w:r w:rsidRPr="00B713EE">
              <w:t>12 et 15</w:t>
            </w:r>
          </w:p>
        </w:tc>
        <w:tc>
          <w:tcPr>
            <w:tcW w:w="668" w:type="dxa"/>
            <w:shd w:val="clear" w:color="auto" w:fill="auto"/>
          </w:tcPr>
          <w:p w:rsidR="00CD04C1" w:rsidRPr="00B713EE" w:rsidRDefault="00CD04C1" w:rsidP="00B1602D">
            <w:pPr>
              <w:spacing w:before="40" w:after="120"/>
              <w:ind w:right="113"/>
            </w:pPr>
            <w:r w:rsidRPr="00B713EE">
              <w:t>E</w:t>
            </w:r>
          </w:p>
        </w:tc>
        <w:tc>
          <w:tcPr>
            <w:tcW w:w="3207" w:type="dxa"/>
            <w:shd w:val="clear" w:color="auto" w:fill="auto"/>
          </w:tcPr>
          <w:p w:rsidR="00CD04C1" w:rsidRPr="00567416" w:rsidRDefault="00CD04C1" w:rsidP="00B1602D">
            <w:pPr>
              <w:spacing w:before="40" w:after="120"/>
              <w:ind w:right="113"/>
              <w:rPr>
                <w:lang w:val="en-US"/>
              </w:rPr>
            </w:pPr>
            <w:r w:rsidRPr="00567416">
              <w:rPr>
                <w:lang w:val="en-US"/>
              </w:rPr>
              <w:t>Executive Committee of the 1998 Agreement Forty-eighth session</w:t>
            </w:r>
          </w:p>
          <w:p w:rsidR="00CD04C1" w:rsidRPr="00567416" w:rsidRDefault="00CD04C1" w:rsidP="00B1602D">
            <w:pPr>
              <w:spacing w:before="40" w:after="120"/>
              <w:ind w:right="113"/>
              <w:rPr>
                <w:lang w:val="en-US"/>
              </w:rPr>
            </w:pPr>
            <w:r w:rsidRPr="00567416">
              <w:rPr>
                <w:lang w:val="en-US"/>
              </w:rPr>
              <w:t>1. Establishment of the Executive Committee AC.3 (item 12)</w:t>
            </w:r>
          </w:p>
          <w:p w:rsidR="00CD04C1" w:rsidRPr="00567416" w:rsidRDefault="00CD04C1" w:rsidP="00B1602D">
            <w:pPr>
              <w:spacing w:before="40" w:after="120"/>
              <w:ind w:right="113"/>
              <w:rPr>
                <w:lang w:val="en-US"/>
              </w:rPr>
            </w:pPr>
            <w:r w:rsidRPr="00567416">
              <w:rPr>
                <w:lang w:val="en-US"/>
              </w:rPr>
              <w:t>2. Consideration and vote by AC.3 (item 15)</w:t>
            </w:r>
          </w:p>
        </w:tc>
        <w:tc>
          <w:tcPr>
            <w:tcW w:w="552" w:type="dxa"/>
            <w:shd w:val="clear" w:color="auto" w:fill="auto"/>
          </w:tcPr>
          <w:p w:rsidR="00CD04C1" w:rsidRPr="00B713EE" w:rsidRDefault="00CD04C1" w:rsidP="00B1602D">
            <w:pPr>
              <w:spacing w:before="40" w:after="120"/>
              <w:ind w:right="113"/>
            </w:pPr>
            <w:r w:rsidRPr="00B713EE">
              <w:t>a)</w:t>
            </w:r>
          </w:p>
        </w:tc>
      </w:tr>
      <w:tr w:rsidR="00CD04C1" w:rsidRPr="00B713EE" w:rsidTr="00A74844">
        <w:trPr>
          <w:cantSplit/>
        </w:trPr>
        <w:tc>
          <w:tcPr>
            <w:tcW w:w="670" w:type="dxa"/>
            <w:shd w:val="clear" w:color="auto" w:fill="auto"/>
          </w:tcPr>
          <w:p w:rsidR="00CD04C1" w:rsidRPr="00B713EE" w:rsidRDefault="00CD04C1" w:rsidP="0040210E">
            <w:pPr>
              <w:spacing w:before="40" w:after="120"/>
              <w:ind w:right="113"/>
            </w:pPr>
            <w:r w:rsidRPr="00B713EE">
              <w:t>9</w:t>
            </w:r>
          </w:p>
        </w:tc>
        <w:tc>
          <w:tcPr>
            <w:tcW w:w="1470" w:type="dxa"/>
            <w:shd w:val="clear" w:color="auto" w:fill="auto"/>
          </w:tcPr>
          <w:p w:rsidR="00CD04C1" w:rsidRPr="00B713EE" w:rsidRDefault="00CD04C1" w:rsidP="0040210E">
            <w:pPr>
              <w:spacing w:before="40" w:after="120"/>
              <w:ind w:right="113"/>
              <w:rPr>
                <w:snapToGrid w:val="0"/>
                <w:lang w:eastAsia="de-DE"/>
              </w:rPr>
            </w:pPr>
            <w:r w:rsidRPr="00B713EE">
              <w:rPr>
                <w:snapToGrid w:val="0"/>
                <w:lang w:eastAsia="de-DE"/>
              </w:rPr>
              <w:t>Secrétariat</w:t>
            </w:r>
          </w:p>
        </w:tc>
        <w:tc>
          <w:tcPr>
            <w:tcW w:w="803" w:type="dxa"/>
            <w:shd w:val="clear" w:color="auto" w:fill="auto"/>
          </w:tcPr>
          <w:p w:rsidR="00CD04C1" w:rsidRPr="00B713EE" w:rsidRDefault="00CD04C1" w:rsidP="0040210E">
            <w:pPr>
              <w:spacing w:before="40" w:after="120"/>
              <w:ind w:right="113"/>
            </w:pPr>
            <w:r w:rsidRPr="00B713EE">
              <w:t>13</w:t>
            </w:r>
          </w:p>
        </w:tc>
        <w:tc>
          <w:tcPr>
            <w:tcW w:w="668" w:type="dxa"/>
            <w:shd w:val="clear" w:color="auto" w:fill="auto"/>
          </w:tcPr>
          <w:p w:rsidR="00CD04C1" w:rsidRPr="00B713EE" w:rsidRDefault="00CD04C1" w:rsidP="0040210E">
            <w:pPr>
              <w:spacing w:before="40" w:after="120"/>
              <w:ind w:right="113"/>
            </w:pPr>
            <w:r w:rsidRPr="00B713EE">
              <w:t>E</w:t>
            </w:r>
          </w:p>
        </w:tc>
        <w:tc>
          <w:tcPr>
            <w:tcW w:w="3207" w:type="dxa"/>
            <w:shd w:val="clear" w:color="auto" w:fill="auto"/>
          </w:tcPr>
          <w:p w:rsidR="00CD04C1" w:rsidRPr="00567416" w:rsidRDefault="00CD04C1" w:rsidP="0040210E">
            <w:pPr>
              <w:spacing w:before="40" w:after="120"/>
              <w:ind w:right="113"/>
              <w:rPr>
                <w:lang w:val="en-US"/>
              </w:rPr>
            </w:pPr>
            <w:r w:rsidRPr="00567416">
              <w:rPr>
                <w:lang w:val="en-US"/>
              </w:rPr>
              <w:t>Status of the 1998 Agreement of the global registry and of the compendium of candidates - Situation on priorities and proposals to develop UN GTRs as of 8 March 2017…</w:t>
            </w:r>
          </w:p>
        </w:tc>
        <w:tc>
          <w:tcPr>
            <w:tcW w:w="552" w:type="dxa"/>
            <w:shd w:val="clear" w:color="auto" w:fill="auto"/>
          </w:tcPr>
          <w:p w:rsidR="00CD04C1" w:rsidRPr="00B713EE" w:rsidRDefault="00CD04C1" w:rsidP="0040210E">
            <w:pPr>
              <w:spacing w:before="40" w:after="120"/>
              <w:ind w:right="113"/>
            </w:pPr>
            <w:r w:rsidRPr="00B713EE">
              <w:t>a)</w:t>
            </w:r>
          </w:p>
        </w:tc>
      </w:tr>
      <w:tr w:rsidR="00CD04C1" w:rsidRPr="00B713EE" w:rsidTr="00A74844">
        <w:trPr>
          <w:cantSplit/>
        </w:trPr>
        <w:tc>
          <w:tcPr>
            <w:tcW w:w="670" w:type="dxa"/>
            <w:shd w:val="clear" w:color="auto" w:fill="auto"/>
          </w:tcPr>
          <w:p w:rsidR="00CD04C1" w:rsidRPr="00B713EE" w:rsidRDefault="00CD04C1" w:rsidP="00B1602D">
            <w:pPr>
              <w:spacing w:before="40" w:after="120"/>
              <w:ind w:right="113"/>
            </w:pPr>
            <w:r w:rsidRPr="00B713EE">
              <w:t>10</w:t>
            </w:r>
          </w:p>
        </w:tc>
        <w:tc>
          <w:tcPr>
            <w:tcW w:w="1470" w:type="dxa"/>
            <w:shd w:val="clear" w:color="auto" w:fill="auto"/>
          </w:tcPr>
          <w:p w:rsidR="00CD04C1" w:rsidRPr="00B713EE" w:rsidRDefault="00CD04C1" w:rsidP="00B1602D">
            <w:pPr>
              <w:spacing w:before="40" w:after="120"/>
              <w:ind w:right="113"/>
            </w:pPr>
            <w:r w:rsidRPr="00B713EE">
              <w:rPr>
                <w:snapToGrid w:val="0"/>
                <w:lang w:eastAsia="de-DE"/>
              </w:rPr>
              <w:t>OMS</w:t>
            </w:r>
          </w:p>
        </w:tc>
        <w:tc>
          <w:tcPr>
            <w:tcW w:w="803" w:type="dxa"/>
            <w:shd w:val="clear" w:color="auto" w:fill="auto"/>
          </w:tcPr>
          <w:p w:rsidR="00CD04C1" w:rsidRPr="00B713EE" w:rsidRDefault="00CD04C1" w:rsidP="00B1602D">
            <w:pPr>
              <w:spacing w:before="40" w:after="120"/>
              <w:ind w:right="113"/>
            </w:pPr>
            <w:r w:rsidRPr="00B713EE">
              <w:t>8.4</w:t>
            </w:r>
          </w:p>
        </w:tc>
        <w:tc>
          <w:tcPr>
            <w:tcW w:w="668" w:type="dxa"/>
            <w:shd w:val="clear" w:color="auto" w:fill="auto"/>
          </w:tcPr>
          <w:p w:rsidR="00CD04C1" w:rsidRPr="00B713EE" w:rsidRDefault="00CD04C1" w:rsidP="00B1602D">
            <w:pPr>
              <w:spacing w:before="40" w:after="120"/>
              <w:ind w:right="113"/>
            </w:pPr>
            <w:r w:rsidRPr="00B713EE">
              <w:t>E</w:t>
            </w:r>
          </w:p>
        </w:tc>
        <w:tc>
          <w:tcPr>
            <w:tcW w:w="3207" w:type="dxa"/>
            <w:shd w:val="clear" w:color="auto" w:fill="auto"/>
          </w:tcPr>
          <w:p w:rsidR="00CD04C1" w:rsidRPr="00567416" w:rsidRDefault="00CD04C1" w:rsidP="00B1602D">
            <w:pPr>
              <w:spacing w:before="40" w:after="120"/>
              <w:ind w:right="113"/>
              <w:rPr>
                <w:lang w:val="en-US"/>
              </w:rPr>
            </w:pPr>
            <w:r w:rsidRPr="00567416">
              <w:rPr>
                <w:lang w:val="en-US"/>
              </w:rPr>
              <w:t xml:space="preserve">Discussion paper on Road safety Targets and Indicators </w:t>
            </w:r>
          </w:p>
        </w:tc>
        <w:tc>
          <w:tcPr>
            <w:tcW w:w="552" w:type="dxa"/>
            <w:shd w:val="clear" w:color="auto" w:fill="auto"/>
          </w:tcPr>
          <w:p w:rsidR="00CD04C1" w:rsidRPr="00B713EE" w:rsidRDefault="00CD04C1" w:rsidP="00B1602D">
            <w:pPr>
              <w:spacing w:before="40" w:after="120"/>
              <w:ind w:right="113"/>
            </w:pPr>
            <w:r w:rsidRPr="00B713EE">
              <w:t>a)</w:t>
            </w:r>
          </w:p>
        </w:tc>
      </w:tr>
      <w:tr w:rsidR="00CD04C1" w:rsidRPr="00B713EE" w:rsidTr="00A74844">
        <w:trPr>
          <w:cantSplit/>
        </w:trPr>
        <w:tc>
          <w:tcPr>
            <w:tcW w:w="670" w:type="dxa"/>
            <w:shd w:val="clear" w:color="auto" w:fill="auto"/>
          </w:tcPr>
          <w:p w:rsidR="00CD04C1" w:rsidRPr="00B713EE" w:rsidRDefault="00CD04C1" w:rsidP="00B1602D">
            <w:pPr>
              <w:spacing w:before="40" w:after="120"/>
              <w:ind w:right="113"/>
            </w:pPr>
            <w:r w:rsidRPr="00B713EE">
              <w:t>11</w:t>
            </w:r>
          </w:p>
        </w:tc>
        <w:tc>
          <w:tcPr>
            <w:tcW w:w="1470" w:type="dxa"/>
            <w:shd w:val="clear" w:color="auto" w:fill="auto"/>
          </w:tcPr>
          <w:p w:rsidR="00CD04C1" w:rsidRPr="00B713EE" w:rsidRDefault="00641815" w:rsidP="00B1602D">
            <w:pPr>
              <w:spacing w:before="40" w:after="120"/>
              <w:ind w:right="113"/>
            </w:pPr>
            <w:r w:rsidRPr="00B713EE">
              <w:t>GTI de l</w:t>
            </w:r>
            <w:r>
              <w:t>’</w:t>
            </w:r>
            <w:r w:rsidRPr="00B713EE">
              <w:t>IWVTA</w:t>
            </w:r>
          </w:p>
        </w:tc>
        <w:tc>
          <w:tcPr>
            <w:tcW w:w="803" w:type="dxa"/>
            <w:shd w:val="clear" w:color="auto" w:fill="auto"/>
          </w:tcPr>
          <w:p w:rsidR="00CD04C1" w:rsidRPr="00B713EE" w:rsidRDefault="00CD04C1" w:rsidP="00B1602D">
            <w:pPr>
              <w:spacing w:before="40" w:after="120"/>
              <w:ind w:right="113"/>
            </w:pPr>
            <w:r w:rsidRPr="00B713EE">
              <w:t>4.3</w:t>
            </w:r>
          </w:p>
        </w:tc>
        <w:tc>
          <w:tcPr>
            <w:tcW w:w="668" w:type="dxa"/>
            <w:shd w:val="clear" w:color="auto" w:fill="auto"/>
          </w:tcPr>
          <w:p w:rsidR="00CD04C1" w:rsidRPr="00B713EE" w:rsidRDefault="00CD04C1" w:rsidP="00B1602D">
            <w:pPr>
              <w:spacing w:before="40" w:after="120"/>
              <w:ind w:right="113"/>
            </w:pPr>
            <w:r w:rsidRPr="00B713EE">
              <w:t>E</w:t>
            </w:r>
          </w:p>
        </w:tc>
        <w:tc>
          <w:tcPr>
            <w:tcW w:w="3207" w:type="dxa"/>
            <w:shd w:val="clear" w:color="auto" w:fill="auto"/>
          </w:tcPr>
          <w:p w:rsidR="00CD04C1" w:rsidRPr="00567416" w:rsidRDefault="00CD04C1" w:rsidP="00B1602D">
            <w:pPr>
              <w:spacing w:before="40" w:after="120"/>
              <w:ind w:right="113"/>
              <w:rPr>
                <w:lang w:val="en-US"/>
              </w:rPr>
            </w:pPr>
            <w:r w:rsidRPr="00567416">
              <w:rPr>
                <w:lang w:val="en-US"/>
              </w:rPr>
              <w:t>Draft Proposal for Regulation No. 0 on International Whole Vehicle Type Approval</w:t>
            </w:r>
          </w:p>
        </w:tc>
        <w:tc>
          <w:tcPr>
            <w:tcW w:w="552" w:type="dxa"/>
            <w:shd w:val="clear" w:color="auto" w:fill="auto"/>
          </w:tcPr>
          <w:p w:rsidR="00CD04C1" w:rsidRPr="00B713EE" w:rsidRDefault="00CD04C1" w:rsidP="00B1602D">
            <w:pPr>
              <w:spacing w:before="40" w:after="120"/>
              <w:ind w:right="113"/>
            </w:pPr>
            <w:r w:rsidRPr="00B713EE">
              <w:t>d)</w:t>
            </w:r>
          </w:p>
        </w:tc>
      </w:tr>
      <w:tr w:rsidR="00CD04C1" w:rsidRPr="00B713EE" w:rsidTr="00A74844">
        <w:trPr>
          <w:cantSplit/>
        </w:trPr>
        <w:tc>
          <w:tcPr>
            <w:tcW w:w="670" w:type="dxa"/>
            <w:shd w:val="clear" w:color="auto" w:fill="auto"/>
          </w:tcPr>
          <w:p w:rsidR="00CD04C1" w:rsidRPr="00B713EE" w:rsidRDefault="00CD04C1" w:rsidP="00B1602D">
            <w:pPr>
              <w:spacing w:before="40" w:after="120"/>
              <w:ind w:right="113"/>
            </w:pPr>
            <w:r w:rsidRPr="00B713EE">
              <w:t>12</w:t>
            </w:r>
          </w:p>
        </w:tc>
        <w:tc>
          <w:tcPr>
            <w:tcW w:w="1470" w:type="dxa"/>
            <w:shd w:val="clear" w:color="auto" w:fill="auto"/>
          </w:tcPr>
          <w:p w:rsidR="00CD04C1" w:rsidRPr="00B713EE" w:rsidRDefault="00CD04C1" w:rsidP="00B1602D">
            <w:pPr>
              <w:spacing w:before="40" w:after="120"/>
              <w:ind w:right="113"/>
            </w:pPr>
            <w:r w:rsidRPr="00B713EE">
              <w:t>GTI de l</w:t>
            </w:r>
            <w:r w:rsidR="007C2F80">
              <w:t>’</w:t>
            </w:r>
            <w:r w:rsidRPr="00B713EE">
              <w:t>IWVTA</w:t>
            </w:r>
          </w:p>
        </w:tc>
        <w:tc>
          <w:tcPr>
            <w:tcW w:w="803" w:type="dxa"/>
            <w:shd w:val="clear" w:color="auto" w:fill="auto"/>
          </w:tcPr>
          <w:p w:rsidR="00CD04C1" w:rsidRPr="00B713EE" w:rsidRDefault="00CD04C1" w:rsidP="00B1602D">
            <w:pPr>
              <w:spacing w:before="40" w:after="120"/>
              <w:ind w:right="113"/>
            </w:pPr>
            <w:r w:rsidRPr="00B713EE">
              <w:t>4.3</w:t>
            </w:r>
          </w:p>
        </w:tc>
        <w:tc>
          <w:tcPr>
            <w:tcW w:w="668" w:type="dxa"/>
            <w:shd w:val="clear" w:color="auto" w:fill="auto"/>
          </w:tcPr>
          <w:p w:rsidR="00CD04C1" w:rsidRPr="00B713EE" w:rsidRDefault="00CD04C1" w:rsidP="00B1602D">
            <w:pPr>
              <w:spacing w:before="40" w:after="120"/>
              <w:ind w:right="113"/>
            </w:pPr>
            <w:r w:rsidRPr="00B713EE">
              <w:t>E</w:t>
            </w:r>
          </w:p>
        </w:tc>
        <w:tc>
          <w:tcPr>
            <w:tcW w:w="3207" w:type="dxa"/>
            <w:shd w:val="clear" w:color="auto" w:fill="auto"/>
          </w:tcPr>
          <w:p w:rsidR="00CD04C1" w:rsidRPr="00567416" w:rsidRDefault="00CD04C1" w:rsidP="00B1602D">
            <w:pPr>
              <w:spacing w:before="40" w:after="120"/>
              <w:ind w:right="113"/>
              <w:rPr>
                <w:lang w:val="en-US"/>
              </w:rPr>
            </w:pPr>
            <w:r w:rsidRPr="00567416">
              <w:rPr>
                <w:lang w:val="en-US"/>
              </w:rPr>
              <w:t>Report to WP.29 on 23</w:t>
            </w:r>
            <w:r w:rsidRPr="00567416">
              <w:rPr>
                <w:vertAlign w:val="superscript"/>
                <w:lang w:val="en-US"/>
              </w:rPr>
              <w:t>rd</w:t>
            </w:r>
            <w:r w:rsidRPr="00567416">
              <w:rPr>
                <w:lang w:val="en-US"/>
              </w:rPr>
              <w:t xml:space="preserve"> meeting of the Informal Group on IWVTA</w:t>
            </w:r>
          </w:p>
        </w:tc>
        <w:tc>
          <w:tcPr>
            <w:tcW w:w="552" w:type="dxa"/>
            <w:shd w:val="clear" w:color="auto" w:fill="auto"/>
          </w:tcPr>
          <w:p w:rsidR="00CD04C1" w:rsidRPr="00B713EE" w:rsidRDefault="00CD04C1" w:rsidP="00B1602D">
            <w:pPr>
              <w:spacing w:before="40" w:after="120"/>
              <w:ind w:right="113"/>
            </w:pPr>
            <w:r w:rsidRPr="00B713EE">
              <w:t>a)</w:t>
            </w:r>
          </w:p>
        </w:tc>
      </w:tr>
      <w:tr w:rsidR="00CD04C1" w:rsidRPr="00B713EE" w:rsidTr="00A74844">
        <w:trPr>
          <w:cantSplit/>
        </w:trPr>
        <w:tc>
          <w:tcPr>
            <w:tcW w:w="670" w:type="dxa"/>
            <w:shd w:val="clear" w:color="auto" w:fill="auto"/>
          </w:tcPr>
          <w:p w:rsidR="00CD04C1" w:rsidRPr="00B713EE" w:rsidRDefault="00CD04C1" w:rsidP="00B1602D">
            <w:pPr>
              <w:spacing w:before="40" w:after="120"/>
              <w:ind w:right="113"/>
            </w:pPr>
            <w:r w:rsidRPr="00B713EE">
              <w:t>13</w:t>
            </w:r>
          </w:p>
        </w:tc>
        <w:tc>
          <w:tcPr>
            <w:tcW w:w="1470" w:type="dxa"/>
            <w:shd w:val="clear" w:color="auto" w:fill="auto"/>
          </w:tcPr>
          <w:p w:rsidR="00CD04C1" w:rsidRPr="00B713EE" w:rsidRDefault="00CD04C1" w:rsidP="00B1602D">
            <w:pPr>
              <w:spacing w:before="40" w:after="120"/>
              <w:ind w:right="113"/>
            </w:pPr>
            <w:r w:rsidRPr="00B713EE">
              <w:t>Union européenne</w:t>
            </w:r>
          </w:p>
        </w:tc>
        <w:tc>
          <w:tcPr>
            <w:tcW w:w="803" w:type="dxa"/>
            <w:shd w:val="clear" w:color="auto" w:fill="auto"/>
          </w:tcPr>
          <w:p w:rsidR="00CD04C1" w:rsidRPr="00B713EE" w:rsidRDefault="00CD04C1" w:rsidP="00B1602D">
            <w:pPr>
              <w:spacing w:before="40" w:after="120"/>
              <w:ind w:right="113"/>
            </w:pPr>
            <w:r w:rsidRPr="00B713EE">
              <w:t>4.2.2</w:t>
            </w:r>
          </w:p>
        </w:tc>
        <w:tc>
          <w:tcPr>
            <w:tcW w:w="668" w:type="dxa"/>
            <w:shd w:val="clear" w:color="auto" w:fill="auto"/>
          </w:tcPr>
          <w:p w:rsidR="00CD04C1" w:rsidRPr="00B713EE" w:rsidRDefault="00CD04C1" w:rsidP="00B1602D">
            <w:pPr>
              <w:spacing w:before="40" w:after="120"/>
              <w:ind w:right="113"/>
            </w:pPr>
            <w:r w:rsidRPr="00B713EE">
              <w:t>E</w:t>
            </w:r>
          </w:p>
        </w:tc>
        <w:tc>
          <w:tcPr>
            <w:tcW w:w="3207" w:type="dxa"/>
            <w:shd w:val="clear" w:color="auto" w:fill="auto"/>
          </w:tcPr>
          <w:p w:rsidR="00CD04C1" w:rsidRPr="00567416" w:rsidRDefault="00CD04C1" w:rsidP="00B1602D">
            <w:pPr>
              <w:spacing w:before="40" w:after="120"/>
              <w:ind w:right="113"/>
              <w:rPr>
                <w:lang w:val="en-US"/>
              </w:rPr>
            </w:pPr>
            <w:r w:rsidRPr="00567416">
              <w:rPr>
                <w:lang w:val="en-US"/>
              </w:rPr>
              <w:t>Amendments to document ECE/TRANS/WP.29/2017/53</w:t>
            </w:r>
            <w:r w:rsidRPr="00567416">
              <w:rPr>
                <w:lang w:val="en-US"/>
              </w:rPr>
              <w:br/>
              <w:t>Draft General Guidelines for UN regulatory procedures and transitional provisions in UN regulations</w:t>
            </w:r>
          </w:p>
        </w:tc>
        <w:tc>
          <w:tcPr>
            <w:tcW w:w="552" w:type="dxa"/>
            <w:shd w:val="clear" w:color="auto" w:fill="auto"/>
          </w:tcPr>
          <w:p w:rsidR="00CD04C1" w:rsidRPr="00B713EE" w:rsidRDefault="00CD04C1" w:rsidP="00B1602D">
            <w:pPr>
              <w:spacing w:before="40" w:after="120"/>
              <w:ind w:right="113"/>
            </w:pPr>
            <w:r w:rsidRPr="00B713EE">
              <w:t>d)</w:t>
            </w:r>
          </w:p>
        </w:tc>
      </w:tr>
      <w:tr w:rsidR="00CD04C1" w:rsidRPr="00B713EE" w:rsidTr="00A74844">
        <w:trPr>
          <w:cantSplit/>
        </w:trPr>
        <w:tc>
          <w:tcPr>
            <w:tcW w:w="670" w:type="dxa"/>
            <w:shd w:val="clear" w:color="auto" w:fill="auto"/>
          </w:tcPr>
          <w:p w:rsidR="00CD04C1" w:rsidRPr="00B713EE" w:rsidRDefault="00CD04C1" w:rsidP="00B1602D">
            <w:pPr>
              <w:spacing w:before="40" w:after="120"/>
              <w:ind w:right="113"/>
            </w:pPr>
            <w:r w:rsidRPr="00B713EE">
              <w:t>14</w:t>
            </w:r>
          </w:p>
        </w:tc>
        <w:tc>
          <w:tcPr>
            <w:tcW w:w="1470" w:type="dxa"/>
            <w:shd w:val="clear" w:color="auto" w:fill="auto"/>
          </w:tcPr>
          <w:p w:rsidR="00CD04C1" w:rsidRPr="00B713EE" w:rsidRDefault="00CD04C1" w:rsidP="00B1602D">
            <w:pPr>
              <w:spacing w:before="40" w:after="120"/>
              <w:ind w:right="113"/>
            </w:pPr>
            <w:r w:rsidRPr="00B713EE">
              <w:t>OICA</w:t>
            </w:r>
          </w:p>
        </w:tc>
        <w:tc>
          <w:tcPr>
            <w:tcW w:w="803" w:type="dxa"/>
            <w:shd w:val="clear" w:color="auto" w:fill="auto"/>
          </w:tcPr>
          <w:p w:rsidR="00CD04C1" w:rsidRPr="00B713EE" w:rsidRDefault="00CD04C1" w:rsidP="00B1602D">
            <w:pPr>
              <w:spacing w:before="40" w:after="120"/>
              <w:ind w:right="113"/>
            </w:pPr>
            <w:r w:rsidRPr="00B713EE">
              <w:t>17</w:t>
            </w:r>
          </w:p>
        </w:tc>
        <w:tc>
          <w:tcPr>
            <w:tcW w:w="668" w:type="dxa"/>
            <w:shd w:val="clear" w:color="auto" w:fill="auto"/>
          </w:tcPr>
          <w:p w:rsidR="00CD04C1" w:rsidRPr="00B713EE" w:rsidRDefault="00CD04C1" w:rsidP="00B1602D">
            <w:pPr>
              <w:spacing w:before="40" w:after="120"/>
              <w:ind w:right="113"/>
            </w:pPr>
            <w:r w:rsidRPr="00B713EE">
              <w:t>E</w:t>
            </w:r>
          </w:p>
        </w:tc>
        <w:tc>
          <w:tcPr>
            <w:tcW w:w="3207" w:type="dxa"/>
            <w:shd w:val="clear" w:color="auto" w:fill="auto"/>
          </w:tcPr>
          <w:p w:rsidR="00CD04C1" w:rsidRPr="00567416" w:rsidRDefault="00CD04C1" w:rsidP="00B1602D">
            <w:pPr>
              <w:spacing w:before="40" w:after="120"/>
              <w:ind w:right="113"/>
              <w:rPr>
                <w:lang w:val="en-US"/>
              </w:rPr>
            </w:pPr>
            <w:r w:rsidRPr="00567416">
              <w:rPr>
                <w:lang w:val="en-US"/>
              </w:rPr>
              <w:t>Work programme of the 1998 Agreement</w:t>
            </w:r>
          </w:p>
        </w:tc>
        <w:tc>
          <w:tcPr>
            <w:tcW w:w="552" w:type="dxa"/>
            <w:shd w:val="clear" w:color="auto" w:fill="auto"/>
          </w:tcPr>
          <w:p w:rsidR="00CD04C1" w:rsidRPr="00B713EE" w:rsidRDefault="00CD04C1" w:rsidP="00B1602D">
            <w:pPr>
              <w:spacing w:before="40" w:after="120"/>
              <w:ind w:right="113"/>
            </w:pPr>
            <w:r w:rsidRPr="00B713EE">
              <w:t>a)</w:t>
            </w:r>
          </w:p>
        </w:tc>
      </w:tr>
      <w:tr w:rsidR="00CD04C1" w:rsidRPr="00B713EE" w:rsidTr="00A74844">
        <w:trPr>
          <w:cantSplit/>
        </w:trPr>
        <w:tc>
          <w:tcPr>
            <w:tcW w:w="670" w:type="dxa"/>
            <w:shd w:val="clear" w:color="auto" w:fill="auto"/>
          </w:tcPr>
          <w:p w:rsidR="00CD04C1" w:rsidRPr="00B713EE" w:rsidRDefault="00CD04C1" w:rsidP="00B1602D">
            <w:pPr>
              <w:spacing w:before="40" w:after="120"/>
              <w:ind w:right="113"/>
            </w:pPr>
            <w:r w:rsidRPr="00B713EE">
              <w:t>15</w:t>
            </w:r>
          </w:p>
        </w:tc>
        <w:tc>
          <w:tcPr>
            <w:tcW w:w="1470" w:type="dxa"/>
            <w:shd w:val="clear" w:color="auto" w:fill="auto"/>
          </w:tcPr>
          <w:p w:rsidR="00CD04C1" w:rsidRPr="00B713EE" w:rsidRDefault="00CD04C1" w:rsidP="00B1602D">
            <w:pPr>
              <w:spacing w:before="40" w:after="120"/>
              <w:ind w:right="113"/>
            </w:pPr>
            <w:r w:rsidRPr="00B713EE">
              <w:t>OICA</w:t>
            </w:r>
          </w:p>
        </w:tc>
        <w:tc>
          <w:tcPr>
            <w:tcW w:w="803" w:type="dxa"/>
            <w:shd w:val="clear" w:color="auto" w:fill="auto"/>
          </w:tcPr>
          <w:p w:rsidR="00CD04C1" w:rsidRPr="00B713EE" w:rsidRDefault="00CD04C1" w:rsidP="00B1602D">
            <w:pPr>
              <w:spacing w:before="40" w:after="120"/>
              <w:ind w:right="113"/>
            </w:pPr>
            <w:r w:rsidRPr="00B713EE">
              <w:t>20.1</w:t>
            </w:r>
          </w:p>
        </w:tc>
        <w:tc>
          <w:tcPr>
            <w:tcW w:w="668" w:type="dxa"/>
            <w:shd w:val="clear" w:color="auto" w:fill="auto"/>
          </w:tcPr>
          <w:p w:rsidR="00CD04C1" w:rsidRPr="00B713EE" w:rsidRDefault="00CD04C1" w:rsidP="00B1602D">
            <w:pPr>
              <w:spacing w:before="40" w:after="120"/>
              <w:ind w:right="113"/>
            </w:pPr>
            <w:r w:rsidRPr="00B713EE">
              <w:t>E</w:t>
            </w:r>
          </w:p>
        </w:tc>
        <w:tc>
          <w:tcPr>
            <w:tcW w:w="3207" w:type="dxa"/>
            <w:shd w:val="clear" w:color="auto" w:fill="auto"/>
          </w:tcPr>
          <w:p w:rsidR="00CD04C1" w:rsidRPr="00567416" w:rsidRDefault="00CD04C1" w:rsidP="00B1602D">
            <w:pPr>
              <w:spacing w:before="40" w:after="120"/>
              <w:ind w:right="113"/>
              <w:rPr>
                <w:lang w:val="en-US"/>
              </w:rPr>
            </w:pPr>
            <w:r w:rsidRPr="00567416">
              <w:rPr>
                <w:lang w:val="en-US"/>
              </w:rPr>
              <w:t>Proposal to amend Special Resolution No. 2</w:t>
            </w:r>
          </w:p>
        </w:tc>
        <w:tc>
          <w:tcPr>
            <w:tcW w:w="552" w:type="dxa"/>
            <w:shd w:val="clear" w:color="auto" w:fill="auto"/>
          </w:tcPr>
          <w:p w:rsidR="00CD04C1" w:rsidRPr="00B713EE" w:rsidRDefault="00CD04C1" w:rsidP="00B1602D">
            <w:pPr>
              <w:spacing w:before="40" w:after="120"/>
              <w:ind w:right="113"/>
            </w:pPr>
            <w:r w:rsidRPr="00B713EE">
              <w:t>c)</w:t>
            </w:r>
          </w:p>
        </w:tc>
      </w:tr>
      <w:tr w:rsidR="00CD04C1" w:rsidRPr="00B713EE" w:rsidTr="00A74844">
        <w:trPr>
          <w:cantSplit/>
        </w:trPr>
        <w:tc>
          <w:tcPr>
            <w:tcW w:w="670" w:type="dxa"/>
            <w:shd w:val="clear" w:color="auto" w:fill="auto"/>
          </w:tcPr>
          <w:p w:rsidR="00CD04C1" w:rsidRPr="00B713EE" w:rsidRDefault="00CD04C1" w:rsidP="00B1602D">
            <w:pPr>
              <w:spacing w:before="40" w:after="120"/>
              <w:ind w:right="113"/>
            </w:pPr>
            <w:r w:rsidRPr="00B713EE">
              <w:t>16</w:t>
            </w:r>
          </w:p>
        </w:tc>
        <w:tc>
          <w:tcPr>
            <w:tcW w:w="1470" w:type="dxa"/>
            <w:shd w:val="clear" w:color="auto" w:fill="auto"/>
          </w:tcPr>
          <w:p w:rsidR="00CD04C1" w:rsidRPr="00B713EE" w:rsidRDefault="00CD04C1" w:rsidP="00B1602D">
            <w:pPr>
              <w:spacing w:before="40" w:after="120"/>
              <w:ind w:right="113"/>
            </w:pPr>
            <w:r w:rsidRPr="00B713EE">
              <w:t xml:space="preserve">GTI de la </w:t>
            </w:r>
            <w:r w:rsidR="00B713EE" w:rsidRPr="00B713EE">
              <w:br/>
            </w:r>
            <w:r w:rsidRPr="00B713EE">
              <w:t>base DETA</w:t>
            </w:r>
          </w:p>
        </w:tc>
        <w:tc>
          <w:tcPr>
            <w:tcW w:w="803" w:type="dxa"/>
            <w:shd w:val="clear" w:color="auto" w:fill="auto"/>
          </w:tcPr>
          <w:p w:rsidR="00CD04C1" w:rsidRPr="00B713EE" w:rsidRDefault="00CD04C1" w:rsidP="00B1602D">
            <w:pPr>
              <w:spacing w:before="40" w:after="120"/>
              <w:ind w:right="113"/>
            </w:pPr>
            <w:r w:rsidRPr="00B713EE">
              <w:t>4.5</w:t>
            </w:r>
          </w:p>
        </w:tc>
        <w:tc>
          <w:tcPr>
            <w:tcW w:w="668" w:type="dxa"/>
            <w:shd w:val="clear" w:color="auto" w:fill="auto"/>
          </w:tcPr>
          <w:p w:rsidR="00CD04C1" w:rsidRPr="00B713EE" w:rsidRDefault="00CD04C1" w:rsidP="00B1602D">
            <w:pPr>
              <w:spacing w:before="40" w:after="120"/>
              <w:ind w:right="113"/>
            </w:pPr>
            <w:r w:rsidRPr="00B713EE">
              <w:t>E</w:t>
            </w:r>
          </w:p>
        </w:tc>
        <w:tc>
          <w:tcPr>
            <w:tcW w:w="3207" w:type="dxa"/>
            <w:shd w:val="clear" w:color="auto" w:fill="auto"/>
          </w:tcPr>
          <w:p w:rsidR="00CD04C1" w:rsidRPr="00567416" w:rsidRDefault="00CD04C1" w:rsidP="00B1602D">
            <w:pPr>
              <w:spacing w:before="40" w:after="120"/>
              <w:ind w:right="113"/>
              <w:rPr>
                <w:lang w:val="en-US"/>
              </w:rPr>
            </w:pPr>
            <w:r w:rsidRPr="00567416">
              <w:rPr>
                <w:lang w:val="en-US"/>
              </w:rPr>
              <w:t>Draft proposal for purchasing DETA through the Sole Source procedure</w:t>
            </w:r>
          </w:p>
        </w:tc>
        <w:tc>
          <w:tcPr>
            <w:tcW w:w="552" w:type="dxa"/>
            <w:shd w:val="clear" w:color="auto" w:fill="auto"/>
          </w:tcPr>
          <w:p w:rsidR="00CD04C1" w:rsidRPr="00B713EE" w:rsidRDefault="00CD04C1" w:rsidP="00B1602D">
            <w:pPr>
              <w:spacing w:before="40" w:after="120"/>
              <w:ind w:right="113"/>
            </w:pPr>
            <w:r w:rsidRPr="00B713EE">
              <w:t>a)</w:t>
            </w:r>
          </w:p>
        </w:tc>
      </w:tr>
      <w:tr w:rsidR="00CD04C1" w:rsidRPr="00B713EE" w:rsidTr="00A74844">
        <w:trPr>
          <w:cantSplit/>
        </w:trPr>
        <w:tc>
          <w:tcPr>
            <w:tcW w:w="670" w:type="dxa"/>
            <w:shd w:val="clear" w:color="auto" w:fill="auto"/>
          </w:tcPr>
          <w:p w:rsidR="00CD04C1" w:rsidRPr="00B713EE" w:rsidRDefault="00CD04C1" w:rsidP="00B1602D">
            <w:pPr>
              <w:spacing w:before="40" w:after="120"/>
              <w:ind w:right="113"/>
            </w:pPr>
            <w:r w:rsidRPr="00B713EE">
              <w:t>17</w:t>
            </w:r>
          </w:p>
        </w:tc>
        <w:tc>
          <w:tcPr>
            <w:tcW w:w="1470" w:type="dxa"/>
            <w:shd w:val="clear" w:color="auto" w:fill="auto"/>
          </w:tcPr>
          <w:p w:rsidR="00CD04C1" w:rsidRPr="00B713EE" w:rsidRDefault="00CD04C1" w:rsidP="00B1602D">
            <w:pPr>
              <w:spacing w:before="40" w:after="120"/>
              <w:ind w:right="113"/>
            </w:pPr>
            <w:r w:rsidRPr="00B713EE">
              <w:t>GTI des contrôles techniques périodiques</w:t>
            </w:r>
          </w:p>
        </w:tc>
        <w:tc>
          <w:tcPr>
            <w:tcW w:w="803" w:type="dxa"/>
            <w:shd w:val="clear" w:color="auto" w:fill="auto"/>
          </w:tcPr>
          <w:p w:rsidR="00CD04C1" w:rsidRPr="00B713EE" w:rsidRDefault="00CD04C1" w:rsidP="00B1602D">
            <w:pPr>
              <w:spacing w:before="40" w:after="120"/>
              <w:ind w:right="113"/>
            </w:pPr>
            <w:r w:rsidRPr="00B713EE">
              <w:t>7.2</w:t>
            </w:r>
          </w:p>
        </w:tc>
        <w:tc>
          <w:tcPr>
            <w:tcW w:w="668" w:type="dxa"/>
            <w:shd w:val="clear" w:color="auto" w:fill="auto"/>
          </w:tcPr>
          <w:p w:rsidR="00CD04C1" w:rsidRPr="00B713EE" w:rsidRDefault="00CD04C1" w:rsidP="00B1602D">
            <w:pPr>
              <w:spacing w:before="40" w:after="120"/>
              <w:ind w:right="113"/>
            </w:pPr>
            <w:r w:rsidRPr="00B713EE">
              <w:t>E</w:t>
            </w:r>
          </w:p>
        </w:tc>
        <w:tc>
          <w:tcPr>
            <w:tcW w:w="3207" w:type="dxa"/>
            <w:shd w:val="clear" w:color="auto" w:fill="auto"/>
          </w:tcPr>
          <w:p w:rsidR="00CD04C1" w:rsidRPr="00567416" w:rsidRDefault="00CD04C1" w:rsidP="00B1602D">
            <w:pPr>
              <w:spacing w:before="40" w:after="120"/>
              <w:ind w:right="113"/>
              <w:rPr>
                <w:lang w:val="en-US"/>
              </w:rPr>
            </w:pPr>
            <w:r w:rsidRPr="00567416">
              <w:rPr>
                <w:lang w:val="en-US"/>
              </w:rPr>
              <w:t>Draft proposals for transitional provisions to Rule 1and 2 annexed to the 1997 Vienna Agreement</w:t>
            </w:r>
          </w:p>
        </w:tc>
        <w:tc>
          <w:tcPr>
            <w:tcW w:w="552" w:type="dxa"/>
            <w:shd w:val="clear" w:color="auto" w:fill="auto"/>
          </w:tcPr>
          <w:p w:rsidR="00CD04C1" w:rsidRPr="00B713EE" w:rsidRDefault="00CD04C1" w:rsidP="00B1602D">
            <w:pPr>
              <w:spacing w:before="40" w:after="120"/>
              <w:ind w:right="113"/>
            </w:pPr>
            <w:r w:rsidRPr="00B713EE">
              <w:t>d)</w:t>
            </w:r>
          </w:p>
        </w:tc>
      </w:tr>
      <w:tr w:rsidR="00CD04C1" w:rsidRPr="00B713EE" w:rsidTr="00A74844">
        <w:trPr>
          <w:cantSplit/>
        </w:trPr>
        <w:tc>
          <w:tcPr>
            <w:tcW w:w="670" w:type="dxa"/>
            <w:shd w:val="clear" w:color="auto" w:fill="auto"/>
          </w:tcPr>
          <w:p w:rsidR="00CD04C1" w:rsidRPr="00B713EE" w:rsidRDefault="00CD04C1" w:rsidP="00B1602D">
            <w:pPr>
              <w:spacing w:before="40" w:after="120"/>
              <w:ind w:right="113"/>
            </w:pPr>
            <w:r w:rsidRPr="00B713EE">
              <w:t>18</w:t>
            </w:r>
          </w:p>
        </w:tc>
        <w:tc>
          <w:tcPr>
            <w:tcW w:w="1470" w:type="dxa"/>
            <w:shd w:val="clear" w:color="auto" w:fill="auto"/>
          </w:tcPr>
          <w:p w:rsidR="00CD04C1" w:rsidRPr="00B713EE" w:rsidRDefault="00CD04C1" w:rsidP="00B1602D">
            <w:pPr>
              <w:spacing w:before="40" w:after="120"/>
              <w:ind w:right="113"/>
            </w:pPr>
            <w:r w:rsidRPr="00B713EE">
              <w:t xml:space="preserve">GTI des contrôles techniques périodiques </w:t>
            </w:r>
          </w:p>
        </w:tc>
        <w:tc>
          <w:tcPr>
            <w:tcW w:w="803" w:type="dxa"/>
            <w:shd w:val="clear" w:color="auto" w:fill="auto"/>
          </w:tcPr>
          <w:p w:rsidR="00CD04C1" w:rsidRPr="00B713EE" w:rsidRDefault="00CD04C1" w:rsidP="00B1602D">
            <w:pPr>
              <w:spacing w:before="40" w:after="120"/>
              <w:ind w:right="113"/>
            </w:pPr>
            <w:r w:rsidRPr="00B713EE">
              <w:t>7.2</w:t>
            </w:r>
          </w:p>
        </w:tc>
        <w:tc>
          <w:tcPr>
            <w:tcW w:w="668" w:type="dxa"/>
            <w:shd w:val="clear" w:color="auto" w:fill="auto"/>
          </w:tcPr>
          <w:p w:rsidR="00CD04C1" w:rsidRPr="00B713EE" w:rsidRDefault="00CD04C1" w:rsidP="00B1602D">
            <w:pPr>
              <w:spacing w:before="40" w:after="120"/>
              <w:ind w:right="113"/>
            </w:pPr>
            <w:r w:rsidRPr="00B713EE">
              <w:t>E</w:t>
            </w:r>
          </w:p>
        </w:tc>
        <w:tc>
          <w:tcPr>
            <w:tcW w:w="3207" w:type="dxa"/>
            <w:shd w:val="clear" w:color="auto" w:fill="auto"/>
          </w:tcPr>
          <w:p w:rsidR="00CD04C1" w:rsidRPr="00567416" w:rsidRDefault="00CD04C1" w:rsidP="00B1602D">
            <w:pPr>
              <w:spacing w:before="40" w:after="120"/>
              <w:ind w:right="113"/>
              <w:rPr>
                <w:lang w:val="en-US"/>
              </w:rPr>
            </w:pPr>
            <w:r w:rsidRPr="00567416">
              <w:rPr>
                <w:lang w:val="en-US"/>
              </w:rPr>
              <w:t>Proposal for amendments to ECE/TRANS/WP.29/2016/87</w:t>
            </w:r>
          </w:p>
        </w:tc>
        <w:tc>
          <w:tcPr>
            <w:tcW w:w="552" w:type="dxa"/>
            <w:shd w:val="clear" w:color="auto" w:fill="auto"/>
          </w:tcPr>
          <w:p w:rsidR="00CD04C1" w:rsidRPr="00B713EE" w:rsidRDefault="00CD04C1" w:rsidP="00B1602D">
            <w:pPr>
              <w:spacing w:before="40" w:after="120"/>
              <w:ind w:right="113"/>
            </w:pPr>
            <w:r w:rsidRPr="00B713EE">
              <w:t>d)</w:t>
            </w:r>
          </w:p>
        </w:tc>
      </w:tr>
      <w:tr w:rsidR="00CD04C1" w:rsidRPr="00B713EE" w:rsidTr="00A74844">
        <w:trPr>
          <w:cantSplit/>
        </w:trPr>
        <w:tc>
          <w:tcPr>
            <w:tcW w:w="670" w:type="dxa"/>
            <w:shd w:val="clear" w:color="auto" w:fill="auto"/>
          </w:tcPr>
          <w:p w:rsidR="00CD04C1" w:rsidRPr="00B713EE" w:rsidRDefault="00CD04C1" w:rsidP="00B1602D">
            <w:pPr>
              <w:spacing w:before="40" w:after="120"/>
              <w:ind w:right="113"/>
            </w:pPr>
            <w:r w:rsidRPr="00B713EE">
              <w:t>19</w:t>
            </w:r>
          </w:p>
        </w:tc>
        <w:tc>
          <w:tcPr>
            <w:tcW w:w="1470" w:type="dxa"/>
            <w:shd w:val="clear" w:color="auto" w:fill="auto"/>
          </w:tcPr>
          <w:p w:rsidR="00CD04C1" w:rsidRPr="00B713EE" w:rsidRDefault="00CD04C1" w:rsidP="00B1602D">
            <w:pPr>
              <w:spacing w:before="40" w:after="120"/>
              <w:ind w:right="113"/>
            </w:pPr>
            <w:r w:rsidRPr="00B713EE">
              <w:t xml:space="preserve">GTI des contrôles techniques périodiques </w:t>
            </w:r>
          </w:p>
        </w:tc>
        <w:tc>
          <w:tcPr>
            <w:tcW w:w="803" w:type="dxa"/>
            <w:shd w:val="clear" w:color="auto" w:fill="auto"/>
          </w:tcPr>
          <w:p w:rsidR="00CD04C1" w:rsidRPr="00B713EE" w:rsidRDefault="00CD04C1" w:rsidP="00B1602D">
            <w:pPr>
              <w:spacing w:before="40" w:after="120"/>
              <w:ind w:right="113"/>
            </w:pPr>
            <w:r w:rsidRPr="00B713EE">
              <w:t>7.2</w:t>
            </w:r>
          </w:p>
        </w:tc>
        <w:tc>
          <w:tcPr>
            <w:tcW w:w="668" w:type="dxa"/>
            <w:shd w:val="clear" w:color="auto" w:fill="auto"/>
          </w:tcPr>
          <w:p w:rsidR="00CD04C1" w:rsidRPr="00B713EE" w:rsidRDefault="00CD04C1" w:rsidP="00B1602D">
            <w:pPr>
              <w:spacing w:before="40" w:after="120"/>
              <w:ind w:right="113"/>
            </w:pPr>
            <w:r w:rsidRPr="00B713EE">
              <w:t>E</w:t>
            </w:r>
          </w:p>
        </w:tc>
        <w:tc>
          <w:tcPr>
            <w:tcW w:w="3207" w:type="dxa"/>
            <w:shd w:val="clear" w:color="auto" w:fill="auto"/>
          </w:tcPr>
          <w:p w:rsidR="00CD04C1" w:rsidRPr="00567416" w:rsidRDefault="00CD04C1" w:rsidP="00B1602D">
            <w:pPr>
              <w:spacing w:before="40" w:after="120"/>
              <w:ind w:right="113"/>
              <w:rPr>
                <w:lang w:val="en-US"/>
              </w:rPr>
            </w:pPr>
            <w:r w:rsidRPr="00567416">
              <w:rPr>
                <w:lang w:val="en-US"/>
              </w:rPr>
              <w:t>Proposal for amendments to ECE/TRANS/WP.29/2016/88</w:t>
            </w:r>
          </w:p>
        </w:tc>
        <w:tc>
          <w:tcPr>
            <w:tcW w:w="552" w:type="dxa"/>
            <w:shd w:val="clear" w:color="auto" w:fill="auto"/>
          </w:tcPr>
          <w:p w:rsidR="00CD04C1" w:rsidRPr="00B713EE" w:rsidRDefault="00CD04C1" w:rsidP="00B1602D">
            <w:pPr>
              <w:spacing w:before="40" w:after="120"/>
              <w:ind w:right="113"/>
            </w:pPr>
            <w:r w:rsidRPr="00B713EE">
              <w:t>d)</w:t>
            </w:r>
          </w:p>
        </w:tc>
      </w:tr>
      <w:tr w:rsidR="00CD04C1" w:rsidRPr="00B713EE" w:rsidTr="00A74844">
        <w:trPr>
          <w:cantSplit/>
        </w:trPr>
        <w:tc>
          <w:tcPr>
            <w:tcW w:w="670" w:type="dxa"/>
            <w:shd w:val="clear" w:color="auto" w:fill="auto"/>
          </w:tcPr>
          <w:p w:rsidR="00CD04C1" w:rsidRPr="00B713EE" w:rsidRDefault="00CD04C1" w:rsidP="00B1602D">
            <w:pPr>
              <w:spacing w:before="40" w:after="120"/>
              <w:ind w:right="113"/>
            </w:pPr>
            <w:r w:rsidRPr="00B713EE">
              <w:t>20</w:t>
            </w:r>
          </w:p>
        </w:tc>
        <w:tc>
          <w:tcPr>
            <w:tcW w:w="1470" w:type="dxa"/>
            <w:shd w:val="clear" w:color="auto" w:fill="auto"/>
          </w:tcPr>
          <w:p w:rsidR="00CD04C1" w:rsidRPr="00B713EE" w:rsidRDefault="00CD04C1" w:rsidP="00B1602D">
            <w:pPr>
              <w:spacing w:before="40" w:after="120"/>
              <w:ind w:right="113"/>
            </w:pPr>
            <w:r w:rsidRPr="00B713EE">
              <w:t xml:space="preserve">GTI des contrôles techniques périodiques </w:t>
            </w:r>
          </w:p>
        </w:tc>
        <w:tc>
          <w:tcPr>
            <w:tcW w:w="803" w:type="dxa"/>
            <w:shd w:val="clear" w:color="auto" w:fill="auto"/>
          </w:tcPr>
          <w:p w:rsidR="00CD04C1" w:rsidRPr="00B713EE" w:rsidRDefault="00CD04C1" w:rsidP="00B1602D">
            <w:pPr>
              <w:spacing w:before="40" w:after="120"/>
              <w:ind w:right="113"/>
            </w:pPr>
            <w:r w:rsidRPr="00B713EE">
              <w:t>7.3</w:t>
            </w:r>
          </w:p>
        </w:tc>
        <w:tc>
          <w:tcPr>
            <w:tcW w:w="668" w:type="dxa"/>
            <w:shd w:val="clear" w:color="auto" w:fill="auto"/>
          </w:tcPr>
          <w:p w:rsidR="00CD04C1" w:rsidRPr="00B713EE" w:rsidRDefault="00CD04C1" w:rsidP="00B1602D">
            <w:pPr>
              <w:spacing w:before="40" w:after="120"/>
              <w:ind w:right="113"/>
            </w:pPr>
            <w:r w:rsidRPr="00B713EE">
              <w:t>E</w:t>
            </w:r>
          </w:p>
        </w:tc>
        <w:tc>
          <w:tcPr>
            <w:tcW w:w="3207" w:type="dxa"/>
            <w:shd w:val="clear" w:color="auto" w:fill="auto"/>
          </w:tcPr>
          <w:p w:rsidR="00CD04C1" w:rsidRPr="00567416" w:rsidRDefault="00CD04C1" w:rsidP="00B1602D">
            <w:pPr>
              <w:spacing w:before="40" w:after="120"/>
              <w:ind w:right="113"/>
              <w:rPr>
                <w:lang w:val="en-US"/>
              </w:rPr>
            </w:pPr>
            <w:r w:rsidRPr="00567416">
              <w:rPr>
                <w:lang w:val="en-US"/>
              </w:rPr>
              <w:t>Proposal for amendments to ECE/TRANS/WP.29/2017/49</w:t>
            </w:r>
          </w:p>
        </w:tc>
        <w:tc>
          <w:tcPr>
            <w:tcW w:w="552" w:type="dxa"/>
            <w:shd w:val="clear" w:color="auto" w:fill="auto"/>
          </w:tcPr>
          <w:p w:rsidR="00CD04C1" w:rsidRPr="00B713EE" w:rsidRDefault="00CD04C1" w:rsidP="00B1602D">
            <w:pPr>
              <w:spacing w:before="40" w:after="120"/>
              <w:ind w:right="113"/>
            </w:pPr>
            <w:r w:rsidRPr="00B713EE">
              <w:t>d)</w:t>
            </w:r>
          </w:p>
        </w:tc>
      </w:tr>
      <w:tr w:rsidR="00CD04C1" w:rsidRPr="00B713EE" w:rsidTr="00A74844">
        <w:trPr>
          <w:cantSplit/>
        </w:trPr>
        <w:tc>
          <w:tcPr>
            <w:tcW w:w="670" w:type="dxa"/>
            <w:shd w:val="clear" w:color="auto" w:fill="auto"/>
          </w:tcPr>
          <w:p w:rsidR="00CD04C1" w:rsidRPr="00B713EE" w:rsidRDefault="00CD04C1" w:rsidP="00B1602D">
            <w:pPr>
              <w:spacing w:before="40" w:after="120"/>
              <w:ind w:right="113"/>
            </w:pPr>
            <w:r w:rsidRPr="00B713EE">
              <w:t>21</w:t>
            </w:r>
          </w:p>
        </w:tc>
        <w:tc>
          <w:tcPr>
            <w:tcW w:w="1470" w:type="dxa"/>
            <w:shd w:val="clear" w:color="auto" w:fill="auto"/>
          </w:tcPr>
          <w:p w:rsidR="00CD04C1" w:rsidRPr="00B713EE" w:rsidRDefault="00CD04C1" w:rsidP="00B1602D">
            <w:pPr>
              <w:spacing w:before="40" w:after="120"/>
              <w:ind w:right="113"/>
            </w:pPr>
            <w:r w:rsidRPr="00B713EE">
              <w:t xml:space="preserve">GTI des contrôles techniques périodiques </w:t>
            </w:r>
          </w:p>
        </w:tc>
        <w:tc>
          <w:tcPr>
            <w:tcW w:w="803" w:type="dxa"/>
            <w:shd w:val="clear" w:color="auto" w:fill="auto"/>
          </w:tcPr>
          <w:p w:rsidR="00CD04C1" w:rsidRPr="00B713EE" w:rsidRDefault="00CD04C1" w:rsidP="00B1602D">
            <w:pPr>
              <w:spacing w:before="40" w:after="120"/>
              <w:ind w:right="113"/>
            </w:pPr>
            <w:r w:rsidRPr="00B713EE">
              <w:t>7.3</w:t>
            </w:r>
          </w:p>
        </w:tc>
        <w:tc>
          <w:tcPr>
            <w:tcW w:w="668" w:type="dxa"/>
            <w:shd w:val="clear" w:color="auto" w:fill="auto"/>
          </w:tcPr>
          <w:p w:rsidR="00CD04C1" w:rsidRPr="00B713EE" w:rsidRDefault="00CD04C1" w:rsidP="00B1602D">
            <w:pPr>
              <w:spacing w:before="40" w:after="120"/>
              <w:ind w:right="113"/>
            </w:pPr>
            <w:r w:rsidRPr="00B713EE">
              <w:t>E</w:t>
            </w:r>
          </w:p>
        </w:tc>
        <w:tc>
          <w:tcPr>
            <w:tcW w:w="3207" w:type="dxa"/>
            <w:shd w:val="clear" w:color="auto" w:fill="auto"/>
          </w:tcPr>
          <w:p w:rsidR="00CD04C1" w:rsidRPr="00567416" w:rsidRDefault="00CD04C1" w:rsidP="00B1602D">
            <w:pPr>
              <w:spacing w:before="40" w:after="120"/>
              <w:ind w:right="113"/>
              <w:rPr>
                <w:lang w:val="en-US"/>
              </w:rPr>
            </w:pPr>
            <w:r w:rsidRPr="00567416">
              <w:rPr>
                <w:lang w:val="en-US"/>
              </w:rPr>
              <w:t>Proposals for new Rule on Periodical Technical Inspections of motor vehicles using compressed natural gas (CNG) and/or liquefied natural gas (LNG) in their propulsion system</w:t>
            </w:r>
          </w:p>
        </w:tc>
        <w:tc>
          <w:tcPr>
            <w:tcW w:w="552" w:type="dxa"/>
            <w:shd w:val="clear" w:color="auto" w:fill="auto"/>
          </w:tcPr>
          <w:p w:rsidR="00CD04C1" w:rsidRPr="00B713EE" w:rsidRDefault="00CD04C1" w:rsidP="00B1602D">
            <w:pPr>
              <w:spacing w:before="40" w:after="120"/>
              <w:ind w:right="113"/>
            </w:pPr>
            <w:r w:rsidRPr="00B713EE">
              <w:t>d)</w:t>
            </w:r>
          </w:p>
        </w:tc>
      </w:tr>
      <w:tr w:rsidR="00CD04C1" w:rsidRPr="00B713EE" w:rsidTr="00A74844">
        <w:trPr>
          <w:cantSplit/>
        </w:trPr>
        <w:tc>
          <w:tcPr>
            <w:tcW w:w="670" w:type="dxa"/>
            <w:shd w:val="clear" w:color="auto" w:fill="auto"/>
          </w:tcPr>
          <w:p w:rsidR="00CD04C1" w:rsidRPr="00B713EE" w:rsidRDefault="00CD04C1" w:rsidP="00B1602D">
            <w:pPr>
              <w:spacing w:before="40" w:after="120"/>
              <w:ind w:right="113"/>
            </w:pPr>
            <w:r w:rsidRPr="00B713EE">
              <w:t>22</w:t>
            </w:r>
          </w:p>
        </w:tc>
        <w:tc>
          <w:tcPr>
            <w:tcW w:w="1470" w:type="dxa"/>
            <w:shd w:val="clear" w:color="auto" w:fill="auto"/>
          </w:tcPr>
          <w:p w:rsidR="00CD04C1" w:rsidRPr="00B713EE" w:rsidRDefault="00CD04C1" w:rsidP="00B1602D">
            <w:pPr>
              <w:spacing w:before="40" w:after="120"/>
              <w:ind w:right="113"/>
            </w:pPr>
            <w:r w:rsidRPr="00B713EE">
              <w:rPr>
                <w:snapToGrid w:val="0"/>
                <w:lang w:eastAsia="de-DE"/>
              </w:rPr>
              <w:t>Secrétariat</w:t>
            </w:r>
          </w:p>
        </w:tc>
        <w:tc>
          <w:tcPr>
            <w:tcW w:w="803" w:type="dxa"/>
            <w:shd w:val="clear" w:color="auto" w:fill="auto"/>
          </w:tcPr>
          <w:p w:rsidR="00CD04C1" w:rsidRPr="00B713EE" w:rsidRDefault="00CD04C1" w:rsidP="00B1602D">
            <w:pPr>
              <w:spacing w:before="40" w:after="120"/>
              <w:ind w:right="113"/>
            </w:pPr>
            <w:r w:rsidRPr="00B713EE">
              <w:t>22</w:t>
            </w:r>
          </w:p>
        </w:tc>
        <w:tc>
          <w:tcPr>
            <w:tcW w:w="668" w:type="dxa"/>
            <w:shd w:val="clear" w:color="auto" w:fill="auto"/>
          </w:tcPr>
          <w:p w:rsidR="00CD04C1" w:rsidRPr="00B713EE" w:rsidRDefault="00CD04C1" w:rsidP="00B1602D">
            <w:pPr>
              <w:spacing w:before="40" w:after="120"/>
              <w:ind w:right="113"/>
            </w:pPr>
            <w:r w:rsidRPr="00B713EE">
              <w:t>E</w:t>
            </w:r>
          </w:p>
        </w:tc>
        <w:tc>
          <w:tcPr>
            <w:tcW w:w="3207" w:type="dxa"/>
            <w:shd w:val="clear" w:color="auto" w:fill="auto"/>
          </w:tcPr>
          <w:p w:rsidR="00CD04C1" w:rsidRPr="00567416" w:rsidRDefault="00CD04C1" w:rsidP="00B1602D">
            <w:pPr>
              <w:spacing w:before="40" w:after="120"/>
              <w:ind w:right="113"/>
              <w:rPr>
                <w:lang w:val="en-US"/>
              </w:rPr>
            </w:pPr>
            <w:r w:rsidRPr="00567416">
              <w:rPr>
                <w:lang w:val="en-US"/>
              </w:rPr>
              <w:t>Ninth session of the Administrative Committee AC.4</w:t>
            </w:r>
          </w:p>
        </w:tc>
        <w:tc>
          <w:tcPr>
            <w:tcW w:w="552" w:type="dxa"/>
            <w:shd w:val="clear" w:color="auto" w:fill="auto"/>
          </w:tcPr>
          <w:p w:rsidR="00CD04C1" w:rsidRPr="00B713EE" w:rsidRDefault="00CD04C1" w:rsidP="00B1602D">
            <w:pPr>
              <w:spacing w:before="40" w:after="120"/>
              <w:ind w:right="113"/>
            </w:pPr>
            <w:r w:rsidRPr="00B713EE">
              <w:t>a)</w:t>
            </w:r>
          </w:p>
        </w:tc>
      </w:tr>
      <w:tr w:rsidR="00CD04C1" w:rsidRPr="00B713EE" w:rsidTr="00A74844">
        <w:trPr>
          <w:cantSplit/>
        </w:trPr>
        <w:tc>
          <w:tcPr>
            <w:tcW w:w="670" w:type="dxa"/>
            <w:shd w:val="clear" w:color="auto" w:fill="auto"/>
          </w:tcPr>
          <w:p w:rsidR="00CD04C1" w:rsidRPr="00B713EE" w:rsidRDefault="00CD04C1" w:rsidP="0040210E">
            <w:pPr>
              <w:spacing w:before="40" w:after="100" w:line="220" w:lineRule="atLeast"/>
              <w:ind w:right="113"/>
            </w:pPr>
            <w:r w:rsidRPr="00B713EE">
              <w:t>23</w:t>
            </w:r>
          </w:p>
        </w:tc>
        <w:tc>
          <w:tcPr>
            <w:tcW w:w="1470" w:type="dxa"/>
            <w:shd w:val="clear" w:color="auto" w:fill="auto"/>
          </w:tcPr>
          <w:p w:rsidR="00CD04C1" w:rsidRPr="00B713EE" w:rsidRDefault="00CD04C1" w:rsidP="0040210E">
            <w:pPr>
              <w:spacing w:before="40" w:after="100" w:line="220" w:lineRule="atLeast"/>
              <w:ind w:right="113"/>
            </w:pPr>
            <w:r w:rsidRPr="00B713EE">
              <w:rPr>
                <w:snapToGrid w:val="0"/>
                <w:lang w:eastAsia="de-DE"/>
              </w:rPr>
              <w:t>Secrétariat</w:t>
            </w:r>
          </w:p>
        </w:tc>
        <w:tc>
          <w:tcPr>
            <w:tcW w:w="803" w:type="dxa"/>
            <w:shd w:val="clear" w:color="auto" w:fill="auto"/>
          </w:tcPr>
          <w:p w:rsidR="00CD04C1" w:rsidRPr="00B713EE" w:rsidRDefault="00CD04C1" w:rsidP="0040210E">
            <w:pPr>
              <w:spacing w:before="40" w:after="100" w:line="220" w:lineRule="atLeast"/>
              <w:ind w:right="113"/>
            </w:pPr>
            <w:r w:rsidRPr="00B713EE">
              <w:t>8.5</w:t>
            </w:r>
          </w:p>
        </w:tc>
        <w:tc>
          <w:tcPr>
            <w:tcW w:w="668" w:type="dxa"/>
            <w:shd w:val="clear" w:color="auto" w:fill="auto"/>
          </w:tcPr>
          <w:p w:rsidR="00CD04C1" w:rsidRPr="00B713EE" w:rsidRDefault="00CD04C1" w:rsidP="0040210E">
            <w:pPr>
              <w:spacing w:before="40" w:after="100" w:line="220" w:lineRule="atLeast"/>
              <w:ind w:right="113"/>
            </w:pPr>
            <w:r w:rsidRPr="00B713EE">
              <w:t>E</w:t>
            </w:r>
          </w:p>
        </w:tc>
        <w:tc>
          <w:tcPr>
            <w:tcW w:w="3207" w:type="dxa"/>
            <w:shd w:val="clear" w:color="auto" w:fill="auto"/>
          </w:tcPr>
          <w:p w:rsidR="00CD04C1" w:rsidRPr="00567416" w:rsidRDefault="00CD04C1" w:rsidP="0040210E">
            <w:pPr>
              <w:spacing w:before="40" w:after="100" w:line="220" w:lineRule="atLeast"/>
              <w:ind w:right="113"/>
              <w:rPr>
                <w:lang w:val="en-US"/>
              </w:rPr>
            </w:pPr>
            <w:r w:rsidRPr="00567416">
              <w:rPr>
                <w:lang w:val="en-US"/>
              </w:rPr>
              <w:t>Adopted proposals and entry into force of the November 2016 session</w:t>
            </w:r>
          </w:p>
        </w:tc>
        <w:tc>
          <w:tcPr>
            <w:tcW w:w="552" w:type="dxa"/>
            <w:shd w:val="clear" w:color="auto" w:fill="auto"/>
          </w:tcPr>
          <w:p w:rsidR="00CD04C1" w:rsidRPr="00B713EE" w:rsidRDefault="00CD04C1" w:rsidP="0040210E">
            <w:pPr>
              <w:spacing w:before="40" w:after="100" w:line="220" w:lineRule="atLeast"/>
              <w:ind w:right="113"/>
            </w:pPr>
            <w:r w:rsidRPr="00B713EE">
              <w:t>a)</w:t>
            </w:r>
          </w:p>
        </w:tc>
      </w:tr>
      <w:tr w:rsidR="00CD04C1" w:rsidRPr="00B713EE" w:rsidTr="00A74844">
        <w:trPr>
          <w:cantSplit/>
        </w:trPr>
        <w:tc>
          <w:tcPr>
            <w:tcW w:w="670" w:type="dxa"/>
            <w:shd w:val="clear" w:color="auto" w:fill="auto"/>
          </w:tcPr>
          <w:p w:rsidR="00CD04C1" w:rsidRPr="00B713EE" w:rsidRDefault="00CD04C1" w:rsidP="0040210E">
            <w:pPr>
              <w:spacing w:before="40" w:after="100" w:line="220" w:lineRule="atLeast"/>
              <w:ind w:right="113"/>
            </w:pPr>
            <w:r w:rsidRPr="00B713EE">
              <w:t>24</w:t>
            </w:r>
          </w:p>
        </w:tc>
        <w:tc>
          <w:tcPr>
            <w:tcW w:w="1470" w:type="dxa"/>
            <w:shd w:val="clear" w:color="auto" w:fill="auto"/>
          </w:tcPr>
          <w:p w:rsidR="00CD04C1" w:rsidRPr="00B713EE" w:rsidRDefault="00CD04C1" w:rsidP="0040210E">
            <w:pPr>
              <w:spacing w:before="40" w:after="100" w:line="220" w:lineRule="atLeast"/>
              <w:ind w:right="113"/>
            </w:pPr>
            <w:r w:rsidRPr="00B713EE">
              <w:t>GTI de l</w:t>
            </w:r>
            <w:r w:rsidR="007C2F80">
              <w:t>’</w:t>
            </w:r>
            <w:r w:rsidRPr="00B713EE">
              <w:t xml:space="preserve">IWVTA </w:t>
            </w:r>
          </w:p>
        </w:tc>
        <w:tc>
          <w:tcPr>
            <w:tcW w:w="803" w:type="dxa"/>
            <w:shd w:val="clear" w:color="auto" w:fill="auto"/>
          </w:tcPr>
          <w:p w:rsidR="00CD04C1" w:rsidRPr="00B713EE" w:rsidRDefault="00CD04C1" w:rsidP="0040210E">
            <w:pPr>
              <w:spacing w:before="40" w:after="100" w:line="220" w:lineRule="atLeast"/>
              <w:ind w:right="113"/>
            </w:pPr>
            <w:r w:rsidRPr="00B713EE">
              <w:t>4.2.2</w:t>
            </w:r>
          </w:p>
        </w:tc>
        <w:tc>
          <w:tcPr>
            <w:tcW w:w="668" w:type="dxa"/>
            <w:shd w:val="clear" w:color="auto" w:fill="auto"/>
          </w:tcPr>
          <w:p w:rsidR="00CD04C1" w:rsidRPr="00B713EE" w:rsidRDefault="00CD04C1" w:rsidP="0040210E">
            <w:pPr>
              <w:spacing w:before="40" w:after="100" w:line="220" w:lineRule="atLeast"/>
              <w:ind w:right="113"/>
            </w:pPr>
            <w:r w:rsidRPr="00B713EE">
              <w:t>E</w:t>
            </w:r>
          </w:p>
        </w:tc>
        <w:tc>
          <w:tcPr>
            <w:tcW w:w="3207" w:type="dxa"/>
            <w:shd w:val="clear" w:color="auto" w:fill="auto"/>
          </w:tcPr>
          <w:p w:rsidR="00CD04C1" w:rsidRPr="00567416" w:rsidRDefault="00CD04C1" w:rsidP="0040210E">
            <w:pPr>
              <w:spacing w:before="40" w:after="100" w:line="220" w:lineRule="atLeast"/>
              <w:ind w:right="113"/>
              <w:rPr>
                <w:lang w:val="en-US"/>
              </w:rPr>
            </w:pPr>
            <w:r w:rsidRPr="00567416">
              <w:rPr>
                <w:lang w:val="en-US"/>
              </w:rPr>
              <w:t>Amended General Guidelines for UN regulatory procedures and transitional provisions in UN Regulations</w:t>
            </w:r>
          </w:p>
        </w:tc>
        <w:tc>
          <w:tcPr>
            <w:tcW w:w="552" w:type="dxa"/>
            <w:shd w:val="clear" w:color="auto" w:fill="auto"/>
          </w:tcPr>
          <w:p w:rsidR="00CD04C1" w:rsidRPr="00B713EE" w:rsidRDefault="00CD04C1" w:rsidP="0040210E">
            <w:pPr>
              <w:spacing w:before="40" w:after="100" w:line="220" w:lineRule="atLeast"/>
              <w:ind w:right="113"/>
            </w:pPr>
            <w:r w:rsidRPr="00B713EE">
              <w:t>d)</w:t>
            </w:r>
          </w:p>
        </w:tc>
      </w:tr>
      <w:tr w:rsidR="00CD04C1" w:rsidRPr="00B713EE" w:rsidTr="00A74844">
        <w:trPr>
          <w:cantSplit/>
        </w:trPr>
        <w:tc>
          <w:tcPr>
            <w:tcW w:w="670" w:type="dxa"/>
            <w:shd w:val="clear" w:color="auto" w:fill="auto"/>
          </w:tcPr>
          <w:p w:rsidR="00CD04C1" w:rsidRPr="00B713EE" w:rsidRDefault="00CD04C1" w:rsidP="0040210E">
            <w:pPr>
              <w:spacing w:before="40" w:after="100" w:line="220" w:lineRule="atLeast"/>
              <w:ind w:right="113"/>
            </w:pPr>
            <w:r w:rsidRPr="00B713EE">
              <w:t>25</w:t>
            </w:r>
          </w:p>
        </w:tc>
        <w:tc>
          <w:tcPr>
            <w:tcW w:w="1470" w:type="dxa"/>
            <w:shd w:val="clear" w:color="auto" w:fill="auto"/>
          </w:tcPr>
          <w:p w:rsidR="00CD04C1" w:rsidRPr="00B713EE" w:rsidRDefault="00CD04C1" w:rsidP="0040210E">
            <w:pPr>
              <w:spacing w:before="40" w:after="100" w:line="220" w:lineRule="atLeast"/>
              <w:ind w:right="113"/>
            </w:pPr>
            <w:r w:rsidRPr="00B713EE">
              <w:t>GTI de l</w:t>
            </w:r>
            <w:r w:rsidR="007C2F80">
              <w:t>’</w:t>
            </w:r>
            <w:r w:rsidRPr="00B713EE">
              <w:t xml:space="preserve">IWVTA </w:t>
            </w:r>
          </w:p>
        </w:tc>
        <w:tc>
          <w:tcPr>
            <w:tcW w:w="803" w:type="dxa"/>
            <w:shd w:val="clear" w:color="auto" w:fill="auto"/>
          </w:tcPr>
          <w:p w:rsidR="00CD04C1" w:rsidRPr="00B713EE" w:rsidRDefault="00CD04C1" w:rsidP="0040210E">
            <w:pPr>
              <w:spacing w:before="40" w:after="100" w:line="220" w:lineRule="atLeast"/>
              <w:ind w:right="113"/>
            </w:pPr>
            <w:r w:rsidRPr="00B713EE">
              <w:t>4.3</w:t>
            </w:r>
          </w:p>
        </w:tc>
        <w:tc>
          <w:tcPr>
            <w:tcW w:w="668" w:type="dxa"/>
            <w:shd w:val="clear" w:color="auto" w:fill="auto"/>
          </w:tcPr>
          <w:p w:rsidR="00CD04C1" w:rsidRPr="00B713EE" w:rsidRDefault="00CD04C1" w:rsidP="0040210E">
            <w:pPr>
              <w:spacing w:before="40" w:after="100" w:line="220" w:lineRule="atLeast"/>
              <w:ind w:right="113"/>
            </w:pPr>
            <w:r w:rsidRPr="00B713EE">
              <w:t>E</w:t>
            </w:r>
          </w:p>
        </w:tc>
        <w:tc>
          <w:tcPr>
            <w:tcW w:w="3207" w:type="dxa"/>
            <w:shd w:val="clear" w:color="auto" w:fill="auto"/>
          </w:tcPr>
          <w:p w:rsidR="00CD04C1" w:rsidRPr="00567416" w:rsidRDefault="00CD04C1" w:rsidP="0040210E">
            <w:pPr>
              <w:spacing w:before="40" w:after="100" w:line="220" w:lineRule="atLeast"/>
              <w:ind w:right="113"/>
              <w:rPr>
                <w:lang w:val="en-US"/>
              </w:rPr>
            </w:pPr>
            <w:r w:rsidRPr="00567416">
              <w:rPr>
                <w:lang w:val="en-US"/>
              </w:rPr>
              <w:t>Amended Explanation to UN Regulation No.0 on the International Whole Vehicle Type Approval ? questions and answers</w:t>
            </w:r>
          </w:p>
        </w:tc>
        <w:tc>
          <w:tcPr>
            <w:tcW w:w="552" w:type="dxa"/>
            <w:shd w:val="clear" w:color="auto" w:fill="auto"/>
          </w:tcPr>
          <w:p w:rsidR="00CD04C1" w:rsidRPr="00B713EE" w:rsidRDefault="00CD04C1" w:rsidP="0040210E">
            <w:pPr>
              <w:spacing w:before="40" w:after="100" w:line="220" w:lineRule="atLeast"/>
              <w:ind w:right="113"/>
            </w:pPr>
            <w:r w:rsidRPr="00B713EE">
              <w:t>d)</w:t>
            </w:r>
          </w:p>
        </w:tc>
      </w:tr>
      <w:tr w:rsidR="00CD04C1" w:rsidRPr="00B713EE" w:rsidTr="00A74844">
        <w:trPr>
          <w:cantSplit/>
        </w:trPr>
        <w:tc>
          <w:tcPr>
            <w:tcW w:w="670" w:type="dxa"/>
            <w:shd w:val="clear" w:color="auto" w:fill="auto"/>
          </w:tcPr>
          <w:p w:rsidR="00CD04C1" w:rsidRPr="00B713EE" w:rsidRDefault="00CD04C1" w:rsidP="0040210E">
            <w:pPr>
              <w:spacing w:before="40" w:after="100" w:line="220" w:lineRule="atLeast"/>
              <w:ind w:right="113"/>
            </w:pPr>
            <w:r w:rsidRPr="00B713EE">
              <w:t>26</w:t>
            </w:r>
          </w:p>
        </w:tc>
        <w:tc>
          <w:tcPr>
            <w:tcW w:w="1470" w:type="dxa"/>
            <w:shd w:val="clear" w:color="auto" w:fill="auto"/>
          </w:tcPr>
          <w:p w:rsidR="00CD04C1" w:rsidRPr="00B713EE" w:rsidRDefault="00CD04C1" w:rsidP="0040210E">
            <w:pPr>
              <w:spacing w:before="40" w:after="100" w:line="220" w:lineRule="atLeast"/>
              <w:ind w:right="113"/>
            </w:pPr>
            <w:r w:rsidRPr="00B713EE">
              <w:t xml:space="preserve">GTI des contrôles techniques périodiques </w:t>
            </w:r>
          </w:p>
        </w:tc>
        <w:tc>
          <w:tcPr>
            <w:tcW w:w="803" w:type="dxa"/>
            <w:shd w:val="clear" w:color="auto" w:fill="auto"/>
          </w:tcPr>
          <w:p w:rsidR="00CD04C1" w:rsidRPr="00B713EE" w:rsidRDefault="00CD04C1" w:rsidP="0040210E">
            <w:pPr>
              <w:spacing w:before="40" w:after="100" w:line="220" w:lineRule="atLeast"/>
              <w:ind w:right="113"/>
            </w:pPr>
            <w:r w:rsidRPr="00B713EE">
              <w:t>7.1</w:t>
            </w:r>
          </w:p>
        </w:tc>
        <w:tc>
          <w:tcPr>
            <w:tcW w:w="668" w:type="dxa"/>
            <w:shd w:val="clear" w:color="auto" w:fill="auto"/>
          </w:tcPr>
          <w:p w:rsidR="00CD04C1" w:rsidRPr="00B713EE" w:rsidRDefault="00CD04C1" w:rsidP="0040210E">
            <w:pPr>
              <w:spacing w:before="40" w:after="100" w:line="220" w:lineRule="atLeast"/>
              <w:ind w:right="113"/>
            </w:pPr>
            <w:r w:rsidRPr="00B713EE">
              <w:t>E</w:t>
            </w:r>
          </w:p>
        </w:tc>
        <w:tc>
          <w:tcPr>
            <w:tcW w:w="3207" w:type="dxa"/>
            <w:shd w:val="clear" w:color="auto" w:fill="auto"/>
          </w:tcPr>
          <w:p w:rsidR="00CD04C1" w:rsidRPr="00567416" w:rsidRDefault="00CD04C1" w:rsidP="0040210E">
            <w:pPr>
              <w:spacing w:before="40" w:after="100" w:line="220" w:lineRule="atLeast"/>
              <w:ind w:right="113"/>
              <w:rPr>
                <w:lang w:val="en-US"/>
              </w:rPr>
            </w:pPr>
            <w:r w:rsidRPr="00567416">
              <w:rPr>
                <w:lang w:val="en-US"/>
              </w:rPr>
              <w:t>Report to WP.29 about results of the 6</w:t>
            </w:r>
            <w:r w:rsidRPr="00567416">
              <w:rPr>
                <w:vertAlign w:val="superscript"/>
                <w:lang w:val="en-US"/>
              </w:rPr>
              <w:t>th</w:t>
            </w:r>
            <w:r w:rsidRPr="00567416">
              <w:rPr>
                <w:lang w:val="en-US"/>
              </w:rPr>
              <w:t xml:space="preserve"> meeting of Informal Group on Periodical Technical Inspections</w:t>
            </w:r>
          </w:p>
        </w:tc>
        <w:tc>
          <w:tcPr>
            <w:tcW w:w="552" w:type="dxa"/>
            <w:shd w:val="clear" w:color="auto" w:fill="auto"/>
          </w:tcPr>
          <w:p w:rsidR="00CD04C1" w:rsidRPr="00B713EE" w:rsidRDefault="00CD04C1" w:rsidP="0040210E">
            <w:pPr>
              <w:spacing w:before="40" w:after="100" w:line="220" w:lineRule="atLeast"/>
              <w:ind w:right="113"/>
            </w:pPr>
            <w:r w:rsidRPr="00B713EE">
              <w:t>a)</w:t>
            </w:r>
          </w:p>
        </w:tc>
      </w:tr>
      <w:tr w:rsidR="00CD04C1" w:rsidRPr="00B713EE" w:rsidTr="00A74844">
        <w:trPr>
          <w:cantSplit/>
        </w:trPr>
        <w:tc>
          <w:tcPr>
            <w:tcW w:w="670" w:type="dxa"/>
            <w:shd w:val="clear" w:color="auto" w:fill="auto"/>
          </w:tcPr>
          <w:p w:rsidR="00CD04C1" w:rsidRPr="00B713EE" w:rsidRDefault="00CD04C1" w:rsidP="0040210E">
            <w:pPr>
              <w:spacing w:before="40" w:after="100" w:line="220" w:lineRule="atLeast"/>
              <w:ind w:right="113"/>
            </w:pPr>
            <w:r w:rsidRPr="00B713EE">
              <w:t>27</w:t>
            </w:r>
          </w:p>
        </w:tc>
        <w:tc>
          <w:tcPr>
            <w:tcW w:w="1470" w:type="dxa"/>
            <w:shd w:val="clear" w:color="auto" w:fill="auto"/>
          </w:tcPr>
          <w:p w:rsidR="00CD04C1" w:rsidRPr="00B713EE" w:rsidRDefault="00CD04C1" w:rsidP="0040210E">
            <w:pPr>
              <w:spacing w:before="40" w:after="100" w:line="220" w:lineRule="atLeast"/>
              <w:ind w:right="113"/>
            </w:pPr>
            <w:r w:rsidRPr="00B713EE">
              <w:t xml:space="preserve">Fédération </w:t>
            </w:r>
            <w:r w:rsidR="00F01852">
              <w:br/>
            </w:r>
            <w:r w:rsidRPr="00B713EE">
              <w:t>de Russie</w:t>
            </w:r>
          </w:p>
        </w:tc>
        <w:tc>
          <w:tcPr>
            <w:tcW w:w="803" w:type="dxa"/>
            <w:shd w:val="clear" w:color="auto" w:fill="auto"/>
          </w:tcPr>
          <w:p w:rsidR="00CD04C1" w:rsidRPr="00B713EE" w:rsidRDefault="00CD04C1" w:rsidP="0040210E">
            <w:pPr>
              <w:spacing w:before="40" w:after="100" w:line="220" w:lineRule="atLeast"/>
              <w:ind w:right="113"/>
            </w:pPr>
            <w:bookmarkStart w:id="96" w:name="OLE_LINK46"/>
            <w:bookmarkStart w:id="97" w:name="OLE_LINK47"/>
            <w:bookmarkStart w:id="98" w:name="OLE_LINK48"/>
            <w:r w:rsidRPr="00B713EE">
              <w:t>4.10.1, 4.10.2, 4.10.3</w:t>
            </w:r>
            <w:bookmarkEnd w:id="96"/>
            <w:bookmarkEnd w:id="97"/>
            <w:bookmarkEnd w:id="98"/>
          </w:p>
        </w:tc>
        <w:tc>
          <w:tcPr>
            <w:tcW w:w="668" w:type="dxa"/>
            <w:shd w:val="clear" w:color="auto" w:fill="auto"/>
          </w:tcPr>
          <w:p w:rsidR="00CD04C1" w:rsidRPr="00B713EE" w:rsidRDefault="00CD04C1" w:rsidP="0040210E">
            <w:pPr>
              <w:spacing w:before="40" w:after="100" w:line="220" w:lineRule="atLeast"/>
              <w:ind w:right="113"/>
            </w:pPr>
            <w:r w:rsidRPr="00B713EE">
              <w:t>E</w:t>
            </w:r>
          </w:p>
        </w:tc>
        <w:tc>
          <w:tcPr>
            <w:tcW w:w="3207" w:type="dxa"/>
            <w:shd w:val="clear" w:color="auto" w:fill="auto"/>
          </w:tcPr>
          <w:p w:rsidR="00CD04C1" w:rsidRPr="00567416" w:rsidRDefault="00CD04C1" w:rsidP="0040210E">
            <w:pPr>
              <w:spacing w:before="40" w:after="100" w:line="220" w:lineRule="atLeast"/>
              <w:ind w:right="113"/>
              <w:rPr>
                <w:lang w:val="en-US"/>
              </w:rPr>
            </w:pPr>
            <w:r w:rsidRPr="00567416">
              <w:rPr>
                <w:lang w:val="en-US"/>
              </w:rPr>
              <w:t>Proposal with regard to documents ECE/TRANS/WP.29/2017/42, .../43 and .../44</w:t>
            </w:r>
          </w:p>
        </w:tc>
        <w:tc>
          <w:tcPr>
            <w:tcW w:w="552" w:type="dxa"/>
            <w:shd w:val="clear" w:color="auto" w:fill="auto"/>
          </w:tcPr>
          <w:p w:rsidR="00CD04C1" w:rsidRPr="00B713EE" w:rsidRDefault="00CD04C1" w:rsidP="0040210E">
            <w:pPr>
              <w:spacing w:before="40" w:after="100" w:line="220" w:lineRule="atLeast"/>
              <w:ind w:right="113"/>
            </w:pPr>
            <w:r w:rsidRPr="00B713EE">
              <w:t>a)</w:t>
            </w:r>
          </w:p>
        </w:tc>
      </w:tr>
      <w:tr w:rsidR="00CD04C1" w:rsidRPr="00B713EE" w:rsidTr="00A74844">
        <w:trPr>
          <w:cantSplit/>
        </w:trPr>
        <w:tc>
          <w:tcPr>
            <w:tcW w:w="670" w:type="dxa"/>
            <w:shd w:val="clear" w:color="auto" w:fill="auto"/>
          </w:tcPr>
          <w:p w:rsidR="00CD04C1" w:rsidRPr="00B713EE" w:rsidRDefault="00CD04C1" w:rsidP="0040210E">
            <w:pPr>
              <w:spacing w:before="40" w:after="100" w:line="220" w:lineRule="atLeast"/>
              <w:ind w:right="113"/>
            </w:pPr>
            <w:r w:rsidRPr="00B713EE">
              <w:t>28</w:t>
            </w:r>
          </w:p>
        </w:tc>
        <w:tc>
          <w:tcPr>
            <w:tcW w:w="1470" w:type="dxa"/>
            <w:shd w:val="clear" w:color="auto" w:fill="auto"/>
          </w:tcPr>
          <w:p w:rsidR="00CD04C1" w:rsidRPr="00B713EE" w:rsidRDefault="00CD04C1" w:rsidP="0040210E">
            <w:pPr>
              <w:spacing w:before="40" w:after="100" w:line="220" w:lineRule="atLeast"/>
              <w:ind w:right="113"/>
            </w:pPr>
            <w:r w:rsidRPr="00B713EE">
              <w:t>OICA</w:t>
            </w:r>
          </w:p>
        </w:tc>
        <w:tc>
          <w:tcPr>
            <w:tcW w:w="803" w:type="dxa"/>
            <w:shd w:val="clear" w:color="auto" w:fill="auto"/>
          </w:tcPr>
          <w:p w:rsidR="00CD04C1" w:rsidRPr="00B713EE" w:rsidRDefault="00CD04C1" w:rsidP="0040210E">
            <w:pPr>
              <w:spacing w:before="40" w:after="100" w:line="220" w:lineRule="atLeast"/>
              <w:ind w:right="113"/>
            </w:pPr>
            <w:r w:rsidRPr="00B713EE">
              <w:t>4.7.3</w:t>
            </w:r>
          </w:p>
        </w:tc>
        <w:tc>
          <w:tcPr>
            <w:tcW w:w="668" w:type="dxa"/>
            <w:shd w:val="clear" w:color="auto" w:fill="auto"/>
          </w:tcPr>
          <w:p w:rsidR="00CD04C1" w:rsidRPr="00B713EE" w:rsidRDefault="00CD04C1" w:rsidP="0040210E">
            <w:pPr>
              <w:spacing w:before="40" w:after="100" w:line="220" w:lineRule="atLeast"/>
              <w:ind w:right="113"/>
            </w:pPr>
            <w:r w:rsidRPr="00B713EE">
              <w:t>E</w:t>
            </w:r>
          </w:p>
        </w:tc>
        <w:tc>
          <w:tcPr>
            <w:tcW w:w="3207" w:type="dxa"/>
            <w:shd w:val="clear" w:color="auto" w:fill="auto"/>
          </w:tcPr>
          <w:p w:rsidR="00CD04C1" w:rsidRPr="00567416" w:rsidRDefault="00CD04C1" w:rsidP="0040210E">
            <w:pPr>
              <w:spacing w:before="40" w:after="100" w:line="220" w:lineRule="atLeast"/>
              <w:ind w:right="113"/>
              <w:rPr>
                <w:lang w:val="en-US"/>
              </w:rPr>
            </w:pPr>
            <w:r w:rsidRPr="00567416">
              <w:rPr>
                <w:lang w:val="en-US"/>
              </w:rPr>
              <w:t>Proposal for transitional provisions for inclusion in UN R79 (ECE/TRANS/WP29/2017/10, as amended by WP29-171-06)</w:t>
            </w:r>
          </w:p>
        </w:tc>
        <w:tc>
          <w:tcPr>
            <w:tcW w:w="552" w:type="dxa"/>
            <w:shd w:val="clear" w:color="auto" w:fill="auto"/>
          </w:tcPr>
          <w:p w:rsidR="00CD04C1" w:rsidRPr="00B713EE" w:rsidRDefault="00CD04C1" w:rsidP="0040210E">
            <w:pPr>
              <w:spacing w:before="40" w:after="100" w:line="220" w:lineRule="atLeast"/>
              <w:ind w:right="113"/>
            </w:pPr>
            <w:r w:rsidRPr="00B713EE">
              <w:t>a)</w:t>
            </w:r>
          </w:p>
        </w:tc>
      </w:tr>
      <w:tr w:rsidR="00CD04C1" w:rsidRPr="00B713EE" w:rsidTr="00A74844">
        <w:trPr>
          <w:cantSplit/>
        </w:trPr>
        <w:tc>
          <w:tcPr>
            <w:tcW w:w="670" w:type="dxa"/>
            <w:shd w:val="clear" w:color="auto" w:fill="auto"/>
          </w:tcPr>
          <w:p w:rsidR="00CD04C1" w:rsidRPr="00B713EE" w:rsidRDefault="00CD04C1" w:rsidP="0040210E">
            <w:pPr>
              <w:spacing w:before="40" w:after="100" w:line="220" w:lineRule="atLeast"/>
              <w:ind w:right="113"/>
            </w:pPr>
            <w:r w:rsidRPr="00B713EE">
              <w:t>29</w:t>
            </w:r>
          </w:p>
        </w:tc>
        <w:tc>
          <w:tcPr>
            <w:tcW w:w="1470" w:type="dxa"/>
            <w:shd w:val="clear" w:color="auto" w:fill="auto"/>
          </w:tcPr>
          <w:p w:rsidR="00CD04C1" w:rsidRPr="00B713EE" w:rsidRDefault="00CD04C1" w:rsidP="0040210E">
            <w:pPr>
              <w:spacing w:before="40" w:after="100" w:line="220" w:lineRule="atLeast"/>
              <w:ind w:right="113"/>
            </w:pPr>
            <w:r w:rsidRPr="00B713EE">
              <w:t>UE et Japon</w:t>
            </w:r>
          </w:p>
        </w:tc>
        <w:tc>
          <w:tcPr>
            <w:tcW w:w="803" w:type="dxa"/>
            <w:shd w:val="clear" w:color="auto" w:fill="auto"/>
          </w:tcPr>
          <w:p w:rsidR="00CD04C1" w:rsidRPr="00B713EE" w:rsidRDefault="00CD04C1" w:rsidP="0040210E">
            <w:pPr>
              <w:spacing w:before="40" w:after="100" w:line="220" w:lineRule="atLeast"/>
              <w:ind w:right="113"/>
            </w:pPr>
            <w:r w:rsidRPr="00B713EE">
              <w:t>17</w:t>
            </w:r>
          </w:p>
        </w:tc>
        <w:tc>
          <w:tcPr>
            <w:tcW w:w="668" w:type="dxa"/>
            <w:shd w:val="clear" w:color="auto" w:fill="auto"/>
          </w:tcPr>
          <w:p w:rsidR="00CD04C1" w:rsidRPr="00B713EE" w:rsidRDefault="00CD04C1" w:rsidP="0040210E">
            <w:pPr>
              <w:spacing w:before="40" w:after="100" w:line="220" w:lineRule="atLeast"/>
              <w:ind w:right="113"/>
            </w:pPr>
            <w:r w:rsidRPr="00B713EE">
              <w:t>E</w:t>
            </w:r>
          </w:p>
        </w:tc>
        <w:tc>
          <w:tcPr>
            <w:tcW w:w="3207" w:type="dxa"/>
            <w:shd w:val="clear" w:color="auto" w:fill="auto"/>
          </w:tcPr>
          <w:p w:rsidR="00CD04C1" w:rsidRPr="00567416" w:rsidRDefault="00CD04C1" w:rsidP="0040210E">
            <w:pPr>
              <w:spacing w:before="40" w:after="100" w:line="220" w:lineRule="atLeast"/>
              <w:ind w:right="113"/>
              <w:rPr>
                <w:lang w:val="en-US"/>
              </w:rPr>
            </w:pPr>
            <w:r w:rsidRPr="00567416">
              <w:rPr>
                <w:lang w:val="en-US"/>
              </w:rPr>
              <w:t>Preliminary Draft of new PoW proposed by EU &amp; Japan</w:t>
            </w:r>
            <w:r w:rsidRPr="00567416">
              <w:rPr>
                <w:lang w:val="en-US"/>
              </w:rPr>
              <w:br/>
              <w:t>Based on Annex II of ECE/TRANS/WP.29/1126</w:t>
            </w:r>
          </w:p>
        </w:tc>
        <w:tc>
          <w:tcPr>
            <w:tcW w:w="552" w:type="dxa"/>
            <w:shd w:val="clear" w:color="auto" w:fill="auto"/>
          </w:tcPr>
          <w:p w:rsidR="00CD04C1" w:rsidRPr="00B713EE" w:rsidRDefault="00CD04C1" w:rsidP="0040210E">
            <w:pPr>
              <w:spacing w:before="40" w:after="100" w:line="220" w:lineRule="atLeast"/>
              <w:ind w:right="113"/>
            </w:pPr>
            <w:r w:rsidRPr="00B713EE">
              <w:t>a)</w:t>
            </w:r>
          </w:p>
        </w:tc>
      </w:tr>
      <w:tr w:rsidR="00CD04C1" w:rsidRPr="00B713EE" w:rsidTr="00A74844">
        <w:trPr>
          <w:cantSplit/>
        </w:trPr>
        <w:tc>
          <w:tcPr>
            <w:tcW w:w="670" w:type="dxa"/>
            <w:shd w:val="clear" w:color="auto" w:fill="auto"/>
          </w:tcPr>
          <w:p w:rsidR="00CD04C1" w:rsidRPr="00B713EE" w:rsidRDefault="00CD04C1" w:rsidP="0040210E">
            <w:pPr>
              <w:spacing w:before="40" w:after="100" w:line="220" w:lineRule="atLeast"/>
              <w:ind w:right="113"/>
            </w:pPr>
            <w:r w:rsidRPr="00B713EE">
              <w:t>30</w:t>
            </w:r>
          </w:p>
        </w:tc>
        <w:tc>
          <w:tcPr>
            <w:tcW w:w="1470" w:type="dxa"/>
            <w:shd w:val="clear" w:color="auto" w:fill="auto"/>
          </w:tcPr>
          <w:p w:rsidR="00CD04C1" w:rsidRPr="00B713EE" w:rsidRDefault="00CD04C1" w:rsidP="0040210E">
            <w:pPr>
              <w:spacing w:before="40" w:after="100" w:line="220" w:lineRule="atLeast"/>
              <w:ind w:right="113"/>
            </w:pPr>
            <w:r w:rsidRPr="00B713EE">
              <w:t>Secrétariat</w:t>
            </w:r>
          </w:p>
        </w:tc>
        <w:tc>
          <w:tcPr>
            <w:tcW w:w="803" w:type="dxa"/>
            <w:shd w:val="clear" w:color="auto" w:fill="auto"/>
          </w:tcPr>
          <w:p w:rsidR="00CD04C1" w:rsidRPr="00B713EE" w:rsidRDefault="00CD04C1" w:rsidP="0040210E">
            <w:pPr>
              <w:spacing w:before="40" w:after="100" w:line="220" w:lineRule="atLeast"/>
              <w:ind w:right="113"/>
            </w:pPr>
            <w:r w:rsidRPr="00B713EE">
              <w:t>17</w:t>
            </w:r>
          </w:p>
        </w:tc>
        <w:tc>
          <w:tcPr>
            <w:tcW w:w="668" w:type="dxa"/>
            <w:shd w:val="clear" w:color="auto" w:fill="auto"/>
          </w:tcPr>
          <w:p w:rsidR="00CD04C1" w:rsidRPr="00B713EE" w:rsidRDefault="00CD04C1" w:rsidP="0040210E">
            <w:pPr>
              <w:spacing w:before="40" w:after="100" w:line="220" w:lineRule="atLeast"/>
              <w:ind w:right="113"/>
            </w:pPr>
            <w:r w:rsidRPr="00B713EE">
              <w:t>E</w:t>
            </w:r>
          </w:p>
        </w:tc>
        <w:tc>
          <w:tcPr>
            <w:tcW w:w="3207" w:type="dxa"/>
            <w:shd w:val="clear" w:color="auto" w:fill="auto"/>
          </w:tcPr>
          <w:p w:rsidR="00CD04C1" w:rsidRPr="009D53B7" w:rsidRDefault="009D53B7" w:rsidP="0040210E">
            <w:pPr>
              <w:spacing w:before="40" w:after="100" w:line="220" w:lineRule="atLeast"/>
              <w:ind w:right="113"/>
              <w:rPr>
                <w:lang w:val="en-US"/>
              </w:rPr>
            </w:pPr>
            <w:r>
              <w:rPr>
                <w:lang w:val="en-US"/>
              </w:rPr>
              <w:t xml:space="preserve">Decision on use of term </w:t>
            </w:r>
            <w:r w:rsidRPr="009D53B7">
              <w:rPr>
                <w:lang w:val="en-US"/>
              </w:rPr>
              <w:t>« </w:t>
            </w:r>
            <w:r w:rsidR="00CD04C1" w:rsidRPr="00567416">
              <w:rPr>
                <w:lang w:val="en-US"/>
              </w:rPr>
              <w:t>UN GTR</w:t>
            </w:r>
            <w:r w:rsidRPr="009D53B7">
              <w:rPr>
                <w:lang w:val="en-US"/>
              </w:rPr>
              <w:t> »</w:t>
            </w:r>
          </w:p>
        </w:tc>
        <w:tc>
          <w:tcPr>
            <w:tcW w:w="552" w:type="dxa"/>
            <w:shd w:val="clear" w:color="auto" w:fill="auto"/>
          </w:tcPr>
          <w:p w:rsidR="00CD04C1" w:rsidRPr="00B713EE" w:rsidRDefault="00CD04C1" w:rsidP="0040210E">
            <w:pPr>
              <w:spacing w:before="40" w:after="100" w:line="220" w:lineRule="atLeast"/>
              <w:ind w:right="113"/>
            </w:pPr>
            <w:r w:rsidRPr="00B713EE">
              <w:t>b)</w:t>
            </w:r>
          </w:p>
        </w:tc>
      </w:tr>
      <w:tr w:rsidR="00CD04C1" w:rsidRPr="00B713EE" w:rsidTr="00A74844">
        <w:trPr>
          <w:cantSplit/>
        </w:trPr>
        <w:tc>
          <w:tcPr>
            <w:tcW w:w="670" w:type="dxa"/>
            <w:shd w:val="clear" w:color="auto" w:fill="auto"/>
          </w:tcPr>
          <w:p w:rsidR="00CD04C1" w:rsidRPr="00B713EE" w:rsidRDefault="00CD04C1" w:rsidP="0040210E">
            <w:pPr>
              <w:spacing w:before="40" w:after="100" w:line="220" w:lineRule="atLeast"/>
              <w:ind w:right="113"/>
            </w:pPr>
            <w:r w:rsidRPr="00B713EE">
              <w:t>31</w:t>
            </w:r>
          </w:p>
        </w:tc>
        <w:tc>
          <w:tcPr>
            <w:tcW w:w="1470" w:type="dxa"/>
            <w:shd w:val="clear" w:color="auto" w:fill="auto"/>
          </w:tcPr>
          <w:p w:rsidR="00CD04C1" w:rsidRPr="00B713EE" w:rsidRDefault="00CD04C1" w:rsidP="0040210E">
            <w:pPr>
              <w:spacing w:before="40" w:after="100" w:line="220" w:lineRule="atLeast"/>
              <w:ind w:right="113"/>
            </w:pPr>
            <w:r w:rsidRPr="00B713EE">
              <w:t>Secrétariat</w:t>
            </w:r>
          </w:p>
        </w:tc>
        <w:tc>
          <w:tcPr>
            <w:tcW w:w="803" w:type="dxa"/>
            <w:shd w:val="clear" w:color="auto" w:fill="auto"/>
          </w:tcPr>
          <w:p w:rsidR="00CD04C1" w:rsidRPr="00B713EE" w:rsidRDefault="00CD04C1" w:rsidP="0040210E">
            <w:pPr>
              <w:spacing w:before="40" w:after="100" w:line="220" w:lineRule="atLeast"/>
              <w:ind w:right="113"/>
            </w:pPr>
            <w:r w:rsidRPr="00B713EE">
              <w:t>2.4</w:t>
            </w:r>
          </w:p>
        </w:tc>
        <w:tc>
          <w:tcPr>
            <w:tcW w:w="668" w:type="dxa"/>
            <w:shd w:val="clear" w:color="auto" w:fill="auto"/>
          </w:tcPr>
          <w:p w:rsidR="00CD04C1" w:rsidRPr="00B713EE" w:rsidRDefault="00CD04C1" w:rsidP="0040210E">
            <w:pPr>
              <w:spacing w:before="40" w:after="100" w:line="220" w:lineRule="atLeast"/>
              <w:ind w:right="113"/>
            </w:pPr>
            <w:r w:rsidRPr="00B713EE">
              <w:t>E</w:t>
            </w:r>
          </w:p>
        </w:tc>
        <w:tc>
          <w:tcPr>
            <w:tcW w:w="3207" w:type="dxa"/>
            <w:shd w:val="clear" w:color="auto" w:fill="auto"/>
          </w:tcPr>
          <w:p w:rsidR="00CD04C1" w:rsidRPr="00B713EE" w:rsidRDefault="00CD04C1" w:rsidP="0040210E">
            <w:pPr>
              <w:spacing w:before="40" w:after="100" w:line="220" w:lineRule="atLeast"/>
              <w:ind w:right="113"/>
            </w:pPr>
            <w:r w:rsidRPr="00B713EE">
              <w:t>Inland Transport Committee Strategy</w:t>
            </w:r>
          </w:p>
        </w:tc>
        <w:tc>
          <w:tcPr>
            <w:tcW w:w="552" w:type="dxa"/>
            <w:shd w:val="clear" w:color="auto" w:fill="auto"/>
          </w:tcPr>
          <w:p w:rsidR="00CD04C1" w:rsidRPr="00B713EE" w:rsidRDefault="00CD04C1" w:rsidP="0040210E">
            <w:pPr>
              <w:spacing w:before="40" w:after="100" w:line="220" w:lineRule="atLeast"/>
              <w:ind w:right="113"/>
            </w:pPr>
            <w:r w:rsidRPr="00B713EE">
              <w:t>a)</w:t>
            </w:r>
          </w:p>
        </w:tc>
      </w:tr>
      <w:tr w:rsidR="00CD04C1" w:rsidRPr="00B713EE" w:rsidTr="00A74844">
        <w:trPr>
          <w:cantSplit/>
        </w:trPr>
        <w:tc>
          <w:tcPr>
            <w:tcW w:w="670" w:type="dxa"/>
            <w:shd w:val="clear" w:color="auto" w:fill="auto"/>
          </w:tcPr>
          <w:p w:rsidR="00CD04C1" w:rsidRPr="00B713EE" w:rsidRDefault="00CD04C1" w:rsidP="0040210E">
            <w:pPr>
              <w:spacing w:before="40" w:after="100" w:line="220" w:lineRule="atLeast"/>
              <w:ind w:right="113"/>
            </w:pPr>
            <w:r w:rsidRPr="00B713EE">
              <w:t>32</w:t>
            </w:r>
          </w:p>
        </w:tc>
        <w:tc>
          <w:tcPr>
            <w:tcW w:w="1470" w:type="dxa"/>
            <w:shd w:val="clear" w:color="auto" w:fill="auto"/>
          </w:tcPr>
          <w:p w:rsidR="00CD04C1" w:rsidRPr="00B713EE" w:rsidRDefault="00CD04C1" w:rsidP="0040210E">
            <w:pPr>
              <w:spacing w:before="40" w:after="100" w:line="220" w:lineRule="atLeast"/>
              <w:ind w:right="113"/>
            </w:pPr>
            <w:r w:rsidRPr="00B713EE">
              <w:t>Secrétariat</w:t>
            </w:r>
          </w:p>
        </w:tc>
        <w:tc>
          <w:tcPr>
            <w:tcW w:w="803" w:type="dxa"/>
            <w:shd w:val="clear" w:color="auto" w:fill="auto"/>
          </w:tcPr>
          <w:p w:rsidR="00CD04C1" w:rsidRPr="00B713EE" w:rsidRDefault="00CD04C1" w:rsidP="0040210E">
            <w:pPr>
              <w:spacing w:before="40" w:after="100" w:line="220" w:lineRule="atLeast"/>
              <w:ind w:right="113"/>
            </w:pPr>
            <w:r w:rsidRPr="00B713EE">
              <w:t>2.4</w:t>
            </w:r>
          </w:p>
        </w:tc>
        <w:tc>
          <w:tcPr>
            <w:tcW w:w="668" w:type="dxa"/>
            <w:shd w:val="clear" w:color="auto" w:fill="auto"/>
          </w:tcPr>
          <w:p w:rsidR="00CD04C1" w:rsidRPr="00B713EE" w:rsidRDefault="00CD04C1" w:rsidP="0040210E">
            <w:pPr>
              <w:spacing w:before="40" w:after="100" w:line="220" w:lineRule="atLeast"/>
              <w:ind w:right="113"/>
            </w:pPr>
            <w:r w:rsidRPr="00B713EE">
              <w:t>E</w:t>
            </w:r>
          </w:p>
        </w:tc>
        <w:tc>
          <w:tcPr>
            <w:tcW w:w="3207" w:type="dxa"/>
            <w:shd w:val="clear" w:color="auto" w:fill="auto"/>
          </w:tcPr>
          <w:p w:rsidR="00CD04C1" w:rsidRPr="00567416" w:rsidRDefault="00CD04C1" w:rsidP="0040210E">
            <w:pPr>
              <w:spacing w:before="40" w:after="100" w:line="220" w:lineRule="atLeast"/>
              <w:ind w:right="113"/>
              <w:rPr>
                <w:lang w:val="en-US"/>
              </w:rPr>
            </w:pPr>
            <w:r w:rsidRPr="00567416">
              <w:rPr>
                <w:lang w:val="en-US"/>
              </w:rPr>
              <w:t>ITC List of main decisions</w:t>
            </w:r>
          </w:p>
        </w:tc>
        <w:tc>
          <w:tcPr>
            <w:tcW w:w="552" w:type="dxa"/>
            <w:shd w:val="clear" w:color="auto" w:fill="auto"/>
          </w:tcPr>
          <w:p w:rsidR="00CD04C1" w:rsidRPr="00B713EE" w:rsidRDefault="00CD04C1" w:rsidP="0040210E">
            <w:pPr>
              <w:spacing w:before="40" w:after="100" w:line="220" w:lineRule="atLeast"/>
              <w:ind w:right="113"/>
            </w:pPr>
            <w:r w:rsidRPr="00B713EE">
              <w:t>a)</w:t>
            </w:r>
          </w:p>
        </w:tc>
      </w:tr>
      <w:tr w:rsidR="00CD04C1" w:rsidRPr="00B713EE" w:rsidTr="00A74844">
        <w:trPr>
          <w:cantSplit/>
        </w:trPr>
        <w:tc>
          <w:tcPr>
            <w:tcW w:w="670" w:type="dxa"/>
            <w:shd w:val="clear" w:color="auto" w:fill="auto"/>
          </w:tcPr>
          <w:p w:rsidR="00CD04C1" w:rsidRPr="00B713EE" w:rsidRDefault="00CD04C1" w:rsidP="0040210E">
            <w:pPr>
              <w:spacing w:before="40" w:after="100" w:line="220" w:lineRule="atLeast"/>
              <w:ind w:right="113"/>
            </w:pPr>
            <w:r w:rsidRPr="00B713EE">
              <w:t>33</w:t>
            </w:r>
          </w:p>
        </w:tc>
        <w:tc>
          <w:tcPr>
            <w:tcW w:w="1470" w:type="dxa"/>
            <w:shd w:val="clear" w:color="auto" w:fill="auto"/>
          </w:tcPr>
          <w:p w:rsidR="00CD04C1" w:rsidRPr="00B713EE" w:rsidRDefault="00CD04C1" w:rsidP="0040210E">
            <w:pPr>
              <w:spacing w:before="40" w:after="100" w:line="220" w:lineRule="atLeast"/>
              <w:ind w:right="113"/>
            </w:pPr>
            <w:r w:rsidRPr="00B713EE">
              <w:t xml:space="preserve">GTI du RTM sur la sécurité des véhicules électriques </w:t>
            </w:r>
          </w:p>
        </w:tc>
        <w:tc>
          <w:tcPr>
            <w:tcW w:w="803" w:type="dxa"/>
            <w:shd w:val="clear" w:color="auto" w:fill="auto"/>
          </w:tcPr>
          <w:p w:rsidR="00CD04C1" w:rsidRPr="00B713EE" w:rsidRDefault="00CD04C1" w:rsidP="0040210E">
            <w:pPr>
              <w:spacing w:before="40" w:after="100" w:line="220" w:lineRule="atLeast"/>
              <w:ind w:right="113"/>
            </w:pPr>
            <w:r w:rsidRPr="00B713EE">
              <w:t>18.9</w:t>
            </w:r>
          </w:p>
        </w:tc>
        <w:tc>
          <w:tcPr>
            <w:tcW w:w="668" w:type="dxa"/>
            <w:shd w:val="clear" w:color="auto" w:fill="auto"/>
          </w:tcPr>
          <w:p w:rsidR="00CD04C1" w:rsidRPr="00B713EE" w:rsidRDefault="00CD04C1" w:rsidP="0040210E">
            <w:pPr>
              <w:spacing w:before="40" w:after="100" w:line="220" w:lineRule="atLeast"/>
              <w:ind w:right="113"/>
            </w:pPr>
            <w:r w:rsidRPr="00B713EE">
              <w:t>E</w:t>
            </w:r>
          </w:p>
        </w:tc>
        <w:tc>
          <w:tcPr>
            <w:tcW w:w="3207" w:type="dxa"/>
            <w:shd w:val="clear" w:color="auto" w:fill="auto"/>
          </w:tcPr>
          <w:p w:rsidR="00CD04C1" w:rsidRPr="00567416" w:rsidRDefault="00CD04C1" w:rsidP="0040210E">
            <w:pPr>
              <w:spacing w:before="40" w:after="100" w:line="220" w:lineRule="atLeast"/>
              <w:ind w:right="113"/>
              <w:rPr>
                <w:lang w:val="en-US"/>
              </w:rPr>
            </w:pPr>
            <w:r w:rsidRPr="00567416">
              <w:rPr>
                <w:lang w:val="en-US"/>
              </w:rPr>
              <w:t>Electric Vehicle Safety Global Technical Regulation (EVS GTR)</w:t>
            </w:r>
          </w:p>
        </w:tc>
        <w:tc>
          <w:tcPr>
            <w:tcW w:w="552" w:type="dxa"/>
            <w:shd w:val="clear" w:color="auto" w:fill="auto"/>
          </w:tcPr>
          <w:p w:rsidR="00CD04C1" w:rsidRPr="00B713EE" w:rsidRDefault="00CD04C1" w:rsidP="0040210E">
            <w:pPr>
              <w:spacing w:before="40" w:after="100" w:line="220" w:lineRule="atLeast"/>
              <w:ind w:right="113"/>
            </w:pPr>
            <w:r w:rsidRPr="00B713EE">
              <w:t>d)</w:t>
            </w:r>
          </w:p>
        </w:tc>
      </w:tr>
      <w:tr w:rsidR="00CD04C1" w:rsidRPr="00B713EE" w:rsidTr="00A74844">
        <w:trPr>
          <w:cantSplit/>
        </w:trPr>
        <w:tc>
          <w:tcPr>
            <w:tcW w:w="670" w:type="dxa"/>
            <w:shd w:val="clear" w:color="auto" w:fill="auto"/>
          </w:tcPr>
          <w:p w:rsidR="00CD04C1" w:rsidRPr="00B713EE" w:rsidRDefault="00CD04C1" w:rsidP="0040210E">
            <w:pPr>
              <w:spacing w:before="40" w:after="100" w:line="220" w:lineRule="atLeast"/>
              <w:ind w:right="113"/>
            </w:pPr>
            <w:r w:rsidRPr="00B713EE">
              <w:t>34</w:t>
            </w:r>
          </w:p>
        </w:tc>
        <w:tc>
          <w:tcPr>
            <w:tcW w:w="1470" w:type="dxa"/>
            <w:shd w:val="clear" w:color="auto" w:fill="auto"/>
          </w:tcPr>
          <w:p w:rsidR="00CD04C1" w:rsidRPr="00B713EE" w:rsidRDefault="00CD04C1" w:rsidP="0040210E">
            <w:pPr>
              <w:spacing w:before="40" w:after="100" w:line="220" w:lineRule="atLeast"/>
              <w:ind w:right="113"/>
            </w:pPr>
            <w:r w:rsidRPr="00B713EE">
              <w:t>Japon</w:t>
            </w:r>
          </w:p>
        </w:tc>
        <w:tc>
          <w:tcPr>
            <w:tcW w:w="803" w:type="dxa"/>
            <w:shd w:val="clear" w:color="auto" w:fill="auto"/>
          </w:tcPr>
          <w:p w:rsidR="00CD04C1" w:rsidRPr="00B713EE" w:rsidRDefault="00CD04C1" w:rsidP="0040210E">
            <w:pPr>
              <w:spacing w:before="40" w:after="100" w:line="220" w:lineRule="atLeast"/>
              <w:ind w:right="113"/>
            </w:pPr>
            <w:r w:rsidRPr="00B713EE">
              <w:t>4.7.3</w:t>
            </w:r>
          </w:p>
        </w:tc>
        <w:tc>
          <w:tcPr>
            <w:tcW w:w="668" w:type="dxa"/>
            <w:shd w:val="clear" w:color="auto" w:fill="auto"/>
          </w:tcPr>
          <w:p w:rsidR="00CD04C1" w:rsidRPr="00B713EE" w:rsidRDefault="00CD04C1" w:rsidP="0040210E">
            <w:pPr>
              <w:spacing w:before="40" w:after="100" w:line="220" w:lineRule="atLeast"/>
              <w:ind w:right="113"/>
            </w:pPr>
            <w:r w:rsidRPr="00B713EE">
              <w:t>E</w:t>
            </w:r>
          </w:p>
        </w:tc>
        <w:tc>
          <w:tcPr>
            <w:tcW w:w="3207" w:type="dxa"/>
            <w:shd w:val="clear" w:color="auto" w:fill="auto"/>
          </w:tcPr>
          <w:p w:rsidR="00CD04C1" w:rsidRPr="00567416" w:rsidRDefault="00CD04C1" w:rsidP="0040210E">
            <w:pPr>
              <w:spacing w:before="40" w:after="100" w:line="220" w:lineRule="atLeast"/>
              <w:ind w:right="113"/>
              <w:rPr>
                <w:lang w:val="en-US"/>
              </w:rPr>
            </w:pPr>
            <w:r w:rsidRPr="00567416">
              <w:rPr>
                <w:lang w:val="en-US"/>
              </w:rPr>
              <w:t>Concern about the transitional provisions of the amendment to UN Regulation No. 79 for all vehicles</w:t>
            </w:r>
          </w:p>
        </w:tc>
        <w:tc>
          <w:tcPr>
            <w:tcW w:w="552" w:type="dxa"/>
            <w:shd w:val="clear" w:color="auto" w:fill="auto"/>
          </w:tcPr>
          <w:p w:rsidR="00CD04C1" w:rsidRPr="00B713EE" w:rsidRDefault="00CD04C1" w:rsidP="0040210E">
            <w:pPr>
              <w:spacing w:before="40" w:after="100" w:line="220" w:lineRule="atLeast"/>
              <w:ind w:right="113"/>
            </w:pPr>
            <w:r w:rsidRPr="00B713EE">
              <w:t>a)</w:t>
            </w:r>
          </w:p>
        </w:tc>
      </w:tr>
      <w:tr w:rsidR="00CD04C1" w:rsidRPr="00B713EE" w:rsidTr="00A74844">
        <w:trPr>
          <w:cantSplit/>
        </w:trPr>
        <w:tc>
          <w:tcPr>
            <w:tcW w:w="670" w:type="dxa"/>
            <w:shd w:val="clear" w:color="auto" w:fill="auto"/>
          </w:tcPr>
          <w:p w:rsidR="00CD04C1" w:rsidRPr="00B713EE" w:rsidRDefault="00CD04C1" w:rsidP="0040210E">
            <w:pPr>
              <w:spacing w:before="40" w:after="100" w:line="220" w:lineRule="atLeast"/>
              <w:ind w:right="113"/>
            </w:pPr>
            <w:r w:rsidRPr="00B713EE">
              <w:t>35</w:t>
            </w:r>
          </w:p>
        </w:tc>
        <w:tc>
          <w:tcPr>
            <w:tcW w:w="1470" w:type="dxa"/>
            <w:shd w:val="clear" w:color="auto" w:fill="auto"/>
          </w:tcPr>
          <w:p w:rsidR="00CD04C1" w:rsidRPr="00B713EE" w:rsidRDefault="00CD04C1" w:rsidP="0040210E">
            <w:pPr>
              <w:spacing w:before="40" w:after="100" w:line="220" w:lineRule="atLeast"/>
              <w:ind w:right="113"/>
            </w:pPr>
            <w:r w:rsidRPr="00B713EE">
              <w:t xml:space="preserve">Commission économique eurasienne </w:t>
            </w:r>
          </w:p>
        </w:tc>
        <w:tc>
          <w:tcPr>
            <w:tcW w:w="803" w:type="dxa"/>
            <w:shd w:val="clear" w:color="auto" w:fill="auto"/>
          </w:tcPr>
          <w:p w:rsidR="00CD04C1" w:rsidRPr="00B713EE" w:rsidRDefault="00CD04C1" w:rsidP="0040210E">
            <w:pPr>
              <w:spacing w:before="40" w:after="100" w:line="220" w:lineRule="atLeast"/>
              <w:ind w:right="113"/>
            </w:pPr>
          </w:p>
        </w:tc>
        <w:tc>
          <w:tcPr>
            <w:tcW w:w="668" w:type="dxa"/>
            <w:shd w:val="clear" w:color="auto" w:fill="auto"/>
          </w:tcPr>
          <w:p w:rsidR="00CD04C1" w:rsidRPr="00B713EE" w:rsidRDefault="00CD04C1" w:rsidP="0040210E">
            <w:pPr>
              <w:spacing w:before="40" w:after="100" w:line="220" w:lineRule="atLeast"/>
              <w:ind w:right="113"/>
            </w:pPr>
            <w:r w:rsidRPr="00B713EE">
              <w:t>E</w:t>
            </w:r>
          </w:p>
        </w:tc>
        <w:tc>
          <w:tcPr>
            <w:tcW w:w="3207" w:type="dxa"/>
            <w:shd w:val="clear" w:color="auto" w:fill="auto"/>
          </w:tcPr>
          <w:p w:rsidR="00CD04C1" w:rsidRPr="00B713EE" w:rsidRDefault="00CD04C1" w:rsidP="0040210E">
            <w:pPr>
              <w:spacing w:before="40" w:after="100" w:line="220" w:lineRule="atLeast"/>
              <w:ind w:right="113"/>
            </w:pPr>
            <w:r w:rsidRPr="00B713EE">
              <w:t>Highlights of the speech</w:t>
            </w:r>
          </w:p>
        </w:tc>
        <w:tc>
          <w:tcPr>
            <w:tcW w:w="552" w:type="dxa"/>
            <w:shd w:val="clear" w:color="auto" w:fill="auto"/>
          </w:tcPr>
          <w:p w:rsidR="00CD04C1" w:rsidRPr="00B713EE" w:rsidRDefault="00CD04C1" w:rsidP="0040210E">
            <w:pPr>
              <w:spacing w:before="40" w:after="100" w:line="220" w:lineRule="atLeast"/>
              <w:ind w:right="113"/>
            </w:pPr>
            <w:r w:rsidRPr="00B713EE">
              <w:t>a)</w:t>
            </w:r>
          </w:p>
        </w:tc>
      </w:tr>
      <w:tr w:rsidR="00CD04C1" w:rsidRPr="00B713EE" w:rsidTr="00A74844">
        <w:trPr>
          <w:cantSplit/>
        </w:trPr>
        <w:tc>
          <w:tcPr>
            <w:tcW w:w="670" w:type="dxa"/>
            <w:shd w:val="clear" w:color="auto" w:fill="auto"/>
          </w:tcPr>
          <w:p w:rsidR="00CD04C1" w:rsidRPr="00B713EE" w:rsidRDefault="00CD04C1" w:rsidP="0040210E">
            <w:pPr>
              <w:spacing w:before="40" w:after="100" w:line="220" w:lineRule="atLeast"/>
              <w:ind w:right="113"/>
            </w:pPr>
            <w:r w:rsidRPr="00B713EE">
              <w:t>36</w:t>
            </w:r>
          </w:p>
        </w:tc>
        <w:tc>
          <w:tcPr>
            <w:tcW w:w="1470" w:type="dxa"/>
            <w:shd w:val="clear" w:color="auto" w:fill="auto"/>
          </w:tcPr>
          <w:p w:rsidR="00CD04C1" w:rsidRPr="00B713EE" w:rsidRDefault="00CD04C1" w:rsidP="0040210E">
            <w:pPr>
              <w:spacing w:before="40" w:after="100" w:line="220" w:lineRule="atLeast"/>
              <w:ind w:right="113"/>
            </w:pPr>
            <w:r w:rsidRPr="00B713EE">
              <w:t>Malaisie</w:t>
            </w:r>
          </w:p>
        </w:tc>
        <w:tc>
          <w:tcPr>
            <w:tcW w:w="803" w:type="dxa"/>
            <w:shd w:val="clear" w:color="auto" w:fill="auto"/>
          </w:tcPr>
          <w:p w:rsidR="00CD04C1" w:rsidRPr="00B713EE" w:rsidRDefault="00CD04C1" w:rsidP="0040210E">
            <w:pPr>
              <w:spacing w:before="40" w:after="100" w:line="220" w:lineRule="atLeast"/>
              <w:ind w:right="113"/>
            </w:pPr>
          </w:p>
        </w:tc>
        <w:tc>
          <w:tcPr>
            <w:tcW w:w="668" w:type="dxa"/>
            <w:shd w:val="clear" w:color="auto" w:fill="auto"/>
          </w:tcPr>
          <w:p w:rsidR="00CD04C1" w:rsidRPr="00B713EE" w:rsidRDefault="00CD04C1" w:rsidP="0040210E">
            <w:pPr>
              <w:spacing w:before="40" w:after="100" w:line="220" w:lineRule="atLeast"/>
              <w:ind w:right="113"/>
            </w:pPr>
            <w:r w:rsidRPr="00B713EE">
              <w:t>E</w:t>
            </w:r>
          </w:p>
        </w:tc>
        <w:tc>
          <w:tcPr>
            <w:tcW w:w="3207" w:type="dxa"/>
            <w:shd w:val="clear" w:color="auto" w:fill="auto"/>
          </w:tcPr>
          <w:p w:rsidR="00CD04C1" w:rsidRPr="00B713EE" w:rsidRDefault="00CD04C1" w:rsidP="0040210E">
            <w:pPr>
              <w:spacing w:before="40" w:after="100" w:line="220" w:lineRule="atLeast"/>
              <w:ind w:right="113"/>
            </w:pPr>
            <w:r w:rsidRPr="00B713EE">
              <w:t>Highlights of the speech</w:t>
            </w:r>
          </w:p>
        </w:tc>
        <w:tc>
          <w:tcPr>
            <w:tcW w:w="552" w:type="dxa"/>
            <w:shd w:val="clear" w:color="auto" w:fill="auto"/>
          </w:tcPr>
          <w:p w:rsidR="00CD04C1" w:rsidRPr="00B713EE" w:rsidRDefault="00CD04C1" w:rsidP="0040210E">
            <w:pPr>
              <w:spacing w:before="40" w:after="100" w:line="220" w:lineRule="atLeast"/>
              <w:ind w:right="113"/>
            </w:pPr>
            <w:r w:rsidRPr="00B713EE">
              <w:t>a)</w:t>
            </w:r>
          </w:p>
        </w:tc>
      </w:tr>
      <w:tr w:rsidR="00CD04C1" w:rsidRPr="00B713EE" w:rsidTr="00A74844">
        <w:trPr>
          <w:cantSplit/>
        </w:trPr>
        <w:tc>
          <w:tcPr>
            <w:tcW w:w="670" w:type="dxa"/>
            <w:tcBorders>
              <w:bottom w:val="single" w:sz="12" w:space="0" w:color="auto"/>
            </w:tcBorders>
            <w:shd w:val="clear" w:color="auto" w:fill="auto"/>
          </w:tcPr>
          <w:p w:rsidR="00CD04C1" w:rsidRPr="00B713EE" w:rsidRDefault="00CD04C1" w:rsidP="0040210E">
            <w:pPr>
              <w:spacing w:before="40" w:after="100" w:line="220" w:lineRule="atLeast"/>
              <w:ind w:right="113"/>
            </w:pPr>
            <w:r w:rsidRPr="00B713EE">
              <w:t>37</w:t>
            </w:r>
          </w:p>
        </w:tc>
        <w:tc>
          <w:tcPr>
            <w:tcW w:w="1470" w:type="dxa"/>
            <w:tcBorders>
              <w:bottom w:val="single" w:sz="12" w:space="0" w:color="auto"/>
            </w:tcBorders>
            <w:shd w:val="clear" w:color="auto" w:fill="auto"/>
          </w:tcPr>
          <w:p w:rsidR="00CD04C1" w:rsidRPr="00B713EE" w:rsidRDefault="00CD04C1" w:rsidP="0040210E">
            <w:pPr>
              <w:spacing w:before="40" w:after="100" w:line="220" w:lineRule="atLeast"/>
              <w:ind w:right="113"/>
            </w:pPr>
            <w:r w:rsidRPr="00B713EE">
              <w:t xml:space="preserve">Organisation mondiale </w:t>
            </w:r>
            <w:r w:rsidR="00F01852">
              <w:br/>
            </w:r>
            <w:r w:rsidRPr="00B713EE">
              <w:t xml:space="preserve">de la </w:t>
            </w:r>
            <w:r w:rsidR="00F01852">
              <w:t>S</w:t>
            </w:r>
            <w:r w:rsidRPr="00B713EE">
              <w:t>anté</w:t>
            </w:r>
          </w:p>
        </w:tc>
        <w:tc>
          <w:tcPr>
            <w:tcW w:w="803" w:type="dxa"/>
            <w:tcBorders>
              <w:bottom w:val="single" w:sz="12" w:space="0" w:color="auto"/>
            </w:tcBorders>
            <w:shd w:val="clear" w:color="auto" w:fill="auto"/>
          </w:tcPr>
          <w:p w:rsidR="00CD04C1" w:rsidRPr="00B713EE" w:rsidRDefault="00CD04C1" w:rsidP="0040210E">
            <w:pPr>
              <w:spacing w:before="40" w:after="100" w:line="220" w:lineRule="atLeast"/>
              <w:ind w:right="113"/>
            </w:pPr>
            <w:r w:rsidRPr="00B713EE">
              <w:t>8.4</w:t>
            </w:r>
          </w:p>
        </w:tc>
        <w:tc>
          <w:tcPr>
            <w:tcW w:w="668" w:type="dxa"/>
            <w:tcBorders>
              <w:bottom w:val="single" w:sz="12" w:space="0" w:color="auto"/>
            </w:tcBorders>
            <w:shd w:val="clear" w:color="auto" w:fill="auto"/>
          </w:tcPr>
          <w:p w:rsidR="00CD04C1" w:rsidRPr="00B713EE" w:rsidRDefault="00CD04C1" w:rsidP="0040210E">
            <w:pPr>
              <w:spacing w:before="40" w:after="100" w:line="220" w:lineRule="atLeast"/>
              <w:ind w:right="113"/>
            </w:pPr>
            <w:r w:rsidRPr="00B713EE">
              <w:t>E</w:t>
            </w:r>
          </w:p>
        </w:tc>
        <w:tc>
          <w:tcPr>
            <w:tcW w:w="3207" w:type="dxa"/>
            <w:tcBorders>
              <w:bottom w:val="single" w:sz="12" w:space="0" w:color="auto"/>
            </w:tcBorders>
            <w:shd w:val="clear" w:color="auto" w:fill="auto"/>
          </w:tcPr>
          <w:p w:rsidR="00CD04C1" w:rsidRPr="00B16631" w:rsidRDefault="00CD04C1" w:rsidP="0040210E">
            <w:pPr>
              <w:spacing w:before="40" w:after="100" w:line="220" w:lineRule="atLeast"/>
              <w:ind w:right="113"/>
              <w:rPr>
                <w:lang w:val="en-US"/>
              </w:rPr>
            </w:pPr>
            <w:r w:rsidRPr="00B16631">
              <w:rPr>
                <w:lang w:val="en-US"/>
              </w:rPr>
              <w:t>Developing global targets &amp; indicators for road safety -Process and Progress</w:t>
            </w:r>
          </w:p>
        </w:tc>
        <w:tc>
          <w:tcPr>
            <w:tcW w:w="552" w:type="dxa"/>
            <w:tcBorders>
              <w:bottom w:val="single" w:sz="12" w:space="0" w:color="auto"/>
            </w:tcBorders>
            <w:shd w:val="clear" w:color="auto" w:fill="auto"/>
          </w:tcPr>
          <w:p w:rsidR="00CD04C1" w:rsidRPr="00B713EE" w:rsidRDefault="00CD04C1" w:rsidP="0040210E">
            <w:pPr>
              <w:spacing w:before="40" w:after="100" w:line="220" w:lineRule="atLeast"/>
              <w:ind w:right="113"/>
            </w:pPr>
            <w:r w:rsidRPr="00B713EE">
              <w:t>a)</w:t>
            </w:r>
          </w:p>
        </w:tc>
      </w:tr>
    </w:tbl>
    <w:p w:rsidR="00CD04C1" w:rsidRPr="00B713EE" w:rsidRDefault="00CD04C1" w:rsidP="00B713EE">
      <w:pPr>
        <w:spacing w:before="120"/>
        <w:ind w:left="1134" w:firstLine="170"/>
        <w:rPr>
          <w:i/>
          <w:sz w:val="18"/>
          <w:szCs w:val="18"/>
        </w:rPr>
      </w:pPr>
      <w:r w:rsidRPr="00B713EE">
        <w:rPr>
          <w:i/>
          <w:sz w:val="18"/>
          <w:szCs w:val="18"/>
        </w:rPr>
        <w:t>Notes</w:t>
      </w:r>
      <w:r w:rsidR="001F7EFD" w:rsidRPr="00B713EE">
        <w:rPr>
          <w:sz w:val="18"/>
          <w:szCs w:val="18"/>
        </w:rPr>
        <w:t> :</w:t>
      </w:r>
    </w:p>
    <w:p w:rsidR="00CD04C1" w:rsidRPr="00B713EE" w:rsidRDefault="00CD04C1" w:rsidP="00B713EE">
      <w:pPr>
        <w:ind w:left="1134" w:firstLine="170"/>
        <w:rPr>
          <w:sz w:val="18"/>
          <w:szCs w:val="18"/>
        </w:rPr>
      </w:pPr>
      <w:r w:rsidRPr="00B713EE">
        <w:rPr>
          <w:sz w:val="18"/>
          <w:szCs w:val="18"/>
        </w:rPr>
        <w:t>a)</w:t>
      </w:r>
      <w:r w:rsidR="00B1602D" w:rsidRPr="00B713EE">
        <w:rPr>
          <w:sz w:val="18"/>
          <w:szCs w:val="18"/>
        </w:rPr>
        <w:t xml:space="preserve">  </w:t>
      </w:r>
      <w:r w:rsidRPr="00B713EE">
        <w:rPr>
          <w:sz w:val="18"/>
          <w:szCs w:val="18"/>
        </w:rPr>
        <w:t>Document dont l</w:t>
      </w:r>
      <w:r w:rsidR="007C2F80">
        <w:rPr>
          <w:sz w:val="18"/>
          <w:szCs w:val="18"/>
        </w:rPr>
        <w:t>’</w:t>
      </w:r>
      <w:r w:rsidRPr="00B713EE">
        <w:rPr>
          <w:sz w:val="18"/>
          <w:szCs w:val="18"/>
        </w:rPr>
        <w:t>examen est achevé ou qui doit être remplacé.</w:t>
      </w:r>
    </w:p>
    <w:p w:rsidR="00CD04C1" w:rsidRPr="00B713EE" w:rsidRDefault="00CD04C1" w:rsidP="00B713EE">
      <w:pPr>
        <w:ind w:left="1134" w:firstLine="170"/>
        <w:rPr>
          <w:sz w:val="18"/>
          <w:szCs w:val="18"/>
        </w:rPr>
      </w:pPr>
      <w:r w:rsidRPr="00B713EE">
        <w:rPr>
          <w:sz w:val="18"/>
          <w:szCs w:val="18"/>
        </w:rPr>
        <w:t>b)</w:t>
      </w:r>
      <w:r w:rsidR="00B1602D" w:rsidRPr="00B713EE">
        <w:rPr>
          <w:sz w:val="18"/>
          <w:szCs w:val="18"/>
        </w:rPr>
        <w:t xml:space="preserve">  </w:t>
      </w:r>
      <w:r w:rsidRPr="00B713EE">
        <w:rPr>
          <w:sz w:val="18"/>
          <w:szCs w:val="18"/>
        </w:rPr>
        <w:t>Document adopté.</w:t>
      </w:r>
    </w:p>
    <w:p w:rsidR="00CD04C1" w:rsidRPr="00B713EE" w:rsidRDefault="00CD04C1" w:rsidP="00B713EE">
      <w:pPr>
        <w:ind w:left="1134" w:firstLine="170"/>
        <w:rPr>
          <w:sz w:val="18"/>
          <w:szCs w:val="18"/>
        </w:rPr>
      </w:pPr>
      <w:r w:rsidRPr="00B713EE">
        <w:rPr>
          <w:sz w:val="18"/>
          <w:szCs w:val="18"/>
        </w:rPr>
        <w:t>c)</w:t>
      </w:r>
      <w:r w:rsidR="00B1602D" w:rsidRPr="00B713EE">
        <w:rPr>
          <w:sz w:val="18"/>
          <w:szCs w:val="18"/>
        </w:rPr>
        <w:t xml:space="preserve">  </w:t>
      </w:r>
      <w:r w:rsidRPr="00B713EE">
        <w:rPr>
          <w:sz w:val="18"/>
          <w:szCs w:val="18"/>
        </w:rPr>
        <w:t>Document dont l</w:t>
      </w:r>
      <w:r w:rsidR="007C2F80">
        <w:rPr>
          <w:sz w:val="18"/>
          <w:szCs w:val="18"/>
        </w:rPr>
        <w:t>’</w:t>
      </w:r>
      <w:r w:rsidRPr="00B713EE">
        <w:rPr>
          <w:sz w:val="18"/>
          <w:szCs w:val="18"/>
        </w:rPr>
        <w:t>examen sera poursuivi à la session suivante, sans cote officielle.</w:t>
      </w:r>
    </w:p>
    <w:p w:rsidR="00CD04C1" w:rsidRPr="00B713EE" w:rsidRDefault="00CD04C1" w:rsidP="00B713EE">
      <w:pPr>
        <w:ind w:left="1134" w:firstLine="170"/>
        <w:rPr>
          <w:sz w:val="18"/>
          <w:szCs w:val="18"/>
        </w:rPr>
      </w:pPr>
      <w:r w:rsidRPr="00B713EE">
        <w:rPr>
          <w:sz w:val="18"/>
          <w:szCs w:val="18"/>
        </w:rPr>
        <w:t>d)</w:t>
      </w:r>
      <w:r w:rsidR="00B1602D" w:rsidRPr="00B713EE">
        <w:rPr>
          <w:sz w:val="18"/>
          <w:szCs w:val="18"/>
        </w:rPr>
        <w:t xml:space="preserve">  </w:t>
      </w:r>
      <w:r w:rsidRPr="00B713EE">
        <w:rPr>
          <w:sz w:val="18"/>
          <w:szCs w:val="18"/>
        </w:rPr>
        <w:t>Document dont l</w:t>
      </w:r>
      <w:r w:rsidR="007C2F80">
        <w:rPr>
          <w:sz w:val="18"/>
          <w:szCs w:val="18"/>
        </w:rPr>
        <w:t>’</w:t>
      </w:r>
      <w:r w:rsidRPr="00B713EE">
        <w:rPr>
          <w:sz w:val="18"/>
          <w:szCs w:val="18"/>
        </w:rPr>
        <w:t>examen sera poursuivi à la session suivante, sous une cote officielle.</w:t>
      </w:r>
    </w:p>
    <w:p w:rsidR="00B1602D" w:rsidRPr="00B713EE" w:rsidRDefault="00B1602D" w:rsidP="00B713EE">
      <w:pPr>
        <w:ind w:left="1134" w:firstLine="170"/>
        <w:rPr>
          <w:sz w:val="22"/>
          <w:szCs w:val="22"/>
        </w:rPr>
      </w:pPr>
      <w:r w:rsidRPr="00B713EE">
        <w:rPr>
          <w:sz w:val="18"/>
          <w:szCs w:val="18"/>
        </w:rPr>
        <w:t xml:space="preserve">e)  </w:t>
      </w:r>
      <w:r w:rsidR="00CD04C1" w:rsidRPr="00B713EE">
        <w:rPr>
          <w:sz w:val="18"/>
          <w:szCs w:val="18"/>
        </w:rPr>
        <w:t>Document renvoyé au groupe de travail responsable pour examen.</w:t>
      </w:r>
      <w:r w:rsidR="00CD04C1" w:rsidRPr="00B713EE">
        <w:rPr>
          <w:sz w:val="22"/>
          <w:szCs w:val="22"/>
        </w:rPr>
        <w:t xml:space="preserve"> </w:t>
      </w:r>
    </w:p>
    <w:p w:rsidR="00CD04C1" w:rsidRPr="00B713EE" w:rsidRDefault="00CD04C1" w:rsidP="00B1602D">
      <w:pPr>
        <w:pStyle w:val="HChG"/>
      </w:pPr>
      <w:r w:rsidRPr="00B713EE">
        <w:rPr>
          <w:sz w:val="22"/>
          <w:szCs w:val="22"/>
        </w:rPr>
        <w:br w:type="page"/>
      </w:r>
      <w:bookmarkStart w:id="99" w:name="_Toc478663191"/>
      <w:r w:rsidRPr="00B713EE">
        <w:t>Annexe II</w:t>
      </w:r>
      <w:bookmarkEnd w:id="99"/>
    </w:p>
    <w:p w:rsidR="00CD04C1" w:rsidRPr="00B713EE" w:rsidRDefault="00CD04C1" w:rsidP="00B713EE">
      <w:pPr>
        <w:pStyle w:val="HChG"/>
      </w:pPr>
      <w:bookmarkStart w:id="100" w:name="_Toc392251189"/>
      <w:r w:rsidRPr="00B713EE">
        <w:tab/>
      </w:r>
      <w:r w:rsidRPr="00B713EE">
        <w:tab/>
      </w:r>
      <w:bookmarkStart w:id="101" w:name="_Toc455504040"/>
      <w:bookmarkStart w:id="102" w:name="_Toc468111754"/>
      <w:bookmarkStart w:id="103" w:name="_Toc478663192"/>
      <w:bookmarkEnd w:id="100"/>
      <w:r w:rsidRPr="00B713EE">
        <w:t>État de l</w:t>
      </w:r>
      <w:r w:rsidR="007C2F80">
        <w:t>’</w:t>
      </w:r>
      <w:r w:rsidRPr="00B713EE">
        <w:t>Accord de 1998, du Registre mondial et du Recueil de Règlements admissibles</w:t>
      </w:r>
      <w:r w:rsidRPr="00F01852">
        <w:rPr>
          <w:b w:val="0"/>
          <w:sz w:val="20"/>
        </w:rPr>
        <w:footnoteReference w:customMarkFollows="1" w:id="3"/>
        <w:t>*</w:t>
      </w:r>
      <w:bookmarkEnd w:id="101"/>
      <w:bookmarkEnd w:id="102"/>
      <w:bookmarkEnd w:id="103"/>
    </w:p>
    <w:p w:rsidR="00CD04C1" w:rsidRPr="00B713EE" w:rsidRDefault="00CD04C1" w:rsidP="00B713EE">
      <w:pPr>
        <w:pStyle w:val="H1G"/>
      </w:pPr>
      <w:bookmarkStart w:id="104" w:name="_Toc423423786"/>
      <w:bookmarkStart w:id="105" w:name="_Toc436139625"/>
      <w:r w:rsidRPr="00B713EE">
        <w:tab/>
      </w:r>
      <w:r w:rsidRPr="00B713EE">
        <w:tab/>
      </w:r>
      <w:bookmarkStart w:id="106" w:name="_Toc455504041"/>
      <w:bookmarkStart w:id="107" w:name="_Toc468111755"/>
      <w:r w:rsidRPr="00B713EE">
        <w:t>Priorités et propositions en ce qui concerne l</w:t>
      </w:r>
      <w:r w:rsidR="007C2F80">
        <w:t>’</w:t>
      </w:r>
      <w:r w:rsidRPr="00B713EE">
        <w:t>élaboration</w:t>
      </w:r>
      <w:r w:rsidR="00B713EE">
        <w:t xml:space="preserve"> de RTM </w:t>
      </w:r>
      <w:r w:rsidRPr="00B713EE">
        <w:t>: situation au 8 mars 201</w:t>
      </w:r>
      <w:bookmarkEnd w:id="104"/>
      <w:bookmarkEnd w:id="105"/>
      <w:bookmarkEnd w:id="106"/>
      <w:bookmarkEnd w:id="107"/>
      <w:r w:rsidRPr="00B713EE">
        <w:t>7</w:t>
      </w:r>
    </w:p>
    <w:p w:rsidR="00CD04C1" w:rsidRPr="00B713EE" w:rsidRDefault="00CD04C1" w:rsidP="00B713EE">
      <w:pPr>
        <w:pStyle w:val="H23G"/>
      </w:pPr>
      <w:r w:rsidRPr="00B713EE">
        <w:t>GRRF</w:t>
      </w:r>
    </w:p>
    <w:tbl>
      <w:tblPr>
        <w:tblW w:w="9637" w:type="dxa"/>
        <w:tblLayout w:type="fixed"/>
        <w:tblCellMar>
          <w:left w:w="0" w:type="dxa"/>
          <w:right w:w="0" w:type="dxa"/>
        </w:tblCellMar>
        <w:tblLook w:val="01E0" w:firstRow="1" w:lastRow="1" w:firstColumn="1" w:lastColumn="1" w:noHBand="0" w:noVBand="0"/>
      </w:tblPr>
      <w:tblGrid>
        <w:gridCol w:w="1526"/>
        <w:gridCol w:w="1176"/>
        <w:gridCol w:w="1260"/>
        <w:gridCol w:w="1707"/>
        <w:gridCol w:w="1736"/>
        <w:gridCol w:w="2232"/>
      </w:tblGrid>
      <w:tr w:rsidR="00CD04C1" w:rsidRPr="00B713EE" w:rsidTr="00931B50">
        <w:trPr>
          <w:tblHeader/>
        </w:trPr>
        <w:tc>
          <w:tcPr>
            <w:tcW w:w="1526" w:type="dxa"/>
            <w:tcBorders>
              <w:top w:val="single" w:sz="4" w:space="0" w:color="auto"/>
              <w:bottom w:val="single" w:sz="12" w:space="0" w:color="auto"/>
            </w:tcBorders>
            <w:shd w:val="clear" w:color="auto" w:fill="auto"/>
            <w:vAlign w:val="bottom"/>
            <w:hideMark/>
          </w:tcPr>
          <w:p w:rsidR="00CD04C1" w:rsidRPr="00B713EE" w:rsidRDefault="00CD04C1" w:rsidP="00B713EE">
            <w:pPr>
              <w:spacing w:before="80" w:after="80" w:line="200" w:lineRule="exact"/>
              <w:ind w:right="113"/>
              <w:rPr>
                <w:i/>
                <w:sz w:val="16"/>
              </w:rPr>
            </w:pPr>
            <w:r w:rsidRPr="00B713EE">
              <w:rPr>
                <w:i/>
                <w:sz w:val="16"/>
              </w:rPr>
              <w:t xml:space="preserve">Question </w:t>
            </w:r>
          </w:p>
        </w:tc>
        <w:tc>
          <w:tcPr>
            <w:tcW w:w="1176" w:type="dxa"/>
            <w:tcBorders>
              <w:top w:val="single" w:sz="4" w:space="0" w:color="auto"/>
              <w:bottom w:val="single" w:sz="12" w:space="0" w:color="auto"/>
            </w:tcBorders>
            <w:shd w:val="clear" w:color="auto" w:fill="auto"/>
            <w:vAlign w:val="bottom"/>
            <w:hideMark/>
          </w:tcPr>
          <w:p w:rsidR="00CD04C1" w:rsidRPr="00B713EE" w:rsidRDefault="00CD04C1" w:rsidP="00B713EE">
            <w:pPr>
              <w:spacing w:before="80" w:after="80" w:line="200" w:lineRule="exact"/>
              <w:ind w:right="113"/>
              <w:rPr>
                <w:i/>
                <w:sz w:val="16"/>
              </w:rPr>
            </w:pPr>
            <w:r w:rsidRPr="00B713EE">
              <w:rPr>
                <w:i/>
                <w:sz w:val="16"/>
              </w:rPr>
              <w:t xml:space="preserve">Groupe informel </w:t>
            </w:r>
            <w:r w:rsidR="00F01852">
              <w:rPr>
                <w:i/>
                <w:sz w:val="16"/>
              </w:rPr>
              <w:br/>
              <w:t xml:space="preserve">(oui-non)/ </w:t>
            </w:r>
            <w:r w:rsidRPr="00B713EE">
              <w:rPr>
                <w:i/>
                <w:sz w:val="16"/>
              </w:rPr>
              <w:t xml:space="preserve">Président et Vice-Président </w:t>
            </w:r>
          </w:p>
        </w:tc>
        <w:tc>
          <w:tcPr>
            <w:tcW w:w="1260" w:type="dxa"/>
            <w:tcBorders>
              <w:top w:val="single" w:sz="4" w:space="0" w:color="auto"/>
              <w:bottom w:val="single" w:sz="12" w:space="0" w:color="auto"/>
            </w:tcBorders>
            <w:shd w:val="clear" w:color="auto" w:fill="auto"/>
            <w:vAlign w:val="bottom"/>
            <w:hideMark/>
          </w:tcPr>
          <w:p w:rsidR="00CD04C1" w:rsidRPr="00B713EE" w:rsidRDefault="00CD04C1" w:rsidP="00B713EE">
            <w:pPr>
              <w:spacing w:before="80" w:after="80" w:line="200" w:lineRule="exact"/>
              <w:ind w:right="113"/>
              <w:rPr>
                <w:i/>
                <w:sz w:val="16"/>
              </w:rPr>
            </w:pPr>
            <w:r w:rsidRPr="00B713EE">
              <w:rPr>
                <w:i/>
                <w:sz w:val="16"/>
              </w:rPr>
              <w:t>Responsable technique</w:t>
            </w:r>
          </w:p>
        </w:tc>
        <w:tc>
          <w:tcPr>
            <w:tcW w:w="1707" w:type="dxa"/>
            <w:tcBorders>
              <w:top w:val="single" w:sz="4" w:space="0" w:color="auto"/>
              <w:bottom w:val="single" w:sz="12" w:space="0" w:color="auto"/>
            </w:tcBorders>
            <w:shd w:val="clear" w:color="auto" w:fill="auto"/>
            <w:vAlign w:val="bottom"/>
            <w:hideMark/>
          </w:tcPr>
          <w:p w:rsidR="00CD04C1" w:rsidRPr="00B713EE" w:rsidRDefault="00CD04C1" w:rsidP="00B713EE">
            <w:pPr>
              <w:spacing w:before="80" w:after="80" w:line="200" w:lineRule="exact"/>
              <w:ind w:right="113"/>
              <w:rPr>
                <w:i/>
                <w:sz w:val="16"/>
              </w:rPr>
            </w:pPr>
            <w:r w:rsidRPr="00B713EE">
              <w:rPr>
                <w:i/>
                <w:sz w:val="16"/>
              </w:rPr>
              <w:t>Proposition</w:t>
            </w:r>
            <w:r w:rsidR="00F01852">
              <w:rPr>
                <w:i/>
                <w:sz w:val="16"/>
              </w:rPr>
              <w:t xml:space="preserve"> officielle (ECE/TRANS/WP.29/…)</w:t>
            </w:r>
          </w:p>
        </w:tc>
        <w:tc>
          <w:tcPr>
            <w:tcW w:w="1736" w:type="dxa"/>
            <w:tcBorders>
              <w:top w:val="single" w:sz="4" w:space="0" w:color="auto"/>
              <w:bottom w:val="single" w:sz="12" w:space="0" w:color="auto"/>
            </w:tcBorders>
            <w:shd w:val="clear" w:color="auto" w:fill="auto"/>
            <w:vAlign w:val="bottom"/>
            <w:hideMark/>
          </w:tcPr>
          <w:p w:rsidR="00CD04C1" w:rsidRPr="00B713EE" w:rsidRDefault="00CD04C1" w:rsidP="00B713EE">
            <w:pPr>
              <w:spacing w:before="80" w:after="80" w:line="200" w:lineRule="exact"/>
              <w:ind w:right="113"/>
              <w:rPr>
                <w:i/>
                <w:sz w:val="16"/>
              </w:rPr>
            </w:pPr>
            <w:r w:rsidRPr="00B713EE">
              <w:rPr>
                <w:i/>
                <w:sz w:val="16"/>
              </w:rPr>
              <w:t xml:space="preserve">Proposition de projet </w:t>
            </w:r>
            <w:r w:rsidR="00F01852">
              <w:rPr>
                <w:i/>
                <w:sz w:val="16"/>
              </w:rPr>
              <w:br/>
              <w:t>de RTM (ECE/TRANS/WP.29/…)</w:t>
            </w:r>
          </w:p>
        </w:tc>
        <w:tc>
          <w:tcPr>
            <w:tcW w:w="2232" w:type="dxa"/>
            <w:tcBorders>
              <w:top w:val="single" w:sz="4" w:space="0" w:color="auto"/>
              <w:bottom w:val="single" w:sz="12" w:space="0" w:color="auto"/>
            </w:tcBorders>
            <w:shd w:val="clear" w:color="auto" w:fill="auto"/>
            <w:vAlign w:val="bottom"/>
            <w:hideMark/>
          </w:tcPr>
          <w:p w:rsidR="00CD04C1" w:rsidRPr="00B713EE" w:rsidRDefault="00CD04C1" w:rsidP="00B713EE">
            <w:pPr>
              <w:spacing w:before="80" w:after="80" w:line="200" w:lineRule="exact"/>
              <w:ind w:right="113"/>
              <w:rPr>
                <w:i/>
                <w:sz w:val="16"/>
              </w:rPr>
            </w:pPr>
            <w:r w:rsidRPr="00B713EE">
              <w:rPr>
                <w:i/>
                <w:sz w:val="16"/>
              </w:rPr>
              <w:t xml:space="preserve">Stade/Observations </w:t>
            </w:r>
          </w:p>
        </w:tc>
      </w:tr>
      <w:tr w:rsidR="00B713EE" w:rsidRPr="00B713EE" w:rsidTr="00931B50">
        <w:trPr>
          <w:trHeight w:hRule="exact" w:val="113"/>
          <w:tblHeader/>
        </w:trPr>
        <w:tc>
          <w:tcPr>
            <w:tcW w:w="1526" w:type="dxa"/>
            <w:tcBorders>
              <w:top w:val="single" w:sz="12" w:space="0" w:color="auto"/>
            </w:tcBorders>
            <w:shd w:val="clear" w:color="auto" w:fill="auto"/>
          </w:tcPr>
          <w:p w:rsidR="00B713EE" w:rsidRPr="00B713EE" w:rsidRDefault="00B713EE" w:rsidP="00B713EE">
            <w:pPr>
              <w:spacing w:before="40" w:after="120"/>
              <w:ind w:right="113"/>
            </w:pPr>
          </w:p>
        </w:tc>
        <w:tc>
          <w:tcPr>
            <w:tcW w:w="1176" w:type="dxa"/>
            <w:tcBorders>
              <w:top w:val="single" w:sz="12" w:space="0" w:color="auto"/>
            </w:tcBorders>
            <w:shd w:val="clear" w:color="auto" w:fill="auto"/>
          </w:tcPr>
          <w:p w:rsidR="00B713EE" w:rsidRPr="00B713EE" w:rsidRDefault="00B713EE" w:rsidP="00B713EE">
            <w:pPr>
              <w:spacing w:before="40" w:after="120"/>
              <w:ind w:right="113"/>
            </w:pPr>
          </w:p>
        </w:tc>
        <w:tc>
          <w:tcPr>
            <w:tcW w:w="1260" w:type="dxa"/>
            <w:tcBorders>
              <w:top w:val="single" w:sz="12" w:space="0" w:color="auto"/>
            </w:tcBorders>
            <w:shd w:val="clear" w:color="auto" w:fill="auto"/>
          </w:tcPr>
          <w:p w:rsidR="00B713EE" w:rsidRPr="00B713EE" w:rsidRDefault="00B713EE" w:rsidP="00B713EE">
            <w:pPr>
              <w:spacing w:before="40" w:after="120"/>
              <w:ind w:right="113"/>
            </w:pPr>
          </w:p>
        </w:tc>
        <w:tc>
          <w:tcPr>
            <w:tcW w:w="1707" w:type="dxa"/>
            <w:tcBorders>
              <w:top w:val="single" w:sz="12" w:space="0" w:color="auto"/>
            </w:tcBorders>
            <w:shd w:val="clear" w:color="auto" w:fill="auto"/>
          </w:tcPr>
          <w:p w:rsidR="00B713EE" w:rsidRPr="00B713EE" w:rsidRDefault="00B713EE" w:rsidP="00B713EE">
            <w:pPr>
              <w:spacing w:before="40" w:after="120"/>
              <w:ind w:right="113"/>
            </w:pPr>
          </w:p>
        </w:tc>
        <w:tc>
          <w:tcPr>
            <w:tcW w:w="1736" w:type="dxa"/>
            <w:tcBorders>
              <w:top w:val="single" w:sz="12" w:space="0" w:color="auto"/>
            </w:tcBorders>
            <w:shd w:val="clear" w:color="auto" w:fill="auto"/>
          </w:tcPr>
          <w:p w:rsidR="00B713EE" w:rsidRPr="00B713EE" w:rsidRDefault="00B713EE" w:rsidP="00B713EE">
            <w:pPr>
              <w:spacing w:before="40" w:after="120"/>
              <w:ind w:right="113"/>
            </w:pPr>
          </w:p>
        </w:tc>
        <w:tc>
          <w:tcPr>
            <w:tcW w:w="2232" w:type="dxa"/>
            <w:tcBorders>
              <w:top w:val="single" w:sz="12" w:space="0" w:color="auto"/>
            </w:tcBorders>
            <w:shd w:val="clear" w:color="auto" w:fill="auto"/>
          </w:tcPr>
          <w:p w:rsidR="00B713EE" w:rsidRPr="00B713EE" w:rsidRDefault="00B713EE" w:rsidP="00B713EE">
            <w:pPr>
              <w:spacing w:before="40" w:after="120"/>
              <w:ind w:right="113"/>
            </w:pPr>
          </w:p>
        </w:tc>
      </w:tr>
      <w:tr w:rsidR="00CD04C1" w:rsidRPr="00B713EE" w:rsidTr="00931B50">
        <w:tc>
          <w:tcPr>
            <w:tcW w:w="1526" w:type="dxa"/>
            <w:shd w:val="clear" w:color="auto" w:fill="auto"/>
            <w:hideMark/>
          </w:tcPr>
          <w:p w:rsidR="00CD04C1" w:rsidRPr="00B713EE" w:rsidRDefault="00CD04C1" w:rsidP="00B713EE">
            <w:pPr>
              <w:spacing w:before="40" w:after="120"/>
              <w:ind w:right="113"/>
            </w:pPr>
            <w:r w:rsidRPr="00B713EE">
              <w:t xml:space="preserve">[Amendement 3] au RTM </w:t>
            </w:r>
            <w:r w:rsidR="00F01852">
              <w:rPr>
                <w:rFonts w:eastAsia="MS Mincho"/>
              </w:rPr>
              <w:t>n</w:t>
            </w:r>
            <w:r w:rsidR="00F01852">
              <w:rPr>
                <w:rFonts w:eastAsia="MS Mincho"/>
                <w:vertAlign w:val="superscript"/>
              </w:rPr>
              <w:t>o</w:t>
            </w:r>
            <w:r w:rsidR="00F01852" w:rsidRPr="00AA7C01">
              <w:rPr>
                <w:rFonts w:eastAsia="MS Mincho"/>
              </w:rPr>
              <w:t> </w:t>
            </w:r>
            <w:r w:rsidRPr="00B713EE">
              <w:t>3 (Systèmes de freinage des motocycles)</w:t>
            </w:r>
          </w:p>
        </w:tc>
        <w:tc>
          <w:tcPr>
            <w:tcW w:w="1176" w:type="dxa"/>
            <w:shd w:val="clear" w:color="auto" w:fill="auto"/>
            <w:hideMark/>
          </w:tcPr>
          <w:p w:rsidR="00CD04C1" w:rsidRPr="00B713EE" w:rsidRDefault="00CD04C1" w:rsidP="00B713EE">
            <w:pPr>
              <w:spacing w:before="40" w:after="120"/>
              <w:ind w:right="113"/>
            </w:pPr>
            <w:r w:rsidRPr="00B713EE">
              <w:t>-</w:t>
            </w:r>
          </w:p>
        </w:tc>
        <w:tc>
          <w:tcPr>
            <w:tcW w:w="1260" w:type="dxa"/>
            <w:shd w:val="clear" w:color="auto" w:fill="auto"/>
            <w:hideMark/>
          </w:tcPr>
          <w:p w:rsidR="00CD04C1" w:rsidRPr="00B713EE" w:rsidRDefault="00CD04C1" w:rsidP="00B713EE">
            <w:pPr>
              <w:spacing w:before="40" w:after="120"/>
              <w:ind w:right="113"/>
            </w:pPr>
            <w:r w:rsidRPr="00B713EE">
              <w:t>Italie</w:t>
            </w:r>
          </w:p>
        </w:tc>
        <w:tc>
          <w:tcPr>
            <w:tcW w:w="1707" w:type="dxa"/>
            <w:shd w:val="clear" w:color="auto" w:fill="auto"/>
            <w:hideMark/>
          </w:tcPr>
          <w:p w:rsidR="00CD04C1" w:rsidRPr="00B713EE" w:rsidRDefault="00CD04C1" w:rsidP="00B713EE">
            <w:pPr>
              <w:spacing w:before="40" w:after="120"/>
              <w:ind w:right="113"/>
            </w:pPr>
            <w:r w:rsidRPr="00B713EE">
              <w:t>2017/51</w:t>
            </w:r>
          </w:p>
        </w:tc>
        <w:tc>
          <w:tcPr>
            <w:tcW w:w="1736" w:type="dxa"/>
            <w:shd w:val="clear" w:color="auto" w:fill="auto"/>
            <w:hideMark/>
          </w:tcPr>
          <w:p w:rsidR="00CD04C1" w:rsidRPr="00B713EE" w:rsidRDefault="00CD04C1" w:rsidP="00B713EE">
            <w:pPr>
              <w:spacing w:before="40" w:after="120"/>
              <w:ind w:right="113"/>
            </w:pPr>
            <w:r w:rsidRPr="00B713EE">
              <w:t>-</w:t>
            </w:r>
          </w:p>
        </w:tc>
        <w:tc>
          <w:tcPr>
            <w:tcW w:w="2232" w:type="dxa"/>
            <w:shd w:val="clear" w:color="auto" w:fill="auto"/>
            <w:hideMark/>
          </w:tcPr>
          <w:p w:rsidR="00CD04C1" w:rsidRPr="00641815" w:rsidRDefault="00CD04C1" w:rsidP="00641815">
            <w:pPr>
              <w:spacing w:before="40" w:after="120"/>
              <w:ind w:right="113"/>
              <w:rPr>
                <w:spacing w:val="-2"/>
              </w:rPr>
            </w:pPr>
            <w:r w:rsidRPr="00641815">
              <w:rPr>
                <w:spacing w:val="-2"/>
              </w:rPr>
              <w:t>Demande d</w:t>
            </w:r>
            <w:r w:rsidR="007C2F80" w:rsidRPr="00641815">
              <w:rPr>
                <w:spacing w:val="-2"/>
              </w:rPr>
              <w:t>’</w:t>
            </w:r>
            <w:r w:rsidRPr="00641815">
              <w:rPr>
                <w:spacing w:val="-2"/>
              </w:rPr>
              <w:t>autorisation d</w:t>
            </w:r>
            <w:r w:rsidR="007C2F80" w:rsidRPr="00641815">
              <w:rPr>
                <w:spacing w:val="-2"/>
              </w:rPr>
              <w:t>’</w:t>
            </w:r>
            <w:r w:rsidRPr="00641815">
              <w:rPr>
                <w:spacing w:val="-2"/>
              </w:rPr>
              <w:t>élaborer l</w:t>
            </w:r>
            <w:r w:rsidR="007C2F80" w:rsidRPr="00641815">
              <w:rPr>
                <w:spacing w:val="-2"/>
              </w:rPr>
              <w:t>’</w:t>
            </w:r>
            <w:r w:rsidR="00641815" w:rsidRPr="00641815">
              <w:rPr>
                <w:spacing w:val="-2"/>
              </w:rPr>
              <w:t xml:space="preserve">amendement 3 au RTM </w:t>
            </w:r>
            <w:r w:rsidR="00641815" w:rsidRPr="00641815">
              <w:rPr>
                <w:rFonts w:eastAsia="MS Mincho"/>
                <w:spacing w:val="-2"/>
              </w:rPr>
              <w:t>n</w:t>
            </w:r>
            <w:r w:rsidR="00641815" w:rsidRPr="00641815">
              <w:rPr>
                <w:rFonts w:eastAsia="MS Mincho"/>
                <w:spacing w:val="-2"/>
                <w:vertAlign w:val="superscript"/>
              </w:rPr>
              <w:t>o</w:t>
            </w:r>
            <w:r w:rsidR="00641815" w:rsidRPr="00641815">
              <w:rPr>
                <w:spacing w:val="-2"/>
              </w:rPr>
              <w:t> </w:t>
            </w:r>
            <w:r w:rsidRPr="00641815">
              <w:rPr>
                <w:spacing w:val="-2"/>
              </w:rPr>
              <w:t>3 adoptée par l</w:t>
            </w:r>
            <w:r w:rsidR="007C2F80" w:rsidRPr="00641815">
              <w:rPr>
                <w:spacing w:val="-2"/>
              </w:rPr>
              <w:t>’</w:t>
            </w:r>
            <w:r w:rsidRPr="00641815">
              <w:rPr>
                <w:spacing w:val="-2"/>
              </w:rPr>
              <w:t>AC.3 en mars 2017</w:t>
            </w:r>
          </w:p>
        </w:tc>
      </w:tr>
      <w:tr w:rsidR="00CD04C1" w:rsidRPr="00B713EE" w:rsidTr="00931B50">
        <w:tc>
          <w:tcPr>
            <w:tcW w:w="1526" w:type="dxa"/>
            <w:tcBorders>
              <w:bottom w:val="single" w:sz="12" w:space="0" w:color="auto"/>
            </w:tcBorders>
            <w:shd w:val="clear" w:color="auto" w:fill="auto"/>
            <w:hideMark/>
          </w:tcPr>
          <w:p w:rsidR="00CD04C1" w:rsidRPr="00B713EE" w:rsidRDefault="00CD04C1" w:rsidP="00B713EE">
            <w:pPr>
              <w:spacing w:before="40" w:after="120"/>
              <w:ind w:right="113"/>
            </w:pPr>
            <w:r w:rsidRPr="00B713EE">
              <w:t xml:space="preserve">[Amendement 2] au RTM </w:t>
            </w:r>
            <w:r w:rsidR="00F01852">
              <w:rPr>
                <w:rFonts w:eastAsia="MS Mincho"/>
              </w:rPr>
              <w:t>n</w:t>
            </w:r>
            <w:r w:rsidR="00F01852">
              <w:rPr>
                <w:rFonts w:eastAsia="MS Mincho"/>
                <w:vertAlign w:val="superscript"/>
              </w:rPr>
              <w:t>o</w:t>
            </w:r>
            <w:r w:rsidR="00F01852" w:rsidRPr="00AA7C01">
              <w:rPr>
                <w:rFonts w:eastAsia="MS Mincho"/>
              </w:rPr>
              <w:t> </w:t>
            </w:r>
            <w:r w:rsidRPr="00B713EE">
              <w:t>16 (Pneumatiques)</w:t>
            </w:r>
          </w:p>
        </w:tc>
        <w:tc>
          <w:tcPr>
            <w:tcW w:w="1176" w:type="dxa"/>
            <w:tcBorders>
              <w:bottom w:val="single" w:sz="12" w:space="0" w:color="auto"/>
            </w:tcBorders>
            <w:shd w:val="clear" w:color="auto" w:fill="auto"/>
          </w:tcPr>
          <w:p w:rsidR="00CD04C1" w:rsidRPr="00B713EE" w:rsidRDefault="00CD04C1" w:rsidP="00B713EE">
            <w:pPr>
              <w:spacing w:before="40" w:after="120"/>
              <w:ind w:right="113"/>
            </w:pPr>
            <w:r w:rsidRPr="00B713EE">
              <w:t>Oui/ Fédération de Russie</w:t>
            </w:r>
          </w:p>
        </w:tc>
        <w:tc>
          <w:tcPr>
            <w:tcW w:w="1260" w:type="dxa"/>
            <w:tcBorders>
              <w:bottom w:val="single" w:sz="12" w:space="0" w:color="auto"/>
            </w:tcBorders>
            <w:shd w:val="clear" w:color="auto" w:fill="auto"/>
            <w:hideMark/>
          </w:tcPr>
          <w:p w:rsidR="00CD04C1" w:rsidRPr="00B713EE" w:rsidRDefault="00CD04C1" w:rsidP="00B713EE">
            <w:pPr>
              <w:spacing w:before="40" w:after="120"/>
              <w:ind w:right="113"/>
            </w:pPr>
            <w:r w:rsidRPr="00B713EE">
              <w:t xml:space="preserve">Fédération </w:t>
            </w:r>
            <w:r w:rsidR="00931B50">
              <w:br/>
            </w:r>
            <w:r w:rsidRPr="00B713EE">
              <w:t>de Russie</w:t>
            </w:r>
          </w:p>
        </w:tc>
        <w:tc>
          <w:tcPr>
            <w:tcW w:w="1707" w:type="dxa"/>
            <w:tcBorders>
              <w:bottom w:val="single" w:sz="12" w:space="0" w:color="auto"/>
            </w:tcBorders>
            <w:shd w:val="clear" w:color="auto" w:fill="auto"/>
            <w:hideMark/>
          </w:tcPr>
          <w:p w:rsidR="00CD04C1" w:rsidRPr="00B713EE" w:rsidRDefault="00CD04C1" w:rsidP="00B713EE">
            <w:pPr>
              <w:spacing w:before="40" w:after="120"/>
              <w:ind w:right="113"/>
            </w:pPr>
            <w:r w:rsidRPr="00B713EE">
              <w:t>2017/52</w:t>
            </w:r>
          </w:p>
        </w:tc>
        <w:tc>
          <w:tcPr>
            <w:tcW w:w="1736" w:type="dxa"/>
            <w:tcBorders>
              <w:bottom w:val="single" w:sz="12" w:space="0" w:color="auto"/>
            </w:tcBorders>
            <w:shd w:val="clear" w:color="auto" w:fill="auto"/>
            <w:hideMark/>
          </w:tcPr>
          <w:p w:rsidR="00CD04C1" w:rsidRPr="00B713EE" w:rsidRDefault="00CD04C1" w:rsidP="00B713EE">
            <w:pPr>
              <w:spacing w:before="40" w:after="120"/>
              <w:ind w:right="113"/>
            </w:pPr>
            <w:r w:rsidRPr="00B713EE">
              <w:t>-</w:t>
            </w:r>
          </w:p>
        </w:tc>
        <w:tc>
          <w:tcPr>
            <w:tcW w:w="2232" w:type="dxa"/>
            <w:tcBorders>
              <w:bottom w:val="single" w:sz="12" w:space="0" w:color="auto"/>
            </w:tcBorders>
            <w:shd w:val="clear" w:color="auto" w:fill="auto"/>
            <w:hideMark/>
          </w:tcPr>
          <w:p w:rsidR="00CD04C1" w:rsidRPr="00641815" w:rsidRDefault="00CD04C1" w:rsidP="00B713EE">
            <w:pPr>
              <w:spacing w:before="40" w:after="120"/>
              <w:ind w:right="113"/>
              <w:rPr>
                <w:spacing w:val="-2"/>
              </w:rPr>
            </w:pPr>
            <w:r w:rsidRPr="00641815">
              <w:rPr>
                <w:spacing w:val="-2"/>
              </w:rPr>
              <w:t>Demande d</w:t>
            </w:r>
            <w:r w:rsidR="007C2F80" w:rsidRPr="00641815">
              <w:rPr>
                <w:spacing w:val="-2"/>
              </w:rPr>
              <w:t>’</w:t>
            </w:r>
            <w:r w:rsidRPr="00641815">
              <w:rPr>
                <w:spacing w:val="-2"/>
              </w:rPr>
              <w:t>autorisation d</w:t>
            </w:r>
            <w:r w:rsidR="007C2F80" w:rsidRPr="00641815">
              <w:rPr>
                <w:spacing w:val="-2"/>
              </w:rPr>
              <w:t>’</w:t>
            </w:r>
            <w:r w:rsidRPr="00641815">
              <w:rPr>
                <w:spacing w:val="-2"/>
              </w:rPr>
              <w:t>élaborer l</w:t>
            </w:r>
            <w:r w:rsidR="007C2F80" w:rsidRPr="00641815">
              <w:rPr>
                <w:spacing w:val="-2"/>
              </w:rPr>
              <w:t>’</w:t>
            </w:r>
            <w:r w:rsidR="00641815" w:rsidRPr="00641815">
              <w:rPr>
                <w:spacing w:val="-2"/>
              </w:rPr>
              <w:t>amendement </w:t>
            </w:r>
            <w:r w:rsidRPr="00641815">
              <w:rPr>
                <w:spacing w:val="-2"/>
              </w:rPr>
              <w:t xml:space="preserve">2 au RTM </w:t>
            </w:r>
            <w:r w:rsidR="00641815" w:rsidRPr="00641815">
              <w:rPr>
                <w:rFonts w:eastAsia="MS Mincho"/>
                <w:spacing w:val="-2"/>
              </w:rPr>
              <w:t>n</w:t>
            </w:r>
            <w:r w:rsidR="00641815" w:rsidRPr="00641815">
              <w:rPr>
                <w:rFonts w:eastAsia="MS Mincho"/>
                <w:spacing w:val="-2"/>
                <w:vertAlign w:val="superscript"/>
              </w:rPr>
              <w:t>o</w:t>
            </w:r>
            <w:r w:rsidR="00641815" w:rsidRPr="00641815">
              <w:rPr>
                <w:spacing w:val="-2"/>
              </w:rPr>
              <w:t> </w:t>
            </w:r>
            <w:r w:rsidRPr="00641815">
              <w:rPr>
                <w:spacing w:val="-2"/>
              </w:rPr>
              <w:t>16 adoptée par l</w:t>
            </w:r>
            <w:r w:rsidR="007C2F80" w:rsidRPr="00641815">
              <w:rPr>
                <w:spacing w:val="-2"/>
              </w:rPr>
              <w:t>’</w:t>
            </w:r>
            <w:r w:rsidRPr="00641815">
              <w:rPr>
                <w:spacing w:val="-2"/>
              </w:rPr>
              <w:t>AC.3 en mars 2017</w:t>
            </w:r>
          </w:p>
        </w:tc>
      </w:tr>
    </w:tbl>
    <w:p w:rsidR="00CD04C1" w:rsidRPr="00B713EE" w:rsidRDefault="00CD04C1" w:rsidP="00B713EE">
      <w:pPr>
        <w:pStyle w:val="H23G"/>
      </w:pPr>
      <w:r w:rsidRPr="00B713EE">
        <w:t>GRSP</w:t>
      </w:r>
    </w:p>
    <w:tbl>
      <w:tblPr>
        <w:tblW w:w="9637" w:type="dxa"/>
        <w:tblLayout w:type="fixed"/>
        <w:tblCellMar>
          <w:left w:w="0" w:type="dxa"/>
          <w:right w:w="0" w:type="dxa"/>
        </w:tblCellMar>
        <w:tblLook w:val="01E0" w:firstRow="1" w:lastRow="1" w:firstColumn="1" w:lastColumn="1" w:noHBand="0" w:noVBand="0"/>
      </w:tblPr>
      <w:tblGrid>
        <w:gridCol w:w="1526"/>
        <w:gridCol w:w="1176"/>
        <w:gridCol w:w="1246"/>
        <w:gridCol w:w="1708"/>
        <w:gridCol w:w="1735"/>
        <w:gridCol w:w="2246"/>
      </w:tblGrid>
      <w:tr w:rsidR="00CD04C1" w:rsidRPr="00B713EE" w:rsidTr="00931B50">
        <w:trPr>
          <w:tblHeader/>
        </w:trPr>
        <w:tc>
          <w:tcPr>
            <w:tcW w:w="1526" w:type="dxa"/>
            <w:tcBorders>
              <w:top w:val="single" w:sz="4" w:space="0" w:color="auto"/>
              <w:bottom w:val="single" w:sz="12" w:space="0" w:color="auto"/>
            </w:tcBorders>
            <w:shd w:val="clear" w:color="auto" w:fill="auto"/>
            <w:vAlign w:val="bottom"/>
            <w:hideMark/>
          </w:tcPr>
          <w:p w:rsidR="00CD04C1" w:rsidRPr="00B713EE" w:rsidRDefault="00CD04C1" w:rsidP="00B713EE">
            <w:pPr>
              <w:spacing w:before="80" w:after="80" w:line="200" w:lineRule="exact"/>
              <w:ind w:right="113"/>
              <w:rPr>
                <w:i/>
                <w:sz w:val="16"/>
              </w:rPr>
            </w:pPr>
            <w:r w:rsidRPr="00B713EE">
              <w:rPr>
                <w:i/>
                <w:sz w:val="16"/>
              </w:rPr>
              <w:t xml:space="preserve">Question </w:t>
            </w:r>
          </w:p>
        </w:tc>
        <w:tc>
          <w:tcPr>
            <w:tcW w:w="1176" w:type="dxa"/>
            <w:tcBorders>
              <w:top w:val="single" w:sz="4" w:space="0" w:color="auto"/>
              <w:bottom w:val="single" w:sz="12" w:space="0" w:color="auto"/>
            </w:tcBorders>
            <w:shd w:val="clear" w:color="auto" w:fill="auto"/>
            <w:vAlign w:val="bottom"/>
            <w:hideMark/>
          </w:tcPr>
          <w:p w:rsidR="00CD04C1" w:rsidRPr="00B713EE" w:rsidRDefault="00641815" w:rsidP="00B713EE">
            <w:pPr>
              <w:spacing w:before="80" w:after="80" w:line="200" w:lineRule="exact"/>
              <w:ind w:right="113"/>
              <w:rPr>
                <w:i/>
                <w:sz w:val="16"/>
              </w:rPr>
            </w:pPr>
            <w:r>
              <w:rPr>
                <w:i/>
                <w:sz w:val="16"/>
              </w:rPr>
              <w:t>Groupe informel (oui</w:t>
            </w:r>
            <w:r>
              <w:rPr>
                <w:i/>
                <w:sz w:val="16"/>
              </w:rPr>
              <w:noBreakHyphen/>
              <w:t xml:space="preserve">non)/ </w:t>
            </w:r>
            <w:r w:rsidR="00CD04C1" w:rsidRPr="00B713EE">
              <w:rPr>
                <w:i/>
                <w:sz w:val="16"/>
              </w:rPr>
              <w:t xml:space="preserve">Président et Vice-Président </w:t>
            </w:r>
          </w:p>
        </w:tc>
        <w:tc>
          <w:tcPr>
            <w:tcW w:w="1246" w:type="dxa"/>
            <w:tcBorders>
              <w:top w:val="single" w:sz="4" w:space="0" w:color="auto"/>
              <w:bottom w:val="single" w:sz="12" w:space="0" w:color="auto"/>
            </w:tcBorders>
            <w:shd w:val="clear" w:color="auto" w:fill="auto"/>
            <w:vAlign w:val="bottom"/>
            <w:hideMark/>
          </w:tcPr>
          <w:p w:rsidR="00CD04C1" w:rsidRPr="00B713EE" w:rsidRDefault="00CD04C1" w:rsidP="00B713EE">
            <w:pPr>
              <w:spacing w:before="80" w:after="80" w:line="200" w:lineRule="exact"/>
              <w:ind w:right="113"/>
              <w:rPr>
                <w:i/>
                <w:sz w:val="16"/>
              </w:rPr>
            </w:pPr>
            <w:r w:rsidRPr="00B713EE">
              <w:rPr>
                <w:i/>
                <w:sz w:val="16"/>
              </w:rPr>
              <w:t>Responsable technique</w:t>
            </w:r>
          </w:p>
        </w:tc>
        <w:tc>
          <w:tcPr>
            <w:tcW w:w="1708" w:type="dxa"/>
            <w:tcBorders>
              <w:top w:val="single" w:sz="4" w:space="0" w:color="auto"/>
              <w:bottom w:val="single" w:sz="12" w:space="0" w:color="auto"/>
            </w:tcBorders>
            <w:shd w:val="clear" w:color="auto" w:fill="auto"/>
            <w:vAlign w:val="bottom"/>
            <w:hideMark/>
          </w:tcPr>
          <w:p w:rsidR="00CD04C1" w:rsidRPr="00B713EE" w:rsidRDefault="00CD04C1" w:rsidP="00B713EE">
            <w:pPr>
              <w:spacing w:before="80" w:after="80" w:line="200" w:lineRule="exact"/>
              <w:ind w:right="113"/>
              <w:rPr>
                <w:i/>
                <w:sz w:val="16"/>
              </w:rPr>
            </w:pPr>
            <w:r w:rsidRPr="00B713EE">
              <w:rPr>
                <w:i/>
                <w:sz w:val="16"/>
              </w:rPr>
              <w:t xml:space="preserve">Proposition officielle (ECE/TRANS/WP.29/…) </w:t>
            </w:r>
          </w:p>
        </w:tc>
        <w:tc>
          <w:tcPr>
            <w:tcW w:w="1735" w:type="dxa"/>
            <w:tcBorders>
              <w:top w:val="single" w:sz="4" w:space="0" w:color="auto"/>
              <w:bottom w:val="single" w:sz="12" w:space="0" w:color="auto"/>
            </w:tcBorders>
            <w:shd w:val="clear" w:color="auto" w:fill="auto"/>
            <w:vAlign w:val="bottom"/>
            <w:hideMark/>
          </w:tcPr>
          <w:p w:rsidR="00CD04C1" w:rsidRPr="00B713EE" w:rsidRDefault="00CD04C1" w:rsidP="00B713EE">
            <w:pPr>
              <w:spacing w:before="80" w:after="80" w:line="200" w:lineRule="exact"/>
              <w:ind w:right="113"/>
              <w:rPr>
                <w:i/>
                <w:sz w:val="16"/>
              </w:rPr>
            </w:pPr>
            <w:r w:rsidRPr="00B713EE">
              <w:rPr>
                <w:i/>
                <w:sz w:val="16"/>
              </w:rPr>
              <w:t xml:space="preserve">Proposition de projet </w:t>
            </w:r>
            <w:r w:rsidR="00641815">
              <w:rPr>
                <w:i/>
                <w:sz w:val="16"/>
              </w:rPr>
              <w:br/>
            </w:r>
            <w:r w:rsidRPr="00B713EE">
              <w:rPr>
                <w:i/>
                <w:sz w:val="16"/>
              </w:rPr>
              <w:t xml:space="preserve">de RTM (ECE/TRANS/WP.29/…) </w:t>
            </w:r>
          </w:p>
        </w:tc>
        <w:tc>
          <w:tcPr>
            <w:tcW w:w="2246" w:type="dxa"/>
            <w:tcBorders>
              <w:top w:val="single" w:sz="4" w:space="0" w:color="auto"/>
              <w:bottom w:val="single" w:sz="12" w:space="0" w:color="auto"/>
            </w:tcBorders>
            <w:shd w:val="clear" w:color="auto" w:fill="auto"/>
            <w:vAlign w:val="bottom"/>
            <w:hideMark/>
          </w:tcPr>
          <w:p w:rsidR="00CD04C1" w:rsidRPr="00B713EE" w:rsidRDefault="00CD04C1" w:rsidP="00B713EE">
            <w:pPr>
              <w:spacing w:before="80" w:after="80" w:line="200" w:lineRule="exact"/>
              <w:ind w:right="113"/>
              <w:rPr>
                <w:i/>
                <w:sz w:val="16"/>
              </w:rPr>
            </w:pPr>
            <w:r w:rsidRPr="00B713EE">
              <w:rPr>
                <w:i/>
                <w:sz w:val="16"/>
              </w:rPr>
              <w:t xml:space="preserve">Stade/Observations </w:t>
            </w:r>
          </w:p>
        </w:tc>
      </w:tr>
      <w:tr w:rsidR="00B713EE" w:rsidRPr="00B713EE" w:rsidTr="00931B50">
        <w:trPr>
          <w:trHeight w:hRule="exact" w:val="113"/>
          <w:tblHeader/>
        </w:trPr>
        <w:tc>
          <w:tcPr>
            <w:tcW w:w="1526" w:type="dxa"/>
            <w:tcBorders>
              <w:top w:val="single" w:sz="12" w:space="0" w:color="auto"/>
            </w:tcBorders>
            <w:shd w:val="clear" w:color="auto" w:fill="auto"/>
          </w:tcPr>
          <w:p w:rsidR="00B713EE" w:rsidRPr="00B713EE" w:rsidRDefault="00B713EE" w:rsidP="00B713EE">
            <w:pPr>
              <w:spacing w:before="40" w:after="120"/>
              <w:ind w:right="113"/>
            </w:pPr>
          </w:p>
        </w:tc>
        <w:tc>
          <w:tcPr>
            <w:tcW w:w="1176" w:type="dxa"/>
            <w:tcBorders>
              <w:top w:val="single" w:sz="12" w:space="0" w:color="auto"/>
            </w:tcBorders>
            <w:shd w:val="clear" w:color="auto" w:fill="auto"/>
          </w:tcPr>
          <w:p w:rsidR="00B713EE" w:rsidRPr="00B713EE" w:rsidRDefault="00B713EE" w:rsidP="00B713EE">
            <w:pPr>
              <w:spacing w:before="40" w:after="120"/>
              <w:ind w:right="113"/>
            </w:pPr>
          </w:p>
        </w:tc>
        <w:tc>
          <w:tcPr>
            <w:tcW w:w="1246" w:type="dxa"/>
            <w:tcBorders>
              <w:top w:val="single" w:sz="12" w:space="0" w:color="auto"/>
            </w:tcBorders>
            <w:shd w:val="clear" w:color="auto" w:fill="auto"/>
          </w:tcPr>
          <w:p w:rsidR="00B713EE" w:rsidRPr="00B713EE" w:rsidRDefault="00B713EE" w:rsidP="00B713EE">
            <w:pPr>
              <w:spacing w:before="40" w:after="120"/>
              <w:ind w:right="113"/>
            </w:pPr>
          </w:p>
        </w:tc>
        <w:tc>
          <w:tcPr>
            <w:tcW w:w="1708" w:type="dxa"/>
            <w:tcBorders>
              <w:top w:val="single" w:sz="12" w:space="0" w:color="auto"/>
            </w:tcBorders>
            <w:shd w:val="clear" w:color="auto" w:fill="auto"/>
          </w:tcPr>
          <w:p w:rsidR="00B713EE" w:rsidRPr="00B713EE" w:rsidRDefault="00B713EE" w:rsidP="00B713EE">
            <w:pPr>
              <w:spacing w:before="40" w:after="120"/>
              <w:ind w:right="113"/>
            </w:pPr>
          </w:p>
        </w:tc>
        <w:tc>
          <w:tcPr>
            <w:tcW w:w="1735" w:type="dxa"/>
            <w:tcBorders>
              <w:top w:val="single" w:sz="12" w:space="0" w:color="auto"/>
            </w:tcBorders>
            <w:shd w:val="clear" w:color="auto" w:fill="auto"/>
          </w:tcPr>
          <w:p w:rsidR="00B713EE" w:rsidRPr="00B713EE" w:rsidRDefault="00B713EE" w:rsidP="00B713EE">
            <w:pPr>
              <w:spacing w:before="40" w:after="120"/>
              <w:ind w:right="113"/>
            </w:pPr>
          </w:p>
        </w:tc>
        <w:tc>
          <w:tcPr>
            <w:tcW w:w="2246" w:type="dxa"/>
            <w:tcBorders>
              <w:top w:val="single" w:sz="12" w:space="0" w:color="auto"/>
            </w:tcBorders>
            <w:shd w:val="clear" w:color="auto" w:fill="auto"/>
          </w:tcPr>
          <w:p w:rsidR="00B713EE" w:rsidRPr="00B713EE" w:rsidRDefault="00B713EE" w:rsidP="00B713EE">
            <w:pPr>
              <w:spacing w:before="40" w:after="120"/>
              <w:ind w:right="113"/>
            </w:pPr>
          </w:p>
        </w:tc>
      </w:tr>
      <w:tr w:rsidR="00CD04C1" w:rsidRPr="00B713EE" w:rsidTr="00931B50">
        <w:tc>
          <w:tcPr>
            <w:tcW w:w="1526" w:type="dxa"/>
            <w:shd w:val="clear" w:color="auto" w:fill="auto"/>
          </w:tcPr>
          <w:p w:rsidR="00CD04C1" w:rsidRPr="00B713EE" w:rsidRDefault="00CD04C1" w:rsidP="00B713EE">
            <w:pPr>
              <w:spacing w:before="40" w:after="120"/>
              <w:ind w:right="113"/>
            </w:pPr>
            <w:r w:rsidRPr="00B713EE">
              <w:t xml:space="preserve">Amendement 2 au RTM </w:t>
            </w:r>
            <w:r w:rsidR="00FE6535">
              <w:rPr>
                <w:rFonts w:eastAsia="MS Mincho"/>
              </w:rPr>
              <w:t>n</w:t>
            </w:r>
            <w:r w:rsidR="00FE6535">
              <w:rPr>
                <w:rFonts w:eastAsia="MS Mincho"/>
                <w:vertAlign w:val="superscript"/>
              </w:rPr>
              <w:t>o</w:t>
            </w:r>
            <w:r w:rsidR="00FE6535" w:rsidRPr="00AA7C01">
              <w:rPr>
                <w:rFonts w:eastAsia="MS Mincho"/>
              </w:rPr>
              <w:t> </w:t>
            </w:r>
            <w:r w:rsidRPr="00B713EE">
              <w:t xml:space="preserve">1 </w:t>
            </w:r>
          </w:p>
        </w:tc>
        <w:tc>
          <w:tcPr>
            <w:tcW w:w="1176" w:type="dxa"/>
            <w:shd w:val="clear" w:color="auto" w:fill="auto"/>
          </w:tcPr>
          <w:p w:rsidR="00CD04C1" w:rsidRPr="00B713EE" w:rsidRDefault="00CD04C1" w:rsidP="00B713EE">
            <w:pPr>
              <w:spacing w:before="40" w:after="120"/>
              <w:ind w:right="113"/>
            </w:pPr>
            <w:r w:rsidRPr="00B713EE">
              <w:t>Non</w:t>
            </w:r>
          </w:p>
        </w:tc>
        <w:tc>
          <w:tcPr>
            <w:tcW w:w="1246" w:type="dxa"/>
            <w:shd w:val="clear" w:color="auto" w:fill="auto"/>
          </w:tcPr>
          <w:p w:rsidR="00CD04C1" w:rsidRPr="00B713EE" w:rsidRDefault="00CD04C1" w:rsidP="00B713EE">
            <w:pPr>
              <w:spacing w:before="40" w:after="120"/>
              <w:ind w:right="113"/>
            </w:pPr>
            <w:r w:rsidRPr="00B713EE">
              <w:t>UE</w:t>
            </w:r>
          </w:p>
        </w:tc>
        <w:tc>
          <w:tcPr>
            <w:tcW w:w="1708" w:type="dxa"/>
            <w:shd w:val="clear" w:color="auto" w:fill="auto"/>
          </w:tcPr>
          <w:p w:rsidR="00CD04C1" w:rsidRPr="00B713EE" w:rsidRDefault="00CD04C1" w:rsidP="00B713EE">
            <w:pPr>
              <w:spacing w:before="40" w:after="120"/>
              <w:ind w:right="113"/>
            </w:pPr>
          </w:p>
        </w:tc>
        <w:tc>
          <w:tcPr>
            <w:tcW w:w="1735" w:type="dxa"/>
            <w:shd w:val="clear" w:color="auto" w:fill="auto"/>
          </w:tcPr>
          <w:p w:rsidR="00CD04C1" w:rsidRPr="00B713EE" w:rsidRDefault="00CD04C1" w:rsidP="00B713EE">
            <w:pPr>
              <w:spacing w:before="40" w:after="120"/>
              <w:ind w:right="113"/>
            </w:pPr>
            <w:r w:rsidRPr="00B713EE">
              <w:t>AC.3/43</w:t>
            </w:r>
            <w:r w:rsidRPr="00B713EE">
              <w:br/>
            </w:r>
            <w:r w:rsidRPr="00B713EE">
              <w:rPr>
                <w:bCs/>
              </w:rPr>
              <w:t>GRSP/2016/17</w:t>
            </w:r>
          </w:p>
        </w:tc>
        <w:tc>
          <w:tcPr>
            <w:tcW w:w="2246" w:type="dxa"/>
            <w:shd w:val="clear" w:color="auto" w:fill="auto"/>
          </w:tcPr>
          <w:p w:rsidR="00CD04C1" w:rsidRPr="00B713EE" w:rsidRDefault="00CD04C1" w:rsidP="00B713EE">
            <w:pPr>
              <w:spacing w:before="40" w:after="120"/>
              <w:ind w:right="113"/>
            </w:pPr>
            <w:r w:rsidRPr="00B713EE">
              <w:t>Le GRSP a recommandé la proposition d</w:t>
            </w:r>
            <w:r w:rsidR="007C2F80">
              <w:t>’</w:t>
            </w:r>
            <w:r w:rsidRPr="00B713EE">
              <w:t>amendements et son rapport final à la session de juin 2017 de l</w:t>
            </w:r>
            <w:r w:rsidR="007C2F80">
              <w:t>’</w:t>
            </w:r>
            <w:r w:rsidRPr="00B713EE">
              <w:t>AC.3</w:t>
            </w:r>
          </w:p>
        </w:tc>
      </w:tr>
      <w:tr w:rsidR="00CD04C1" w:rsidRPr="00B713EE" w:rsidTr="00931B50">
        <w:tc>
          <w:tcPr>
            <w:tcW w:w="1526" w:type="dxa"/>
            <w:shd w:val="clear" w:color="auto" w:fill="auto"/>
            <w:hideMark/>
          </w:tcPr>
          <w:p w:rsidR="00CD04C1" w:rsidRPr="00B713EE" w:rsidRDefault="00CD04C1" w:rsidP="00931B50">
            <w:pPr>
              <w:spacing w:before="40" w:after="120"/>
              <w:ind w:right="113"/>
            </w:pPr>
            <w:r w:rsidRPr="00B713EE">
              <w:t xml:space="preserve">Phase 2 du RTM </w:t>
            </w:r>
            <w:r w:rsidR="00FE6535">
              <w:rPr>
                <w:rFonts w:eastAsia="MS Mincho"/>
              </w:rPr>
              <w:t>n</w:t>
            </w:r>
            <w:r w:rsidR="00FE6535">
              <w:rPr>
                <w:rFonts w:eastAsia="MS Mincho"/>
                <w:vertAlign w:val="superscript"/>
              </w:rPr>
              <w:t>o</w:t>
            </w:r>
            <w:r w:rsidR="00FE6535" w:rsidRPr="00AA7C01">
              <w:rPr>
                <w:rFonts w:eastAsia="MS Mincho"/>
              </w:rPr>
              <w:t> </w:t>
            </w:r>
            <w:r w:rsidRPr="00B713EE">
              <w:t>7</w:t>
            </w:r>
            <w:r w:rsidR="00931B50">
              <w:t xml:space="preserve"> </w:t>
            </w:r>
            <w:r w:rsidR="00931B50">
              <w:br/>
            </w:r>
            <w:r w:rsidRPr="00B713EE">
              <w:t>(Appuie-tête)</w:t>
            </w:r>
          </w:p>
        </w:tc>
        <w:tc>
          <w:tcPr>
            <w:tcW w:w="1176" w:type="dxa"/>
            <w:shd w:val="clear" w:color="auto" w:fill="auto"/>
            <w:hideMark/>
          </w:tcPr>
          <w:p w:rsidR="00CD04C1" w:rsidRPr="00B713EE" w:rsidRDefault="00CD04C1" w:rsidP="00B713EE">
            <w:pPr>
              <w:spacing w:before="40" w:after="120"/>
              <w:ind w:right="113"/>
            </w:pPr>
            <w:r w:rsidRPr="00B713EE">
              <w:t>Oui/</w:t>
            </w:r>
            <w:r w:rsidR="00931B50">
              <w:t xml:space="preserve"> </w:t>
            </w:r>
            <w:r w:rsidRPr="00B713EE">
              <w:t>Royaume-Uni</w:t>
            </w:r>
          </w:p>
        </w:tc>
        <w:tc>
          <w:tcPr>
            <w:tcW w:w="1246" w:type="dxa"/>
            <w:shd w:val="clear" w:color="auto" w:fill="auto"/>
            <w:hideMark/>
          </w:tcPr>
          <w:p w:rsidR="00CD04C1" w:rsidRPr="00B713EE" w:rsidRDefault="00CD04C1" w:rsidP="00B713EE">
            <w:pPr>
              <w:spacing w:before="40" w:after="120"/>
              <w:ind w:right="113"/>
            </w:pPr>
            <w:r w:rsidRPr="00B713EE">
              <w:t>Japon</w:t>
            </w:r>
          </w:p>
        </w:tc>
        <w:tc>
          <w:tcPr>
            <w:tcW w:w="1708" w:type="dxa"/>
            <w:shd w:val="clear" w:color="auto" w:fill="auto"/>
          </w:tcPr>
          <w:p w:rsidR="00CD04C1" w:rsidRPr="00B713EE" w:rsidRDefault="00CD04C1" w:rsidP="00B713EE">
            <w:pPr>
              <w:spacing w:before="40" w:after="120"/>
              <w:ind w:right="113"/>
            </w:pPr>
            <w:r w:rsidRPr="00B713EE">
              <w:t>AC.3/25/</w:t>
            </w:r>
            <w:r w:rsidRPr="00B713EE">
              <w:br/>
              <w:t>Rev.1</w:t>
            </w:r>
          </w:p>
        </w:tc>
        <w:tc>
          <w:tcPr>
            <w:tcW w:w="1735" w:type="dxa"/>
            <w:shd w:val="clear" w:color="auto" w:fill="auto"/>
            <w:hideMark/>
          </w:tcPr>
          <w:p w:rsidR="00CD04C1" w:rsidRPr="00B713EE" w:rsidRDefault="00CD04C1" w:rsidP="00B713EE">
            <w:pPr>
              <w:spacing w:before="40" w:after="120"/>
              <w:ind w:right="113"/>
            </w:pPr>
            <w:r w:rsidRPr="00B713EE">
              <w:t>2014/86</w:t>
            </w:r>
          </w:p>
          <w:p w:rsidR="00CD04C1" w:rsidRPr="00B713EE" w:rsidRDefault="00CD04C1" w:rsidP="00B713EE">
            <w:pPr>
              <w:spacing w:before="40" w:after="120"/>
              <w:ind w:right="113"/>
            </w:pPr>
            <w:r w:rsidRPr="00B713EE">
              <w:t>(4</w:t>
            </w:r>
            <w:r w:rsidRPr="00B713EE">
              <w:rPr>
                <w:vertAlign w:val="superscript"/>
              </w:rPr>
              <w:t>e</w:t>
            </w:r>
            <w:r w:rsidRPr="00B713EE">
              <w:t xml:space="preserve"> rapport d</w:t>
            </w:r>
            <w:r w:rsidR="007C2F80">
              <w:t>’</w:t>
            </w:r>
            <w:r w:rsidRPr="00B713EE">
              <w:t>activité)</w:t>
            </w:r>
          </w:p>
          <w:p w:rsidR="00CD04C1" w:rsidRPr="00B713EE" w:rsidRDefault="00CD04C1" w:rsidP="00B713EE">
            <w:pPr>
              <w:spacing w:before="40" w:after="120"/>
              <w:ind w:right="113"/>
            </w:pPr>
            <w:r w:rsidRPr="00B713EE">
              <w:t>GRSP/2015/34</w:t>
            </w:r>
          </w:p>
          <w:p w:rsidR="00CD04C1" w:rsidRPr="00B713EE" w:rsidRDefault="00CD04C1" w:rsidP="00B713EE">
            <w:pPr>
              <w:spacing w:before="40" w:after="120"/>
              <w:ind w:right="113"/>
            </w:pPr>
            <w:r w:rsidRPr="00B713EE">
              <w:t>(Projet de RTM)</w:t>
            </w:r>
          </w:p>
        </w:tc>
        <w:tc>
          <w:tcPr>
            <w:tcW w:w="2246" w:type="dxa"/>
            <w:shd w:val="clear" w:color="auto" w:fill="auto"/>
            <w:hideMark/>
          </w:tcPr>
          <w:p w:rsidR="00CD04C1" w:rsidRPr="00B713EE" w:rsidRDefault="00CD04C1" w:rsidP="00B713EE">
            <w:pPr>
              <w:spacing w:before="40" w:after="120"/>
              <w:ind w:right="113"/>
            </w:pPr>
            <w:r w:rsidRPr="00B713EE">
              <w:t>Le GRSP devrait reprendre la discussion en abordant toutes les questions, notamment le projet d</w:t>
            </w:r>
            <w:r w:rsidR="007C2F80">
              <w:t>’</w:t>
            </w:r>
            <w:r w:rsidRPr="00B713EE">
              <w:t>additif 1 à la R.M.1 lors de sa session de mai 2017. L</w:t>
            </w:r>
            <w:r w:rsidR="007C2F80">
              <w:t>’</w:t>
            </w:r>
            <w:r w:rsidRPr="00B713EE">
              <w:t>AC.3 a accepté de prolonger les mandat du GTI jusqu</w:t>
            </w:r>
            <w:r w:rsidR="007C2F80">
              <w:t>’</w:t>
            </w:r>
            <w:r w:rsidRPr="00B713EE">
              <w:t>en juin 2018.</w:t>
            </w:r>
          </w:p>
        </w:tc>
      </w:tr>
      <w:tr w:rsidR="00CD04C1" w:rsidRPr="00B713EE" w:rsidTr="00931B50">
        <w:trPr>
          <w:cantSplit/>
        </w:trPr>
        <w:tc>
          <w:tcPr>
            <w:tcW w:w="1526" w:type="dxa"/>
            <w:shd w:val="clear" w:color="auto" w:fill="auto"/>
            <w:hideMark/>
          </w:tcPr>
          <w:p w:rsidR="00CD04C1" w:rsidRPr="00B713EE" w:rsidRDefault="00CD04C1" w:rsidP="00931B50">
            <w:pPr>
              <w:spacing w:before="40" w:after="120"/>
              <w:ind w:right="113"/>
            </w:pPr>
            <w:r w:rsidRPr="00B713EE">
              <w:t xml:space="preserve">Amendement 2 </w:t>
            </w:r>
            <w:r w:rsidR="00931B50">
              <w:t>−</w:t>
            </w:r>
            <w:r w:rsidRPr="00B713EE">
              <w:t xml:space="preserve"> Phase 2 du RTM </w:t>
            </w:r>
            <w:r w:rsidR="00931B50">
              <w:rPr>
                <w:rFonts w:eastAsia="MS Mincho"/>
              </w:rPr>
              <w:t>n</w:t>
            </w:r>
            <w:r w:rsidR="00931B50">
              <w:rPr>
                <w:rFonts w:eastAsia="MS Mincho"/>
                <w:vertAlign w:val="superscript"/>
              </w:rPr>
              <w:t>o</w:t>
            </w:r>
            <w:r w:rsidR="00931B50" w:rsidRPr="00AA7C01">
              <w:rPr>
                <w:rFonts w:eastAsia="MS Mincho"/>
              </w:rPr>
              <w:t> </w:t>
            </w:r>
            <w:r w:rsidRPr="00B713EE">
              <w:t>9 (Flex-PLI)</w:t>
            </w:r>
            <w:r w:rsidRPr="00B713EE">
              <w:br/>
              <w:t>(Protection des piétons)</w:t>
            </w:r>
          </w:p>
        </w:tc>
        <w:tc>
          <w:tcPr>
            <w:tcW w:w="1176" w:type="dxa"/>
            <w:shd w:val="clear" w:color="auto" w:fill="auto"/>
            <w:hideMark/>
          </w:tcPr>
          <w:p w:rsidR="00CD04C1" w:rsidRPr="00B713EE" w:rsidRDefault="00CD04C1" w:rsidP="00B713EE">
            <w:pPr>
              <w:spacing w:before="40" w:after="120"/>
              <w:ind w:right="113"/>
            </w:pPr>
            <w:r w:rsidRPr="00B713EE">
              <w:t>Oui/</w:t>
            </w:r>
            <w:r w:rsidRPr="00B713EE">
              <w:br/>
              <w:t>Allemagne/</w:t>
            </w:r>
            <w:r w:rsidRPr="00B713EE">
              <w:br/>
              <w:t>Japon</w:t>
            </w:r>
          </w:p>
        </w:tc>
        <w:tc>
          <w:tcPr>
            <w:tcW w:w="1246" w:type="dxa"/>
            <w:shd w:val="clear" w:color="auto" w:fill="auto"/>
            <w:hideMark/>
          </w:tcPr>
          <w:p w:rsidR="00CD04C1" w:rsidRPr="00B713EE" w:rsidRDefault="00CD04C1" w:rsidP="00931B50">
            <w:pPr>
              <w:spacing w:before="40" w:after="120"/>
              <w:ind w:right="113"/>
            </w:pPr>
            <w:r w:rsidRPr="00B713EE">
              <w:t>Allemagne/</w:t>
            </w:r>
            <w:r w:rsidR="00931B50">
              <w:t xml:space="preserve"> </w:t>
            </w:r>
            <w:r w:rsidRPr="00B713EE">
              <w:t>Japon</w:t>
            </w:r>
          </w:p>
        </w:tc>
        <w:tc>
          <w:tcPr>
            <w:tcW w:w="1708" w:type="dxa"/>
            <w:shd w:val="clear" w:color="auto" w:fill="auto"/>
            <w:hideMark/>
          </w:tcPr>
          <w:p w:rsidR="00CD04C1" w:rsidRPr="00B713EE" w:rsidRDefault="00CD04C1" w:rsidP="00B713EE">
            <w:pPr>
              <w:spacing w:before="40" w:after="120"/>
              <w:ind w:right="113"/>
            </w:pPr>
            <w:r w:rsidRPr="00B713EE">
              <w:t>AC.3/24</w:t>
            </w:r>
          </w:p>
        </w:tc>
        <w:tc>
          <w:tcPr>
            <w:tcW w:w="1735" w:type="dxa"/>
            <w:shd w:val="clear" w:color="auto" w:fill="auto"/>
            <w:hideMark/>
          </w:tcPr>
          <w:p w:rsidR="00CD04C1" w:rsidRPr="00B713EE" w:rsidRDefault="00CD04C1" w:rsidP="00B713EE">
            <w:pPr>
              <w:spacing w:before="40" w:after="120"/>
              <w:ind w:right="113"/>
              <w:rPr>
                <w:bCs/>
              </w:rPr>
            </w:pPr>
            <w:r w:rsidRPr="00B713EE">
              <w:rPr>
                <w:bCs/>
              </w:rPr>
              <w:t>GRSP/2014/15</w:t>
            </w:r>
            <w:r w:rsidRPr="00B713EE">
              <w:rPr>
                <w:bCs/>
              </w:rPr>
              <w:br/>
              <w:t>(Projet de RTM)</w:t>
            </w:r>
          </w:p>
          <w:p w:rsidR="00CD04C1" w:rsidRPr="00B713EE" w:rsidRDefault="00CD04C1" w:rsidP="00B713EE">
            <w:pPr>
              <w:spacing w:before="40" w:after="120"/>
              <w:ind w:right="113"/>
              <w:rPr>
                <w:bCs/>
              </w:rPr>
            </w:pPr>
            <w:r w:rsidRPr="00B713EE">
              <w:rPr>
                <w:bCs/>
              </w:rPr>
              <w:t>GRSP/2017/3</w:t>
            </w:r>
          </w:p>
          <w:p w:rsidR="00CD04C1" w:rsidRPr="00B713EE" w:rsidRDefault="00CD04C1" w:rsidP="00B713EE">
            <w:pPr>
              <w:spacing w:before="40" w:after="120"/>
              <w:ind w:right="113"/>
              <w:rPr>
                <w:bCs/>
              </w:rPr>
            </w:pPr>
            <w:r w:rsidRPr="00B713EE">
              <w:t>GRSP/2015/2</w:t>
            </w:r>
          </w:p>
          <w:p w:rsidR="00CD04C1" w:rsidRPr="00B713EE" w:rsidRDefault="00CD04C1" w:rsidP="00B713EE">
            <w:pPr>
              <w:spacing w:before="40" w:after="120"/>
              <w:ind w:right="113"/>
              <w:rPr>
                <w:bCs/>
              </w:rPr>
            </w:pPr>
            <w:r w:rsidRPr="00B713EE">
              <w:rPr>
                <w:bCs/>
              </w:rPr>
              <w:t>GRSP/2014/16</w:t>
            </w:r>
            <w:r w:rsidRPr="00B713EE">
              <w:rPr>
                <w:bCs/>
              </w:rPr>
              <w:br/>
              <w:t>(5</w:t>
            </w:r>
            <w:r w:rsidRPr="00B713EE">
              <w:rPr>
                <w:bCs/>
                <w:vertAlign w:val="superscript"/>
              </w:rPr>
              <w:t>e</w:t>
            </w:r>
            <w:r w:rsidR="009A2D64">
              <w:rPr>
                <w:bCs/>
                <w:vertAlign w:val="superscript"/>
              </w:rPr>
              <w:t xml:space="preserve"> </w:t>
            </w:r>
            <w:r w:rsidRPr="00B713EE">
              <w:rPr>
                <w:bCs/>
              </w:rPr>
              <w:t>rapport d</w:t>
            </w:r>
            <w:r w:rsidR="007C2F80">
              <w:rPr>
                <w:bCs/>
              </w:rPr>
              <w:t>’</w:t>
            </w:r>
            <w:r w:rsidRPr="00B713EE">
              <w:rPr>
                <w:bCs/>
              </w:rPr>
              <w:t>activité)</w:t>
            </w:r>
          </w:p>
          <w:p w:rsidR="00CD04C1" w:rsidRPr="00B713EE" w:rsidRDefault="00CD04C1" w:rsidP="00B713EE">
            <w:pPr>
              <w:spacing w:before="40" w:after="120"/>
              <w:ind w:right="113"/>
              <w:rPr>
                <w:bCs/>
              </w:rPr>
            </w:pPr>
            <w:r w:rsidRPr="00B713EE">
              <w:t>GRSP/2015/2</w:t>
            </w:r>
          </w:p>
        </w:tc>
        <w:tc>
          <w:tcPr>
            <w:tcW w:w="2246" w:type="dxa"/>
            <w:shd w:val="clear" w:color="auto" w:fill="auto"/>
            <w:hideMark/>
          </w:tcPr>
          <w:p w:rsidR="00CD04C1" w:rsidRPr="00B713EE" w:rsidRDefault="00CD04C1" w:rsidP="00B713EE">
            <w:pPr>
              <w:spacing w:before="40" w:after="120"/>
              <w:ind w:right="113"/>
            </w:pPr>
            <w:r w:rsidRPr="00B713EE">
              <w:t>À sa session de mai 2017, le GRSP reprendra l</w:t>
            </w:r>
            <w:r w:rsidR="007C2F80">
              <w:t>’</w:t>
            </w:r>
            <w:r w:rsidRPr="00B713EE">
              <w:t>examen des valeurs de référence pour l</w:t>
            </w:r>
            <w:r w:rsidR="007C2F80">
              <w:t>’</w:t>
            </w:r>
            <w:r w:rsidRPr="00B713EE">
              <w:t>évaluation des blessures et du projet de RTM, ainsi que d</w:t>
            </w:r>
            <w:r w:rsidR="007C2F80">
              <w:t>’</w:t>
            </w:r>
            <w:r w:rsidRPr="00B713EE">
              <w:t>une proposition relative aux essais de pare-chocs.</w:t>
            </w:r>
          </w:p>
        </w:tc>
      </w:tr>
      <w:tr w:rsidR="00CD04C1" w:rsidRPr="00B713EE" w:rsidTr="00931B50">
        <w:tc>
          <w:tcPr>
            <w:tcW w:w="1526" w:type="dxa"/>
            <w:shd w:val="clear" w:color="auto" w:fill="auto"/>
            <w:hideMark/>
          </w:tcPr>
          <w:p w:rsidR="00CD04C1" w:rsidRPr="00B713EE" w:rsidRDefault="00CD04C1" w:rsidP="00B713EE">
            <w:pPr>
              <w:spacing w:before="40" w:after="120"/>
              <w:ind w:right="113"/>
            </w:pPr>
            <w:r w:rsidRPr="00B713EE">
              <w:t xml:space="preserve">Amendement 3 au RTM </w:t>
            </w:r>
            <w:r w:rsidR="00931B50">
              <w:rPr>
                <w:rFonts w:eastAsia="MS Mincho"/>
              </w:rPr>
              <w:t>n</w:t>
            </w:r>
            <w:r w:rsidR="00931B50">
              <w:rPr>
                <w:rFonts w:eastAsia="MS Mincho"/>
                <w:vertAlign w:val="superscript"/>
              </w:rPr>
              <w:t>o</w:t>
            </w:r>
            <w:r w:rsidR="00931B50" w:rsidRPr="00AA7C01">
              <w:rPr>
                <w:rFonts w:eastAsia="MS Mincho"/>
              </w:rPr>
              <w:t> </w:t>
            </w:r>
            <w:r w:rsidRPr="00B713EE">
              <w:t>9</w:t>
            </w:r>
          </w:p>
        </w:tc>
        <w:tc>
          <w:tcPr>
            <w:tcW w:w="1176" w:type="dxa"/>
            <w:shd w:val="clear" w:color="auto" w:fill="auto"/>
          </w:tcPr>
          <w:p w:rsidR="00CD04C1" w:rsidRPr="00B713EE" w:rsidRDefault="00CD04C1" w:rsidP="00B713EE">
            <w:pPr>
              <w:spacing w:before="40" w:after="120"/>
              <w:ind w:right="113"/>
            </w:pPr>
          </w:p>
        </w:tc>
        <w:tc>
          <w:tcPr>
            <w:tcW w:w="1246" w:type="dxa"/>
            <w:shd w:val="clear" w:color="auto" w:fill="auto"/>
            <w:hideMark/>
          </w:tcPr>
          <w:p w:rsidR="00CD04C1" w:rsidRPr="00B713EE" w:rsidRDefault="00CD04C1" w:rsidP="00B713EE">
            <w:pPr>
              <w:spacing w:before="40" w:after="120"/>
              <w:ind w:right="113"/>
            </w:pPr>
            <w:r w:rsidRPr="00B713EE">
              <w:t>Pays-Bas</w:t>
            </w:r>
          </w:p>
        </w:tc>
        <w:tc>
          <w:tcPr>
            <w:tcW w:w="1708" w:type="dxa"/>
            <w:shd w:val="clear" w:color="auto" w:fill="auto"/>
            <w:hideMark/>
          </w:tcPr>
          <w:p w:rsidR="00CD04C1" w:rsidRPr="00B713EE" w:rsidRDefault="00CD04C1" w:rsidP="00B713EE">
            <w:pPr>
              <w:spacing w:before="40" w:after="120"/>
              <w:ind w:right="113"/>
            </w:pPr>
            <w:r w:rsidRPr="00B713EE">
              <w:t>AC.3/31</w:t>
            </w:r>
          </w:p>
        </w:tc>
        <w:tc>
          <w:tcPr>
            <w:tcW w:w="1735" w:type="dxa"/>
            <w:shd w:val="clear" w:color="auto" w:fill="auto"/>
            <w:hideMark/>
          </w:tcPr>
          <w:p w:rsidR="00CD04C1" w:rsidRPr="00B713EE" w:rsidRDefault="00CD04C1" w:rsidP="00B713EE">
            <w:pPr>
              <w:spacing w:before="40" w:after="120"/>
              <w:ind w:right="113"/>
            </w:pPr>
            <w:r w:rsidRPr="00B713EE">
              <w:t>GRSP/2012/2</w:t>
            </w:r>
            <w:r w:rsidRPr="00B713EE">
              <w:br/>
              <w:t>GRSP/2014/5</w:t>
            </w:r>
          </w:p>
        </w:tc>
        <w:tc>
          <w:tcPr>
            <w:tcW w:w="2246" w:type="dxa"/>
            <w:shd w:val="clear" w:color="auto" w:fill="auto"/>
            <w:hideMark/>
          </w:tcPr>
          <w:p w:rsidR="00CD04C1" w:rsidRPr="00B713EE" w:rsidRDefault="00CD04C1" w:rsidP="00C60236">
            <w:pPr>
              <w:spacing w:before="40" w:after="120"/>
              <w:ind w:right="113"/>
            </w:pPr>
            <w:r w:rsidRPr="00B713EE">
              <w:t xml:space="preserve">À sa session de mai 2017, le GRSP examinera une proposition relative aux points de contact des </w:t>
            </w:r>
            <w:r w:rsidR="00C60236">
              <w:t>éléments de frappe tête pour la phase</w:t>
            </w:r>
            <w:r w:rsidRPr="00B713EE">
              <w:t xml:space="preserve"> 2 du RTM. </w:t>
            </w:r>
          </w:p>
        </w:tc>
      </w:tr>
      <w:tr w:rsidR="00CD04C1" w:rsidRPr="00B713EE" w:rsidTr="00931B50">
        <w:tc>
          <w:tcPr>
            <w:tcW w:w="1526" w:type="dxa"/>
            <w:shd w:val="clear" w:color="auto" w:fill="auto"/>
          </w:tcPr>
          <w:p w:rsidR="00CD04C1" w:rsidRPr="00B713EE" w:rsidRDefault="00CD04C1" w:rsidP="00B713EE">
            <w:pPr>
              <w:spacing w:before="40" w:after="120"/>
              <w:ind w:right="113"/>
            </w:pPr>
            <w:r w:rsidRPr="00B713EE">
              <w:t xml:space="preserve">Amendement 4 au RTM </w:t>
            </w:r>
            <w:r w:rsidR="00931B50">
              <w:rPr>
                <w:rFonts w:eastAsia="MS Mincho"/>
              </w:rPr>
              <w:t>n</w:t>
            </w:r>
            <w:r w:rsidR="00931B50">
              <w:rPr>
                <w:rFonts w:eastAsia="MS Mincho"/>
                <w:vertAlign w:val="superscript"/>
              </w:rPr>
              <w:t>o</w:t>
            </w:r>
            <w:r w:rsidR="00931B50" w:rsidRPr="00AA7C01">
              <w:rPr>
                <w:rFonts w:eastAsia="MS Mincho"/>
              </w:rPr>
              <w:t> </w:t>
            </w:r>
            <w:r w:rsidRPr="00B713EE">
              <w:t>9</w:t>
            </w:r>
          </w:p>
        </w:tc>
        <w:tc>
          <w:tcPr>
            <w:tcW w:w="1176" w:type="dxa"/>
            <w:shd w:val="clear" w:color="auto" w:fill="auto"/>
          </w:tcPr>
          <w:p w:rsidR="00CD04C1" w:rsidRPr="00B713EE" w:rsidRDefault="00CD04C1" w:rsidP="00B713EE">
            <w:pPr>
              <w:spacing w:before="40" w:after="120"/>
              <w:ind w:right="113"/>
            </w:pPr>
          </w:p>
        </w:tc>
        <w:tc>
          <w:tcPr>
            <w:tcW w:w="1246" w:type="dxa"/>
            <w:shd w:val="clear" w:color="auto" w:fill="auto"/>
          </w:tcPr>
          <w:p w:rsidR="00CD04C1" w:rsidRPr="00B713EE" w:rsidRDefault="00CD04C1" w:rsidP="00B713EE">
            <w:pPr>
              <w:spacing w:before="40" w:after="120"/>
              <w:ind w:right="113"/>
            </w:pPr>
            <w:r w:rsidRPr="00B713EE">
              <w:t>République de Corée</w:t>
            </w:r>
          </w:p>
        </w:tc>
        <w:tc>
          <w:tcPr>
            <w:tcW w:w="1708" w:type="dxa"/>
            <w:shd w:val="clear" w:color="auto" w:fill="auto"/>
          </w:tcPr>
          <w:p w:rsidR="00CD04C1" w:rsidRPr="00B713EE" w:rsidRDefault="00CD04C1" w:rsidP="00B713EE">
            <w:pPr>
              <w:spacing w:before="40" w:after="120"/>
              <w:ind w:right="113"/>
            </w:pPr>
          </w:p>
        </w:tc>
        <w:tc>
          <w:tcPr>
            <w:tcW w:w="1735" w:type="dxa"/>
            <w:shd w:val="clear" w:color="auto" w:fill="auto"/>
          </w:tcPr>
          <w:p w:rsidR="00CD04C1" w:rsidRPr="00B713EE" w:rsidRDefault="00CD04C1" w:rsidP="00B713EE">
            <w:pPr>
              <w:spacing w:before="40" w:after="120"/>
              <w:ind w:right="113"/>
            </w:pPr>
            <w:r w:rsidRPr="00B713EE">
              <w:t>AC.3/45</w:t>
            </w:r>
          </w:p>
        </w:tc>
        <w:tc>
          <w:tcPr>
            <w:tcW w:w="2246" w:type="dxa"/>
            <w:shd w:val="clear" w:color="auto" w:fill="auto"/>
          </w:tcPr>
          <w:p w:rsidR="00CD04C1" w:rsidRPr="00B713EE" w:rsidRDefault="00CD04C1" w:rsidP="00B713EE">
            <w:pPr>
              <w:spacing w:before="40" w:after="120"/>
              <w:ind w:right="113"/>
            </w:pPr>
            <w:r w:rsidRPr="00B713EE">
              <w:t>Le GRSP reprendra l</w:t>
            </w:r>
            <w:r w:rsidR="007C2F80">
              <w:t>’</w:t>
            </w:r>
            <w:r w:rsidRPr="00B713EE">
              <w:t>examen d</w:t>
            </w:r>
            <w:r w:rsidR="007C2F80">
              <w:t>’</w:t>
            </w:r>
            <w:r w:rsidRPr="00B713EE">
              <w:t>éventuelles propositions d</w:t>
            </w:r>
            <w:r w:rsidR="007C2F80">
              <w:t>’</w:t>
            </w:r>
            <w:r w:rsidRPr="00B713EE">
              <w:t>amendements au RTM afin d</w:t>
            </w:r>
            <w:r w:rsidR="007C2F80">
              <w:t>’</w:t>
            </w:r>
            <w:r w:rsidRPr="00B713EE">
              <w:t>établir une procédure d</w:t>
            </w:r>
            <w:r w:rsidR="007C2F80">
              <w:t>’</w:t>
            </w:r>
            <w:r w:rsidRPr="00B713EE">
              <w:t>essai pour les systèmes de capots actifs servant à assurer une protection adéquate aux piétons.</w:t>
            </w:r>
          </w:p>
        </w:tc>
      </w:tr>
      <w:tr w:rsidR="00CD04C1" w:rsidRPr="00B713EE" w:rsidTr="00931B50">
        <w:tc>
          <w:tcPr>
            <w:tcW w:w="1526" w:type="dxa"/>
            <w:shd w:val="clear" w:color="auto" w:fill="auto"/>
            <w:hideMark/>
          </w:tcPr>
          <w:p w:rsidR="00CD04C1" w:rsidRPr="00B713EE" w:rsidRDefault="00CD04C1" w:rsidP="00641815">
            <w:pPr>
              <w:spacing w:before="40" w:after="120"/>
              <w:ind w:right="113"/>
            </w:pPr>
            <w:r w:rsidRPr="00B713EE">
              <w:t xml:space="preserve">Phase 2 du RTM </w:t>
            </w:r>
            <w:r w:rsidR="00931B50">
              <w:rPr>
                <w:rFonts w:eastAsia="MS Mincho"/>
              </w:rPr>
              <w:t>n</w:t>
            </w:r>
            <w:r w:rsidR="00931B50">
              <w:rPr>
                <w:rFonts w:eastAsia="MS Mincho"/>
                <w:vertAlign w:val="superscript"/>
              </w:rPr>
              <w:t>o</w:t>
            </w:r>
            <w:r w:rsidR="00931B50" w:rsidRPr="00AA7C01">
              <w:rPr>
                <w:rFonts w:eastAsia="MS Mincho"/>
              </w:rPr>
              <w:t> </w:t>
            </w:r>
            <w:r w:rsidR="00931B50">
              <w:t>13</w:t>
            </w:r>
            <w:r w:rsidRPr="00B713EE">
              <w:t xml:space="preserve"> (véhicules à hyd</w:t>
            </w:r>
            <w:r w:rsidR="00641815">
              <w:t>rogène et à pile à combustible − </w:t>
            </w:r>
            <w:r w:rsidRPr="00B713EE">
              <w:t>VHPC)</w:t>
            </w:r>
          </w:p>
        </w:tc>
        <w:tc>
          <w:tcPr>
            <w:tcW w:w="1176" w:type="dxa"/>
            <w:shd w:val="clear" w:color="auto" w:fill="auto"/>
          </w:tcPr>
          <w:p w:rsidR="00CD04C1" w:rsidRPr="00B713EE" w:rsidRDefault="00CD04C1" w:rsidP="00B713EE">
            <w:pPr>
              <w:spacing w:before="40" w:after="120"/>
              <w:ind w:right="113"/>
            </w:pPr>
          </w:p>
        </w:tc>
        <w:tc>
          <w:tcPr>
            <w:tcW w:w="1246" w:type="dxa"/>
            <w:shd w:val="clear" w:color="auto" w:fill="auto"/>
          </w:tcPr>
          <w:p w:rsidR="00CD04C1" w:rsidRPr="00B713EE" w:rsidRDefault="00931B50" w:rsidP="00B713EE">
            <w:pPr>
              <w:spacing w:before="40" w:after="120"/>
              <w:ind w:right="113"/>
            </w:pPr>
            <w:r>
              <w:t xml:space="preserve">Japon, République de Corée </w:t>
            </w:r>
            <w:r>
              <w:br/>
              <w:t xml:space="preserve">et </w:t>
            </w:r>
            <w:r w:rsidR="00CD04C1" w:rsidRPr="00B713EE">
              <w:t>Union européenne</w:t>
            </w:r>
          </w:p>
        </w:tc>
        <w:tc>
          <w:tcPr>
            <w:tcW w:w="1708" w:type="dxa"/>
            <w:shd w:val="clear" w:color="auto" w:fill="auto"/>
          </w:tcPr>
          <w:p w:rsidR="00CD04C1" w:rsidRPr="00B713EE" w:rsidRDefault="00CD04C1" w:rsidP="00B713EE">
            <w:pPr>
              <w:spacing w:before="40" w:after="120"/>
              <w:ind w:right="113"/>
            </w:pPr>
          </w:p>
        </w:tc>
        <w:tc>
          <w:tcPr>
            <w:tcW w:w="1735" w:type="dxa"/>
            <w:shd w:val="clear" w:color="auto" w:fill="auto"/>
          </w:tcPr>
          <w:p w:rsidR="00CD04C1" w:rsidRPr="00B713EE" w:rsidRDefault="00CD04C1" w:rsidP="00B713EE">
            <w:pPr>
              <w:spacing w:before="40" w:after="120"/>
              <w:ind w:right="113"/>
              <w:rPr>
                <w:bCs/>
              </w:rPr>
            </w:pPr>
            <w:r w:rsidRPr="00B713EE">
              <w:rPr>
                <w:bCs/>
              </w:rPr>
              <w:t>2017/56</w:t>
            </w:r>
          </w:p>
        </w:tc>
        <w:tc>
          <w:tcPr>
            <w:tcW w:w="2246" w:type="dxa"/>
            <w:shd w:val="clear" w:color="auto" w:fill="auto"/>
            <w:hideMark/>
          </w:tcPr>
          <w:p w:rsidR="00CD04C1" w:rsidRPr="00B713EE" w:rsidRDefault="00CD04C1" w:rsidP="00B713EE">
            <w:pPr>
              <w:spacing w:before="40" w:after="120"/>
              <w:ind w:right="113"/>
            </w:pPr>
            <w:r w:rsidRPr="00B713EE">
              <w:t>La proposition d</w:t>
            </w:r>
            <w:r w:rsidR="007C2F80">
              <w:t>’</w:t>
            </w:r>
            <w:r w:rsidRPr="00B713EE">
              <w:t>autoriser l</w:t>
            </w:r>
            <w:r w:rsidR="007C2F80">
              <w:t>’</w:t>
            </w:r>
            <w:r w:rsidRPr="00B713EE">
              <w:t>élaboration de la phase 2 du RTM a été adoptée par l</w:t>
            </w:r>
            <w:r w:rsidR="007C2F80">
              <w:t>’</w:t>
            </w:r>
            <w:r w:rsidRPr="00B713EE">
              <w:t>AC.3 à sa session de mars 2017.</w:t>
            </w:r>
          </w:p>
        </w:tc>
      </w:tr>
      <w:tr w:rsidR="00CD04C1" w:rsidRPr="00B713EE" w:rsidTr="00931B50">
        <w:tc>
          <w:tcPr>
            <w:tcW w:w="1526" w:type="dxa"/>
            <w:shd w:val="clear" w:color="auto" w:fill="auto"/>
            <w:hideMark/>
          </w:tcPr>
          <w:p w:rsidR="00CD04C1" w:rsidRPr="00B713EE" w:rsidRDefault="00CD04C1" w:rsidP="00B713EE">
            <w:pPr>
              <w:spacing w:before="40" w:after="120"/>
              <w:ind w:right="113"/>
            </w:pPr>
            <w:r w:rsidRPr="00B713EE">
              <w:t xml:space="preserve">RTM </w:t>
            </w:r>
            <w:r w:rsidR="00931B50">
              <w:rPr>
                <w:rFonts w:eastAsia="MS Mincho"/>
              </w:rPr>
              <w:t>n</w:t>
            </w:r>
            <w:r w:rsidR="00931B50">
              <w:rPr>
                <w:rFonts w:eastAsia="MS Mincho"/>
                <w:vertAlign w:val="superscript"/>
              </w:rPr>
              <w:t>o</w:t>
            </w:r>
            <w:r w:rsidR="00931B50" w:rsidRPr="00AA7C01">
              <w:rPr>
                <w:rFonts w:eastAsia="MS Mincho"/>
              </w:rPr>
              <w:t> </w:t>
            </w:r>
            <w:r w:rsidRPr="00B713EE">
              <w:t>14 sur les essais de choc latéral contre un poteau</w:t>
            </w:r>
          </w:p>
        </w:tc>
        <w:tc>
          <w:tcPr>
            <w:tcW w:w="1176" w:type="dxa"/>
            <w:shd w:val="clear" w:color="auto" w:fill="auto"/>
            <w:hideMark/>
          </w:tcPr>
          <w:p w:rsidR="00CD04C1" w:rsidRPr="00B713EE" w:rsidRDefault="00CD04C1" w:rsidP="00B713EE">
            <w:pPr>
              <w:spacing w:before="40" w:after="120"/>
              <w:ind w:right="113"/>
            </w:pPr>
            <w:r w:rsidRPr="00B713EE">
              <w:t>Oui/</w:t>
            </w:r>
            <w:r w:rsidRPr="00B713EE">
              <w:br/>
              <w:t>Australie</w:t>
            </w:r>
          </w:p>
        </w:tc>
        <w:tc>
          <w:tcPr>
            <w:tcW w:w="1246" w:type="dxa"/>
            <w:shd w:val="clear" w:color="auto" w:fill="auto"/>
            <w:hideMark/>
          </w:tcPr>
          <w:p w:rsidR="00CD04C1" w:rsidRPr="00B713EE" w:rsidRDefault="00CD04C1" w:rsidP="00B713EE">
            <w:pPr>
              <w:spacing w:before="40" w:after="120"/>
              <w:ind w:right="113"/>
            </w:pPr>
            <w:r w:rsidRPr="00B713EE">
              <w:t>Australie</w:t>
            </w:r>
          </w:p>
        </w:tc>
        <w:tc>
          <w:tcPr>
            <w:tcW w:w="1708" w:type="dxa"/>
            <w:shd w:val="clear" w:color="auto" w:fill="auto"/>
            <w:hideMark/>
          </w:tcPr>
          <w:p w:rsidR="00CD04C1" w:rsidRPr="00B713EE" w:rsidRDefault="00CD04C1" w:rsidP="00B713EE">
            <w:pPr>
              <w:spacing w:before="40" w:after="120"/>
              <w:ind w:right="113"/>
            </w:pPr>
            <w:r w:rsidRPr="00B713EE">
              <w:rPr>
                <w:bCs/>
              </w:rPr>
              <w:t>AC.3/28</w:t>
            </w:r>
          </w:p>
        </w:tc>
        <w:tc>
          <w:tcPr>
            <w:tcW w:w="1735" w:type="dxa"/>
            <w:shd w:val="clear" w:color="auto" w:fill="auto"/>
          </w:tcPr>
          <w:p w:rsidR="00CD04C1" w:rsidRPr="00B713EE" w:rsidRDefault="00CD04C1" w:rsidP="00B713EE">
            <w:pPr>
              <w:spacing w:before="40" w:after="120"/>
              <w:ind w:right="113"/>
            </w:pPr>
          </w:p>
        </w:tc>
        <w:tc>
          <w:tcPr>
            <w:tcW w:w="2246" w:type="dxa"/>
            <w:shd w:val="clear" w:color="auto" w:fill="auto"/>
            <w:hideMark/>
          </w:tcPr>
          <w:p w:rsidR="00CD04C1" w:rsidRPr="00B713EE" w:rsidRDefault="00CD04C1" w:rsidP="00B713EE">
            <w:pPr>
              <w:spacing w:before="40" w:after="120"/>
              <w:ind w:right="113"/>
            </w:pPr>
            <w:r w:rsidRPr="00B713EE">
              <w:t>Aucun nouvel élément d</w:t>
            </w:r>
            <w:r w:rsidR="007C2F80">
              <w:t>’</w:t>
            </w:r>
            <w:r w:rsidRPr="00B713EE">
              <w:t>information n</w:t>
            </w:r>
            <w:r w:rsidR="007C2F80">
              <w:t>’</w:t>
            </w:r>
            <w:r w:rsidRPr="00B713EE">
              <w:t>a été communiqué à la session de mars 2017 de l</w:t>
            </w:r>
            <w:r w:rsidR="007C2F80">
              <w:t>’</w:t>
            </w:r>
            <w:r w:rsidRPr="00B713EE">
              <w:t>AC.3.</w:t>
            </w:r>
          </w:p>
        </w:tc>
      </w:tr>
      <w:tr w:rsidR="00CD04C1" w:rsidRPr="00B713EE" w:rsidTr="00931B50">
        <w:tc>
          <w:tcPr>
            <w:tcW w:w="1526" w:type="dxa"/>
            <w:tcBorders>
              <w:bottom w:val="single" w:sz="12" w:space="0" w:color="auto"/>
            </w:tcBorders>
            <w:shd w:val="clear" w:color="auto" w:fill="auto"/>
            <w:hideMark/>
          </w:tcPr>
          <w:p w:rsidR="00CD04C1" w:rsidRPr="00B713EE" w:rsidRDefault="00CD04C1" w:rsidP="00B713EE">
            <w:pPr>
              <w:spacing w:before="40" w:after="120"/>
              <w:ind w:right="113"/>
            </w:pPr>
            <w:r w:rsidRPr="00B713EE">
              <w:t>RTM sur les véhicules électriques</w:t>
            </w:r>
          </w:p>
        </w:tc>
        <w:tc>
          <w:tcPr>
            <w:tcW w:w="1176" w:type="dxa"/>
            <w:tcBorders>
              <w:bottom w:val="single" w:sz="12" w:space="0" w:color="auto"/>
            </w:tcBorders>
            <w:shd w:val="clear" w:color="auto" w:fill="auto"/>
            <w:hideMark/>
          </w:tcPr>
          <w:p w:rsidR="00CD04C1" w:rsidRPr="00B713EE" w:rsidRDefault="00CD04C1" w:rsidP="00931B50">
            <w:pPr>
              <w:spacing w:before="40" w:after="120"/>
              <w:ind w:right="113"/>
            </w:pPr>
            <w:r w:rsidRPr="00B713EE">
              <w:t>Oui/</w:t>
            </w:r>
            <w:r w:rsidR="00641815">
              <w:br/>
            </w:r>
            <w:r w:rsidR="00931B50">
              <w:t>États-Unis d</w:t>
            </w:r>
            <w:r w:rsidR="007C2F80">
              <w:t>’</w:t>
            </w:r>
            <w:r w:rsidR="00931B50">
              <w:t>Amérique</w:t>
            </w:r>
            <w:r w:rsidRPr="00B713EE">
              <w:rPr>
                <w:b/>
              </w:rPr>
              <w:t>/</w:t>
            </w:r>
            <w:r w:rsidRPr="00B713EE">
              <w:t>UE/Japon/</w:t>
            </w:r>
            <w:r w:rsidR="00931B50">
              <w:t xml:space="preserve"> </w:t>
            </w:r>
            <w:r w:rsidRPr="00B713EE">
              <w:t>Chine</w:t>
            </w:r>
          </w:p>
        </w:tc>
        <w:tc>
          <w:tcPr>
            <w:tcW w:w="1246" w:type="dxa"/>
            <w:tcBorders>
              <w:bottom w:val="single" w:sz="12" w:space="0" w:color="auto"/>
            </w:tcBorders>
            <w:shd w:val="clear" w:color="auto" w:fill="auto"/>
            <w:hideMark/>
          </w:tcPr>
          <w:p w:rsidR="00CD04C1" w:rsidRPr="00B713EE" w:rsidRDefault="00CD04C1" w:rsidP="00931B50">
            <w:pPr>
              <w:spacing w:before="40" w:after="120"/>
              <w:ind w:right="113"/>
            </w:pPr>
            <w:r w:rsidRPr="00B713EE">
              <w:t>UE/Japon/</w:t>
            </w:r>
            <w:r w:rsidR="00931B50">
              <w:t xml:space="preserve"> États-Unis d</w:t>
            </w:r>
            <w:r w:rsidR="007C2F80">
              <w:t>’</w:t>
            </w:r>
            <w:r w:rsidR="00931B50">
              <w:t>Amérique</w:t>
            </w:r>
            <w:r w:rsidRPr="00B713EE">
              <w:t>/</w:t>
            </w:r>
            <w:r w:rsidR="00931B50">
              <w:t xml:space="preserve"> </w:t>
            </w:r>
            <w:r w:rsidRPr="00B713EE">
              <w:t>Chine</w:t>
            </w:r>
          </w:p>
        </w:tc>
        <w:tc>
          <w:tcPr>
            <w:tcW w:w="1708" w:type="dxa"/>
            <w:tcBorders>
              <w:bottom w:val="single" w:sz="12" w:space="0" w:color="auto"/>
            </w:tcBorders>
            <w:shd w:val="clear" w:color="auto" w:fill="auto"/>
            <w:hideMark/>
          </w:tcPr>
          <w:p w:rsidR="00CD04C1" w:rsidRPr="00B713EE" w:rsidRDefault="00CD04C1" w:rsidP="00B713EE">
            <w:pPr>
              <w:spacing w:before="40" w:after="120"/>
              <w:ind w:right="113"/>
            </w:pPr>
            <w:r w:rsidRPr="00B713EE">
              <w:t>AC.3/32</w:t>
            </w:r>
          </w:p>
        </w:tc>
        <w:tc>
          <w:tcPr>
            <w:tcW w:w="1735" w:type="dxa"/>
            <w:tcBorders>
              <w:bottom w:val="single" w:sz="12" w:space="0" w:color="auto"/>
            </w:tcBorders>
            <w:shd w:val="clear" w:color="auto" w:fill="auto"/>
            <w:hideMark/>
          </w:tcPr>
          <w:p w:rsidR="00CD04C1" w:rsidRPr="00B713EE" w:rsidRDefault="00CD04C1" w:rsidP="00B713EE">
            <w:pPr>
              <w:spacing w:before="40" w:after="120"/>
              <w:ind w:right="113"/>
              <w:rPr>
                <w:bCs/>
              </w:rPr>
            </w:pPr>
            <w:r w:rsidRPr="00B713EE">
              <w:rPr>
                <w:bCs/>
              </w:rPr>
              <w:t>GRSP/2017/2</w:t>
            </w:r>
          </w:p>
          <w:p w:rsidR="00CD04C1" w:rsidRPr="00B713EE" w:rsidRDefault="00CD04C1" w:rsidP="00B713EE">
            <w:pPr>
              <w:spacing w:before="40" w:after="120"/>
              <w:ind w:right="113"/>
              <w:rPr>
                <w:bCs/>
              </w:rPr>
            </w:pPr>
            <w:r w:rsidRPr="00B713EE">
              <w:rPr>
                <w:bCs/>
              </w:rPr>
              <w:t>2012/121</w:t>
            </w:r>
            <w:r w:rsidRPr="00B713EE">
              <w:rPr>
                <w:bCs/>
              </w:rPr>
              <w:br/>
              <w:t>(Mandat)</w:t>
            </w:r>
          </w:p>
          <w:p w:rsidR="00CD04C1" w:rsidRPr="00B713EE" w:rsidRDefault="00CD04C1" w:rsidP="00B713EE">
            <w:pPr>
              <w:spacing w:before="40" w:after="120"/>
              <w:ind w:right="113"/>
              <w:rPr>
                <w:bCs/>
              </w:rPr>
            </w:pPr>
            <w:r w:rsidRPr="00B713EE">
              <w:rPr>
                <w:bCs/>
              </w:rPr>
              <w:t>2012/122</w:t>
            </w:r>
            <w:r w:rsidRPr="00B713EE">
              <w:rPr>
                <w:bCs/>
              </w:rPr>
              <w:br/>
              <w:t>(1</w:t>
            </w:r>
            <w:r w:rsidRPr="00B713EE">
              <w:rPr>
                <w:bCs/>
                <w:vertAlign w:val="superscript"/>
              </w:rPr>
              <w:t>er</w:t>
            </w:r>
            <w:r w:rsidRPr="00B713EE">
              <w:rPr>
                <w:bCs/>
              </w:rPr>
              <w:t xml:space="preserve"> rapport d</w:t>
            </w:r>
            <w:r w:rsidR="007C2F80">
              <w:rPr>
                <w:bCs/>
              </w:rPr>
              <w:t>’</w:t>
            </w:r>
            <w:r w:rsidRPr="00B713EE">
              <w:rPr>
                <w:bCs/>
              </w:rPr>
              <w:t>activité)</w:t>
            </w:r>
          </w:p>
          <w:p w:rsidR="00CD04C1" w:rsidRPr="00B713EE" w:rsidRDefault="00CD04C1" w:rsidP="00B713EE">
            <w:pPr>
              <w:spacing w:before="40" w:after="120"/>
              <w:ind w:right="113"/>
              <w:rPr>
                <w:bCs/>
              </w:rPr>
            </w:pPr>
            <w:r w:rsidRPr="00B713EE">
              <w:rPr>
                <w:bCs/>
              </w:rPr>
              <w:t>2014/87</w:t>
            </w:r>
            <w:r w:rsidRPr="00B713EE">
              <w:rPr>
                <w:bCs/>
              </w:rPr>
              <w:br/>
              <w:t>(2</w:t>
            </w:r>
            <w:r w:rsidRPr="00B713EE">
              <w:rPr>
                <w:bCs/>
                <w:vertAlign w:val="superscript"/>
              </w:rPr>
              <w:t>e</w:t>
            </w:r>
            <w:r w:rsidRPr="00B713EE">
              <w:rPr>
                <w:bCs/>
              </w:rPr>
              <w:t xml:space="preserve"> rapport d</w:t>
            </w:r>
            <w:r w:rsidR="007C2F80">
              <w:rPr>
                <w:bCs/>
              </w:rPr>
              <w:t>’</w:t>
            </w:r>
            <w:r w:rsidRPr="00B713EE">
              <w:rPr>
                <w:bCs/>
              </w:rPr>
              <w:t>activité)</w:t>
            </w:r>
          </w:p>
          <w:p w:rsidR="00CD04C1" w:rsidRPr="00B713EE" w:rsidRDefault="00CD04C1" w:rsidP="00641815">
            <w:pPr>
              <w:keepNext/>
              <w:spacing w:before="40" w:after="120"/>
              <w:ind w:right="113"/>
              <w:rPr>
                <w:bCs/>
              </w:rPr>
            </w:pPr>
            <w:r w:rsidRPr="00B713EE">
              <w:rPr>
                <w:bCs/>
              </w:rPr>
              <w:t>2015/107</w:t>
            </w:r>
            <w:r w:rsidR="00641815">
              <w:rPr>
                <w:bCs/>
              </w:rPr>
              <w:br/>
            </w:r>
            <w:r w:rsidRPr="00B713EE">
              <w:rPr>
                <w:bCs/>
              </w:rPr>
              <w:t>(3</w:t>
            </w:r>
            <w:r w:rsidRPr="00B713EE">
              <w:rPr>
                <w:bCs/>
                <w:vertAlign w:val="superscript"/>
              </w:rPr>
              <w:t>e</w:t>
            </w:r>
            <w:r w:rsidRPr="00B713EE">
              <w:rPr>
                <w:bCs/>
              </w:rPr>
              <w:t xml:space="preserve"> rapport d</w:t>
            </w:r>
            <w:r w:rsidR="007C2F80">
              <w:rPr>
                <w:bCs/>
              </w:rPr>
              <w:t>’</w:t>
            </w:r>
            <w:r w:rsidRPr="00B713EE">
              <w:rPr>
                <w:bCs/>
              </w:rPr>
              <w:t>activité)</w:t>
            </w:r>
          </w:p>
          <w:p w:rsidR="00CD04C1" w:rsidRPr="00B713EE" w:rsidRDefault="00CD04C1" w:rsidP="00641815">
            <w:pPr>
              <w:spacing w:before="40" w:after="120"/>
              <w:ind w:right="113"/>
            </w:pPr>
            <w:r w:rsidRPr="00B713EE">
              <w:rPr>
                <w:bCs/>
              </w:rPr>
              <w:t>2016/30</w:t>
            </w:r>
            <w:r w:rsidR="00641815">
              <w:rPr>
                <w:bCs/>
              </w:rPr>
              <w:br/>
            </w:r>
            <w:r w:rsidRPr="00B713EE">
              <w:rPr>
                <w:bCs/>
              </w:rPr>
              <w:t>(4</w:t>
            </w:r>
            <w:r w:rsidRPr="00B713EE">
              <w:rPr>
                <w:bCs/>
                <w:vertAlign w:val="superscript"/>
              </w:rPr>
              <w:t>e</w:t>
            </w:r>
            <w:r w:rsidR="009A2D64">
              <w:rPr>
                <w:bCs/>
              </w:rPr>
              <w:t xml:space="preserve"> </w:t>
            </w:r>
            <w:r w:rsidRPr="00B713EE">
              <w:rPr>
                <w:bCs/>
              </w:rPr>
              <w:t>rapport d</w:t>
            </w:r>
            <w:r w:rsidR="007C2F80">
              <w:rPr>
                <w:bCs/>
              </w:rPr>
              <w:t>’</w:t>
            </w:r>
            <w:r w:rsidRPr="00B713EE">
              <w:rPr>
                <w:bCs/>
              </w:rPr>
              <w:t>activité)</w:t>
            </w:r>
          </w:p>
        </w:tc>
        <w:tc>
          <w:tcPr>
            <w:tcW w:w="2246" w:type="dxa"/>
            <w:tcBorders>
              <w:bottom w:val="single" w:sz="12" w:space="0" w:color="auto"/>
            </w:tcBorders>
            <w:shd w:val="clear" w:color="auto" w:fill="auto"/>
            <w:hideMark/>
          </w:tcPr>
          <w:p w:rsidR="00CD04C1" w:rsidRPr="00B713EE" w:rsidRDefault="00CD04C1" w:rsidP="00B713EE">
            <w:pPr>
              <w:spacing w:before="40" w:after="120"/>
              <w:ind w:right="113"/>
            </w:pPr>
            <w:r w:rsidRPr="00B713EE">
              <w:t>Le GRSP devrait achever les activités de la phase 1 d</w:t>
            </w:r>
            <w:r w:rsidR="007C2F80">
              <w:t>’</w:t>
            </w:r>
            <w:r w:rsidRPr="00B713EE">
              <w:t>ici mai 2017 et réserver les travaux de reche</w:t>
            </w:r>
            <w:r w:rsidR="00641815">
              <w:t>rche à long terme pour la phase </w:t>
            </w:r>
            <w:r w:rsidRPr="00B713EE">
              <w:t>2. À sa session de mars 2017 l</w:t>
            </w:r>
            <w:r w:rsidR="007C2F80">
              <w:t>’</w:t>
            </w:r>
            <w:r w:rsidRPr="00B713EE">
              <w:t>AC.3 a approuvé la prolongation du mandat jusqu</w:t>
            </w:r>
            <w:r w:rsidR="007C2F80">
              <w:t>’</w:t>
            </w:r>
            <w:r w:rsidRPr="00B713EE">
              <w:t>en décembre 2017.</w:t>
            </w:r>
          </w:p>
        </w:tc>
      </w:tr>
    </w:tbl>
    <w:p w:rsidR="00CD04C1" w:rsidRPr="00B713EE" w:rsidRDefault="00CD04C1" w:rsidP="00B713EE">
      <w:pPr>
        <w:pStyle w:val="H23G"/>
      </w:pPr>
      <w:r w:rsidRPr="00B713EE">
        <w:t>GRPE</w:t>
      </w:r>
    </w:p>
    <w:tbl>
      <w:tblPr>
        <w:tblW w:w="9631" w:type="dxa"/>
        <w:tblLayout w:type="fixed"/>
        <w:tblCellMar>
          <w:left w:w="0" w:type="dxa"/>
          <w:right w:w="0" w:type="dxa"/>
        </w:tblCellMar>
        <w:tblLook w:val="01E0" w:firstRow="1" w:lastRow="1" w:firstColumn="1" w:lastColumn="1" w:noHBand="0" w:noVBand="0"/>
      </w:tblPr>
      <w:tblGrid>
        <w:gridCol w:w="1526"/>
        <w:gridCol w:w="1176"/>
        <w:gridCol w:w="1260"/>
        <w:gridCol w:w="1694"/>
        <w:gridCol w:w="1735"/>
        <w:gridCol w:w="2240"/>
      </w:tblGrid>
      <w:tr w:rsidR="00CD04C1" w:rsidRPr="00B713EE" w:rsidTr="00931B50">
        <w:trPr>
          <w:cantSplit/>
          <w:tblHeader/>
        </w:trPr>
        <w:tc>
          <w:tcPr>
            <w:tcW w:w="1526" w:type="dxa"/>
            <w:tcBorders>
              <w:top w:val="single" w:sz="4" w:space="0" w:color="auto"/>
              <w:bottom w:val="single" w:sz="12" w:space="0" w:color="auto"/>
            </w:tcBorders>
            <w:shd w:val="clear" w:color="auto" w:fill="auto"/>
            <w:vAlign w:val="bottom"/>
            <w:hideMark/>
          </w:tcPr>
          <w:p w:rsidR="00CD04C1" w:rsidRPr="00B713EE" w:rsidRDefault="00CD04C1" w:rsidP="00B713EE">
            <w:pPr>
              <w:spacing w:before="80" w:after="80" w:line="200" w:lineRule="exact"/>
              <w:ind w:right="113"/>
              <w:rPr>
                <w:i/>
                <w:sz w:val="16"/>
              </w:rPr>
            </w:pPr>
            <w:r w:rsidRPr="00B713EE">
              <w:rPr>
                <w:i/>
                <w:sz w:val="16"/>
              </w:rPr>
              <w:t xml:space="preserve">Question </w:t>
            </w:r>
          </w:p>
        </w:tc>
        <w:tc>
          <w:tcPr>
            <w:tcW w:w="1176" w:type="dxa"/>
            <w:tcBorders>
              <w:top w:val="single" w:sz="4" w:space="0" w:color="auto"/>
              <w:bottom w:val="single" w:sz="12" w:space="0" w:color="auto"/>
            </w:tcBorders>
            <w:shd w:val="clear" w:color="auto" w:fill="auto"/>
            <w:vAlign w:val="bottom"/>
            <w:hideMark/>
          </w:tcPr>
          <w:p w:rsidR="00CD04C1" w:rsidRPr="00B713EE" w:rsidRDefault="00641815" w:rsidP="00B713EE">
            <w:pPr>
              <w:spacing w:before="80" w:after="80" w:line="200" w:lineRule="exact"/>
              <w:ind w:right="113"/>
              <w:rPr>
                <w:i/>
                <w:sz w:val="16"/>
              </w:rPr>
            </w:pPr>
            <w:r>
              <w:rPr>
                <w:i/>
                <w:sz w:val="16"/>
              </w:rPr>
              <w:t>Groupe informel (oui</w:t>
            </w:r>
            <w:r>
              <w:rPr>
                <w:i/>
                <w:sz w:val="16"/>
              </w:rPr>
              <w:noBreakHyphen/>
            </w:r>
            <w:r w:rsidR="00CD04C1" w:rsidRPr="00B713EE">
              <w:rPr>
                <w:i/>
                <w:sz w:val="16"/>
              </w:rPr>
              <w:t xml:space="preserve">non)/ Président et Vice-Président </w:t>
            </w:r>
          </w:p>
        </w:tc>
        <w:tc>
          <w:tcPr>
            <w:tcW w:w="1260" w:type="dxa"/>
            <w:tcBorders>
              <w:top w:val="single" w:sz="4" w:space="0" w:color="auto"/>
              <w:bottom w:val="single" w:sz="12" w:space="0" w:color="auto"/>
            </w:tcBorders>
            <w:shd w:val="clear" w:color="auto" w:fill="auto"/>
            <w:vAlign w:val="bottom"/>
            <w:hideMark/>
          </w:tcPr>
          <w:p w:rsidR="00CD04C1" w:rsidRPr="00B713EE" w:rsidRDefault="00CD04C1" w:rsidP="00B713EE">
            <w:pPr>
              <w:spacing w:before="80" w:after="80" w:line="200" w:lineRule="exact"/>
              <w:ind w:right="113"/>
              <w:rPr>
                <w:i/>
                <w:sz w:val="16"/>
              </w:rPr>
            </w:pPr>
            <w:r w:rsidRPr="00B713EE">
              <w:rPr>
                <w:i/>
                <w:sz w:val="16"/>
              </w:rPr>
              <w:t>Responsable technique</w:t>
            </w:r>
          </w:p>
        </w:tc>
        <w:tc>
          <w:tcPr>
            <w:tcW w:w="1694" w:type="dxa"/>
            <w:tcBorders>
              <w:top w:val="single" w:sz="4" w:space="0" w:color="auto"/>
              <w:bottom w:val="single" w:sz="12" w:space="0" w:color="auto"/>
            </w:tcBorders>
            <w:shd w:val="clear" w:color="auto" w:fill="auto"/>
            <w:vAlign w:val="bottom"/>
            <w:hideMark/>
          </w:tcPr>
          <w:p w:rsidR="00CD04C1" w:rsidRPr="00B713EE" w:rsidRDefault="00CD04C1" w:rsidP="00B713EE">
            <w:pPr>
              <w:spacing w:before="80" w:after="80" w:line="200" w:lineRule="exact"/>
              <w:ind w:right="113"/>
              <w:rPr>
                <w:i/>
                <w:sz w:val="16"/>
              </w:rPr>
            </w:pPr>
            <w:r w:rsidRPr="00B713EE">
              <w:rPr>
                <w:i/>
                <w:sz w:val="16"/>
              </w:rPr>
              <w:t xml:space="preserve">Proposition officielle </w:t>
            </w:r>
            <w:r w:rsidRPr="00641815">
              <w:rPr>
                <w:i/>
                <w:spacing w:val="-2"/>
                <w:sz w:val="16"/>
              </w:rPr>
              <w:t>(ECE/TRANS/WP.29/…)</w:t>
            </w:r>
            <w:r w:rsidRPr="00B713EE">
              <w:rPr>
                <w:i/>
                <w:sz w:val="16"/>
              </w:rPr>
              <w:t xml:space="preserve"> </w:t>
            </w:r>
          </w:p>
        </w:tc>
        <w:tc>
          <w:tcPr>
            <w:tcW w:w="1735" w:type="dxa"/>
            <w:tcBorders>
              <w:top w:val="single" w:sz="4" w:space="0" w:color="auto"/>
              <w:bottom w:val="single" w:sz="12" w:space="0" w:color="auto"/>
            </w:tcBorders>
            <w:shd w:val="clear" w:color="auto" w:fill="auto"/>
            <w:vAlign w:val="bottom"/>
            <w:hideMark/>
          </w:tcPr>
          <w:p w:rsidR="00CD04C1" w:rsidRPr="00B713EE" w:rsidRDefault="00CD04C1" w:rsidP="00B713EE">
            <w:pPr>
              <w:spacing w:before="80" w:after="80" w:line="200" w:lineRule="exact"/>
              <w:ind w:right="113"/>
              <w:rPr>
                <w:i/>
                <w:sz w:val="16"/>
              </w:rPr>
            </w:pPr>
            <w:r w:rsidRPr="00B713EE">
              <w:rPr>
                <w:i/>
                <w:sz w:val="16"/>
              </w:rPr>
              <w:t xml:space="preserve">Proposition de projet </w:t>
            </w:r>
            <w:r w:rsidR="00641815">
              <w:rPr>
                <w:i/>
                <w:sz w:val="16"/>
              </w:rPr>
              <w:br/>
            </w:r>
            <w:r w:rsidRPr="00B713EE">
              <w:rPr>
                <w:i/>
                <w:sz w:val="16"/>
              </w:rPr>
              <w:t xml:space="preserve">de RTM (ECE/TRANS/WP.29/…) </w:t>
            </w:r>
          </w:p>
        </w:tc>
        <w:tc>
          <w:tcPr>
            <w:tcW w:w="2240" w:type="dxa"/>
            <w:tcBorders>
              <w:top w:val="single" w:sz="4" w:space="0" w:color="auto"/>
              <w:bottom w:val="single" w:sz="12" w:space="0" w:color="auto"/>
            </w:tcBorders>
            <w:shd w:val="clear" w:color="auto" w:fill="auto"/>
            <w:vAlign w:val="bottom"/>
            <w:hideMark/>
          </w:tcPr>
          <w:p w:rsidR="00CD04C1" w:rsidRPr="00B713EE" w:rsidRDefault="00CD04C1" w:rsidP="00B713EE">
            <w:pPr>
              <w:spacing w:before="80" w:after="80" w:line="200" w:lineRule="exact"/>
              <w:ind w:right="113"/>
              <w:rPr>
                <w:i/>
                <w:sz w:val="16"/>
              </w:rPr>
            </w:pPr>
            <w:r w:rsidRPr="00B713EE">
              <w:rPr>
                <w:i/>
                <w:sz w:val="16"/>
              </w:rPr>
              <w:t xml:space="preserve">Stade/Observations </w:t>
            </w:r>
          </w:p>
        </w:tc>
      </w:tr>
      <w:tr w:rsidR="00B713EE" w:rsidRPr="00B713EE" w:rsidTr="00931B50">
        <w:trPr>
          <w:cantSplit/>
          <w:trHeight w:hRule="exact" w:val="113"/>
          <w:tblHeader/>
        </w:trPr>
        <w:tc>
          <w:tcPr>
            <w:tcW w:w="1526" w:type="dxa"/>
            <w:tcBorders>
              <w:top w:val="single" w:sz="12" w:space="0" w:color="auto"/>
            </w:tcBorders>
            <w:shd w:val="clear" w:color="auto" w:fill="auto"/>
          </w:tcPr>
          <w:p w:rsidR="00B713EE" w:rsidRPr="00B713EE" w:rsidRDefault="00B713EE" w:rsidP="00B713EE">
            <w:pPr>
              <w:spacing w:before="40" w:after="120"/>
              <w:ind w:right="113"/>
            </w:pPr>
          </w:p>
        </w:tc>
        <w:tc>
          <w:tcPr>
            <w:tcW w:w="1176" w:type="dxa"/>
            <w:tcBorders>
              <w:top w:val="single" w:sz="12" w:space="0" w:color="auto"/>
            </w:tcBorders>
            <w:shd w:val="clear" w:color="auto" w:fill="auto"/>
          </w:tcPr>
          <w:p w:rsidR="00B713EE" w:rsidRPr="00B713EE" w:rsidRDefault="00B713EE" w:rsidP="00B713EE">
            <w:pPr>
              <w:spacing w:before="40" w:after="120"/>
              <w:ind w:right="113"/>
            </w:pPr>
          </w:p>
        </w:tc>
        <w:tc>
          <w:tcPr>
            <w:tcW w:w="1260" w:type="dxa"/>
            <w:tcBorders>
              <w:top w:val="single" w:sz="12" w:space="0" w:color="auto"/>
            </w:tcBorders>
            <w:shd w:val="clear" w:color="auto" w:fill="auto"/>
          </w:tcPr>
          <w:p w:rsidR="00B713EE" w:rsidRPr="00B713EE" w:rsidRDefault="00B713EE" w:rsidP="00B713EE">
            <w:pPr>
              <w:spacing w:before="40" w:after="120"/>
              <w:ind w:right="113"/>
            </w:pPr>
          </w:p>
        </w:tc>
        <w:tc>
          <w:tcPr>
            <w:tcW w:w="1694" w:type="dxa"/>
            <w:tcBorders>
              <w:top w:val="single" w:sz="12" w:space="0" w:color="auto"/>
            </w:tcBorders>
            <w:shd w:val="clear" w:color="auto" w:fill="auto"/>
          </w:tcPr>
          <w:p w:rsidR="00B713EE" w:rsidRPr="00B713EE" w:rsidRDefault="00B713EE" w:rsidP="00B713EE">
            <w:pPr>
              <w:spacing w:before="40" w:after="120"/>
              <w:ind w:right="113"/>
            </w:pPr>
          </w:p>
        </w:tc>
        <w:tc>
          <w:tcPr>
            <w:tcW w:w="1735" w:type="dxa"/>
            <w:tcBorders>
              <w:top w:val="single" w:sz="12" w:space="0" w:color="auto"/>
            </w:tcBorders>
            <w:shd w:val="clear" w:color="auto" w:fill="auto"/>
          </w:tcPr>
          <w:p w:rsidR="00B713EE" w:rsidRPr="00B713EE" w:rsidRDefault="00B713EE" w:rsidP="00B713EE">
            <w:pPr>
              <w:spacing w:before="40" w:after="120"/>
              <w:ind w:right="113"/>
            </w:pPr>
          </w:p>
        </w:tc>
        <w:tc>
          <w:tcPr>
            <w:tcW w:w="2240" w:type="dxa"/>
            <w:tcBorders>
              <w:top w:val="single" w:sz="12" w:space="0" w:color="auto"/>
            </w:tcBorders>
            <w:shd w:val="clear" w:color="auto" w:fill="auto"/>
          </w:tcPr>
          <w:p w:rsidR="00B713EE" w:rsidRPr="00B713EE" w:rsidRDefault="00B713EE" w:rsidP="00B713EE">
            <w:pPr>
              <w:spacing w:before="40" w:after="120"/>
              <w:ind w:right="113"/>
            </w:pPr>
          </w:p>
        </w:tc>
      </w:tr>
      <w:tr w:rsidR="00CD04C1" w:rsidRPr="00B713EE" w:rsidTr="00931B50">
        <w:trPr>
          <w:cantSplit/>
        </w:trPr>
        <w:tc>
          <w:tcPr>
            <w:tcW w:w="1526" w:type="dxa"/>
            <w:shd w:val="clear" w:color="auto" w:fill="auto"/>
            <w:hideMark/>
          </w:tcPr>
          <w:p w:rsidR="00CD04C1" w:rsidRPr="00B713EE" w:rsidRDefault="00CD04C1" w:rsidP="00B713EE">
            <w:pPr>
              <w:spacing w:before="40" w:after="120"/>
              <w:ind w:right="113"/>
            </w:pPr>
            <w:r w:rsidRPr="00B713EE">
              <w:t xml:space="preserve">Amendements </w:t>
            </w:r>
            <w:r w:rsidR="009C4455">
              <w:br/>
            </w:r>
            <w:r w:rsidRPr="00B713EE">
              <w:t xml:space="preserve">au RTM </w:t>
            </w:r>
            <w:r w:rsidR="00931B50">
              <w:rPr>
                <w:rFonts w:eastAsia="MS Mincho"/>
              </w:rPr>
              <w:t>n</w:t>
            </w:r>
            <w:r w:rsidR="00931B50">
              <w:rPr>
                <w:rFonts w:eastAsia="MS Mincho"/>
                <w:vertAlign w:val="superscript"/>
              </w:rPr>
              <w:t>o</w:t>
            </w:r>
            <w:r w:rsidR="00931B50" w:rsidRPr="00AA7C01">
              <w:rPr>
                <w:rFonts w:eastAsia="MS Mincho"/>
              </w:rPr>
              <w:t> </w:t>
            </w:r>
            <w:r w:rsidRPr="00B713EE">
              <w:t>2 (WMTC)</w:t>
            </w:r>
          </w:p>
        </w:tc>
        <w:tc>
          <w:tcPr>
            <w:tcW w:w="1176" w:type="dxa"/>
            <w:shd w:val="clear" w:color="auto" w:fill="auto"/>
            <w:hideMark/>
          </w:tcPr>
          <w:p w:rsidR="00CD04C1" w:rsidRPr="00B713EE" w:rsidRDefault="00CD04C1" w:rsidP="00B713EE">
            <w:pPr>
              <w:spacing w:before="40" w:after="120"/>
              <w:ind w:right="113"/>
            </w:pPr>
            <w:r w:rsidRPr="00B713EE">
              <w:t>Oui/UE</w:t>
            </w:r>
            <w:r w:rsidRPr="00B713EE">
              <w:br/>
              <w:t>(PEEP)</w:t>
            </w:r>
          </w:p>
        </w:tc>
        <w:tc>
          <w:tcPr>
            <w:tcW w:w="1260" w:type="dxa"/>
            <w:shd w:val="clear" w:color="auto" w:fill="auto"/>
            <w:hideMark/>
          </w:tcPr>
          <w:p w:rsidR="00CD04C1" w:rsidRPr="00B713EE" w:rsidRDefault="00CD04C1" w:rsidP="00B713EE">
            <w:pPr>
              <w:spacing w:before="40" w:after="120"/>
              <w:ind w:right="113"/>
            </w:pPr>
            <w:r w:rsidRPr="00B713EE">
              <w:t>UE</w:t>
            </w:r>
          </w:p>
        </w:tc>
        <w:tc>
          <w:tcPr>
            <w:tcW w:w="1694" w:type="dxa"/>
            <w:shd w:val="clear" w:color="auto" w:fill="auto"/>
            <w:hideMark/>
          </w:tcPr>
          <w:p w:rsidR="00CD04C1" w:rsidRPr="00B713EE" w:rsidRDefault="00041F43" w:rsidP="00B713EE">
            <w:pPr>
              <w:spacing w:before="40" w:after="120"/>
              <w:ind w:right="113"/>
            </w:pPr>
            <w:r>
              <w:t>AC.3/36/</w:t>
            </w:r>
            <w:r>
              <w:br/>
              <w:t xml:space="preserve">Rev.1 (basé </w:t>
            </w:r>
            <w:r>
              <w:br/>
              <w:t>sur le document</w:t>
            </w:r>
            <w:r w:rsidR="00CD04C1" w:rsidRPr="00B713EE">
              <w:t xml:space="preserve"> 2015/113)</w:t>
            </w:r>
          </w:p>
        </w:tc>
        <w:tc>
          <w:tcPr>
            <w:tcW w:w="1735" w:type="dxa"/>
            <w:shd w:val="clear" w:color="auto" w:fill="auto"/>
          </w:tcPr>
          <w:p w:rsidR="00CD04C1" w:rsidRPr="00B713EE" w:rsidRDefault="00CD04C1" w:rsidP="00B713EE">
            <w:pPr>
              <w:spacing w:before="40" w:after="120"/>
              <w:ind w:right="113"/>
            </w:pPr>
          </w:p>
        </w:tc>
        <w:tc>
          <w:tcPr>
            <w:tcW w:w="2240" w:type="dxa"/>
            <w:shd w:val="clear" w:color="auto" w:fill="auto"/>
            <w:hideMark/>
          </w:tcPr>
          <w:p w:rsidR="00CD04C1" w:rsidRPr="00B713EE" w:rsidRDefault="00CD04C1" w:rsidP="009C4455">
            <w:pPr>
              <w:spacing w:before="40" w:after="120"/>
              <w:ind w:right="113"/>
            </w:pPr>
            <w:r w:rsidRPr="00B713EE">
              <w:t>L</w:t>
            </w:r>
            <w:r w:rsidR="007C2F80">
              <w:t>’</w:t>
            </w:r>
            <w:r w:rsidRPr="00B713EE">
              <w:t>AC.3 a été informée par le GTI des prescriptions d</w:t>
            </w:r>
            <w:r w:rsidR="007C2F80">
              <w:t>’</w:t>
            </w:r>
            <w:r w:rsidRPr="00B713EE">
              <w:t>efficacité en matière d</w:t>
            </w:r>
            <w:r w:rsidR="007C2F80">
              <w:t>’</w:t>
            </w:r>
            <w:r w:rsidRPr="00B713EE">
              <w:t>environnement et de propulsion (PEEP) sur les travaux en cours en matière d</w:t>
            </w:r>
            <w:r w:rsidR="007C2F80">
              <w:t>’</w:t>
            </w:r>
            <w:r w:rsidRPr="00B713EE">
              <w:t>élaboration d</w:t>
            </w:r>
            <w:r w:rsidR="007C2F80">
              <w:t>’</w:t>
            </w:r>
            <w:r w:rsidR="009C4455">
              <w:t xml:space="preserve">amendements au RTM </w:t>
            </w:r>
            <w:r w:rsidR="009C4455">
              <w:rPr>
                <w:rFonts w:eastAsia="MS Mincho"/>
              </w:rPr>
              <w:t>n</w:t>
            </w:r>
            <w:r w:rsidR="009C4455">
              <w:rPr>
                <w:rFonts w:eastAsia="MS Mincho"/>
                <w:vertAlign w:val="superscript"/>
              </w:rPr>
              <w:t>o</w:t>
            </w:r>
            <w:r w:rsidR="009C4455">
              <w:t> </w:t>
            </w:r>
            <w:r w:rsidRPr="00B713EE">
              <w:t>2.</w:t>
            </w:r>
          </w:p>
        </w:tc>
      </w:tr>
      <w:tr w:rsidR="00CD04C1" w:rsidRPr="00B713EE" w:rsidTr="00931B50">
        <w:trPr>
          <w:cantSplit/>
        </w:trPr>
        <w:tc>
          <w:tcPr>
            <w:tcW w:w="1526" w:type="dxa"/>
            <w:shd w:val="clear" w:color="auto" w:fill="auto"/>
            <w:tcMar>
              <w:top w:w="0" w:type="dxa"/>
              <w:left w:w="0" w:type="dxa"/>
              <w:bottom w:w="0" w:type="dxa"/>
              <w:right w:w="113" w:type="dxa"/>
            </w:tcMar>
            <w:hideMark/>
          </w:tcPr>
          <w:p w:rsidR="00CD04C1" w:rsidRPr="00B713EE" w:rsidRDefault="00CD04C1" w:rsidP="00B713EE">
            <w:pPr>
              <w:spacing w:before="40" w:after="120"/>
              <w:ind w:right="113"/>
            </w:pPr>
            <w:r w:rsidRPr="00B713EE">
              <w:t xml:space="preserve">Amendement 2 au RTM </w:t>
            </w:r>
            <w:r w:rsidR="00931B50">
              <w:rPr>
                <w:rFonts w:eastAsia="MS Mincho"/>
              </w:rPr>
              <w:t>n</w:t>
            </w:r>
            <w:r w:rsidR="00931B50">
              <w:rPr>
                <w:rFonts w:eastAsia="MS Mincho"/>
                <w:vertAlign w:val="superscript"/>
              </w:rPr>
              <w:t>o</w:t>
            </w:r>
            <w:r w:rsidR="00931B50" w:rsidRPr="00AA7C01">
              <w:rPr>
                <w:rFonts w:eastAsia="MS Mincho"/>
              </w:rPr>
              <w:t> </w:t>
            </w:r>
            <w:r w:rsidRPr="00B713EE">
              <w:t>15 (WLTP)</w:t>
            </w:r>
          </w:p>
        </w:tc>
        <w:tc>
          <w:tcPr>
            <w:tcW w:w="1176" w:type="dxa"/>
            <w:shd w:val="clear" w:color="auto" w:fill="auto"/>
            <w:tcMar>
              <w:top w:w="0" w:type="dxa"/>
              <w:left w:w="0" w:type="dxa"/>
              <w:bottom w:w="0" w:type="dxa"/>
              <w:right w:w="113" w:type="dxa"/>
            </w:tcMar>
            <w:hideMark/>
          </w:tcPr>
          <w:p w:rsidR="00CD04C1" w:rsidRPr="00B713EE" w:rsidRDefault="00CD04C1" w:rsidP="00B713EE">
            <w:pPr>
              <w:spacing w:before="40" w:after="120"/>
              <w:ind w:right="113"/>
            </w:pPr>
            <w:r w:rsidRPr="00B713EE">
              <w:t>Oui/</w:t>
            </w:r>
            <w:r w:rsidRPr="00B713EE">
              <w:br/>
              <w:t>Allemagne</w:t>
            </w:r>
            <w:r w:rsidRPr="00B713EE">
              <w:br/>
              <w:t>(WLTP)</w:t>
            </w:r>
          </w:p>
        </w:tc>
        <w:tc>
          <w:tcPr>
            <w:tcW w:w="1260" w:type="dxa"/>
            <w:shd w:val="clear" w:color="auto" w:fill="auto"/>
            <w:tcMar>
              <w:top w:w="0" w:type="dxa"/>
              <w:left w:w="0" w:type="dxa"/>
              <w:bottom w:w="0" w:type="dxa"/>
              <w:right w:w="113" w:type="dxa"/>
            </w:tcMar>
            <w:hideMark/>
          </w:tcPr>
          <w:p w:rsidR="00CD04C1" w:rsidRPr="00B713EE" w:rsidRDefault="00CD04C1" w:rsidP="00B713EE">
            <w:pPr>
              <w:spacing w:before="40" w:after="120"/>
              <w:ind w:right="113"/>
            </w:pPr>
            <w:r w:rsidRPr="00B713EE">
              <w:t>UE/</w:t>
            </w:r>
            <w:r w:rsidRPr="00B713EE">
              <w:br/>
              <w:t>Japon</w:t>
            </w:r>
          </w:p>
        </w:tc>
        <w:tc>
          <w:tcPr>
            <w:tcW w:w="1694" w:type="dxa"/>
            <w:shd w:val="clear" w:color="auto" w:fill="auto"/>
            <w:tcMar>
              <w:top w:w="0" w:type="dxa"/>
              <w:left w:w="0" w:type="dxa"/>
              <w:bottom w:w="0" w:type="dxa"/>
              <w:right w:w="113" w:type="dxa"/>
            </w:tcMar>
            <w:hideMark/>
          </w:tcPr>
          <w:p w:rsidR="00CD04C1" w:rsidRPr="00B713EE" w:rsidRDefault="00931B50" w:rsidP="00041F43">
            <w:pPr>
              <w:spacing w:before="40" w:after="120"/>
              <w:ind w:right="113"/>
            </w:pPr>
            <w:r>
              <w:t xml:space="preserve">AC.3/44 (basé </w:t>
            </w:r>
            <w:r w:rsidR="00041F43">
              <w:br/>
            </w:r>
            <w:r>
              <w:t>sur le doc</w:t>
            </w:r>
            <w:r w:rsidR="00041F43">
              <w:t>ument</w:t>
            </w:r>
            <w:r>
              <w:t xml:space="preserve"> </w:t>
            </w:r>
            <w:r w:rsidR="00CD04C1" w:rsidRPr="00B713EE">
              <w:t>2016/73)</w:t>
            </w:r>
          </w:p>
        </w:tc>
        <w:tc>
          <w:tcPr>
            <w:tcW w:w="1735" w:type="dxa"/>
            <w:shd w:val="clear" w:color="auto" w:fill="auto"/>
            <w:tcMar>
              <w:top w:w="0" w:type="dxa"/>
              <w:left w:w="0" w:type="dxa"/>
              <w:bottom w:w="0" w:type="dxa"/>
              <w:right w:w="113" w:type="dxa"/>
            </w:tcMar>
          </w:tcPr>
          <w:p w:rsidR="00CD04C1" w:rsidRPr="00B713EE" w:rsidRDefault="00CD04C1" w:rsidP="00B713EE">
            <w:pPr>
              <w:spacing w:before="40" w:after="120"/>
              <w:ind w:right="113"/>
            </w:pPr>
          </w:p>
        </w:tc>
        <w:tc>
          <w:tcPr>
            <w:tcW w:w="2240" w:type="dxa"/>
            <w:shd w:val="clear" w:color="auto" w:fill="auto"/>
            <w:tcMar>
              <w:top w:w="0" w:type="dxa"/>
              <w:left w:w="0" w:type="dxa"/>
              <w:bottom w:w="0" w:type="dxa"/>
              <w:right w:w="113" w:type="dxa"/>
            </w:tcMar>
            <w:hideMark/>
          </w:tcPr>
          <w:p w:rsidR="00CD04C1" w:rsidRPr="00B713EE" w:rsidRDefault="00CD04C1" w:rsidP="00B713EE">
            <w:pPr>
              <w:spacing w:before="40" w:after="120"/>
              <w:ind w:right="113"/>
            </w:pPr>
            <w:r w:rsidRPr="00B713EE">
              <w:t>L</w:t>
            </w:r>
            <w:r w:rsidR="007C2F80">
              <w:t>’</w:t>
            </w:r>
            <w:r w:rsidRPr="00B713EE">
              <w:t>AC.3 a noté que l</w:t>
            </w:r>
            <w:r w:rsidR="007C2F80">
              <w:t>’</w:t>
            </w:r>
            <w:r w:rsidRPr="00B713EE">
              <w:t xml:space="preserve">amendement 2 au RTM </w:t>
            </w:r>
            <w:r w:rsidR="009C4455">
              <w:rPr>
                <w:rFonts w:eastAsia="MS Mincho"/>
              </w:rPr>
              <w:t>n</w:t>
            </w:r>
            <w:r w:rsidR="009C4455">
              <w:rPr>
                <w:rFonts w:eastAsia="MS Mincho"/>
                <w:vertAlign w:val="superscript"/>
              </w:rPr>
              <w:t>o</w:t>
            </w:r>
            <w:r w:rsidR="009C4455">
              <w:t> </w:t>
            </w:r>
            <w:r w:rsidRPr="00B713EE">
              <w:t>15 serait soumis pour examen à la session de juin 2017.</w:t>
            </w:r>
          </w:p>
        </w:tc>
      </w:tr>
      <w:tr w:rsidR="00CD04C1" w:rsidRPr="00B713EE" w:rsidTr="00931B50">
        <w:trPr>
          <w:cantSplit/>
        </w:trPr>
        <w:tc>
          <w:tcPr>
            <w:tcW w:w="1526" w:type="dxa"/>
            <w:shd w:val="clear" w:color="auto" w:fill="auto"/>
            <w:tcMar>
              <w:top w:w="0" w:type="dxa"/>
              <w:left w:w="0" w:type="dxa"/>
              <w:bottom w:w="0" w:type="dxa"/>
              <w:right w:w="113" w:type="dxa"/>
            </w:tcMar>
          </w:tcPr>
          <w:p w:rsidR="00CD04C1" w:rsidRPr="00B713EE" w:rsidRDefault="00CD04C1" w:rsidP="00B713EE">
            <w:pPr>
              <w:spacing w:before="40" w:after="120"/>
              <w:ind w:right="113"/>
            </w:pPr>
            <w:r w:rsidRPr="00B713EE">
              <w:t>Nouveau RTM</w:t>
            </w:r>
            <w:r w:rsidR="009A2D64">
              <w:t xml:space="preserve"> </w:t>
            </w:r>
            <w:r w:rsidRPr="00B713EE">
              <w:t>sur la procédure de mesure des émissions par évaporation dans le cadre de la procédure d</w:t>
            </w:r>
            <w:r w:rsidR="007C2F80">
              <w:t>’</w:t>
            </w:r>
            <w:r w:rsidRPr="00B713EE">
              <w:t xml:space="preserve">essai mondiale harmonisée pour les voitures particulières et véhicules utilitaires légers (WLTP EVAP) </w:t>
            </w:r>
          </w:p>
        </w:tc>
        <w:tc>
          <w:tcPr>
            <w:tcW w:w="1176" w:type="dxa"/>
            <w:shd w:val="clear" w:color="auto" w:fill="auto"/>
            <w:tcMar>
              <w:top w:w="0" w:type="dxa"/>
              <w:left w:w="0" w:type="dxa"/>
              <w:bottom w:w="0" w:type="dxa"/>
              <w:right w:w="113" w:type="dxa"/>
            </w:tcMar>
          </w:tcPr>
          <w:p w:rsidR="00CD04C1" w:rsidRPr="00B713EE" w:rsidRDefault="00CD04C1" w:rsidP="00B713EE">
            <w:pPr>
              <w:spacing w:before="40" w:after="120"/>
              <w:ind w:right="113"/>
            </w:pPr>
            <w:r w:rsidRPr="00B713EE">
              <w:t>Oui/</w:t>
            </w:r>
            <w:r w:rsidRPr="00B713EE">
              <w:br/>
              <w:t>Allemagne</w:t>
            </w:r>
            <w:r w:rsidRPr="00B713EE">
              <w:br/>
              <w:t>(WLTP)</w:t>
            </w:r>
          </w:p>
        </w:tc>
        <w:tc>
          <w:tcPr>
            <w:tcW w:w="1260" w:type="dxa"/>
            <w:shd w:val="clear" w:color="auto" w:fill="auto"/>
            <w:tcMar>
              <w:top w:w="0" w:type="dxa"/>
              <w:left w:w="0" w:type="dxa"/>
              <w:bottom w:w="0" w:type="dxa"/>
              <w:right w:w="113" w:type="dxa"/>
            </w:tcMar>
          </w:tcPr>
          <w:p w:rsidR="00CD04C1" w:rsidRPr="00B713EE" w:rsidRDefault="00CD04C1" w:rsidP="00B713EE">
            <w:pPr>
              <w:spacing w:before="40" w:after="120"/>
              <w:ind w:right="113"/>
            </w:pPr>
            <w:r w:rsidRPr="00B713EE">
              <w:t>UE/</w:t>
            </w:r>
            <w:r w:rsidRPr="00B713EE">
              <w:br/>
              <w:t>Japon</w:t>
            </w:r>
          </w:p>
        </w:tc>
        <w:tc>
          <w:tcPr>
            <w:tcW w:w="1694" w:type="dxa"/>
            <w:shd w:val="clear" w:color="auto" w:fill="auto"/>
            <w:tcMar>
              <w:top w:w="0" w:type="dxa"/>
              <w:left w:w="0" w:type="dxa"/>
              <w:bottom w:w="0" w:type="dxa"/>
              <w:right w:w="113" w:type="dxa"/>
            </w:tcMar>
          </w:tcPr>
          <w:p w:rsidR="00CD04C1" w:rsidRPr="00B713EE" w:rsidRDefault="00041F43" w:rsidP="00B713EE">
            <w:pPr>
              <w:spacing w:before="40" w:after="120"/>
              <w:ind w:right="113"/>
            </w:pPr>
            <w:r>
              <w:t xml:space="preserve">AC.3/44 (basé </w:t>
            </w:r>
            <w:r>
              <w:br/>
              <w:t>sur le document</w:t>
            </w:r>
            <w:r w:rsidR="00CD04C1" w:rsidRPr="00B713EE">
              <w:t xml:space="preserve"> 2016/73)</w:t>
            </w:r>
          </w:p>
        </w:tc>
        <w:tc>
          <w:tcPr>
            <w:tcW w:w="1735" w:type="dxa"/>
            <w:shd w:val="clear" w:color="auto" w:fill="auto"/>
            <w:tcMar>
              <w:top w:w="0" w:type="dxa"/>
              <w:left w:w="0" w:type="dxa"/>
              <w:bottom w:w="0" w:type="dxa"/>
              <w:right w:w="113" w:type="dxa"/>
            </w:tcMar>
          </w:tcPr>
          <w:p w:rsidR="00CD04C1" w:rsidRPr="00B713EE" w:rsidRDefault="00CD04C1" w:rsidP="00B713EE">
            <w:pPr>
              <w:spacing w:before="40" w:after="120"/>
              <w:ind w:right="113"/>
            </w:pPr>
          </w:p>
        </w:tc>
        <w:tc>
          <w:tcPr>
            <w:tcW w:w="2240" w:type="dxa"/>
            <w:shd w:val="clear" w:color="auto" w:fill="auto"/>
            <w:tcMar>
              <w:top w:w="0" w:type="dxa"/>
              <w:left w:w="0" w:type="dxa"/>
              <w:bottom w:w="0" w:type="dxa"/>
              <w:right w:w="113" w:type="dxa"/>
            </w:tcMar>
          </w:tcPr>
          <w:p w:rsidR="00CD04C1" w:rsidRPr="00B713EE" w:rsidRDefault="00CD04C1" w:rsidP="00B713EE">
            <w:pPr>
              <w:spacing w:before="40" w:after="120"/>
              <w:ind w:right="113"/>
            </w:pPr>
            <w:r w:rsidRPr="00B713EE">
              <w:t>L</w:t>
            </w:r>
            <w:r w:rsidR="007C2F80">
              <w:t>’</w:t>
            </w:r>
            <w:r w:rsidRPr="00B713EE">
              <w:t>AC.3 a noté qu</w:t>
            </w:r>
            <w:r w:rsidR="007C2F80">
              <w:t>’</w:t>
            </w:r>
            <w:r w:rsidRPr="00B713EE">
              <w:t>un nouveau RTM sur la procédure de mesure des émissions par évaporation dans le cadre de la procédure d</w:t>
            </w:r>
            <w:r w:rsidR="007C2F80">
              <w:t>’</w:t>
            </w:r>
            <w:r w:rsidRPr="00B713EE">
              <w:t>essai mondiale harmonisée pour les voitures particulières et véhicules utilitaires légers (WLTP EVAP) serait soumis pour examen à la session de juin 2017.</w:t>
            </w:r>
          </w:p>
        </w:tc>
      </w:tr>
      <w:tr w:rsidR="00CD04C1" w:rsidRPr="00B713EE" w:rsidTr="00931B50">
        <w:trPr>
          <w:cantSplit/>
        </w:trPr>
        <w:tc>
          <w:tcPr>
            <w:tcW w:w="1526" w:type="dxa"/>
            <w:tcBorders>
              <w:bottom w:val="single" w:sz="12" w:space="0" w:color="auto"/>
            </w:tcBorders>
            <w:shd w:val="clear" w:color="auto" w:fill="auto"/>
            <w:tcMar>
              <w:top w:w="0" w:type="dxa"/>
              <w:left w:w="0" w:type="dxa"/>
              <w:bottom w:w="0" w:type="dxa"/>
              <w:right w:w="113" w:type="dxa"/>
            </w:tcMar>
            <w:hideMark/>
          </w:tcPr>
          <w:p w:rsidR="00CD04C1" w:rsidRPr="00B713EE" w:rsidRDefault="00CD04C1" w:rsidP="00B713EE">
            <w:pPr>
              <w:spacing w:before="40" w:after="120"/>
              <w:ind w:right="113"/>
            </w:pPr>
            <w:r w:rsidRPr="00B713EE">
              <w:t>Véhicules électriques et environnement (VEE)</w:t>
            </w:r>
          </w:p>
        </w:tc>
        <w:tc>
          <w:tcPr>
            <w:tcW w:w="1176" w:type="dxa"/>
            <w:tcBorders>
              <w:bottom w:val="single" w:sz="12" w:space="0" w:color="auto"/>
            </w:tcBorders>
            <w:shd w:val="clear" w:color="auto" w:fill="auto"/>
            <w:tcMar>
              <w:top w:w="0" w:type="dxa"/>
              <w:left w:w="0" w:type="dxa"/>
              <w:bottom w:w="0" w:type="dxa"/>
              <w:right w:w="113" w:type="dxa"/>
            </w:tcMar>
            <w:hideMark/>
          </w:tcPr>
          <w:p w:rsidR="00CD04C1" w:rsidRPr="00B713EE" w:rsidRDefault="00CD04C1" w:rsidP="00B713EE">
            <w:pPr>
              <w:spacing w:before="40" w:after="120"/>
              <w:ind w:right="113"/>
            </w:pPr>
            <w:r w:rsidRPr="00B713EE">
              <w:t>Oui/</w:t>
            </w:r>
            <w:r w:rsidR="004155B1">
              <w:t xml:space="preserve"> </w:t>
            </w:r>
            <w:r w:rsidR="004155B1">
              <w:br/>
            </w:r>
            <w:r w:rsidRPr="00B713EE">
              <w:t xml:space="preserve">États-Unis </w:t>
            </w:r>
            <w:r w:rsidRPr="004155B1">
              <w:rPr>
                <w:spacing w:val="-8"/>
              </w:rPr>
              <w:t>d</w:t>
            </w:r>
            <w:r w:rsidR="007C2F80" w:rsidRPr="004155B1">
              <w:rPr>
                <w:spacing w:val="-8"/>
              </w:rPr>
              <w:t>’</w:t>
            </w:r>
            <w:r w:rsidRPr="004155B1">
              <w:rPr>
                <w:spacing w:val="-8"/>
              </w:rPr>
              <w:t>Amérique/</w:t>
            </w:r>
            <w:r w:rsidRPr="00B713EE">
              <w:t xml:space="preserve"> Chine/ Japon</w:t>
            </w:r>
          </w:p>
        </w:tc>
        <w:tc>
          <w:tcPr>
            <w:tcW w:w="1260" w:type="dxa"/>
            <w:tcBorders>
              <w:bottom w:val="single" w:sz="12" w:space="0" w:color="auto"/>
            </w:tcBorders>
            <w:shd w:val="clear" w:color="auto" w:fill="auto"/>
            <w:tcMar>
              <w:top w:w="0" w:type="dxa"/>
              <w:left w:w="0" w:type="dxa"/>
              <w:bottom w:w="0" w:type="dxa"/>
              <w:right w:w="113" w:type="dxa"/>
            </w:tcMar>
            <w:hideMark/>
          </w:tcPr>
          <w:p w:rsidR="00CD04C1" w:rsidRPr="00B713EE" w:rsidRDefault="00CD04C1" w:rsidP="00B713EE">
            <w:pPr>
              <w:spacing w:before="40" w:after="120"/>
              <w:ind w:right="113"/>
            </w:pPr>
            <w:r w:rsidRPr="00B713EE">
              <w:t>Canada/</w:t>
            </w:r>
            <w:r w:rsidRPr="00B713EE">
              <w:br/>
              <w:t>Chine/UE/</w:t>
            </w:r>
            <w:r w:rsidRPr="00B713EE">
              <w:br/>
              <w:t>Japon/ États-Unis d</w:t>
            </w:r>
            <w:r w:rsidR="007C2F80">
              <w:t>’</w:t>
            </w:r>
            <w:r w:rsidRPr="00B713EE">
              <w:t xml:space="preserve">Amérique </w:t>
            </w:r>
          </w:p>
        </w:tc>
        <w:tc>
          <w:tcPr>
            <w:tcW w:w="1694" w:type="dxa"/>
            <w:tcBorders>
              <w:bottom w:val="single" w:sz="12" w:space="0" w:color="auto"/>
            </w:tcBorders>
            <w:shd w:val="clear" w:color="auto" w:fill="auto"/>
            <w:tcMar>
              <w:top w:w="0" w:type="dxa"/>
              <w:left w:w="0" w:type="dxa"/>
              <w:bottom w:w="0" w:type="dxa"/>
              <w:right w:w="113" w:type="dxa"/>
            </w:tcMar>
            <w:hideMark/>
          </w:tcPr>
          <w:p w:rsidR="00CD04C1" w:rsidRPr="00B713EE" w:rsidRDefault="004155B1" w:rsidP="00B713EE">
            <w:pPr>
              <w:spacing w:before="40" w:after="120"/>
              <w:ind w:right="113"/>
            </w:pPr>
            <w:r>
              <w:t>AC.3/46</w:t>
            </w:r>
            <w:r>
              <w:br/>
              <w:t>(basé sur le document</w:t>
            </w:r>
            <w:r w:rsidR="009A2D64">
              <w:t xml:space="preserve"> </w:t>
            </w:r>
            <w:r w:rsidR="00CD04C1" w:rsidRPr="00B713EE">
              <w:t>2016/116)</w:t>
            </w:r>
          </w:p>
        </w:tc>
        <w:tc>
          <w:tcPr>
            <w:tcW w:w="1735" w:type="dxa"/>
            <w:tcBorders>
              <w:bottom w:val="single" w:sz="12" w:space="0" w:color="auto"/>
            </w:tcBorders>
            <w:shd w:val="clear" w:color="auto" w:fill="auto"/>
            <w:tcMar>
              <w:top w:w="0" w:type="dxa"/>
              <w:left w:w="0" w:type="dxa"/>
              <w:bottom w:w="0" w:type="dxa"/>
              <w:right w:w="113" w:type="dxa"/>
            </w:tcMar>
          </w:tcPr>
          <w:p w:rsidR="00CD04C1" w:rsidRPr="00B713EE" w:rsidRDefault="00CD04C1" w:rsidP="00B713EE">
            <w:pPr>
              <w:spacing w:before="40" w:after="120"/>
              <w:ind w:right="113"/>
            </w:pPr>
          </w:p>
        </w:tc>
        <w:tc>
          <w:tcPr>
            <w:tcW w:w="2240" w:type="dxa"/>
            <w:tcBorders>
              <w:bottom w:val="single" w:sz="12" w:space="0" w:color="auto"/>
            </w:tcBorders>
            <w:shd w:val="clear" w:color="auto" w:fill="auto"/>
            <w:tcMar>
              <w:top w:w="0" w:type="dxa"/>
              <w:left w:w="0" w:type="dxa"/>
              <w:bottom w:w="0" w:type="dxa"/>
              <w:right w:w="113" w:type="dxa"/>
            </w:tcMar>
            <w:hideMark/>
          </w:tcPr>
          <w:p w:rsidR="00CD04C1" w:rsidRPr="00B713EE" w:rsidRDefault="00CD04C1" w:rsidP="00B713EE">
            <w:pPr>
              <w:spacing w:before="40" w:after="120"/>
              <w:ind w:right="113"/>
            </w:pPr>
            <w:r w:rsidRPr="00B713EE">
              <w:t>L</w:t>
            </w:r>
            <w:r w:rsidR="007C2F80">
              <w:t>’</w:t>
            </w:r>
            <w:r w:rsidRPr="00B713EE">
              <w:t>AC.3 a été informée des travaux menés par le GTI sur les véhicules électriques et l</w:t>
            </w:r>
            <w:r w:rsidR="007C2F80">
              <w:t>’</w:t>
            </w:r>
            <w:r w:rsidRPr="00B713EE">
              <w:t>environnement (</w:t>
            </w:r>
            <w:r w:rsidR="004155B1">
              <w:t>VEE) dans le cadre de la partie </w:t>
            </w:r>
            <w:r w:rsidRPr="00B713EE">
              <w:t>B de son mandat.</w:t>
            </w:r>
          </w:p>
        </w:tc>
      </w:tr>
    </w:tbl>
    <w:p w:rsidR="00CD04C1" w:rsidRPr="00B713EE" w:rsidRDefault="00CD04C1" w:rsidP="00B713EE">
      <w:pPr>
        <w:pStyle w:val="H23G"/>
      </w:pPr>
      <w:r w:rsidRPr="00B713EE">
        <w:t>GRB</w:t>
      </w:r>
    </w:p>
    <w:tbl>
      <w:tblPr>
        <w:tblW w:w="9637" w:type="dxa"/>
        <w:tblLayout w:type="fixed"/>
        <w:tblCellMar>
          <w:left w:w="0" w:type="dxa"/>
          <w:right w:w="0" w:type="dxa"/>
        </w:tblCellMar>
        <w:tblLook w:val="01E0" w:firstRow="1" w:lastRow="1" w:firstColumn="1" w:lastColumn="1" w:noHBand="0" w:noVBand="0"/>
      </w:tblPr>
      <w:tblGrid>
        <w:gridCol w:w="1540"/>
        <w:gridCol w:w="1162"/>
        <w:gridCol w:w="1260"/>
        <w:gridCol w:w="1694"/>
        <w:gridCol w:w="1735"/>
        <w:gridCol w:w="2246"/>
      </w:tblGrid>
      <w:tr w:rsidR="00CD04C1" w:rsidRPr="00B713EE" w:rsidTr="00931B50">
        <w:trPr>
          <w:tblHeader/>
        </w:trPr>
        <w:tc>
          <w:tcPr>
            <w:tcW w:w="1540" w:type="dxa"/>
            <w:tcBorders>
              <w:top w:val="single" w:sz="4" w:space="0" w:color="auto"/>
              <w:bottom w:val="single" w:sz="12" w:space="0" w:color="auto"/>
            </w:tcBorders>
            <w:shd w:val="clear" w:color="auto" w:fill="auto"/>
            <w:vAlign w:val="bottom"/>
            <w:hideMark/>
          </w:tcPr>
          <w:p w:rsidR="00CD04C1" w:rsidRPr="00B713EE" w:rsidRDefault="00CD04C1" w:rsidP="00B713EE">
            <w:pPr>
              <w:spacing w:before="80" w:after="80" w:line="200" w:lineRule="exact"/>
              <w:ind w:right="113"/>
              <w:rPr>
                <w:i/>
                <w:sz w:val="16"/>
              </w:rPr>
            </w:pPr>
            <w:r w:rsidRPr="00B713EE">
              <w:rPr>
                <w:i/>
                <w:sz w:val="16"/>
              </w:rPr>
              <w:t xml:space="preserve">Question </w:t>
            </w:r>
          </w:p>
        </w:tc>
        <w:tc>
          <w:tcPr>
            <w:tcW w:w="1162" w:type="dxa"/>
            <w:tcBorders>
              <w:top w:val="single" w:sz="4" w:space="0" w:color="auto"/>
              <w:bottom w:val="single" w:sz="12" w:space="0" w:color="auto"/>
            </w:tcBorders>
            <w:shd w:val="clear" w:color="auto" w:fill="auto"/>
            <w:vAlign w:val="bottom"/>
            <w:hideMark/>
          </w:tcPr>
          <w:p w:rsidR="00CD04C1" w:rsidRPr="00B713EE" w:rsidRDefault="006B2938" w:rsidP="00B713EE">
            <w:pPr>
              <w:spacing w:before="80" w:after="80" w:line="200" w:lineRule="exact"/>
              <w:ind w:right="113"/>
              <w:rPr>
                <w:i/>
                <w:sz w:val="16"/>
              </w:rPr>
            </w:pPr>
            <w:r>
              <w:rPr>
                <w:i/>
                <w:sz w:val="16"/>
              </w:rPr>
              <w:t>Groupe informel (oui</w:t>
            </w:r>
            <w:r>
              <w:rPr>
                <w:i/>
                <w:sz w:val="16"/>
              </w:rPr>
              <w:noBreakHyphen/>
            </w:r>
            <w:r w:rsidR="00CD04C1" w:rsidRPr="00B713EE">
              <w:rPr>
                <w:i/>
                <w:sz w:val="16"/>
              </w:rPr>
              <w:t xml:space="preserve">non)/ Président et Vice-Président </w:t>
            </w:r>
          </w:p>
        </w:tc>
        <w:tc>
          <w:tcPr>
            <w:tcW w:w="1260" w:type="dxa"/>
            <w:tcBorders>
              <w:top w:val="single" w:sz="4" w:space="0" w:color="auto"/>
              <w:bottom w:val="single" w:sz="12" w:space="0" w:color="auto"/>
            </w:tcBorders>
            <w:shd w:val="clear" w:color="auto" w:fill="auto"/>
            <w:vAlign w:val="bottom"/>
            <w:hideMark/>
          </w:tcPr>
          <w:p w:rsidR="00CD04C1" w:rsidRPr="00B713EE" w:rsidRDefault="00CD04C1" w:rsidP="00B713EE">
            <w:pPr>
              <w:spacing w:before="80" w:after="80" w:line="200" w:lineRule="exact"/>
              <w:ind w:right="113"/>
              <w:rPr>
                <w:i/>
                <w:sz w:val="16"/>
              </w:rPr>
            </w:pPr>
            <w:r w:rsidRPr="00B713EE">
              <w:rPr>
                <w:i/>
                <w:sz w:val="16"/>
              </w:rPr>
              <w:t>Responsable technique</w:t>
            </w:r>
          </w:p>
        </w:tc>
        <w:tc>
          <w:tcPr>
            <w:tcW w:w="1694" w:type="dxa"/>
            <w:tcBorders>
              <w:top w:val="single" w:sz="4" w:space="0" w:color="auto"/>
              <w:bottom w:val="single" w:sz="12" w:space="0" w:color="auto"/>
            </w:tcBorders>
            <w:shd w:val="clear" w:color="auto" w:fill="auto"/>
            <w:vAlign w:val="bottom"/>
            <w:hideMark/>
          </w:tcPr>
          <w:p w:rsidR="00CD04C1" w:rsidRPr="00B713EE" w:rsidRDefault="00CD04C1" w:rsidP="00B713EE">
            <w:pPr>
              <w:spacing w:before="80" w:after="80" w:line="200" w:lineRule="exact"/>
              <w:ind w:right="113"/>
              <w:rPr>
                <w:i/>
                <w:sz w:val="16"/>
              </w:rPr>
            </w:pPr>
            <w:r w:rsidRPr="00B713EE">
              <w:rPr>
                <w:i/>
                <w:sz w:val="16"/>
              </w:rPr>
              <w:t xml:space="preserve">Proposition officielle </w:t>
            </w:r>
            <w:r w:rsidRPr="006B2938">
              <w:rPr>
                <w:i/>
                <w:spacing w:val="-2"/>
                <w:sz w:val="16"/>
              </w:rPr>
              <w:t>(ECE/TRANS/WP.29/…)</w:t>
            </w:r>
            <w:r w:rsidRPr="00B713EE">
              <w:rPr>
                <w:i/>
                <w:sz w:val="16"/>
              </w:rPr>
              <w:t xml:space="preserve"> </w:t>
            </w:r>
          </w:p>
        </w:tc>
        <w:tc>
          <w:tcPr>
            <w:tcW w:w="1735" w:type="dxa"/>
            <w:tcBorders>
              <w:top w:val="single" w:sz="4" w:space="0" w:color="auto"/>
              <w:bottom w:val="single" w:sz="12" w:space="0" w:color="auto"/>
            </w:tcBorders>
            <w:shd w:val="clear" w:color="auto" w:fill="auto"/>
            <w:vAlign w:val="bottom"/>
            <w:hideMark/>
          </w:tcPr>
          <w:p w:rsidR="00CD04C1" w:rsidRPr="00B713EE" w:rsidRDefault="00CD04C1" w:rsidP="00B713EE">
            <w:pPr>
              <w:spacing w:before="80" w:after="80" w:line="200" w:lineRule="exact"/>
              <w:ind w:right="113"/>
              <w:rPr>
                <w:i/>
                <w:sz w:val="16"/>
              </w:rPr>
            </w:pPr>
            <w:r w:rsidRPr="00B713EE">
              <w:rPr>
                <w:i/>
                <w:sz w:val="16"/>
              </w:rPr>
              <w:t xml:space="preserve">Proposition de projet </w:t>
            </w:r>
            <w:r w:rsidR="006B2938">
              <w:rPr>
                <w:i/>
                <w:sz w:val="16"/>
              </w:rPr>
              <w:br/>
            </w:r>
            <w:r w:rsidRPr="00B713EE">
              <w:rPr>
                <w:i/>
                <w:sz w:val="16"/>
              </w:rPr>
              <w:t xml:space="preserve">de RTM (ECE/TRANS/WP.29/…) </w:t>
            </w:r>
          </w:p>
        </w:tc>
        <w:tc>
          <w:tcPr>
            <w:tcW w:w="2246" w:type="dxa"/>
            <w:tcBorders>
              <w:top w:val="single" w:sz="4" w:space="0" w:color="auto"/>
              <w:bottom w:val="single" w:sz="12" w:space="0" w:color="auto"/>
            </w:tcBorders>
            <w:shd w:val="clear" w:color="auto" w:fill="auto"/>
            <w:vAlign w:val="bottom"/>
            <w:hideMark/>
          </w:tcPr>
          <w:p w:rsidR="00CD04C1" w:rsidRPr="00B713EE" w:rsidRDefault="00CD04C1" w:rsidP="00B713EE">
            <w:pPr>
              <w:spacing w:before="80" w:after="80" w:line="200" w:lineRule="exact"/>
              <w:ind w:right="113"/>
              <w:rPr>
                <w:i/>
                <w:sz w:val="16"/>
              </w:rPr>
            </w:pPr>
            <w:r w:rsidRPr="00B713EE">
              <w:rPr>
                <w:i/>
                <w:sz w:val="16"/>
              </w:rPr>
              <w:t xml:space="preserve">Stade/Observations </w:t>
            </w:r>
          </w:p>
        </w:tc>
      </w:tr>
      <w:tr w:rsidR="00B713EE" w:rsidRPr="00B713EE" w:rsidTr="00931B50">
        <w:trPr>
          <w:trHeight w:hRule="exact" w:val="113"/>
          <w:tblHeader/>
        </w:trPr>
        <w:tc>
          <w:tcPr>
            <w:tcW w:w="1540" w:type="dxa"/>
            <w:tcBorders>
              <w:top w:val="single" w:sz="12" w:space="0" w:color="auto"/>
            </w:tcBorders>
            <w:shd w:val="clear" w:color="auto" w:fill="auto"/>
          </w:tcPr>
          <w:p w:rsidR="00B713EE" w:rsidRPr="00B713EE" w:rsidRDefault="00B713EE" w:rsidP="00B713EE">
            <w:pPr>
              <w:spacing w:before="40" w:after="120"/>
              <w:ind w:right="113"/>
            </w:pPr>
          </w:p>
        </w:tc>
        <w:tc>
          <w:tcPr>
            <w:tcW w:w="1162" w:type="dxa"/>
            <w:tcBorders>
              <w:top w:val="single" w:sz="12" w:space="0" w:color="auto"/>
            </w:tcBorders>
            <w:shd w:val="clear" w:color="auto" w:fill="auto"/>
          </w:tcPr>
          <w:p w:rsidR="00B713EE" w:rsidRPr="00B713EE" w:rsidRDefault="00B713EE" w:rsidP="00B713EE">
            <w:pPr>
              <w:spacing w:before="40" w:after="120"/>
              <w:ind w:right="113"/>
            </w:pPr>
          </w:p>
        </w:tc>
        <w:tc>
          <w:tcPr>
            <w:tcW w:w="1260" w:type="dxa"/>
            <w:tcBorders>
              <w:top w:val="single" w:sz="12" w:space="0" w:color="auto"/>
            </w:tcBorders>
            <w:shd w:val="clear" w:color="auto" w:fill="auto"/>
          </w:tcPr>
          <w:p w:rsidR="00B713EE" w:rsidRPr="00B713EE" w:rsidRDefault="00B713EE" w:rsidP="00B713EE">
            <w:pPr>
              <w:spacing w:before="40" w:after="120"/>
              <w:ind w:right="113"/>
            </w:pPr>
          </w:p>
        </w:tc>
        <w:tc>
          <w:tcPr>
            <w:tcW w:w="1694" w:type="dxa"/>
            <w:tcBorders>
              <w:top w:val="single" w:sz="12" w:space="0" w:color="auto"/>
            </w:tcBorders>
            <w:shd w:val="clear" w:color="auto" w:fill="auto"/>
          </w:tcPr>
          <w:p w:rsidR="00B713EE" w:rsidRPr="00B713EE" w:rsidRDefault="00B713EE" w:rsidP="00B713EE">
            <w:pPr>
              <w:spacing w:before="40" w:after="120"/>
              <w:ind w:right="113"/>
            </w:pPr>
          </w:p>
        </w:tc>
        <w:tc>
          <w:tcPr>
            <w:tcW w:w="1735" w:type="dxa"/>
            <w:tcBorders>
              <w:top w:val="single" w:sz="12" w:space="0" w:color="auto"/>
            </w:tcBorders>
            <w:shd w:val="clear" w:color="auto" w:fill="auto"/>
          </w:tcPr>
          <w:p w:rsidR="00B713EE" w:rsidRPr="00B713EE" w:rsidRDefault="00B713EE" w:rsidP="00B713EE">
            <w:pPr>
              <w:spacing w:before="40" w:after="120"/>
              <w:ind w:right="113"/>
            </w:pPr>
          </w:p>
        </w:tc>
        <w:tc>
          <w:tcPr>
            <w:tcW w:w="2246" w:type="dxa"/>
            <w:tcBorders>
              <w:top w:val="single" w:sz="12" w:space="0" w:color="auto"/>
            </w:tcBorders>
            <w:shd w:val="clear" w:color="auto" w:fill="auto"/>
          </w:tcPr>
          <w:p w:rsidR="00B713EE" w:rsidRPr="00B713EE" w:rsidRDefault="00B713EE" w:rsidP="00B713EE">
            <w:pPr>
              <w:spacing w:before="40" w:after="120"/>
              <w:ind w:right="113"/>
            </w:pPr>
          </w:p>
        </w:tc>
      </w:tr>
      <w:tr w:rsidR="00CD04C1" w:rsidRPr="00B713EE" w:rsidTr="00931B50">
        <w:tc>
          <w:tcPr>
            <w:tcW w:w="1540" w:type="dxa"/>
            <w:tcBorders>
              <w:bottom w:val="single" w:sz="12" w:space="0" w:color="auto"/>
            </w:tcBorders>
            <w:shd w:val="clear" w:color="auto" w:fill="auto"/>
            <w:hideMark/>
          </w:tcPr>
          <w:p w:rsidR="00CD04C1" w:rsidRPr="00B713EE" w:rsidRDefault="00CD04C1" w:rsidP="00B713EE">
            <w:pPr>
              <w:spacing w:before="40" w:after="120"/>
              <w:ind w:right="113"/>
            </w:pPr>
            <w:r w:rsidRPr="00B713EE">
              <w:t>Véhicules à moteur silencieux</w:t>
            </w:r>
          </w:p>
        </w:tc>
        <w:tc>
          <w:tcPr>
            <w:tcW w:w="1162" w:type="dxa"/>
            <w:tcBorders>
              <w:bottom w:val="single" w:sz="12" w:space="0" w:color="auto"/>
            </w:tcBorders>
            <w:shd w:val="clear" w:color="auto" w:fill="auto"/>
            <w:hideMark/>
          </w:tcPr>
          <w:p w:rsidR="00CD04C1" w:rsidRPr="00B713EE" w:rsidRDefault="00CD04C1" w:rsidP="00450782">
            <w:pPr>
              <w:spacing w:before="40" w:after="120"/>
              <w:ind w:right="113"/>
            </w:pPr>
            <w:r w:rsidRPr="00B713EE">
              <w:t>Oui/</w:t>
            </w:r>
            <w:r w:rsidR="00450782">
              <w:br/>
              <w:t>États-Unis d’Amérique</w:t>
            </w:r>
            <w:r w:rsidRPr="00B713EE">
              <w:rPr>
                <w:b/>
              </w:rPr>
              <w:t>/</w:t>
            </w:r>
            <w:r w:rsidR="00931B50">
              <w:rPr>
                <w:b/>
              </w:rPr>
              <w:t xml:space="preserve"> </w:t>
            </w:r>
            <w:r w:rsidRPr="00B713EE">
              <w:t>Japon</w:t>
            </w:r>
          </w:p>
        </w:tc>
        <w:tc>
          <w:tcPr>
            <w:tcW w:w="1260" w:type="dxa"/>
            <w:tcBorders>
              <w:bottom w:val="single" w:sz="12" w:space="0" w:color="auto"/>
            </w:tcBorders>
            <w:shd w:val="clear" w:color="auto" w:fill="auto"/>
            <w:hideMark/>
          </w:tcPr>
          <w:p w:rsidR="00CD04C1" w:rsidRPr="00B713EE" w:rsidRDefault="00CD04C1" w:rsidP="00B713EE">
            <w:pPr>
              <w:spacing w:before="40" w:after="120"/>
              <w:ind w:right="113"/>
            </w:pPr>
            <w:r w:rsidRPr="00B713EE">
              <w:t>UE/Japon/ États-Unis d</w:t>
            </w:r>
            <w:r w:rsidR="007C2F80">
              <w:t>’</w:t>
            </w:r>
            <w:r w:rsidRPr="00B713EE">
              <w:t xml:space="preserve">Amérique </w:t>
            </w:r>
          </w:p>
        </w:tc>
        <w:tc>
          <w:tcPr>
            <w:tcW w:w="1694" w:type="dxa"/>
            <w:tcBorders>
              <w:bottom w:val="single" w:sz="12" w:space="0" w:color="auto"/>
            </w:tcBorders>
            <w:shd w:val="clear" w:color="auto" w:fill="auto"/>
            <w:hideMark/>
          </w:tcPr>
          <w:p w:rsidR="00CD04C1" w:rsidRPr="00B713EE" w:rsidRDefault="00CD04C1" w:rsidP="00B713EE">
            <w:pPr>
              <w:spacing w:before="40" w:after="120"/>
              <w:ind w:right="113"/>
            </w:pPr>
            <w:r w:rsidRPr="00B713EE">
              <w:t>AC.3/33</w:t>
            </w:r>
            <w:r w:rsidRPr="00B713EE">
              <w:br/>
              <w:t>(y compris le mandat)</w:t>
            </w:r>
          </w:p>
        </w:tc>
        <w:tc>
          <w:tcPr>
            <w:tcW w:w="1735" w:type="dxa"/>
            <w:tcBorders>
              <w:bottom w:val="single" w:sz="12" w:space="0" w:color="auto"/>
            </w:tcBorders>
            <w:shd w:val="clear" w:color="auto" w:fill="auto"/>
          </w:tcPr>
          <w:p w:rsidR="00CD04C1" w:rsidRPr="00B713EE" w:rsidRDefault="00CD04C1" w:rsidP="00B713EE">
            <w:pPr>
              <w:spacing w:before="40" w:after="120"/>
              <w:ind w:right="113"/>
            </w:pPr>
          </w:p>
        </w:tc>
        <w:tc>
          <w:tcPr>
            <w:tcW w:w="2246" w:type="dxa"/>
            <w:tcBorders>
              <w:bottom w:val="single" w:sz="12" w:space="0" w:color="auto"/>
            </w:tcBorders>
            <w:shd w:val="clear" w:color="auto" w:fill="auto"/>
            <w:hideMark/>
          </w:tcPr>
          <w:p w:rsidR="00CD04C1" w:rsidRPr="00B713EE" w:rsidRDefault="00CD04C1" w:rsidP="00B713EE">
            <w:pPr>
              <w:spacing w:before="40" w:after="120"/>
              <w:ind w:right="113"/>
            </w:pPr>
            <w:r w:rsidRPr="00B713EE">
              <w:t>L</w:t>
            </w:r>
            <w:r w:rsidR="007C2F80">
              <w:t>’</w:t>
            </w:r>
            <w:r w:rsidRPr="00B713EE">
              <w:t>AC.3 attend un rapport d</w:t>
            </w:r>
            <w:r w:rsidR="007C2F80">
              <w:t>’</w:t>
            </w:r>
            <w:r w:rsidRPr="00B713EE">
              <w:t>activité</w:t>
            </w:r>
            <w:r w:rsidR="009A2D64">
              <w:t xml:space="preserve"> </w:t>
            </w:r>
            <w:r w:rsidRPr="00B713EE">
              <w:t>du e groupe de travail informel des véhicules à moteur silencieux (VAMS) à sa session de juin 2017.</w:t>
            </w:r>
          </w:p>
        </w:tc>
      </w:tr>
    </w:tbl>
    <w:p w:rsidR="00CD04C1" w:rsidRPr="00B713EE" w:rsidRDefault="00CD04C1" w:rsidP="00B713EE">
      <w:pPr>
        <w:pStyle w:val="H23G"/>
      </w:pPr>
      <w:r w:rsidRPr="00B713EE">
        <w:t>GRSG</w:t>
      </w:r>
    </w:p>
    <w:tbl>
      <w:tblPr>
        <w:tblW w:w="9637" w:type="dxa"/>
        <w:tblLayout w:type="fixed"/>
        <w:tblCellMar>
          <w:left w:w="0" w:type="dxa"/>
          <w:right w:w="0" w:type="dxa"/>
        </w:tblCellMar>
        <w:tblLook w:val="01E0" w:firstRow="1" w:lastRow="1" w:firstColumn="1" w:lastColumn="1" w:noHBand="0" w:noVBand="0"/>
      </w:tblPr>
      <w:tblGrid>
        <w:gridCol w:w="1540"/>
        <w:gridCol w:w="1148"/>
        <w:gridCol w:w="1260"/>
        <w:gridCol w:w="1708"/>
        <w:gridCol w:w="1735"/>
        <w:gridCol w:w="2246"/>
      </w:tblGrid>
      <w:tr w:rsidR="00CD04C1" w:rsidRPr="00B713EE" w:rsidTr="00931B50">
        <w:trPr>
          <w:tblHeader/>
        </w:trPr>
        <w:tc>
          <w:tcPr>
            <w:tcW w:w="1540" w:type="dxa"/>
            <w:tcBorders>
              <w:top w:val="single" w:sz="4" w:space="0" w:color="auto"/>
              <w:bottom w:val="single" w:sz="12" w:space="0" w:color="auto"/>
            </w:tcBorders>
            <w:shd w:val="clear" w:color="auto" w:fill="auto"/>
            <w:vAlign w:val="bottom"/>
            <w:hideMark/>
          </w:tcPr>
          <w:p w:rsidR="00CD04C1" w:rsidRPr="00B713EE" w:rsidRDefault="00CD04C1" w:rsidP="00B713EE">
            <w:pPr>
              <w:spacing w:before="80" w:after="80" w:line="200" w:lineRule="exact"/>
              <w:ind w:right="113"/>
              <w:rPr>
                <w:i/>
                <w:sz w:val="16"/>
              </w:rPr>
            </w:pPr>
            <w:r w:rsidRPr="00B713EE">
              <w:rPr>
                <w:i/>
                <w:sz w:val="16"/>
              </w:rPr>
              <w:t xml:space="preserve">Question </w:t>
            </w:r>
          </w:p>
        </w:tc>
        <w:tc>
          <w:tcPr>
            <w:tcW w:w="1148" w:type="dxa"/>
            <w:tcBorders>
              <w:top w:val="single" w:sz="4" w:space="0" w:color="auto"/>
              <w:bottom w:val="single" w:sz="12" w:space="0" w:color="auto"/>
            </w:tcBorders>
            <w:shd w:val="clear" w:color="auto" w:fill="auto"/>
            <w:vAlign w:val="bottom"/>
            <w:hideMark/>
          </w:tcPr>
          <w:p w:rsidR="00CD04C1" w:rsidRPr="00B713EE" w:rsidRDefault="00450782" w:rsidP="00B713EE">
            <w:pPr>
              <w:spacing w:before="80" w:after="80" w:line="200" w:lineRule="exact"/>
              <w:ind w:right="113"/>
              <w:rPr>
                <w:i/>
                <w:sz w:val="16"/>
              </w:rPr>
            </w:pPr>
            <w:r>
              <w:rPr>
                <w:i/>
                <w:sz w:val="16"/>
              </w:rPr>
              <w:t>Groupe informel (oui</w:t>
            </w:r>
            <w:r>
              <w:rPr>
                <w:i/>
                <w:sz w:val="16"/>
              </w:rPr>
              <w:noBreakHyphen/>
            </w:r>
            <w:r w:rsidR="00CD04C1" w:rsidRPr="00B713EE">
              <w:rPr>
                <w:i/>
                <w:sz w:val="16"/>
              </w:rPr>
              <w:t xml:space="preserve">non)/ Président et Vice-Président </w:t>
            </w:r>
          </w:p>
        </w:tc>
        <w:tc>
          <w:tcPr>
            <w:tcW w:w="1260" w:type="dxa"/>
            <w:tcBorders>
              <w:top w:val="single" w:sz="4" w:space="0" w:color="auto"/>
              <w:bottom w:val="single" w:sz="12" w:space="0" w:color="auto"/>
            </w:tcBorders>
            <w:shd w:val="clear" w:color="auto" w:fill="auto"/>
            <w:vAlign w:val="bottom"/>
            <w:hideMark/>
          </w:tcPr>
          <w:p w:rsidR="00CD04C1" w:rsidRPr="00B713EE" w:rsidRDefault="00CD04C1" w:rsidP="00B713EE">
            <w:pPr>
              <w:spacing w:before="80" w:after="80" w:line="200" w:lineRule="exact"/>
              <w:ind w:right="113"/>
              <w:rPr>
                <w:i/>
                <w:sz w:val="16"/>
              </w:rPr>
            </w:pPr>
            <w:r w:rsidRPr="00B713EE">
              <w:rPr>
                <w:i/>
                <w:sz w:val="16"/>
              </w:rPr>
              <w:t>Responsable technique</w:t>
            </w:r>
          </w:p>
        </w:tc>
        <w:tc>
          <w:tcPr>
            <w:tcW w:w="1708" w:type="dxa"/>
            <w:tcBorders>
              <w:top w:val="single" w:sz="4" w:space="0" w:color="auto"/>
              <w:bottom w:val="single" w:sz="12" w:space="0" w:color="auto"/>
            </w:tcBorders>
            <w:shd w:val="clear" w:color="auto" w:fill="auto"/>
            <w:vAlign w:val="bottom"/>
            <w:hideMark/>
          </w:tcPr>
          <w:p w:rsidR="00CD04C1" w:rsidRPr="00B713EE" w:rsidRDefault="00CD04C1" w:rsidP="00B713EE">
            <w:pPr>
              <w:spacing w:before="80" w:after="80" w:line="200" w:lineRule="exact"/>
              <w:ind w:right="113"/>
              <w:rPr>
                <w:i/>
                <w:sz w:val="16"/>
              </w:rPr>
            </w:pPr>
            <w:r w:rsidRPr="00B713EE">
              <w:rPr>
                <w:i/>
                <w:sz w:val="16"/>
              </w:rPr>
              <w:t xml:space="preserve">Proposition officielle (ECE/TRANS/WP.29/…) </w:t>
            </w:r>
          </w:p>
        </w:tc>
        <w:tc>
          <w:tcPr>
            <w:tcW w:w="1735" w:type="dxa"/>
            <w:tcBorders>
              <w:top w:val="single" w:sz="4" w:space="0" w:color="auto"/>
              <w:bottom w:val="single" w:sz="12" w:space="0" w:color="auto"/>
            </w:tcBorders>
            <w:shd w:val="clear" w:color="auto" w:fill="auto"/>
            <w:vAlign w:val="bottom"/>
            <w:hideMark/>
          </w:tcPr>
          <w:p w:rsidR="00CD04C1" w:rsidRPr="00B713EE" w:rsidRDefault="00CD04C1" w:rsidP="00B713EE">
            <w:pPr>
              <w:spacing w:before="80" w:after="80" w:line="200" w:lineRule="exact"/>
              <w:ind w:right="113"/>
              <w:rPr>
                <w:i/>
                <w:sz w:val="16"/>
              </w:rPr>
            </w:pPr>
            <w:r w:rsidRPr="00B713EE">
              <w:rPr>
                <w:i/>
                <w:sz w:val="16"/>
              </w:rPr>
              <w:t xml:space="preserve">Proposition de projet </w:t>
            </w:r>
            <w:r w:rsidR="00450782">
              <w:rPr>
                <w:i/>
                <w:sz w:val="16"/>
              </w:rPr>
              <w:br/>
            </w:r>
            <w:r w:rsidRPr="00B713EE">
              <w:rPr>
                <w:i/>
                <w:sz w:val="16"/>
              </w:rPr>
              <w:t xml:space="preserve">de RTM (ECE/TRANS/WP.29/…) </w:t>
            </w:r>
          </w:p>
        </w:tc>
        <w:tc>
          <w:tcPr>
            <w:tcW w:w="2246" w:type="dxa"/>
            <w:tcBorders>
              <w:top w:val="single" w:sz="4" w:space="0" w:color="auto"/>
              <w:bottom w:val="single" w:sz="12" w:space="0" w:color="auto"/>
            </w:tcBorders>
            <w:shd w:val="clear" w:color="auto" w:fill="auto"/>
            <w:vAlign w:val="bottom"/>
            <w:hideMark/>
          </w:tcPr>
          <w:p w:rsidR="00CD04C1" w:rsidRPr="00B713EE" w:rsidRDefault="00CD04C1" w:rsidP="00B713EE">
            <w:pPr>
              <w:spacing w:before="80" w:after="80" w:line="200" w:lineRule="exact"/>
              <w:ind w:right="113"/>
              <w:rPr>
                <w:i/>
                <w:sz w:val="16"/>
              </w:rPr>
            </w:pPr>
            <w:r w:rsidRPr="00B713EE">
              <w:rPr>
                <w:i/>
                <w:sz w:val="16"/>
              </w:rPr>
              <w:t xml:space="preserve">Stade/Observations </w:t>
            </w:r>
          </w:p>
        </w:tc>
      </w:tr>
      <w:tr w:rsidR="00B713EE" w:rsidRPr="00B713EE" w:rsidTr="00931B50">
        <w:trPr>
          <w:trHeight w:hRule="exact" w:val="113"/>
          <w:tblHeader/>
        </w:trPr>
        <w:tc>
          <w:tcPr>
            <w:tcW w:w="1540" w:type="dxa"/>
            <w:tcBorders>
              <w:top w:val="single" w:sz="12" w:space="0" w:color="auto"/>
            </w:tcBorders>
            <w:shd w:val="clear" w:color="auto" w:fill="auto"/>
          </w:tcPr>
          <w:p w:rsidR="00B713EE" w:rsidRPr="00B713EE" w:rsidRDefault="00B713EE" w:rsidP="00B713EE">
            <w:pPr>
              <w:spacing w:before="40" w:after="120"/>
              <w:ind w:right="113"/>
            </w:pPr>
          </w:p>
        </w:tc>
        <w:tc>
          <w:tcPr>
            <w:tcW w:w="1148" w:type="dxa"/>
            <w:tcBorders>
              <w:top w:val="single" w:sz="12" w:space="0" w:color="auto"/>
            </w:tcBorders>
            <w:shd w:val="clear" w:color="auto" w:fill="auto"/>
          </w:tcPr>
          <w:p w:rsidR="00B713EE" w:rsidRPr="00B713EE" w:rsidRDefault="00B713EE" w:rsidP="00B713EE">
            <w:pPr>
              <w:spacing w:before="40" w:after="120"/>
              <w:ind w:right="113"/>
            </w:pPr>
          </w:p>
        </w:tc>
        <w:tc>
          <w:tcPr>
            <w:tcW w:w="1260" w:type="dxa"/>
            <w:tcBorders>
              <w:top w:val="single" w:sz="12" w:space="0" w:color="auto"/>
            </w:tcBorders>
            <w:shd w:val="clear" w:color="auto" w:fill="auto"/>
          </w:tcPr>
          <w:p w:rsidR="00B713EE" w:rsidRPr="00B713EE" w:rsidRDefault="00B713EE" w:rsidP="00B713EE">
            <w:pPr>
              <w:spacing w:before="40" w:after="120"/>
              <w:ind w:right="113"/>
            </w:pPr>
          </w:p>
        </w:tc>
        <w:tc>
          <w:tcPr>
            <w:tcW w:w="1708" w:type="dxa"/>
            <w:tcBorders>
              <w:top w:val="single" w:sz="12" w:space="0" w:color="auto"/>
            </w:tcBorders>
            <w:shd w:val="clear" w:color="auto" w:fill="auto"/>
          </w:tcPr>
          <w:p w:rsidR="00B713EE" w:rsidRPr="00B713EE" w:rsidRDefault="00B713EE" w:rsidP="00B713EE">
            <w:pPr>
              <w:spacing w:before="40" w:after="120"/>
              <w:ind w:right="113"/>
            </w:pPr>
          </w:p>
        </w:tc>
        <w:tc>
          <w:tcPr>
            <w:tcW w:w="1735" w:type="dxa"/>
            <w:tcBorders>
              <w:top w:val="single" w:sz="12" w:space="0" w:color="auto"/>
            </w:tcBorders>
            <w:shd w:val="clear" w:color="auto" w:fill="auto"/>
          </w:tcPr>
          <w:p w:rsidR="00B713EE" w:rsidRPr="00B713EE" w:rsidRDefault="00B713EE" w:rsidP="00B713EE">
            <w:pPr>
              <w:spacing w:before="40" w:after="120"/>
              <w:ind w:right="113"/>
            </w:pPr>
          </w:p>
        </w:tc>
        <w:tc>
          <w:tcPr>
            <w:tcW w:w="2246" w:type="dxa"/>
            <w:tcBorders>
              <w:top w:val="single" w:sz="12" w:space="0" w:color="auto"/>
            </w:tcBorders>
            <w:shd w:val="clear" w:color="auto" w:fill="auto"/>
          </w:tcPr>
          <w:p w:rsidR="00B713EE" w:rsidRPr="00B713EE" w:rsidRDefault="00B713EE" w:rsidP="00B713EE">
            <w:pPr>
              <w:spacing w:before="40" w:after="120"/>
              <w:ind w:right="113"/>
            </w:pPr>
          </w:p>
        </w:tc>
      </w:tr>
      <w:tr w:rsidR="00CD04C1" w:rsidRPr="00B713EE" w:rsidTr="00931B50">
        <w:tc>
          <w:tcPr>
            <w:tcW w:w="1540" w:type="dxa"/>
            <w:tcBorders>
              <w:bottom w:val="single" w:sz="12" w:space="0" w:color="auto"/>
            </w:tcBorders>
            <w:shd w:val="clear" w:color="auto" w:fill="auto"/>
            <w:hideMark/>
          </w:tcPr>
          <w:p w:rsidR="00CD04C1" w:rsidRPr="00B713EE" w:rsidRDefault="00CD04C1" w:rsidP="00B713EE">
            <w:pPr>
              <w:spacing w:before="40" w:after="120"/>
              <w:ind w:right="113"/>
            </w:pPr>
            <w:r w:rsidRPr="00B713EE">
              <w:t>Vitrages de toit panoramiques (VTP)</w:t>
            </w:r>
          </w:p>
        </w:tc>
        <w:tc>
          <w:tcPr>
            <w:tcW w:w="1148" w:type="dxa"/>
            <w:tcBorders>
              <w:bottom w:val="single" w:sz="12" w:space="0" w:color="auto"/>
            </w:tcBorders>
            <w:shd w:val="clear" w:color="auto" w:fill="auto"/>
            <w:hideMark/>
          </w:tcPr>
          <w:p w:rsidR="00CD04C1" w:rsidRPr="00B713EE" w:rsidRDefault="00CD04C1" w:rsidP="00B713EE">
            <w:pPr>
              <w:spacing w:before="40" w:after="120"/>
              <w:ind w:right="113"/>
            </w:pPr>
            <w:r w:rsidRPr="00B713EE">
              <w:t>Oui/ République de Corée/ Allemagne</w:t>
            </w:r>
          </w:p>
        </w:tc>
        <w:tc>
          <w:tcPr>
            <w:tcW w:w="1260" w:type="dxa"/>
            <w:tcBorders>
              <w:bottom w:val="single" w:sz="12" w:space="0" w:color="auto"/>
            </w:tcBorders>
            <w:shd w:val="clear" w:color="auto" w:fill="auto"/>
            <w:hideMark/>
          </w:tcPr>
          <w:p w:rsidR="00CD04C1" w:rsidRPr="00B713EE" w:rsidRDefault="00CD04C1" w:rsidP="00B713EE">
            <w:pPr>
              <w:spacing w:before="40" w:after="120"/>
              <w:ind w:right="113"/>
            </w:pPr>
            <w:r w:rsidRPr="00B713EE">
              <w:t xml:space="preserve">République de Corée </w:t>
            </w:r>
          </w:p>
        </w:tc>
        <w:tc>
          <w:tcPr>
            <w:tcW w:w="1708" w:type="dxa"/>
            <w:tcBorders>
              <w:bottom w:val="single" w:sz="12" w:space="0" w:color="auto"/>
            </w:tcBorders>
            <w:shd w:val="clear" w:color="auto" w:fill="auto"/>
            <w:hideMark/>
          </w:tcPr>
          <w:p w:rsidR="00CD04C1" w:rsidRPr="00B713EE" w:rsidRDefault="00CD04C1" w:rsidP="00B713EE">
            <w:pPr>
              <w:spacing w:before="40" w:after="120"/>
              <w:ind w:right="113"/>
            </w:pPr>
            <w:r w:rsidRPr="00B713EE">
              <w:t>AC.3/41</w:t>
            </w:r>
          </w:p>
        </w:tc>
        <w:tc>
          <w:tcPr>
            <w:tcW w:w="1735" w:type="dxa"/>
            <w:tcBorders>
              <w:bottom w:val="single" w:sz="12" w:space="0" w:color="auto"/>
            </w:tcBorders>
            <w:shd w:val="clear" w:color="auto" w:fill="auto"/>
          </w:tcPr>
          <w:p w:rsidR="00CD04C1" w:rsidRPr="00B713EE" w:rsidRDefault="00CD04C1" w:rsidP="00B713EE">
            <w:pPr>
              <w:spacing w:before="40" w:after="120"/>
              <w:ind w:right="113"/>
            </w:pPr>
          </w:p>
        </w:tc>
        <w:tc>
          <w:tcPr>
            <w:tcW w:w="2246" w:type="dxa"/>
            <w:tcBorders>
              <w:bottom w:val="single" w:sz="12" w:space="0" w:color="auto"/>
            </w:tcBorders>
            <w:shd w:val="clear" w:color="auto" w:fill="auto"/>
            <w:hideMark/>
          </w:tcPr>
          <w:p w:rsidR="00CD04C1" w:rsidRPr="00B713EE" w:rsidRDefault="00CD04C1" w:rsidP="00B713EE">
            <w:pPr>
              <w:spacing w:before="40" w:after="120"/>
              <w:ind w:right="113"/>
            </w:pPr>
            <w:r w:rsidRPr="00B713EE">
              <w:t>L</w:t>
            </w:r>
            <w:r w:rsidR="007C2F80">
              <w:t>’</w:t>
            </w:r>
            <w:r w:rsidRPr="00B713EE">
              <w:t>AC.3 a prolongé le mandat du GTI des vitrages de toit panoramiques (VTP) jusqu</w:t>
            </w:r>
            <w:r w:rsidR="007C2F80">
              <w:t>’</w:t>
            </w:r>
            <w:r w:rsidRPr="00B713EE">
              <w:t>en juin 2018</w:t>
            </w:r>
            <w:r w:rsidR="00450782">
              <w:t>.</w:t>
            </w:r>
          </w:p>
        </w:tc>
      </w:tr>
    </w:tbl>
    <w:p w:rsidR="00CD04C1" w:rsidRPr="00B713EE" w:rsidRDefault="00CD04C1" w:rsidP="00B713EE">
      <w:pPr>
        <w:pStyle w:val="H23G"/>
      </w:pPr>
      <w:r w:rsidRPr="00B713EE">
        <w:t>Questions devant faire l</w:t>
      </w:r>
      <w:r w:rsidR="007C2F80">
        <w:t>’</w:t>
      </w:r>
      <w:r w:rsidRPr="00B713EE">
        <w:t>objet d</w:t>
      </w:r>
      <w:r w:rsidR="007C2F80">
        <w:t>’</w:t>
      </w:r>
      <w:r w:rsidRPr="00B713EE">
        <w:t>un échange de vues</w:t>
      </w:r>
    </w:p>
    <w:tbl>
      <w:tblPr>
        <w:tblW w:w="9637" w:type="dxa"/>
        <w:tblLayout w:type="fixed"/>
        <w:tblCellMar>
          <w:left w:w="0" w:type="dxa"/>
          <w:right w:w="0" w:type="dxa"/>
        </w:tblCellMar>
        <w:tblLook w:val="01E0" w:firstRow="1" w:lastRow="1" w:firstColumn="1" w:lastColumn="1" w:noHBand="0" w:noVBand="0"/>
      </w:tblPr>
      <w:tblGrid>
        <w:gridCol w:w="1526"/>
        <w:gridCol w:w="1190"/>
        <w:gridCol w:w="1232"/>
        <w:gridCol w:w="1721"/>
        <w:gridCol w:w="1722"/>
        <w:gridCol w:w="2246"/>
      </w:tblGrid>
      <w:tr w:rsidR="00B713EE" w:rsidRPr="00B713EE" w:rsidTr="00931B50">
        <w:trPr>
          <w:cantSplit/>
          <w:tblHeader/>
        </w:trPr>
        <w:tc>
          <w:tcPr>
            <w:tcW w:w="1526" w:type="dxa"/>
            <w:tcBorders>
              <w:top w:val="single" w:sz="4" w:space="0" w:color="auto"/>
              <w:bottom w:val="single" w:sz="12" w:space="0" w:color="auto"/>
            </w:tcBorders>
            <w:shd w:val="clear" w:color="auto" w:fill="auto"/>
            <w:vAlign w:val="bottom"/>
            <w:hideMark/>
          </w:tcPr>
          <w:p w:rsidR="00CD04C1" w:rsidRPr="00B713EE" w:rsidRDefault="00CD04C1" w:rsidP="00B713EE">
            <w:pPr>
              <w:spacing w:before="80" w:after="80" w:line="200" w:lineRule="exact"/>
              <w:ind w:right="113"/>
              <w:rPr>
                <w:i/>
                <w:sz w:val="16"/>
              </w:rPr>
            </w:pPr>
            <w:r w:rsidRPr="00B713EE">
              <w:rPr>
                <w:i/>
                <w:sz w:val="16"/>
              </w:rPr>
              <w:t xml:space="preserve">Groupe </w:t>
            </w:r>
            <w:r w:rsidR="00FE6535">
              <w:rPr>
                <w:i/>
                <w:sz w:val="16"/>
              </w:rPr>
              <w:br/>
            </w:r>
            <w:r w:rsidRPr="00B713EE">
              <w:rPr>
                <w:i/>
                <w:sz w:val="16"/>
              </w:rPr>
              <w:t>de travail</w:t>
            </w:r>
          </w:p>
        </w:tc>
        <w:tc>
          <w:tcPr>
            <w:tcW w:w="1190" w:type="dxa"/>
            <w:tcBorders>
              <w:top w:val="single" w:sz="4" w:space="0" w:color="auto"/>
              <w:bottom w:val="single" w:sz="12" w:space="0" w:color="auto"/>
            </w:tcBorders>
            <w:shd w:val="clear" w:color="auto" w:fill="auto"/>
            <w:vAlign w:val="bottom"/>
            <w:hideMark/>
          </w:tcPr>
          <w:p w:rsidR="00CD04C1" w:rsidRPr="00B713EE" w:rsidRDefault="00CD04C1" w:rsidP="00B713EE">
            <w:pPr>
              <w:spacing w:before="80" w:after="80" w:line="200" w:lineRule="exact"/>
              <w:ind w:right="113"/>
              <w:rPr>
                <w:i/>
                <w:sz w:val="16"/>
              </w:rPr>
            </w:pPr>
            <w:r w:rsidRPr="00B713EE">
              <w:rPr>
                <w:i/>
                <w:sz w:val="16"/>
              </w:rPr>
              <w:t>Item</w:t>
            </w:r>
          </w:p>
        </w:tc>
        <w:tc>
          <w:tcPr>
            <w:tcW w:w="1232" w:type="dxa"/>
            <w:tcBorders>
              <w:top w:val="single" w:sz="4" w:space="0" w:color="auto"/>
              <w:bottom w:val="single" w:sz="12" w:space="0" w:color="auto"/>
            </w:tcBorders>
            <w:shd w:val="clear" w:color="auto" w:fill="auto"/>
            <w:vAlign w:val="bottom"/>
            <w:hideMark/>
          </w:tcPr>
          <w:p w:rsidR="00CD04C1" w:rsidRPr="00B713EE" w:rsidRDefault="00CD04C1" w:rsidP="00B713EE">
            <w:pPr>
              <w:spacing w:before="80" w:after="80" w:line="200" w:lineRule="exact"/>
              <w:ind w:right="113"/>
              <w:rPr>
                <w:i/>
                <w:sz w:val="16"/>
              </w:rPr>
            </w:pPr>
            <w:r w:rsidRPr="00B713EE">
              <w:rPr>
                <w:i/>
                <w:sz w:val="16"/>
              </w:rPr>
              <w:t xml:space="preserve">Groupe informel (oui-non)/ Président et Vice-Président </w:t>
            </w:r>
          </w:p>
        </w:tc>
        <w:tc>
          <w:tcPr>
            <w:tcW w:w="1721" w:type="dxa"/>
            <w:tcBorders>
              <w:top w:val="single" w:sz="4" w:space="0" w:color="auto"/>
              <w:bottom w:val="single" w:sz="12" w:space="0" w:color="auto"/>
            </w:tcBorders>
            <w:shd w:val="clear" w:color="auto" w:fill="auto"/>
            <w:vAlign w:val="bottom"/>
            <w:hideMark/>
          </w:tcPr>
          <w:p w:rsidR="00CD04C1" w:rsidRPr="00B713EE" w:rsidRDefault="00CD04C1" w:rsidP="00B713EE">
            <w:pPr>
              <w:spacing w:before="80" w:after="80" w:line="200" w:lineRule="exact"/>
              <w:ind w:right="113"/>
              <w:rPr>
                <w:i/>
                <w:sz w:val="16"/>
              </w:rPr>
            </w:pPr>
            <w:r w:rsidRPr="00B713EE">
              <w:rPr>
                <w:i/>
                <w:sz w:val="16"/>
              </w:rPr>
              <w:t xml:space="preserve">Responsable technique </w:t>
            </w:r>
          </w:p>
        </w:tc>
        <w:tc>
          <w:tcPr>
            <w:tcW w:w="1722" w:type="dxa"/>
            <w:tcBorders>
              <w:top w:val="single" w:sz="4" w:space="0" w:color="auto"/>
              <w:bottom w:val="single" w:sz="12" w:space="0" w:color="auto"/>
            </w:tcBorders>
            <w:shd w:val="clear" w:color="auto" w:fill="auto"/>
            <w:vAlign w:val="bottom"/>
            <w:hideMark/>
          </w:tcPr>
          <w:p w:rsidR="00CD04C1" w:rsidRPr="00B713EE" w:rsidRDefault="00CD04C1" w:rsidP="00B713EE">
            <w:pPr>
              <w:spacing w:before="80" w:after="80" w:line="200" w:lineRule="exact"/>
              <w:ind w:right="113"/>
              <w:rPr>
                <w:i/>
                <w:sz w:val="16"/>
              </w:rPr>
            </w:pPr>
            <w:r w:rsidRPr="00B713EE">
              <w:rPr>
                <w:i/>
                <w:sz w:val="16"/>
              </w:rPr>
              <w:t>Proposition officielle</w:t>
            </w:r>
            <w:r w:rsidR="009A2D64">
              <w:rPr>
                <w:i/>
                <w:sz w:val="16"/>
              </w:rPr>
              <w:t xml:space="preserve"> </w:t>
            </w:r>
            <w:r w:rsidRPr="00B713EE">
              <w:rPr>
                <w:i/>
                <w:sz w:val="16"/>
              </w:rPr>
              <w:t>ECE/TRANS/WP.29/...</w:t>
            </w:r>
          </w:p>
        </w:tc>
        <w:tc>
          <w:tcPr>
            <w:tcW w:w="2246" w:type="dxa"/>
            <w:tcBorders>
              <w:top w:val="single" w:sz="4" w:space="0" w:color="auto"/>
              <w:bottom w:val="single" w:sz="12" w:space="0" w:color="auto"/>
            </w:tcBorders>
            <w:shd w:val="clear" w:color="auto" w:fill="auto"/>
            <w:vAlign w:val="bottom"/>
            <w:hideMark/>
          </w:tcPr>
          <w:p w:rsidR="00CD04C1" w:rsidRPr="00B713EE" w:rsidRDefault="00CD04C1" w:rsidP="00B713EE">
            <w:pPr>
              <w:spacing w:before="80" w:after="80" w:line="200" w:lineRule="exact"/>
              <w:ind w:right="113"/>
              <w:rPr>
                <w:i/>
                <w:sz w:val="16"/>
              </w:rPr>
            </w:pPr>
            <w:r w:rsidRPr="00B713EE">
              <w:rPr>
                <w:i/>
                <w:sz w:val="16"/>
              </w:rPr>
              <w:t>Stade</w:t>
            </w:r>
          </w:p>
        </w:tc>
      </w:tr>
      <w:tr w:rsidR="00B713EE" w:rsidRPr="00B713EE" w:rsidTr="00931B50">
        <w:trPr>
          <w:cantSplit/>
          <w:trHeight w:hRule="exact" w:val="113"/>
          <w:tblHeader/>
        </w:trPr>
        <w:tc>
          <w:tcPr>
            <w:tcW w:w="1526" w:type="dxa"/>
            <w:tcBorders>
              <w:top w:val="single" w:sz="12" w:space="0" w:color="auto"/>
            </w:tcBorders>
            <w:shd w:val="clear" w:color="auto" w:fill="auto"/>
          </w:tcPr>
          <w:p w:rsidR="00B713EE" w:rsidRPr="00B713EE" w:rsidRDefault="00B713EE" w:rsidP="00B713EE">
            <w:pPr>
              <w:spacing w:before="40" w:after="120"/>
              <w:ind w:right="113"/>
            </w:pPr>
          </w:p>
        </w:tc>
        <w:tc>
          <w:tcPr>
            <w:tcW w:w="1190" w:type="dxa"/>
            <w:tcBorders>
              <w:top w:val="single" w:sz="12" w:space="0" w:color="auto"/>
            </w:tcBorders>
            <w:shd w:val="clear" w:color="auto" w:fill="auto"/>
          </w:tcPr>
          <w:p w:rsidR="00B713EE" w:rsidRPr="00B713EE" w:rsidRDefault="00B713EE" w:rsidP="00B713EE">
            <w:pPr>
              <w:spacing w:before="40" w:after="120"/>
              <w:ind w:right="113"/>
            </w:pPr>
          </w:p>
        </w:tc>
        <w:tc>
          <w:tcPr>
            <w:tcW w:w="1232" w:type="dxa"/>
            <w:tcBorders>
              <w:top w:val="single" w:sz="12" w:space="0" w:color="auto"/>
            </w:tcBorders>
            <w:shd w:val="clear" w:color="auto" w:fill="auto"/>
          </w:tcPr>
          <w:p w:rsidR="00B713EE" w:rsidRPr="00B713EE" w:rsidRDefault="00B713EE" w:rsidP="00B713EE">
            <w:pPr>
              <w:spacing w:before="40" w:after="120"/>
              <w:ind w:right="113"/>
            </w:pPr>
          </w:p>
        </w:tc>
        <w:tc>
          <w:tcPr>
            <w:tcW w:w="1721" w:type="dxa"/>
            <w:tcBorders>
              <w:top w:val="single" w:sz="12" w:space="0" w:color="auto"/>
            </w:tcBorders>
            <w:shd w:val="clear" w:color="auto" w:fill="auto"/>
          </w:tcPr>
          <w:p w:rsidR="00B713EE" w:rsidRPr="00B713EE" w:rsidRDefault="00B713EE" w:rsidP="00B713EE">
            <w:pPr>
              <w:spacing w:before="40" w:after="120"/>
              <w:ind w:right="113"/>
            </w:pPr>
          </w:p>
        </w:tc>
        <w:tc>
          <w:tcPr>
            <w:tcW w:w="1722" w:type="dxa"/>
            <w:tcBorders>
              <w:top w:val="single" w:sz="12" w:space="0" w:color="auto"/>
            </w:tcBorders>
            <w:shd w:val="clear" w:color="auto" w:fill="auto"/>
          </w:tcPr>
          <w:p w:rsidR="00B713EE" w:rsidRPr="00B713EE" w:rsidRDefault="00B713EE" w:rsidP="00B713EE">
            <w:pPr>
              <w:spacing w:before="40" w:after="120"/>
              <w:ind w:right="113"/>
            </w:pPr>
          </w:p>
        </w:tc>
        <w:tc>
          <w:tcPr>
            <w:tcW w:w="2246" w:type="dxa"/>
            <w:tcBorders>
              <w:top w:val="single" w:sz="12" w:space="0" w:color="auto"/>
            </w:tcBorders>
            <w:shd w:val="clear" w:color="auto" w:fill="auto"/>
          </w:tcPr>
          <w:p w:rsidR="00B713EE" w:rsidRPr="00B713EE" w:rsidRDefault="00B713EE" w:rsidP="00B713EE">
            <w:pPr>
              <w:spacing w:before="40" w:after="120"/>
              <w:ind w:right="113"/>
            </w:pPr>
          </w:p>
        </w:tc>
      </w:tr>
      <w:tr w:rsidR="00CD04C1" w:rsidRPr="00B713EE" w:rsidTr="00931B50">
        <w:trPr>
          <w:cantSplit/>
        </w:trPr>
        <w:tc>
          <w:tcPr>
            <w:tcW w:w="1526" w:type="dxa"/>
            <w:shd w:val="clear" w:color="auto" w:fill="auto"/>
            <w:hideMark/>
          </w:tcPr>
          <w:p w:rsidR="00CD04C1" w:rsidRPr="00B713EE" w:rsidRDefault="00CD04C1" w:rsidP="00B713EE">
            <w:pPr>
              <w:spacing w:before="40" w:after="120"/>
              <w:ind w:right="113"/>
            </w:pPr>
            <w:r w:rsidRPr="00B713EE">
              <w:t>GRSP</w:t>
            </w:r>
          </w:p>
        </w:tc>
        <w:tc>
          <w:tcPr>
            <w:tcW w:w="1190" w:type="dxa"/>
            <w:shd w:val="clear" w:color="auto" w:fill="auto"/>
            <w:hideMark/>
          </w:tcPr>
          <w:p w:rsidR="00CD04C1" w:rsidRPr="00B713EE" w:rsidRDefault="00CD04C1" w:rsidP="00B713EE">
            <w:pPr>
              <w:spacing w:before="40" w:after="120"/>
              <w:ind w:right="113"/>
            </w:pPr>
            <w:r w:rsidRPr="00931B50">
              <w:rPr>
                <w:spacing w:val="-4"/>
              </w:rPr>
              <w:t xml:space="preserve">Compatibilité </w:t>
            </w:r>
            <w:r w:rsidRPr="00B713EE">
              <w:t xml:space="preserve">entre véhicules en cas de choc </w:t>
            </w:r>
          </w:p>
        </w:tc>
        <w:tc>
          <w:tcPr>
            <w:tcW w:w="1232" w:type="dxa"/>
            <w:shd w:val="clear" w:color="auto" w:fill="auto"/>
            <w:hideMark/>
          </w:tcPr>
          <w:p w:rsidR="00CD04C1" w:rsidRPr="00903788" w:rsidRDefault="00CD04C1" w:rsidP="00B713EE">
            <w:pPr>
              <w:spacing w:before="40" w:after="120"/>
              <w:ind w:right="113"/>
              <w:rPr>
                <w:i/>
              </w:rPr>
            </w:pPr>
            <w:r w:rsidRPr="00903788">
              <w:rPr>
                <w:i/>
              </w:rPr>
              <w:t>Non</w:t>
            </w:r>
          </w:p>
        </w:tc>
        <w:tc>
          <w:tcPr>
            <w:tcW w:w="1721" w:type="dxa"/>
            <w:shd w:val="clear" w:color="auto" w:fill="auto"/>
            <w:hideMark/>
          </w:tcPr>
          <w:p w:rsidR="00CD04C1" w:rsidRPr="00B713EE" w:rsidRDefault="00CD04C1" w:rsidP="00B713EE">
            <w:pPr>
              <w:spacing w:before="40" w:after="120"/>
              <w:ind w:right="113"/>
            </w:pPr>
            <w:r w:rsidRPr="00B713EE">
              <w:t>Non</w:t>
            </w:r>
          </w:p>
        </w:tc>
        <w:tc>
          <w:tcPr>
            <w:tcW w:w="1722" w:type="dxa"/>
            <w:shd w:val="clear" w:color="auto" w:fill="auto"/>
            <w:hideMark/>
          </w:tcPr>
          <w:p w:rsidR="00CD04C1" w:rsidRPr="00B713EE" w:rsidRDefault="00CD04C1" w:rsidP="00B713EE">
            <w:pPr>
              <w:spacing w:before="40" w:after="120"/>
              <w:ind w:right="113"/>
            </w:pPr>
            <w:r w:rsidRPr="00B713EE">
              <w:t>---</w:t>
            </w:r>
          </w:p>
        </w:tc>
        <w:tc>
          <w:tcPr>
            <w:tcW w:w="2246" w:type="dxa"/>
            <w:shd w:val="clear" w:color="auto" w:fill="auto"/>
            <w:hideMark/>
          </w:tcPr>
          <w:p w:rsidR="00CD04C1" w:rsidRPr="00B713EE" w:rsidRDefault="00CD04C1" w:rsidP="00B713EE">
            <w:pPr>
              <w:spacing w:before="40" w:after="120"/>
              <w:ind w:right="113"/>
            </w:pPr>
            <w:r w:rsidRPr="00B713EE">
              <w:t>Aucun nouvel élément d</w:t>
            </w:r>
            <w:r w:rsidR="007C2F80">
              <w:t>’</w:t>
            </w:r>
            <w:r w:rsidRPr="00B713EE">
              <w:t>information n</w:t>
            </w:r>
            <w:r w:rsidR="007C2F80">
              <w:t>’</w:t>
            </w:r>
            <w:r w:rsidRPr="00B713EE">
              <w:t xml:space="preserve">a été communiqué </w:t>
            </w:r>
          </w:p>
        </w:tc>
      </w:tr>
      <w:tr w:rsidR="00CD04C1" w:rsidRPr="00B713EE" w:rsidTr="00931B50">
        <w:trPr>
          <w:cantSplit/>
        </w:trPr>
        <w:tc>
          <w:tcPr>
            <w:tcW w:w="1526" w:type="dxa"/>
            <w:shd w:val="clear" w:color="auto" w:fill="auto"/>
            <w:hideMark/>
          </w:tcPr>
          <w:p w:rsidR="00CD04C1" w:rsidRPr="00B713EE" w:rsidRDefault="00CD04C1" w:rsidP="00B713EE">
            <w:pPr>
              <w:spacing w:before="40" w:after="120"/>
              <w:ind w:right="113"/>
            </w:pPr>
            <w:r w:rsidRPr="00B713EE">
              <w:t>GRSP</w:t>
            </w:r>
          </w:p>
        </w:tc>
        <w:tc>
          <w:tcPr>
            <w:tcW w:w="1190" w:type="dxa"/>
            <w:shd w:val="clear" w:color="auto" w:fill="auto"/>
            <w:hideMark/>
          </w:tcPr>
          <w:p w:rsidR="00CD04C1" w:rsidRPr="00B713EE" w:rsidRDefault="00CD04C1" w:rsidP="00B713EE">
            <w:pPr>
              <w:spacing w:before="40" w:after="120"/>
              <w:ind w:right="113"/>
            </w:pPr>
            <w:r w:rsidRPr="00B713EE">
              <w:t>Mannequins de choc latéral harmonisés</w:t>
            </w:r>
          </w:p>
        </w:tc>
        <w:tc>
          <w:tcPr>
            <w:tcW w:w="1232" w:type="dxa"/>
            <w:shd w:val="clear" w:color="auto" w:fill="auto"/>
            <w:hideMark/>
          </w:tcPr>
          <w:p w:rsidR="00CD04C1" w:rsidRPr="00903788" w:rsidRDefault="00CD04C1" w:rsidP="00B713EE">
            <w:pPr>
              <w:spacing w:before="40" w:after="120"/>
              <w:ind w:right="113"/>
              <w:rPr>
                <w:i/>
              </w:rPr>
            </w:pPr>
            <w:r w:rsidRPr="00903788">
              <w:rPr>
                <w:i/>
              </w:rPr>
              <w:t>Oui</w:t>
            </w:r>
          </w:p>
        </w:tc>
        <w:tc>
          <w:tcPr>
            <w:tcW w:w="1721" w:type="dxa"/>
            <w:shd w:val="clear" w:color="auto" w:fill="auto"/>
            <w:hideMark/>
          </w:tcPr>
          <w:p w:rsidR="00CD04C1" w:rsidRPr="00B713EE" w:rsidRDefault="00CD04C1" w:rsidP="00B713EE">
            <w:pPr>
              <w:spacing w:before="40" w:after="120"/>
              <w:ind w:right="113"/>
            </w:pPr>
            <w:r w:rsidRPr="00B713EE">
              <w:t>États-Unis d</w:t>
            </w:r>
            <w:r w:rsidR="007C2F80">
              <w:t>’</w:t>
            </w:r>
            <w:r w:rsidRPr="00B713EE">
              <w:t>Amérique</w:t>
            </w:r>
          </w:p>
        </w:tc>
        <w:tc>
          <w:tcPr>
            <w:tcW w:w="1722" w:type="dxa"/>
            <w:shd w:val="clear" w:color="auto" w:fill="auto"/>
            <w:hideMark/>
          </w:tcPr>
          <w:p w:rsidR="00CD04C1" w:rsidRPr="00B713EE" w:rsidRDefault="00CD04C1" w:rsidP="00B713EE">
            <w:pPr>
              <w:spacing w:before="40" w:after="120"/>
              <w:ind w:right="113"/>
            </w:pPr>
            <w:r w:rsidRPr="00B713EE">
              <w:t>2010/88</w:t>
            </w:r>
            <w:r w:rsidRPr="00B713EE">
              <w:br/>
              <w:t>(2</w:t>
            </w:r>
            <w:r w:rsidRPr="00B713EE">
              <w:rPr>
                <w:vertAlign w:val="superscript"/>
              </w:rPr>
              <w:t>e</w:t>
            </w:r>
            <w:r w:rsidRPr="00B713EE">
              <w:t xml:space="preserve"> rapport d</w:t>
            </w:r>
            <w:r w:rsidR="007C2F80">
              <w:t>’</w:t>
            </w:r>
            <w:r w:rsidRPr="00B713EE">
              <w:t>activité)</w:t>
            </w:r>
          </w:p>
        </w:tc>
        <w:tc>
          <w:tcPr>
            <w:tcW w:w="2246" w:type="dxa"/>
            <w:shd w:val="clear" w:color="auto" w:fill="auto"/>
            <w:hideMark/>
          </w:tcPr>
          <w:p w:rsidR="00CD04C1" w:rsidRPr="00B713EE" w:rsidRDefault="00CD04C1" w:rsidP="00B713EE">
            <w:pPr>
              <w:spacing w:before="40" w:after="120"/>
              <w:ind w:right="113"/>
            </w:pPr>
            <w:r w:rsidRPr="00B713EE">
              <w:t>L</w:t>
            </w:r>
            <w:r w:rsidR="007C2F80">
              <w:t>’</w:t>
            </w:r>
            <w:r w:rsidRPr="00B713EE">
              <w:t>AC.3 a été informé des progrès réalisés dans l</w:t>
            </w:r>
            <w:r w:rsidR="007C2F80">
              <w:t>’</w:t>
            </w:r>
            <w:r w:rsidRPr="00B713EE">
              <w:t>élaboration du mannequin femme du 5</w:t>
            </w:r>
            <w:r w:rsidRPr="00B713EE">
              <w:rPr>
                <w:vertAlign w:val="superscript"/>
              </w:rPr>
              <w:t>e</w:t>
            </w:r>
            <w:r w:rsidR="00903788">
              <w:t> </w:t>
            </w:r>
            <w:r w:rsidRPr="00B713EE">
              <w:t>centile et a noté que ce mannequin devrait peut-être faire l</w:t>
            </w:r>
            <w:r w:rsidR="007C2F80">
              <w:t>’</w:t>
            </w:r>
            <w:r w:rsidRPr="00B713EE">
              <w:t>objet de modifications. L</w:t>
            </w:r>
            <w:r w:rsidR="007C2F80">
              <w:t>’</w:t>
            </w:r>
            <w:r w:rsidRPr="00B713EE">
              <w:t>AC.3 a prolongé le mandat du GTI jusqu</w:t>
            </w:r>
            <w:r w:rsidR="007C2F80">
              <w:t>’</w:t>
            </w:r>
            <w:r w:rsidRPr="00B713EE">
              <w:t>en décembre 2017.</w:t>
            </w:r>
          </w:p>
        </w:tc>
      </w:tr>
      <w:tr w:rsidR="00CD04C1" w:rsidRPr="00B713EE" w:rsidTr="00931B50">
        <w:trPr>
          <w:cantSplit/>
        </w:trPr>
        <w:tc>
          <w:tcPr>
            <w:tcW w:w="1526" w:type="dxa"/>
            <w:shd w:val="clear" w:color="auto" w:fill="auto"/>
            <w:hideMark/>
          </w:tcPr>
          <w:p w:rsidR="00CD04C1" w:rsidRPr="00B713EE" w:rsidRDefault="00CD04C1" w:rsidP="00B713EE">
            <w:pPr>
              <w:spacing w:before="40" w:after="120"/>
              <w:ind w:right="113"/>
            </w:pPr>
            <w:r w:rsidRPr="00B713EE">
              <w:t>WP.29</w:t>
            </w:r>
          </w:p>
        </w:tc>
        <w:tc>
          <w:tcPr>
            <w:tcW w:w="1190" w:type="dxa"/>
            <w:shd w:val="clear" w:color="auto" w:fill="auto"/>
            <w:hideMark/>
          </w:tcPr>
          <w:p w:rsidR="00CD04C1" w:rsidRPr="00B713EE" w:rsidRDefault="00CD04C1" w:rsidP="00B713EE">
            <w:pPr>
              <w:spacing w:before="40" w:after="120"/>
              <w:ind w:right="113"/>
            </w:pPr>
            <w:r w:rsidRPr="00B713EE">
              <w:t>STI</w:t>
            </w:r>
          </w:p>
        </w:tc>
        <w:tc>
          <w:tcPr>
            <w:tcW w:w="1232" w:type="dxa"/>
            <w:shd w:val="clear" w:color="auto" w:fill="auto"/>
            <w:hideMark/>
          </w:tcPr>
          <w:p w:rsidR="00CD04C1" w:rsidRPr="00903788" w:rsidRDefault="00CD04C1" w:rsidP="00B713EE">
            <w:pPr>
              <w:spacing w:before="40" w:after="120"/>
              <w:ind w:right="113"/>
              <w:rPr>
                <w:i/>
              </w:rPr>
            </w:pPr>
            <w:r w:rsidRPr="00903788">
              <w:rPr>
                <w:i/>
              </w:rPr>
              <w:t>Non</w:t>
            </w:r>
          </w:p>
        </w:tc>
        <w:tc>
          <w:tcPr>
            <w:tcW w:w="1721" w:type="dxa"/>
            <w:shd w:val="clear" w:color="auto" w:fill="auto"/>
            <w:hideMark/>
          </w:tcPr>
          <w:p w:rsidR="00CD04C1" w:rsidRPr="00B713EE" w:rsidRDefault="00CD04C1" w:rsidP="00B713EE">
            <w:pPr>
              <w:spacing w:before="40" w:after="120"/>
              <w:ind w:right="113"/>
            </w:pPr>
            <w:r w:rsidRPr="00B713EE">
              <w:t>---</w:t>
            </w:r>
          </w:p>
        </w:tc>
        <w:tc>
          <w:tcPr>
            <w:tcW w:w="1722" w:type="dxa"/>
            <w:shd w:val="clear" w:color="auto" w:fill="auto"/>
            <w:hideMark/>
          </w:tcPr>
          <w:p w:rsidR="00CD04C1" w:rsidRPr="00B713EE" w:rsidRDefault="00CD04C1" w:rsidP="00B713EE">
            <w:pPr>
              <w:spacing w:before="40" w:after="120"/>
              <w:ind w:right="113"/>
            </w:pPr>
            <w:r w:rsidRPr="00B713EE">
              <w:t>---</w:t>
            </w:r>
          </w:p>
        </w:tc>
        <w:tc>
          <w:tcPr>
            <w:tcW w:w="2246" w:type="dxa"/>
            <w:shd w:val="clear" w:color="auto" w:fill="auto"/>
            <w:hideMark/>
          </w:tcPr>
          <w:p w:rsidR="00CD04C1" w:rsidRPr="00B713EE" w:rsidRDefault="00CD04C1" w:rsidP="00B713EE">
            <w:pPr>
              <w:spacing w:before="40" w:after="120"/>
              <w:ind w:right="113"/>
            </w:pPr>
            <w:r w:rsidRPr="00B713EE">
              <w:t>Aucune information nouvelle n</w:t>
            </w:r>
            <w:r w:rsidR="007C2F80">
              <w:t>’</w:t>
            </w:r>
            <w:r w:rsidRPr="00B713EE">
              <w:t>a été communiquée à l</w:t>
            </w:r>
            <w:r w:rsidR="007C2F80">
              <w:t>’</w:t>
            </w:r>
            <w:r w:rsidRPr="00B713EE">
              <w:t>AC.3.</w:t>
            </w:r>
          </w:p>
        </w:tc>
      </w:tr>
      <w:tr w:rsidR="00CD04C1" w:rsidRPr="00B713EE" w:rsidTr="00931B50">
        <w:trPr>
          <w:cantSplit/>
        </w:trPr>
        <w:tc>
          <w:tcPr>
            <w:tcW w:w="1526" w:type="dxa"/>
            <w:shd w:val="clear" w:color="auto" w:fill="auto"/>
            <w:hideMark/>
          </w:tcPr>
          <w:p w:rsidR="00CD04C1" w:rsidRPr="00B713EE" w:rsidRDefault="00CD04C1" w:rsidP="00B713EE">
            <w:pPr>
              <w:spacing w:before="40" w:after="120"/>
              <w:ind w:right="113"/>
            </w:pPr>
            <w:r w:rsidRPr="00B713EE">
              <w:t>WP.29</w:t>
            </w:r>
          </w:p>
        </w:tc>
        <w:tc>
          <w:tcPr>
            <w:tcW w:w="1190" w:type="dxa"/>
            <w:shd w:val="clear" w:color="auto" w:fill="auto"/>
            <w:hideMark/>
          </w:tcPr>
          <w:p w:rsidR="00CD04C1" w:rsidRPr="00B713EE" w:rsidRDefault="00CD04C1" w:rsidP="00B713EE">
            <w:pPr>
              <w:spacing w:before="40" w:after="120"/>
              <w:ind w:right="113"/>
            </w:pPr>
            <w:r w:rsidRPr="00B713EE">
              <w:t xml:space="preserve">Véhicules électriques et </w:t>
            </w:r>
            <w:r w:rsidRPr="00931B50">
              <w:rPr>
                <w:spacing w:val="-10"/>
              </w:rPr>
              <w:t xml:space="preserve">environnement </w:t>
            </w:r>
          </w:p>
        </w:tc>
        <w:tc>
          <w:tcPr>
            <w:tcW w:w="1232" w:type="dxa"/>
            <w:shd w:val="clear" w:color="auto" w:fill="auto"/>
            <w:hideMark/>
          </w:tcPr>
          <w:p w:rsidR="00CD04C1" w:rsidRPr="00903788" w:rsidRDefault="00CD04C1" w:rsidP="00B713EE">
            <w:pPr>
              <w:spacing w:before="40" w:after="120"/>
              <w:ind w:right="113"/>
              <w:rPr>
                <w:i/>
              </w:rPr>
            </w:pPr>
            <w:r w:rsidRPr="00903788">
              <w:rPr>
                <w:i/>
              </w:rPr>
              <w:t>Oui</w:t>
            </w:r>
          </w:p>
        </w:tc>
        <w:tc>
          <w:tcPr>
            <w:tcW w:w="1721" w:type="dxa"/>
            <w:shd w:val="clear" w:color="auto" w:fill="auto"/>
            <w:hideMark/>
          </w:tcPr>
          <w:p w:rsidR="00CD04C1" w:rsidRPr="00B713EE" w:rsidRDefault="00931B50" w:rsidP="00931B50">
            <w:pPr>
              <w:spacing w:before="40" w:after="120"/>
              <w:ind w:right="113"/>
            </w:pPr>
            <w:r>
              <w:t>États-Unis d</w:t>
            </w:r>
            <w:r w:rsidR="007C2F80">
              <w:t>’</w:t>
            </w:r>
            <w:r>
              <w:t xml:space="preserve">Amérique, </w:t>
            </w:r>
            <w:r w:rsidR="00CD04C1" w:rsidRPr="00B713EE">
              <w:t xml:space="preserve">Canada, Chine, </w:t>
            </w:r>
            <w:r w:rsidR="00903788">
              <w:br/>
            </w:r>
            <w:r w:rsidR="00CD04C1" w:rsidRPr="00B713EE">
              <w:t>UE</w:t>
            </w:r>
          </w:p>
        </w:tc>
        <w:tc>
          <w:tcPr>
            <w:tcW w:w="1722" w:type="dxa"/>
            <w:shd w:val="clear" w:color="auto" w:fill="auto"/>
            <w:hideMark/>
          </w:tcPr>
          <w:p w:rsidR="00CD04C1" w:rsidRPr="00B713EE" w:rsidRDefault="00CD04C1" w:rsidP="00B713EE">
            <w:pPr>
              <w:spacing w:before="40" w:after="120"/>
              <w:ind w:right="113"/>
            </w:pPr>
            <w:r w:rsidRPr="00B713EE">
              <w:t>---</w:t>
            </w:r>
          </w:p>
        </w:tc>
        <w:tc>
          <w:tcPr>
            <w:tcW w:w="2246" w:type="dxa"/>
            <w:shd w:val="clear" w:color="auto" w:fill="auto"/>
            <w:hideMark/>
          </w:tcPr>
          <w:p w:rsidR="00CD04C1" w:rsidRPr="00B713EE" w:rsidRDefault="00CD04C1" w:rsidP="00B713EE">
            <w:pPr>
              <w:spacing w:before="40" w:after="120"/>
              <w:ind w:right="113"/>
            </w:pPr>
            <w:r w:rsidRPr="00B713EE">
              <w:t>L</w:t>
            </w:r>
            <w:r w:rsidR="007C2F80">
              <w:t>’</w:t>
            </w:r>
            <w:r w:rsidRPr="00B713EE">
              <w:t>AC.3 a reçu un rapport intermédiaire du GTI VEE qui met en évidence la bonne entente avec le GTI de la procédure WLTP. Il est prévu de remettre un rapport au GRPE à sa session de juin 2016. L</w:t>
            </w:r>
            <w:r w:rsidR="007C2F80">
              <w:t>’</w:t>
            </w:r>
            <w:r w:rsidRPr="00B713EE">
              <w:t>AC.3 s</w:t>
            </w:r>
            <w:r w:rsidR="007C2F80">
              <w:t>’</w:t>
            </w:r>
            <w:r w:rsidRPr="00B713EE">
              <w:t>attend à recevoir les résultats des activités menées au titre de la partie A du mandat à sa session de novembre 2016.</w:t>
            </w:r>
          </w:p>
        </w:tc>
      </w:tr>
      <w:tr w:rsidR="00CD04C1" w:rsidRPr="00B713EE" w:rsidTr="00931B50">
        <w:trPr>
          <w:cantSplit/>
        </w:trPr>
        <w:tc>
          <w:tcPr>
            <w:tcW w:w="1526" w:type="dxa"/>
            <w:tcBorders>
              <w:bottom w:val="single" w:sz="12" w:space="0" w:color="auto"/>
            </w:tcBorders>
            <w:shd w:val="clear" w:color="auto" w:fill="auto"/>
            <w:hideMark/>
          </w:tcPr>
          <w:p w:rsidR="00CD04C1" w:rsidRPr="00B713EE" w:rsidRDefault="00CD04C1" w:rsidP="00B713EE">
            <w:pPr>
              <w:spacing w:before="40" w:after="120"/>
              <w:ind w:right="113"/>
            </w:pPr>
            <w:r w:rsidRPr="00B713EE">
              <w:t>WP.29</w:t>
            </w:r>
          </w:p>
        </w:tc>
        <w:tc>
          <w:tcPr>
            <w:tcW w:w="1190" w:type="dxa"/>
            <w:tcBorders>
              <w:bottom w:val="single" w:sz="12" w:space="0" w:color="auto"/>
            </w:tcBorders>
            <w:shd w:val="clear" w:color="auto" w:fill="auto"/>
            <w:hideMark/>
          </w:tcPr>
          <w:p w:rsidR="00CD04C1" w:rsidRPr="00B713EE" w:rsidRDefault="00CD04C1" w:rsidP="00B713EE">
            <w:pPr>
              <w:spacing w:before="40" w:after="120"/>
              <w:ind w:right="113"/>
            </w:pPr>
            <w:r w:rsidRPr="00B713EE">
              <w:t>Nouvelles technologies n</w:t>
            </w:r>
            <w:r w:rsidR="007C2F80">
              <w:t>’</w:t>
            </w:r>
            <w:r w:rsidRPr="00B713EE">
              <w:t>ayant pas encore fait l</w:t>
            </w:r>
            <w:r w:rsidR="007C2F80">
              <w:t>’</w:t>
            </w:r>
            <w:r w:rsidRPr="00B713EE">
              <w:t>objet d</w:t>
            </w:r>
            <w:r w:rsidR="007C2F80">
              <w:t>’</w:t>
            </w:r>
            <w:r w:rsidRPr="00B713EE">
              <w:t>un règlement</w:t>
            </w:r>
          </w:p>
        </w:tc>
        <w:tc>
          <w:tcPr>
            <w:tcW w:w="1232" w:type="dxa"/>
            <w:tcBorders>
              <w:bottom w:val="single" w:sz="12" w:space="0" w:color="auto"/>
            </w:tcBorders>
            <w:shd w:val="clear" w:color="auto" w:fill="auto"/>
            <w:hideMark/>
          </w:tcPr>
          <w:p w:rsidR="00CD04C1" w:rsidRPr="00903788" w:rsidRDefault="00CD04C1" w:rsidP="00B713EE">
            <w:pPr>
              <w:spacing w:before="40" w:after="120"/>
              <w:ind w:right="113"/>
              <w:rPr>
                <w:i/>
              </w:rPr>
            </w:pPr>
            <w:r w:rsidRPr="00903788">
              <w:rPr>
                <w:i/>
              </w:rPr>
              <w:t>Non</w:t>
            </w:r>
          </w:p>
        </w:tc>
        <w:tc>
          <w:tcPr>
            <w:tcW w:w="1721" w:type="dxa"/>
            <w:tcBorders>
              <w:bottom w:val="single" w:sz="12" w:space="0" w:color="auto"/>
            </w:tcBorders>
            <w:shd w:val="clear" w:color="auto" w:fill="auto"/>
            <w:hideMark/>
          </w:tcPr>
          <w:p w:rsidR="00CD04C1" w:rsidRPr="00B713EE" w:rsidRDefault="00CD04C1" w:rsidP="00B713EE">
            <w:pPr>
              <w:spacing w:before="40" w:after="120"/>
              <w:ind w:right="113"/>
            </w:pPr>
            <w:r w:rsidRPr="00B713EE">
              <w:t>Non</w:t>
            </w:r>
          </w:p>
        </w:tc>
        <w:tc>
          <w:tcPr>
            <w:tcW w:w="1722" w:type="dxa"/>
            <w:tcBorders>
              <w:bottom w:val="single" w:sz="12" w:space="0" w:color="auto"/>
            </w:tcBorders>
            <w:shd w:val="clear" w:color="auto" w:fill="auto"/>
            <w:hideMark/>
          </w:tcPr>
          <w:p w:rsidR="00CD04C1" w:rsidRPr="00B713EE" w:rsidRDefault="00CD04C1" w:rsidP="00B713EE">
            <w:pPr>
              <w:spacing w:before="40" w:after="120"/>
              <w:ind w:right="113"/>
            </w:pPr>
            <w:r w:rsidRPr="00B713EE">
              <w:t>---</w:t>
            </w:r>
          </w:p>
        </w:tc>
        <w:tc>
          <w:tcPr>
            <w:tcW w:w="2246" w:type="dxa"/>
            <w:tcBorders>
              <w:bottom w:val="single" w:sz="12" w:space="0" w:color="auto"/>
            </w:tcBorders>
            <w:shd w:val="clear" w:color="auto" w:fill="auto"/>
            <w:hideMark/>
          </w:tcPr>
          <w:p w:rsidR="00CD04C1" w:rsidRPr="00B713EE" w:rsidRDefault="00CD04C1" w:rsidP="00B713EE">
            <w:pPr>
              <w:spacing w:before="40" w:after="120"/>
              <w:ind w:right="113"/>
            </w:pPr>
            <w:r w:rsidRPr="00B713EE">
              <w:t>Un échange de vues a été consacré aux</w:t>
            </w:r>
            <w:r w:rsidR="009A2D64">
              <w:t xml:space="preserve"> </w:t>
            </w:r>
            <w:r w:rsidRPr="00B713EE">
              <w:t>travaux prioritaires portant sur les nouvelles technologies, y compris la conduite automatisée, les systèmes de communication embarqués, la cybersécurité et la protection des données.</w:t>
            </w:r>
          </w:p>
        </w:tc>
      </w:tr>
    </w:tbl>
    <w:p w:rsidR="00CD04C1" w:rsidRPr="00B713EE" w:rsidRDefault="00CD04C1" w:rsidP="00B713EE">
      <w:pPr>
        <w:pStyle w:val="SingleTxtG"/>
      </w:pPr>
      <w:r w:rsidRPr="00B713EE">
        <w:br w:type="page"/>
      </w:r>
    </w:p>
    <w:p w:rsidR="00CD04C1" w:rsidRPr="00B713EE" w:rsidRDefault="00CD04C1" w:rsidP="00B713EE">
      <w:pPr>
        <w:pStyle w:val="HChG"/>
      </w:pPr>
      <w:bookmarkStart w:id="108" w:name="_Toc478663193"/>
      <w:r w:rsidRPr="00B713EE">
        <w:t>Annexe III</w:t>
      </w:r>
      <w:bookmarkEnd w:id="108"/>
    </w:p>
    <w:p w:rsidR="00CD04C1" w:rsidRPr="00B713EE" w:rsidRDefault="00CD04C1" w:rsidP="00B713EE">
      <w:pPr>
        <w:pStyle w:val="HChG"/>
      </w:pPr>
      <w:r w:rsidRPr="00B713EE">
        <w:tab/>
      </w:r>
      <w:r w:rsidRPr="00B713EE">
        <w:tab/>
      </w:r>
      <w:bookmarkStart w:id="109" w:name="_Toc478663194"/>
      <w:r w:rsidRPr="00B713EE">
        <w:t>Forum mondial de l</w:t>
      </w:r>
      <w:r w:rsidR="007C2F80">
        <w:t>’</w:t>
      </w:r>
      <w:r w:rsidRPr="00B713EE">
        <w:t>harmonisation des Règlements c</w:t>
      </w:r>
      <w:r w:rsidR="00B713EE">
        <w:t>oncernant les véhicules (WP.29) </w:t>
      </w:r>
      <w:r w:rsidRPr="00B713EE">
        <w:t>: Groupes de travail, groupes de travail informels et présidence (01/03/2017)</w:t>
      </w:r>
      <w:bookmarkEnd w:id="109"/>
    </w:p>
    <w:tbl>
      <w:tblPr>
        <w:tblW w:w="9659" w:type="dxa"/>
        <w:jc w:val="center"/>
        <w:tblBorders>
          <w:top w:val="single" w:sz="12" w:space="0" w:color="auto"/>
          <w:bottom w:val="single" w:sz="12" w:space="0" w:color="auto"/>
          <w:insideH w:val="single" w:sz="4" w:space="0" w:color="auto"/>
        </w:tblBorders>
        <w:tblLayout w:type="fixed"/>
        <w:tblCellMar>
          <w:left w:w="0" w:type="dxa"/>
          <w:right w:w="0" w:type="dxa"/>
        </w:tblCellMar>
        <w:tblLook w:val="0020" w:firstRow="1" w:lastRow="0" w:firstColumn="0" w:lastColumn="0" w:noHBand="0" w:noVBand="0"/>
      </w:tblPr>
      <w:tblGrid>
        <w:gridCol w:w="709"/>
        <w:gridCol w:w="4678"/>
        <w:gridCol w:w="1559"/>
        <w:gridCol w:w="1418"/>
        <w:gridCol w:w="1295"/>
      </w:tblGrid>
      <w:tr w:rsidR="00CD04C1" w:rsidRPr="00B713EE" w:rsidTr="00305D70">
        <w:trPr>
          <w:cantSplit/>
          <w:tblHeader/>
          <w:jc w:val="center"/>
        </w:trPr>
        <w:tc>
          <w:tcPr>
            <w:tcW w:w="709" w:type="dxa"/>
            <w:tcBorders>
              <w:top w:val="single" w:sz="4" w:space="0" w:color="auto"/>
              <w:bottom w:val="single" w:sz="4" w:space="0" w:color="auto"/>
            </w:tcBorders>
            <w:shd w:val="clear" w:color="auto" w:fill="auto"/>
            <w:vAlign w:val="bottom"/>
          </w:tcPr>
          <w:p w:rsidR="00CD04C1" w:rsidRPr="00B713EE" w:rsidRDefault="00CD04C1" w:rsidP="00931B50">
            <w:pPr>
              <w:spacing w:before="40" w:after="40" w:line="220" w:lineRule="exact"/>
              <w:ind w:right="113"/>
              <w:rPr>
                <w:i/>
                <w:sz w:val="16"/>
              </w:rPr>
            </w:pPr>
            <w:r w:rsidRPr="00B713EE">
              <w:rPr>
                <w:i/>
                <w:sz w:val="16"/>
              </w:rPr>
              <w:t> </w:t>
            </w:r>
          </w:p>
        </w:tc>
        <w:tc>
          <w:tcPr>
            <w:tcW w:w="4678" w:type="dxa"/>
            <w:tcBorders>
              <w:top w:val="single" w:sz="4" w:space="0" w:color="auto"/>
              <w:bottom w:val="single" w:sz="4" w:space="0" w:color="auto"/>
            </w:tcBorders>
            <w:shd w:val="clear" w:color="auto" w:fill="auto"/>
            <w:vAlign w:val="bottom"/>
          </w:tcPr>
          <w:p w:rsidR="00CD04C1" w:rsidRPr="00B713EE" w:rsidRDefault="00CD04C1" w:rsidP="00931B50">
            <w:pPr>
              <w:spacing w:before="40" w:after="40" w:line="220" w:lineRule="exact"/>
              <w:ind w:right="113"/>
              <w:rPr>
                <w:bCs/>
                <w:i/>
                <w:sz w:val="16"/>
              </w:rPr>
            </w:pPr>
            <w:r w:rsidRPr="00B713EE">
              <w:rPr>
                <w:bCs/>
                <w:i/>
                <w:sz w:val="16"/>
              </w:rPr>
              <w:t>Groupes de travail informels</w:t>
            </w:r>
          </w:p>
        </w:tc>
        <w:tc>
          <w:tcPr>
            <w:tcW w:w="1559" w:type="dxa"/>
            <w:tcBorders>
              <w:top w:val="single" w:sz="4" w:space="0" w:color="auto"/>
              <w:bottom w:val="single" w:sz="4" w:space="0" w:color="auto"/>
            </w:tcBorders>
            <w:shd w:val="clear" w:color="auto" w:fill="auto"/>
            <w:vAlign w:val="bottom"/>
          </w:tcPr>
          <w:p w:rsidR="00CD04C1" w:rsidRPr="00B713EE" w:rsidRDefault="00CD04C1" w:rsidP="00931B50">
            <w:pPr>
              <w:spacing w:before="40" w:after="40" w:line="220" w:lineRule="exact"/>
              <w:ind w:right="113"/>
              <w:rPr>
                <w:bCs/>
                <w:i/>
                <w:sz w:val="16"/>
              </w:rPr>
            </w:pPr>
            <w:r w:rsidRPr="00B713EE">
              <w:rPr>
                <w:bCs/>
                <w:i/>
                <w:sz w:val="16"/>
              </w:rPr>
              <w:t>Président/</w:t>
            </w:r>
            <w:r w:rsidRPr="00B713EE">
              <w:rPr>
                <w:bCs/>
                <w:i/>
                <w:sz w:val="16"/>
              </w:rPr>
              <w:br/>
              <w:t>Vice-président</w:t>
            </w:r>
          </w:p>
        </w:tc>
        <w:tc>
          <w:tcPr>
            <w:tcW w:w="1418" w:type="dxa"/>
            <w:tcBorders>
              <w:top w:val="single" w:sz="4" w:space="0" w:color="auto"/>
              <w:bottom w:val="single" w:sz="4" w:space="0" w:color="auto"/>
            </w:tcBorders>
            <w:shd w:val="clear" w:color="auto" w:fill="auto"/>
            <w:vAlign w:val="bottom"/>
          </w:tcPr>
          <w:p w:rsidR="00CD04C1" w:rsidRPr="00B713EE" w:rsidRDefault="00CD04C1" w:rsidP="00931B50">
            <w:pPr>
              <w:spacing w:before="40" w:after="40" w:line="220" w:lineRule="exact"/>
              <w:ind w:right="113"/>
              <w:rPr>
                <w:bCs/>
                <w:i/>
                <w:sz w:val="16"/>
              </w:rPr>
            </w:pPr>
            <w:r w:rsidRPr="00B713EE">
              <w:rPr>
                <w:bCs/>
                <w:i/>
                <w:sz w:val="16"/>
              </w:rPr>
              <w:t>Pays</w:t>
            </w:r>
          </w:p>
        </w:tc>
        <w:tc>
          <w:tcPr>
            <w:tcW w:w="1295" w:type="dxa"/>
            <w:tcBorders>
              <w:top w:val="single" w:sz="4" w:space="0" w:color="auto"/>
              <w:bottom w:val="single" w:sz="4" w:space="0" w:color="auto"/>
            </w:tcBorders>
          </w:tcPr>
          <w:p w:rsidR="00CD04C1" w:rsidRPr="00B713EE" w:rsidRDefault="00CD04C1" w:rsidP="00931B50">
            <w:pPr>
              <w:spacing w:before="40" w:after="40" w:line="220" w:lineRule="exact"/>
              <w:ind w:right="113"/>
              <w:rPr>
                <w:bCs/>
                <w:i/>
                <w:sz w:val="16"/>
              </w:rPr>
            </w:pPr>
            <w:r w:rsidRPr="00B713EE">
              <w:rPr>
                <w:bCs/>
                <w:i/>
                <w:sz w:val="16"/>
              </w:rPr>
              <w:t>Date d</w:t>
            </w:r>
            <w:r w:rsidR="007C2F80">
              <w:rPr>
                <w:bCs/>
                <w:i/>
                <w:sz w:val="16"/>
              </w:rPr>
              <w:t>’</w:t>
            </w:r>
            <w:r w:rsidRPr="00B713EE">
              <w:rPr>
                <w:bCs/>
                <w:i/>
                <w:sz w:val="16"/>
              </w:rPr>
              <w:t>expiration du mandat</w:t>
            </w:r>
          </w:p>
        </w:tc>
      </w:tr>
      <w:tr w:rsidR="00AA7C01" w:rsidRPr="00B713EE" w:rsidTr="00305D70">
        <w:trPr>
          <w:cantSplit/>
          <w:trHeight w:hRule="exact" w:val="113"/>
          <w:tblHeader/>
          <w:jc w:val="center"/>
        </w:trPr>
        <w:tc>
          <w:tcPr>
            <w:tcW w:w="709" w:type="dxa"/>
            <w:tcBorders>
              <w:top w:val="single" w:sz="4" w:space="0" w:color="auto"/>
              <w:bottom w:val="nil"/>
            </w:tcBorders>
            <w:shd w:val="clear" w:color="auto" w:fill="auto"/>
          </w:tcPr>
          <w:p w:rsidR="00AA7C01" w:rsidRPr="00B713EE" w:rsidRDefault="00AA7C01" w:rsidP="00CD04C1">
            <w:pPr>
              <w:rPr>
                <w:b/>
                <w:bCs/>
              </w:rPr>
            </w:pPr>
          </w:p>
        </w:tc>
        <w:tc>
          <w:tcPr>
            <w:tcW w:w="4678" w:type="dxa"/>
            <w:tcBorders>
              <w:top w:val="single" w:sz="4" w:space="0" w:color="auto"/>
              <w:bottom w:val="nil"/>
            </w:tcBorders>
            <w:shd w:val="clear" w:color="auto" w:fill="auto"/>
          </w:tcPr>
          <w:p w:rsidR="00AA7C01" w:rsidRPr="00B713EE" w:rsidRDefault="00AA7C01" w:rsidP="00CD04C1">
            <w:pPr>
              <w:rPr>
                <w:b/>
                <w:bCs/>
              </w:rPr>
            </w:pPr>
          </w:p>
        </w:tc>
        <w:tc>
          <w:tcPr>
            <w:tcW w:w="1559" w:type="dxa"/>
            <w:tcBorders>
              <w:top w:val="single" w:sz="4" w:space="0" w:color="auto"/>
              <w:bottom w:val="nil"/>
            </w:tcBorders>
            <w:shd w:val="clear" w:color="auto" w:fill="auto"/>
          </w:tcPr>
          <w:p w:rsidR="00AA7C01" w:rsidRPr="00B713EE" w:rsidRDefault="00AA7C01" w:rsidP="00CD04C1">
            <w:pPr>
              <w:rPr>
                <w:b/>
                <w:bCs/>
              </w:rPr>
            </w:pPr>
          </w:p>
        </w:tc>
        <w:tc>
          <w:tcPr>
            <w:tcW w:w="1418" w:type="dxa"/>
            <w:tcBorders>
              <w:top w:val="single" w:sz="4" w:space="0" w:color="auto"/>
              <w:bottom w:val="nil"/>
            </w:tcBorders>
            <w:shd w:val="clear" w:color="auto" w:fill="auto"/>
          </w:tcPr>
          <w:p w:rsidR="00AA7C01" w:rsidRPr="00B713EE" w:rsidRDefault="00AA7C01" w:rsidP="00CD04C1">
            <w:pPr>
              <w:rPr>
                <w:b/>
                <w:bCs/>
              </w:rPr>
            </w:pPr>
          </w:p>
        </w:tc>
        <w:tc>
          <w:tcPr>
            <w:tcW w:w="1295" w:type="dxa"/>
            <w:tcBorders>
              <w:top w:val="single" w:sz="4" w:space="0" w:color="auto"/>
              <w:bottom w:val="nil"/>
            </w:tcBorders>
          </w:tcPr>
          <w:p w:rsidR="00AA7C01" w:rsidRPr="00B713EE" w:rsidRDefault="00AA7C01" w:rsidP="00CD04C1">
            <w:pPr>
              <w:rPr>
                <w:bCs/>
              </w:rPr>
            </w:pPr>
          </w:p>
        </w:tc>
      </w:tr>
      <w:tr w:rsidR="00CD04C1" w:rsidRPr="00B713EE" w:rsidTr="00FE6535">
        <w:trPr>
          <w:cantSplit/>
          <w:jc w:val="center"/>
        </w:trPr>
        <w:tc>
          <w:tcPr>
            <w:tcW w:w="709" w:type="dxa"/>
            <w:tcBorders>
              <w:top w:val="nil"/>
            </w:tcBorders>
            <w:shd w:val="clear" w:color="auto" w:fill="auto"/>
          </w:tcPr>
          <w:p w:rsidR="00CD04C1" w:rsidRPr="00B713EE" w:rsidRDefault="00CD04C1" w:rsidP="00931B50">
            <w:pPr>
              <w:spacing w:before="40" w:after="120"/>
              <w:ind w:right="113"/>
              <w:rPr>
                <w:b/>
                <w:bCs/>
              </w:rPr>
            </w:pPr>
            <w:r w:rsidRPr="00B713EE">
              <w:rPr>
                <w:b/>
                <w:bCs/>
              </w:rPr>
              <w:t>WP.29</w:t>
            </w:r>
          </w:p>
        </w:tc>
        <w:tc>
          <w:tcPr>
            <w:tcW w:w="4678" w:type="dxa"/>
            <w:tcBorders>
              <w:top w:val="nil"/>
            </w:tcBorders>
            <w:shd w:val="clear" w:color="auto" w:fill="auto"/>
          </w:tcPr>
          <w:p w:rsidR="00CD04C1" w:rsidRPr="00B713EE" w:rsidRDefault="00CD04C1" w:rsidP="00931B50">
            <w:pPr>
              <w:spacing w:before="40" w:after="120"/>
              <w:ind w:right="113"/>
              <w:rPr>
                <w:b/>
                <w:bCs/>
              </w:rPr>
            </w:pPr>
            <w:r w:rsidRPr="00B713EE">
              <w:rPr>
                <w:b/>
                <w:bCs/>
              </w:rPr>
              <w:t xml:space="preserve">Forum mondial </w:t>
            </w:r>
          </w:p>
        </w:tc>
        <w:tc>
          <w:tcPr>
            <w:tcW w:w="1559" w:type="dxa"/>
            <w:tcBorders>
              <w:top w:val="nil"/>
            </w:tcBorders>
            <w:shd w:val="clear" w:color="auto" w:fill="auto"/>
          </w:tcPr>
          <w:p w:rsidR="00CD04C1" w:rsidRPr="00B713EE" w:rsidRDefault="004B16FD" w:rsidP="00931B50">
            <w:pPr>
              <w:spacing w:before="40" w:after="120"/>
              <w:ind w:right="113"/>
              <w:rPr>
                <w:b/>
                <w:bCs/>
              </w:rPr>
            </w:pPr>
            <w:r>
              <w:rPr>
                <w:b/>
                <w:bCs/>
              </w:rPr>
              <w:t>M. </w:t>
            </w:r>
            <w:r w:rsidR="00CD04C1" w:rsidRPr="00B713EE">
              <w:rPr>
                <w:b/>
                <w:bCs/>
              </w:rPr>
              <w:t>A. Erario</w:t>
            </w:r>
            <w:r w:rsidR="00CD04C1" w:rsidRPr="00B713EE">
              <w:rPr>
                <w:b/>
                <w:bCs/>
              </w:rPr>
              <w:br/>
            </w:r>
            <w:r>
              <w:rPr>
                <w:b/>
                <w:bCs/>
              </w:rPr>
              <w:t>M. </w:t>
            </w:r>
            <w:r w:rsidR="00CD04C1" w:rsidRPr="00B713EE">
              <w:rPr>
                <w:b/>
                <w:bCs/>
              </w:rPr>
              <w:t>B. Kisulenko</w:t>
            </w:r>
          </w:p>
        </w:tc>
        <w:tc>
          <w:tcPr>
            <w:tcW w:w="1418" w:type="dxa"/>
            <w:tcBorders>
              <w:top w:val="nil"/>
            </w:tcBorders>
            <w:shd w:val="clear" w:color="auto" w:fill="auto"/>
          </w:tcPr>
          <w:p w:rsidR="00CD04C1" w:rsidRPr="00B713EE" w:rsidRDefault="00CD04C1" w:rsidP="00931B50">
            <w:pPr>
              <w:spacing w:before="40" w:after="120"/>
              <w:ind w:right="113"/>
              <w:rPr>
                <w:b/>
                <w:bCs/>
              </w:rPr>
            </w:pPr>
            <w:r w:rsidRPr="00B713EE">
              <w:rPr>
                <w:b/>
                <w:bCs/>
              </w:rPr>
              <w:t>Italie</w:t>
            </w:r>
            <w:r w:rsidRPr="00B713EE">
              <w:rPr>
                <w:b/>
                <w:bCs/>
              </w:rPr>
              <w:br/>
              <w:t>Russie</w:t>
            </w:r>
          </w:p>
        </w:tc>
        <w:tc>
          <w:tcPr>
            <w:tcW w:w="1295" w:type="dxa"/>
            <w:tcBorders>
              <w:top w:val="nil"/>
            </w:tcBorders>
          </w:tcPr>
          <w:p w:rsidR="00CD04C1" w:rsidRPr="00B713EE" w:rsidRDefault="00CD04C1" w:rsidP="00931B50">
            <w:pPr>
              <w:spacing w:before="40" w:after="120"/>
              <w:ind w:right="113"/>
              <w:rPr>
                <w:bCs/>
              </w:rPr>
            </w:pPr>
            <w:r w:rsidRPr="00B713EE">
              <w:rPr>
                <w:bCs/>
              </w:rPr>
              <w:t>2018</w:t>
            </w:r>
          </w:p>
        </w:tc>
      </w:tr>
      <w:tr w:rsidR="00CD04C1" w:rsidRPr="00B713EE" w:rsidTr="00FE6535">
        <w:trPr>
          <w:cantSplit/>
          <w:jc w:val="center"/>
        </w:trPr>
        <w:tc>
          <w:tcPr>
            <w:tcW w:w="709" w:type="dxa"/>
            <w:shd w:val="clear" w:color="auto" w:fill="auto"/>
          </w:tcPr>
          <w:p w:rsidR="00CD04C1" w:rsidRPr="00B713EE" w:rsidRDefault="00CD04C1" w:rsidP="00931B50">
            <w:pPr>
              <w:spacing w:before="40" w:after="120"/>
              <w:ind w:right="113"/>
              <w:rPr>
                <w:bCs/>
              </w:rPr>
            </w:pPr>
          </w:p>
        </w:tc>
        <w:tc>
          <w:tcPr>
            <w:tcW w:w="4678" w:type="dxa"/>
            <w:shd w:val="clear" w:color="auto" w:fill="auto"/>
          </w:tcPr>
          <w:p w:rsidR="00CD04C1" w:rsidRPr="00B713EE" w:rsidRDefault="00CD04C1" w:rsidP="00931B50">
            <w:pPr>
              <w:spacing w:before="40" w:after="120"/>
              <w:ind w:right="113"/>
            </w:pPr>
            <w:r w:rsidRPr="00B713EE">
              <w:t>Systèmes de transport intelligents (STI)</w:t>
            </w:r>
          </w:p>
        </w:tc>
        <w:tc>
          <w:tcPr>
            <w:tcW w:w="1559" w:type="dxa"/>
            <w:shd w:val="clear" w:color="auto" w:fill="auto"/>
          </w:tcPr>
          <w:p w:rsidR="00CD04C1" w:rsidRPr="00567416" w:rsidRDefault="004B16FD" w:rsidP="00931B50">
            <w:pPr>
              <w:spacing w:before="40" w:after="120"/>
              <w:ind w:right="113"/>
              <w:rPr>
                <w:lang w:val="en-US"/>
              </w:rPr>
            </w:pPr>
            <w:r>
              <w:rPr>
                <w:lang w:val="en-US"/>
              </w:rPr>
              <w:t>M. </w:t>
            </w:r>
            <w:r w:rsidR="00CD04C1" w:rsidRPr="00567416">
              <w:rPr>
                <w:lang w:val="en-US"/>
              </w:rPr>
              <w:t>H. Inomata</w:t>
            </w:r>
            <w:r w:rsidR="00CD04C1" w:rsidRPr="00567416">
              <w:rPr>
                <w:lang w:val="en-US"/>
              </w:rPr>
              <w:br/>
            </w:r>
            <w:r>
              <w:rPr>
                <w:lang w:val="en-US"/>
              </w:rPr>
              <w:t>M. </w:t>
            </w:r>
            <w:r w:rsidR="00CD04C1" w:rsidRPr="00567416">
              <w:rPr>
                <w:lang w:val="en-US"/>
              </w:rPr>
              <w:t>I. Yarnold</w:t>
            </w:r>
          </w:p>
        </w:tc>
        <w:tc>
          <w:tcPr>
            <w:tcW w:w="1418" w:type="dxa"/>
            <w:shd w:val="clear" w:color="auto" w:fill="auto"/>
          </w:tcPr>
          <w:p w:rsidR="00CD04C1" w:rsidRPr="00B713EE" w:rsidRDefault="00CD04C1" w:rsidP="00931B50">
            <w:pPr>
              <w:spacing w:before="40" w:after="120"/>
              <w:ind w:right="113"/>
            </w:pPr>
            <w:r w:rsidRPr="00B713EE">
              <w:t>Japon</w:t>
            </w:r>
            <w:r w:rsidRPr="00B713EE">
              <w:br/>
              <w:t xml:space="preserve">Royaume-Uni </w:t>
            </w:r>
          </w:p>
        </w:tc>
        <w:tc>
          <w:tcPr>
            <w:tcW w:w="1295" w:type="dxa"/>
          </w:tcPr>
          <w:p w:rsidR="00CD04C1" w:rsidRPr="00B713EE" w:rsidRDefault="00CD04C1" w:rsidP="00931B50">
            <w:pPr>
              <w:spacing w:before="40" w:after="120"/>
              <w:ind w:right="113"/>
            </w:pPr>
            <w:r w:rsidRPr="00B713EE">
              <w:t>2018</w:t>
            </w:r>
          </w:p>
        </w:tc>
      </w:tr>
      <w:tr w:rsidR="00CD04C1" w:rsidRPr="00B713EE" w:rsidTr="00FE6535">
        <w:trPr>
          <w:cantSplit/>
          <w:jc w:val="center"/>
        </w:trPr>
        <w:tc>
          <w:tcPr>
            <w:tcW w:w="709" w:type="dxa"/>
            <w:shd w:val="clear" w:color="auto" w:fill="auto"/>
          </w:tcPr>
          <w:p w:rsidR="00CD04C1" w:rsidRPr="00B713EE" w:rsidRDefault="00CD04C1" w:rsidP="00931B50">
            <w:pPr>
              <w:spacing w:before="40" w:after="120"/>
              <w:ind w:right="113"/>
              <w:rPr>
                <w:bCs/>
              </w:rPr>
            </w:pPr>
          </w:p>
        </w:tc>
        <w:tc>
          <w:tcPr>
            <w:tcW w:w="4678" w:type="dxa"/>
            <w:shd w:val="clear" w:color="auto" w:fill="auto"/>
          </w:tcPr>
          <w:p w:rsidR="00CD04C1" w:rsidRPr="00B713EE" w:rsidRDefault="00CD04C1" w:rsidP="00931B50">
            <w:pPr>
              <w:spacing w:before="40" w:after="120"/>
              <w:ind w:right="113"/>
            </w:pPr>
            <w:r w:rsidRPr="00B713EE">
              <w:t>Base de données électronique pour l</w:t>
            </w:r>
            <w:r w:rsidR="007C2F80">
              <w:t>’</w:t>
            </w:r>
            <w:r w:rsidRPr="00B713EE">
              <w:t>échange de renseignements sur les homologations de type (DETA)</w:t>
            </w:r>
          </w:p>
        </w:tc>
        <w:tc>
          <w:tcPr>
            <w:tcW w:w="1559" w:type="dxa"/>
            <w:shd w:val="clear" w:color="auto" w:fill="auto"/>
          </w:tcPr>
          <w:p w:rsidR="00CD04C1" w:rsidRPr="00B713EE" w:rsidRDefault="004B16FD" w:rsidP="00931B50">
            <w:pPr>
              <w:spacing w:before="40" w:after="120"/>
              <w:ind w:right="113"/>
            </w:pPr>
            <w:r>
              <w:t>M. </w:t>
            </w:r>
            <w:r w:rsidR="00CD04C1" w:rsidRPr="00B713EE">
              <w:t>Paeslack</w:t>
            </w:r>
          </w:p>
        </w:tc>
        <w:tc>
          <w:tcPr>
            <w:tcW w:w="1418" w:type="dxa"/>
            <w:shd w:val="clear" w:color="auto" w:fill="auto"/>
          </w:tcPr>
          <w:p w:rsidR="00CD04C1" w:rsidRPr="00B713EE" w:rsidRDefault="00CD04C1" w:rsidP="00931B50">
            <w:pPr>
              <w:spacing w:before="40" w:after="120"/>
              <w:ind w:right="113"/>
            </w:pPr>
            <w:r w:rsidRPr="00B713EE">
              <w:t>Allemagne</w:t>
            </w:r>
          </w:p>
        </w:tc>
        <w:tc>
          <w:tcPr>
            <w:tcW w:w="1295" w:type="dxa"/>
          </w:tcPr>
          <w:p w:rsidR="00CD04C1" w:rsidRPr="00B713EE" w:rsidRDefault="00CD04C1" w:rsidP="00931B50">
            <w:pPr>
              <w:spacing w:before="40" w:after="120"/>
              <w:ind w:right="113"/>
            </w:pPr>
            <w:r w:rsidRPr="00B713EE">
              <w:t>Mars 2016</w:t>
            </w:r>
          </w:p>
        </w:tc>
      </w:tr>
      <w:tr w:rsidR="00CD04C1" w:rsidRPr="00B713EE" w:rsidTr="00FE6535">
        <w:trPr>
          <w:cantSplit/>
          <w:jc w:val="center"/>
        </w:trPr>
        <w:tc>
          <w:tcPr>
            <w:tcW w:w="709" w:type="dxa"/>
            <w:shd w:val="clear" w:color="auto" w:fill="auto"/>
          </w:tcPr>
          <w:p w:rsidR="00CD04C1" w:rsidRPr="00B713EE" w:rsidRDefault="00CD04C1" w:rsidP="00931B50">
            <w:pPr>
              <w:spacing w:before="40" w:after="120"/>
              <w:ind w:right="113"/>
              <w:rPr>
                <w:bCs/>
              </w:rPr>
            </w:pPr>
          </w:p>
        </w:tc>
        <w:tc>
          <w:tcPr>
            <w:tcW w:w="4678" w:type="dxa"/>
            <w:shd w:val="clear" w:color="auto" w:fill="auto"/>
          </w:tcPr>
          <w:p w:rsidR="00CD04C1" w:rsidRPr="00B713EE" w:rsidRDefault="00CD04C1" w:rsidP="00931B50">
            <w:pPr>
              <w:spacing w:before="40" w:after="120"/>
              <w:ind w:right="113"/>
            </w:pPr>
            <w:r w:rsidRPr="00B713EE">
              <w:t>Homologation de type internationale de l</w:t>
            </w:r>
            <w:r w:rsidR="007C2F80">
              <w:t>’</w:t>
            </w:r>
            <w:r w:rsidRPr="00B713EE">
              <w:t>ensemble du véhicule (IWVTA)</w:t>
            </w:r>
          </w:p>
        </w:tc>
        <w:tc>
          <w:tcPr>
            <w:tcW w:w="1559" w:type="dxa"/>
            <w:shd w:val="clear" w:color="auto" w:fill="auto"/>
          </w:tcPr>
          <w:p w:rsidR="00CD04C1" w:rsidRPr="00B713EE" w:rsidRDefault="004B16FD" w:rsidP="004B16FD">
            <w:pPr>
              <w:spacing w:before="40" w:after="120"/>
              <w:ind w:right="113"/>
            </w:pPr>
            <w:r>
              <w:t>M. </w:t>
            </w:r>
            <w:r w:rsidR="00CD04C1" w:rsidRPr="00B713EE">
              <w:t>T. Onoda</w:t>
            </w:r>
            <w:r w:rsidR="00CD04C1" w:rsidRPr="00B713EE">
              <w:br/>
              <w:t>M</w:t>
            </w:r>
            <w:r w:rsidR="00CD04C1" w:rsidRPr="004B16FD">
              <w:rPr>
                <w:vertAlign w:val="superscript"/>
              </w:rPr>
              <w:t>me</w:t>
            </w:r>
            <w:r>
              <w:rPr>
                <w:vertAlign w:val="superscript"/>
              </w:rPr>
              <w:t> </w:t>
            </w:r>
            <w:r>
              <w:t>M. </w:t>
            </w:r>
            <w:r w:rsidR="00CD04C1" w:rsidRPr="00B713EE">
              <w:t>Teles Romao</w:t>
            </w:r>
          </w:p>
        </w:tc>
        <w:tc>
          <w:tcPr>
            <w:tcW w:w="1418" w:type="dxa"/>
            <w:shd w:val="clear" w:color="auto" w:fill="auto"/>
          </w:tcPr>
          <w:p w:rsidR="00CD04C1" w:rsidRPr="00B713EE" w:rsidRDefault="00CD04C1" w:rsidP="00931B50">
            <w:pPr>
              <w:spacing w:before="40" w:after="120"/>
              <w:ind w:right="113"/>
            </w:pPr>
            <w:r w:rsidRPr="00B713EE">
              <w:t>Japon</w:t>
            </w:r>
            <w:r w:rsidRPr="00B713EE">
              <w:br/>
              <w:t>CE</w:t>
            </w:r>
          </w:p>
        </w:tc>
        <w:tc>
          <w:tcPr>
            <w:tcW w:w="1295" w:type="dxa"/>
          </w:tcPr>
          <w:p w:rsidR="00CD04C1" w:rsidRPr="00B713EE" w:rsidRDefault="00CD04C1" w:rsidP="00931B50">
            <w:pPr>
              <w:spacing w:before="40" w:after="120"/>
              <w:ind w:right="113"/>
            </w:pPr>
            <w:r w:rsidRPr="00B713EE">
              <w:t>Juin 2017</w:t>
            </w:r>
          </w:p>
        </w:tc>
      </w:tr>
      <w:tr w:rsidR="00CD04C1" w:rsidRPr="00B713EE" w:rsidTr="00FE6535">
        <w:trPr>
          <w:cantSplit/>
          <w:jc w:val="center"/>
        </w:trPr>
        <w:tc>
          <w:tcPr>
            <w:tcW w:w="709" w:type="dxa"/>
            <w:shd w:val="clear" w:color="auto" w:fill="auto"/>
          </w:tcPr>
          <w:p w:rsidR="00CD04C1" w:rsidRPr="00B713EE" w:rsidRDefault="00CD04C1" w:rsidP="00931B50">
            <w:pPr>
              <w:spacing w:before="40" w:after="120"/>
              <w:ind w:right="113"/>
              <w:rPr>
                <w:bCs/>
              </w:rPr>
            </w:pPr>
          </w:p>
        </w:tc>
        <w:tc>
          <w:tcPr>
            <w:tcW w:w="4678" w:type="dxa"/>
            <w:shd w:val="clear" w:color="auto" w:fill="auto"/>
          </w:tcPr>
          <w:p w:rsidR="00CD04C1" w:rsidRPr="00B713EE" w:rsidRDefault="00CD04C1" w:rsidP="00931B50">
            <w:pPr>
              <w:spacing w:before="40" w:after="120"/>
              <w:ind w:right="113"/>
            </w:pPr>
            <w:r w:rsidRPr="00B713EE">
              <w:t xml:space="preserve">Sous-groupe IWVTA du Règlement ONU </w:t>
            </w:r>
            <w:r w:rsidR="00AA7C01">
              <w:rPr>
                <w:rFonts w:eastAsia="MS Mincho"/>
              </w:rPr>
              <w:t>n</w:t>
            </w:r>
            <w:r w:rsidR="00AA7C01">
              <w:rPr>
                <w:rFonts w:eastAsia="MS Mincho"/>
                <w:vertAlign w:val="superscript"/>
              </w:rPr>
              <w:t>o</w:t>
            </w:r>
            <w:r w:rsidR="00AA7C01" w:rsidRPr="00AA7C01">
              <w:rPr>
                <w:rFonts w:eastAsia="MS Mincho"/>
              </w:rPr>
              <w:t> </w:t>
            </w:r>
            <w:r w:rsidRPr="00B713EE">
              <w:t>0</w:t>
            </w:r>
          </w:p>
        </w:tc>
        <w:tc>
          <w:tcPr>
            <w:tcW w:w="1559" w:type="dxa"/>
            <w:shd w:val="clear" w:color="auto" w:fill="auto"/>
          </w:tcPr>
          <w:p w:rsidR="00CD04C1" w:rsidRPr="00B713EE" w:rsidRDefault="004B16FD" w:rsidP="00931B50">
            <w:pPr>
              <w:spacing w:before="40" w:after="120"/>
              <w:ind w:right="113"/>
            </w:pPr>
            <w:r>
              <w:t>M. </w:t>
            </w:r>
            <w:r w:rsidR="00CD04C1" w:rsidRPr="00B713EE">
              <w:t>T. Onoda</w:t>
            </w:r>
          </w:p>
        </w:tc>
        <w:tc>
          <w:tcPr>
            <w:tcW w:w="1418" w:type="dxa"/>
            <w:shd w:val="clear" w:color="auto" w:fill="auto"/>
          </w:tcPr>
          <w:p w:rsidR="00CD04C1" w:rsidRPr="00B713EE" w:rsidRDefault="00CD04C1" w:rsidP="00931B50">
            <w:pPr>
              <w:spacing w:before="40" w:after="120"/>
              <w:ind w:right="113"/>
            </w:pPr>
            <w:r w:rsidRPr="00B713EE">
              <w:t>Japon</w:t>
            </w:r>
          </w:p>
        </w:tc>
        <w:tc>
          <w:tcPr>
            <w:tcW w:w="1295" w:type="dxa"/>
          </w:tcPr>
          <w:p w:rsidR="00CD04C1" w:rsidRPr="00B713EE" w:rsidRDefault="00CD04C1" w:rsidP="00931B50">
            <w:pPr>
              <w:spacing w:before="40" w:after="120"/>
              <w:ind w:right="113"/>
            </w:pPr>
            <w:r w:rsidRPr="00B713EE">
              <w:t>Juin 2017</w:t>
            </w:r>
          </w:p>
        </w:tc>
      </w:tr>
      <w:tr w:rsidR="00CD04C1" w:rsidRPr="00B713EE" w:rsidTr="00FE6535">
        <w:trPr>
          <w:cantSplit/>
          <w:jc w:val="center"/>
        </w:trPr>
        <w:tc>
          <w:tcPr>
            <w:tcW w:w="709" w:type="dxa"/>
            <w:shd w:val="clear" w:color="auto" w:fill="auto"/>
          </w:tcPr>
          <w:p w:rsidR="00CD04C1" w:rsidRPr="00B713EE" w:rsidRDefault="00CD04C1" w:rsidP="00931B50">
            <w:pPr>
              <w:spacing w:before="40" w:after="120"/>
              <w:ind w:right="113"/>
              <w:rPr>
                <w:bCs/>
              </w:rPr>
            </w:pPr>
          </w:p>
        </w:tc>
        <w:tc>
          <w:tcPr>
            <w:tcW w:w="4678" w:type="dxa"/>
            <w:shd w:val="clear" w:color="auto" w:fill="auto"/>
          </w:tcPr>
          <w:p w:rsidR="00CD04C1" w:rsidRPr="00B713EE" w:rsidRDefault="00CD04C1" w:rsidP="00931B50">
            <w:pPr>
              <w:spacing w:before="40" w:after="120"/>
              <w:ind w:right="113"/>
            </w:pPr>
            <w:r w:rsidRPr="00B713EE">
              <w:t>Sous-groupe IWVTA sur l</w:t>
            </w:r>
            <w:r w:rsidR="007C2F80">
              <w:t>’</w:t>
            </w:r>
            <w:r w:rsidRPr="00B713EE">
              <w:t>Accord de 1958</w:t>
            </w:r>
          </w:p>
        </w:tc>
        <w:tc>
          <w:tcPr>
            <w:tcW w:w="1559" w:type="dxa"/>
            <w:shd w:val="clear" w:color="auto" w:fill="auto"/>
          </w:tcPr>
          <w:p w:rsidR="00CD04C1" w:rsidRPr="00B713EE" w:rsidRDefault="004B16FD" w:rsidP="004B16FD">
            <w:pPr>
              <w:spacing w:before="40" w:after="120"/>
              <w:ind w:right="113"/>
            </w:pPr>
            <w:r>
              <w:t>M. </w:t>
            </w:r>
            <w:r w:rsidR="00CD04C1" w:rsidRPr="00B713EE">
              <w:t>L. Escobar</w:t>
            </w:r>
          </w:p>
        </w:tc>
        <w:tc>
          <w:tcPr>
            <w:tcW w:w="1418" w:type="dxa"/>
            <w:shd w:val="clear" w:color="auto" w:fill="auto"/>
          </w:tcPr>
          <w:p w:rsidR="00CD04C1" w:rsidRPr="00B713EE" w:rsidRDefault="00CD04C1" w:rsidP="00931B50">
            <w:pPr>
              <w:spacing w:before="40" w:after="120"/>
              <w:ind w:right="113"/>
            </w:pPr>
            <w:r w:rsidRPr="00B713EE">
              <w:t>CE</w:t>
            </w:r>
          </w:p>
        </w:tc>
        <w:tc>
          <w:tcPr>
            <w:tcW w:w="1295" w:type="dxa"/>
          </w:tcPr>
          <w:p w:rsidR="00CD04C1" w:rsidRPr="00B713EE" w:rsidRDefault="00CD04C1" w:rsidP="00931B50">
            <w:pPr>
              <w:spacing w:before="40" w:after="120"/>
              <w:ind w:right="113"/>
            </w:pPr>
            <w:r w:rsidRPr="00B713EE">
              <w:t>Juin 2017</w:t>
            </w:r>
          </w:p>
        </w:tc>
      </w:tr>
      <w:tr w:rsidR="00CD04C1" w:rsidRPr="00B713EE" w:rsidTr="00FE6535">
        <w:trPr>
          <w:cantSplit/>
          <w:jc w:val="center"/>
        </w:trPr>
        <w:tc>
          <w:tcPr>
            <w:tcW w:w="709" w:type="dxa"/>
            <w:shd w:val="clear" w:color="auto" w:fill="auto"/>
          </w:tcPr>
          <w:p w:rsidR="00CD04C1" w:rsidRPr="00B713EE" w:rsidRDefault="00CD04C1" w:rsidP="00931B50">
            <w:pPr>
              <w:spacing w:before="40" w:after="120"/>
              <w:ind w:right="113"/>
              <w:rPr>
                <w:bCs/>
              </w:rPr>
            </w:pPr>
          </w:p>
        </w:tc>
        <w:tc>
          <w:tcPr>
            <w:tcW w:w="4678" w:type="dxa"/>
            <w:shd w:val="clear" w:color="auto" w:fill="auto"/>
          </w:tcPr>
          <w:p w:rsidR="00CD04C1" w:rsidRPr="00B713EE" w:rsidRDefault="00CD04C1" w:rsidP="00931B50">
            <w:pPr>
              <w:spacing w:before="40" w:after="120"/>
              <w:ind w:right="113"/>
            </w:pPr>
            <w:r w:rsidRPr="00B713EE">
              <w:t>Groupe de travail de l</w:t>
            </w:r>
            <w:r w:rsidR="007C2F80">
              <w:t>’</w:t>
            </w:r>
            <w:r w:rsidRPr="00B713EE">
              <w:t>exécution des obligations</w:t>
            </w:r>
          </w:p>
        </w:tc>
        <w:tc>
          <w:tcPr>
            <w:tcW w:w="1559" w:type="dxa"/>
            <w:shd w:val="clear" w:color="auto" w:fill="auto"/>
          </w:tcPr>
          <w:p w:rsidR="00CD04C1" w:rsidRPr="00B713EE" w:rsidRDefault="004B16FD" w:rsidP="00931B50">
            <w:pPr>
              <w:spacing w:before="40" w:after="120"/>
              <w:ind w:right="113"/>
            </w:pPr>
            <w:r>
              <w:t>M. </w:t>
            </w:r>
            <w:r w:rsidR="00CD04C1" w:rsidRPr="00B713EE">
              <w:t>E. Wondimneh</w:t>
            </w:r>
          </w:p>
        </w:tc>
        <w:tc>
          <w:tcPr>
            <w:tcW w:w="1418" w:type="dxa"/>
            <w:shd w:val="clear" w:color="auto" w:fill="auto"/>
          </w:tcPr>
          <w:p w:rsidR="00CD04C1" w:rsidRPr="00B713EE" w:rsidRDefault="00CD04C1" w:rsidP="00931B50">
            <w:pPr>
              <w:spacing w:before="40" w:after="120"/>
              <w:ind w:right="113"/>
            </w:pPr>
            <w:r w:rsidRPr="00B713EE">
              <w:t>États-Unis d</w:t>
            </w:r>
            <w:r w:rsidR="007C2F80">
              <w:t>’</w:t>
            </w:r>
            <w:r w:rsidRPr="00B713EE">
              <w:t xml:space="preserve">Amérique </w:t>
            </w:r>
          </w:p>
        </w:tc>
        <w:tc>
          <w:tcPr>
            <w:tcW w:w="1295" w:type="dxa"/>
          </w:tcPr>
          <w:p w:rsidR="00CD04C1" w:rsidRPr="00B713EE" w:rsidRDefault="00CD04C1" w:rsidP="00931B50">
            <w:pPr>
              <w:spacing w:before="40" w:after="120"/>
              <w:ind w:right="113"/>
            </w:pPr>
            <w:r w:rsidRPr="00B713EE">
              <w:t>2018</w:t>
            </w:r>
          </w:p>
        </w:tc>
      </w:tr>
      <w:tr w:rsidR="00CD04C1" w:rsidRPr="00B713EE" w:rsidTr="00FE6535">
        <w:trPr>
          <w:cantSplit/>
          <w:jc w:val="center"/>
        </w:trPr>
        <w:tc>
          <w:tcPr>
            <w:tcW w:w="709" w:type="dxa"/>
            <w:shd w:val="clear" w:color="auto" w:fill="auto"/>
          </w:tcPr>
          <w:p w:rsidR="00CD04C1" w:rsidRPr="00B713EE" w:rsidRDefault="00CD04C1" w:rsidP="00931B50">
            <w:pPr>
              <w:spacing w:before="40" w:after="120"/>
              <w:ind w:right="113"/>
              <w:rPr>
                <w:bCs/>
              </w:rPr>
            </w:pPr>
          </w:p>
        </w:tc>
        <w:tc>
          <w:tcPr>
            <w:tcW w:w="4678" w:type="dxa"/>
            <w:shd w:val="clear" w:color="auto" w:fill="auto"/>
          </w:tcPr>
          <w:p w:rsidR="00CD04C1" w:rsidRPr="00B713EE" w:rsidRDefault="00CD04C1" w:rsidP="00931B50">
            <w:pPr>
              <w:spacing w:before="40" w:after="120"/>
              <w:ind w:right="113"/>
            </w:pPr>
            <w:r w:rsidRPr="00B713EE">
              <w:t>Contrôle technique périodique (PTI)</w:t>
            </w:r>
          </w:p>
        </w:tc>
        <w:tc>
          <w:tcPr>
            <w:tcW w:w="1559" w:type="dxa"/>
            <w:shd w:val="clear" w:color="auto" w:fill="auto"/>
          </w:tcPr>
          <w:p w:rsidR="00CD04C1" w:rsidRPr="00567416" w:rsidRDefault="004B16FD" w:rsidP="00931B50">
            <w:pPr>
              <w:spacing w:before="40" w:after="120"/>
              <w:ind w:right="113"/>
              <w:rPr>
                <w:lang w:val="en-US"/>
              </w:rPr>
            </w:pPr>
            <w:r>
              <w:rPr>
                <w:lang w:val="en-US"/>
              </w:rPr>
              <w:t>M. </w:t>
            </w:r>
            <w:r w:rsidR="00CD04C1" w:rsidRPr="00567416">
              <w:rPr>
                <w:lang w:val="en-US"/>
              </w:rPr>
              <w:t>P. Striekwold</w:t>
            </w:r>
            <w:r w:rsidR="00CD04C1" w:rsidRPr="00567416">
              <w:rPr>
                <w:lang w:val="en-US"/>
              </w:rPr>
              <w:br/>
            </w:r>
            <w:r>
              <w:rPr>
                <w:lang w:val="en-US"/>
              </w:rPr>
              <w:t>M. </w:t>
            </w:r>
            <w:r w:rsidR="00CD04C1" w:rsidRPr="00567416">
              <w:rPr>
                <w:lang w:val="en-US"/>
              </w:rPr>
              <w:t>V. Komarov</w:t>
            </w:r>
          </w:p>
        </w:tc>
        <w:tc>
          <w:tcPr>
            <w:tcW w:w="1418" w:type="dxa"/>
            <w:shd w:val="clear" w:color="auto" w:fill="auto"/>
          </w:tcPr>
          <w:p w:rsidR="00903788" w:rsidRPr="00B713EE" w:rsidRDefault="00CD04C1" w:rsidP="00931B50">
            <w:pPr>
              <w:spacing w:before="40" w:after="120"/>
              <w:ind w:right="113"/>
            </w:pPr>
            <w:r w:rsidRPr="00B713EE">
              <w:t>Pays-Bas</w:t>
            </w:r>
            <w:r w:rsidR="00903788">
              <w:br/>
              <w:t>Russie</w:t>
            </w:r>
          </w:p>
        </w:tc>
        <w:tc>
          <w:tcPr>
            <w:tcW w:w="1295" w:type="dxa"/>
          </w:tcPr>
          <w:p w:rsidR="00CD04C1" w:rsidRPr="00B713EE" w:rsidRDefault="00CD04C1" w:rsidP="00931B50">
            <w:pPr>
              <w:spacing w:before="40" w:after="120"/>
              <w:ind w:right="113"/>
            </w:pPr>
            <w:r w:rsidRPr="00B713EE">
              <w:t>Novembre 2017</w:t>
            </w:r>
          </w:p>
        </w:tc>
      </w:tr>
      <w:tr w:rsidR="00CD04C1" w:rsidRPr="00B713EE" w:rsidTr="00FE6535">
        <w:trPr>
          <w:cantSplit/>
          <w:jc w:val="center"/>
        </w:trPr>
        <w:tc>
          <w:tcPr>
            <w:tcW w:w="709" w:type="dxa"/>
            <w:shd w:val="clear" w:color="auto" w:fill="auto"/>
          </w:tcPr>
          <w:p w:rsidR="00CD04C1" w:rsidRPr="00B713EE" w:rsidRDefault="00CD04C1" w:rsidP="00931B50">
            <w:pPr>
              <w:spacing w:before="40" w:after="120"/>
              <w:ind w:right="113"/>
              <w:rPr>
                <w:b/>
                <w:bCs/>
              </w:rPr>
            </w:pPr>
            <w:r w:rsidRPr="00B713EE">
              <w:rPr>
                <w:b/>
                <w:bCs/>
              </w:rPr>
              <w:t>GRB</w:t>
            </w:r>
          </w:p>
        </w:tc>
        <w:tc>
          <w:tcPr>
            <w:tcW w:w="4678" w:type="dxa"/>
            <w:shd w:val="clear" w:color="auto" w:fill="auto"/>
          </w:tcPr>
          <w:p w:rsidR="00CD04C1" w:rsidRPr="00B713EE" w:rsidRDefault="00CD04C1" w:rsidP="00931B50">
            <w:pPr>
              <w:spacing w:before="40" w:after="120"/>
              <w:ind w:right="113"/>
              <w:rPr>
                <w:b/>
                <w:bCs/>
              </w:rPr>
            </w:pPr>
            <w:r w:rsidRPr="00B713EE">
              <w:rPr>
                <w:b/>
                <w:bCs/>
              </w:rPr>
              <w:t>Bruit</w:t>
            </w:r>
          </w:p>
        </w:tc>
        <w:tc>
          <w:tcPr>
            <w:tcW w:w="1559" w:type="dxa"/>
            <w:shd w:val="clear" w:color="auto" w:fill="auto"/>
          </w:tcPr>
          <w:p w:rsidR="00CD04C1" w:rsidRPr="00B713EE" w:rsidRDefault="004B16FD" w:rsidP="00931B50">
            <w:pPr>
              <w:spacing w:before="40" w:after="120"/>
              <w:ind w:right="113"/>
              <w:rPr>
                <w:b/>
                <w:bCs/>
              </w:rPr>
            </w:pPr>
            <w:r>
              <w:rPr>
                <w:b/>
                <w:bCs/>
              </w:rPr>
              <w:t>M. </w:t>
            </w:r>
            <w:r w:rsidR="00CD04C1" w:rsidRPr="00B713EE">
              <w:rPr>
                <w:b/>
                <w:bCs/>
              </w:rPr>
              <w:t>S. Ficheux</w:t>
            </w:r>
            <w:r w:rsidR="00CD04C1" w:rsidRPr="00B713EE">
              <w:rPr>
                <w:b/>
                <w:bCs/>
              </w:rPr>
              <w:br/>
            </w:r>
            <w:r>
              <w:rPr>
                <w:b/>
                <w:bCs/>
              </w:rPr>
              <w:t>M. </w:t>
            </w:r>
            <w:r w:rsidR="00CD04C1" w:rsidRPr="00B713EE">
              <w:rPr>
                <w:b/>
                <w:bCs/>
              </w:rPr>
              <w:t>A. Bocharov</w:t>
            </w:r>
          </w:p>
        </w:tc>
        <w:tc>
          <w:tcPr>
            <w:tcW w:w="1418" w:type="dxa"/>
            <w:shd w:val="clear" w:color="auto" w:fill="auto"/>
          </w:tcPr>
          <w:p w:rsidR="00CD04C1" w:rsidRPr="00B713EE" w:rsidRDefault="00CD04C1" w:rsidP="00931B50">
            <w:pPr>
              <w:spacing w:before="40" w:after="120"/>
              <w:ind w:right="113"/>
              <w:rPr>
                <w:b/>
                <w:bCs/>
              </w:rPr>
            </w:pPr>
            <w:r w:rsidRPr="00B713EE">
              <w:rPr>
                <w:b/>
                <w:bCs/>
              </w:rPr>
              <w:t>France</w:t>
            </w:r>
            <w:r w:rsidRPr="00B713EE">
              <w:rPr>
                <w:b/>
                <w:bCs/>
              </w:rPr>
              <w:br/>
              <w:t>Russie</w:t>
            </w:r>
          </w:p>
        </w:tc>
        <w:tc>
          <w:tcPr>
            <w:tcW w:w="1295" w:type="dxa"/>
          </w:tcPr>
          <w:p w:rsidR="00CD04C1" w:rsidRPr="00B713EE" w:rsidRDefault="00CD04C1" w:rsidP="00931B50">
            <w:pPr>
              <w:spacing w:before="40" w:after="120"/>
              <w:ind w:right="113"/>
              <w:rPr>
                <w:bCs/>
              </w:rPr>
            </w:pPr>
            <w:r w:rsidRPr="00B713EE">
              <w:rPr>
                <w:bCs/>
              </w:rPr>
              <w:t>2018</w:t>
            </w:r>
          </w:p>
        </w:tc>
      </w:tr>
      <w:tr w:rsidR="00CD04C1" w:rsidRPr="00B713EE" w:rsidTr="00FE6535">
        <w:trPr>
          <w:cantSplit/>
          <w:jc w:val="center"/>
        </w:trPr>
        <w:tc>
          <w:tcPr>
            <w:tcW w:w="709" w:type="dxa"/>
            <w:shd w:val="clear" w:color="auto" w:fill="auto"/>
          </w:tcPr>
          <w:p w:rsidR="00CD04C1" w:rsidRPr="00B713EE" w:rsidRDefault="00CD04C1" w:rsidP="00931B50">
            <w:pPr>
              <w:spacing w:before="40" w:after="120"/>
              <w:ind w:right="113"/>
              <w:rPr>
                <w:bCs/>
              </w:rPr>
            </w:pPr>
          </w:p>
        </w:tc>
        <w:tc>
          <w:tcPr>
            <w:tcW w:w="4678" w:type="dxa"/>
            <w:shd w:val="clear" w:color="auto" w:fill="auto"/>
          </w:tcPr>
          <w:p w:rsidR="00CD04C1" w:rsidRPr="00B713EE" w:rsidRDefault="00CD04C1" w:rsidP="00931B50">
            <w:pPr>
              <w:spacing w:before="40" w:after="120"/>
              <w:ind w:right="113"/>
            </w:pPr>
            <w:r w:rsidRPr="00B713EE">
              <w:t>Véhicules à moteur silencieux (RTM sur les QRTV)</w:t>
            </w:r>
          </w:p>
        </w:tc>
        <w:tc>
          <w:tcPr>
            <w:tcW w:w="1559" w:type="dxa"/>
            <w:shd w:val="clear" w:color="auto" w:fill="auto"/>
          </w:tcPr>
          <w:p w:rsidR="00CD04C1" w:rsidRPr="00567416" w:rsidRDefault="004B16FD" w:rsidP="00931B50">
            <w:pPr>
              <w:spacing w:before="40" w:after="120"/>
              <w:ind w:right="113"/>
              <w:rPr>
                <w:lang w:val="en-US"/>
              </w:rPr>
            </w:pPr>
            <w:r w:rsidRPr="00117E1F">
              <w:rPr>
                <w:lang w:val="en-US"/>
              </w:rPr>
              <w:t>M. </w:t>
            </w:r>
            <w:r w:rsidR="00CD04C1" w:rsidRPr="00567416">
              <w:rPr>
                <w:lang w:val="en-US"/>
              </w:rPr>
              <w:t>E. Wondimneh</w:t>
            </w:r>
            <w:r w:rsidR="00CD04C1" w:rsidRPr="00567416">
              <w:rPr>
                <w:lang w:val="en-US"/>
              </w:rPr>
              <w:br/>
            </w:r>
            <w:r>
              <w:rPr>
                <w:lang w:val="en-US"/>
              </w:rPr>
              <w:t>M. </w:t>
            </w:r>
            <w:r w:rsidR="00CD04C1" w:rsidRPr="00567416">
              <w:rPr>
                <w:lang w:val="en-US"/>
              </w:rPr>
              <w:t xml:space="preserve">I. Sakamoto </w:t>
            </w:r>
          </w:p>
        </w:tc>
        <w:tc>
          <w:tcPr>
            <w:tcW w:w="1418" w:type="dxa"/>
            <w:shd w:val="clear" w:color="auto" w:fill="auto"/>
          </w:tcPr>
          <w:p w:rsidR="00CD04C1" w:rsidRPr="00B713EE" w:rsidRDefault="00CD04C1" w:rsidP="00931B50">
            <w:pPr>
              <w:spacing w:before="40" w:after="120"/>
              <w:ind w:right="113"/>
            </w:pPr>
            <w:r w:rsidRPr="00B713EE">
              <w:t>États-Unis d</w:t>
            </w:r>
            <w:r w:rsidR="007C2F80">
              <w:t>’</w:t>
            </w:r>
            <w:r w:rsidRPr="00B713EE">
              <w:t xml:space="preserve">Amérique </w:t>
            </w:r>
            <w:r w:rsidR="00903788">
              <w:br/>
              <w:t>Japon</w:t>
            </w:r>
          </w:p>
        </w:tc>
        <w:tc>
          <w:tcPr>
            <w:tcW w:w="1295" w:type="dxa"/>
          </w:tcPr>
          <w:p w:rsidR="00CD04C1" w:rsidRPr="00B713EE" w:rsidRDefault="00CD04C1" w:rsidP="00931B50">
            <w:pPr>
              <w:spacing w:before="40" w:after="120"/>
              <w:ind w:right="113"/>
            </w:pPr>
            <w:r w:rsidRPr="00B713EE">
              <w:t>Décembre 2016</w:t>
            </w:r>
          </w:p>
        </w:tc>
      </w:tr>
      <w:tr w:rsidR="00CD04C1" w:rsidRPr="00B713EE" w:rsidTr="00FE6535">
        <w:trPr>
          <w:cantSplit/>
          <w:jc w:val="center"/>
        </w:trPr>
        <w:tc>
          <w:tcPr>
            <w:tcW w:w="709" w:type="dxa"/>
            <w:shd w:val="clear" w:color="auto" w:fill="auto"/>
          </w:tcPr>
          <w:p w:rsidR="00CD04C1" w:rsidRPr="00B713EE" w:rsidRDefault="00CD04C1" w:rsidP="00931B50">
            <w:pPr>
              <w:spacing w:before="40" w:after="120"/>
              <w:ind w:right="113"/>
              <w:rPr>
                <w:bCs/>
              </w:rPr>
            </w:pPr>
          </w:p>
        </w:tc>
        <w:tc>
          <w:tcPr>
            <w:tcW w:w="4678" w:type="dxa"/>
            <w:shd w:val="clear" w:color="auto" w:fill="auto"/>
          </w:tcPr>
          <w:p w:rsidR="00CD04C1" w:rsidRPr="00B713EE" w:rsidRDefault="00CD04C1" w:rsidP="00931B50">
            <w:pPr>
              <w:spacing w:before="40" w:after="120"/>
              <w:ind w:right="113"/>
            </w:pPr>
            <w:r w:rsidRPr="00B713EE">
              <w:t>Véhicules à moteur silencieux (Règlement sur les VAMS)</w:t>
            </w:r>
          </w:p>
        </w:tc>
        <w:tc>
          <w:tcPr>
            <w:tcW w:w="1559" w:type="dxa"/>
            <w:shd w:val="clear" w:color="auto" w:fill="auto"/>
          </w:tcPr>
          <w:p w:rsidR="00CD04C1" w:rsidRPr="00567416" w:rsidRDefault="004B16FD" w:rsidP="00931B50">
            <w:pPr>
              <w:spacing w:before="40" w:after="120"/>
              <w:ind w:right="113"/>
              <w:rPr>
                <w:lang w:val="en-US"/>
              </w:rPr>
            </w:pPr>
            <w:r>
              <w:rPr>
                <w:lang w:val="en-US"/>
              </w:rPr>
              <w:t>M. </w:t>
            </w:r>
            <w:r w:rsidR="00CD04C1" w:rsidRPr="00567416">
              <w:rPr>
                <w:lang w:val="en-US"/>
              </w:rPr>
              <w:t>B. Schüttler</w:t>
            </w:r>
            <w:r w:rsidR="00CD04C1" w:rsidRPr="00567416">
              <w:rPr>
                <w:lang w:val="en-US"/>
              </w:rPr>
              <w:br/>
            </w:r>
            <w:r>
              <w:rPr>
                <w:lang w:val="en-US"/>
              </w:rPr>
              <w:t>M. </w:t>
            </w:r>
            <w:r w:rsidR="00CD04C1" w:rsidRPr="00567416">
              <w:rPr>
                <w:lang w:val="en-US"/>
              </w:rPr>
              <w:t xml:space="preserve">L.-F. Pardo </w:t>
            </w:r>
            <w:r w:rsidR="00CD04C1" w:rsidRPr="00567416">
              <w:rPr>
                <w:lang w:val="en-US"/>
              </w:rPr>
              <w:br/>
            </w:r>
            <w:r>
              <w:rPr>
                <w:lang w:val="en-US"/>
              </w:rPr>
              <w:t>M. </w:t>
            </w:r>
            <w:r w:rsidR="00CD04C1" w:rsidRPr="00567416">
              <w:rPr>
                <w:lang w:val="en-US"/>
              </w:rPr>
              <w:t xml:space="preserve">I. Sakamoto </w:t>
            </w:r>
          </w:p>
        </w:tc>
        <w:tc>
          <w:tcPr>
            <w:tcW w:w="1418" w:type="dxa"/>
            <w:shd w:val="clear" w:color="auto" w:fill="auto"/>
          </w:tcPr>
          <w:p w:rsidR="00CD04C1" w:rsidRPr="00B713EE" w:rsidRDefault="00CD04C1" w:rsidP="00931B50">
            <w:pPr>
              <w:spacing w:before="40" w:after="120"/>
              <w:ind w:right="113"/>
            </w:pPr>
            <w:r w:rsidRPr="00B713EE">
              <w:t>Allemagne</w:t>
            </w:r>
            <w:r w:rsidRPr="00B713EE">
              <w:br/>
              <w:t>France</w:t>
            </w:r>
            <w:r w:rsidRPr="00B713EE">
              <w:br/>
              <w:t>Japon</w:t>
            </w:r>
          </w:p>
        </w:tc>
        <w:tc>
          <w:tcPr>
            <w:tcW w:w="1295" w:type="dxa"/>
          </w:tcPr>
          <w:p w:rsidR="00CD04C1" w:rsidRPr="00B713EE" w:rsidRDefault="00CD04C1" w:rsidP="00931B50">
            <w:pPr>
              <w:spacing w:before="40" w:after="120"/>
              <w:ind w:right="113"/>
            </w:pPr>
            <w:r w:rsidRPr="00B713EE">
              <w:t>Septembre</w:t>
            </w:r>
            <w:r w:rsidR="009A2D64">
              <w:t xml:space="preserve"> </w:t>
            </w:r>
            <w:r w:rsidRPr="00B713EE">
              <w:t>2017</w:t>
            </w:r>
          </w:p>
        </w:tc>
      </w:tr>
      <w:tr w:rsidR="00CD04C1" w:rsidRPr="00B713EE" w:rsidTr="00FE6535">
        <w:trPr>
          <w:cantSplit/>
          <w:jc w:val="center"/>
        </w:trPr>
        <w:tc>
          <w:tcPr>
            <w:tcW w:w="709" w:type="dxa"/>
            <w:shd w:val="clear" w:color="auto" w:fill="auto"/>
          </w:tcPr>
          <w:p w:rsidR="00CD04C1" w:rsidRPr="00B713EE" w:rsidRDefault="00CD04C1" w:rsidP="00931B50">
            <w:pPr>
              <w:spacing w:before="40" w:after="120"/>
              <w:ind w:right="113"/>
              <w:rPr>
                <w:b/>
                <w:bCs/>
              </w:rPr>
            </w:pPr>
            <w:r w:rsidRPr="00B713EE">
              <w:rPr>
                <w:b/>
                <w:bCs/>
              </w:rPr>
              <w:t>GRE</w:t>
            </w:r>
          </w:p>
        </w:tc>
        <w:tc>
          <w:tcPr>
            <w:tcW w:w="4678" w:type="dxa"/>
            <w:shd w:val="clear" w:color="auto" w:fill="auto"/>
          </w:tcPr>
          <w:p w:rsidR="00CD04C1" w:rsidRPr="00B713EE" w:rsidRDefault="00CD04C1" w:rsidP="00931B50">
            <w:pPr>
              <w:spacing w:before="40" w:after="120"/>
              <w:ind w:right="113"/>
              <w:rPr>
                <w:b/>
                <w:bCs/>
              </w:rPr>
            </w:pPr>
            <w:r w:rsidRPr="00B713EE">
              <w:rPr>
                <w:b/>
                <w:bCs/>
              </w:rPr>
              <w:t>Éclairage et signalisation lumineuse</w:t>
            </w:r>
          </w:p>
        </w:tc>
        <w:tc>
          <w:tcPr>
            <w:tcW w:w="1559" w:type="dxa"/>
            <w:shd w:val="clear" w:color="auto" w:fill="auto"/>
          </w:tcPr>
          <w:p w:rsidR="00CD04C1" w:rsidRPr="00B713EE" w:rsidRDefault="004B16FD" w:rsidP="00931B50">
            <w:pPr>
              <w:spacing w:before="40" w:after="120"/>
              <w:ind w:right="113"/>
              <w:rPr>
                <w:b/>
                <w:bCs/>
              </w:rPr>
            </w:pPr>
            <w:r>
              <w:rPr>
                <w:b/>
                <w:bCs/>
              </w:rPr>
              <w:t>M. M. </w:t>
            </w:r>
            <w:r w:rsidR="00CD04C1" w:rsidRPr="00B713EE">
              <w:rPr>
                <w:b/>
                <w:bCs/>
              </w:rPr>
              <w:t>Loccufier</w:t>
            </w:r>
            <w:r w:rsidR="00CD04C1" w:rsidRPr="00B713EE">
              <w:rPr>
                <w:b/>
                <w:bCs/>
              </w:rPr>
              <w:br/>
            </w:r>
            <w:r>
              <w:rPr>
                <w:b/>
                <w:bCs/>
              </w:rPr>
              <w:t>M. </w:t>
            </w:r>
            <w:r w:rsidR="00CD04C1" w:rsidRPr="00B713EE">
              <w:rPr>
                <w:b/>
                <w:bCs/>
              </w:rPr>
              <w:t>D. Rovers</w:t>
            </w:r>
          </w:p>
        </w:tc>
        <w:tc>
          <w:tcPr>
            <w:tcW w:w="1418" w:type="dxa"/>
            <w:shd w:val="clear" w:color="auto" w:fill="auto"/>
          </w:tcPr>
          <w:p w:rsidR="00CD04C1" w:rsidRPr="00B713EE" w:rsidRDefault="00CD04C1" w:rsidP="00931B50">
            <w:pPr>
              <w:spacing w:before="40" w:after="120"/>
              <w:ind w:right="113"/>
              <w:rPr>
                <w:b/>
                <w:bCs/>
              </w:rPr>
            </w:pPr>
            <w:r w:rsidRPr="00B713EE">
              <w:rPr>
                <w:b/>
                <w:bCs/>
              </w:rPr>
              <w:t>Belgique</w:t>
            </w:r>
            <w:r w:rsidRPr="00B713EE">
              <w:rPr>
                <w:b/>
                <w:bCs/>
              </w:rPr>
              <w:br/>
              <w:t>Pays-Bas</w:t>
            </w:r>
          </w:p>
        </w:tc>
        <w:tc>
          <w:tcPr>
            <w:tcW w:w="1295" w:type="dxa"/>
          </w:tcPr>
          <w:p w:rsidR="00CD04C1" w:rsidRPr="00B713EE" w:rsidRDefault="00CD04C1" w:rsidP="00931B50">
            <w:pPr>
              <w:spacing w:before="40" w:after="120"/>
              <w:ind w:right="113"/>
              <w:rPr>
                <w:bCs/>
              </w:rPr>
            </w:pPr>
            <w:r w:rsidRPr="00B713EE">
              <w:rPr>
                <w:bCs/>
              </w:rPr>
              <w:t>2018</w:t>
            </w:r>
          </w:p>
        </w:tc>
      </w:tr>
      <w:tr w:rsidR="00CD04C1" w:rsidRPr="00B713EE" w:rsidTr="00FE6535">
        <w:trPr>
          <w:cantSplit/>
          <w:jc w:val="center"/>
        </w:trPr>
        <w:tc>
          <w:tcPr>
            <w:tcW w:w="709" w:type="dxa"/>
            <w:shd w:val="clear" w:color="auto" w:fill="auto"/>
          </w:tcPr>
          <w:p w:rsidR="00CD04C1" w:rsidRPr="00B713EE" w:rsidRDefault="00CD04C1" w:rsidP="00931B50">
            <w:pPr>
              <w:spacing w:before="40" w:after="120"/>
              <w:ind w:right="113"/>
              <w:rPr>
                <w:b/>
                <w:bCs/>
              </w:rPr>
            </w:pPr>
          </w:p>
        </w:tc>
        <w:tc>
          <w:tcPr>
            <w:tcW w:w="4678" w:type="dxa"/>
            <w:shd w:val="clear" w:color="auto" w:fill="auto"/>
          </w:tcPr>
          <w:p w:rsidR="00CD04C1" w:rsidRPr="00B713EE" w:rsidRDefault="00CD04C1" w:rsidP="00931B50">
            <w:pPr>
              <w:spacing w:before="40" w:after="120"/>
              <w:ind w:right="113"/>
              <w:rPr>
                <w:b/>
                <w:bCs/>
              </w:rPr>
            </w:pPr>
            <w:r w:rsidRPr="00B713EE">
              <w:t>Simplification des Règlements relatifs à l</w:t>
            </w:r>
            <w:r w:rsidR="007C2F80">
              <w:t>’</w:t>
            </w:r>
            <w:r w:rsidRPr="00B713EE">
              <w:t>éclairage et à la signalisation lumineuse (SRE)</w:t>
            </w:r>
          </w:p>
        </w:tc>
        <w:tc>
          <w:tcPr>
            <w:tcW w:w="1559" w:type="dxa"/>
            <w:shd w:val="clear" w:color="auto" w:fill="auto"/>
          </w:tcPr>
          <w:p w:rsidR="00CD04C1" w:rsidRPr="00B713EE" w:rsidRDefault="004B16FD" w:rsidP="00931B50">
            <w:pPr>
              <w:spacing w:before="40" w:after="120"/>
              <w:ind w:right="113"/>
              <w:rPr>
                <w:b/>
                <w:bCs/>
              </w:rPr>
            </w:pPr>
            <w:r>
              <w:rPr>
                <w:b/>
                <w:bCs/>
              </w:rPr>
              <w:t>M. M. </w:t>
            </w:r>
            <w:r w:rsidR="00CD04C1" w:rsidRPr="00B713EE">
              <w:rPr>
                <w:b/>
                <w:bCs/>
              </w:rPr>
              <w:t>Loccufier</w:t>
            </w:r>
          </w:p>
        </w:tc>
        <w:tc>
          <w:tcPr>
            <w:tcW w:w="1418" w:type="dxa"/>
            <w:shd w:val="clear" w:color="auto" w:fill="auto"/>
          </w:tcPr>
          <w:p w:rsidR="00CD04C1" w:rsidRPr="00B713EE" w:rsidRDefault="00CD04C1" w:rsidP="00931B50">
            <w:pPr>
              <w:spacing w:before="40" w:after="120"/>
              <w:ind w:right="113"/>
              <w:rPr>
                <w:b/>
                <w:bCs/>
              </w:rPr>
            </w:pPr>
            <w:r w:rsidRPr="00B713EE">
              <w:rPr>
                <w:b/>
                <w:bCs/>
              </w:rPr>
              <w:t>Belgique</w:t>
            </w:r>
          </w:p>
        </w:tc>
        <w:tc>
          <w:tcPr>
            <w:tcW w:w="1295" w:type="dxa"/>
          </w:tcPr>
          <w:p w:rsidR="00CD04C1" w:rsidRPr="00B713EE" w:rsidRDefault="00CD04C1" w:rsidP="00931B50">
            <w:pPr>
              <w:spacing w:before="40" w:after="120"/>
              <w:ind w:right="113"/>
              <w:rPr>
                <w:bCs/>
              </w:rPr>
            </w:pPr>
            <w:r w:rsidRPr="00B713EE">
              <w:rPr>
                <w:bCs/>
              </w:rPr>
              <w:t xml:space="preserve">2018 </w:t>
            </w:r>
          </w:p>
        </w:tc>
      </w:tr>
      <w:tr w:rsidR="00CD04C1" w:rsidRPr="00B713EE" w:rsidTr="00FE6535">
        <w:trPr>
          <w:cantSplit/>
          <w:jc w:val="center"/>
        </w:trPr>
        <w:tc>
          <w:tcPr>
            <w:tcW w:w="709" w:type="dxa"/>
            <w:shd w:val="clear" w:color="auto" w:fill="auto"/>
          </w:tcPr>
          <w:p w:rsidR="00CD04C1" w:rsidRPr="00B713EE" w:rsidRDefault="00CD04C1" w:rsidP="00931B50">
            <w:pPr>
              <w:spacing w:before="40" w:after="120"/>
              <w:ind w:right="113"/>
              <w:rPr>
                <w:b/>
                <w:bCs/>
              </w:rPr>
            </w:pPr>
          </w:p>
        </w:tc>
        <w:tc>
          <w:tcPr>
            <w:tcW w:w="4678" w:type="dxa"/>
            <w:shd w:val="clear" w:color="auto" w:fill="auto"/>
          </w:tcPr>
          <w:p w:rsidR="00CD04C1" w:rsidRPr="00B713EE" w:rsidRDefault="00CD04C1" w:rsidP="00931B50">
            <w:pPr>
              <w:spacing w:before="40" w:after="120"/>
              <w:ind w:right="113"/>
            </w:pPr>
            <w:r w:rsidRPr="00B713EE">
              <w:t>Visibilité, éblouissement et réglage</w:t>
            </w:r>
          </w:p>
        </w:tc>
        <w:tc>
          <w:tcPr>
            <w:tcW w:w="1559" w:type="dxa"/>
            <w:shd w:val="clear" w:color="auto" w:fill="auto"/>
          </w:tcPr>
          <w:p w:rsidR="00CD04C1" w:rsidRPr="00B713EE" w:rsidRDefault="004B16FD" w:rsidP="00931B50">
            <w:pPr>
              <w:spacing w:before="40" w:after="120"/>
              <w:ind w:right="113"/>
              <w:rPr>
                <w:bCs/>
              </w:rPr>
            </w:pPr>
            <w:r>
              <w:rPr>
                <w:bCs/>
              </w:rPr>
              <w:t>M. </w:t>
            </w:r>
            <w:r w:rsidR="00CD04C1" w:rsidRPr="00B713EE">
              <w:rPr>
                <w:bCs/>
              </w:rPr>
              <w:t>T. Targosinski</w:t>
            </w:r>
          </w:p>
        </w:tc>
        <w:tc>
          <w:tcPr>
            <w:tcW w:w="1418" w:type="dxa"/>
            <w:shd w:val="clear" w:color="auto" w:fill="auto"/>
          </w:tcPr>
          <w:p w:rsidR="00CD04C1" w:rsidRPr="00B713EE" w:rsidRDefault="00CD04C1" w:rsidP="00931B50">
            <w:pPr>
              <w:spacing w:before="40" w:after="120"/>
              <w:ind w:right="113"/>
              <w:rPr>
                <w:bCs/>
              </w:rPr>
            </w:pPr>
            <w:r w:rsidRPr="00B713EE">
              <w:rPr>
                <w:bCs/>
              </w:rPr>
              <w:t>Pologne</w:t>
            </w:r>
          </w:p>
        </w:tc>
        <w:tc>
          <w:tcPr>
            <w:tcW w:w="1295" w:type="dxa"/>
          </w:tcPr>
          <w:p w:rsidR="00CD04C1" w:rsidRPr="00B713EE" w:rsidRDefault="00CD04C1" w:rsidP="00931B50">
            <w:pPr>
              <w:spacing w:before="40" w:after="120"/>
              <w:ind w:right="113"/>
              <w:rPr>
                <w:bCs/>
              </w:rPr>
            </w:pPr>
            <w:r w:rsidRPr="00B713EE">
              <w:rPr>
                <w:bCs/>
              </w:rPr>
              <w:t>Novembre 2017</w:t>
            </w:r>
          </w:p>
        </w:tc>
      </w:tr>
      <w:tr w:rsidR="00CD04C1" w:rsidRPr="00B713EE" w:rsidTr="00FE6535">
        <w:trPr>
          <w:cantSplit/>
          <w:jc w:val="center"/>
        </w:trPr>
        <w:tc>
          <w:tcPr>
            <w:tcW w:w="709" w:type="dxa"/>
            <w:shd w:val="clear" w:color="auto" w:fill="auto"/>
          </w:tcPr>
          <w:p w:rsidR="00CD04C1" w:rsidRPr="00B713EE" w:rsidRDefault="00CD04C1" w:rsidP="00931B50">
            <w:pPr>
              <w:spacing w:before="40" w:after="120"/>
              <w:ind w:right="113"/>
              <w:rPr>
                <w:b/>
                <w:bCs/>
              </w:rPr>
            </w:pPr>
            <w:r w:rsidRPr="00B713EE">
              <w:rPr>
                <w:b/>
                <w:bCs/>
              </w:rPr>
              <w:t>GRPE</w:t>
            </w:r>
          </w:p>
        </w:tc>
        <w:tc>
          <w:tcPr>
            <w:tcW w:w="4678" w:type="dxa"/>
            <w:shd w:val="clear" w:color="auto" w:fill="auto"/>
          </w:tcPr>
          <w:p w:rsidR="00CD04C1" w:rsidRPr="00B713EE" w:rsidRDefault="00CD04C1" w:rsidP="00931B50">
            <w:pPr>
              <w:spacing w:before="40" w:after="120"/>
              <w:ind w:right="113"/>
              <w:rPr>
                <w:b/>
                <w:bCs/>
              </w:rPr>
            </w:pPr>
            <w:r w:rsidRPr="00B713EE">
              <w:rPr>
                <w:b/>
                <w:bCs/>
              </w:rPr>
              <w:t>Pollution et énergie</w:t>
            </w:r>
          </w:p>
        </w:tc>
        <w:tc>
          <w:tcPr>
            <w:tcW w:w="1559" w:type="dxa"/>
            <w:shd w:val="clear" w:color="auto" w:fill="auto"/>
          </w:tcPr>
          <w:p w:rsidR="00CD04C1" w:rsidRPr="00B713EE" w:rsidRDefault="004B16FD" w:rsidP="00931B50">
            <w:pPr>
              <w:spacing w:before="40" w:after="120"/>
              <w:ind w:right="113"/>
              <w:rPr>
                <w:b/>
                <w:bCs/>
              </w:rPr>
            </w:pPr>
            <w:r>
              <w:rPr>
                <w:b/>
                <w:bCs/>
              </w:rPr>
              <w:t>M. </w:t>
            </w:r>
            <w:r w:rsidR="00CD04C1" w:rsidRPr="00B713EE">
              <w:rPr>
                <w:b/>
                <w:bCs/>
              </w:rPr>
              <w:t>A. Rijnders</w:t>
            </w:r>
          </w:p>
        </w:tc>
        <w:tc>
          <w:tcPr>
            <w:tcW w:w="1418" w:type="dxa"/>
            <w:shd w:val="clear" w:color="auto" w:fill="auto"/>
          </w:tcPr>
          <w:p w:rsidR="00CD04C1" w:rsidRPr="00B713EE" w:rsidRDefault="00CD04C1" w:rsidP="00931B50">
            <w:pPr>
              <w:spacing w:before="40" w:after="120"/>
              <w:ind w:right="113"/>
              <w:rPr>
                <w:b/>
                <w:bCs/>
              </w:rPr>
            </w:pPr>
            <w:r w:rsidRPr="00B713EE">
              <w:rPr>
                <w:b/>
                <w:bCs/>
              </w:rPr>
              <w:t>Pays-Bas</w:t>
            </w:r>
          </w:p>
        </w:tc>
        <w:tc>
          <w:tcPr>
            <w:tcW w:w="1295" w:type="dxa"/>
          </w:tcPr>
          <w:p w:rsidR="00CD04C1" w:rsidRPr="00B713EE" w:rsidRDefault="00CD04C1" w:rsidP="00931B50">
            <w:pPr>
              <w:spacing w:before="40" w:after="120"/>
              <w:ind w:right="113"/>
              <w:rPr>
                <w:bCs/>
              </w:rPr>
            </w:pPr>
            <w:r w:rsidRPr="00B713EE">
              <w:rPr>
                <w:bCs/>
              </w:rPr>
              <w:t>2018</w:t>
            </w:r>
          </w:p>
        </w:tc>
      </w:tr>
      <w:tr w:rsidR="00CD04C1" w:rsidRPr="00B713EE" w:rsidTr="00305D70">
        <w:trPr>
          <w:cantSplit/>
          <w:jc w:val="center"/>
        </w:trPr>
        <w:tc>
          <w:tcPr>
            <w:tcW w:w="709" w:type="dxa"/>
            <w:tcBorders>
              <w:bottom w:val="single" w:sz="4" w:space="0" w:color="auto"/>
            </w:tcBorders>
            <w:shd w:val="clear" w:color="auto" w:fill="auto"/>
          </w:tcPr>
          <w:p w:rsidR="00CD04C1" w:rsidRPr="00B713EE" w:rsidRDefault="00CD04C1" w:rsidP="00931B50">
            <w:pPr>
              <w:spacing w:before="40" w:after="120"/>
              <w:ind w:right="113"/>
              <w:rPr>
                <w:bCs/>
              </w:rPr>
            </w:pPr>
          </w:p>
        </w:tc>
        <w:tc>
          <w:tcPr>
            <w:tcW w:w="4678" w:type="dxa"/>
            <w:tcBorders>
              <w:bottom w:val="single" w:sz="4" w:space="0" w:color="auto"/>
            </w:tcBorders>
            <w:shd w:val="clear" w:color="auto" w:fill="auto"/>
          </w:tcPr>
          <w:p w:rsidR="00CD04C1" w:rsidRPr="00B713EE" w:rsidRDefault="00CD04C1" w:rsidP="00931B50">
            <w:pPr>
              <w:spacing w:before="40" w:after="120"/>
              <w:ind w:right="113"/>
            </w:pPr>
            <w:r w:rsidRPr="00B713EE">
              <w:rPr>
                <w:lang w:eastAsia="en-GB"/>
              </w:rPr>
              <w:t>Prescriptions d</w:t>
            </w:r>
            <w:r w:rsidR="007C2F80">
              <w:rPr>
                <w:lang w:eastAsia="en-GB"/>
              </w:rPr>
              <w:t>’</w:t>
            </w:r>
            <w:r w:rsidRPr="00B713EE">
              <w:rPr>
                <w:lang w:eastAsia="en-GB"/>
              </w:rPr>
              <w:t>efficacité en matière d</w:t>
            </w:r>
            <w:r w:rsidR="007C2F80">
              <w:rPr>
                <w:lang w:eastAsia="en-GB"/>
              </w:rPr>
              <w:t>’</w:t>
            </w:r>
            <w:r w:rsidRPr="00B713EE">
              <w:rPr>
                <w:lang w:eastAsia="en-GB"/>
              </w:rPr>
              <w:t>environnement et de propulsion (PEEP) des véhicules de la catégorie L</w:t>
            </w:r>
          </w:p>
        </w:tc>
        <w:tc>
          <w:tcPr>
            <w:tcW w:w="1559" w:type="dxa"/>
            <w:tcBorders>
              <w:bottom w:val="single" w:sz="4" w:space="0" w:color="auto"/>
            </w:tcBorders>
            <w:shd w:val="clear" w:color="auto" w:fill="auto"/>
          </w:tcPr>
          <w:p w:rsidR="00CD04C1" w:rsidRPr="00B713EE" w:rsidRDefault="004B16FD" w:rsidP="00931B50">
            <w:pPr>
              <w:spacing w:before="40" w:after="120"/>
              <w:ind w:right="113"/>
            </w:pPr>
            <w:r>
              <w:t>M. </w:t>
            </w:r>
            <w:r w:rsidR="00CD04C1" w:rsidRPr="00B713EE">
              <w:t>A. Perujo</w:t>
            </w:r>
          </w:p>
        </w:tc>
        <w:tc>
          <w:tcPr>
            <w:tcW w:w="1418" w:type="dxa"/>
            <w:tcBorders>
              <w:bottom w:val="single" w:sz="4" w:space="0" w:color="auto"/>
            </w:tcBorders>
            <w:shd w:val="clear" w:color="auto" w:fill="auto"/>
          </w:tcPr>
          <w:p w:rsidR="00CD04C1" w:rsidRPr="00B713EE" w:rsidRDefault="00CD04C1" w:rsidP="00931B50">
            <w:pPr>
              <w:spacing w:before="40" w:after="120"/>
              <w:ind w:right="113"/>
            </w:pPr>
            <w:r w:rsidRPr="00B713EE">
              <w:t>CE</w:t>
            </w:r>
          </w:p>
        </w:tc>
        <w:tc>
          <w:tcPr>
            <w:tcW w:w="1295" w:type="dxa"/>
            <w:tcBorders>
              <w:bottom w:val="single" w:sz="4" w:space="0" w:color="auto"/>
            </w:tcBorders>
          </w:tcPr>
          <w:p w:rsidR="00CD04C1" w:rsidRPr="00B713EE" w:rsidRDefault="00CD04C1" w:rsidP="00931B50">
            <w:pPr>
              <w:spacing w:before="40" w:after="120"/>
              <w:ind w:right="113"/>
            </w:pPr>
            <w:r w:rsidRPr="00B713EE">
              <w:t>Décembre 2020</w:t>
            </w:r>
          </w:p>
        </w:tc>
      </w:tr>
      <w:tr w:rsidR="00CD04C1" w:rsidRPr="00B713EE" w:rsidTr="00305D70">
        <w:trPr>
          <w:cantSplit/>
          <w:jc w:val="center"/>
        </w:trPr>
        <w:tc>
          <w:tcPr>
            <w:tcW w:w="709" w:type="dxa"/>
            <w:tcBorders>
              <w:top w:val="single" w:sz="4" w:space="0" w:color="auto"/>
              <w:bottom w:val="single" w:sz="4" w:space="0" w:color="auto"/>
            </w:tcBorders>
            <w:shd w:val="clear" w:color="auto" w:fill="auto"/>
          </w:tcPr>
          <w:p w:rsidR="00CD04C1" w:rsidRPr="00B713EE" w:rsidRDefault="00CD04C1" w:rsidP="00931B50">
            <w:pPr>
              <w:spacing w:before="40" w:after="120"/>
              <w:ind w:right="113"/>
              <w:rPr>
                <w:bCs/>
              </w:rPr>
            </w:pPr>
          </w:p>
        </w:tc>
        <w:tc>
          <w:tcPr>
            <w:tcW w:w="4678" w:type="dxa"/>
            <w:tcBorders>
              <w:top w:val="single" w:sz="4" w:space="0" w:color="auto"/>
              <w:bottom w:val="single" w:sz="4" w:space="0" w:color="auto"/>
            </w:tcBorders>
            <w:shd w:val="clear" w:color="auto" w:fill="auto"/>
          </w:tcPr>
          <w:p w:rsidR="00CD04C1" w:rsidRPr="00B713EE" w:rsidRDefault="00CD04C1" w:rsidP="00931B50">
            <w:pPr>
              <w:spacing w:before="40" w:after="120"/>
              <w:ind w:right="113"/>
            </w:pPr>
            <w:r w:rsidRPr="00B713EE">
              <w:t>Véhicules électriques et environnement (VEE)</w:t>
            </w:r>
          </w:p>
        </w:tc>
        <w:tc>
          <w:tcPr>
            <w:tcW w:w="1559" w:type="dxa"/>
            <w:tcBorders>
              <w:top w:val="single" w:sz="4" w:space="0" w:color="auto"/>
              <w:bottom w:val="single" w:sz="4" w:space="0" w:color="auto"/>
            </w:tcBorders>
            <w:shd w:val="clear" w:color="auto" w:fill="auto"/>
          </w:tcPr>
          <w:p w:rsidR="00CD04C1" w:rsidRPr="00B713EE" w:rsidRDefault="004B16FD" w:rsidP="00931B50">
            <w:pPr>
              <w:spacing w:before="40" w:after="120"/>
              <w:ind w:right="113"/>
            </w:pPr>
            <w:r>
              <w:t>M. M. </w:t>
            </w:r>
            <w:r w:rsidR="00CD04C1" w:rsidRPr="00B713EE">
              <w:t>Olechiw</w:t>
            </w:r>
            <w:r w:rsidR="00903788">
              <w:br/>
            </w:r>
            <w:r w:rsidR="00CD04C1" w:rsidRPr="00B713EE">
              <w:br/>
              <w:t>M</w:t>
            </w:r>
            <w:r w:rsidR="00CD04C1" w:rsidRPr="00AE35A6">
              <w:rPr>
                <w:vertAlign w:val="superscript"/>
              </w:rPr>
              <w:t>me</w:t>
            </w:r>
            <w:r w:rsidR="00CD04C1" w:rsidRPr="00B713EE">
              <w:t xml:space="preserve"> C. Chen</w:t>
            </w:r>
            <w:r w:rsidR="00CD04C1" w:rsidRPr="00B713EE">
              <w:br/>
            </w:r>
            <w:r>
              <w:t>M. </w:t>
            </w:r>
            <w:r w:rsidR="00CD04C1" w:rsidRPr="00B713EE">
              <w:t>K. Narusawa</w:t>
            </w:r>
          </w:p>
        </w:tc>
        <w:tc>
          <w:tcPr>
            <w:tcW w:w="1418" w:type="dxa"/>
            <w:tcBorders>
              <w:top w:val="single" w:sz="4" w:space="0" w:color="auto"/>
              <w:bottom w:val="single" w:sz="4" w:space="0" w:color="auto"/>
            </w:tcBorders>
            <w:shd w:val="clear" w:color="auto" w:fill="auto"/>
          </w:tcPr>
          <w:p w:rsidR="00CD04C1" w:rsidRPr="00B713EE" w:rsidRDefault="00CD04C1" w:rsidP="00931B50">
            <w:pPr>
              <w:spacing w:before="40" w:after="120"/>
              <w:ind w:right="113"/>
            </w:pPr>
            <w:r w:rsidRPr="00B713EE">
              <w:t>États-Unis d</w:t>
            </w:r>
            <w:r w:rsidR="007C2F80">
              <w:t>’</w:t>
            </w:r>
            <w:r w:rsidRPr="00B713EE">
              <w:t>Amérique Chine</w:t>
            </w:r>
            <w:r w:rsidRPr="00B713EE">
              <w:br/>
              <w:t>Japon</w:t>
            </w:r>
          </w:p>
        </w:tc>
        <w:tc>
          <w:tcPr>
            <w:tcW w:w="1295" w:type="dxa"/>
            <w:tcBorders>
              <w:top w:val="single" w:sz="4" w:space="0" w:color="auto"/>
              <w:bottom w:val="single" w:sz="4" w:space="0" w:color="auto"/>
            </w:tcBorders>
          </w:tcPr>
          <w:p w:rsidR="00CD04C1" w:rsidRPr="00B713EE" w:rsidRDefault="00CD04C1" w:rsidP="00931B50">
            <w:pPr>
              <w:spacing w:before="40" w:after="120"/>
              <w:ind w:right="113"/>
            </w:pPr>
            <w:r w:rsidRPr="00B713EE">
              <w:t>Novembre 2018</w:t>
            </w:r>
          </w:p>
        </w:tc>
      </w:tr>
      <w:tr w:rsidR="00CD04C1" w:rsidRPr="00B713EE" w:rsidTr="00305D70">
        <w:trPr>
          <w:cantSplit/>
          <w:jc w:val="center"/>
        </w:trPr>
        <w:tc>
          <w:tcPr>
            <w:tcW w:w="709" w:type="dxa"/>
            <w:tcBorders>
              <w:top w:val="single" w:sz="4" w:space="0" w:color="auto"/>
            </w:tcBorders>
            <w:shd w:val="clear" w:color="auto" w:fill="auto"/>
          </w:tcPr>
          <w:p w:rsidR="00CD04C1" w:rsidRPr="00B713EE" w:rsidRDefault="00CD04C1" w:rsidP="00931B50">
            <w:pPr>
              <w:spacing w:before="40" w:after="120"/>
              <w:ind w:right="113"/>
              <w:rPr>
                <w:bCs/>
              </w:rPr>
            </w:pPr>
          </w:p>
        </w:tc>
        <w:tc>
          <w:tcPr>
            <w:tcW w:w="4678" w:type="dxa"/>
            <w:tcBorders>
              <w:top w:val="single" w:sz="4" w:space="0" w:color="auto"/>
            </w:tcBorders>
            <w:shd w:val="clear" w:color="auto" w:fill="auto"/>
          </w:tcPr>
          <w:p w:rsidR="00CD04C1" w:rsidRPr="00B713EE" w:rsidRDefault="00CD04C1" w:rsidP="00931B50">
            <w:pPr>
              <w:spacing w:before="40" w:after="120"/>
              <w:ind w:right="113"/>
            </w:pPr>
            <w:r w:rsidRPr="00B713EE">
              <w:t xml:space="preserve">Programme de mesure des particules (PMP) </w:t>
            </w:r>
          </w:p>
        </w:tc>
        <w:tc>
          <w:tcPr>
            <w:tcW w:w="1559" w:type="dxa"/>
            <w:tcBorders>
              <w:top w:val="single" w:sz="4" w:space="0" w:color="auto"/>
            </w:tcBorders>
            <w:shd w:val="clear" w:color="auto" w:fill="auto"/>
          </w:tcPr>
          <w:p w:rsidR="00CD04C1" w:rsidRPr="00B713EE" w:rsidRDefault="004B16FD" w:rsidP="00931B50">
            <w:pPr>
              <w:spacing w:before="40" w:after="120"/>
              <w:ind w:right="113"/>
            </w:pPr>
            <w:r>
              <w:t>M. </w:t>
            </w:r>
            <w:r w:rsidR="00CD04C1" w:rsidRPr="00B713EE">
              <w:t>G. Martini</w:t>
            </w:r>
          </w:p>
        </w:tc>
        <w:tc>
          <w:tcPr>
            <w:tcW w:w="1418" w:type="dxa"/>
            <w:tcBorders>
              <w:top w:val="single" w:sz="4" w:space="0" w:color="auto"/>
            </w:tcBorders>
            <w:shd w:val="clear" w:color="auto" w:fill="auto"/>
          </w:tcPr>
          <w:p w:rsidR="00CD04C1" w:rsidRPr="00B713EE" w:rsidRDefault="00CD04C1" w:rsidP="00931B50">
            <w:pPr>
              <w:spacing w:before="40" w:after="120"/>
              <w:ind w:right="113"/>
            </w:pPr>
            <w:r w:rsidRPr="00B713EE">
              <w:t>CE</w:t>
            </w:r>
          </w:p>
        </w:tc>
        <w:tc>
          <w:tcPr>
            <w:tcW w:w="1295" w:type="dxa"/>
            <w:tcBorders>
              <w:top w:val="single" w:sz="4" w:space="0" w:color="auto"/>
            </w:tcBorders>
          </w:tcPr>
          <w:p w:rsidR="00CD04C1" w:rsidRPr="00B713EE" w:rsidRDefault="00CD04C1" w:rsidP="00931B50">
            <w:pPr>
              <w:spacing w:before="40" w:after="120"/>
              <w:ind w:right="113"/>
            </w:pPr>
            <w:r w:rsidRPr="00B713EE">
              <w:t xml:space="preserve">Juin 2019 </w:t>
            </w:r>
          </w:p>
        </w:tc>
      </w:tr>
      <w:tr w:rsidR="00CD04C1" w:rsidRPr="00B713EE" w:rsidTr="00FE6535">
        <w:trPr>
          <w:cantSplit/>
          <w:jc w:val="center"/>
        </w:trPr>
        <w:tc>
          <w:tcPr>
            <w:tcW w:w="709" w:type="dxa"/>
            <w:shd w:val="clear" w:color="auto" w:fill="auto"/>
          </w:tcPr>
          <w:p w:rsidR="00CD04C1" w:rsidRPr="00B713EE" w:rsidRDefault="00CD04C1" w:rsidP="00931B50">
            <w:pPr>
              <w:spacing w:before="40" w:after="120"/>
              <w:ind w:right="113"/>
              <w:rPr>
                <w:bCs/>
              </w:rPr>
            </w:pPr>
          </w:p>
        </w:tc>
        <w:tc>
          <w:tcPr>
            <w:tcW w:w="4678" w:type="dxa"/>
            <w:shd w:val="clear" w:color="auto" w:fill="auto"/>
          </w:tcPr>
          <w:p w:rsidR="00CD04C1" w:rsidRPr="00B713EE" w:rsidRDefault="00CD04C1" w:rsidP="00931B50">
            <w:pPr>
              <w:spacing w:before="40" w:after="120"/>
              <w:ind w:right="113"/>
            </w:pPr>
            <w:r w:rsidRPr="00B713EE">
              <w:t>Qualité de l</w:t>
            </w:r>
            <w:r w:rsidR="007C2F80">
              <w:t>’</w:t>
            </w:r>
            <w:r w:rsidRPr="00B713EE">
              <w:t>air à l</w:t>
            </w:r>
            <w:r w:rsidR="007C2F80">
              <w:t>’</w:t>
            </w:r>
            <w:r w:rsidRPr="00B713EE">
              <w:t>intérieur des véhicules (QAIV)</w:t>
            </w:r>
          </w:p>
        </w:tc>
        <w:tc>
          <w:tcPr>
            <w:tcW w:w="1559" w:type="dxa"/>
            <w:shd w:val="clear" w:color="auto" w:fill="auto"/>
          </w:tcPr>
          <w:p w:rsidR="00CD04C1" w:rsidRPr="00B713EE" w:rsidRDefault="004B16FD" w:rsidP="00931B50">
            <w:pPr>
              <w:spacing w:before="40" w:after="120"/>
              <w:ind w:right="113"/>
            </w:pPr>
            <w:r>
              <w:t>M. </w:t>
            </w:r>
            <w:r w:rsidR="00CD04C1" w:rsidRPr="00B713EE">
              <w:t>J Lim</w:t>
            </w:r>
            <w:r w:rsidR="00A95C25">
              <w:br/>
            </w:r>
            <w:r w:rsidR="00CD04C1" w:rsidRPr="00B713EE">
              <w:br/>
            </w:r>
            <w:r>
              <w:t>M. </w:t>
            </w:r>
            <w:r w:rsidR="00CD04C1" w:rsidRPr="00B713EE">
              <w:t>Y. GE</w:t>
            </w:r>
          </w:p>
        </w:tc>
        <w:tc>
          <w:tcPr>
            <w:tcW w:w="1418" w:type="dxa"/>
            <w:shd w:val="clear" w:color="auto" w:fill="auto"/>
          </w:tcPr>
          <w:p w:rsidR="00CD04C1" w:rsidRPr="00B713EE" w:rsidRDefault="00A95C25" w:rsidP="00931B50">
            <w:pPr>
              <w:spacing w:before="40" w:after="120"/>
              <w:ind w:right="113"/>
            </w:pPr>
            <w:r>
              <w:t xml:space="preserve">République </w:t>
            </w:r>
            <w:r>
              <w:br/>
              <w:t xml:space="preserve">de </w:t>
            </w:r>
            <w:r w:rsidR="00CD04C1" w:rsidRPr="00B713EE">
              <w:t>Corée</w:t>
            </w:r>
            <w:r w:rsidR="00CD04C1" w:rsidRPr="00B713EE">
              <w:br/>
              <w:t>Chine</w:t>
            </w:r>
          </w:p>
        </w:tc>
        <w:tc>
          <w:tcPr>
            <w:tcW w:w="1295" w:type="dxa"/>
          </w:tcPr>
          <w:p w:rsidR="00CD04C1" w:rsidRPr="00B713EE" w:rsidRDefault="00CD04C1" w:rsidP="00931B50">
            <w:pPr>
              <w:spacing w:before="40" w:after="120"/>
              <w:ind w:right="113"/>
            </w:pPr>
            <w:r w:rsidRPr="00B713EE">
              <w:t>Novembre 2017</w:t>
            </w:r>
          </w:p>
        </w:tc>
      </w:tr>
      <w:tr w:rsidR="00CD04C1" w:rsidRPr="00B713EE" w:rsidTr="00FE6535">
        <w:trPr>
          <w:cantSplit/>
          <w:jc w:val="center"/>
        </w:trPr>
        <w:tc>
          <w:tcPr>
            <w:tcW w:w="709" w:type="dxa"/>
            <w:shd w:val="clear" w:color="auto" w:fill="auto"/>
          </w:tcPr>
          <w:p w:rsidR="00CD04C1" w:rsidRPr="00B713EE" w:rsidRDefault="00CD04C1" w:rsidP="00931B50">
            <w:pPr>
              <w:spacing w:before="40" w:after="120"/>
              <w:ind w:right="113"/>
            </w:pPr>
          </w:p>
        </w:tc>
        <w:tc>
          <w:tcPr>
            <w:tcW w:w="4678" w:type="dxa"/>
            <w:shd w:val="clear" w:color="auto" w:fill="auto"/>
          </w:tcPr>
          <w:p w:rsidR="00CD04C1" w:rsidRPr="00B713EE" w:rsidRDefault="00CD04C1" w:rsidP="00931B50">
            <w:pPr>
              <w:spacing w:before="40" w:after="120"/>
              <w:ind w:right="113"/>
            </w:pPr>
            <w:r w:rsidRPr="00B713EE">
              <w:t>Procédure d</w:t>
            </w:r>
            <w:r w:rsidR="007C2F80">
              <w:t>’</w:t>
            </w:r>
            <w:r w:rsidRPr="00B713EE">
              <w:t>essai mondiale harmonisée pour les voitures particulières et véhicules utilitaires légers (WLTP Phase 2)</w:t>
            </w:r>
          </w:p>
        </w:tc>
        <w:tc>
          <w:tcPr>
            <w:tcW w:w="1559" w:type="dxa"/>
            <w:shd w:val="clear" w:color="auto" w:fill="auto"/>
          </w:tcPr>
          <w:p w:rsidR="00CD04C1" w:rsidRPr="00B713EE" w:rsidRDefault="004B16FD" w:rsidP="00931B50">
            <w:pPr>
              <w:spacing w:before="40" w:after="120"/>
              <w:ind w:right="113"/>
            </w:pPr>
            <w:r>
              <w:t>M. </w:t>
            </w:r>
            <w:r w:rsidR="00CD04C1" w:rsidRPr="00B713EE">
              <w:t>D. Kawano</w:t>
            </w:r>
          </w:p>
        </w:tc>
        <w:tc>
          <w:tcPr>
            <w:tcW w:w="1418" w:type="dxa"/>
            <w:shd w:val="clear" w:color="auto" w:fill="auto"/>
          </w:tcPr>
          <w:p w:rsidR="00CD04C1" w:rsidRPr="00B713EE" w:rsidRDefault="00CD04C1" w:rsidP="00931B50">
            <w:pPr>
              <w:spacing w:before="40" w:after="120"/>
              <w:ind w:right="113"/>
            </w:pPr>
            <w:r w:rsidRPr="00B713EE">
              <w:t>Japon</w:t>
            </w:r>
          </w:p>
        </w:tc>
        <w:tc>
          <w:tcPr>
            <w:tcW w:w="1295" w:type="dxa"/>
          </w:tcPr>
          <w:p w:rsidR="00CD04C1" w:rsidRPr="00B713EE" w:rsidRDefault="00CD04C1" w:rsidP="00931B50">
            <w:pPr>
              <w:spacing w:before="40" w:after="120"/>
              <w:ind w:right="113"/>
            </w:pPr>
            <w:r w:rsidRPr="00B713EE">
              <w:t>Décembre 2019</w:t>
            </w:r>
          </w:p>
        </w:tc>
      </w:tr>
      <w:tr w:rsidR="00CD04C1" w:rsidRPr="00B713EE" w:rsidTr="00FE6535">
        <w:trPr>
          <w:cantSplit/>
          <w:jc w:val="center"/>
        </w:trPr>
        <w:tc>
          <w:tcPr>
            <w:tcW w:w="709" w:type="dxa"/>
            <w:shd w:val="clear" w:color="auto" w:fill="auto"/>
          </w:tcPr>
          <w:p w:rsidR="00CD04C1" w:rsidRPr="00B713EE" w:rsidRDefault="00CD04C1" w:rsidP="00931B50">
            <w:pPr>
              <w:spacing w:before="40" w:after="120"/>
              <w:ind w:right="113"/>
              <w:rPr>
                <w:b/>
                <w:bCs/>
              </w:rPr>
            </w:pPr>
            <w:r w:rsidRPr="00B713EE">
              <w:rPr>
                <w:b/>
                <w:bCs/>
              </w:rPr>
              <w:t>GRRF</w:t>
            </w:r>
          </w:p>
        </w:tc>
        <w:tc>
          <w:tcPr>
            <w:tcW w:w="4678" w:type="dxa"/>
            <w:shd w:val="clear" w:color="auto" w:fill="auto"/>
          </w:tcPr>
          <w:p w:rsidR="00CD04C1" w:rsidRPr="00B713EE" w:rsidRDefault="00CD04C1" w:rsidP="00931B50">
            <w:pPr>
              <w:spacing w:before="40" w:after="120"/>
              <w:ind w:right="113"/>
              <w:rPr>
                <w:b/>
                <w:bCs/>
              </w:rPr>
            </w:pPr>
            <w:r w:rsidRPr="002E5A98">
              <w:rPr>
                <w:b/>
              </w:rPr>
              <w:t>R</w:t>
            </w:r>
            <w:r w:rsidRPr="00B713EE">
              <w:rPr>
                <w:b/>
                <w:bCs/>
              </w:rPr>
              <w:t>oulement et freinage</w:t>
            </w:r>
          </w:p>
        </w:tc>
        <w:tc>
          <w:tcPr>
            <w:tcW w:w="1559" w:type="dxa"/>
            <w:shd w:val="clear" w:color="auto" w:fill="auto"/>
          </w:tcPr>
          <w:p w:rsidR="00CD04C1" w:rsidRPr="00B713EE" w:rsidRDefault="004B16FD" w:rsidP="00931B50">
            <w:pPr>
              <w:spacing w:before="40" w:after="120"/>
              <w:ind w:right="113"/>
              <w:rPr>
                <w:b/>
                <w:bCs/>
              </w:rPr>
            </w:pPr>
            <w:r>
              <w:rPr>
                <w:b/>
                <w:bCs/>
              </w:rPr>
              <w:t>M. </w:t>
            </w:r>
            <w:r w:rsidR="00CD04C1" w:rsidRPr="00B713EE">
              <w:rPr>
                <w:b/>
                <w:bCs/>
              </w:rPr>
              <w:t>B. Frost</w:t>
            </w:r>
            <w:r w:rsidR="00CD04C1" w:rsidRPr="00B713EE">
              <w:rPr>
                <w:b/>
                <w:bCs/>
              </w:rPr>
              <w:br/>
            </w:r>
            <w:r>
              <w:rPr>
                <w:b/>
                <w:bCs/>
              </w:rPr>
              <w:t>M. </w:t>
            </w:r>
            <w:r w:rsidR="00CD04C1" w:rsidRPr="00B713EE">
              <w:rPr>
                <w:b/>
                <w:bCs/>
              </w:rPr>
              <w:t>A. Murai</w:t>
            </w:r>
          </w:p>
        </w:tc>
        <w:tc>
          <w:tcPr>
            <w:tcW w:w="1418" w:type="dxa"/>
            <w:shd w:val="clear" w:color="auto" w:fill="auto"/>
          </w:tcPr>
          <w:p w:rsidR="00CD04C1" w:rsidRPr="00B713EE" w:rsidRDefault="00CD04C1" w:rsidP="00931B50">
            <w:pPr>
              <w:spacing w:before="40" w:after="120"/>
              <w:ind w:right="113"/>
              <w:rPr>
                <w:b/>
                <w:bCs/>
              </w:rPr>
            </w:pPr>
            <w:r w:rsidRPr="00B713EE">
              <w:rPr>
                <w:b/>
                <w:bCs/>
              </w:rPr>
              <w:t>Royaume-Uni</w:t>
            </w:r>
            <w:r w:rsidRPr="00B713EE">
              <w:rPr>
                <w:b/>
                <w:bCs/>
              </w:rPr>
              <w:br/>
              <w:t>Japon</w:t>
            </w:r>
          </w:p>
        </w:tc>
        <w:tc>
          <w:tcPr>
            <w:tcW w:w="1295" w:type="dxa"/>
          </w:tcPr>
          <w:p w:rsidR="00CD04C1" w:rsidRPr="00B713EE" w:rsidRDefault="00CD04C1" w:rsidP="00931B50">
            <w:pPr>
              <w:spacing w:before="40" w:after="120"/>
              <w:ind w:right="113"/>
              <w:rPr>
                <w:bCs/>
              </w:rPr>
            </w:pPr>
            <w:r w:rsidRPr="00B713EE">
              <w:rPr>
                <w:bCs/>
              </w:rPr>
              <w:t>2018</w:t>
            </w:r>
          </w:p>
        </w:tc>
      </w:tr>
      <w:tr w:rsidR="00CD04C1" w:rsidRPr="00B713EE" w:rsidTr="00FE6535">
        <w:trPr>
          <w:cantSplit/>
          <w:jc w:val="center"/>
        </w:trPr>
        <w:tc>
          <w:tcPr>
            <w:tcW w:w="709" w:type="dxa"/>
            <w:shd w:val="clear" w:color="auto" w:fill="auto"/>
          </w:tcPr>
          <w:p w:rsidR="00CD04C1" w:rsidRPr="00B713EE" w:rsidRDefault="00CD04C1" w:rsidP="00931B50">
            <w:pPr>
              <w:spacing w:before="40" w:after="120"/>
              <w:ind w:right="113"/>
              <w:rPr>
                <w:bCs/>
              </w:rPr>
            </w:pPr>
          </w:p>
        </w:tc>
        <w:tc>
          <w:tcPr>
            <w:tcW w:w="4678" w:type="dxa"/>
            <w:shd w:val="clear" w:color="auto" w:fill="auto"/>
          </w:tcPr>
          <w:p w:rsidR="00CD04C1" w:rsidRPr="00B713EE" w:rsidRDefault="00CD04C1" w:rsidP="00931B50">
            <w:pPr>
              <w:spacing w:before="40" w:after="120"/>
              <w:ind w:right="113"/>
            </w:pPr>
            <w:r w:rsidRPr="00B713EE">
              <w:t>Ensembles modulaires de véhicules (EMV)</w:t>
            </w:r>
          </w:p>
        </w:tc>
        <w:tc>
          <w:tcPr>
            <w:tcW w:w="1559" w:type="dxa"/>
            <w:shd w:val="clear" w:color="auto" w:fill="auto"/>
          </w:tcPr>
          <w:p w:rsidR="00CD04C1" w:rsidRPr="00B713EE" w:rsidRDefault="004B16FD" w:rsidP="00931B50">
            <w:pPr>
              <w:spacing w:before="40" w:after="120"/>
              <w:ind w:right="113"/>
            </w:pPr>
            <w:r>
              <w:t>M. </w:t>
            </w:r>
            <w:r w:rsidR="00CD04C1" w:rsidRPr="00B713EE">
              <w:t>A. Gunneriusson</w:t>
            </w:r>
          </w:p>
        </w:tc>
        <w:tc>
          <w:tcPr>
            <w:tcW w:w="1418" w:type="dxa"/>
            <w:shd w:val="clear" w:color="auto" w:fill="auto"/>
          </w:tcPr>
          <w:p w:rsidR="00CD04C1" w:rsidRPr="00B713EE" w:rsidRDefault="00CD04C1" w:rsidP="00931B50">
            <w:pPr>
              <w:spacing w:before="40" w:after="120"/>
              <w:ind w:right="113"/>
            </w:pPr>
            <w:r w:rsidRPr="00B713EE">
              <w:t>Suède</w:t>
            </w:r>
          </w:p>
        </w:tc>
        <w:tc>
          <w:tcPr>
            <w:tcW w:w="1295" w:type="dxa"/>
          </w:tcPr>
          <w:p w:rsidR="00CD04C1" w:rsidRPr="00B713EE" w:rsidRDefault="00CD04C1" w:rsidP="00931B50">
            <w:pPr>
              <w:spacing w:before="40" w:after="120"/>
              <w:ind w:right="113"/>
            </w:pPr>
            <w:r w:rsidRPr="00B713EE">
              <w:t>Février 2019</w:t>
            </w:r>
          </w:p>
        </w:tc>
      </w:tr>
      <w:tr w:rsidR="00CD04C1" w:rsidRPr="00B713EE" w:rsidTr="00FE6535">
        <w:trPr>
          <w:cantSplit/>
          <w:jc w:val="center"/>
        </w:trPr>
        <w:tc>
          <w:tcPr>
            <w:tcW w:w="709" w:type="dxa"/>
            <w:shd w:val="clear" w:color="auto" w:fill="auto"/>
          </w:tcPr>
          <w:p w:rsidR="00CD04C1" w:rsidRPr="00B713EE" w:rsidRDefault="00CD04C1" w:rsidP="00931B50">
            <w:pPr>
              <w:spacing w:before="40" w:after="120"/>
              <w:ind w:right="113"/>
              <w:rPr>
                <w:bCs/>
              </w:rPr>
            </w:pPr>
          </w:p>
        </w:tc>
        <w:tc>
          <w:tcPr>
            <w:tcW w:w="4678" w:type="dxa"/>
            <w:shd w:val="clear" w:color="auto" w:fill="auto"/>
          </w:tcPr>
          <w:p w:rsidR="00CD04C1" w:rsidRPr="00B713EE" w:rsidRDefault="00CD04C1" w:rsidP="00931B50">
            <w:pPr>
              <w:spacing w:before="40" w:after="120"/>
              <w:ind w:right="113"/>
            </w:pPr>
            <w:r w:rsidRPr="00B713EE">
              <w:t>Dispositifs et composants d</w:t>
            </w:r>
            <w:r w:rsidR="007C2F80">
              <w:t>’</w:t>
            </w:r>
            <w:r w:rsidRPr="00B713EE">
              <w:t>attelage pour machines agricoles</w:t>
            </w:r>
          </w:p>
        </w:tc>
        <w:tc>
          <w:tcPr>
            <w:tcW w:w="1559" w:type="dxa"/>
            <w:shd w:val="clear" w:color="auto" w:fill="auto"/>
          </w:tcPr>
          <w:p w:rsidR="00CD04C1" w:rsidRPr="00B713EE" w:rsidRDefault="004B16FD" w:rsidP="00931B50">
            <w:pPr>
              <w:spacing w:before="40" w:after="120"/>
              <w:ind w:right="113"/>
            </w:pPr>
            <w:r>
              <w:t>M. </w:t>
            </w:r>
            <w:r w:rsidR="00CD04C1" w:rsidRPr="00B713EE">
              <w:t>A. Schauer</w:t>
            </w:r>
          </w:p>
        </w:tc>
        <w:tc>
          <w:tcPr>
            <w:tcW w:w="1418" w:type="dxa"/>
            <w:shd w:val="clear" w:color="auto" w:fill="auto"/>
          </w:tcPr>
          <w:p w:rsidR="00CD04C1" w:rsidRPr="00B713EE" w:rsidRDefault="00CD04C1" w:rsidP="00931B50">
            <w:pPr>
              <w:spacing w:before="40" w:after="120"/>
              <w:ind w:right="113"/>
            </w:pPr>
            <w:r w:rsidRPr="00B713EE">
              <w:t>Allemagne</w:t>
            </w:r>
          </w:p>
        </w:tc>
        <w:tc>
          <w:tcPr>
            <w:tcW w:w="1295" w:type="dxa"/>
          </w:tcPr>
          <w:p w:rsidR="00CD04C1" w:rsidRPr="00B713EE" w:rsidRDefault="00CD04C1" w:rsidP="00931B50">
            <w:pPr>
              <w:spacing w:before="40" w:after="120"/>
              <w:ind w:right="113"/>
            </w:pPr>
            <w:r w:rsidRPr="00B713EE">
              <w:t>Septembre 2017</w:t>
            </w:r>
          </w:p>
        </w:tc>
      </w:tr>
      <w:tr w:rsidR="00CD04C1" w:rsidRPr="00B713EE" w:rsidTr="00FE6535">
        <w:trPr>
          <w:cantSplit/>
          <w:jc w:val="center"/>
        </w:trPr>
        <w:tc>
          <w:tcPr>
            <w:tcW w:w="709" w:type="dxa"/>
            <w:shd w:val="clear" w:color="auto" w:fill="auto"/>
          </w:tcPr>
          <w:p w:rsidR="00CD04C1" w:rsidRPr="00B713EE" w:rsidRDefault="00CD04C1" w:rsidP="00931B50">
            <w:pPr>
              <w:spacing w:before="40" w:after="120"/>
              <w:ind w:right="113"/>
              <w:rPr>
                <w:bCs/>
              </w:rPr>
            </w:pPr>
          </w:p>
        </w:tc>
        <w:tc>
          <w:tcPr>
            <w:tcW w:w="4678" w:type="dxa"/>
            <w:shd w:val="clear" w:color="auto" w:fill="auto"/>
          </w:tcPr>
          <w:p w:rsidR="00CD04C1" w:rsidRPr="00B713EE" w:rsidRDefault="00CD04C1" w:rsidP="00931B50">
            <w:pPr>
              <w:spacing w:before="40" w:after="120"/>
              <w:ind w:right="113"/>
            </w:pPr>
            <w:r w:rsidRPr="00B713EE">
              <w:t>Pneumatiques</w:t>
            </w:r>
          </w:p>
        </w:tc>
        <w:tc>
          <w:tcPr>
            <w:tcW w:w="1559" w:type="dxa"/>
            <w:shd w:val="clear" w:color="auto" w:fill="auto"/>
          </w:tcPr>
          <w:p w:rsidR="00CD04C1" w:rsidRPr="00B713EE" w:rsidRDefault="004B16FD" w:rsidP="00931B50">
            <w:pPr>
              <w:spacing w:before="40" w:after="120"/>
              <w:ind w:right="113"/>
            </w:pPr>
            <w:r>
              <w:t>M. </w:t>
            </w:r>
            <w:r w:rsidR="00CD04C1" w:rsidRPr="00B713EE">
              <w:t>A. Bocharov</w:t>
            </w:r>
          </w:p>
        </w:tc>
        <w:tc>
          <w:tcPr>
            <w:tcW w:w="1418" w:type="dxa"/>
            <w:shd w:val="clear" w:color="auto" w:fill="auto"/>
          </w:tcPr>
          <w:p w:rsidR="00CD04C1" w:rsidRPr="00B713EE" w:rsidRDefault="00CD04C1" w:rsidP="00931B50">
            <w:pPr>
              <w:spacing w:before="40" w:after="120"/>
              <w:ind w:right="113"/>
            </w:pPr>
            <w:r w:rsidRPr="00B713EE">
              <w:t>Fédération de Russie</w:t>
            </w:r>
          </w:p>
        </w:tc>
        <w:tc>
          <w:tcPr>
            <w:tcW w:w="1295" w:type="dxa"/>
          </w:tcPr>
          <w:p w:rsidR="00CD04C1" w:rsidRPr="00B713EE" w:rsidRDefault="00CD04C1" w:rsidP="00931B50">
            <w:pPr>
              <w:spacing w:before="40" w:after="120"/>
              <w:ind w:right="113"/>
            </w:pPr>
            <w:r w:rsidRPr="00B713EE">
              <w:t>Novembre 2018</w:t>
            </w:r>
          </w:p>
        </w:tc>
      </w:tr>
      <w:tr w:rsidR="00CD04C1" w:rsidRPr="00B713EE" w:rsidTr="00FE6535">
        <w:trPr>
          <w:cantSplit/>
          <w:jc w:val="center"/>
        </w:trPr>
        <w:tc>
          <w:tcPr>
            <w:tcW w:w="709" w:type="dxa"/>
            <w:shd w:val="clear" w:color="auto" w:fill="auto"/>
          </w:tcPr>
          <w:p w:rsidR="00CD04C1" w:rsidRPr="00B713EE" w:rsidRDefault="00CD04C1" w:rsidP="00931B50">
            <w:pPr>
              <w:spacing w:before="40" w:after="120"/>
              <w:ind w:right="113"/>
              <w:rPr>
                <w:bCs/>
              </w:rPr>
            </w:pPr>
          </w:p>
        </w:tc>
        <w:tc>
          <w:tcPr>
            <w:tcW w:w="4678" w:type="dxa"/>
            <w:shd w:val="clear" w:color="auto" w:fill="auto"/>
          </w:tcPr>
          <w:p w:rsidR="00CD04C1" w:rsidRPr="00B713EE" w:rsidRDefault="00CD04C1" w:rsidP="00931B50">
            <w:pPr>
              <w:spacing w:before="40" w:after="120"/>
              <w:ind w:right="113"/>
            </w:pPr>
            <w:r w:rsidRPr="00B713EE">
              <w:t>Fonctions de directio</w:t>
            </w:r>
            <w:r w:rsidR="00AC0C36">
              <w:t>n à commande automatique (FDCA)</w:t>
            </w:r>
          </w:p>
        </w:tc>
        <w:tc>
          <w:tcPr>
            <w:tcW w:w="1559" w:type="dxa"/>
            <w:shd w:val="clear" w:color="auto" w:fill="auto"/>
          </w:tcPr>
          <w:p w:rsidR="00CD04C1" w:rsidRPr="00567416" w:rsidRDefault="004B16FD" w:rsidP="00931B50">
            <w:pPr>
              <w:spacing w:before="40" w:after="120"/>
              <w:ind w:right="113"/>
              <w:rPr>
                <w:lang w:val="en-US"/>
              </w:rPr>
            </w:pPr>
            <w:r>
              <w:rPr>
                <w:lang w:val="en-US"/>
              </w:rPr>
              <w:t>M. </w:t>
            </w:r>
            <w:r w:rsidR="00CD04C1" w:rsidRPr="00567416">
              <w:rPr>
                <w:lang w:val="en-US"/>
              </w:rPr>
              <w:t>C. Theis</w:t>
            </w:r>
            <w:r w:rsidR="00CD04C1" w:rsidRPr="00B713EE">
              <w:rPr>
                <w:rStyle w:val="FootnoteReference"/>
              </w:rPr>
              <w:footnoteReference w:id="4"/>
            </w:r>
            <w:r w:rsidR="00CD04C1" w:rsidRPr="00567416">
              <w:rPr>
                <w:lang w:val="en-US"/>
              </w:rPr>
              <w:br/>
            </w:r>
            <w:r>
              <w:rPr>
                <w:lang w:val="en-US"/>
              </w:rPr>
              <w:t>M. </w:t>
            </w:r>
            <w:r w:rsidR="00CD04C1" w:rsidRPr="00567416">
              <w:rPr>
                <w:lang w:val="en-US"/>
              </w:rPr>
              <w:t>H. Kubota</w:t>
            </w:r>
            <w:r w:rsidR="00CD04C1" w:rsidRPr="00567416">
              <w:rPr>
                <w:vertAlign w:val="superscript"/>
                <w:lang w:val="en-US"/>
              </w:rPr>
              <w:t>1</w:t>
            </w:r>
          </w:p>
        </w:tc>
        <w:tc>
          <w:tcPr>
            <w:tcW w:w="1418" w:type="dxa"/>
            <w:shd w:val="clear" w:color="auto" w:fill="auto"/>
          </w:tcPr>
          <w:p w:rsidR="00CD04C1" w:rsidRPr="00B713EE" w:rsidRDefault="00CD04C1" w:rsidP="00931B50">
            <w:pPr>
              <w:spacing w:before="40" w:after="120"/>
              <w:ind w:right="113"/>
            </w:pPr>
            <w:r w:rsidRPr="00B713EE">
              <w:t>Allemagne</w:t>
            </w:r>
            <w:r w:rsidRPr="00B713EE">
              <w:br/>
              <w:t>Japon</w:t>
            </w:r>
          </w:p>
        </w:tc>
        <w:tc>
          <w:tcPr>
            <w:tcW w:w="1295" w:type="dxa"/>
          </w:tcPr>
          <w:p w:rsidR="00CD04C1" w:rsidRPr="00B713EE" w:rsidRDefault="00CD04C1" w:rsidP="00931B50">
            <w:pPr>
              <w:spacing w:before="40" w:after="120"/>
              <w:ind w:right="113"/>
            </w:pPr>
            <w:r w:rsidRPr="00B713EE">
              <w:t>Septembre 2017</w:t>
            </w:r>
          </w:p>
        </w:tc>
      </w:tr>
      <w:tr w:rsidR="00CD04C1" w:rsidRPr="00B713EE" w:rsidTr="00FE6535">
        <w:trPr>
          <w:cantSplit/>
          <w:jc w:val="center"/>
        </w:trPr>
        <w:tc>
          <w:tcPr>
            <w:tcW w:w="709" w:type="dxa"/>
            <w:shd w:val="clear" w:color="auto" w:fill="auto"/>
          </w:tcPr>
          <w:p w:rsidR="00CD04C1" w:rsidRPr="00B713EE" w:rsidRDefault="00CD04C1" w:rsidP="00931B50">
            <w:pPr>
              <w:spacing w:before="40" w:after="120"/>
              <w:ind w:right="113"/>
              <w:rPr>
                <w:b/>
                <w:bCs/>
              </w:rPr>
            </w:pPr>
            <w:r w:rsidRPr="00B713EE">
              <w:rPr>
                <w:b/>
                <w:bCs/>
              </w:rPr>
              <w:t>GRSP</w:t>
            </w:r>
          </w:p>
        </w:tc>
        <w:tc>
          <w:tcPr>
            <w:tcW w:w="4678" w:type="dxa"/>
            <w:shd w:val="clear" w:color="auto" w:fill="auto"/>
          </w:tcPr>
          <w:p w:rsidR="00CD04C1" w:rsidRPr="00B713EE" w:rsidRDefault="00CD04C1" w:rsidP="00931B50">
            <w:pPr>
              <w:spacing w:before="40" w:after="120"/>
              <w:ind w:right="113"/>
              <w:rPr>
                <w:b/>
                <w:bCs/>
              </w:rPr>
            </w:pPr>
            <w:r w:rsidRPr="00B713EE">
              <w:rPr>
                <w:b/>
                <w:bCs/>
              </w:rPr>
              <w:t>Sécurité passive</w:t>
            </w:r>
          </w:p>
        </w:tc>
        <w:tc>
          <w:tcPr>
            <w:tcW w:w="1559" w:type="dxa"/>
            <w:shd w:val="clear" w:color="auto" w:fill="auto"/>
          </w:tcPr>
          <w:p w:rsidR="00CD04C1" w:rsidRPr="00567416" w:rsidRDefault="004B16FD" w:rsidP="00931B50">
            <w:pPr>
              <w:spacing w:before="40" w:after="120"/>
              <w:ind w:right="113"/>
              <w:rPr>
                <w:b/>
                <w:bCs/>
                <w:lang w:val="en-US"/>
              </w:rPr>
            </w:pPr>
            <w:r>
              <w:rPr>
                <w:b/>
                <w:bCs/>
                <w:lang w:val="en-US"/>
              </w:rPr>
              <w:t>M. </w:t>
            </w:r>
            <w:r w:rsidR="00CD04C1" w:rsidRPr="00567416">
              <w:rPr>
                <w:b/>
                <w:bCs/>
                <w:lang w:val="en-US"/>
              </w:rPr>
              <w:t>N. Nguyen</w:t>
            </w:r>
            <w:r w:rsidR="00903788">
              <w:rPr>
                <w:b/>
                <w:bCs/>
                <w:lang w:val="en-US"/>
              </w:rPr>
              <w:br/>
            </w:r>
            <w:r w:rsidR="00CD04C1" w:rsidRPr="00567416">
              <w:rPr>
                <w:b/>
                <w:bCs/>
                <w:lang w:val="en-US"/>
              </w:rPr>
              <w:br/>
            </w:r>
            <w:r>
              <w:rPr>
                <w:b/>
                <w:bCs/>
                <w:lang w:val="en-US"/>
              </w:rPr>
              <w:t>M. </w:t>
            </w:r>
            <w:r w:rsidR="00CD04C1" w:rsidRPr="00567416">
              <w:rPr>
                <w:b/>
                <w:bCs/>
                <w:lang w:val="en-US"/>
              </w:rPr>
              <w:t>Jae-Wan Lee</w:t>
            </w:r>
          </w:p>
        </w:tc>
        <w:tc>
          <w:tcPr>
            <w:tcW w:w="1418" w:type="dxa"/>
            <w:shd w:val="clear" w:color="auto" w:fill="auto"/>
          </w:tcPr>
          <w:p w:rsidR="00CD04C1" w:rsidRPr="00B713EE" w:rsidRDefault="00CD04C1" w:rsidP="00931B50">
            <w:pPr>
              <w:spacing w:before="40" w:after="120"/>
              <w:ind w:right="113"/>
              <w:rPr>
                <w:b/>
                <w:bCs/>
              </w:rPr>
            </w:pPr>
            <w:r w:rsidRPr="00B713EE">
              <w:rPr>
                <w:b/>
                <w:bCs/>
              </w:rPr>
              <w:t>États-Unis d</w:t>
            </w:r>
            <w:r w:rsidR="007C2F80">
              <w:rPr>
                <w:b/>
                <w:bCs/>
              </w:rPr>
              <w:t>’</w:t>
            </w:r>
            <w:r w:rsidRPr="00B713EE">
              <w:rPr>
                <w:b/>
                <w:bCs/>
              </w:rPr>
              <w:t xml:space="preserve">Amérique </w:t>
            </w:r>
            <w:r w:rsidRPr="00B713EE">
              <w:rPr>
                <w:b/>
                <w:bCs/>
              </w:rPr>
              <w:br/>
            </w:r>
            <w:r w:rsidR="00A95C25" w:rsidRPr="00A95C25">
              <w:rPr>
                <w:b/>
              </w:rPr>
              <w:t xml:space="preserve">République </w:t>
            </w:r>
            <w:r w:rsidR="00A95C25" w:rsidRPr="00A95C25">
              <w:rPr>
                <w:b/>
              </w:rPr>
              <w:br/>
              <w:t>de Corée</w:t>
            </w:r>
          </w:p>
        </w:tc>
        <w:tc>
          <w:tcPr>
            <w:tcW w:w="1295" w:type="dxa"/>
          </w:tcPr>
          <w:p w:rsidR="00CD04C1" w:rsidRPr="00B713EE" w:rsidRDefault="00CD04C1" w:rsidP="00931B50">
            <w:pPr>
              <w:spacing w:before="40" w:after="120"/>
              <w:ind w:right="113"/>
              <w:rPr>
                <w:bCs/>
              </w:rPr>
            </w:pPr>
            <w:r w:rsidRPr="00B713EE">
              <w:rPr>
                <w:bCs/>
              </w:rPr>
              <w:t>2018</w:t>
            </w:r>
          </w:p>
        </w:tc>
      </w:tr>
      <w:tr w:rsidR="00CD04C1" w:rsidRPr="00B713EE" w:rsidTr="00FE6535">
        <w:trPr>
          <w:cantSplit/>
          <w:jc w:val="center"/>
        </w:trPr>
        <w:tc>
          <w:tcPr>
            <w:tcW w:w="709" w:type="dxa"/>
            <w:shd w:val="clear" w:color="auto" w:fill="auto"/>
          </w:tcPr>
          <w:p w:rsidR="00CD04C1" w:rsidRPr="00B713EE" w:rsidRDefault="00CD04C1" w:rsidP="00931B50">
            <w:pPr>
              <w:spacing w:before="40" w:after="120"/>
              <w:ind w:right="113"/>
            </w:pPr>
          </w:p>
        </w:tc>
        <w:tc>
          <w:tcPr>
            <w:tcW w:w="4678" w:type="dxa"/>
            <w:shd w:val="clear" w:color="auto" w:fill="auto"/>
          </w:tcPr>
          <w:p w:rsidR="00CD04C1" w:rsidRPr="00B713EE" w:rsidRDefault="00CD04C1" w:rsidP="00931B50">
            <w:pPr>
              <w:spacing w:before="40" w:after="120"/>
              <w:ind w:right="113"/>
            </w:pPr>
            <w:r w:rsidRPr="00B713EE">
              <w:t>Harmonisation des mannequins d</w:t>
            </w:r>
            <w:r w:rsidR="007C2F80">
              <w:t>’</w:t>
            </w:r>
            <w:r w:rsidRPr="00B713EE">
              <w:t>essai de choc latéral</w:t>
            </w:r>
          </w:p>
        </w:tc>
        <w:tc>
          <w:tcPr>
            <w:tcW w:w="1559" w:type="dxa"/>
            <w:shd w:val="clear" w:color="auto" w:fill="auto"/>
          </w:tcPr>
          <w:p w:rsidR="00CD04C1" w:rsidRPr="00B713EE" w:rsidRDefault="004B16FD" w:rsidP="00931B50">
            <w:pPr>
              <w:spacing w:before="40" w:after="120"/>
              <w:ind w:right="113"/>
            </w:pPr>
            <w:r>
              <w:t>M. </w:t>
            </w:r>
            <w:r w:rsidR="00CD04C1" w:rsidRPr="00B713EE">
              <w:t>D. Sutula</w:t>
            </w:r>
          </w:p>
        </w:tc>
        <w:tc>
          <w:tcPr>
            <w:tcW w:w="1418" w:type="dxa"/>
            <w:shd w:val="clear" w:color="auto" w:fill="auto"/>
          </w:tcPr>
          <w:p w:rsidR="00CD04C1" w:rsidRPr="00B713EE" w:rsidRDefault="00CD04C1" w:rsidP="00931B50">
            <w:pPr>
              <w:spacing w:before="40" w:after="120"/>
              <w:ind w:right="113"/>
            </w:pPr>
            <w:r w:rsidRPr="00B713EE">
              <w:t>États-Unis d</w:t>
            </w:r>
            <w:r w:rsidR="007C2F80">
              <w:t>’</w:t>
            </w:r>
            <w:r w:rsidRPr="00B713EE">
              <w:t xml:space="preserve">Amérique </w:t>
            </w:r>
          </w:p>
        </w:tc>
        <w:tc>
          <w:tcPr>
            <w:tcW w:w="1295" w:type="dxa"/>
          </w:tcPr>
          <w:p w:rsidR="00CD04C1" w:rsidRPr="00B713EE" w:rsidRDefault="00CD04C1" w:rsidP="00931B50">
            <w:pPr>
              <w:spacing w:before="40" w:after="120"/>
              <w:ind w:right="113"/>
            </w:pPr>
            <w:r w:rsidRPr="00B713EE">
              <w:t>Décembre 2017</w:t>
            </w:r>
          </w:p>
        </w:tc>
      </w:tr>
      <w:tr w:rsidR="00CD04C1" w:rsidRPr="00B713EE" w:rsidTr="00FE6535">
        <w:trPr>
          <w:cantSplit/>
          <w:jc w:val="center"/>
        </w:trPr>
        <w:tc>
          <w:tcPr>
            <w:tcW w:w="709" w:type="dxa"/>
            <w:shd w:val="clear" w:color="auto" w:fill="auto"/>
          </w:tcPr>
          <w:p w:rsidR="00CD04C1" w:rsidRPr="00B713EE" w:rsidRDefault="00CD04C1" w:rsidP="00931B50">
            <w:pPr>
              <w:spacing w:before="40" w:after="120"/>
              <w:ind w:right="113"/>
            </w:pPr>
          </w:p>
        </w:tc>
        <w:tc>
          <w:tcPr>
            <w:tcW w:w="4678" w:type="dxa"/>
            <w:shd w:val="clear" w:color="auto" w:fill="auto"/>
          </w:tcPr>
          <w:p w:rsidR="00CD04C1" w:rsidRPr="00B713EE" w:rsidRDefault="00CD04C1" w:rsidP="00931B50">
            <w:pPr>
              <w:spacing w:before="40" w:after="120"/>
              <w:ind w:right="113"/>
            </w:pPr>
            <w:r w:rsidRPr="00B713EE">
              <w:t xml:space="preserve">RTM </w:t>
            </w:r>
            <w:r w:rsidR="00FC5FE9">
              <w:rPr>
                <w:rFonts w:eastAsia="MS Mincho"/>
              </w:rPr>
              <w:t>n</w:t>
            </w:r>
            <w:r w:rsidR="00FC5FE9">
              <w:rPr>
                <w:rFonts w:eastAsia="MS Mincho"/>
                <w:vertAlign w:val="superscript"/>
              </w:rPr>
              <w:t>o</w:t>
            </w:r>
            <w:r w:rsidR="00FC5FE9">
              <w:t> </w:t>
            </w:r>
            <w:r w:rsidR="00903788">
              <w:t>7 sur les appuie-tête −</w:t>
            </w:r>
            <w:r w:rsidRPr="00B713EE">
              <w:t xml:space="preserve"> Élaboration de la Phase 2</w:t>
            </w:r>
          </w:p>
        </w:tc>
        <w:tc>
          <w:tcPr>
            <w:tcW w:w="1559" w:type="dxa"/>
            <w:shd w:val="clear" w:color="auto" w:fill="auto"/>
          </w:tcPr>
          <w:p w:rsidR="00CD04C1" w:rsidRPr="00B713EE" w:rsidRDefault="004B16FD" w:rsidP="00931B50">
            <w:pPr>
              <w:spacing w:before="40" w:after="120"/>
              <w:ind w:right="113"/>
            </w:pPr>
            <w:r>
              <w:t>M. </w:t>
            </w:r>
            <w:r w:rsidR="00CD04C1" w:rsidRPr="00B713EE">
              <w:t>B. Frost</w:t>
            </w:r>
          </w:p>
        </w:tc>
        <w:tc>
          <w:tcPr>
            <w:tcW w:w="1418" w:type="dxa"/>
            <w:shd w:val="clear" w:color="auto" w:fill="auto"/>
          </w:tcPr>
          <w:p w:rsidR="00CD04C1" w:rsidRPr="00B713EE" w:rsidRDefault="00CD04C1" w:rsidP="00931B50">
            <w:pPr>
              <w:spacing w:before="40" w:after="120"/>
              <w:ind w:right="113"/>
            </w:pPr>
            <w:r w:rsidRPr="00B713EE">
              <w:t xml:space="preserve">Royaume-Uni </w:t>
            </w:r>
          </w:p>
        </w:tc>
        <w:tc>
          <w:tcPr>
            <w:tcW w:w="1295" w:type="dxa"/>
          </w:tcPr>
          <w:p w:rsidR="00CD04C1" w:rsidRPr="00B713EE" w:rsidRDefault="00CD04C1" w:rsidP="00931B50">
            <w:pPr>
              <w:spacing w:before="40" w:after="120"/>
              <w:ind w:right="113"/>
            </w:pPr>
            <w:r w:rsidRPr="00B713EE">
              <w:t>Juin 2018</w:t>
            </w:r>
          </w:p>
        </w:tc>
      </w:tr>
      <w:tr w:rsidR="00CD04C1" w:rsidRPr="00B713EE" w:rsidTr="00FE6535">
        <w:trPr>
          <w:cantSplit/>
          <w:jc w:val="center"/>
        </w:trPr>
        <w:tc>
          <w:tcPr>
            <w:tcW w:w="709" w:type="dxa"/>
            <w:shd w:val="clear" w:color="auto" w:fill="auto"/>
          </w:tcPr>
          <w:p w:rsidR="00CD04C1" w:rsidRPr="00B713EE" w:rsidRDefault="00CD04C1" w:rsidP="00931B50">
            <w:pPr>
              <w:spacing w:before="40" w:after="120"/>
              <w:ind w:right="113"/>
            </w:pPr>
          </w:p>
        </w:tc>
        <w:tc>
          <w:tcPr>
            <w:tcW w:w="4678" w:type="dxa"/>
            <w:shd w:val="clear" w:color="auto" w:fill="auto"/>
          </w:tcPr>
          <w:p w:rsidR="00CD04C1" w:rsidRPr="00B713EE" w:rsidRDefault="00CD04C1" w:rsidP="00931B50">
            <w:pPr>
              <w:spacing w:before="40" w:after="120"/>
              <w:ind w:right="113"/>
            </w:pPr>
            <w:r w:rsidRPr="00B713EE">
              <w:t>Dispositifs de retenue pour enfants (DRE)</w:t>
            </w:r>
          </w:p>
        </w:tc>
        <w:tc>
          <w:tcPr>
            <w:tcW w:w="1559" w:type="dxa"/>
            <w:shd w:val="clear" w:color="auto" w:fill="auto"/>
          </w:tcPr>
          <w:p w:rsidR="00CD04C1" w:rsidRPr="00B713EE" w:rsidRDefault="004B16FD" w:rsidP="00931B50">
            <w:pPr>
              <w:spacing w:before="40" w:after="120"/>
              <w:ind w:right="113"/>
            </w:pPr>
            <w:r>
              <w:t>M. </w:t>
            </w:r>
            <w:r w:rsidR="00CD04C1" w:rsidRPr="00B713EE">
              <w:t>P. Castaing</w:t>
            </w:r>
          </w:p>
        </w:tc>
        <w:tc>
          <w:tcPr>
            <w:tcW w:w="1418" w:type="dxa"/>
            <w:shd w:val="clear" w:color="auto" w:fill="auto"/>
          </w:tcPr>
          <w:p w:rsidR="00CD04C1" w:rsidRPr="00B713EE" w:rsidRDefault="00CD04C1" w:rsidP="00931B50">
            <w:pPr>
              <w:spacing w:before="40" w:after="120"/>
              <w:ind w:right="113"/>
            </w:pPr>
            <w:r w:rsidRPr="00B713EE">
              <w:t>France</w:t>
            </w:r>
          </w:p>
        </w:tc>
        <w:tc>
          <w:tcPr>
            <w:tcW w:w="1295" w:type="dxa"/>
          </w:tcPr>
          <w:p w:rsidR="00CD04C1" w:rsidRPr="00B713EE" w:rsidRDefault="00CD04C1" w:rsidP="00931B50">
            <w:pPr>
              <w:spacing w:before="40" w:after="120"/>
              <w:ind w:right="113"/>
            </w:pPr>
            <w:r w:rsidRPr="00B713EE">
              <w:t>Décembre 2017</w:t>
            </w:r>
          </w:p>
        </w:tc>
      </w:tr>
      <w:tr w:rsidR="00CD04C1" w:rsidRPr="00B713EE" w:rsidTr="00FE6535">
        <w:trPr>
          <w:cantSplit/>
          <w:jc w:val="center"/>
        </w:trPr>
        <w:tc>
          <w:tcPr>
            <w:tcW w:w="709" w:type="dxa"/>
            <w:shd w:val="clear" w:color="auto" w:fill="auto"/>
          </w:tcPr>
          <w:p w:rsidR="00CD04C1" w:rsidRPr="00B713EE" w:rsidRDefault="00CD04C1" w:rsidP="00931B50">
            <w:pPr>
              <w:spacing w:before="40" w:after="120"/>
              <w:ind w:right="113"/>
            </w:pPr>
          </w:p>
        </w:tc>
        <w:tc>
          <w:tcPr>
            <w:tcW w:w="4678" w:type="dxa"/>
            <w:shd w:val="clear" w:color="auto" w:fill="auto"/>
          </w:tcPr>
          <w:p w:rsidR="00CD04C1" w:rsidRPr="00B713EE" w:rsidRDefault="00CD04C1" w:rsidP="00931B50">
            <w:pPr>
              <w:spacing w:before="40" w:after="120"/>
              <w:ind w:right="113"/>
            </w:pPr>
            <w:r w:rsidRPr="00B713EE">
              <w:t xml:space="preserve">RTM </w:t>
            </w:r>
            <w:r w:rsidR="00FC5FE9">
              <w:rPr>
                <w:rFonts w:eastAsia="MS Mincho"/>
              </w:rPr>
              <w:t>n</w:t>
            </w:r>
            <w:r w:rsidR="00FC5FE9">
              <w:rPr>
                <w:rFonts w:eastAsia="MS Mincho"/>
                <w:vertAlign w:val="superscript"/>
              </w:rPr>
              <w:t>o</w:t>
            </w:r>
            <w:r w:rsidR="00FC5FE9">
              <w:t> </w:t>
            </w:r>
            <w:r w:rsidRPr="00B713EE">
              <w:t>9 de l</w:t>
            </w:r>
            <w:r w:rsidR="007C2F80">
              <w:t>’</w:t>
            </w:r>
            <w:r w:rsidRPr="00B713EE">
              <w:t>ON</w:t>
            </w:r>
            <w:r w:rsidR="00903788">
              <w:t>U sur la sécurité des piétons − </w:t>
            </w:r>
            <w:r w:rsidRPr="00B713EE">
              <w:t>Élaboration de la Phase 2</w:t>
            </w:r>
          </w:p>
        </w:tc>
        <w:tc>
          <w:tcPr>
            <w:tcW w:w="1559" w:type="dxa"/>
            <w:shd w:val="clear" w:color="auto" w:fill="auto"/>
          </w:tcPr>
          <w:p w:rsidR="00CD04C1" w:rsidRPr="00B713EE" w:rsidRDefault="004B16FD" w:rsidP="00931B50">
            <w:pPr>
              <w:spacing w:before="40" w:after="120"/>
              <w:ind w:right="113"/>
            </w:pPr>
            <w:r>
              <w:t>M. </w:t>
            </w:r>
            <w:r w:rsidR="00CD04C1" w:rsidRPr="00B713EE">
              <w:t>R. Damm</w:t>
            </w:r>
          </w:p>
        </w:tc>
        <w:tc>
          <w:tcPr>
            <w:tcW w:w="1418" w:type="dxa"/>
            <w:shd w:val="clear" w:color="auto" w:fill="auto"/>
          </w:tcPr>
          <w:p w:rsidR="00CD04C1" w:rsidRPr="00B713EE" w:rsidRDefault="00CD04C1" w:rsidP="00931B50">
            <w:pPr>
              <w:spacing w:before="40" w:after="120"/>
              <w:ind w:right="113"/>
            </w:pPr>
            <w:r w:rsidRPr="00B713EE">
              <w:t xml:space="preserve">Allemagne </w:t>
            </w:r>
          </w:p>
        </w:tc>
        <w:tc>
          <w:tcPr>
            <w:tcW w:w="1295" w:type="dxa"/>
          </w:tcPr>
          <w:p w:rsidR="00CD04C1" w:rsidRPr="00B713EE" w:rsidRDefault="00CD04C1" w:rsidP="00931B50">
            <w:pPr>
              <w:spacing w:before="40" w:after="120"/>
              <w:ind w:right="113"/>
            </w:pPr>
            <w:r w:rsidRPr="00B713EE">
              <w:t>Décembre 2017</w:t>
            </w:r>
          </w:p>
        </w:tc>
      </w:tr>
      <w:tr w:rsidR="00CD04C1" w:rsidRPr="00B713EE" w:rsidTr="00FE6535">
        <w:trPr>
          <w:cantSplit/>
          <w:jc w:val="center"/>
        </w:trPr>
        <w:tc>
          <w:tcPr>
            <w:tcW w:w="709" w:type="dxa"/>
            <w:shd w:val="clear" w:color="auto" w:fill="auto"/>
          </w:tcPr>
          <w:p w:rsidR="00CD04C1" w:rsidRPr="00B713EE" w:rsidRDefault="00CD04C1" w:rsidP="00931B50">
            <w:pPr>
              <w:spacing w:before="40" w:after="120"/>
              <w:ind w:right="113"/>
              <w:rPr>
                <w:color w:val="FF0000"/>
              </w:rPr>
            </w:pPr>
          </w:p>
        </w:tc>
        <w:tc>
          <w:tcPr>
            <w:tcW w:w="4678" w:type="dxa"/>
            <w:shd w:val="clear" w:color="auto" w:fill="auto"/>
          </w:tcPr>
          <w:p w:rsidR="00CD04C1" w:rsidRPr="00B713EE" w:rsidRDefault="00CD04C1" w:rsidP="00931B50">
            <w:pPr>
              <w:spacing w:before="40" w:after="120"/>
              <w:ind w:right="113"/>
            </w:pPr>
            <w:r w:rsidRPr="00B713EE">
              <w:t>Sécurité des véhicules électriques (SVE)</w:t>
            </w:r>
          </w:p>
        </w:tc>
        <w:tc>
          <w:tcPr>
            <w:tcW w:w="1559" w:type="dxa"/>
            <w:shd w:val="clear" w:color="auto" w:fill="auto"/>
          </w:tcPr>
          <w:p w:rsidR="00CD04C1" w:rsidRPr="00B713EE" w:rsidRDefault="004B16FD" w:rsidP="00931B50">
            <w:pPr>
              <w:spacing w:before="40" w:after="120"/>
              <w:ind w:right="113"/>
            </w:pPr>
            <w:r>
              <w:t>M. </w:t>
            </w:r>
            <w:r w:rsidR="00CD04C1" w:rsidRPr="00B713EE">
              <w:t>N. Nguyen</w:t>
            </w:r>
          </w:p>
        </w:tc>
        <w:tc>
          <w:tcPr>
            <w:tcW w:w="1418" w:type="dxa"/>
            <w:shd w:val="clear" w:color="auto" w:fill="auto"/>
          </w:tcPr>
          <w:p w:rsidR="00CD04C1" w:rsidRPr="00B713EE" w:rsidRDefault="00CD04C1" w:rsidP="00A95C25">
            <w:pPr>
              <w:spacing w:before="40" w:after="120"/>
              <w:ind w:right="113"/>
            </w:pPr>
            <w:r w:rsidRPr="00B713EE">
              <w:t>États-Unis d</w:t>
            </w:r>
            <w:r w:rsidR="007C2F80">
              <w:t>’</w:t>
            </w:r>
            <w:r w:rsidRPr="00B713EE">
              <w:t>Amérique</w:t>
            </w:r>
          </w:p>
        </w:tc>
        <w:tc>
          <w:tcPr>
            <w:tcW w:w="1295" w:type="dxa"/>
          </w:tcPr>
          <w:p w:rsidR="00CD04C1" w:rsidRPr="00B713EE" w:rsidRDefault="00CD04C1" w:rsidP="00931B50">
            <w:pPr>
              <w:spacing w:before="40" w:after="120"/>
              <w:ind w:right="113"/>
            </w:pPr>
            <w:r w:rsidRPr="00B713EE">
              <w:t>Décembre 2017</w:t>
            </w:r>
          </w:p>
        </w:tc>
      </w:tr>
      <w:tr w:rsidR="00CD04C1" w:rsidRPr="00B713EE" w:rsidTr="00FE6535">
        <w:trPr>
          <w:cantSplit/>
          <w:jc w:val="center"/>
        </w:trPr>
        <w:tc>
          <w:tcPr>
            <w:tcW w:w="709" w:type="dxa"/>
            <w:shd w:val="clear" w:color="auto" w:fill="auto"/>
          </w:tcPr>
          <w:p w:rsidR="00CD04C1" w:rsidRPr="00B713EE" w:rsidRDefault="00CD04C1" w:rsidP="00931B50">
            <w:pPr>
              <w:spacing w:before="40" w:after="120"/>
              <w:ind w:right="113"/>
            </w:pPr>
          </w:p>
        </w:tc>
        <w:tc>
          <w:tcPr>
            <w:tcW w:w="4678" w:type="dxa"/>
            <w:shd w:val="clear" w:color="auto" w:fill="auto"/>
          </w:tcPr>
          <w:p w:rsidR="00CD04C1" w:rsidRPr="00B713EE" w:rsidRDefault="00CD04C1" w:rsidP="00931B50">
            <w:pPr>
              <w:spacing w:before="40" w:after="120"/>
              <w:ind w:right="113"/>
            </w:pPr>
            <w:r w:rsidRPr="00B713EE">
              <w:t>Spécifications de la machine 3D-H</w:t>
            </w:r>
          </w:p>
        </w:tc>
        <w:tc>
          <w:tcPr>
            <w:tcW w:w="1559" w:type="dxa"/>
            <w:shd w:val="clear" w:color="auto" w:fill="auto"/>
          </w:tcPr>
          <w:p w:rsidR="00CD04C1" w:rsidRPr="00B713EE" w:rsidRDefault="004B16FD" w:rsidP="00931B50">
            <w:pPr>
              <w:spacing w:before="40" w:after="120"/>
              <w:ind w:right="113"/>
            </w:pPr>
            <w:r>
              <w:t>M. </w:t>
            </w:r>
            <w:r w:rsidR="00CD04C1" w:rsidRPr="00B713EE">
              <w:t>L. Martinez</w:t>
            </w:r>
          </w:p>
        </w:tc>
        <w:tc>
          <w:tcPr>
            <w:tcW w:w="1418" w:type="dxa"/>
            <w:shd w:val="clear" w:color="auto" w:fill="auto"/>
          </w:tcPr>
          <w:p w:rsidR="00CD04C1" w:rsidRPr="00B713EE" w:rsidRDefault="00CD04C1" w:rsidP="00931B50">
            <w:pPr>
              <w:spacing w:before="40" w:after="120"/>
              <w:ind w:right="113"/>
            </w:pPr>
            <w:r w:rsidRPr="00B713EE">
              <w:t>Espagne</w:t>
            </w:r>
          </w:p>
        </w:tc>
        <w:tc>
          <w:tcPr>
            <w:tcW w:w="1295" w:type="dxa"/>
          </w:tcPr>
          <w:p w:rsidR="00CD04C1" w:rsidRPr="00B713EE" w:rsidRDefault="00CD04C1" w:rsidP="00931B50">
            <w:pPr>
              <w:spacing w:before="40" w:after="120"/>
              <w:ind w:right="113"/>
            </w:pPr>
            <w:r w:rsidRPr="00B713EE">
              <w:t>À déterminer</w:t>
            </w:r>
          </w:p>
        </w:tc>
      </w:tr>
      <w:tr w:rsidR="00CD04C1" w:rsidRPr="00B713EE" w:rsidTr="00FE6535">
        <w:trPr>
          <w:cantSplit/>
          <w:jc w:val="center"/>
        </w:trPr>
        <w:tc>
          <w:tcPr>
            <w:tcW w:w="709" w:type="dxa"/>
            <w:shd w:val="clear" w:color="auto" w:fill="auto"/>
          </w:tcPr>
          <w:p w:rsidR="00CD04C1" w:rsidRPr="00B713EE" w:rsidRDefault="00CD04C1" w:rsidP="00931B50">
            <w:pPr>
              <w:spacing w:before="40" w:after="120"/>
              <w:ind w:right="113"/>
            </w:pPr>
          </w:p>
        </w:tc>
        <w:tc>
          <w:tcPr>
            <w:tcW w:w="4678" w:type="dxa"/>
            <w:shd w:val="clear" w:color="auto" w:fill="auto"/>
          </w:tcPr>
          <w:p w:rsidR="00CD04C1" w:rsidRPr="00B713EE" w:rsidRDefault="00CD04C1" w:rsidP="00903788">
            <w:pPr>
              <w:spacing w:before="40" w:after="120"/>
              <w:ind w:right="113"/>
            </w:pPr>
            <w:r w:rsidRPr="00B713EE">
              <w:t xml:space="preserve">Règlement technique mondial (RTM) </w:t>
            </w:r>
            <w:r w:rsidR="00FC5FE9">
              <w:rPr>
                <w:rFonts w:eastAsia="MS Mincho"/>
              </w:rPr>
              <w:t>n</w:t>
            </w:r>
            <w:r w:rsidR="00FC5FE9">
              <w:rPr>
                <w:rFonts w:eastAsia="MS Mincho"/>
                <w:vertAlign w:val="superscript"/>
              </w:rPr>
              <w:t>o</w:t>
            </w:r>
            <w:r w:rsidR="00FC5FE9">
              <w:t> </w:t>
            </w:r>
            <w:r w:rsidRPr="00B713EE">
              <w:t xml:space="preserve">13 sur les véhicules à hydrogène et à pile à combustible </w:t>
            </w:r>
            <w:r w:rsidR="00903788">
              <w:t>−</w:t>
            </w:r>
            <w:r w:rsidRPr="00B713EE">
              <w:t xml:space="preserve"> Sous-groupe des questions de sécurité (VHPC-SGS)</w:t>
            </w:r>
          </w:p>
        </w:tc>
        <w:tc>
          <w:tcPr>
            <w:tcW w:w="1559" w:type="dxa"/>
            <w:shd w:val="clear" w:color="auto" w:fill="auto"/>
          </w:tcPr>
          <w:p w:rsidR="00CD04C1" w:rsidRPr="00B713EE" w:rsidRDefault="00CD04C1" w:rsidP="00931B50">
            <w:pPr>
              <w:spacing w:before="40" w:after="120"/>
              <w:ind w:right="113"/>
            </w:pPr>
            <w:r w:rsidRPr="00B713EE">
              <w:t>À déterminer</w:t>
            </w:r>
          </w:p>
        </w:tc>
        <w:tc>
          <w:tcPr>
            <w:tcW w:w="1418" w:type="dxa"/>
            <w:shd w:val="clear" w:color="auto" w:fill="auto"/>
          </w:tcPr>
          <w:p w:rsidR="00CD04C1" w:rsidRPr="00B713EE" w:rsidRDefault="00CD04C1" w:rsidP="00931B50">
            <w:pPr>
              <w:spacing w:before="40" w:after="120"/>
              <w:ind w:right="113"/>
            </w:pPr>
            <w:r w:rsidRPr="00B713EE">
              <w:t>À déterminer</w:t>
            </w:r>
          </w:p>
        </w:tc>
        <w:tc>
          <w:tcPr>
            <w:tcW w:w="1295" w:type="dxa"/>
          </w:tcPr>
          <w:p w:rsidR="00CD04C1" w:rsidRPr="00B713EE" w:rsidRDefault="00CD04C1" w:rsidP="00931B50">
            <w:pPr>
              <w:spacing w:before="40" w:after="120"/>
              <w:ind w:right="113"/>
            </w:pPr>
            <w:r w:rsidRPr="00B713EE">
              <w:t>2020</w:t>
            </w:r>
          </w:p>
        </w:tc>
      </w:tr>
      <w:tr w:rsidR="00CD04C1" w:rsidRPr="00B713EE" w:rsidTr="00FE6535">
        <w:trPr>
          <w:cantSplit/>
          <w:jc w:val="center"/>
        </w:trPr>
        <w:tc>
          <w:tcPr>
            <w:tcW w:w="709" w:type="dxa"/>
            <w:shd w:val="clear" w:color="auto" w:fill="auto"/>
          </w:tcPr>
          <w:p w:rsidR="00CD04C1" w:rsidRPr="00B713EE" w:rsidRDefault="00CD04C1" w:rsidP="00931B50">
            <w:pPr>
              <w:spacing w:before="40" w:after="120"/>
              <w:ind w:right="113"/>
              <w:rPr>
                <w:b/>
                <w:bCs/>
              </w:rPr>
            </w:pPr>
            <w:r w:rsidRPr="00B713EE">
              <w:rPr>
                <w:b/>
                <w:bCs/>
              </w:rPr>
              <w:t>GRSG</w:t>
            </w:r>
          </w:p>
        </w:tc>
        <w:tc>
          <w:tcPr>
            <w:tcW w:w="4678" w:type="dxa"/>
            <w:shd w:val="clear" w:color="auto" w:fill="auto"/>
          </w:tcPr>
          <w:p w:rsidR="00CD04C1" w:rsidRPr="00B713EE" w:rsidRDefault="00CD04C1" w:rsidP="00931B50">
            <w:pPr>
              <w:spacing w:before="40" w:after="120"/>
              <w:ind w:right="113"/>
              <w:rPr>
                <w:b/>
                <w:bCs/>
              </w:rPr>
            </w:pPr>
            <w:r w:rsidRPr="00B713EE">
              <w:rPr>
                <w:b/>
                <w:bCs/>
              </w:rPr>
              <w:t>Dispositions générales de sécurité</w:t>
            </w:r>
          </w:p>
        </w:tc>
        <w:tc>
          <w:tcPr>
            <w:tcW w:w="1559" w:type="dxa"/>
            <w:shd w:val="clear" w:color="auto" w:fill="auto"/>
          </w:tcPr>
          <w:p w:rsidR="00CD04C1" w:rsidRPr="00567416" w:rsidRDefault="004B16FD" w:rsidP="00931B50">
            <w:pPr>
              <w:spacing w:before="40" w:after="120"/>
              <w:ind w:right="113"/>
              <w:rPr>
                <w:b/>
                <w:bCs/>
                <w:lang w:val="en-US"/>
              </w:rPr>
            </w:pPr>
            <w:r>
              <w:rPr>
                <w:b/>
                <w:bCs/>
                <w:lang w:val="en-US"/>
              </w:rPr>
              <w:t>M. </w:t>
            </w:r>
            <w:r w:rsidR="00CD04C1" w:rsidRPr="00567416">
              <w:rPr>
                <w:b/>
                <w:bCs/>
                <w:lang w:val="en-US"/>
              </w:rPr>
              <w:t>A. Erario</w:t>
            </w:r>
            <w:r w:rsidR="00CD04C1" w:rsidRPr="00567416">
              <w:rPr>
                <w:b/>
                <w:bCs/>
                <w:lang w:val="en-US"/>
              </w:rPr>
              <w:br/>
            </w:r>
            <w:r>
              <w:rPr>
                <w:b/>
                <w:bCs/>
                <w:lang w:val="en-US"/>
              </w:rPr>
              <w:t>M. </w:t>
            </w:r>
            <w:r w:rsidR="00CD04C1" w:rsidRPr="00567416">
              <w:rPr>
                <w:b/>
                <w:bCs/>
                <w:lang w:val="en-US"/>
              </w:rPr>
              <w:t>K. Hendershot</w:t>
            </w:r>
          </w:p>
        </w:tc>
        <w:tc>
          <w:tcPr>
            <w:tcW w:w="1418" w:type="dxa"/>
            <w:shd w:val="clear" w:color="auto" w:fill="auto"/>
          </w:tcPr>
          <w:p w:rsidR="00CD04C1" w:rsidRPr="00B713EE" w:rsidRDefault="00CD04C1" w:rsidP="00931B50">
            <w:pPr>
              <w:spacing w:before="40" w:after="120"/>
              <w:ind w:right="113"/>
              <w:rPr>
                <w:b/>
                <w:bCs/>
              </w:rPr>
            </w:pPr>
            <w:r w:rsidRPr="00B713EE">
              <w:rPr>
                <w:b/>
                <w:bCs/>
              </w:rPr>
              <w:t>Italie</w:t>
            </w:r>
            <w:r w:rsidRPr="00B713EE">
              <w:rPr>
                <w:b/>
                <w:bCs/>
              </w:rPr>
              <w:br/>
              <w:t>Canada</w:t>
            </w:r>
          </w:p>
        </w:tc>
        <w:tc>
          <w:tcPr>
            <w:tcW w:w="1295" w:type="dxa"/>
          </w:tcPr>
          <w:p w:rsidR="00CD04C1" w:rsidRPr="00B713EE" w:rsidRDefault="00CD04C1" w:rsidP="00931B50">
            <w:pPr>
              <w:spacing w:before="40" w:after="120"/>
              <w:ind w:right="113"/>
              <w:rPr>
                <w:bCs/>
              </w:rPr>
            </w:pPr>
            <w:r w:rsidRPr="00B713EE">
              <w:rPr>
                <w:bCs/>
              </w:rPr>
              <w:t>2018</w:t>
            </w:r>
          </w:p>
        </w:tc>
      </w:tr>
      <w:tr w:rsidR="00CD04C1" w:rsidRPr="00B713EE" w:rsidTr="00305D70">
        <w:trPr>
          <w:cantSplit/>
          <w:jc w:val="center"/>
        </w:trPr>
        <w:tc>
          <w:tcPr>
            <w:tcW w:w="709" w:type="dxa"/>
            <w:tcBorders>
              <w:bottom w:val="single" w:sz="4" w:space="0" w:color="auto"/>
            </w:tcBorders>
            <w:shd w:val="clear" w:color="auto" w:fill="auto"/>
          </w:tcPr>
          <w:p w:rsidR="00CD04C1" w:rsidRPr="00B713EE" w:rsidRDefault="00CD04C1" w:rsidP="00931B50">
            <w:pPr>
              <w:spacing w:before="40" w:after="120"/>
              <w:ind w:right="113"/>
            </w:pPr>
          </w:p>
        </w:tc>
        <w:tc>
          <w:tcPr>
            <w:tcW w:w="4678" w:type="dxa"/>
            <w:tcBorders>
              <w:bottom w:val="single" w:sz="4" w:space="0" w:color="auto"/>
            </w:tcBorders>
            <w:shd w:val="clear" w:color="auto" w:fill="auto"/>
          </w:tcPr>
          <w:p w:rsidR="00CD04C1" w:rsidRPr="00B713EE" w:rsidRDefault="00CD04C1" w:rsidP="00931B50">
            <w:pPr>
              <w:spacing w:before="40" w:after="120"/>
              <w:ind w:right="113"/>
            </w:pPr>
            <w:r w:rsidRPr="00B713EE">
              <w:t>Vitrages de toit panoramique (VTP)</w:t>
            </w:r>
          </w:p>
        </w:tc>
        <w:tc>
          <w:tcPr>
            <w:tcW w:w="1559" w:type="dxa"/>
            <w:tcBorders>
              <w:bottom w:val="single" w:sz="4" w:space="0" w:color="auto"/>
            </w:tcBorders>
            <w:shd w:val="clear" w:color="auto" w:fill="auto"/>
          </w:tcPr>
          <w:p w:rsidR="00CD04C1" w:rsidRPr="00B713EE" w:rsidRDefault="004B16FD" w:rsidP="00931B50">
            <w:pPr>
              <w:spacing w:before="40" w:after="120"/>
              <w:ind w:right="113"/>
            </w:pPr>
            <w:r>
              <w:t>M. </w:t>
            </w:r>
            <w:r w:rsidR="00CD04C1" w:rsidRPr="00B713EE">
              <w:t>S. Eom</w:t>
            </w:r>
          </w:p>
        </w:tc>
        <w:tc>
          <w:tcPr>
            <w:tcW w:w="1418" w:type="dxa"/>
            <w:tcBorders>
              <w:bottom w:val="single" w:sz="4" w:space="0" w:color="auto"/>
            </w:tcBorders>
            <w:shd w:val="clear" w:color="auto" w:fill="auto"/>
          </w:tcPr>
          <w:p w:rsidR="00CD04C1" w:rsidRPr="00B713EE" w:rsidRDefault="00A95C25" w:rsidP="00931B50">
            <w:pPr>
              <w:spacing w:before="40" w:after="120"/>
              <w:ind w:right="113"/>
            </w:pPr>
            <w:r>
              <w:t xml:space="preserve">République </w:t>
            </w:r>
            <w:r>
              <w:br/>
              <w:t xml:space="preserve">de </w:t>
            </w:r>
            <w:r w:rsidRPr="00B713EE">
              <w:t>Corée</w:t>
            </w:r>
          </w:p>
        </w:tc>
        <w:tc>
          <w:tcPr>
            <w:tcW w:w="1295" w:type="dxa"/>
            <w:tcBorders>
              <w:bottom w:val="single" w:sz="4" w:space="0" w:color="auto"/>
            </w:tcBorders>
          </w:tcPr>
          <w:p w:rsidR="00CD04C1" w:rsidRPr="00B713EE" w:rsidRDefault="00CD04C1" w:rsidP="00931B50">
            <w:pPr>
              <w:spacing w:before="40" w:after="120"/>
              <w:ind w:right="113"/>
            </w:pPr>
            <w:r w:rsidRPr="00B713EE">
              <w:t>Juin 2018</w:t>
            </w:r>
          </w:p>
        </w:tc>
      </w:tr>
      <w:tr w:rsidR="00CD04C1" w:rsidRPr="00B713EE" w:rsidTr="00305D70">
        <w:trPr>
          <w:cantSplit/>
          <w:jc w:val="center"/>
        </w:trPr>
        <w:tc>
          <w:tcPr>
            <w:tcW w:w="709" w:type="dxa"/>
            <w:tcBorders>
              <w:top w:val="single" w:sz="4" w:space="0" w:color="auto"/>
              <w:bottom w:val="nil"/>
            </w:tcBorders>
            <w:shd w:val="clear" w:color="auto" w:fill="auto"/>
          </w:tcPr>
          <w:p w:rsidR="00CD04C1" w:rsidRPr="00B713EE" w:rsidRDefault="00CD04C1" w:rsidP="00931B50">
            <w:pPr>
              <w:spacing w:before="40" w:after="120"/>
              <w:ind w:right="113"/>
            </w:pPr>
          </w:p>
        </w:tc>
        <w:tc>
          <w:tcPr>
            <w:tcW w:w="4678" w:type="dxa"/>
            <w:tcBorders>
              <w:top w:val="single" w:sz="4" w:space="0" w:color="auto"/>
              <w:bottom w:val="nil"/>
            </w:tcBorders>
            <w:shd w:val="clear" w:color="auto" w:fill="auto"/>
          </w:tcPr>
          <w:p w:rsidR="00CD04C1" w:rsidRPr="00B713EE" w:rsidRDefault="00CD04C1" w:rsidP="00931B50">
            <w:pPr>
              <w:spacing w:before="40" w:after="120"/>
              <w:ind w:right="113"/>
            </w:pPr>
            <w:r w:rsidRPr="00B713EE">
              <w:t>Vision rapprochée et systèmes de détection d</w:t>
            </w:r>
            <w:r w:rsidR="007C2F80">
              <w:t>’</w:t>
            </w:r>
            <w:r w:rsidRPr="00B713EE">
              <w:t xml:space="preserve">obstacle </w:t>
            </w:r>
          </w:p>
        </w:tc>
        <w:tc>
          <w:tcPr>
            <w:tcW w:w="1559" w:type="dxa"/>
            <w:tcBorders>
              <w:top w:val="single" w:sz="4" w:space="0" w:color="auto"/>
              <w:bottom w:val="nil"/>
            </w:tcBorders>
            <w:shd w:val="clear" w:color="auto" w:fill="auto"/>
          </w:tcPr>
          <w:p w:rsidR="00CD04C1" w:rsidRPr="00B713EE" w:rsidRDefault="00CD04C1" w:rsidP="00931B50">
            <w:pPr>
              <w:spacing w:before="40" w:after="120"/>
              <w:ind w:right="113"/>
            </w:pPr>
            <w:r w:rsidRPr="00B713EE">
              <w:t>À déterminer</w:t>
            </w:r>
          </w:p>
        </w:tc>
        <w:tc>
          <w:tcPr>
            <w:tcW w:w="1418" w:type="dxa"/>
            <w:tcBorders>
              <w:top w:val="single" w:sz="4" w:space="0" w:color="auto"/>
              <w:bottom w:val="nil"/>
            </w:tcBorders>
            <w:shd w:val="clear" w:color="auto" w:fill="auto"/>
          </w:tcPr>
          <w:p w:rsidR="00CD04C1" w:rsidRPr="00B713EE" w:rsidRDefault="00CD04C1" w:rsidP="00931B50">
            <w:pPr>
              <w:spacing w:before="40" w:after="120"/>
              <w:ind w:right="113"/>
            </w:pPr>
            <w:r w:rsidRPr="00B713EE">
              <w:t>À déterminer</w:t>
            </w:r>
          </w:p>
        </w:tc>
        <w:tc>
          <w:tcPr>
            <w:tcW w:w="1295" w:type="dxa"/>
            <w:tcBorders>
              <w:top w:val="single" w:sz="4" w:space="0" w:color="auto"/>
              <w:bottom w:val="nil"/>
            </w:tcBorders>
          </w:tcPr>
          <w:p w:rsidR="00CD04C1" w:rsidRPr="00B713EE" w:rsidRDefault="00CD04C1" w:rsidP="00931B50">
            <w:pPr>
              <w:spacing w:before="40" w:after="120"/>
              <w:ind w:right="113"/>
              <w:rPr>
                <w:highlight w:val="yellow"/>
              </w:rPr>
            </w:pPr>
            <w:r w:rsidRPr="00B713EE">
              <w:t>À déterminer</w:t>
            </w:r>
          </w:p>
        </w:tc>
      </w:tr>
    </w:tbl>
    <w:p w:rsidR="00FC5FE9" w:rsidRPr="00B713EE" w:rsidRDefault="00FC5FE9" w:rsidP="00AA7C01">
      <w:pPr>
        <w:pStyle w:val="HChG"/>
        <w:ind w:firstLine="0"/>
      </w:pPr>
      <w:bookmarkStart w:id="110" w:name="_Toc478663195"/>
      <w:r>
        <w:tab/>
      </w:r>
      <w:r w:rsidRPr="00B713EE">
        <w:t>Forum mondial de l</w:t>
      </w:r>
      <w:r w:rsidR="007C2F80">
        <w:t>’</w:t>
      </w:r>
      <w:r w:rsidRPr="00B713EE">
        <w:t>harmonisation des Règlements c</w:t>
      </w:r>
      <w:r>
        <w:t>oncernant les véhicules (WP.29) </w:t>
      </w:r>
      <w:r w:rsidRPr="00B713EE">
        <w:t>: Comités d</w:t>
      </w:r>
      <w:r w:rsidR="007C2F80">
        <w:t>’</w:t>
      </w:r>
      <w:r w:rsidRPr="00B713EE">
        <w:t>administration/exécutifs et présidence (01/03/2017)</w:t>
      </w:r>
    </w:p>
    <w:tbl>
      <w:tblPr>
        <w:tblW w:w="9639" w:type="dxa"/>
        <w:jc w:val="center"/>
        <w:tblBorders>
          <w:top w:val="single" w:sz="12" w:space="0" w:color="auto"/>
          <w:bottom w:val="single" w:sz="12" w:space="0" w:color="auto"/>
          <w:insideH w:val="single" w:sz="6" w:space="0" w:color="auto"/>
        </w:tblBorders>
        <w:tblLayout w:type="fixed"/>
        <w:tblCellMar>
          <w:left w:w="0" w:type="dxa"/>
          <w:right w:w="0" w:type="dxa"/>
        </w:tblCellMar>
        <w:tblLook w:val="0000" w:firstRow="0" w:lastRow="0" w:firstColumn="0" w:lastColumn="0" w:noHBand="0" w:noVBand="0"/>
      </w:tblPr>
      <w:tblGrid>
        <w:gridCol w:w="709"/>
        <w:gridCol w:w="4678"/>
        <w:gridCol w:w="1843"/>
        <w:gridCol w:w="1275"/>
        <w:gridCol w:w="1134"/>
      </w:tblGrid>
      <w:tr w:rsidR="00FC5FE9" w:rsidRPr="00B713EE" w:rsidTr="00305D70">
        <w:trPr>
          <w:cantSplit/>
          <w:tblHeader/>
          <w:jc w:val="center"/>
        </w:trPr>
        <w:tc>
          <w:tcPr>
            <w:tcW w:w="709" w:type="dxa"/>
            <w:tcBorders>
              <w:top w:val="single" w:sz="4" w:space="0" w:color="auto"/>
              <w:bottom w:val="single" w:sz="4" w:space="0" w:color="auto"/>
            </w:tcBorders>
            <w:shd w:val="clear" w:color="auto" w:fill="auto"/>
            <w:vAlign w:val="bottom"/>
          </w:tcPr>
          <w:p w:rsidR="00FC5FE9" w:rsidRPr="00B713EE" w:rsidRDefault="00FC5FE9" w:rsidP="00931B50">
            <w:pPr>
              <w:spacing w:before="40" w:after="40" w:line="220" w:lineRule="exact"/>
              <w:ind w:right="113"/>
              <w:rPr>
                <w:i/>
                <w:sz w:val="16"/>
              </w:rPr>
            </w:pPr>
            <w:r w:rsidRPr="00B713EE">
              <w:rPr>
                <w:i/>
                <w:sz w:val="16"/>
              </w:rPr>
              <w:t> </w:t>
            </w:r>
          </w:p>
        </w:tc>
        <w:tc>
          <w:tcPr>
            <w:tcW w:w="4678" w:type="dxa"/>
            <w:tcBorders>
              <w:top w:val="single" w:sz="4" w:space="0" w:color="auto"/>
              <w:bottom w:val="single" w:sz="4" w:space="0" w:color="auto"/>
            </w:tcBorders>
            <w:shd w:val="clear" w:color="auto" w:fill="auto"/>
            <w:vAlign w:val="bottom"/>
          </w:tcPr>
          <w:p w:rsidR="00FC5FE9" w:rsidRPr="00B713EE" w:rsidRDefault="00FC5FE9" w:rsidP="00931B50">
            <w:pPr>
              <w:spacing w:before="40" w:after="40" w:line="220" w:lineRule="exact"/>
              <w:ind w:right="113"/>
              <w:rPr>
                <w:bCs/>
                <w:i/>
                <w:sz w:val="16"/>
              </w:rPr>
            </w:pPr>
            <w:r w:rsidRPr="00B713EE">
              <w:rPr>
                <w:bCs/>
                <w:i/>
                <w:sz w:val="16"/>
              </w:rPr>
              <w:t xml:space="preserve">Comités </w:t>
            </w:r>
          </w:p>
        </w:tc>
        <w:tc>
          <w:tcPr>
            <w:tcW w:w="1843" w:type="dxa"/>
            <w:tcBorders>
              <w:top w:val="single" w:sz="4" w:space="0" w:color="auto"/>
              <w:bottom w:val="single" w:sz="4" w:space="0" w:color="auto"/>
            </w:tcBorders>
            <w:shd w:val="clear" w:color="auto" w:fill="auto"/>
            <w:vAlign w:val="bottom"/>
          </w:tcPr>
          <w:p w:rsidR="00FC5FE9" w:rsidRPr="00B713EE" w:rsidRDefault="00FC5FE9" w:rsidP="00931B50">
            <w:pPr>
              <w:spacing w:before="40" w:after="40" w:line="220" w:lineRule="exact"/>
              <w:ind w:right="113"/>
              <w:rPr>
                <w:bCs/>
                <w:i/>
                <w:sz w:val="16"/>
              </w:rPr>
            </w:pPr>
            <w:r w:rsidRPr="00B713EE">
              <w:rPr>
                <w:bCs/>
                <w:i/>
                <w:sz w:val="16"/>
              </w:rPr>
              <w:t>Président/</w:t>
            </w:r>
            <w:r w:rsidRPr="00B713EE">
              <w:rPr>
                <w:bCs/>
                <w:i/>
                <w:sz w:val="16"/>
              </w:rPr>
              <w:br/>
              <w:t>Vice-président</w:t>
            </w:r>
          </w:p>
        </w:tc>
        <w:tc>
          <w:tcPr>
            <w:tcW w:w="1275" w:type="dxa"/>
            <w:tcBorders>
              <w:top w:val="single" w:sz="4" w:space="0" w:color="auto"/>
              <w:bottom w:val="single" w:sz="4" w:space="0" w:color="auto"/>
            </w:tcBorders>
            <w:shd w:val="clear" w:color="auto" w:fill="auto"/>
            <w:vAlign w:val="bottom"/>
          </w:tcPr>
          <w:p w:rsidR="00FC5FE9" w:rsidRPr="00B713EE" w:rsidRDefault="00FC5FE9" w:rsidP="00931B50">
            <w:pPr>
              <w:spacing w:before="40" w:after="40" w:line="220" w:lineRule="exact"/>
              <w:ind w:right="113"/>
              <w:rPr>
                <w:bCs/>
                <w:i/>
                <w:sz w:val="16"/>
              </w:rPr>
            </w:pPr>
            <w:r w:rsidRPr="00B713EE">
              <w:rPr>
                <w:bCs/>
                <w:i/>
                <w:sz w:val="16"/>
              </w:rPr>
              <w:t>Pays</w:t>
            </w:r>
          </w:p>
        </w:tc>
        <w:tc>
          <w:tcPr>
            <w:tcW w:w="1134" w:type="dxa"/>
            <w:tcBorders>
              <w:top w:val="single" w:sz="4" w:space="0" w:color="auto"/>
              <w:bottom w:val="single" w:sz="4" w:space="0" w:color="auto"/>
            </w:tcBorders>
          </w:tcPr>
          <w:p w:rsidR="00FC5FE9" w:rsidRPr="00B713EE" w:rsidRDefault="00FC5FE9" w:rsidP="00931B50">
            <w:pPr>
              <w:spacing w:before="40" w:after="40" w:line="220" w:lineRule="exact"/>
              <w:ind w:right="113"/>
              <w:rPr>
                <w:bCs/>
                <w:i/>
                <w:sz w:val="16"/>
              </w:rPr>
            </w:pPr>
            <w:r w:rsidRPr="00B713EE">
              <w:rPr>
                <w:bCs/>
                <w:i/>
                <w:sz w:val="16"/>
              </w:rPr>
              <w:t>Date d</w:t>
            </w:r>
            <w:r w:rsidR="007C2F80">
              <w:rPr>
                <w:bCs/>
                <w:i/>
                <w:sz w:val="16"/>
              </w:rPr>
              <w:t>’</w:t>
            </w:r>
            <w:r w:rsidRPr="00B713EE">
              <w:rPr>
                <w:bCs/>
                <w:i/>
                <w:sz w:val="16"/>
              </w:rPr>
              <w:t xml:space="preserve">expiration </w:t>
            </w:r>
            <w:r w:rsidR="00AA7C01">
              <w:rPr>
                <w:bCs/>
                <w:i/>
                <w:sz w:val="16"/>
              </w:rPr>
              <w:br/>
            </w:r>
            <w:r w:rsidRPr="00B713EE">
              <w:rPr>
                <w:bCs/>
                <w:i/>
                <w:sz w:val="16"/>
              </w:rPr>
              <w:t>du mandat</w:t>
            </w:r>
          </w:p>
        </w:tc>
      </w:tr>
      <w:tr w:rsidR="00FC5FE9" w:rsidRPr="00B713EE" w:rsidTr="00305D70">
        <w:trPr>
          <w:cantSplit/>
          <w:jc w:val="center"/>
        </w:trPr>
        <w:tc>
          <w:tcPr>
            <w:tcW w:w="709" w:type="dxa"/>
            <w:tcBorders>
              <w:top w:val="single" w:sz="4" w:space="0" w:color="auto"/>
            </w:tcBorders>
            <w:shd w:val="clear" w:color="auto" w:fill="auto"/>
          </w:tcPr>
          <w:p w:rsidR="00FC5FE9" w:rsidRPr="00B713EE" w:rsidRDefault="00FC5FE9" w:rsidP="00931B50">
            <w:pPr>
              <w:spacing w:before="40" w:after="120"/>
              <w:ind w:right="113"/>
              <w:rPr>
                <w:b/>
                <w:bCs/>
              </w:rPr>
            </w:pPr>
            <w:r w:rsidRPr="00B713EE">
              <w:rPr>
                <w:b/>
                <w:bCs/>
              </w:rPr>
              <w:t>AC.1</w:t>
            </w:r>
          </w:p>
        </w:tc>
        <w:tc>
          <w:tcPr>
            <w:tcW w:w="4678" w:type="dxa"/>
            <w:tcBorders>
              <w:top w:val="single" w:sz="4" w:space="0" w:color="auto"/>
            </w:tcBorders>
            <w:shd w:val="clear" w:color="auto" w:fill="auto"/>
          </w:tcPr>
          <w:p w:rsidR="00FC5FE9" w:rsidRPr="00B713EE" w:rsidRDefault="00FC5FE9" w:rsidP="00931B50">
            <w:pPr>
              <w:spacing w:before="40" w:after="120"/>
              <w:ind w:right="113"/>
              <w:rPr>
                <w:b/>
                <w:bCs/>
              </w:rPr>
            </w:pPr>
            <w:r w:rsidRPr="00B713EE">
              <w:rPr>
                <w:b/>
                <w:bCs/>
              </w:rPr>
              <w:t>Comité d</w:t>
            </w:r>
            <w:r w:rsidR="007C2F80">
              <w:rPr>
                <w:b/>
                <w:bCs/>
              </w:rPr>
              <w:t>’</w:t>
            </w:r>
            <w:r w:rsidRPr="00B713EE">
              <w:rPr>
                <w:b/>
                <w:bCs/>
              </w:rPr>
              <w:t>administration de l</w:t>
            </w:r>
            <w:r w:rsidR="007C2F80">
              <w:rPr>
                <w:b/>
                <w:bCs/>
              </w:rPr>
              <w:t>’</w:t>
            </w:r>
            <w:r w:rsidRPr="00B713EE">
              <w:rPr>
                <w:b/>
                <w:bCs/>
              </w:rPr>
              <w:t xml:space="preserve">Accord de 1958 </w:t>
            </w:r>
          </w:p>
        </w:tc>
        <w:tc>
          <w:tcPr>
            <w:tcW w:w="1843" w:type="dxa"/>
            <w:tcBorders>
              <w:top w:val="single" w:sz="4" w:space="0" w:color="auto"/>
            </w:tcBorders>
            <w:shd w:val="clear" w:color="auto" w:fill="auto"/>
          </w:tcPr>
          <w:p w:rsidR="00FC5FE9" w:rsidRPr="00B713EE" w:rsidRDefault="004B16FD" w:rsidP="00931B50">
            <w:pPr>
              <w:spacing w:before="40" w:after="120"/>
              <w:ind w:right="113"/>
              <w:rPr>
                <w:b/>
                <w:bCs/>
              </w:rPr>
            </w:pPr>
            <w:r>
              <w:rPr>
                <w:b/>
                <w:bCs/>
              </w:rPr>
              <w:t>M. </w:t>
            </w:r>
            <w:r w:rsidR="00FC5FE9" w:rsidRPr="00B713EE">
              <w:rPr>
                <w:b/>
                <w:bCs/>
              </w:rPr>
              <w:t xml:space="preserve">A. Erario </w:t>
            </w:r>
            <w:r w:rsidR="00FC5FE9" w:rsidRPr="00B713EE">
              <w:rPr>
                <w:b/>
                <w:bCs/>
              </w:rPr>
              <w:br/>
            </w:r>
            <w:r>
              <w:rPr>
                <w:b/>
                <w:bCs/>
              </w:rPr>
              <w:t>M. </w:t>
            </w:r>
            <w:r w:rsidR="00FC5FE9" w:rsidRPr="00B713EE">
              <w:rPr>
                <w:b/>
                <w:bCs/>
              </w:rPr>
              <w:t>B. Kisulenko</w:t>
            </w:r>
          </w:p>
        </w:tc>
        <w:tc>
          <w:tcPr>
            <w:tcW w:w="1275" w:type="dxa"/>
            <w:tcBorders>
              <w:top w:val="single" w:sz="4" w:space="0" w:color="auto"/>
            </w:tcBorders>
            <w:shd w:val="clear" w:color="auto" w:fill="auto"/>
          </w:tcPr>
          <w:p w:rsidR="00FC5FE9" w:rsidRPr="00B713EE" w:rsidRDefault="00FC5FE9" w:rsidP="00931B50">
            <w:pPr>
              <w:spacing w:before="40" w:after="120"/>
              <w:ind w:right="113"/>
              <w:rPr>
                <w:b/>
                <w:bCs/>
              </w:rPr>
            </w:pPr>
            <w:r w:rsidRPr="00B713EE">
              <w:rPr>
                <w:b/>
                <w:bCs/>
              </w:rPr>
              <w:t xml:space="preserve">Italie </w:t>
            </w:r>
            <w:r w:rsidRPr="00B713EE">
              <w:rPr>
                <w:b/>
                <w:bCs/>
              </w:rPr>
              <w:br/>
              <w:t>Russie</w:t>
            </w:r>
          </w:p>
        </w:tc>
        <w:tc>
          <w:tcPr>
            <w:tcW w:w="1134" w:type="dxa"/>
            <w:tcBorders>
              <w:top w:val="single" w:sz="4" w:space="0" w:color="auto"/>
            </w:tcBorders>
          </w:tcPr>
          <w:p w:rsidR="00FC5FE9" w:rsidRPr="00B713EE" w:rsidRDefault="00FC5FE9" w:rsidP="00931B50">
            <w:pPr>
              <w:spacing w:before="40" w:after="120"/>
              <w:ind w:right="113"/>
              <w:rPr>
                <w:bCs/>
              </w:rPr>
            </w:pPr>
            <w:r w:rsidRPr="00B713EE">
              <w:rPr>
                <w:bCs/>
              </w:rPr>
              <w:t>Sans objet</w:t>
            </w:r>
          </w:p>
        </w:tc>
      </w:tr>
      <w:tr w:rsidR="00FC5FE9" w:rsidRPr="00B713EE" w:rsidTr="007C2F80">
        <w:trPr>
          <w:cantSplit/>
          <w:jc w:val="center"/>
        </w:trPr>
        <w:tc>
          <w:tcPr>
            <w:tcW w:w="709" w:type="dxa"/>
            <w:shd w:val="clear" w:color="auto" w:fill="auto"/>
          </w:tcPr>
          <w:p w:rsidR="00FC5FE9" w:rsidRPr="00B713EE" w:rsidRDefault="00FC5FE9" w:rsidP="00931B50">
            <w:pPr>
              <w:spacing w:before="40" w:after="120"/>
              <w:ind w:right="113"/>
              <w:rPr>
                <w:b/>
                <w:bCs/>
              </w:rPr>
            </w:pPr>
            <w:r w:rsidRPr="00B713EE">
              <w:rPr>
                <w:b/>
                <w:bCs/>
              </w:rPr>
              <w:t>AC.2</w:t>
            </w:r>
          </w:p>
        </w:tc>
        <w:tc>
          <w:tcPr>
            <w:tcW w:w="4678" w:type="dxa"/>
            <w:shd w:val="clear" w:color="auto" w:fill="auto"/>
          </w:tcPr>
          <w:p w:rsidR="00FC5FE9" w:rsidRPr="00B713EE" w:rsidRDefault="00FC5FE9" w:rsidP="00931B50">
            <w:pPr>
              <w:spacing w:before="40" w:after="120"/>
              <w:ind w:right="113"/>
              <w:rPr>
                <w:b/>
              </w:rPr>
            </w:pPr>
            <w:r w:rsidRPr="00B713EE">
              <w:rPr>
                <w:b/>
                <w:bCs/>
              </w:rPr>
              <w:t>Comité de gestion pour la coordination des travaux</w:t>
            </w:r>
          </w:p>
        </w:tc>
        <w:tc>
          <w:tcPr>
            <w:tcW w:w="1843" w:type="dxa"/>
            <w:shd w:val="clear" w:color="auto" w:fill="auto"/>
          </w:tcPr>
          <w:p w:rsidR="00FC5FE9" w:rsidRPr="00B713EE" w:rsidRDefault="004B16FD" w:rsidP="00931B50">
            <w:pPr>
              <w:spacing w:before="40" w:after="120"/>
              <w:ind w:right="113"/>
              <w:rPr>
                <w:b/>
              </w:rPr>
            </w:pPr>
            <w:r>
              <w:rPr>
                <w:b/>
                <w:bCs/>
              </w:rPr>
              <w:t>M. </w:t>
            </w:r>
            <w:r w:rsidR="00FC5FE9" w:rsidRPr="00B713EE">
              <w:rPr>
                <w:b/>
                <w:bCs/>
              </w:rPr>
              <w:t>A. Erario</w:t>
            </w:r>
          </w:p>
        </w:tc>
        <w:tc>
          <w:tcPr>
            <w:tcW w:w="1275" w:type="dxa"/>
            <w:shd w:val="clear" w:color="auto" w:fill="auto"/>
          </w:tcPr>
          <w:p w:rsidR="00FC5FE9" w:rsidRPr="00B713EE" w:rsidRDefault="00FC5FE9" w:rsidP="00931B50">
            <w:pPr>
              <w:spacing w:before="40" w:after="120"/>
              <w:ind w:right="113"/>
              <w:rPr>
                <w:b/>
              </w:rPr>
            </w:pPr>
            <w:r w:rsidRPr="00B713EE">
              <w:rPr>
                <w:b/>
                <w:bCs/>
              </w:rPr>
              <w:t>Italie</w:t>
            </w:r>
          </w:p>
        </w:tc>
        <w:tc>
          <w:tcPr>
            <w:tcW w:w="1134" w:type="dxa"/>
          </w:tcPr>
          <w:p w:rsidR="00FC5FE9" w:rsidRPr="00B713EE" w:rsidRDefault="00FC5FE9" w:rsidP="00931B50">
            <w:pPr>
              <w:spacing w:before="40" w:after="120"/>
              <w:ind w:right="113"/>
              <w:rPr>
                <w:b/>
              </w:rPr>
            </w:pPr>
            <w:r w:rsidRPr="00B713EE">
              <w:rPr>
                <w:b/>
              </w:rPr>
              <w:t>2018</w:t>
            </w:r>
          </w:p>
        </w:tc>
      </w:tr>
      <w:tr w:rsidR="00FC5FE9" w:rsidRPr="00B713EE" w:rsidTr="00305D70">
        <w:trPr>
          <w:cantSplit/>
          <w:jc w:val="center"/>
        </w:trPr>
        <w:tc>
          <w:tcPr>
            <w:tcW w:w="709" w:type="dxa"/>
            <w:tcBorders>
              <w:bottom w:val="single" w:sz="6" w:space="0" w:color="auto"/>
            </w:tcBorders>
            <w:shd w:val="clear" w:color="auto" w:fill="auto"/>
          </w:tcPr>
          <w:p w:rsidR="00FC5FE9" w:rsidRPr="00B713EE" w:rsidRDefault="00FC5FE9" w:rsidP="00931B50">
            <w:pPr>
              <w:spacing w:before="40" w:after="120"/>
              <w:ind w:right="113"/>
              <w:rPr>
                <w:b/>
                <w:bCs/>
              </w:rPr>
            </w:pPr>
            <w:r w:rsidRPr="00B713EE">
              <w:rPr>
                <w:b/>
                <w:bCs/>
              </w:rPr>
              <w:t>AC.3</w:t>
            </w:r>
          </w:p>
        </w:tc>
        <w:tc>
          <w:tcPr>
            <w:tcW w:w="4678" w:type="dxa"/>
            <w:tcBorders>
              <w:bottom w:val="single" w:sz="6" w:space="0" w:color="auto"/>
            </w:tcBorders>
            <w:shd w:val="clear" w:color="auto" w:fill="auto"/>
          </w:tcPr>
          <w:p w:rsidR="00FC5FE9" w:rsidRPr="00B713EE" w:rsidRDefault="00FC5FE9" w:rsidP="00931B50">
            <w:pPr>
              <w:spacing w:before="40" w:after="120"/>
              <w:ind w:right="113"/>
            </w:pPr>
            <w:r w:rsidRPr="00B713EE">
              <w:rPr>
                <w:b/>
                <w:bCs/>
              </w:rPr>
              <w:t>Comité exécutif de l</w:t>
            </w:r>
            <w:r w:rsidR="007C2F80">
              <w:rPr>
                <w:b/>
                <w:bCs/>
              </w:rPr>
              <w:t>’</w:t>
            </w:r>
            <w:r w:rsidRPr="00B713EE">
              <w:rPr>
                <w:b/>
                <w:bCs/>
              </w:rPr>
              <w:t xml:space="preserve">Accord de 1998 </w:t>
            </w:r>
          </w:p>
        </w:tc>
        <w:tc>
          <w:tcPr>
            <w:tcW w:w="1843" w:type="dxa"/>
            <w:tcBorders>
              <w:bottom w:val="single" w:sz="6" w:space="0" w:color="auto"/>
            </w:tcBorders>
            <w:shd w:val="clear" w:color="auto" w:fill="auto"/>
          </w:tcPr>
          <w:p w:rsidR="00FC5FE9" w:rsidRPr="00567416" w:rsidRDefault="004B16FD" w:rsidP="00931B50">
            <w:pPr>
              <w:spacing w:before="40" w:after="120"/>
              <w:ind w:right="113"/>
              <w:rPr>
                <w:b/>
                <w:lang w:val="en-US"/>
              </w:rPr>
            </w:pPr>
            <w:r>
              <w:rPr>
                <w:b/>
                <w:lang w:val="en-US"/>
              </w:rPr>
              <w:t>M. </w:t>
            </w:r>
            <w:r w:rsidR="00FC5FE9" w:rsidRPr="00567416">
              <w:rPr>
                <w:b/>
                <w:lang w:val="en-US"/>
              </w:rPr>
              <w:t xml:space="preserve">H. Inomata </w:t>
            </w:r>
            <w:r>
              <w:rPr>
                <w:b/>
                <w:lang w:val="en-US"/>
              </w:rPr>
              <w:t>M. </w:t>
            </w:r>
            <w:r w:rsidR="00FC5FE9" w:rsidRPr="00567416">
              <w:rPr>
                <w:b/>
                <w:lang w:val="en-US"/>
              </w:rPr>
              <w:t xml:space="preserve">I. Yarnold </w:t>
            </w:r>
            <w:r w:rsidR="008F0A7E">
              <w:rPr>
                <w:b/>
                <w:lang w:val="en-US"/>
              </w:rPr>
              <w:br/>
            </w:r>
            <w:r w:rsidR="00FC5FE9" w:rsidRPr="00567416">
              <w:rPr>
                <w:b/>
                <w:lang w:val="en-US"/>
              </w:rPr>
              <w:br/>
            </w:r>
            <w:r>
              <w:rPr>
                <w:b/>
                <w:lang w:val="en-US"/>
              </w:rPr>
              <w:t>M. </w:t>
            </w:r>
            <w:r w:rsidR="00FC5FE9" w:rsidRPr="00567416">
              <w:rPr>
                <w:b/>
                <w:lang w:val="en-US"/>
              </w:rPr>
              <w:t>E. Wondimneh</w:t>
            </w:r>
          </w:p>
        </w:tc>
        <w:tc>
          <w:tcPr>
            <w:tcW w:w="1275" w:type="dxa"/>
            <w:tcBorders>
              <w:bottom w:val="single" w:sz="6" w:space="0" w:color="auto"/>
            </w:tcBorders>
            <w:shd w:val="clear" w:color="auto" w:fill="auto"/>
          </w:tcPr>
          <w:p w:rsidR="00FC5FE9" w:rsidRPr="00B713EE" w:rsidRDefault="00FC5FE9" w:rsidP="00931B50">
            <w:pPr>
              <w:spacing w:before="40" w:after="120"/>
              <w:ind w:right="113"/>
              <w:rPr>
                <w:b/>
              </w:rPr>
            </w:pPr>
            <w:r w:rsidRPr="00B713EE">
              <w:rPr>
                <w:b/>
              </w:rPr>
              <w:t xml:space="preserve">Japon </w:t>
            </w:r>
            <w:r w:rsidRPr="00B713EE">
              <w:rPr>
                <w:b/>
              </w:rPr>
              <w:br/>
              <w:t>Roya</w:t>
            </w:r>
            <w:r w:rsidR="00AC0C36">
              <w:rPr>
                <w:b/>
              </w:rPr>
              <w:t xml:space="preserve">ume-Uni </w:t>
            </w:r>
            <w:r w:rsidR="00AC0C36">
              <w:rPr>
                <w:b/>
              </w:rPr>
              <w:br/>
              <w:t>États-Unis d</w:t>
            </w:r>
            <w:r w:rsidR="007C2F80">
              <w:rPr>
                <w:b/>
              </w:rPr>
              <w:t>’</w:t>
            </w:r>
            <w:r w:rsidR="00AC0C36">
              <w:rPr>
                <w:b/>
              </w:rPr>
              <w:t>Amérique</w:t>
            </w:r>
          </w:p>
        </w:tc>
        <w:tc>
          <w:tcPr>
            <w:tcW w:w="1134" w:type="dxa"/>
            <w:tcBorders>
              <w:bottom w:val="single" w:sz="6" w:space="0" w:color="auto"/>
            </w:tcBorders>
          </w:tcPr>
          <w:p w:rsidR="00FC5FE9" w:rsidRPr="00B713EE" w:rsidRDefault="00FC5FE9" w:rsidP="00931B50">
            <w:pPr>
              <w:spacing w:before="40" w:after="120"/>
              <w:ind w:right="113"/>
            </w:pPr>
            <w:r w:rsidRPr="00B713EE">
              <w:t>Sans objet</w:t>
            </w:r>
          </w:p>
        </w:tc>
      </w:tr>
      <w:tr w:rsidR="00FC5FE9" w:rsidRPr="00B713EE" w:rsidTr="00305D70">
        <w:trPr>
          <w:cantSplit/>
          <w:jc w:val="center"/>
        </w:trPr>
        <w:tc>
          <w:tcPr>
            <w:tcW w:w="709" w:type="dxa"/>
            <w:tcBorders>
              <w:top w:val="single" w:sz="6" w:space="0" w:color="auto"/>
              <w:bottom w:val="single" w:sz="4" w:space="0" w:color="auto"/>
            </w:tcBorders>
            <w:shd w:val="clear" w:color="auto" w:fill="auto"/>
          </w:tcPr>
          <w:p w:rsidR="00FC5FE9" w:rsidRPr="00B713EE" w:rsidRDefault="00FC5FE9" w:rsidP="00931B50">
            <w:pPr>
              <w:spacing w:before="40" w:after="120"/>
              <w:ind w:right="113"/>
              <w:rPr>
                <w:b/>
                <w:bCs/>
              </w:rPr>
            </w:pPr>
            <w:r w:rsidRPr="00B713EE">
              <w:rPr>
                <w:b/>
                <w:bCs/>
              </w:rPr>
              <w:t>AC.4</w:t>
            </w:r>
          </w:p>
        </w:tc>
        <w:tc>
          <w:tcPr>
            <w:tcW w:w="4678" w:type="dxa"/>
            <w:tcBorders>
              <w:top w:val="single" w:sz="6" w:space="0" w:color="auto"/>
              <w:bottom w:val="single" w:sz="4" w:space="0" w:color="auto"/>
            </w:tcBorders>
            <w:shd w:val="clear" w:color="auto" w:fill="auto"/>
          </w:tcPr>
          <w:p w:rsidR="00FC5FE9" w:rsidRPr="00B713EE" w:rsidRDefault="00FC5FE9" w:rsidP="00931B50">
            <w:pPr>
              <w:spacing w:before="40" w:after="120"/>
              <w:ind w:right="113"/>
            </w:pPr>
            <w:r w:rsidRPr="00B713EE">
              <w:rPr>
                <w:b/>
                <w:bCs/>
              </w:rPr>
              <w:t>Comité d</w:t>
            </w:r>
            <w:r w:rsidR="007C2F80">
              <w:rPr>
                <w:b/>
                <w:bCs/>
              </w:rPr>
              <w:t>’</w:t>
            </w:r>
            <w:r w:rsidRPr="00B713EE">
              <w:rPr>
                <w:b/>
                <w:bCs/>
              </w:rPr>
              <w:t>administration de l</w:t>
            </w:r>
            <w:r w:rsidR="007C2F80">
              <w:rPr>
                <w:b/>
                <w:bCs/>
              </w:rPr>
              <w:t>’</w:t>
            </w:r>
            <w:r w:rsidRPr="00B713EE">
              <w:rPr>
                <w:b/>
                <w:bCs/>
              </w:rPr>
              <w:t>Accord de 1997</w:t>
            </w:r>
          </w:p>
        </w:tc>
        <w:tc>
          <w:tcPr>
            <w:tcW w:w="1843" w:type="dxa"/>
            <w:tcBorders>
              <w:top w:val="single" w:sz="6" w:space="0" w:color="auto"/>
              <w:bottom w:val="single" w:sz="4" w:space="0" w:color="auto"/>
            </w:tcBorders>
            <w:shd w:val="clear" w:color="auto" w:fill="auto"/>
          </w:tcPr>
          <w:p w:rsidR="00FC5FE9" w:rsidRPr="00B713EE" w:rsidRDefault="00FC5FE9" w:rsidP="00931B50">
            <w:pPr>
              <w:spacing w:before="40" w:after="120"/>
              <w:ind w:right="113"/>
            </w:pPr>
            <w:r w:rsidRPr="00B713EE">
              <w:rPr>
                <w:b/>
                <w:bCs/>
              </w:rPr>
              <w:t>À déterminer</w:t>
            </w:r>
          </w:p>
        </w:tc>
        <w:tc>
          <w:tcPr>
            <w:tcW w:w="1275" w:type="dxa"/>
            <w:tcBorders>
              <w:top w:val="single" w:sz="6" w:space="0" w:color="auto"/>
              <w:bottom w:val="single" w:sz="4" w:space="0" w:color="auto"/>
            </w:tcBorders>
            <w:shd w:val="clear" w:color="auto" w:fill="auto"/>
          </w:tcPr>
          <w:p w:rsidR="00FC5FE9" w:rsidRPr="00B713EE" w:rsidRDefault="00FC5FE9" w:rsidP="00931B50">
            <w:pPr>
              <w:spacing w:before="40" w:after="120"/>
              <w:ind w:right="113"/>
              <w:rPr>
                <w:b/>
              </w:rPr>
            </w:pPr>
            <w:r w:rsidRPr="00B713EE">
              <w:rPr>
                <w:b/>
              </w:rPr>
              <w:t>À déterminer</w:t>
            </w:r>
          </w:p>
        </w:tc>
        <w:tc>
          <w:tcPr>
            <w:tcW w:w="1134" w:type="dxa"/>
            <w:tcBorders>
              <w:top w:val="single" w:sz="6" w:space="0" w:color="auto"/>
              <w:bottom w:val="single" w:sz="4" w:space="0" w:color="auto"/>
            </w:tcBorders>
          </w:tcPr>
          <w:p w:rsidR="00FC5FE9" w:rsidRPr="00B713EE" w:rsidRDefault="00FC5FE9" w:rsidP="00931B50">
            <w:pPr>
              <w:spacing w:before="40" w:after="120"/>
              <w:ind w:right="113"/>
            </w:pPr>
            <w:r w:rsidRPr="00B713EE">
              <w:t>Sans objet</w:t>
            </w:r>
          </w:p>
        </w:tc>
      </w:tr>
    </w:tbl>
    <w:p w:rsidR="00CD04C1" w:rsidRPr="00B713EE" w:rsidRDefault="00CD04C1" w:rsidP="00FC5FE9">
      <w:pPr>
        <w:pStyle w:val="SingleTxtG"/>
      </w:pPr>
      <w:r w:rsidRPr="00B713EE">
        <w:br w:type="page"/>
      </w:r>
    </w:p>
    <w:p w:rsidR="00CD04C1" w:rsidRPr="00B713EE" w:rsidRDefault="00CD04C1" w:rsidP="00B713EE">
      <w:pPr>
        <w:pStyle w:val="HChG"/>
      </w:pPr>
      <w:r w:rsidRPr="00B713EE">
        <w:t>Annexe IV</w:t>
      </w:r>
      <w:bookmarkEnd w:id="110"/>
    </w:p>
    <w:p w:rsidR="00CD04C1" w:rsidRPr="00B713EE" w:rsidRDefault="00CD04C1" w:rsidP="00B713EE">
      <w:pPr>
        <w:pStyle w:val="HChG"/>
      </w:pPr>
      <w:r w:rsidRPr="00B713EE">
        <w:tab/>
      </w:r>
      <w:r w:rsidRPr="00B713EE">
        <w:tab/>
      </w:r>
      <w:bookmarkStart w:id="111" w:name="_Toc478663196"/>
      <w:r w:rsidRPr="00B713EE">
        <w:t>Amendements au document ECE/TRANS/WP.29/2017/10 (synthèse</w:t>
      </w:r>
      <w:bookmarkEnd w:id="111"/>
      <w:r w:rsidRPr="00B713EE">
        <w:t>) adoptés</w:t>
      </w:r>
    </w:p>
    <w:p w:rsidR="00CD04C1" w:rsidRPr="00B713EE" w:rsidRDefault="00CD04C1" w:rsidP="00B713EE">
      <w:pPr>
        <w:pStyle w:val="H1G"/>
      </w:pPr>
      <w:r w:rsidRPr="00B713EE">
        <w:tab/>
      </w:r>
      <w:r w:rsidRPr="00B713EE">
        <w:tab/>
      </w:r>
      <w:bookmarkStart w:id="112" w:name="_Toc478663197"/>
      <w:r w:rsidRPr="00B713EE">
        <w:t>Série 02 d</w:t>
      </w:r>
      <w:r w:rsidR="007C2F80">
        <w:t>’</w:t>
      </w:r>
      <w:r w:rsidRPr="00B713EE">
        <w:t xml:space="preserve">amendements au Règlement </w:t>
      </w:r>
      <w:r w:rsidR="002E794F" w:rsidRPr="00567416">
        <w:rPr>
          <w:rFonts w:eastAsia="MS Mincho"/>
          <w:bCs/>
        </w:rPr>
        <w:t>n</w:t>
      </w:r>
      <w:r w:rsidR="002E794F" w:rsidRPr="00567416">
        <w:rPr>
          <w:rFonts w:eastAsia="MS Mincho"/>
          <w:bCs/>
          <w:vertAlign w:val="superscript"/>
        </w:rPr>
        <w:t>o</w:t>
      </w:r>
      <w:r w:rsidR="002E794F">
        <w:rPr>
          <w:bCs/>
        </w:rPr>
        <w:t> </w:t>
      </w:r>
      <w:r w:rsidRPr="00B713EE">
        <w:t xml:space="preserve">79 (Équipement de direction) </w:t>
      </w:r>
      <w:bookmarkEnd w:id="112"/>
    </w:p>
    <w:p w:rsidR="00CD04C1" w:rsidRPr="00B713EE" w:rsidRDefault="00CD04C1" w:rsidP="00B713EE">
      <w:pPr>
        <w:pStyle w:val="SingleTxtG"/>
        <w:rPr>
          <w:i/>
        </w:rPr>
      </w:pPr>
      <w:r w:rsidRPr="00B713EE">
        <w:rPr>
          <w:i/>
        </w:rPr>
        <w:t>Ajouter un nouveau paragraphe 1.2.3</w:t>
      </w:r>
      <w:r w:rsidRPr="002E794F">
        <w:t>,</w:t>
      </w:r>
      <w:r w:rsidRPr="00B713EE">
        <w:rPr>
          <w:i/>
        </w:rPr>
        <w:t xml:space="preserve"> </w:t>
      </w:r>
      <w:r w:rsidR="005530CC">
        <w:t>ainsi conçu </w:t>
      </w:r>
      <w:r w:rsidRPr="00B713EE">
        <w:t>:</w:t>
      </w:r>
      <w:r w:rsidRPr="00B713EE">
        <w:rPr>
          <w:i/>
        </w:rPr>
        <w:t xml:space="preserve"> </w:t>
      </w:r>
    </w:p>
    <w:p w:rsidR="00CD04C1" w:rsidRPr="00B713EE" w:rsidRDefault="002E794F" w:rsidP="00B713EE">
      <w:pPr>
        <w:pStyle w:val="SingleTxtG"/>
        <w:ind w:left="2268" w:hanging="1134"/>
      </w:pPr>
      <w:r>
        <w:t>« </w:t>
      </w:r>
      <w:r w:rsidR="00CD04C1" w:rsidRPr="00B713EE">
        <w:t>1.2.3</w:t>
      </w:r>
      <w:r w:rsidR="00CD04C1" w:rsidRPr="00B713EE">
        <w:tab/>
        <w:t>Aux systèmes de direction présentant la fonctionnalité définie comme étant une FDCA de catégorie B2, C, D ou E aux paragraphes 2.3.4.1.3, 2.3.4.1.4, 2.3.4.1.5 ou 2.3.4.1.6, respectivement, jusqu</w:t>
      </w:r>
      <w:r w:rsidR="007C2F80">
        <w:t>’</w:t>
      </w:r>
      <w:r w:rsidR="00CD04C1" w:rsidRPr="00B713EE">
        <w:t>à ce que des dispositions spécifiques soient introduites dans le présent Règlement.</w:t>
      </w:r>
      <w:r>
        <w:t> »</w:t>
      </w:r>
      <w:r w:rsidR="00CD04C1" w:rsidRPr="00B713EE">
        <w:t>.</w:t>
      </w:r>
    </w:p>
    <w:p w:rsidR="00CD04C1" w:rsidRPr="00B713EE" w:rsidRDefault="00CD04C1" w:rsidP="00B713EE">
      <w:pPr>
        <w:pStyle w:val="SingleTxtG"/>
      </w:pPr>
      <w:r w:rsidRPr="00B713EE">
        <w:rPr>
          <w:rFonts w:eastAsia="HGMaruGothicMPRO"/>
          <w:i/>
        </w:rPr>
        <w:t>Paragraphe 2.3.4.1</w:t>
      </w:r>
      <w:r w:rsidR="00B90B28">
        <w:rPr>
          <w:rFonts w:eastAsia="HGMaruGothicMPRO"/>
        </w:rPr>
        <w:t>, modifier comme suit </w:t>
      </w:r>
      <w:r w:rsidRPr="00B713EE">
        <w:rPr>
          <w:rFonts w:eastAsia="HGMaruGothicMPRO"/>
        </w:rPr>
        <w:t>:</w:t>
      </w:r>
    </w:p>
    <w:p w:rsidR="00CD04C1" w:rsidRPr="00B713EE" w:rsidRDefault="002E794F" w:rsidP="00E67EC5">
      <w:pPr>
        <w:pStyle w:val="SingleTxtG"/>
        <w:ind w:left="2268" w:hanging="1134"/>
      </w:pPr>
      <w:r>
        <w:t>« </w:t>
      </w:r>
      <w:r w:rsidR="00CD04C1" w:rsidRPr="00B713EE">
        <w:t>2.3.4.1</w:t>
      </w:r>
      <w:r w:rsidR="00CD04C1" w:rsidRPr="00B713EE">
        <w:tab/>
        <w:t>Par “</w:t>
      </w:r>
      <w:r w:rsidR="00CD04C1" w:rsidRPr="00B713EE">
        <w:rPr>
          <w:i/>
        </w:rPr>
        <w:t>fonction de direction à commande automatique</w:t>
      </w:r>
      <w:r w:rsidR="00CD04C1" w:rsidRPr="00B713EE">
        <w:t xml:space="preserve"> (FDCA)”, la fonction au sein d</w:t>
      </w:r>
      <w:r w:rsidR="007C2F80">
        <w:t>’</w:t>
      </w:r>
      <w:r w:rsidR="00CD04C1" w:rsidRPr="00B713EE">
        <w:t>un système de commande électronique où l</w:t>
      </w:r>
      <w:r w:rsidR="007C2F80">
        <w:t>’</w:t>
      </w:r>
      <w:r w:rsidR="00CD04C1" w:rsidRPr="00B713EE">
        <w:t>actionnement du système de direction peut résulter de l</w:t>
      </w:r>
      <w:r w:rsidR="007C2F80">
        <w:t>’</w:t>
      </w:r>
      <w:r w:rsidR="00CD04C1" w:rsidRPr="00B713EE">
        <w:t>évaluation automatique de signaux émis à bord du véhicule, éventuellement avec l</w:t>
      </w:r>
      <w:r w:rsidR="007C2F80">
        <w:t>’</w:t>
      </w:r>
      <w:r w:rsidR="00CD04C1" w:rsidRPr="00B713EE">
        <w:t>aide de dispositifs d</w:t>
      </w:r>
      <w:r w:rsidR="007C2F80">
        <w:t>’</w:t>
      </w:r>
      <w:r w:rsidR="00CD04C1" w:rsidRPr="00B713EE">
        <w:t>infrastructure passifs, en vue de créer une co</w:t>
      </w:r>
      <w:r>
        <w:t>mmande pour aider le conducteur.</w:t>
      </w:r>
    </w:p>
    <w:p w:rsidR="00CD04C1" w:rsidRPr="00B713EE" w:rsidRDefault="002E794F" w:rsidP="00E67EC5">
      <w:pPr>
        <w:pStyle w:val="SingleTxtG"/>
        <w:ind w:left="2268" w:hanging="1134"/>
      </w:pPr>
      <w:r>
        <w:t>2.3.4.1.1</w:t>
      </w:r>
      <w:r>
        <w:tab/>
        <w:t>Par “</w:t>
      </w:r>
      <w:r w:rsidR="00CD04C1" w:rsidRPr="00B713EE">
        <w:rPr>
          <w:i/>
        </w:rPr>
        <w:t>FDCA de catégorie A</w:t>
      </w:r>
      <w:r w:rsidR="00CD04C1" w:rsidRPr="00B713EE">
        <w:t>”, une fonction qui opère à une vitesse ne dépassant pas 10</w:t>
      </w:r>
      <w:r w:rsidR="00C67B19">
        <w:t> </w:t>
      </w:r>
      <w:r w:rsidR="00CD04C1" w:rsidRPr="00B713EE">
        <w:t>km/h pour aider le conducteur, sur demande, lors d</w:t>
      </w:r>
      <w:r w:rsidR="007C2F80">
        <w:t>’</w:t>
      </w:r>
      <w:r w:rsidR="00CD04C1" w:rsidRPr="00B713EE">
        <w:t>une manœuvre à petite vitesse ou d</w:t>
      </w:r>
      <w:r w:rsidR="007C2F80">
        <w:t>’</w:t>
      </w:r>
      <w:r w:rsidR="00CD04C1" w:rsidRPr="00B713EE">
        <w:t>une manœuvre de stationnement.</w:t>
      </w:r>
    </w:p>
    <w:p w:rsidR="00CD04C1" w:rsidRPr="00B713EE" w:rsidRDefault="00CD04C1" w:rsidP="00E67EC5">
      <w:pPr>
        <w:pStyle w:val="SingleTxtG"/>
        <w:ind w:left="2268" w:hanging="1134"/>
      </w:pPr>
      <w:r w:rsidRPr="00B713EE">
        <w:t>2.3.4.1.2</w:t>
      </w:r>
      <w:r w:rsidRPr="00B713EE">
        <w:tab/>
        <w:t>Par “</w:t>
      </w:r>
      <w:r w:rsidRPr="00B713EE">
        <w:rPr>
          <w:i/>
        </w:rPr>
        <w:t>FDCA de catégorie B1</w:t>
      </w:r>
      <w:r w:rsidRPr="00B713EE">
        <w:t>”, une fonction qui aide le conducteur à maintenir le véhicule dans la voie choisie, en influençant le d</w:t>
      </w:r>
      <w:r w:rsidR="002E794F">
        <w:t>éplacement latéral du véhicule.</w:t>
      </w:r>
    </w:p>
    <w:p w:rsidR="00CD04C1" w:rsidRPr="00B713EE" w:rsidRDefault="00CD04C1" w:rsidP="00E67EC5">
      <w:pPr>
        <w:pStyle w:val="SingleTxtG"/>
        <w:ind w:left="2268" w:hanging="1134"/>
      </w:pPr>
      <w:r w:rsidRPr="00B713EE">
        <w:t>2.3.4.1.3</w:t>
      </w:r>
      <w:r w:rsidRPr="00B713EE">
        <w:tab/>
        <w:t>Par “</w:t>
      </w:r>
      <w:r w:rsidRPr="00B713EE">
        <w:rPr>
          <w:i/>
        </w:rPr>
        <w:t>FDCA de catégorie B2</w:t>
      </w:r>
      <w:r w:rsidRPr="00B713EE">
        <w:t xml:space="preserve">”, une fonction qui est déclenchée/activée par le conducteur et qui maintient le véhicule dans sa voie en influençant le déplacement latéral du véhicule pendant des périodes assez longues, sans commande ni confirmation supplémentaire du conducteur. </w:t>
      </w:r>
    </w:p>
    <w:p w:rsidR="00CD04C1" w:rsidRPr="00B713EE" w:rsidRDefault="00CD04C1" w:rsidP="00E67EC5">
      <w:pPr>
        <w:pStyle w:val="SingleTxtG"/>
        <w:ind w:left="2268" w:hanging="1134"/>
      </w:pPr>
      <w:r w:rsidRPr="00B713EE">
        <w:t>2.3.4.1.4</w:t>
      </w:r>
      <w:r w:rsidRPr="00B713EE">
        <w:tab/>
        <w:t>Par “</w:t>
      </w:r>
      <w:r w:rsidRPr="00B713EE">
        <w:rPr>
          <w:i/>
        </w:rPr>
        <w:t>FDCA de catégorie C</w:t>
      </w:r>
      <w:r w:rsidRPr="00B713EE">
        <w:t xml:space="preserve">”, une fonction qui est déclenchée/activée par le conducteur et qui peut exécuter une manœuvre latérale simple (par exemple un changement de voie) commandée par le conducteur. </w:t>
      </w:r>
    </w:p>
    <w:p w:rsidR="00CD04C1" w:rsidRPr="00B713EE" w:rsidRDefault="00CD04C1" w:rsidP="00E67EC5">
      <w:pPr>
        <w:pStyle w:val="SingleTxtG"/>
        <w:ind w:left="2268" w:hanging="1134"/>
      </w:pPr>
      <w:r w:rsidRPr="00B713EE">
        <w:t>2.3.4.1.5</w:t>
      </w:r>
      <w:r w:rsidRPr="00B713EE">
        <w:tab/>
        <w:t>Par “</w:t>
      </w:r>
      <w:r w:rsidRPr="00B713EE">
        <w:rPr>
          <w:i/>
        </w:rPr>
        <w:t>FDCA de catégorie D</w:t>
      </w:r>
      <w:r w:rsidRPr="00B713EE">
        <w:t>”, une fonction qui est déclenchée/activée par le conducteur et qui peut indiquer la possibilité d</w:t>
      </w:r>
      <w:r w:rsidR="007C2F80">
        <w:t>’</w:t>
      </w:r>
      <w:r w:rsidRPr="00B713EE">
        <w:t>une manœuvre latérale simple (par exemple un changement de voie) mais n</w:t>
      </w:r>
      <w:r w:rsidR="007C2F80">
        <w:t>’</w:t>
      </w:r>
      <w:r w:rsidRPr="00B713EE">
        <w:t>exécute cette manœuvre qu</w:t>
      </w:r>
      <w:r w:rsidR="007C2F80">
        <w:t>’</w:t>
      </w:r>
      <w:r w:rsidRPr="00B713EE">
        <w:t xml:space="preserve">après confirmation du conducteur. </w:t>
      </w:r>
    </w:p>
    <w:p w:rsidR="00CD04C1" w:rsidRPr="00B713EE" w:rsidRDefault="00CD04C1" w:rsidP="00E67EC5">
      <w:pPr>
        <w:pStyle w:val="SingleTxtG"/>
        <w:ind w:left="2268" w:hanging="1134"/>
        <w:rPr>
          <w:strike/>
        </w:rPr>
      </w:pPr>
      <w:r w:rsidRPr="00B713EE">
        <w:t>2.3.4.1.6</w:t>
      </w:r>
      <w:r w:rsidRPr="00B713EE">
        <w:tab/>
        <w:t>Par “</w:t>
      </w:r>
      <w:r w:rsidRPr="00B713EE">
        <w:rPr>
          <w:i/>
        </w:rPr>
        <w:t>FDCA de catégorie E</w:t>
      </w:r>
      <w:r w:rsidRPr="00B713EE">
        <w:t>”, une fonction qui est déclenchée/activée par le conducteur et qui peut déterminer en permanence la possibilité de manœuvres (par exemple un changement de voie) et les exécuter pendant des périodes assez longues sans commande ni confirmation supplémentaire du conducteur.</w:t>
      </w:r>
      <w:r w:rsidR="002E794F">
        <w:t> »</w:t>
      </w:r>
      <w:r w:rsidRPr="00B713EE">
        <w:t>.</w:t>
      </w:r>
    </w:p>
    <w:p w:rsidR="00CD04C1" w:rsidRPr="00B713EE" w:rsidRDefault="00CD04C1" w:rsidP="00B713EE">
      <w:pPr>
        <w:pStyle w:val="SingleTxtG"/>
        <w:rPr>
          <w:rFonts w:eastAsia="HGMaruGothicMPRO"/>
        </w:rPr>
      </w:pPr>
      <w:r w:rsidRPr="00B713EE">
        <w:rPr>
          <w:rFonts w:eastAsia="HGMaruGothicMPRO"/>
          <w:i/>
        </w:rPr>
        <w:t xml:space="preserve">Paragraphe </w:t>
      </w:r>
      <w:r w:rsidRPr="00B713EE">
        <w:rPr>
          <w:rFonts w:eastAsiaTheme="minorEastAsia"/>
          <w:i/>
        </w:rPr>
        <w:t>2.3.4.2</w:t>
      </w:r>
      <w:r w:rsidR="00B90B28">
        <w:rPr>
          <w:rFonts w:eastAsiaTheme="minorEastAsia"/>
        </w:rPr>
        <w:t>, modifier comme suit </w:t>
      </w:r>
      <w:r w:rsidRPr="00B713EE">
        <w:rPr>
          <w:rFonts w:eastAsiaTheme="minorEastAsia"/>
        </w:rPr>
        <w:t>:</w:t>
      </w:r>
    </w:p>
    <w:p w:rsidR="00CD04C1" w:rsidRPr="00B713EE" w:rsidRDefault="002E794F" w:rsidP="00E67EC5">
      <w:pPr>
        <w:pStyle w:val="SingleTxtG"/>
        <w:ind w:left="2268" w:hanging="1134"/>
      </w:pPr>
      <w:r>
        <w:t>« </w:t>
      </w:r>
      <w:r w:rsidR="00CD04C1" w:rsidRPr="00B713EE">
        <w:t>2.3.4.2</w:t>
      </w:r>
      <w:r w:rsidR="00CD04C1" w:rsidRPr="00B713EE">
        <w:tab/>
        <w:t>Par “</w:t>
      </w:r>
      <w:r w:rsidR="00CD04C1" w:rsidRPr="00B713EE">
        <w:rPr>
          <w:i/>
        </w:rPr>
        <w:t>fonction de direction corrective (FDC)</w:t>
      </w:r>
      <w:r w:rsidR="00CD04C1" w:rsidRPr="00B713EE">
        <w:t>”, la fonction de commande au sein d</w:t>
      </w:r>
      <w:r w:rsidR="007C2F80">
        <w:t>’</w:t>
      </w:r>
      <w:r w:rsidR="00CD04C1" w:rsidRPr="00B713EE">
        <w:t>un système de commande électronique par laquelle, pendant une durée limitée, l</w:t>
      </w:r>
      <w:r w:rsidR="007C2F80">
        <w:t>’</w:t>
      </w:r>
      <w:r w:rsidR="00CD04C1" w:rsidRPr="00B713EE">
        <w:t>évaluation automatique des signaux émis à bord du véhicule peut modifier l</w:t>
      </w:r>
      <w:r w:rsidR="007C2F80">
        <w:t>’</w:t>
      </w:r>
      <w:r w:rsidR="00CD04C1" w:rsidRPr="00B713EE">
        <w:t>angle de braquage d</w:t>
      </w:r>
      <w:r w:rsidR="007C2F80">
        <w:t>’</w:t>
      </w:r>
      <w:r>
        <w:t>une ou de plusieurs roues, afin </w:t>
      </w:r>
      <w:r w:rsidR="00CD04C1" w:rsidRPr="00B713EE">
        <w:t>:</w:t>
      </w:r>
    </w:p>
    <w:p w:rsidR="00CD04C1" w:rsidRPr="00B713EE" w:rsidRDefault="00CD04C1" w:rsidP="00F45D4C">
      <w:pPr>
        <w:pStyle w:val="SingleTxtG"/>
        <w:ind w:left="2835" w:hanging="567"/>
      </w:pPr>
      <w:r w:rsidRPr="00B713EE">
        <w:t>a)</w:t>
      </w:r>
      <w:r w:rsidRPr="00B713EE">
        <w:tab/>
        <w:t xml:space="preserve">De compenser un changement soudain et imprévu de la force latérale du véhicule, </w:t>
      </w:r>
    </w:p>
    <w:p w:rsidR="00CD04C1" w:rsidRPr="00B713EE" w:rsidRDefault="00CD04C1" w:rsidP="00F45D4C">
      <w:pPr>
        <w:pStyle w:val="SingleTxtG"/>
        <w:ind w:left="2835" w:hanging="567"/>
      </w:pPr>
      <w:r w:rsidRPr="00B713EE">
        <w:t>b)</w:t>
      </w:r>
      <w:r w:rsidRPr="00B713EE">
        <w:tab/>
        <w:t>D</w:t>
      </w:r>
      <w:r w:rsidR="007C2F80">
        <w:t>’</w:t>
      </w:r>
      <w:r w:rsidRPr="00B713EE">
        <w:t>améliorer la stabilité du véhicule (en cas par exemple de vent latéral ou d</w:t>
      </w:r>
      <w:r w:rsidR="007C2F80">
        <w:t>’</w:t>
      </w:r>
      <w:r w:rsidRPr="00B713EE">
        <w:t>adhérence dissymétrique), ou</w:t>
      </w:r>
    </w:p>
    <w:p w:rsidR="00CD04C1" w:rsidRPr="00B713EE" w:rsidRDefault="00CD04C1" w:rsidP="00F45D4C">
      <w:pPr>
        <w:pStyle w:val="SingleTxtG"/>
        <w:ind w:left="2835" w:hanging="567"/>
      </w:pPr>
      <w:r w:rsidRPr="00B713EE">
        <w:t>c)</w:t>
      </w:r>
      <w:r w:rsidRPr="00B713EE">
        <w:tab/>
        <w:t>De corriger le changement de voie (par exemple, pour éviter de franchir le marquage de la voie ou de quitter la route.</w:t>
      </w:r>
      <w:r w:rsidR="002E794F">
        <w:t> »</w:t>
      </w:r>
      <w:r w:rsidRPr="00B713EE">
        <w:t>.</w:t>
      </w:r>
    </w:p>
    <w:p w:rsidR="00CD04C1" w:rsidRPr="00B713EE" w:rsidRDefault="00CD04C1" w:rsidP="00B713EE">
      <w:pPr>
        <w:pStyle w:val="SingleTxtG"/>
      </w:pPr>
      <w:r w:rsidRPr="00B713EE">
        <w:rPr>
          <w:i/>
        </w:rPr>
        <w:t>Ajouter de nouveaux paragraphes 2.4.8 à 2.4.15</w:t>
      </w:r>
      <w:r w:rsidR="00B90B28">
        <w:t>, ainsi conçus </w:t>
      </w:r>
      <w:r w:rsidRPr="00B713EE">
        <w:t>:</w:t>
      </w:r>
    </w:p>
    <w:p w:rsidR="00CD04C1" w:rsidRPr="00B713EE" w:rsidRDefault="00B8455E" w:rsidP="00E67EC5">
      <w:pPr>
        <w:pStyle w:val="SingleTxtG"/>
        <w:ind w:left="2268" w:hanging="1134"/>
      </w:pPr>
      <w:r>
        <w:t>« </w:t>
      </w:r>
      <w:r w:rsidR="00CD04C1" w:rsidRPr="00B713EE">
        <w:t>2.4.8</w:t>
      </w:r>
      <w:r w:rsidR="00CD04C1" w:rsidRPr="00B713EE">
        <w:tab/>
        <w:t xml:space="preserve">Par </w:t>
      </w:r>
      <w:r w:rsidRPr="00B713EE">
        <w:t>“</w:t>
      </w:r>
      <w:r w:rsidR="00CD04C1" w:rsidRPr="00B713EE">
        <w:rPr>
          <w:i/>
        </w:rPr>
        <w:t>parcage télécommandé (PTC)</w:t>
      </w:r>
      <w:r w:rsidRPr="00B713EE">
        <w:t>”</w:t>
      </w:r>
      <w:r w:rsidR="00B90B28">
        <w:t xml:space="preserve"> une FDCA de catégorie </w:t>
      </w:r>
      <w:r w:rsidR="00CD04C1" w:rsidRPr="00B713EE">
        <w:t>A, activée par le conducteur, exécutant une manœuvre de stationnement ou une manœuvre à petite vitesse. L</w:t>
      </w:r>
      <w:r w:rsidR="007C2F80">
        <w:t>’</w:t>
      </w:r>
      <w:r w:rsidR="00CD04C1" w:rsidRPr="00B713EE">
        <w:t>activation s</w:t>
      </w:r>
      <w:r w:rsidR="007C2F80">
        <w:t>’</w:t>
      </w:r>
      <w:r w:rsidR="00CD04C1" w:rsidRPr="00B713EE">
        <w:t xml:space="preserve">effectue par télécommande à proximité immédiate du véhicule </w:t>
      </w:r>
    </w:p>
    <w:p w:rsidR="00CD04C1" w:rsidRPr="00B713EE" w:rsidRDefault="00CD04C1" w:rsidP="00E67EC5">
      <w:pPr>
        <w:pStyle w:val="SingleTxtG"/>
        <w:ind w:left="2268" w:hanging="1134"/>
      </w:pPr>
      <w:r w:rsidRPr="00B713EE">
        <w:t>2.4.9</w:t>
      </w:r>
      <w:r w:rsidRPr="00B713EE">
        <w:tab/>
        <w:t>Par “</w:t>
      </w:r>
      <w:r w:rsidR="008F0A7E">
        <w:rPr>
          <w:i/>
        </w:rPr>
        <w:t>portée indiquée du système P</w:t>
      </w:r>
      <w:r w:rsidRPr="00B713EE">
        <w:rPr>
          <w:i/>
        </w:rPr>
        <w:t>T</w:t>
      </w:r>
      <w:r w:rsidR="008F0A7E">
        <w:rPr>
          <w:i/>
        </w:rPr>
        <w:t>C</w:t>
      </w:r>
      <w:r w:rsidRPr="00B713EE">
        <w:rPr>
          <w:i/>
        </w:rPr>
        <w:t xml:space="preserve"> (</w:t>
      </w:r>
      <w:r w:rsidR="008F0A7E">
        <w:rPr>
          <w:i/>
        </w:rPr>
        <w:t>S</w:t>
      </w:r>
      <w:r w:rsidRPr="008F0A7E">
        <w:rPr>
          <w:i/>
          <w:vertAlign w:val="subscript"/>
        </w:rPr>
        <w:t>PCT</w:t>
      </w:r>
      <w:r w:rsidRPr="00B713EE">
        <w:rPr>
          <w:i/>
          <w:vertAlign w:val="subscript"/>
        </w:rPr>
        <w:t>max</w:t>
      </w:r>
      <w:r w:rsidRPr="00B713EE">
        <w:rPr>
          <w:i/>
        </w:rPr>
        <w:t>)</w:t>
      </w:r>
      <w:r w:rsidRPr="00B713EE">
        <w:t xml:space="preserve">”, la distance maximale entre le point le plus proche du véhicule à moteur et la télécommande pour laquelle la FDCA est conçue pour fonctionner. </w:t>
      </w:r>
    </w:p>
    <w:p w:rsidR="00CD04C1" w:rsidRPr="00B713EE" w:rsidRDefault="00CD04C1" w:rsidP="00E67EC5">
      <w:pPr>
        <w:pStyle w:val="SingleTxtG"/>
        <w:ind w:left="2268" w:hanging="1134"/>
      </w:pPr>
      <w:r w:rsidRPr="00B713EE">
        <w:t>2.4.10</w:t>
      </w:r>
      <w:r w:rsidRPr="00B713EE">
        <w:tab/>
        <w:t>Par “</w:t>
      </w:r>
      <w:r w:rsidRPr="00B713EE">
        <w:rPr>
          <w:i/>
        </w:rPr>
        <w:t>vitesse maximale indiquée (V</w:t>
      </w:r>
      <w:r w:rsidRPr="00B713EE">
        <w:rPr>
          <w:i/>
          <w:vertAlign w:val="subscript"/>
        </w:rPr>
        <w:t>smax</w:t>
      </w:r>
      <w:r w:rsidRPr="00B713EE">
        <w:rPr>
          <w:i/>
        </w:rPr>
        <w:t>)</w:t>
      </w:r>
      <w:r w:rsidRPr="00B713EE">
        <w:t xml:space="preserve">”, la vitesse maximale à laquelle une FDCA est conçue pour fonctionner. </w:t>
      </w:r>
    </w:p>
    <w:p w:rsidR="00CD04C1" w:rsidRPr="00B713EE" w:rsidRDefault="00CD04C1" w:rsidP="00E67EC5">
      <w:pPr>
        <w:pStyle w:val="SingleTxtG"/>
        <w:ind w:left="2268" w:hanging="1134"/>
      </w:pPr>
      <w:r w:rsidRPr="00B713EE">
        <w:t>2.4.11</w:t>
      </w:r>
      <w:r w:rsidRPr="00B713EE">
        <w:tab/>
        <w:t>Par “</w:t>
      </w:r>
      <w:r w:rsidRPr="00B713EE">
        <w:rPr>
          <w:i/>
        </w:rPr>
        <w:t>vitesse minimale indiquée (V</w:t>
      </w:r>
      <w:r w:rsidRPr="00B713EE">
        <w:rPr>
          <w:i/>
          <w:vertAlign w:val="subscript"/>
        </w:rPr>
        <w:t>smin</w:t>
      </w:r>
      <w:r w:rsidRPr="00B713EE">
        <w:rPr>
          <w:i/>
        </w:rPr>
        <w:t>)</w:t>
      </w:r>
      <w:r w:rsidRPr="00B713EE">
        <w:t xml:space="preserve">” la vitesse minimale à laquelle une FDCA est conçue pour fonctionner. </w:t>
      </w:r>
    </w:p>
    <w:p w:rsidR="00CD04C1" w:rsidRPr="00B713EE" w:rsidRDefault="00CD04C1" w:rsidP="00E67EC5">
      <w:pPr>
        <w:pStyle w:val="SingleTxtG"/>
        <w:ind w:left="2268" w:hanging="1134"/>
      </w:pPr>
      <w:r w:rsidRPr="00B713EE">
        <w:t>2.4.12</w:t>
      </w:r>
      <w:r w:rsidRPr="00B713EE">
        <w:tab/>
        <w:t>Par “</w:t>
      </w:r>
      <w:r w:rsidRPr="00B713EE">
        <w:rPr>
          <w:i/>
        </w:rPr>
        <w:t>accélération latérale maximale indiquée (ay</w:t>
      </w:r>
      <w:r w:rsidRPr="00B713EE">
        <w:rPr>
          <w:i/>
          <w:vertAlign w:val="subscript"/>
        </w:rPr>
        <w:t>smax</w:t>
      </w:r>
      <w:r w:rsidRPr="00B713EE">
        <w:rPr>
          <w:i/>
        </w:rPr>
        <w:t>)</w:t>
      </w:r>
      <w:r w:rsidRPr="00B713EE">
        <w:t>” l</w:t>
      </w:r>
      <w:r w:rsidR="007C2F80">
        <w:t>’</w:t>
      </w:r>
      <w:r w:rsidRPr="00B713EE">
        <w:t>accélération latérale maximale à laquelle une FDCA est conçue pour fonctionner.</w:t>
      </w:r>
    </w:p>
    <w:p w:rsidR="00CD04C1" w:rsidRPr="00B713EE" w:rsidRDefault="00CD04C1" w:rsidP="00E67EC5">
      <w:pPr>
        <w:pStyle w:val="SingleTxtG"/>
        <w:ind w:left="2268" w:hanging="1134"/>
      </w:pPr>
      <w:r w:rsidRPr="00B713EE">
        <w:t>2.4.13</w:t>
      </w:r>
      <w:r w:rsidRPr="00B713EE">
        <w:tab/>
        <w:t xml:space="preserve">Une FDCA est en </w:t>
      </w:r>
      <w:r w:rsidR="00B8455E" w:rsidRPr="00B713EE">
        <w:t>“</w:t>
      </w:r>
      <w:r w:rsidRPr="00B713EE">
        <w:t>mode arrêt</w:t>
      </w:r>
      <w:r w:rsidR="00B8455E" w:rsidRPr="00B713EE">
        <w:t>”</w:t>
      </w:r>
      <w:r w:rsidRPr="00B713EE">
        <w:t xml:space="preserve"> (ou </w:t>
      </w:r>
      <w:r w:rsidR="00B8455E" w:rsidRPr="00B713EE">
        <w:t>“</w:t>
      </w:r>
      <w:r w:rsidRPr="00B713EE">
        <w:t>désactivée</w:t>
      </w:r>
      <w:r w:rsidR="00B8455E" w:rsidRPr="00B713EE">
        <w:t>”</w:t>
      </w:r>
      <w:r w:rsidRPr="00B713EE">
        <w:t>) lorsqu</w:t>
      </w:r>
      <w:r w:rsidR="007C2F80">
        <w:t>’</w:t>
      </w:r>
      <w:r w:rsidRPr="00B713EE">
        <w:t xml:space="preserve">elle est empêchée de créer une commande de direction pour aider le conducteur. </w:t>
      </w:r>
    </w:p>
    <w:p w:rsidR="00CD04C1" w:rsidRPr="00B713EE" w:rsidRDefault="00CD04C1" w:rsidP="00E67EC5">
      <w:pPr>
        <w:pStyle w:val="SingleTxtG"/>
        <w:ind w:left="2268" w:hanging="1134"/>
      </w:pPr>
      <w:r w:rsidRPr="00B713EE">
        <w:t>2.4.14</w:t>
      </w:r>
      <w:r w:rsidRPr="00B713EE">
        <w:tab/>
        <w:t xml:space="preserve">Une FDCA est en </w:t>
      </w:r>
      <w:r w:rsidR="00B8455E" w:rsidRPr="00B713EE">
        <w:t>“</w:t>
      </w:r>
      <w:r w:rsidRPr="00B713EE">
        <w:t>mode veille</w:t>
      </w:r>
      <w:r w:rsidR="00B8455E" w:rsidRPr="00B713EE">
        <w:t>”</w:t>
      </w:r>
      <w:r w:rsidRPr="00B713EE">
        <w:t xml:space="preserve"> lorsqu</w:t>
      </w:r>
      <w:r w:rsidR="007C2F80">
        <w:t>’</w:t>
      </w:r>
      <w:r w:rsidRPr="00B713EE">
        <w:t>elle est activée mais que toutes les conditions ne sont pas réunies pour qu</w:t>
      </w:r>
      <w:r w:rsidR="007C2F80">
        <w:t>’</w:t>
      </w:r>
      <w:r w:rsidRPr="00B713EE">
        <w:t>elle se déclenche (conditions de fonctionnement du système, action délibérée du conducteur). Dans ce mode, le système n</w:t>
      </w:r>
      <w:r w:rsidR="007C2F80">
        <w:t>’</w:t>
      </w:r>
      <w:r w:rsidRPr="00B713EE">
        <w:t>est pas prêt à créer une commande de direction pour aider le conducteur.</w:t>
      </w:r>
    </w:p>
    <w:p w:rsidR="00CD04C1" w:rsidRPr="00B713EE" w:rsidRDefault="00CD04C1" w:rsidP="00E67EC5">
      <w:pPr>
        <w:pStyle w:val="SingleTxtG"/>
        <w:ind w:left="2268" w:hanging="1134"/>
      </w:pPr>
      <w:r w:rsidRPr="00B713EE">
        <w:t>2.4.15</w:t>
      </w:r>
      <w:r w:rsidRPr="00B713EE">
        <w:tab/>
        <w:t xml:space="preserve">Une FDCA est en mode </w:t>
      </w:r>
      <w:r w:rsidR="00B8455E" w:rsidRPr="00B713EE">
        <w:t>“</w:t>
      </w:r>
      <w:r w:rsidRPr="00B713EE">
        <w:t>mode actif</w:t>
      </w:r>
      <w:r w:rsidR="00B8455E" w:rsidRPr="00B713EE">
        <w:t>”</w:t>
      </w:r>
      <w:r w:rsidRPr="00B713EE">
        <w:t xml:space="preserve"> lorsqu</w:t>
      </w:r>
      <w:r w:rsidR="007C2F80">
        <w:t>’</w:t>
      </w:r>
      <w:r w:rsidRPr="00B713EE">
        <w:t>elle est activée et que les conditions sont réunies pour qu</w:t>
      </w:r>
      <w:r w:rsidR="007C2F80">
        <w:t>’</w:t>
      </w:r>
      <w:r w:rsidRPr="00B713EE">
        <w:t>elle se déclenche. Dans ce mode, le système commande la direction de manière continue ou discontinue, ou est prêt à créer une commande de direction pour aider le conducteur.</w:t>
      </w:r>
      <w:r w:rsidR="00C67B19">
        <w:t> »</w:t>
      </w:r>
      <w:r w:rsidRPr="00B713EE">
        <w:t>.</w:t>
      </w:r>
    </w:p>
    <w:p w:rsidR="00CD04C1" w:rsidRPr="00B713EE" w:rsidRDefault="00CD04C1" w:rsidP="00B713EE">
      <w:pPr>
        <w:pStyle w:val="SingleTxtG"/>
        <w:rPr>
          <w:iCs/>
          <w:lang w:eastAsia="nl-NL"/>
        </w:rPr>
      </w:pPr>
      <w:r w:rsidRPr="00B713EE">
        <w:rPr>
          <w:i/>
          <w:iCs/>
          <w:lang w:eastAsia="nl-NL"/>
        </w:rPr>
        <w:t>Paragraphe 5.1.6.1</w:t>
      </w:r>
      <w:r w:rsidRPr="00F91253">
        <w:rPr>
          <w:iCs/>
          <w:lang w:eastAsia="nl-NL"/>
        </w:rPr>
        <w:t>,</w:t>
      </w:r>
      <w:r w:rsidRPr="00B713EE">
        <w:rPr>
          <w:i/>
          <w:iCs/>
          <w:lang w:eastAsia="nl-NL"/>
        </w:rPr>
        <w:t xml:space="preserve"> </w:t>
      </w:r>
      <w:r w:rsidR="00B90B28">
        <w:rPr>
          <w:iCs/>
          <w:lang w:eastAsia="nl-NL"/>
        </w:rPr>
        <w:t>modifier comme suit </w:t>
      </w:r>
      <w:r w:rsidRPr="00B713EE">
        <w:rPr>
          <w:iCs/>
          <w:lang w:eastAsia="nl-NL"/>
        </w:rPr>
        <w:t>:</w:t>
      </w:r>
    </w:p>
    <w:p w:rsidR="00CD04C1" w:rsidRPr="00B713EE" w:rsidRDefault="00B8455E" w:rsidP="00E67EC5">
      <w:pPr>
        <w:pStyle w:val="SingleTxtG"/>
        <w:ind w:left="2268" w:hanging="1134"/>
      </w:pPr>
      <w:r>
        <w:t>« </w:t>
      </w:r>
      <w:r w:rsidR="00CD04C1" w:rsidRPr="00B713EE">
        <w:t>5.1.6.1</w:t>
      </w:r>
      <w:r w:rsidR="00CD04C1" w:rsidRPr="00B713EE">
        <w:tab/>
        <w:t>Tout système de fonction de direction corrective (FDC) doit satisfaire aux prescriptions de l</w:t>
      </w:r>
      <w:r w:rsidR="007C2F80">
        <w:t>’</w:t>
      </w:r>
      <w:r w:rsidR="00CD04C1" w:rsidRPr="00B713EE">
        <w:t>annexe 6.</w:t>
      </w:r>
      <w:r>
        <w:t> »</w:t>
      </w:r>
      <w:r w:rsidR="00CD04C1" w:rsidRPr="00B713EE">
        <w:t>.</w:t>
      </w:r>
    </w:p>
    <w:p w:rsidR="00CD04C1" w:rsidRPr="00B713EE" w:rsidRDefault="00CD04C1" w:rsidP="00B713EE">
      <w:pPr>
        <w:pStyle w:val="SingleTxtG"/>
        <w:rPr>
          <w:lang w:eastAsia="nl-NL"/>
        </w:rPr>
      </w:pPr>
      <w:r w:rsidRPr="00B713EE">
        <w:rPr>
          <w:i/>
          <w:iCs/>
          <w:lang w:eastAsia="nl-NL"/>
        </w:rPr>
        <w:t xml:space="preserve">Ajouter de nouveaux paragraphes </w:t>
      </w:r>
      <w:r w:rsidRPr="00C67B19">
        <w:rPr>
          <w:i/>
          <w:lang w:eastAsia="nl-NL"/>
        </w:rPr>
        <w:t>5.1.6.1.1 à 5.1.6.1.4</w:t>
      </w:r>
      <w:r w:rsidR="00B90B28">
        <w:rPr>
          <w:lang w:eastAsia="nl-NL"/>
        </w:rPr>
        <w:t>, ainsi conçus :</w:t>
      </w:r>
    </w:p>
    <w:p w:rsidR="00CD04C1" w:rsidRPr="00B713EE" w:rsidRDefault="00B8455E" w:rsidP="00E67EC5">
      <w:pPr>
        <w:pStyle w:val="SingleTxtG"/>
        <w:ind w:left="2268" w:hanging="1134"/>
      </w:pPr>
      <w:r>
        <w:t>« 5.1.6.1.1</w:t>
      </w:r>
      <w:r w:rsidR="00CD04C1" w:rsidRPr="00B713EE">
        <w:tab/>
        <w:t>Chaque intervention de la FDC doit être immédiatement indiquée au conducteur par un signal visuel qui s</w:t>
      </w:r>
      <w:r w:rsidR="007C2F80">
        <w:t>’</w:t>
      </w:r>
      <w:r w:rsidR="00CD04C1" w:rsidRPr="00B713EE">
        <w:t>affiche pendant au moins 1</w:t>
      </w:r>
      <w:r w:rsidR="00C67B19">
        <w:t> </w:t>
      </w:r>
      <w:r w:rsidR="00CD04C1" w:rsidRPr="00B713EE">
        <w:t>s ou tant que dure l</w:t>
      </w:r>
      <w:r w:rsidR="007C2F80">
        <w:t>’</w:t>
      </w:r>
      <w:r w:rsidR="00CD04C1" w:rsidRPr="00B713EE">
        <w:t xml:space="preserve">intervention, la plus longue de ces deux périodes étant retenue. </w:t>
      </w:r>
    </w:p>
    <w:p w:rsidR="00CD04C1" w:rsidRPr="00B713EE" w:rsidRDefault="00CD04C1" w:rsidP="00E67EC5">
      <w:pPr>
        <w:pStyle w:val="SingleTxtG"/>
        <w:ind w:left="2268" w:hanging="1134"/>
      </w:pPr>
      <w:r w:rsidRPr="00B713EE">
        <w:t>5.1.6.1.2</w:t>
      </w:r>
      <w:r w:rsidRPr="00B713EE">
        <w:tab/>
        <w:t>Dans le cas d</w:t>
      </w:r>
      <w:r w:rsidR="007C2F80">
        <w:t>’</w:t>
      </w:r>
      <w:r w:rsidRPr="00B713EE">
        <w:t>une intervention de la FDC basée sur l</w:t>
      </w:r>
      <w:r w:rsidR="007C2F80">
        <w:t>’</w:t>
      </w:r>
      <w:r w:rsidRPr="00B713EE">
        <w:t>évaluation de la présence et de l</w:t>
      </w:r>
      <w:r w:rsidR="007C2F80">
        <w:t>’</w:t>
      </w:r>
      <w:r w:rsidRPr="00B713EE">
        <w:t>emplacement du marquage ou des limites de la voie, les prescriptio</w:t>
      </w:r>
      <w:r w:rsidR="00B8455E">
        <w:t>ns supplémentaires s</w:t>
      </w:r>
      <w:r w:rsidR="007C2F80">
        <w:t>’</w:t>
      </w:r>
      <w:r w:rsidR="00B8455E">
        <w:t>appliquent </w:t>
      </w:r>
      <w:r w:rsidRPr="00B713EE">
        <w:t>:</w:t>
      </w:r>
    </w:p>
    <w:p w:rsidR="00CD04C1" w:rsidRPr="00B713EE" w:rsidRDefault="00CD04C1" w:rsidP="00E67EC5">
      <w:pPr>
        <w:pStyle w:val="SingleTxtG"/>
        <w:ind w:left="2268" w:hanging="1134"/>
      </w:pPr>
      <w:r w:rsidRPr="00B713EE">
        <w:t>5.1.6.1.2.1</w:t>
      </w:r>
      <w:r w:rsidRPr="00B713EE">
        <w:tab/>
        <w:t>Dans le cas d</w:t>
      </w:r>
      <w:r w:rsidR="007C2F80">
        <w:t>’</w:t>
      </w:r>
      <w:r w:rsidR="00B90B28">
        <w:t>une intervention durant plus de </w:t>
      </w:r>
      <w:r w:rsidRPr="00B713EE">
        <w:t>:</w:t>
      </w:r>
    </w:p>
    <w:p w:rsidR="00CD04C1" w:rsidRPr="00B713EE" w:rsidRDefault="00CD04C1" w:rsidP="00F45D4C">
      <w:pPr>
        <w:spacing w:after="120"/>
        <w:ind w:left="2835" w:right="1134" w:hanging="567"/>
        <w:jc w:val="both"/>
      </w:pPr>
      <w:r w:rsidRPr="00B713EE">
        <w:t>a)</w:t>
      </w:r>
      <w:r w:rsidRPr="00B713EE">
        <w:tab/>
        <w:t>10</w:t>
      </w:r>
      <w:r w:rsidR="00C67B19">
        <w:t> </w:t>
      </w:r>
      <w:r w:rsidRPr="00B713EE">
        <w:t>s pour les véhicules des catégories M</w:t>
      </w:r>
      <w:r w:rsidRPr="00B713EE">
        <w:rPr>
          <w:vertAlign w:val="subscript"/>
        </w:rPr>
        <w:t xml:space="preserve">1 </w:t>
      </w:r>
      <w:r w:rsidRPr="00B713EE">
        <w:t>et N</w:t>
      </w:r>
      <w:r w:rsidRPr="00B713EE">
        <w:rPr>
          <w:vertAlign w:val="subscript"/>
        </w:rPr>
        <w:t>1</w:t>
      </w:r>
      <w:r w:rsidRPr="00B713EE">
        <w:t>, ou</w:t>
      </w:r>
    </w:p>
    <w:p w:rsidR="00CD04C1" w:rsidRPr="00B713EE" w:rsidRDefault="00CD04C1" w:rsidP="00F45D4C">
      <w:pPr>
        <w:spacing w:after="120"/>
        <w:ind w:left="2835" w:right="1134" w:hanging="567"/>
        <w:jc w:val="both"/>
      </w:pPr>
      <w:r w:rsidRPr="00B713EE">
        <w:t>b)</w:t>
      </w:r>
      <w:r w:rsidRPr="00B713EE">
        <w:tab/>
        <w:t>30</w:t>
      </w:r>
      <w:r w:rsidR="00C67B19">
        <w:t> </w:t>
      </w:r>
      <w:r w:rsidRPr="00B713EE">
        <w:t>s pour les véhicules des catégories M</w:t>
      </w:r>
      <w:r w:rsidRPr="00B713EE">
        <w:rPr>
          <w:vertAlign w:val="subscript"/>
        </w:rPr>
        <w:t>2</w:t>
      </w:r>
      <w:r w:rsidRPr="00B713EE">
        <w:t>, M</w:t>
      </w:r>
      <w:r w:rsidRPr="00B713EE">
        <w:rPr>
          <w:vertAlign w:val="subscript"/>
        </w:rPr>
        <w:t>3</w:t>
      </w:r>
      <w:r w:rsidRPr="00B713EE">
        <w:t xml:space="preserve"> et N</w:t>
      </w:r>
      <w:r w:rsidRPr="00B713EE">
        <w:rPr>
          <w:vertAlign w:val="subscript"/>
        </w:rPr>
        <w:t>2</w:t>
      </w:r>
      <w:r w:rsidRPr="00B713EE">
        <w:t>, N</w:t>
      </w:r>
      <w:r w:rsidRPr="00B713EE">
        <w:rPr>
          <w:vertAlign w:val="subscript"/>
        </w:rPr>
        <w:t>3</w:t>
      </w:r>
      <w:r w:rsidRPr="00B713EE">
        <w:t>,</w:t>
      </w:r>
    </w:p>
    <w:p w:rsidR="00CD04C1" w:rsidRPr="00B713EE" w:rsidRDefault="00CD04C1" w:rsidP="00F45D4C">
      <w:pPr>
        <w:spacing w:after="120"/>
        <w:ind w:left="2268" w:right="1134"/>
        <w:jc w:val="both"/>
      </w:pPr>
      <w:r w:rsidRPr="00B713EE">
        <w:t>un signal d</w:t>
      </w:r>
      <w:r w:rsidR="007C2F80">
        <w:t>’</w:t>
      </w:r>
      <w:r w:rsidRPr="00B713EE">
        <w:t>avertissement sonore doit être émis jusqu</w:t>
      </w:r>
      <w:r w:rsidR="007C2F80">
        <w:t>’</w:t>
      </w:r>
      <w:r w:rsidRPr="00B713EE">
        <w:t>à la fin de l</w:t>
      </w:r>
      <w:r w:rsidR="007C2F80">
        <w:t>’</w:t>
      </w:r>
      <w:r w:rsidRPr="00B713EE">
        <w:t xml:space="preserve">intervention. </w:t>
      </w:r>
    </w:p>
    <w:p w:rsidR="00CD04C1" w:rsidRPr="00B713EE" w:rsidRDefault="00CD04C1" w:rsidP="00E67EC5">
      <w:pPr>
        <w:pStyle w:val="SingleTxtG"/>
        <w:ind w:left="2268" w:hanging="1134"/>
      </w:pPr>
      <w:r w:rsidRPr="00B713EE">
        <w:t>5.1.6.1.2.2</w:t>
      </w:r>
      <w:r w:rsidRPr="00B713EE">
        <w:tab/>
        <w:t>Dans le cas de deux interventions consécutives ou plus se produisant dans un intervalle glissant de 180</w:t>
      </w:r>
      <w:r w:rsidR="00C67B19">
        <w:t> </w:t>
      </w:r>
      <w:r w:rsidRPr="00B713EE">
        <w:t>secondes et en l</w:t>
      </w:r>
      <w:r w:rsidR="007C2F80">
        <w:t>’</w:t>
      </w:r>
      <w:r w:rsidRPr="00B713EE">
        <w:t>absence d</w:t>
      </w:r>
      <w:r w:rsidR="007C2F80">
        <w:t>’</w:t>
      </w:r>
      <w:r w:rsidRPr="00B713EE">
        <w:t>action du conducteur sur la direction durant l</w:t>
      </w:r>
      <w:r w:rsidR="007C2F80">
        <w:t>’</w:t>
      </w:r>
      <w:r w:rsidRPr="00B713EE">
        <w:t>intervention, un signal d</w:t>
      </w:r>
      <w:r w:rsidR="007C2F80">
        <w:t>’</w:t>
      </w:r>
      <w:r w:rsidRPr="00B713EE">
        <w:t>avertissement sonore doit être émis par le système lors de la deuxième intervention et de toute autre intervention dans un intervalle glissant de 180</w:t>
      </w:r>
      <w:r w:rsidR="00C67B19">
        <w:t> </w:t>
      </w:r>
      <w:r w:rsidRPr="00B713EE">
        <w:t>secondes. À partir de la troisième intervention (et lors des interventions suivantes), le signal sonore doit se poursuivre pendant au moins 10</w:t>
      </w:r>
      <w:r w:rsidR="00C67B19">
        <w:t> </w:t>
      </w:r>
      <w:r w:rsidRPr="00B713EE">
        <w:t>secondes de plus que le signal d</w:t>
      </w:r>
      <w:r w:rsidR="007C2F80">
        <w:t>’</w:t>
      </w:r>
      <w:r w:rsidRPr="00B713EE">
        <w:t xml:space="preserve">avertissement précédent. </w:t>
      </w:r>
    </w:p>
    <w:p w:rsidR="00CD04C1" w:rsidRPr="00B713EE" w:rsidRDefault="00CD04C1" w:rsidP="00E67EC5">
      <w:pPr>
        <w:pStyle w:val="SingleTxtG"/>
        <w:ind w:left="2268" w:hanging="1134"/>
        <w:rPr>
          <w:bCs/>
        </w:rPr>
      </w:pPr>
      <w:r w:rsidRPr="00B713EE">
        <w:rPr>
          <w:bCs/>
        </w:rPr>
        <w:t>5.1.6.1.3</w:t>
      </w:r>
      <w:r w:rsidRPr="00B713EE">
        <w:rPr>
          <w:bCs/>
        </w:rPr>
        <w:tab/>
        <w:t>L</w:t>
      </w:r>
      <w:r w:rsidR="007C2F80">
        <w:rPr>
          <w:bCs/>
        </w:rPr>
        <w:t>’</w:t>
      </w:r>
      <w:r w:rsidRPr="00B713EE">
        <w:rPr>
          <w:bCs/>
        </w:rPr>
        <w:t xml:space="preserve">effort à la commande de direction nécessaire pour neutraliser le contrôle de la trajectoire exercé par le système ne doit pas être supérieur à 50 N dans toute la gamme de fonctionnement de la FDC. </w:t>
      </w:r>
    </w:p>
    <w:p w:rsidR="00CD04C1" w:rsidRPr="00B713EE" w:rsidRDefault="00CD04C1" w:rsidP="00E67EC5">
      <w:pPr>
        <w:pStyle w:val="SingleTxtG"/>
        <w:ind w:left="2268" w:hanging="1134"/>
      </w:pPr>
      <w:r w:rsidRPr="00B713EE">
        <w:rPr>
          <w:bCs/>
        </w:rPr>
        <w:t>5.1.6.1.4</w:t>
      </w:r>
      <w:r w:rsidRPr="00B713EE">
        <w:rPr>
          <w:bCs/>
        </w:rPr>
        <w:tab/>
        <w:t>Les prescriptions des paragraphes 5.1.6.1.1, 5.1.6.1.2 et 5.1.6.1.3 ci-dessus, qui dépendent de l</w:t>
      </w:r>
      <w:r w:rsidR="007C2F80">
        <w:rPr>
          <w:bCs/>
        </w:rPr>
        <w:t>’</w:t>
      </w:r>
      <w:r w:rsidRPr="00B713EE">
        <w:rPr>
          <w:bCs/>
        </w:rPr>
        <w:t>évaluation de la présence et de l</w:t>
      </w:r>
      <w:r w:rsidR="007C2F80">
        <w:rPr>
          <w:bCs/>
        </w:rPr>
        <w:t>’</w:t>
      </w:r>
      <w:r w:rsidRPr="00B713EE">
        <w:rPr>
          <w:bCs/>
        </w:rPr>
        <w:t>emplacement du marquage ou des limites de la voie, doivent être vérifiées conformément à l</w:t>
      </w:r>
      <w:r w:rsidR="007C2F80">
        <w:rPr>
          <w:bCs/>
        </w:rPr>
        <w:t>’</w:t>
      </w:r>
      <w:r w:rsidRPr="00B713EE">
        <w:rPr>
          <w:bCs/>
        </w:rPr>
        <w:t>essai ou aux essais pertinents décrits à l</w:t>
      </w:r>
      <w:r w:rsidR="007C2F80">
        <w:rPr>
          <w:bCs/>
        </w:rPr>
        <w:t>’</w:t>
      </w:r>
      <w:r w:rsidRPr="00B713EE">
        <w:rPr>
          <w:bCs/>
        </w:rPr>
        <w:t>annexe 8 du présent Règlement</w:t>
      </w:r>
      <w:r w:rsidRPr="00B713EE">
        <w:t>.</w:t>
      </w:r>
      <w:r w:rsidR="00B8455E">
        <w:t> »</w:t>
      </w:r>
      <w:r w:rsidRPr="00B713EE">
        <w:t>.</w:t>
      </w:r>
    </w:p>
    <w:p w:rsidR="00CD04C1" w:rsidRPr="00B713EE" w:rsidRDefault="00CD04C1" w:rsidP="00B713EE">
      <w:pPr>
        <w:pStyle w:val="SingleTxtG"/>
        <w:rPr>
          <w:i/>
          <w:iCs/>
          <w:lang w:eastAsia="nl-NL"/>
        </w:rPr>
      </w:pPr>
      <w:r w:rsidRPr="00B713EE">
        <w:rPr>
          <w:i/>
          <w:iCs/>
          <w:lang w:eastAsia="nl-NL"/>
        </w:rPr>
        <w:t>Ajouter de nouveaux paragraphes 5.4.1.2 et 5.4.1.3</w:t>
      </w:r>
      <w:r w:rsidRPr="00C67B19">
        <w:rPr>
          <w:iCs/>
          <w:lang w:eastAsia="nl-NL"/>
        </w:rPr>
        <w:t>,</w:t>
      </w:r>
      <w:r w:rsidRPr="00B713EE">
        <w:rPr>
          <w:i/>
          <w:iCs/>
          <w:lang w:eastAsia="nl-NL"/>
        </w:rPr>
        <w:t xml:space="preserve"> </w:t>
      </w:r>
      <w:r w:rsidR="00B90B28">
        <w:rPr>
          <w:iCs/>
          <w:lang w:eastAsia="nl-NL"/>
        </w:rPr>
        <w:t>ainsi conçus </w:t>
      </w:r>
      <w:r w:rsidRPr="00B713EE">
        <w:rPr>
          <w:iCs/>
          <w:lang w:eastAsia="nl-NL"/>
        </w:rPr>
        <w:t>:</w:t>
      </w:r>
    </w:p>
    <w:p w:rsidR="00CD04C1" w:rsidRPr="00B713EE" w:rsidRDefault="00B8455E" w:rsidP="00E67EC5">
      <w:pPr>
        <w:pStyle w:val="SingleTxtG"/>
        <w:ind w:left="2268" w:hanging="1134"/>
      </w:pPr>
      <w:r>
        <w:t>« </w:t>
      </w:r>
      <w:r w:rsidR="00CD04C1" w:rsidRPr="00B713EE">
        <w:t>5.4.1.2</w:t>
      </w:r>
      <w:r w:rsidR="00CD04C1" w:rsidRPr="00B713EE">
        <w:tab/>
        <w:t>Les signaux d</w:t>
      </w:r>
      <w:r w:rsidR="007C2F80">
        <w:t>’</w:t>
      </w:r>
      <w:r w:rsidR="00CD04C1" w:rsidRPr="00B713EE">
        <w:t>avertissement visuels doivent être visibles même à la lumière du jour et différenciables de tout autre dispositif d</w:t>
      </w:r>
      <w:r w:rsidR="007C2F80">
        <w:t>’</w:t>
      </w:r>
      <w:r w:rsidR="00CD04C1" w:rsidRPr="00B713EE">
        <w:t>alerte</w:t>
      </w:r>
      <w:r w:rsidR="003221B6">
        <w:t> ;</w:t>
      </w:r>
      <w:r w:rsidR="00CD04C1" w:rsidRPr="00B713EE">
        <w:t xml:space="preserve"> le bon état des voyants doit pouvoir être aisément vérifié par le conducteur depuis son siège</w:t>
      </w:r>
      <w:r w:rsidR="003221B6">
        <w:t> ;</w:t>
      </w:r>
      <w:r w:rsidR="00CD04C1" w:rsidRPr="00B713EE">
        <w:t xml:space="preserve"> la défaillance d</w:t>
      </w:r>
      <w:r w:rsidR="007C2F80">
        <w:t>’</w:t>
      </w:r>
      <w:r w:rsidR="00CD04C1" w:rsidRPr="00B713EE">
        <w:t>un des éléments des dispositifs d</w:t>
      </w:r>
      <w:r w:rsidR="007C2F80">
        <w:t>’</w:t>
      </w:r>
      <w:r w:rsidR="00CD04C1" w:rsidRPr="00B713EE">
        <w:t>avertissement ne doit pas nuire à l</w:t>
      </w:r>
      <w:r w:rsidR="007C2F80">
        <w:t>’</w:t>
      </w:r>
      <w:r w:rsidR="00CD04C1" w:rsidRPr="00B713EE">
        <w:t>effic</w:t>
      </w:r>
      <w:r>
        <w:t>acité du système de direction.</w:t>
      </w:r>
    </w:p>
    <w:p w:rsidR="00CD04C1" w:rsidRPr="00B713EE" w:rsidRDefault="00CD04C1" w:rsidP="00E67EC5">
      <w:pPr>
        <w:pStyle w:val="SingleTxtG"/>
        <w:ind w:left="2268" w:hanging="1134"/>
      </w:pPr>
      <w:r w:rsidRPr="00B713EE">
        <w:t>5.4.1.3</w:t>
      </w:r>
      <w:r w:rsidRPr="00B713EE">
        <w:tab/>
        <w:t>L</w:t>
      </w:r>
      <w:r w:rsidR="007C2F80">
        <w:t>’</w:t>
      </w:r>
      <w:r w:rsidRPr="00B713EE">
        <w:t>alerte sonore doit consister en un signal sonore continu ou intermittent ou en un message vocal. S</w:t>
      </w:r>
      <w:r w:rsidR="007C2F80">
        <w:t>’</w:t>
      </w:r>
      <w:r w:rsidRPr="00B713EE">
        <w:t>il s</w:t>
      </w:r>
      <w:r w:rsidR="007C2F80">
        <w:t>’</w:t>
      </w:r>
      <w:r w:rsidRPr="00B713EE">
        <w:t>agit d</w:t>
      </w:r>
      <w:r w:rsidR="007C2F80">
        <w:t>’</w:t>
      </w:r>
      <w:r w:rsidRPr="00B713EE">
        <w:t>un message vocal, le constructeur doit veiller à ce qu</w:t>
      </w:r>
      <w:r w:rsidR="007C2F80">
        <w:t>’</w:t>
      </w:r>
      <w:r w:rsidRPr="00B713EE">
        <w:t xml:space="preserve">il soit formulé dans la ou les langues du marché sur lequel le véhicule est commercialisé. </w:t>
      </w:r>
    </w:p>
    <w:p w:rsidR="00CD04C1" w:rsidRPr="00B713EE" w:rsidRDefault="00CD04C1" w:rsidP="00F45D4C">
      <w:pPr>
        <w:pStyle w:val="SingleTxtG"/>
        <w:ind w:left="2268"/>
        <w:rPr>
          <w:bCs/>
        </w:rPr>
      </w:pPr>
      <w:r w:rsidRPr="00B713EE">
        <w:t>L</w:t>
      </w:r>
      <w:r w:rsidR="007C2F80">
        <w:t>’</w:t>
      </w:r>
      <w:r w:rsidRPr="00B713EE">
        <w:t>alerte sonore doit être facilement identifiée par le conducteur.</w:t>
      </w:r>
      <w:r w:rsidR="00B8455E">
        <w:t> »</w:t>
      </w:r>
      <w:r w:rsidRPr="00B713EE">
        <w:t>.</w:t>
      </w:r>
    </w:p>
    <w:p w:rsidR="00CD04C1" w:rsidRPr="00B713EE" w:rsidRDefault="00CD04C1" w:rsidP="00B713EE">
      <w:pPr>
        <w:pStyle w:val="SingleTxtG"/>
        <w:rPr>
          <w:color w:val="000000"/>
          <w:szCs w:val="24"/>
        </w:rPr>
      </w:pPr>
      <w:r w:rsidRPr="00B713EE">
        <w:rPr>
          <w:i/>
          <w:color w:val="000000"/>
          <w:szCs w:val="24"/>
        </w:rPr>
        <w:t>Le paragraphe 5.4.1.2 (ancien)</w:t>
      </w:r>
      <w:r w:rsidRPr="00B713EE">
        <w:rPr>
          <w:color w:val="000000"/>
          <w:szCs w:val="24"/>
        </w:rPr>
        <w:t xml:space="preserve"> devient le paragraphe 5.4.1.4.</w:t>
      </w:r>
    </w:p>
    <w:p w:rsidR="00CD04C1" w:rsidRPr="00B713EE" w:rsidRDefault="00CD04C1" w:rsidP="00B713EE">
      <w:pPr>
        <w:pStyle w:val="SingleTxtG"/>
        <w:rPr>
          <w:i/>
          <w:iCs/>
          <w:lang w:eastAsia="nl-NL"/>
        </w:rPr>
      </w:pPr>
      <w:r w:rsidRPr="00B713EE">
        <w:rPr>
          <w:i/>
          <w:iCs/>
          <w:lang w:eastAsia="nl-NL"/>
        </w:rPr>
        <w:t>Ajouter un nouveau paragraphe 5.6</w:t>
      </w:r>
      <w:r w:rsidRPr="00C67B19">
        <w:rPr>
          <w:iCs/>
          <w:lang w:eastAsia="nl-NL"/>
        </w:rPr>
        <w:t>,</w:t>
      </w:r>
      <w:r w:rsidR="00B90B28">
        <w:rPr>
          <w:iCs/>
          <w:lang w:eastAsia="nl-NL"/>
        </w:rPr>
        <w:t xml:space="preserve"> ainsi conçu </w:t>
      </w:r>
      <w:r w:rsidRPr="00B713EE">
        <w:rPr>
          <w:iCs/>
          <w:lang w:eastAsia="nl-NL"/>
        </w:rPr>
        <w:t>:</w:t>
      </w:r>
    </w:p>
    <w:p w:rsidR="00CD04C1" w:rsidRPr="00B713EE" w:rsidRDefault="00B8455E" w:rsidP="00E67EC5">
      <w:pPr>
        <w:pStyle w:val="SingleTxtG"/>
        <w:ind w:left="2268" w:hanging="1134"/>
      </w:pPr>
      <w:r>
        <w:t>« </w:t>
      </w:r>
      <w:r w:rsidR="00CD04C1" w:rsidRPr="00B713EE">
        <w:t>5.6</w:t>
      </w:r>
      <w:r w:rsidR="00CD04C1" w:rsidRPr="00B713EE">
        <w:tab/>
        <w:t>Prescriptions applicables aux FDCA</w:t>
      </w:r>
    </w:p>
    <w:p w:rsidR="00CD04C1" w:rsidRPr="00B713EE" w:rsidRDefault="00CD04C1" w:rsidP="00F45D4C">
      <w:pPr>
        <w:pStyle w:val="SingleTxtG"/>
        <w:ind w:left="2268"/>
        <w:rPr>
          <w:u w:val="single"/>
        </w:rPr>
      </w:pPr>
      <w:r w:rsidRPr="00B713EE">
        <w:t>Toute FDCA doit satisfai</w:t>
      </w:r>
      <w:r w:rsidR="00C67B19">
        <w:t>re aux prescriptions de l</w:t>
      </w:r>
      <w:r w:rsidR="007C2F80">
        <w:t>’</w:t>
      </w:r>
      <w:r w:rsidR="00C67B19">
        <w:t>annex</w:t>
      </w:r>
      <w:r w:rsidR="00AE35A6">
        <w:t>e</w:t>
      </w:r>
      <w:r w:rsidR="00C67B19">
        <w:t> </w:t>
      </w:r>
      <w:r w:rsidRPr="00B713EE">
        <w:t>6.</w:t>
      </w:r>
    </w:p>
    <w:p w:rsidR="00CD04C1" w:rsidRPr="00B713EE" w:rsidRDefault="00CD04C1" w:rsidP="00E67EC5">
      <w:pPr>
        <w:pStyle w:val="SingleTxtG"/>
        <w:ind w:left="2268" w:hanging="1134"/>
      </w:pPr>
      <w:r w:rsidRPr="00B713EE">
        <w:t>5.6.1</w:t>
      </w:r>
      <w:r w:rsidRPr="00B713EE">
        <w:tab/>
        <w:t>Prescriptions spéciales ap</w:t>
      </w:r>
      <w:r w:rsidR="00C67B19">
        <w:t>plicables aux FDCA de catégorie </w:t>
      </w:r>
      <w:r w:rsidRPr="00B713EE">
        <w:t>A</w:t>
      </w:r>
    </w:p>
    <w:p w:rsidR="00CD04C1" w:rsidRPr="00B713EE" w:rsidRDefault="00CD04C1" w:rsidP="00F45D4C">
      <w:pPr>
        <w:pStyle w:val="SingleTxtG"/>
        <w:ind w:left="2268"/>
      </w:pPr>
      <w:r w:rsidRPr="00B713EE">
        <w:t>Toute FDCA de catégorie A doit satisfaire aux prescriptions suivantes.</w:t>
      </w:r>
    </w:p>
    <w:p w:rsidR="00CD04C1" w:rsidRPr="00B713EE" w:rsidRDefault="00CD04C1" w:rsidP="00E67EC5">
      <w:pPr>
        <w:pStyle w:val="SingleTxtG"/>
        <w:ind w:left="2268" w:hanging="1134"/>
      </w:pPr>
      <w:r w:rsidRPr="00B713EE">
        <w:t>5.6.1.1</w:t>
      </w:r>
      <w:r w:rsidRPr="00B713EE">
        <w:tab/>
        <w:t>Prescriptions générales</w:t>
      </w:r>
    </w:p>
    <w:p w:rsidR="00CD04C1" w:rsidRPr="00B713EE" w:rsidRDefault="00CD04C1" w:rsidP="00E67EC5">
      <w:pPr>
        <w:pStyle w:val="SingleTxtG"/>
        <w:ind w:left="2268" w:hanging="1134"/>
      </w:pPr>
      <w:r w:rsidRPr="00B713EE">
        <w:t>5.6.1.1.1</w:t>
      </w:r>
      <w:r w:rsidRPr="00B713EE">
        <w:tab/>
        <w:t>Le système ne doit fonctionner que jusqu</w:t>
      </w:r>
      <w:r w:rsidR="007C2F80">
        <w:t>’</w:t>
      </w:r>
      <w:r w:rsidRPr="00B713EE">
        <w:t>à une vitesse de 10 km/h (a</w:t>
      </w:r>
      <w:r w:rsidR="00B8455E">
        <w:t>vec une tolérance de +2</w:t>
      </w:r>
      <w:r w:rsidR="00C67B19">
        <w:t> </w:t>
      </w:r>
      <w:r w:rsidR="00B8455E">
        <w:t>km/h).</w:t>
      </w:r>
    </w:p>
    <w:p w:rsidR="00CD04C1" w:rsidRPr="00B713EE" w:rsidRDefault="00CD04C1" w:rsidP="00E67EC5">
      <w:pPr>
        <w:pStyle w:val="SingleTxtG"/>
        <w:ind w:left="2268" w:hanging="1134"/>
      </w:pPr>
      <w:r w:rsidRPr="00B713EE">
        <w:t xml:space="preserve">5.6.1.1.2 </w:t>
      </w:r>
      <w:r w:rsidRPr="00B713EE">
        <w:tab/>
        <w:t>Le système ne doit s</w:t>
      </w:r>
      <w:r w:rsidR="007C2F80">
        <w:t>’</w:t>
      </w:r>
      <w:r w:rsidRPr="00B713EE">
        <w:t>activer qu</w:t>
      </w:r>
      <w:r w:rsidR="007C2F80">
        <w:t>’</w:t>
      </w:r>
      <w:r w:rsidRPr="00B713EE">
        <w:t>après une action délibérée du conducteur et si les conditions de son fonctionnement sont remplies (toutes les fonctions associées, freins, accélérateur, direction, caméra/radar/lidar etc., sont en état de marche).</w:t>
      </w:r>
    </w:p>
    <w:p w:rsidR="00CD04C1" w:rsidRPr="00B713EE" w:rsidRDefault="00CD04C1" w:rsidP="00E67EC5">
      <w:pPr>
        <w:pStyle w:val="SingleTxtG"/>
        <w:ind w:left="2268" w:hanging="1134"/>
      </w:pPr>
      <w:r w:rsidRPr="00B713EE">
        <w:t>5.6.1.1.3</w:t>
      </w:r>
      <w:r w:rsidRPr="00B713EE">
        <w:tab/>
        <w:t>Le système doit pouvoir être désactivé par le conducteur à tout moment.</w:t>
      </w:r>
    </w:p>
    <w:p w:rsidR="00CD04C1" w:rsidRDefault="00CD04C1" w:rsidP="00E67EC5">
      <w:pPr>
        <w:pStyle w:val="SingleTxtG"/>
        <w:ind w:left="2268" w:hanging="1134"/>
      </w:pPr>
      <w:r w:rsidRPr="00B713EE">
        <w:t>5.6.1.1.4</w:t>
      </w:r>
      <w:r w:rsidRPr="00B713EE">
        <w:tab/>
        <w:t>Dans le cas où le système inclut le contrôle de l</w:t>
      </w:r>
      <w:r w:rsidR="007C2F80">
        <w:t>’</w:t>
      </w:r>
      <w:r w:rsidRPr="00B713EE">
        <w:t>accélérateur et/ou du freinage du véhicule, ce dernier doit être équipé d</w:t>
      </w:r>
      <w:r w:rsidR="007C2F80">
        <w:t>’</w:t>
      </w:r>
      <w:r w:rsidRPr="00B713EE">
        <w:t>un moyen de détecter les obstacles (par exemple d</w:t>
      </w:r>
      <w:r w:rsidR="007C2F80">
        <w:t>’</w:t>
      </w:r>
      <w:r w:rsidRPr="00B713EE">
        <w:t>autres véhicules ou des piétons) dans la zone de manœuvre et d</w:t>
      </w:r>
      <w:r w:rsidR="007C2F80">
        <w:t>’</w:t>
      </w:r>
      <w:r w:rsidRPr="00B713EE">
        <w:t xml:space="preserve">immobiliser immédiatement le véhicule pour éviter une collision*. </w:t>
      </w:r>
    </w:p>
    <w:p w:rsidR="00F238E2" w:rsidRPr="00DE30C7" w:rsidRDefault="00DE30C7" w:rsidP="00DE30C7">
      <w:pPr>
        <w:pStyle w:val="SingleTxtG"/>
        <w:ind w:left="1418" w:hanging="1134"/>
        <w:rPr>
          <w:u w:val="single"/>
        </w:rPr>
      </w:pPr>
      <w:r w:rsidRPr="00DE30C7">
        <w:rPr>
          <w:u w:val="single"/>
        </w:rPr>
        <w:tab/>
      </w:r>
      <w:r>
        <w:rPr>
          <w:u w:val="single"/>
        </w:rPr>
        <w:tab/>
      </w:r>
    </w:p>
    <w:p w:rsidR="00CD04C1" w:rsidRPr="00B713EE" w:rsidRDefault="00F238E2" w:rsidP="00DE30C7">
      <w:pPr>
        <w:pStyle w:val="SingleTxtG"/>
        <w:ind w:hanging="567"/>
        <w:rPr>
          <w:sz w:val="18"/>
        </w:rPr>
      </w:pPr>
      <w:r w:rsidRPr="00F238E2">
        <w:t>*</w:t>
      </w:r>
      <w:r w:rsidR="00CD04C1" w:rsidRPr="00B713EE">
        <w:rPr>
          <w:sz w:val="18"/>
        </w:rPr>
        <w:tab/>
        <w:t>Tant que des procédures d</w:t>
      </w:r>
      <w:r w:rsidR="007C2F80">
        <w:rPr>
          <w:sz w:val="18"/>
        </w:rPr>
        <w:t>’</w:t>
      </w:r>
      <w:r w:rsidR="00CD04C1" w:rsidRPr="00B713EE">
        <w:rPr>
          <w:sz w:val="18"/>
        </w:rPr>
        <w:t>essai uniformes n</w:t>
      </w:r>
      <w:r w:rsidR="007C2F80">
        <w:rPr>
          <w:sz w:val="18"/>
        </w:rPr>
        <w:t>’</w:t>
      </w:r>
      <w:r w:rsidR="00CD04C1" w:rsidRPr="00B713EE">
        <w:rPr>
          <w:sz w:val="18"/>
        </w:rPr>
        <w:t>auront pas été définies, le constructeur devra communiquer au service technique la documentation et les pièces justificatives démontrant la conformité avec ces prescriptions. Les renseignements communiqués doivent faire l</w:t>
      </w:r>
      <w:r w:rsidR="007C2F80">
        <w:rPr>
          <w:sz w:val="18"/>
        </w:rPr>
        <w:t>’</w:t>
      </w:r>
      <w:r w:rsidR="00CD04C1" w:rsidRPr="00B713EE">
        <w:rPr>
          <w:sz w:val="18"/>
        </w:rPr>
        <w:t>objet d</w:t>
      </w:r>
      <w:r w:rsidR="007C2F80">
        <w:rPr>
          <w:sz w:val="18"/>
        </w:rPr>
        <w:t>’</w:t>
      </w:r>
      <w:r w:rsidR="00CD04C1" w:rsidRPr="00B713EE">
        <w:rPr>
          <w:sz w:val="18"/>
        </w:rPr>
        <w:t>un examen et d</w:t>
      </w:r>
      <w:r w:rsidR="007C2F80">
        <w:rPr>
          <w:sz w:val="18"/>
        </w:rPr>
        <w:t>’</w:t>
      </w:r>
      <w:r w:rsidR="00CD04C1" w:rsidRPr="00B713EE">
        <w:rPr>
          <w:sz w:val="18"/>
        </w:rPr>
        <w:t>un accord entre le service technique et le constructeur.</w:t>
      </w:r>
    </w:p>
    <w:p w:rsidR="00CD04C1" w:rsidRPr="00B713EE" w:rsidRDefault="00CD04C1" w:rsidP="00E67EC5">
      <w:pPr>
        <w:pStyle w:val="SingleTxtG"/>
        <w:ind w:left="2268" w:hanging="1134"/>
      </w:pPr>
      <w:r w:rsidRPr="00B713EE">
        <w:t>5.6.1.1.5</w:t>
      </w:r>
      <w:r w:rsidRPr="00B713EE">
        <w:tab/>
        <w:t>Le conducteur doit être prévenu chaque fois que le système s</w:t>
      </w:r>
      <w:r w:rsidR="007C2F80">
        <w:t>’</w:t>
      </w:r>
      <w:r w:rsidRPr="00B713EE">
        <w:t>active. Toute désactivation de la fonction de contrôle doit produire une alerte brève mais distincte au conducteur soit par un signal visuel, soit par un signal sonore ou encore par un signal d</w:t>
      </w:r>
      <w:r w:rsidR="007C2F80">
        <w:t>’</w:t>
      </w:r>
      <w:r w:rsidRPr="00B713EE">
        <w:t xml:space="preserve">alerte tactile (sauf pour le signal sur la commande de direction lors des manœuvres de stationnement). </w:t>
      </w:r>
    </w:p>
    <w:p w:rsidR="00CD04C1" w:rsidRPr="00B713EE" w:rsidRDefault="00CD04C1" w:rsidP="00F45D4C">
      <w:pPr>
        <w:pStyle w:val="SingleTxtG"/>
        <w:ind w:left="2268"/>
      </w:pPr>
      <w:r w:rsidRPr="00B713EE">
        <w:t>Pour le parcage télécommandé, les prescriptions relatives à l</w:t>
      </w:r>
      <w:r w:rsidR="007C2F80">
        <w:t>’</w:t>
      </w:r>
      <w:r w:rsidRPr="00B713EE">
        <w:t>avertissement du conducteur indiquées ci-dessus doivent être remplies par la présence d</w:t>
      </w:r>
      <w:r w:rsidR="007C2F80">
        <w:t>’</w:t>
      </w:r>
      <w:r w:rsidRPr="00B713EE">
        <w:t xml:space="preserve">un signal visuel au moins sur le dispositif de télécommande. </w:t>
      </w:r>
    </w:p>
    <w:p w:rsidR="00CD04C1" w:rsidRPr="00B713EE" w:rsidRDefault="00CD04C1" w:rsidP="00E67EC5">
      <w:pPr>
        <w:pStyle w:val="SingleTxtG"/>
        <w:ind w:left="2268" w:hanging="1134"/>
      </w:pPr>
      <w:r w:rsidRPr="00B713EE">
        <w:t>5.6.1.2</w:t>
      </w:r>
      <w:r w:rsidRPr="00B713EE">
        <w:tab/>
        <w:t>Prescriptions supplémentaires applicables au PTC</w:t>
      </w:r>
    </w:p>
    <w:p w:rsidR="00CD04C1" w:rsidRPr="00B713EE" w:rsidRDefault="00CD04C1" w:rsidP="00E67EC5">
      <w:pPr>
        <w:pStyle w:val="SingleTxtG"/>
        <w:ind w:left="2268" w:hanging="1134"/>
      </w:pPr>
      <w:r w:rsidRPr="00B713EE">
        <w:t>5.6.1.2.1</w:t>
      </w:r>
      <w:r w:rsidRPr="00B713EE">
        <w:tab/>
        <w:t>La manœuvre de stationnement doit être déclenchée par le conducteur mais contrôlée par le système. Une action directe sur la direction, l</w:t>
      </w:r>
      <w:r w:rsidR="007C2F80">
        <w:t>’</w:t>
      </w:r>
      <w:r w:rsidRPr="00B713EE">
        <w:t xml:space="preserve">accélération et le freinage au moyen de la télécommande ne doit pas être possible. </w:t>
      </w:r>
    </w:p>
    <w:p w:rsidR="00CD04C1" w:rsidRPr="00B713EE" w:rsidRDefault="00CD04C1" w:rsidP="00E67EC5">
      <w:pPr>
        <w:pStyle w:val="SingleTxtG"/>
        <w:ind w:left="2268" w:hanging="1134"/>
      </w:pPr>
      <w:r w:rsidRPr="00B713EE">
        <w:t>5.6.1.2.2</w:t>
      </w:r>
      <w:r w:rsidRPr="00B713EE">
        <w:tab/>
        <w:t>L</w:t>
      </w:r>
      <w:r w:rsidR="007C2F80">
        <w:t>’</w:t>
      </w:r>
      <w:r w:rsidRPr="00B713EE">
        <w:t>activation continue de la télécommande par le conducteur doit être nécessaire pendant toute la durée de la manœuvre de stationnement.</w:t>
      </w:r>
    </w:p>
    <w:p w:rsidR="00CD04C1" w:rsidRPr="00B713EE" w:rsidRDefault="00CD04C1" w:rsidP="00E67EC5">
      <w:pPr>
        <w:pStyle w:val="SingleTxtG"/>
        <w:ind w:left="2268" w:hanging="1134"/>
      </w:pPr>
      <w:r w:rsidRPr="00B713EE">
        <w:t>5.6.1.2.3</w:t>
      </w:r>
      <w:r w:rsidRPr="00B713EE">
        <w:tab/>
        <w:t>Si l</w:t>
      </w:r>
      <w:r w:rsidR="007C2F80">
        <w:t>’</w:t>
      </w:r>
      <w:r w:rsidRPr="00B713EE">
        <w:t>activation est interrompue ou si la distance entre le véhicule et la télécommande dépasse la portée indiquée du système de PTC (S</w:t>
      </w:r>
      <w:r w:rsidRPr="00B713EE">
        <w:rPr>
          <w:vertAlign w:val="subscript"/>
        </w:rPr>
        <w:t>PTCmax</w:t>
      </w:r>
      <w:r w:rsidRPr="00B713EE">
        <w:t>) ou encore si le signal entre la télécommande et le véhicule s</w:t>
      </w:r>
      <w:r w:rsidR="007C2F80">
        <w:t>’</w:t>
      </w:r>
      <w:r w:rsidRPr="00B713EE">
        <w:t>interrompt, le véhicule doit s</w:t>
      </w:r>
      <w:r w:rsidR="007C2F80">
        <w:t>’</w:t>
      </w:r>
      <w:r w:rsidRPr="00B713EE">
        <w:t xml:space="preserve">immobiliser immédiatement </w:t>
      </w:r>
    </w:p>
    <w:p w:rsidR="00CD04C1" w:rsidRPr="00B713EE" w:rsidRDefault="00CD04C1" w:rsidP="00E67EC5">
      <w:pPr>
        <w:pStyle w:val="SingleTxtG"/>
        <w:ind w:left="2268" w:hanging="1134"/>
      </w:pPr>
      <w:r w:rsidRPr="00B713EE">
        <w:t>5.6.1.2.4</w:t>
      </w:r>
      <w:r w:rsidRPr="00B713EE">
        <w:tab/>
        <w:t>Si une porte du véhicule s</w:t>
      </w:r>
      <w:r w:rsidR="007C2F80">
        <w:t>’</w:t>
      </w:r>
      <w:r w:rsidRPr="00B713EE">
        <w:t>ouvre au cours de la manœuvre de stationnement, le véhicule doit s</w:t>
      </w:r>
      <w:r w:rsidR="007C2F80">
        <w:t>’</w:t>
      </w:r>
      <w:r w:rsidRPr="00B713EE">
        <w:t xml:space="preserve">immobiliser immédiatement. </w:t>
      </w:r>
    </w:p>
    <w:p w:rsidR="00CD04C1" w:rsidRPr="00B713EE" w:rsidRDefault="00CD04C1" w:rsidP="00E67EC5">
      <w:pPr>
        <w:pStyle w:val="SingleTxtG"/>
        <w:ind w:left="2268" w:hanging="1134"/>
      </w:pPr>
      <w:r w:rsidRPr="00B713EE">
        <w:t>5.6.1.2.5</w:t>
      </w:r>
      <w:r w:rsidRPr="00B713EE">
        <w:tab/>
        <w:t xml:space="preserve">Si le véhicule a atteint son emplacement de stationnement définitif, soit automatiquement soit par confirmation du conducteur, et que le contact est éteint, le système de frein de stationnement doit être automatiquement enclenché. </w:t>
      </w:r>
    </w:p>
    <w:p w:rsidR="00CD04C1" w:rsidRPr="00B713EE" w:rsidRDefault="00CD04C1" w:rsidP="00E67EC5">
      <w:pPr>
        <w:pStyle w:val="SingleTxtG"/>
        <w:ind w:left="2268" w:hanging="1134"/>
      </w:pPr>
      <w:r w:rsidRPr="00B713EE">
        <w:t>5.6.1.2.6</w:t>
      </w:r>
      <w:r w:rsidRPr="00B713EE">
        <w:tab/>
        <w:t>Si le véhicule s</w:t>
      </w:r>
      <w:r w:rsidR="007C2F80">
        <w:t>’</w:t>
      </w:r>
      <w:r w:rsidRPr="00B713EE">
        <w:t>immobilise au cours d</w:t>
      </w:r>
      <w:r w:rsidR="007C2F80">
        <w:t>’</w:t>
      </w:r>
      <w:r w:rsidRPr="00B713EE">
        <w:t>une manœuvre de stationnement, la fonction PTC doit empêcher sa remise en mouvement.</w:t>
      </w:r>
    </w:p>
    <w:p w:rsidR="00CD04C1" w:rsidRPr="00B713EE" w:rsidRDefault="00CD04C1" w:rsidP="00E67EC5">
      <w:pPr>
        <w:pStyle w:val="SingleTxtG"/>
        <w:ind w:left="2268" w:hanging="1134"/>
      </w:pPr>
      <w:r w:rsidRPr="00B713EE">
        <w:t>5.6.1.2.7</w:t>
      </w:r>
      <w:r w:rsidRPr="00B713EE">
        <w:tab/>
        <w:t>La portée indiquée du système de PTC ne doit pas dépasser 6 m.</w:t>
      </w:r>
    </w:p>
    <w:p w:rsidR="00CD04C1" w:rsidRPr="00B713EE" w:rsidRDefault="00CD04C1" w:rsidP="00E67EC5">
      <w:pPr>
        <w:pStyle w:val="SingleTxtG"/>
        <w:ind w:left="2268" w:hanging="1134"/>
      </w:pPr>
      <w:r w:rsidRPr="00B713EE">
        <w:t>5.6.1.2.8</w:t>
      </w:r>
      <w:r w:rsidRPr="00B713EE">
        <w:tab/>
        <w:t>Le système doit être conçu pour empêcher une activation ou un fonctionnement non autorisés des systèmes de parcage</w:t>
      </w:r>
      <w:r w:rsidR="009A2D64">
        <w:t xml:space="preserve"> </w:t>
      </w:r>
      <w:r w:rsidRPr="00B713EE">
        <w:t xml:space="preserve">télécommandé, ainsi que les interventions dans le système. </w:t>
      </w:r>
    </w:p>
    <w:p w:rsidR="00CD04C1" w:rsidRPr="00B713EE" w:rsidRDefault="00CD04C1" w:rsidP="00E67EC5">
      <w:pPr>
        <w:pStyle w:val="SingleTxtG"/>
        <w:ind w:left="2268" w:hanging="1134"/>
      </w:pPr>
      <w:r w:rsidRPr="00B713EE">
        <w:t>5.6.1.3</w:t>
      </w:r>
      <w:r w:rsidRPr="00B713EE">
        <w:tab/>
        <w:t xml:space="preserve">Données concernant le système </w:t>
      </w:r>
    </w:p>
    <w:p w:rsidR="00CD04C1" w:rsidRPr="00B713EE" w:rsidRDefault="00CD04C1" w:rsidP="00E67EC5">
      <w:pPr>
        <w:pStyle w:val="SingleTxtG"/>
        <w:ind w:left="2268" w:hanging="1134"/>
      </w:pPr>
      <w:r w:rsidRPr="00B713EE">
        <w:t>5.6.1.3.1</w:t>
      </w:r>
      <w:r w:rsidRPr="00B713EE">
        <w:tab/>
        <w:t>Les données suivantes doivent être fournies au service technique, avec le dossier d</w:t>
      </w:r>
      <w:r w:rsidR="007C2F80">
        <w:t>’</w:t>
      </w:r>
      <w:r w:rsidRPr="00B713EE">
        <w:t xml:space="preserve">information visé à </w:t>
      </w:r>
      <w:r w:rsidR="00C67B19">
        <w:t>l</w:t>
      </w:r>
      <w:r w:rsidR="007C2F80">
        <w:t>’</w:t>
      </w:r>
      <w:r w:rsidR="00C67B19">
        <w:t>annexe </w:t>
      </w:r>
      <w:r w:rsidRPr="00B713EE">
        <w:t>6</w:t>
      </w:r>
      <w:r w:rsidR="00C67B19">
        <w:t xml:space="preserve"> </w:t>
      </w:r>
      <w:r w:rsidRPr="00B713EE">
        <w:t>du présent Règlement au moment de l</w:t>
      </w:r>
      <w:r w:rsidR="007C2F80">
        <w:t>’</w:t>
      </w:r>
      <w:r w:rsidRPr="00B713EE">
        <w:t>homologation de type</w:t>
      </w:r>
      <w:r w:rsidR="00B90B28">
        <w:t> :</w:t>
      </w:r>
    </w:p>
    <w:p w:rsidR="00CD04C1" w:rsidRPr="00B713EE" w:rsidRDefault="00CD04C1" w:rsidP="00E67EC5">
      <w:pPr>
        <w:pStyle w:val="SingleTxtG"/>
        <w:ind w:left="2268" w:hanging="1134"/>
      </w:pPr>
      <w:r w:rsidRPr="00B713EE">
        <w:t>5.6.1.3.1.1</w:t>
      </w:r>
      <w:r w:rsidRPr="00B713EE">
        <w:tab/>
        <w:t>La valeur de la portée indiquée du système du système de PTC (S</w:t>
      </w:r>
      <w:r w:rsidRPr="00B713EE">
        <w:rPr>
          <w:vertAlign w:val="subscript"/>
        </w:rPr>
        <w:t>PTCmax</w:t>
      </w:r>
      <w:r w:rsidRPr="00B713EE">
        <w:t>)</w:t>
      </w:r>
      <w:r w:rsidR="003221B6">
        <w:t> ;</w:t>
      </w:r>
      <w:r w:rsidRPr="00B713EE">
        <w:t xml:space="preserve"> </w:t>
      </w:r>
    </w:p>
    <w:p w:rsidR="00CD04C1" w:rsidRPr="00B713EE" w:rsidRDefault="00CD04C1" w:rsidP="00E67EC5">
      <w:pPr>
        <w:pStyle w:val="SingleTxtG"/>
        <w:ind w:left="2268" w:hanging="1134"/>
      </w:pPr>
      <w:r w:rsidRPr="00B713EE">
        <w:t>5.6.1.3.1.2</w:t>
      </w:r>
      <w:r w:rsidRPr="00B713EE">
        <w:tab/>
        <w:t>Les conditions dans lesquelles le système peut être activé, c</w:t>
      </w:r>
      <w:r w:rsidR="007C2F80">
        <w:t>’</w:t>
      </w:r>
      <w:r w:rsidRPr="00B713EE">
        <w:t>est-à-dire lorsque les conditions de son fonctionnement sont remplies</w:t>
      </w:r>
      <w:r w:rsidR="003221B6">
        <w:t> ;</w:t>
      </w:r>
    </w:p>
    <w:p w:rsidR="00CD04C1" w:rsidRPr="00B713EE" w:rsidRDefault="00CD04C1" w:rsidP="00E67EC5">
      <w:pPr>
        <w:pStyle w:val="SingleTxtG"/>
        <w:ind w:left="2268" w:hanging="1134"/>
      </w:pPr>
      <w:r w:rsidRPr="00B713EE">
        <w:t>5.6.1.3.1.3</w:t>
      </w:r>
      <w:r w:rsidRPr="00B713EE">
        <w:tab/>
        <w:t>Pour les systèmes de PTC, le constructeur doit expliquer aux autorités techniques comment le système est protégé contre une activation non autorisée.</w:t>
      </w:r>
    </w:p>
    <w:p w:rsidR="00CD04C1" w:rsidRPr="00B713EE" w:rsidRDefault="00CD04C1" w:rsidP="00E67EC5">
      <w:pPr>
        <w:pStyle w:val="SingleTxtG"/>
        <w:ind w:left="2268" w:hanging="1134"/>
      </w:pPr>
      <w:r w:rsidRPr="00B713EE">
        <w:t>5.6.2</w:t>
      </w:r>
      <w:r w:rsidRPr="00B713EE">
        <w:tab/>
        <w:t xml:space="preserve">Prescriptions spéciales applicables aux FDCA </w:t>
      </w:r>
      <w:r w:rsidR="00C67B19">
        <w:t>de catégorie </w:t>
      </w:r>
      <w:r w:rsidRPr="00B713EE">
        <w:t>B1</w:t>
      </w:r>
    </w:p>
    <w:p w:rsidR="00CD04C1" w:rsidRPr="00B713EE" w:rsidRDefault="00CD04C1" w:rsidP="00F45D4C">
      <w:pPr>
        <w:pStyle w:val="SingleTxtG"/>
        <w:ind w:left="2268"/>
      </w:pPr>
      <w:r w:rsidRPr="00B713EE">
        <w:t>Toute FDCA de catégorie B1 doit satisfaire aux prescriptions suivantes dans le cadre des conditions limites.</w:t>
      </w:r>
    </w:p>
    <w:p w:rsidR="00CD04C1" w:rsidRPr="00B713EE" w:rsidRDefault="00CD04C1" w:rsidP="00E67EC5">
      <w:pPr>
        <w:pStyle w:val="SingleTxtG"/>
        <w:ind w:left="2268" w:hanging="1134"/>
      </w:pPr>
      <w:r w:rsidRPr="00B713EE">
        <w:t>5.6.2.1</w:t>
      </w:r>
      <w:r w:rsidRPr="00B713EE">
        <w:tab/>
        <w:t xml:space="preserve">Prescriptions générales </w:t>
      </w:r>
    </w:p>
    <w:p w:rsidR="00CD04C1" w:rsidRPr="00B713EE" w:rsidRDefault="00CD04C1" w:rsidP="00E67EC5">
      <w:pPr>
        <w:pStyle w:val="SingleTxtG"/>
        <w:ind w:left="2268" w:hanging="1134"/>
      </w:pPr>
      <w:r w:rsidRPr="00B713EE">
        <w:t>5.6.2.1.1</w:t>
      </w:r>
      <w:r w:rsidRPr="00B713EE">
        <w:tab/>
        <w:t>Le système activé doit à tout moment veiller à ce que le véhicule ne franchisse pas le marquage de la voie lorsque l</w:t>
      </w:r>
      <w:r w:rsidR="007C2F80">
        <w:t>’</w:t>
      </w:r>
      <w:r w:rsidRPr="00B713EE">
        <w:t>accélération latérale est inférieure à l</w:t>
      </w:r>
      <w:r w:rsidR="007C2F80">
        <w:t>’</w:t>
      </w:r>
      <w:r w:rsidRPr="00B713EE">
        <w:t>accélération latérale maximale indiquée par le constructeur (ay</w:t>
      </w:r>
      <w:r w:rsidRPr="00B713EE">
        <w:rPr>
          <w:vertAlign w:val="subscript"/>
        </w:rPr>
        <w:t>smax</w:t>
      </w:r>
      <w:r w:rsidRPr="00B713EE">
        <w:t>).</w:t>
      </w:r>
    </w:p>
    <w:p w:rsidR="00CD04C1" w:rsidRPr="00B713EE" w:rsidRDefault="00CD04C1" w:rsidP="00F45D4C">
      <w:pPr>
        <w:pStyle w:val="SingleTxtG"/>
        <w:ind w:left="2268"/>
      </w:pPr>
      <w:r w:rsidRPr="00B713EE">
        <w:t>Le système ne peut dépasser la valeur indiquée ay</w:t>
      </w:r>
      <w:r w:rsidRPr="00B713EE">
        <w:rPr>
          <w:vertAlign w:val="subscript"/>
        </w:rPr>
        <w:t>smax</w:t>
      </w:r>
      <w:r w:rsidRPr="00B713EE">
        <w:t xml:space="preserve"> de plus de 0,3</w:t>
      </w:r>
      <w:r w:rsidR="00C67B19">
        <w:t> </w:t>
      </w:r>
      <w:r w:rsidRPr="00B713EE">
        <w:t>m/s², tout en n</w:t>
      </w:r>
      <w:r w:rsidR="007C2F80">
        <w:t>’</w:t>
      </w:r>
      <w:r w:rsidRPr="00B713EE">
        <w:t>excédant pas la valeur maximale indiqué</w:t>
      </w:r>
      <w:r w:rsidR="00C67B19">
        <w:t>e dans le tableau au paragraphe </w:t>
      </w:r>
      <w:r w:rsidRPr="00B713EE">
        <w:t>5.6.2.1.3 du présent Règlement.</w:t>
      </w:r>
    </w:p>
    <w:p w:rsidR="00CD04C1" w:rsidRPr="00B713EE" w:rsidRDefault="00CD04C1" w:rsidP="00E67EC5">
      <w:pPr>
        <w:pStyle w:val="SingleTxtG"/>
        <w:ind w:left="2268" w:hanging="1134"/>
      </w:pPr>
      <w:r w:rsidRPr="00B713EE">
        <w:t>5.6.2.1.2</w:t>
      </w:r>
      <w:r w:rsidRPr="00B713EE">
        <w:tab/>
        <w:t>Le véhicule doit être équipé d</w:t>
      </w:r>
      <w:r w:rsidR="007C2F80">
        <w:t>’</w:t>
      </w:r>
      <w:r w:rsidRPr="00B713EE">
        <w:t>un moyen permettant au conducteur d</w:t>
      </w:r>
      <w:r w:rsidR="007C2F80">
        <w:t>’</w:t>
      </w:r>
      <w:r w:rsidRPr="00B713EE">
        <w:t>activer (mode veille) et de désactiver (mode arrêt) le système. Il doit être possible de désactiver le système à tout moment par une simple action du conducteur.</w:t>
      </w:r>
    </w:p>
    <w:p w:rsidR="00CD04C1" w:rsidRPr="00B713EE" w:rsidRDefault="00CD04C1" w:rsidP="00E67EC5">
      <w:pPr>
        <w:pStyle w:val="SingleTxtG"/>
        <w:ind w:left="2268" w:hanging="1134"/>
      </w:pPr>
      <w:r w:rsidRPr="00B713EE">
        <w:t>5.6.2.1.3</w:t>
      </w:r>
      <w:r w:rsidRPr="00B713EE">
        <w:tab/>
        <w:t>Le système doit être conçu pour empêcher toute intervention excessive de la commande de direction afin que le conducteur puisse en garder la maîtrise et pour éviter tout comportement imprévu du véhicule. Il doit être satisfait pour c</w:t>
      </w:r>
      <w:r w:rsidR="00B90B28">
        <w:t>ela aux prescriptions suivantes </w:t>
      </w:r>
      <w:r w:rsidRPr="00B713EE">
        <w:t>:</w:t>
      </w:r>
    </w:p>
    <w:p w:rsidR="00CD04C1" w:rsidRPr="00B713EE" w:rsidRDefault="00CD04C1" w:rsidP="00F238E2">
      <w:pPr>
        <w:pStyle w:val="SingleTxtG"/>
        <w:ind w:left="2835" w:hanging="567"/>
      </w:pPr>
      <w:r w:rsidRPr="00B713EE">
        <w:t>a)</w:t>
      </w:r>
      <w:r w:rsidRPr="00B713EE">
        <w:tab/>
        <w:t>L</w:t>
      </w:r>
      <w:r w:rsidR="007C2F80">
        <w:t>’</w:t>
      </w:r>
      <w:r w:rsidRPr="00B713EE">
        <w:t xml:space="preserve">effort à la commande de direction nécessaire pour neutraliser le contrôle exercé par le système </w:t>
      </w:r>
      <w:r w:rsidR="00C67B19">
        <w:t>ne doit pas être supérieur à 50 </w:t>
      </w:r>
      <w:r w:rsidR="00F91253">
        <w:t>N ;</w:t>
      </w:r>
    </w:p>
    <w:p w:rsidR="00CD04C1" w:rsidRDefault="00CD04C1" w:rsidP="00F238E2">
      <w:pPr>
        <w:pStyle w:val="SingleTxtG"/>
        <w:ind w:left="2835" w:hanging="567"/>
      </w:pPr>
      <w:r w:rsidRPr="00B713EE">
        <w:t>b)</w:t>
      </w:r>
      <w:r w:rsidRPr="00B713EE">
        <w:tab/>
        <w:t>L</w:t>
      </w:r>
      <w:r w:rsidR="007C2F80">
        <w:t>’</w:t>
      </w:r>
      <w:r w:rsidRPr="00B713EE">
        <w:t>accélération latérale maximale indiquée ay</w:t>
      </w:r>
      <w:r w:rsidRPr="00B713EE">
        <w:rPr>
          <w:vertAlign w:val="subscript"/>
        </w:rPr>
        <w:t>smax</w:t>
      </w:r>
      <w:r w:rsidRPr="00B713EE">
        <w:t xml:space="preserve"> doit se situer dans les limites d</w:t>
      </w:r>
      <w:r w:rsidR="00B90B28">
        <w:t>éfinies dans le tableau suivant </w:t>
      </w:r>
      <w:r w:rsidRPr="00B713EE">
        <w:t>:</w:t>
      </w:r>
    </w:p>
    <w:p w:rsidR="005106EE" w:rsidRPr="00B713EE" w:rsidRDefault="005106EE" w:rsidP="00F45D4C">
      <w:pPr>
        <w:pStyle w:val="SingleTxtG"/>
        <w:ind w:left="2268"/>
      </w:pPr>
      <w:r w:rsidRPr="00B713EE">
        <w:rPr>
          <w:color w:val="000000"/>
          <w:lang w:eastAsia="de-DE"/>
        </w:rPr>
        <w:t>Pour les véhicules des catégorie M</w:t>
      </w:r>
      <w:r w:rsidRPr="00B713EE">
        <w:rPr>
          <w:color w:val="000000"/>
          <w:vertAlign w:val="subscript"/>
          <w:lang w:eastAsia="de-DE"/>
        </w:rPr>
        <w:t xml:space="preserve">1 </w:t>
      </w:r>
      <w:r w:rsidRPr="00B713EE">
        <w:rPr>
          <w:color w:val="000000"/>
          <w:lang w:eastAsia="de-DE"/>
        </w:rPr>
        <w:t>et N</w:t>
      </w:r>
      <w:r w:rsidRPr="00B713EE">
        <w:rPr>
          <w:color w:val="000000"/>
          <w:sz w:val="22"/>
          <w:szCs w:val="22"/>
          <w:vertAlign w:val="subscript"/>
          <w:lang w:eastAsia="de-DE"/>
        </w:rPr>
        <w:t>1</w:t>
      </w:r>
    </w:p>
    <w:tbl>
      <w:tblPr>
        <w:tblW w:w="737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83"/>
        <w:gridCol w:w="1235"/>
        <w:gridCol w:w="1246"/>
        <w:gridCol w:w="1371"/>
        <w:gridCol w:w="935"/>
      </w:tblGrid>
      <w:tr w:rsidR="00CD04C1" w:rsidRPr="005106EE" w:rsidTr="005106EE">
        <w:trPr>
          <w:tblHeader/>
        </w:trPr>
        <w:tc>
          <w:tcPr>
            <w:tcW w:w="2583" w:type="dxa"/>
            <w:shd w:val="clear" w:color="auto" w:fill="auto"/>
            <w:noWrap/>
            <w:vAlign w:val="bottom"/>
            <w:hideMark/>
          </w:tcPr>
          <w:p w:rsidR="00CD04C1" w:rsidRPr="005106EE" w:rsidRDefault="00CD04C1" w:rsidP="005106EE">
            <w:pPr>
              <w:suppressAutoHyphens w:val="0"/>
              <w:spacing w:before="60" w:after="60" w:line="220" w:lineRule="exact"/>
              <w:ind w:left="57" w:right="57"/>
              <w:rPr>
                <w:i/>
                <w:sz w:val="16"/>
                <w:lang w:eastAsia="de-DE"/>
              </w:rPr>
            </w:pPr>
            <w:r w:rsidRPr="005106EE">
              <w:rPr>
                <w:i/>
                <w:sz w:val="16"/>
                <w:lang w:eastAsia="de-DE"/>
              </w:rPr>
              <w:t>Plage de vitesses</w:t>
            </w:r>
          </w:p>
        </w:tc>
        <w:tc>
          <w:tcPr>
            <w:tcW w:w="1235" w:type="dxa"/>
            <w:shd w:val="clear" w:color="auto" w:fill="auto"/>
            <w:vAlign w:val="bottom"/>
            <w:hideMark/>
          </w:tcPr>
          <w:p w:rsidR="00CD04C1" w:rsidRPr="005106EE" w:rsidRDefault="00CD04C1" w:rsidP="00C67B19">
            <w:pPr>
              <w:suppressAutoHyphens w:val="0"/>
              <w:spacing w:before="60" w:after="60" w:line="220" w:lineRule="exact"/>
              <w:ind w:left="57" w:right="57"/>
              <w:jc w:val="right"/>
              <w:rPr>
                <w:i/>
                <w:sz w:val="16"/>
                <w:lang w:eastAsia="de-DE"/>
              </w:rPr>
            </w:pPr>
            <w:r w:rsidRPr="005106EE">
              <w:rPr>
                <w:i/>
                <w:sz w:val="16"/>
                <w:lang w:eastAsia="de-DE"/>
              </w:rPr>
              <w:t>10-60</w:t>
            </w:r>
            <w:r w:rsidR="00C67B19">
              <w:rPr>
                <w:i/>
                <w:sz w:val="16"/>
                <w:lang w:eastAsia="de-DE"/>
              </w:rPr>
              <w:t> </w:t>
            </w:r>
            <w:r w:rsidRPr="005106EE">
              <w:rPr>
                <w:i/>
                <w:sz w:val="16"/>
                <w:lang w:eastAsia="de-DE"/>
              </w:rPr>
              <w:t>km/h</w:t>
            </w:r>
          </w:p>
        </w:tc>
        <w:tc>
          <w:tcPr>
            <w:tcW w:w="1246" w:type="dxa"/>
            <w:shd w:val="clear" w:color="auto" w:fill="auto"/>
            <w:vAlign w:val="bottom"/>
            <w:hideMark/>
          </w:tcPr>
          <w:p w:rsidR="00CD04C1" w:rsidRPr="005106EE" w:rsidRDefault="00CD04C1" w:rsidP="005106EE">
            <w:pPr>
              <w:suppressAutoHyphens w:val="0"/>
              <w:spacing w:before="60" w:after="60" w:line="220" w:lineRule="exact"/>
              <w:ind w:left="57" w:right="57"/>
              <w:jc w:val="right"/>
              <w:rPr>
                <w:i/>
                <w:sz w:val="16"/>
                <w:lang w:eastAsia="de-DE"/>
              </w:rPr>
            </w:pPr>
            <w:r w:rsidRPr="005106EE">
              <w:rPr>
                <w:i/>
                <w:sz w:val="16"/>
                <w:lang w:eastAsia="de-DE"/>
              </w:rPr>
              <w:t>&gt;60-100</w:t>
            </w:r>
            <w:r w:rsidR="00C67B19">
              <w:rPr>
                <w:i/>
                <w:sz w:val="16"/>
                <w:lang w:eastAsia="de-DE"/>
              </w:rPr>
              <w:t> </w:t>
            </w:r>
            <w:r w:rsidRPr="005106EE">
              <w:rPr>
                <w:i/>
                <w:sz w:val="16"/>
                <w:lang w:eastAsia="de-DE"/>
              </w:rPr>
              <w:t>km/h</w:t>
            </w:r>
          </w:p>
        </w:tc>
        <w:tc>
          <w:tcPr>
            <w:tcW w:w="1371" w:type="dxa"/>
            <w:shd w:val="clear" w:color="auto" w:fill="auto"/>
            <w:vAlign w:val="bottom"/>
            <w:hideMark/>
          </w:tcPr>
          <w:p w:rsidR="00CD04C1" w:rsidRPr="005106EE" w:rsidRDefault="00CD04C1" w:rsidP="005106EE">
            <w:pPr>
              <w:suppressAutoHyphens w:val="0"/>
              <w:spacing w:before="60" w:after="60" w:line="220" w:lineRule="exact"/>
              <w:ind w:left="57" w:right="57"/>
              <w:jc w:val="right"/>
              <w:rPr>
                <w:i/>
                <w:sz w:val="16"/>
                <w:lang w:eastAsia="de-DE"/>
              </w:rPr>
            </w:pPr>
            <w:r w:rsidRPr="005106EE">
              <w:rPr>
                <w:i/>
                <w:sz w:val="16"/>
                <w:lang w:eastAsia="de-DE"/>
              </w:rPr>
              <w:t>&gt;100-130</w:t>
            </w:r>
            <w:r w:rsidR="00C67B19">
              <w:rPr>
                <w:i/>
                <w:sz w:val="16"/>
                <w:lang w:eastAsia="de-DE"/>
              </w:rPr>
              <w:t> </w:t>
            </w:r>
            <w:r w:rsidRPr="005106EE">
              <w:rPr>
                <w:i/>
                <w:sz w:val="16"/>
                <w:lang w:eastAsia="de-DE"/>
              </w:rPr>
              <w:t>km/h</w:t>
            </w:r>
          </w:p>
        </w:tc>
        <w:tc>
          <w:tcPr>
            <w:tcW w:w="935" w:type="dxa"/>
            <w:shd w:val="clear" w:color="auto" w:fill="auto"/>
            <w:vAlign w:val="bottom"/>
            <w:hideMark/>
          </w:tcPr>
          <w:p w:rsidR="00CD04C1" w:rsidRPr="005106EE" w:rsidRDefault="00CD04C1" w:rsidP="005106EE">
            <w:pPr>
              <w:suppressAutoHyphens w:val="0"/>
              <w:spacing w:before="60" w:after="60" w:line="220" w:lineRule="exact"/>
              <w:ind w:left="57" w:right="57"/>
              <w:jc w:val="right"/>
              <w:rPr>
                <w:i/>
                <w:sz w:val="16"/>
                <w:lang w:eastAsia="de-DE"/>
              </w:rPr>
            </w:pPr>
            <w:r w:rsidRPr="005106EE">
              <w:rPr>
                <w:i/>
                <w:sz w:val="16"/>
                <w:lang w:eastAsia="de-DE"/>
              </w:rPr>
              <w:t>&gt;130</w:t>
            </w:r>
            <w:r w:rsidR="00C67B19">
              <w:rPr>
                <w:i/>
                <w:sz w:val="16"/>
                <w:lang w:eastAsia="de-DE"/>
              </w:rPr>
              <w:t> </w:t>
            </w:r>
            <w:r w:rsidRPr="005106EE">
              <w:rPr>
                <w:i/>
                <w:sz w:val="16"/>
                <w:lang w:eastAsia="de-DE"/>
              </w:rPr>
              <w:t>km/h</w:t>
            </w:r>
          </w:p>
        </w:tc>
      </w:tr>
      <w:tr w:rsidR="00CD04C1" w:rsidRPr="005106EE" w:rsidTr="005106EE">
        <w:tc>
          <w:tcPr>
            <w:tcW w:w="2583" w:type="dxa"/>
            <w:shd w:val="clear" w:color="auto" w:fill="auto"/>
            <w:noWrap/>
            <w:hideMark/>
          </w:tcPr>
          <w:p w:rsidR="00CD04C1" w:rsidRPr="005106EE" w:rsidRDefault="00CD04C1" w:rsidP="005106EE">
            <w:pPr>
              <w:suppressAutoHyphens w:val="0"/>
              <w:spacing w:before="60" w:after="60" w:line="220" w:lineRule="exact"/>
              <w:ind w:left="57" w:right="57"/>
              <w:rPr>
                <w:sz w:val="18"/>
                <w:szCs w:val="18"/>
                <w:lang w:eastAsia="de-DE"/>
              </w:rPr>
            </w:pPr>
            <w:r w:rsidRPr="005106EE">
              <w:rPr>
                <w:sz w:val="18"/>
                <w:szCs w:val="18"/>
                <w:lang w:eastAsia="de-DE"/>
              </w:rPr>
              <w:t>Valeur maximale de l</w:t>
            </w:r>
            <w:r w:rsidR="007C2F80">
              <w:rPr>
                <w:sz w:val="18"/>
                <w:szCs w:val="18"/>
                <w:lang w:eastAsia="de-DE"/>
              </w:rPr>
              <w:t>’</w:t>
            </w:r>
            <w:r w:rsidRPr="005106EE">
              <w:rPr>
                <w:sz w:val="18"/>
                <w:szCs w:val="18"/>
                <w:lang w:eastAsia="de-DE"/>
              </w:rPr>
              <w:t xml:space="preserve">accélération latérale </w:t>
            </w:r>
            <w:r w:rsidR="00C67B19">
              <w:rPr>
                <w:sz w:val="18"/>
                <w:szCs w:val="18"/>
                <w:lang w:eastAsia="de-DE"/>
              </w:rPr>
              <w:br/>
            </w:r>
            <w:r w:rsidRPr="005106EE">
              <w:rPr>
                <w:sz w:val="18"/>
                <w:szCs w:val="18"/>
                <w:lang w:eastAsia="de-DE"/>
              </w:rPr>
              <w:t>maximale indiquée</w:t>
            </w:r>
          </w:p>
        </w:tc>
        <w:tc>
          <w:tcPr>
            <w:tcW w:w="1235" w:type="dxa"/>
            <w:shd w:val="clear" w:color="auto" w:fill="auto"/>
            <w:noWrap/>
            <w:vAlign w:val="bottom"/>
            <w:hideMark/>
          </w:tcPr>
          <w:p w:rsidR="00CD04C1" w:rsidRPr="005106EE" w:rsidRDefault="00CD04C1" w:rsidP="005106EE">
            <w:pPr>
              <w:suppressAutoHyphens w:val="0"/>
              <w:spacing w:before="60" w:after="60" w:line="220" w:lineRule="exact"/>
              <w:ind w:left="57" w:right="57"/>
              <w:jc w:val="right"/>
              <w:rPr>
                <w:sz w:val="18"/>
                <w:szCs w:val="18"/>
                <w:lang w:eastAsia="de-DE"/>
              </w:rPr>
            </w:pPr>
            <w:r w:rsidRPr="005106EE">
              <w:rPr>
                <w:sz w:val="18"/>
                <w:szCs w:val="18"/>
                <w:lang w:eastAsia="de-DE"/>
              </w:rPr>
              <w:t>3 m/s²</w:t>
            </w:r>
          </w:p>
        </w:tc>
        <w:tc>
          <w:tcPr>
            <w:tcW w:w="1246" w:type="dxa"/>
            <w:shd w:val="clear" w:color="auto" w:fill="auto"/>
            <w:noWrap/>
            <w:vAlign w:val="bottom"/>
            <w:hideMark/>
          </w:tcPr>
          <w:p w:rsidR="00CD04C1" w:rsidRPr="005106EE" w:rsidRDefault="00CD04C1" w:rsidP="005106EE">
            <w:pPr>
              <w:suppressAutoHyphens w:val="0"/>
              <w:spacing w:before="60" w:after="60" w:line="220" w:lineRule="exact"/>
              <w:ind w:left="57" w:right="57"/>
              <w:jc w:val="right"/>
              <w:rPr>
                <w:sz w:val="18"/>
                <w:szCs w:val="18"/>
                <w:lang w:eastAsia="de-DE"/>
              </w:rPr>
            </w:pPr>
            <w:r w:rsidRPr="005106EE">
              <w:rPr>
                <w:sz w:val="18"/>
                <w:szCs w:val="18"/>
                <w:lang w:eastAsia="de-DE"/>
              </w:rPr>
              <w:t>3 m/s²</w:t>
            </w:r>
          </w:p>
        </w:tc>
        <w:tc>
          <w:tcPr>
            <w:tcW w:w="1371" w:type="dxa"/>
            <w:shd w:val="clear" w:color="auto" w:fill="auto"/>
            <w:noWrap/>
            <w:vAlign w:val="bottom"/>
            <w:hideMark/>
          </w:tcPr>
          <w:p w:rsidR="00CD04C1" w:rsidRPr="005106EE" w:rsidRDefault="00CD04C1" w:rsidP="005106EE">
            <w:pPr>
              <w:suppressAutoHyphens w:val="0"/>
              <w:spacing w:before="60" w:after="60" w:line="220" w:lineRule="exact"/>
              <w:ind w:left="57" w:right="57"/>
              <w:jc w:val="right"/>
              <w:rPr>
                <w:sz w:val="18"/>
                <w:szCs w:val="18"/>
                <w:lang w:eastAsia="de-DE"/>
              </w:rPr>
            </w:pPr>
            <w:r w:rsidRPr="005106EE">
              <w:rPr>
                <w:sz w:val="18"/>
                <w:szCs w:val="18"/>
                <w:lang w:eastAsia="de-DE"/>
              </w:rPr>
              <w:t>3 m/s²</w:t>
            </w:r>
          </w:p>
        </w:tc>
        <w:tc>
          <w:tcPr>
            <w:tcW w:w="935" w:type="dxa"/>
            <w:shd w:val="clear" w:color="auto" w:fill="auto"/>
            <w:noWrap/>
            <w:vAlign w:val="bottom"/>
            <w:hideMark/>
          </w:tcPr>
          <w:p w:rsidR="00CD04C1" w:rsidRPr="005106EE" w:rsidRDefault="00CD04C1" w:rsidP="005106EE">
            <w:pPr>
              <w:suppressAutoHyphens w:val="0"/>
              <w:spacing w:before="60" w:after="60" w:line="220" w:lineRule="exact"/>
              <w:ind w:left="57" w:right="57"/>
              <w:jc w:val="right"/>
              <w:rPr>
                <w:sz w:val="18"/>
                <w:szCs w:val="18"/>
                <w:lang w:eastAsia="de-DE"/>
              </w:rPr>
            </w:pPr>
            <w:r w:rsidRPr="005106EE">
              <w:rPr>
                <w:sz w:val="18"/>
                <w:szCs w:val="18"/>
                <w:lang w:eastAsia="de-DE"/>
              </w:rPr>
              <w:t>3 m/s²</w:t>
            </w:r>
          </w:p>
        </w:tc>
      </w:tr>
      <w:tr w:rsidR="00CD04C1" w:rsidRPr="005106EE" w:rsidTr="005106EE">
        <w:tc>
          <w:tcPr>
            <w:tcW w:w="2583" w:type="dxa"/>
            <w:shd w:val="clear" w:color="auto" w:fill="auto"/>
            <w:noWrap/>
            <w:hideMark/>
          </w:tcPr>
          <w:p w:rsidR="00CD04C1" w:rsidRPr="005106EE" w:rsidRDefault="00CD04C1" w:rsidP="005106EE">
            <w:pPr>
              <w:suppressAutoHyphens w:val="0"/>
              <w:spacing w:before="60" w:after="60" w:line="220" w:lineRule="exact"/>
              <w:ind w:left="57" w:right="57"/>
              <w:rPr>
                <w:sz w:val="18"/>
                <w:szCs w:val="18"/>
                <w:lang w:eastAsia="de-DE"/>
              </w:rPr>
            </w:pPr>
            <w:r w:rsidRPr="005106EE">
              <w:rPr>
                <w:sz w:val="18"/>
                <w:szCs w:val="18"/>
                <w:lang w:eastAsia="de-DE"/>
              </w:rPr>
              <w:t>Valeur minimale de l</w:t>
            </w:r>
            <w:r w:rsidR="007C2F80">
              <w:rPr>
                <w:sz w:val="18"/>
                <w:szCs w:val="18"/>
                <w:lang w:eastAsia="de-DE"/>
              </w:rPr>
              <w:t>’</w:t>
            </w:r>
            <w:r w:rsidRPr="005106EE">
              <w:rPr>
                <w:sz w:val="18"/>
                <w:szCs w:val="18"/>
                <w:lang w:eastAsia="de-DE"/>
              </w:rPr>
              <w:t>accélération latérale maximale indiquée</w:t>
            </w:r>
          </w:p>
        </w:tc>
        <w:tc>
          <w:tcPr>
            <w:tcW w:w="1235" w:type="dxa"/>
            <w:shd w:val="clear" w:color="auto" w:fill="auto"/>
            <w:noWrap/>
            <w:vAlign w:val="bottom"/>
            <w:hideMark/>
          </w:tcPr>
          <w:p w:rsidR="00CD04C1" w:rsidRPr="005106EE" w:rsidRDefault="00CD04C1" w:rsidP="005106EE">
            <w:pPr>
              <w:suppressAutoHyphens w:val="0"/>
              <w:spacing w:before="60" w:after="60" w:line="220" w:lineRule="exact"/>
              <w:ind w:left="57" w:right="57"/>
              <w:jc w:val="right"/>
              <w:rPr>
                <w:sz w:val="18"/>
                <w:szCs w:val="18"/>
                <w:lang w:eastAsia="de-DE"/>
              </w:rPr>
            </w:pPr>
            <w:r w:rsidRPr="005106EE">
              <w:rPr>
                <w:sz w:val="18"/>
                <w:szCs w:val="18"/>
                <w:lang w:eastAsia="de-DE"/>
              </w:rPr>
              <w:t>0 m/s²</w:t>
            </w:r>
          </w:p>
        </w:tc>
        <w:tc>
          <w:tcPr>
            <w:tcW w:w="1246" w:type="dxa"/>
            <w:shd w:val="clear" w:color="auto" w:fill="auto"/>
            <w:noWrap/>
            <w:vAlign w:val="bottom"/>
            <w:hideMark/>
          </w:tcPr>
          <w:p w:rsidR="00CD04C1" w:rsidRPr="005106EE" w:rsidRDefault="00CD04C1" w:rsidP="005106EE">
            <w:pPr>
              <w:suppressAutoHyphens w:val="0"/>
              <w:spacing w:before="60" w:after="60" w:line="220" w:lineRule="exact"/>
              <w:ind w:left="57" w:right="57"/>
              <w:jc w:val="right"/>
              <w:rPr>
                <w:sz w:val="18"/>
                <w:szCs w:val="18"/>
                <w:lang w:eastAsia="de-DE"/>
              </w:rPr>
            </w:pPr>
            <w:r w:rsidRPr="005106EE">
              <w:rPr>
                <w:sz w:val="18"/>
                <w:szCs w:val="18"/>
                <w:lang w:eastAsia="de-DE"/>
              </w:rPr>
              <w:t>0,5 m/s²</w:t>
            </w:r>
          </w:p>
        </w:tc>
        <w:tc>
          <w:tcPr>
            <w:tcW w:w="1371" w:type="dxa"/>
            <w:shd w:val="clear" w:color="auto" w:fill="auto"/>
            <w:noWrap/>
            <w:vAlign w:val="bottom"/>
            <w:hideMark/>
          </w:tcPr>
          <w:p w:rsidR="00CD04C1" w:rsidRPr="005106EE" w:rsidRDefault="00CD04C1" w:rsidP="005106EE">
            <w:pPr>
              <w:suppressAutoHyphens w:val="0"/>
              <w:spacing w:before="60" w:after="60" w:line="220" w:lineRule="exact"/>
              <w:ind w:left="57" w:right="57"/>
              <w:jc w:val="right"/>
              <w:rPr>
                <w:sz w:val="18"/>
                <w:szCs w:val="18"/>
                <w:lang w:eastAsia="de-DE"/>
              </w:rPr>
            </w:pPr>
            <w:r w:rsidRPr="005106EE">
              <w:rPr>
                <w:bCs/>
                <w:sz w:val="18"/>
                <w:szCs w:val="18"/>
                <w:lang w:eastAsia="de-DE"/>
              </w:rPr>
              <w:t xml:space="preserve">0,8 </w:t>
            </w:r>
            <w:r w:rsidRPr="005106EE">
              <w:rPr>
                <w:sz w:val="18"/>
                <w:szCs w:val="18"/>
                <w:lang w:eastAsia="de-DE"/>
              </w:rPr>
              <w:t>m/s²</w:t>
            </w:r>
          </w:p>
        </w:tc>
        <w:tc>
          <w:tcPr>
            <w:tcW w:w="935" w:type="dxa"/>
            <w:shd w:val="clear" w:color="auto" w:fill="auto"/>
            <w:noWrap/>
            <w:vAlign w:val="bottom"/>
            <w:hideMark/>
          </w:tcPr>
          <w:p w:rsidR="00CD04C1" w:rsidRPr="005106EE" w:rsidRDefault="00CD04C1" w:rsidP="005106EE">
            <w:pPr>
              <w:suppressAutoHyphens w:val="0"/>
              <w:spacing w:before="60" w:after="60" w:line="220" w:lineRule="exact"/>
              <w:ind w:left="57" w:right="57"/>
              <w:jc w:val="right"/>
              <w:rPr>
                <w:sz w:val="18"/>
                <w:szCs w:val="18"/>
                <w:lang w:eastAsia="de-DE"/>
              </w:rPr>
            </w:pPr>
            <w:r w:rsidRPr="005106EE">
              <w:rPr>
                <w:sz w:val="18"/>
                <w:szCs w:val="18"/>
                <w:lang w:eastAsia="de-DE"/>
              </w:rPr>
              <w:t>0,3 m/s²</w:t>
            </w:r>
          </w:p>
        </w:tc>
      </w:tr>
    </w:tbl>
    <w:p w:rsidR="005106EE" w:rsidRDefault="005106EE" w:rsidP="005106EE">
      <w:pPr>
        <w:pStyle w:val="SingleTxtG"/>
        <w:spacing w:before="240"/>
        <w:ind w:left="2268"/>
        <w:rPr>
          <w:color w:val="000000"/>
          <w:lang w:eastAsia="de-DE"/>
        </w:rPr>
      </w:pPr>
      <w:r w:rsidRPr="00B713EE">
        <w:rPr>
          <w:color w:val="000000"/>
          <w:lang w:eastAsia="de-DE"/>
        </w:rPr>
        <w:t>Pour les véhicules des catégories M</w:t>
      </w:r>
      <w:r w:rsidRPr="00B713EE">
        <w:rPr>
          <w:color w:val="000000"/>
          <w:vertAlign w:val="subscript"/>
          <w:lang w:eastAsia="de-DE"/>
        </w:rPr>
        <w:t>2</w:t>
      </w:r>
      <w:r w:rsidRPr="00B713EE">
        <w:rPr>
          <w:color w:val="000000"/>
          <w:lang w:eastAsia="de-DE"/>
        </w:rPr>
        <w:t>, M</w:t>
      </w:r>
      <w:r w:rsidRPr="00B713EE">
        <w:rPr>
          <w:color w:val="000000"/>
          <w:vertAlign w:val="subscript"/>
          <w:lang w:eastAsia="de-DE"/>
        </w:rPr>
        <w:t>3</w:t>
      </w:r>
      <w:r w:rsidRPr="00B713EE">
        <w:rPr>
          <w:color w:val="000000"/>
          <w:lang w:eastAsia="de-DE"/>
        </w:rPr>
        <w:t>, N</w:t>
      </w:r>
      <w:r w:rsidRPr="00B713EE">
        <w:rPr>
          <w:color w:val="000000"/>
          <w:vertAlign w:val="subscript"/>
          <w:lang w:eastAsia="de-DE"/>
        </w:rPr>
        <w:t>2</w:t>
      </w:r>
      <w:r w:rsidRPr="00B713EE">
        <w:rPr>
          <w:color w:val="000000"/>
          <w:lang w:eastAsia="de-DE"/>
        </w:rPr>
        <w:t xml:space="preserve"> et N</w:t>
      </w:r>
      <w:r w:rsidRPr="00B713EE">
        <w:rPr>
          <w:color w:val="000000"/>
          <w:vertAlign w:val="subscript"/>
          <w:lang w:eastAsia="de-DE"/>
        </w:rPr>
        <w:t>3</w:t>
      </w:r>
      <w:r w:rsidRPr="00B713EE">
        <w:rPr>
          <w:color w:val="000000"/>
          <w:lang w:eastAsia="de-DE"/>
        </w:rPr>
        <w:t> </w:t>
      </w:r>
    </w:p>
    <w:tbl>
      <w:tblPr>
        <w:tblW w:w="737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83"/>
        <w:gridCol w:w="1235"/>
        <w:gridCol w:w="1246"/>
        <w:gridCol w:w="1371"/>
        <w:gridCol w:w="935"/>
      </w:tblGrid>
      <w:tr w:rsidR="005106EE" w:rsidRPr="005106EE" w:rsidTr="005106EE">
        <w:trPr>
          <w:tblHeader/>
        </w:trPr>
        <w:tc>
          <w:tcPr>
            <w:tcW w:w="2583" w:type="dxa"/>
            <w:shd w:val="clear" w:color="auto" w:fill="auto"/>
            <w:noWrap/>
            <w:vAlign w:val="bottom"/>
            <w:hideMark/>
          </w:tcPr>
          <w:p w:rsidR="005106EE" w:rsidRPr="005106EE" w:rsidRDefault="005106EE" w:rsidP="005106EE">
            <w:pPr>
              <w:suppressAutoHyphens w:val="0"/>
              <w:spacing w:before="60" w:after="60" w:line="220" w:lineRule="exact"/>
              <w:ind w:left="57" w:right="57"/>
              <w:rPr>
                <w:i/>
                <w:sz w:val="16"/>
                <w:lang w:eastAsia="de-DE"/>
              </w:rPr>
            </w:pPr>
            <w:r w:rsidRPr="005106EE">
              <w:rPr>
                <w:i/>
                <w:sz w:val="16"/>
                <w:lang w:eastAsia="de-DE"/>
              </w:rPr>
              <w:t>Plage de vitesses</w:t>
            </w:r>
          </w:p>
        </w:tc>
        <w:tc>
          <w:tcPr>
            <w:tcW w:w="1235" w:type="dxa"/>
            <w:shd w:val="clear" w:color="auto" w:fill="auto"/>
            <w:vAlign w:val="bottom"/>
            <w:hideMark/>
          </w:tcPr>
          <w:p w:rsidR="005106EE" w:rsidRPr="005106EE" w:rsidRDefault="005106EE" w:rsidP="00C67B19">
            <w:pPr>
              <w:suppressAutoHyphens w:val="0"/>
              <w:spacing w:before="60" w:after="60" w:line="220" w:lineRule="exact"/>
              <w:ind w:left="57" w:right="57"/>
              <w:jc w:val="right"/>
              <w:rPr>
                <w:i/>
                <w:sz w:val="16"/>
                <w:lang w:eastAsia="de-DE"/>
              </w:rPr>
            </w:pPr>
            <w:r w:rsidRPr="005106EE">
              <w:rPr>
                <w:i/>
                <w:sz w:val="16"/>
                <w:lang w:eastAsia="de-DE"/>
              </w:rPr>
              <w:t>10-30</w:t>
            </w:r>
            <w:r w:rsidR="00C67B19">
              <w:rPr>
                <w:i/>
                <w:sz w:val="16"/>
                <w:lang w:eastAsia="de-DE"/>
              </w:rPr>
              <w:t> </w:t>
            </w:r>
            <w:r w:rsidRPr="005106EE">
              <w:rPr>
                <w:i/>
                <w:sz w:val="16"/>
                <w:lang w:eastAsia="de-DE"/>
              </w:rPr>
              <w:t>km/h</w:t>
            </w:r>
          </w:p>
        </w:tc>
        <w:tc>
          <w:tcPr>
            <w:tcW w:w="1246" w:type="dxa"/>
            <w:shd w:val="clear" w:color="auto" w:fill="auto"/>
            <w:vAlign w:val="bottom"/>
            <w:hideMark/>
          </w:tcPr>
          <w:p w:rsidR="005106EE" w:rsidRPr="005106EE" w:rsidRDefault="005106EE" w:rsidP="005106EE">
            <w:pPr>
              <w:suppressAutoHyphens w:val="0"/>
              <w:spacing w:before="60" w:after="60" w:line="220" w:lineRule="exact"/>
              <w:ind w:left="57" w:right="57"/>
              <w:jc w:val="right"/>
              <w:rPr>
                <w:i/>
                <w:sz w:val="16"/>
                <w:lang w:eastAsia="de-DE"/>
              </w:rPr>
            </w:pPr>
            <w:r w:rsidRPr="005106EE">
              <w:rPr>
                <w:i/>
                <w:sz w:val="16"/>
                <w:lang w:eastAsia="de-DE"/>
              </w:rPr>
              <w:t>&gt;</w:t>
            </w:r>
            <w:r w:rsidR="00C67B19">
              <w:rPr>
                <w:i/>
                <w:sz w:val="16"/>
                <w:lang w:eastAsia="de-DE"/>
              </w:rPr>
              <w:t>30-60 </w:t>
            </w:r>
            <w:r w:rsidRPr="005106EE">
              <w:rPr>
                <w:i/>
                <w:sz w:val="16"/>
                <w:lang w:eastAsia="de-DE"/>
              </w:rPr>
              <w:t>km/h</w:t>
            </w:r>
          </w:p>
        </w:tc>
        <w:tc>
          <w:tcPr>
            <w:tcW w:w="1371" w:type="dxa"/>
            <w:shd w:val="clear" w:color="auto" w:fill="auto"/>
            <w:vAlign w:val="bottom"/>
            <w:hideMark/>
          </w:tcPr>
          <w:p w:rsidR="005106EE" w:rsidRPr="005106EE" w:rsidRDefault="00C67B19" w:rsidP="005106EE">
            <w:pPr>
              <w:suppressAutoHyphens w:val="0"/>
              <w:spacing w:before="60" w:after="60" w:line="220" w:lineRule="exact"/>
              <w:ind w:left="57" w:right="57"/>
              <w:jc w:val="right"/>
              <w:rPr>
                <w:i/>
                <w:sz w:val="16"/>
                <w:lang w:eastAsia="de-DE"/>
              </w:rPr>
            </w:pPr>
            <w:r>
              <w:rPr>
                <w:i/>
                <w:sz w:val="16"/>
                <w:lang w:eastAsia="de-DE"/>
              </w:rPr>
              <w:t>&gt;60 </w:t>
            </w:r>
            <w:r w:rsidR="005106EE" w:rsidRPr="005106EE">
              <w:rPr>
                <w:i/>
                <w:sz w:val="16"/>
                <w:lang w:eastAsia="de-DE"/>
              </w:rPr>
              <w:t>km/h</w:t>
            </w:r>
          </w:p>
        </w:tc>
        <w:tc>
          <w:tcPr>
            <w:tcW w:w="935" w:type="dxa"/>
            <w:shd w:val="clear" w:color="auto" w:fill="auto"/>
            <w:noWrap/>
            <w:vAlign w:val="bottom"/>
          </w:tcPr>
          <w:p w:rsidR="005106EE" w:rsidRPr="005106EE" w:rsidRDefault="005106EE" w:rsidP="005106EE">
            <w:pPr>
              <w:suppressAutoHyphens w:val="0"/>
              <w:spacing w:before="60" w:after="60" w:line="220" w:lineRule="exact"/>
              <w:ind w:left="57" w:right="57"/>
              <w:jc w:val="right"/>
              <w:rPr>
                <w:i/>
                <w:sz w:val="16"/>
                <w:lang w:eastAsia="de-DE"/>
              </w:rPr>
            </w:pPr>
          </w:p>
        </w:tc>
      </w:tr>
      <w:tr w:rsidR="005106EE" w:rsidRPr="005106EE" w:rsidTr="005106EE">
        <w:tc>
          <w:tcPr>
            <w:tcW w:w="2583" w:type="dxa"/>
            <w:shd w:val="clear" w:color="auto" w:fill="auto"/>
            <w:noWrap/>
            <w:hideMark/>
          </w:tcPr>
          <w:p w:rsidR="005106EE" w:rsidRPr="005106EE" w:rsidRDefault="005106EE" w:rsidP="005106EE">
            <w:pPr>
              <w:suppressAutoHyphens w:val="0"/>
              <w:spacing w:before="60" w:after="60" w:line="220" w:lineRule="exact"/>
              <w:ind w:left="57" w:right="57"/>
              <w:rPr>
                <w:sz w:val="18"/>
                <w:szCs w:val="18"/>
                <w:lang w:eastAsia="de-DE"/>
              </w:rPr>
            </w:pPr>
            <w:r w:rsidRPr="005106EE">
              <w:rPr>
                <w:sz w:val="18"/>
                <w:szCs w:val="18"/>
                <w:lang w:eastAsia="de-DE"/>
              </w:rPr>
              <w:t>Valeur maximale de l</w:t>
            </w:r>
            <w:r w:rsidR="007C2F80">
              <w:rPr>
                <w:sz w:val="18"/>
                <w:szCs w:val="18"/>
                <w:lang w:eastAsia="de-DE"/>
              </w:rPr>
              <w:t>’</w:t>
            </w:r>
            <w:r w:rsidRPr="005106EE">
              <w:rPr>
                <w:sz w:val="18"/>
                <w:szCs w:val="18"/>
                <w:lang w:eastAsia="de-DE"/>
              </w:rPr>
              <w:t xml:space="preserve">accélération latérale </w:t>
            </w:r>
            <w:r w:rsidR="00C67B19">
              <w:rPr>
                <w:sz w:val="18"/>
                <w:szCs w:val="18"/>
                <w:lang w:eastAsia="de-DE"/>
              </w:rPr>
              <w:br/>
            </w:r>
            <w:r w:rsidRPr="005106EE">
              <w:rPr>
                <w:sz w:val="18"/>
                <w:szCs w:val="18"/>
                <w:lang w:eastAsia="de-DE"/>
              </w:rPr>
              <w:t>maximale indiquée</w:t>
            </w:r>
          </w:p>
        </w:tc>
        <w:tc>
          <w:tcPr>
            <w:tcW w:w="1235" w:type="dxa"/>
            <w:shd w:val="clear" w:color="auto" w:fill="auto"/>
            <w:vAlign w:val="bottom"/>
            <w:hideMark/>
          </w:tcPr>
          <w:p w:rsidR="005106EE" w:rsidRPr="005106EE" w:rsidRDefault="005106EE" w:rsidP="005106EE">
            <w:pPr>
              <w:suppressAutoHyphens w:val="0"/>
              <w:spacing w:before="60" w:after="60" w:line="220" w:lineRule="exact"/>
              <w:ind w:left="57" w:right="57"/>
              <w:jc w:val="right"/>
              <w:rPr>
                <w:sz w:val="18"/>
                <w:szCs w:val="18"/>
                <w:lang w:eastAsia="de-DE"/>
              </w:rPr>
            </w:pPr>
            <w:r w:rsidRPr="005106EE">
              <w:rPr>
                <w:sz w:val="18"/>
                <w:szCs w:val="18"/>
                <w:lang w:eastAsia="de-DE"/>
              </w:rPr>
              <w:t>2,5 m/s²</w:t>
            </w:r>
          </w:p>
        </w:tc>
        <w:tc>
          <w:tcPr>
            <w:tcW w:w="1246" w:type="dxa"/>
            <w:shd w:val="clear" w:color="auto" w:fill="auto"/>
            <w:vAlign w:val="bottom"/>
            <w:hideMark/>
          </w:tcPr>
          <w:p w:rsidR="005106EE" w:rsidRPr="005106EE" w:rsidRDefault="005106EE" w:rsidP="005106EE">
            <w:pPr>
              <w:suppressAutoHyphens w:val="0"/>
              <w:spacing w:before="60" w:after="60" w:line="220" w:lineRule="exact"/>
              <w:ind w:left="57" w:right="57"/>
              <w:jc w:val="right"/>
              <w:rPr>
                <w:sz w:val="18"/>
                <w:szCs w:val="18"/>
                <w:lang w:eastAsia="de-DE"/>
              </w:rPr>
            </w:pPr>
            <w:r w:rsidRPr="005106EE">
              <w:rPr>
                <w:sz w:val="18"/>
                <w:szCs w:val="18"/>
                <w:lang w:eastAsia="de-DE"/>
              </w:rPr>
              <w:t>2,5 m/s²</w:t>
            </w:r>
          </w:p>
        </w:tc>
        <w:tc>
          <w:tcPr>
            <w:tcW w:w="1371" w:type="dxa"/>
            <w:shd w:val="clear" w:color="auto" w:fill="auto"/>
            <w:vAlign w:val="bottom"/>
            <w:hideMark/>
          </w:tcPr>
          <w:p w:rsidR="005106EE" w:rsidRPr="005106EE" w:rsidRDefault="005106EE" w:rsidP="005106EE">
            <w:pPr>
              <w:suppressAutoHyphens w:val="0"/>
              <w:spacing w:before="60" w:after="60" w:line="220" w:lineRule="exact"/>
              <w:ind w:left="57" w:right="57"/>
              <w:jc w:val="right"/>
              <w:rPr>
                <w:sz w:val="18"/>
                <w:szCs w:val="18"/>
                <w:lang w:eastAsia="de-DE"/>
              </w:rPr>
            </w:pPr>
            <w:r w:rsidRPr="005106EE">
              <w:rPr>
                <w:sz w:val="18"/>
                <w:szCs w:val="18"/>
                <w:lang w:eastAsia="de-DE"/>
              </w:rPr>
              <w:t>2,5 m/s²</w:t>
            </w:r>
          </w:p>
        </w:tc>
        <w:tc>
          <w:tcPr>
            <w:tcW w:w="935" w:type="dxa"/>
            <w:shd w:val="clear" w:color="auto" w:fill="auto"/>
            <w:noWrap/>
            <w:vAlign w:val="bottom"/>
          </w:tcPr>
          <w:p w:rsidR="005106EE" w:rsidRPr="005106EE" w:rsidRDefault="005106EE" w:rsidP="005106EE">
            <w:pPr>
              <w:suppressAutoHyphens w:val="0"/>
              <w:spacing w:before="60" w:after="60" w:line="220" w:lineRule="exact"/>
              <w:ind w:left="57" w:right="57"/>
              <w:jc w:val="right"/>
              <w:rPr>
                <w:sz w:val="18"/>
                <w:szCs w:val="18"/>
                <w:lang w:eastAsia="de-DE"/>
              </w:rPr>
            </w:pPr>
          </w:p>
        </w:tc>
      </w:tr>
      <w:tr w:rsidR="005106EE" w:rsidRPr="005106EE" w:rsidTr="005106EE">
        <w:tc>
          <w:tcPr>
            <w:tcW w:w="2583" w:type="dxa"/>
            <w:shd w:val="clear" w:color="auto" w:fill="auto"/>
            <w:noWrap/>
            <w:hideMark/>
          </w:tcPr>
          <w:p w:rsidR="005106EE" w:rsidRPr="005106EE" w:rsidRDefault="005106EE" w:rsidP="005106EE">
            <w:pPr>
              <w:suppressAutoHyphens w:val="0"/>
              <w:spacing w:before="60" w:after="60" w:line="220" w:lineRule="exact"/>
              <w:ind w:left="57" w:right="57"/>
              <w:rPr>
                <w:sz w:val="18"/>
                <w:szCs w:val="18"/>
                <w:lang w:eastAsia="de-DE"/>
              </w:rPr>
            </w:pPr>
            <w:r w:rsidRPr="005106EE">
              <w:rPr>
                <w:sz w:val="18"/>
                <w:szCs w:val="18"/>
                <w:lang w:eastAsia="de-DE"/>
              </w:rPr>
              <w:t>Valeur minimale de l</w:t>
            </w:r>
            <w:r w:rsidR="007C2F80">
              <w:rPr>
                <w:sz w:val="18"/>
                <w:szCs w:val="18"/>
                <w:lang w:eastAsia="de-DE"/>
              </w:rPr>
              <w:t>’</w:t>
            </w:r>
            <w:r w:rsidRPr="005106EE">
              <w:rPr>
                <w:sz w:val="18"/>
                <w:szCs w:val="18"/>
                <w:lang w:eastAsia="de-DE"/>
              </w:rPr>
              <w:t>accélération latérale maximale indiquée</w:t>
            </w:r>
          </w:p>
        </w:tc>
        <w:tc>
          <w:tcPr>
            <w:tcW w:w="1235" w:type="dxa"/>
            <w:shd w:val="clear" w:color="auto" w:fill="auto"/>
            <w:noWrap/>
            <w:vAlign w:val="bottom"/>
            <w:hideMark/>
          </w:tcPr>
          <w:p w:rsidR="005106EE" w:rsidRPr="005106EE" w:rsidRDefault="005106EE" w:rsidP="005106EE">
            <w:pPr>
              <w:suppressAutoHyphens w:val="0"/>
              <w:spacing w:before="60" w:after="60" w:line="220" w:lineRule="exact"/>
              <w:ind w:left="57" w:right="57"/>
              <w:jc w:val="right"/>
              <w:rPr>
                <w:sz w:val="18"/>
                <w:szCs w:val="18"/>
                <w:lang w:eastAsia="de-DE"/>
              </w:rPr>
            </w:pPr>
            <w:r w:rsidRPr="005106EE">
              <w:rPr>
                <w:sz w:val="18"/>
                <w:szCs w:val="18"/>
                <w:lang w:eastAsia="de-DE"/>
              </w:rPr>
              <w:t>0 m/s²</w:t>
            </w:r>
          </w:p>
        </w:tc>
        <w:tc>
          <w:tcPr>
            <w:tcW w:w="1246" w:type="dxa"/>
            <w:shd w:val="clear" w:color="auto" w:fill="auto"/>
            <w:vAlign w:val="bottom"/>
            <w:hideMark/>
          </w:tcPr>
          <w:p w:rsidR="005106EE" w:rsidRPr="005106EE" w:rsidRDefault="005106EE" w:rsidP="005106EE">
            <w:pPr>
              <w:suppressAutoHyphens w:val="0"/>
              <w:spacing w:before="60" w:after="60" w:line="220" w:lineRule="exact"/>
              <w:ind w:left="57" w:right="57"/>
              <w:jc w:val="right"/>
              <w:rPr>
                <w:sz w:val="18"/>
                <w:szCs w:val="18"/>
                <w:lang w:eastAsia="de-DE"/>
              </w:rPr>
            </w:pPr>
            <w:r w:rsidRPr="005106EE">
              <w:rPr>
                <w:sz w:val="18"/>
                <w:szCs w:val="18"/>
                <w:lang w:eastAsia="de-DE"/>
              </w:rPr>
              <w:t>0,3 m/s²</w:t>
            </w:r>
          </w:p>
        </w:tc>
        <w:tc>
          <w:tcPr>
            <w:tcW w:w="1371" w:type="dxa"/>
            <w:shd w:val="clear" w:color="auto" w:fill="auto"/>
            <w:vAlign w:val="bottom"/>
            <w:hideMark/>
          </w:tcPr>
          <w:p w:rsidR="005106EE" w:rsidRPr="005106EE" w:rsidRDefault="005106EE" w:rsidP="005106EE">
            <w:pPr>
              <w:suppressAutoHyphens w:val="0"/>
              <w:spacing w:before="60" w:after="60" w:line="220" w:lineRule="exact"/>
              <w:ind w:left="57" w:right="57"/>
              <w:jc w:val="right"/>
              <w:rPr>
                <w:sz w:val="18"/>
                <w:szCs w:val="18"/>
                <w:lang w:eastAsia="de-DE"/>
              </w:rPr>
            </w:pPr>
            <w:r w:rsidRPr="005106EE">
              <w:rPr>
                <w:sz w:val="18"/>
                <w:szCs w:val="18"/>
                <w:lang w:eastAsia="de-DE"/>
              </w:rPr>
              <w:t>0,5 m/s²</w:t>
            </w:r>
          </w:p>
        </w:tc>
        <w:tc>
          <w:tcPr>
            <w:tcW w:w="935" w:type="dxa"/>
            <w:shd w:val="clear" w:color="auto" w:fill="auto"/>
            <w:noWrap/>
            <w:vAlign w:val="bottom"/>
          </w:tcPr>
          <w:p w:rsidR="005106EE" w:rsidRPr="005106EE" w:rsidRDefault="005106EE" w:rsidP="005106EE">
            <w:pPr>
              <w:suppressAutoHyphens w:val="0"/>
              <w:spacing w:before="60" w:after="60" w:line="220" w:lineRule="exact"/>
              <w:ind w:left="57" w:right="57"/>
              <w:jc w:val="right"/>
              <w:rPr>
                <w:sz w:val="18"/>
                <w:szCs w:val="18"/>
                <w:lang w:eastAsia="de-DE"/>
              </w:rPr>
            </w:pPr>
          </w:p>
        </w:tc>
      </w:tr>
    </w:tbl>
    <w:p w:rsidR="00CD04C1" w:rsidRPr="00B713EE" w:rsidRDefault="00CD04C1" w:rsidP="00F238E2">
      <w:pPr>
        <w:pStyle w:val="SingleTxtG"/>
        <w:spacing w:before="240"/>
        <w:ind w:left="2835" w:hanging="567"/>
      </w:pPr>
      <w:r w:rsidRPr="00B713EE">
        <w:t>c)</w:t>
      </w:r>
      <w:r w:rsidRPr="00B713EE">
        <w:tab/>
        <w:t>La moyenne mobile, sur une durée d</w:t>
      </w:r>
      <w:r w:rsidR="007C2F80">
        <w:t>’</w:t>
      </w:r>
      <w:r w:rsidRPr="00B713EE">
        <w:t>une demi-seconde, de l</w:t>
      </w:r>
      <w:r w:rsidR="007C2F80">
        <w:t>’</w:t>
      </w:r>
      <w:r w:rsidRPr="00B713EE">
        <w:t>à-coup latéral produit par le système ne doit pas êtr</w:t>
      </w:r>
      <w:r w:rsidR="00C67B19">
        <w:t>e supérieure à 5 </w:t>
      </w:r>
      <w:r w:rsidRPr="00B713EE">
        <w:t xml:space="preserve">m/s³. </w:t>
      </w:r>
    </w:p>
    <w:p w:rsidR="00CD04C1" w:rsidRPr="00B713EE" w:rsidRDefault="00CD04C1" w:rsidP="00E67EC5">
      <w:pPr>
        <w:pStyle w:val="SingleTxtG"/>
        <w:ind w:left="2268" w:hanging="1134"/>
      </w:pPr>
      <w:r w:rsidRPr="00B713EE">
        <w:t>5.6.2.1.4</w:t>
      </w:r>
      <w:r w:rsidRPr="00B713EE">
        <w:tab/>
        <w:t>Les prescriptions des paragraphes 5.6.2.1.1 et 5.6.2.1.3 doivent être vérifiées conformément à l</w:t>
      </w:r>
      <w:r w:rsidR="007C2F80">
        <w:t>’</w:t>
      </w:r>
      <w:r w:rsidRPr="00B713EE">
        <w:t>essai ou aux essais pertinents décrits à l</w:t>
      </w:r>
      <w:r w:rsidR="007C2F80">
        <w:t>’</w:t>
      </w:r>
      <w:r w:rsidRPr="00B713EE">
        <w:t>annexe 8 du présent Règlement.</w:t>
      </w:r>
    </w:p>
    <w:p w:rsidR="00CD04C1" w:rsidRPr="00B713EE" w:rsidRDefault="00CD04C1" w:rsidP="00E67EC5">
      <w:pPr>
        <w:pStyle w:val="SingleTxtG"/>
        <w:ind w:left="2268" w:hanging="1134"/>
      </w:pPr>
      <w:r w:rsidRPr="00B713EE">
        <w:t>5.6.2.2</w:t>
      </w:r>
      <w:r w:rsidRPr="00B713EE">
        <w:tab/>
        <w:t>Fonct</w:t>
      </w:r>
      <w:r w:rsidR="00C67B19">
        <w:t>ionnement des FDCA de catégorie B1</w:t>
      </w:r>
    </w:p>
    <w:p w:rsidR="00CD04C1" w:rsidRPr="00B713EE" w:rsidRDefault="00CD04C1" w:rsidP="00E67EC5">
      <w:pPr>
        <w:pStyle w:val="SingleTxtG"/>
        <w:ind w:left="2268" w:hanging="1134"/>
      </w:pPr>
      <w:r w:rsidRPr="00B713EE">
        <w:t>5.6.2.2.1</w:t>
      </w:r>
      <w:r w:rsidRPr="00B713EE">
        <w:tab/>
        <w:t xml:space="preserve">Si le système est actif, le conducteur doit en être informé par un signal visuel. </w:t>
      </w:r>
    </w:p>
    <w:p w:rsidR="00CD04C1" w:rsidRPr="00B713EE" w:rsidRDefault="00CD04C1" w:rsidP="00E67EC5">
      <w:pPr>
        <w:pStyle w:val="SingleTxtG"/>
        <w:ind w:left="2268" w:hanging="1134"/>
      </w:pPr>
      <w:r w:rsidRPr="00B713EE">
        <w:t xml:space="preserve">5.6.2.2.2 </w:t>
      </w:r>
      <w:r w:rsidRPr="00B713EE">
        <w:tab/>
        <w:t>Lorsque le système est en mode veille, le conducteur doit en être informé par un signal visuel.</w:t>
      </w:r>
    </w:p>
    <w:p w:rsidR="00CD04C1" w:rsidRPr="00B713EE" w:rsidRDefault="00CD04C1" w:rsidP="00E67EC5">
      <w:pPr>
        <w:pStyle w:val="SingleTxtG"/>
        <w:ind w:left="2268" w:hanging="1134"/>
      </w:pPr>
      <w:r w:rsidRPr="00B713EE">
        <w:t>5.6.2.2.3</w:t>
      </w:r>
      <w:r w:rsidRPr="00B713EE">
        <w:tab/>
      </w:r>
      <w:r w:rsidRPr="00C67B19">
        <w:rPr>
          <w:spacing w:val="-2"/>
        </w:rPr>
        <w:t>Lorsque le système atteint les conditions limite</w:t>
      </w:r>
      <w:r w:rsidR="00C67B19" w:rsidRPr="00C67B19">
        <w:rPr>
          <w:spacing w:val="-2"/>
        </w:rPr>
        <w:t>s visées au paragraphe </w:t>
      </w:r>
      <w:r w:rsidRPr="00C67B19">
        <w:rPr>
          <w:spacing w:val="-2"/>
        </w:rPr>
        <w:t>5.6.2.3.1.1</w:t>
      </w:r>
      <w:r w:rsidRPr="00B713EE">
        <w:t xml:space="preserve"> du présent Règlement (par exemple, l</w:t>
      </w:r>
      <w:r w:rsidR="007C2F80">
        <w:t>’</w:t>
      </w:r>
      <w:r w:rsidRPr="00B713EE">
        <w:t>accélération latérale maximale indiquée ay</w:t>
      </w:r>
      <w:r w:rsidRPr="00B713EE">
        <w:rPr>
          <w:vertAlign w:val="subscript"/>
        </w:rPr>
        <w:t>smax</w:t>
      </w:r>
      <w:r w:rsidRPr="00B713EE">
        <w:t>), en l</w:t>
      </w:r>
      <w:r w:rsidR="007C2F80">
        <w:t>’</w:t>
      </w:r>
      <w:r w:rsidRPr="00B713EE">
        <w:t>absence de toute action du conducteur sur la commande de direction et lorsqu</w:t>
      </w:r>
      <w:r w:rsidR="007C2F80">
        <w:t>’</w:t>
      </w:r>
      <w:r w:rsidRPr="00B713EE">
        <w:t xml:space="preserve">une roue avant du véhicule franchit le marquage de la voie, le système doit continuer à fournir une assistance et informer clairement le conducteur de son état par un signal visuel ainsi que par un signal sonore ou haptique. </w:t>
      </w:r>
    </w:p>
    <w:p w:rsidR="00CD04C1" w:rsidRPr="00B713EE" w:rsidRDefault="00CD04C1" w:rsidP="00F45D4C">
      <w:pPr>
        <w:pStyle w:val="SingleTxtG"/>
        <w:ind w:left="2268"/>
        <w:rPr>
          <w:bCs/>
        </w:rPr>
      </w:pPr>
      <w:r w:rsidRPr="00B713EE">
        <w:rPr>
          <w:bCs/>
        </w:rPr>
        <w:t>Pour les véhicules des catégories M</w:t>
      </w:r>
      <w:r w:rsidRPr="00B713EE">
        <w:rPr>
          <w:bCs/>
          <w:vertAlign w:val="subscript"/>
        </w:rPr>
        <w:t>2</w:t>
      </w:r>
      <w:r w:rsidR="00F91253" w:rsidRPr="00F91253">
        <w:rPr>
          <w:bCs/>
        </w:rPr>
        <w:t>,</w:t>
      </w:r>
      <w:r w:rsidRPr="00B713EE">
        <w:rPr>
          <w:bCs/>
        </w:rPr>
        <w:t xml:space="preserve"> M</w:t>
      </w:r>
      <w:r w:rsidRPr="00B713EE">
        <w:rPr>
          <w:bCs/>
          <w:vertAlign w:val="subscript"/>
        </w:rPr>
        <w:t>3</w:t>
      </w:r>
      <w:r w:rsidR="00F91253" w:rsidRPr="00F91253">
        <w:rPr>
          <w:bCs/>
        </w:rPr>
        <w:t>,</w:t>
      </w:r>
      <w:r w:rsidRPr="00B713EE">
        <w:rPr>
          <w:bCs/>
        </w:rPr>
        <w:t xml:space="preserve"> N</w:t>
      </w:r>
      <w:r w:rsidRPr="00B713EE">
        <w:rPr>
          <w:bCs/>
          <w:vertAlign w:val="subscript"/>
        </w:rPr>
        <w:t>2</w:t>
      </w:r>
      <w:r w:rsidRPr="00B713EE">
        <w:rPr>
          <w:bCs/>
        </w:rPr>
        <w:t xml:space="preserve"> et N</w:t>
      </w:r>
      <w:r w:rsidRPr="00B713EE">
        <w:rPr>
          <w:bCs/>
          <w:vertAlign w:val="subscript"/>
        </w:rPr>
        <w:t>3</w:t>
      </w:r>
      <w:r w:rsidRPr="00B713EE">
        <w:rPr>
          <w:bCs/>
        </w:rPr>
        <w:t>, cette prescription est considérée comme étant satisfaite si le véhicule est équipé d</w:t>
      </w:r>
      <w:r w:rsidR="007C2F80">
        <w:rPr>
          <w:bCs/>
        </w:rPr>
        <w:t>’</w:t>
      </w:r>
      <w:r w:rsidRPr="00B713EE">
        <w:rPr>
          <w:bCs/>
        </w:rPr>
        <w:t>un système d</w:t>
      </w:r>
      <w:r w:rsidR="007C2F80">
        <w:rPr>
          <w:bCs/>
        </w:rPr>
        <w:t>’</w:t>
      </w:r>
      <w:r w:rsidRPr="00B713EE">
        <w:rPr>
          <w:bCs/>
        </w:rPr>
        <w:t>avertissement de franchissement de ligne (SAFL) satisfaisant aux prescriptions t</w:t>
      </w:r>
      <w:r w:rsidR="00567416">
        <w:rPr>
          <w:bCs/>
        </w:rPr>
        <w:t xml:space="preserve">echniques du Règlement </w:t>
      </w:r>
      <w:r w:rsidR="00567416" w:rsidRPr="00567416">
        <w:rPr>
          <w:rFonts w:eastAsia="MS Mincho"/>
          <w:bCs/>
        </w:rPr>
        <w:t>n</w:t>
      </w:r>
      <w:r w:rsidR="00567416" w:rsidRPr="00567416">
        <w:rPr>
          <w:rFonts w:eastAsia="MS Mincho"/>
          <w:bCs/>
          <w:vertAlign w:val="superscript"/>
        </w:rPr>
        <w:t>o</w:t>
      </w:r>
      <w:r w:rsidR="00567416">
        <w:rPr>
          <w:bCs/>
        </w:rPr>
        <w:t> </w:t>
      </w:r>
      <w:r w:rsidRPr="00B713EE">
        <w:rPr>
          <w:bCs/>
        </w:rPr>
        <w:t xml:space="preserve">130. </w:t>
      </w:r>
    </w:p>
    <w:p w:rsidR="00CD04C1" w:rsidRPr="00B713EE" w:rsidRDefault="00CD04C1" w:rsidP="00E67EC5">
      <w:pPr>
        <w:pStyle w:val="SingleTxtG"/>
        <w:ind w:left="2268" w:hanging="1134"/>
      </w:pPr>
      <w:r w:rsidRPr="00B713EE">
        <w:t>5.6.2.2.4</w:t>
      </w:r>
      <w:r w:rsidRPr="00B713EE">
        <w:tab/>
        <w:t>Une défaillance du système doit être signalée au conducteur au moyen d</w:t>
      </w:r>
      <w:r w:rsidR="007C2F80">
        <w:t>’</w:t>
      </w:r>
      <w:r w:rsidRPr="00B713EE">
        <w:t>un signal d</w:t>
      </w:r>
      <w:r w:rsidR="007C2F80">
        <w:t>’</w:t>
      </w:r>
      <w:r w:rsidRPr="00B713EE">
        <w:t>avertissement optique. Toutefois, lorsque le système est désactivé manuellement par le conducteur, l</w:t>
      </w:r>
      <w:r w:rsidR="007C2F80">
        <w:t>’</w:t>
      </w:r>
      <w:r w:rsidRPr="00B713EE">
        <w:t>indication du mode de défaillance peut être neutralisée.</w:t>
      </w:r>
    </w:p>
    <w:p w:rsidR="00CD04C1" w:rsidRPr="00B713EE" w:rsidRDefault="00CD04C1" w:rsidP="00E67EC5">
      <w:pPr>
        <w:pStyle w:val="SingleTxtG"/>
        <w:ind w:left="2268" w:hanging="1134"/>
      </w:pPr>
      <w:r w:rsidRPr="00B713EE">
        <w:t>5.6.2.2.5</w:t>
      </w:r>
      <w:r w:rsidRPr="00B713EE">
        <w:tab/>
        <w:t>Lorsque le système est actif et dans la plage de vitesse comprise entre 10</w:t>
      </w:r>
      <w:r w:rsidR="00C67B19">
        <w:t> </w:t>
      </w:r>
      <w:r w:rsidRPr="00B713EE">
        <w:t>km/h ou V</w:t>
      </w:r>
      <w:r w:rsidRPr="00B713EE">
        <w:rPr>
          <w:vertAlign w:val="subscript"/>
        </w:rPr>
        <w:t>smin</w:t>
      </w:r>
      <w:r w:rsidRPr="00B713EE">
        <w:t>, la valeur la plus élevée étant retenue, et V</w:t>
      </w:r>
      <w:r w:rsidRPr="00B713EE">
        <w:rPr>
          <w:vertAlign w:val="subscript"/>
        </w:rPr>
        <w:t>smax</w:t>
      </w:r>
      <w:r w:rsidRPr="00B713EE">
        <w:t>, il doit disposer d</w:t>
      </w:r>
      <w:r w:rsidR="007C2F80">
        <w:t>’</w:t>
      </w:r>
      <w:r w:rsidRPr="00B713EE">
        <w:t xml:space="preserve">un moyen de détecter que le conducteur tient la commande de direction. </w:t>
      </w:r>
    </w:p>
    <w:p w:rsidR="00CD04C1" w:rsidRPr="00B713EE" w:rsidRDefault="00CD04C1" w:rsidP="00F45D4C">
      <w:pPr>
        <w:pStyle w:val="SingleTxtG"/>
        <w:ind w:left="2268"/>
      </w:pPr>
      <w:r w:rsidRPr="00B713EE">
        <w:t>Si, ap</w:t>
      </w:r>
      <w:r w:rsidR="00C67B19">
        <w:t>rès une durée n</w:t>
      </w:r>
      <w:r w:rsidR="007C2F80">
        <w:t>’</w:t>
      </w:r>
      <w:r w:rsidR="00C67B19">
        <w:t>excédant pas 15 </w:t>
      </w:r>
      <w:r w:rsidRPr="00B713EE">
        <w:t>secondes, le conducteur ne tient pas la commande de direction, un signal d</w:t>
      </w:r>
      <w:r w:rsidR="007C2F80">
        <w:t>’</w:t>
      </w:r>
      <w:r w:rsidRPr="00B713EE">
        <w:t xml:space="preserve">avertissement visuel doit être émis. Ce signal peut-être le même que celui qui est décrit plus bas. </w:t>
      </w:r>
    </w:p>
    <w:p w:rsidR="00CD04C1" w:rsidRPr="00B713EE" w:rsidRDefault="00CD04C1" w:rsidP="002A0E10">
      <w:pPr>
        <w:pStyle w:val="SingleTxtG"/>
        <w:ind w:left="2268"/>
      </w:pPr>
      <w:r w:rsidRPr="00B713EE">
        <w:t>Le signal d</w:t>
      </w:r>
      <w:r w:rsidR="007C2F80">
        <w:t>’</w:t>
      </w:r>
      <w:r w:rsidRPr="00B713EE">
        <w:t>avertissement visuel doit indiquer au conducteur de placer ses mains sur la commande de direction. Il doit consister en une information graphique représentant les mains et le volant et il peut être accompagné d</w:t>
      </w:r>
      <w:r w:rsidR="007C2F80">
        <w:t>’</w:t>
      </w:r>
      <w:r w:rsidRPr="00B713EE">
        <w:t>un texte explicatif supplémentaire ou de symboles d</w:t>
      </w:r>
      <w:r w:rsidR="007C2F80">
        <w:t>’</w:t>
      </w:r>
      <w:r w:rsidRPr="00B713EE">
        <w:t>avertissement</w:t>
      </w:r>
      <w:r w:rsidR="00F91253">
        <w:t xml:space="preserve"> − </w:t>
      </w:r>
      <w:r w:rsidR="00B90B28">
        <w:t>voir les exemples ci-dessous </w:t>
      </w:r>
      <w:r w:rsidRPr="00B713EE">
        <w:t>:</w:t>
      </w:r>
    </w:p>
    <w:p w:rsidR="00CD04C1" w:rsidRPr="00B713EE" w:rsidRDefault="00CD04C1" w:rsidP="00D87F5C">
      <w:pPr>
        <w:ind w:left="2268"/>
      </w:pPr>
      <w:r w:rsidRPr="00B713EE">
        <w:rPr>
          <w:noProof/>
          <w:lang w:val="en-GB" w:eastAsia="en-GB"/>
        </w:rPr>
        <w:drawing>
          <wp:inline distT="0" distB="0" distL="0" distR="0" wp14:anchorId="5858961D" wp14:editId="5983C115">
            <wp:extent cx="4683600" cy="1296166"/>
            <wp:effectExtent l="0" t="0" r="3175" b="0"/>
            <wp:docPr id="5" name="Picture 5" descr="Hands-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s-o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3600" cy="1296166"/>
                    </a:xfrm>
                    <a:prstGeom prst="rect">
                      <a:avLst/>
                    </a:prstGeom>
                    <a:noFill/>
                    <a:ln>
                      <a:noFill/>
                    </a:ln>
                  </pic:spPr>
                </pic:pic>
              </a:graphicData>
            </a:graphic>
          </wp:inline>
        </w:drawing>
      </w:r>
    </w:p>
    <w:p w:rsidR="00CD04C1" w:rsidRPr="00B713EE" w:rsidRDefault="00CD04C1" w:rsidP="002A0E10">
      <w:pPr>
        <w:pStyle w:val="SingleTxtG"/>
        <w:ind w:left="2268"/>
      </w:pPr>
      <w:r w:rsidRPr="00B713EE">
        <w:t>Si, ap</w:t>
      </w:r>
      <w:r w:rsidR="00C67B19">
        <w:t>rès une durée n</w:t>
      </w:r>
      <w:r w:rsidR="007C2F80">
        <w:t>’</w:t>
      </w:r>
      <w:r w:rsidR="00C67B19">
        <w:t>excédant pas 30 </w:t>
      </w:r>
      <w:r w:rsidRPr="00B713EE">
        <w:t>secondes, le conducteur ne tient pas la commande de direction, au moins les mains ou le volant représentés doivent apparaître en rouge dans l</w:t>
      </w:r>
      <w:r w:rsidR="007C2F80">
        <w:t>’</w:t>
      </w:r>
      <w:r w:rsidRPr="00B713EE">
        <w:t>information graphique pour l</w:t>
      </w:r>
      <w:r w:rsidR="007C2F80">
        <w:t>’</w:t>
      </w:r>
      <w:r w:rsidRPr="00B713EE">
        <w:t>avertir visuellement et un signal d</w:t>
      </w:r>
      <w:r w:rsidR="007C2F80">
        <w:t>’</w:t>
      </w:r>
      <w:r w:rsidRPr="00B713EE">
        <w:t xml:space="preserve">avertissement sonore peut également être émis. </w:t>
      </w:r>
    </w:p>
    <w:p w:rsidR="00CD04C1" w:rsidRPr="00B713EE" w:rsidRDefault="00CD04C1" w:rsidP="002A0E10">
      <w:pPr>
        <w:pStyle w:val="SingleTxtG"/>
        <w:ind w:left="2268"/>
      </w:pPr>
      <w:r w:rsidRPr="00B713EE">
        <w:t>Ces signaux doivent rester actifs jusqu</w:t>
      </w:r>
      <w:r w:rsidR="007C2F80">
        <w:t>’</w:t>
      </w:r>
      <w:r w:rsidRPr="00B713EE">
        <w:t>à ce que le conducteur reprenne la commande de direction en main ou que le système soit désactivé, manuellement ou automatiquement.</w:t>
      </w:r>
      <w:r w:rsidR="009A2D64">
        <w:t xml:space="preserve"> </w:t>
      </w:r>
    </w:p>
    <w:p w:rsidR="00CD04C1" w:rsidRPr="00B713EE" w:rsidRDefault="00CD04C1" w:rsidP="002A0E10">
      <w:pPr>
        <w:pStyle w:val="SingleTxtG"/>
        <w:ind w:left="2268"/>
      </w:pPr>
      <w:r w:rsidRPr="00B713EE">
        <w:t>Le système doit être automatiquement désactivé au plus tard 30</w:t>
      </w:r>
      <w:r w:rsidR="00C67B19">
        <w:t> </w:t>
      </w:r>
      <w:r w:rsidRPr="00B713EE">
        <w:t>s après le début du signal d</w:t>
      </w:r>
      <w:r w:rsidR="007C2F80">
        <w:t>’</w:t>
      </w:r>
      <w:r w:rsidRPr="00B713EE">
        <w:t>avertissement sonore.</w:t>
      </w:r>
      <w:r w:rsidR="009A2D64">
        <w:t xml:space="preserve"> </w:t>
      </w:r>
      <w:r w:rsidRPr="00B713EE">
        <w:t>Une fois qu</w:t>
      </w:r>
      <w:r w:rsidR="007C2F80">
        <w:t>’</w:t>
      </w:r>
      <w:r w:rsidRPr="00B713EE">
        <w:t>il est désactivé, le système doit en informer clairement le conducteur par un signal d</w:t>
      </w:r>
      <w:r w:rsidR="007C2F80">
        <w:t>’</w:t>
      </w:r>
      <w:r w:rsidRPr="00B713EE">
        <w:t>alerte sonore différent des signaux sonores émis auparavant, pendant au moins cinq secondes ou jusqu</w:t>
      </w:r>
      <w:r w:rsidR="007C2F80">
        <w:t>’</w:t>
      </w:r>
      <w:r w:rsidRPr="00B713EE">
        <w:t>à ce que le conducteur ait repris la commande de direction en main.</w:t>
      </w:r>
    </w:p>
    <w:p w:rsidR="00CD04C1" w:rsidRPr="00B713EE" w:rsidRDefault="00CD04C1" w:rsidP="002A0E10">
      <w:pPr>
        <w:pStyle w:val="SingleTxtG"/>
        <w:ind w:left="2268"/>
      </w:pPr>
      <w:r w:rsidRPr="00B713EE">
        <w:t>Les prescriptions ci-dessus doivent être vérifiées conformément à l</w:t>
      </w:r>
      <w:r w:rsidR="007C2F80">
        <w:t>’</w:t>
      </w:r>
      <w:r w:rsidRPr="00B713EE">
        <w:t>essai ou aux essai</w:t>
      </w:r>
      <w:r w:rsidR="00C67B19">
        <w:t>s pertinents décrits à l</w:t>
      </w:r>
      <w:r w:rsidR="007C2F80">
        <w:t>’</w:t>
      </w:r>
      <w:r w:rsidR="00C67B19">
        <w:t>annexe </w:t>
      </w:r>
      <w:r w:rsidRPr="00B713EE">
        <w:t>8 du présent Règlement.</w:t>
      </w:r>
    </w:p>
    <w:p w:rsidR="00CD04C1" w:rsidRPr="00B713EE" w:rsidRDefault="00CD04C1" w:rsidP="00E67EC5">
      <w:pPr>
        <w:pStyle w:val="SingleTxtG"/>
        <w:ind w:left="2268" w:hanging="1134"/>
      </w:pPr>
      <w:r w:rsidRPr="00B713EE">
        <w:t>5.6.2.2.6</w:t>
      </w:r>
      <w:r w:rsidRPr="00B713EE">
        <w:tab/>
        <w:t>Sauf indication contraire, les signaux visuels décrits au paragraphe</w:t>
      </w:r>
      <w:r w:rsidR="00C67B19">
        <w:t> </w:t>
      </w:r>
      <w:r w:rsidRPr="00B713EE">
        <w:t xml:space="preserve">5.6.2.2 doivent tous avoir des formes différentes (symbole, couleur, clignotement, texte). </w:t>
      </w:r>
    </w:p>
    <w:p w:rsidR="00CD04C1" w:rsidRPr="00B713EE" w:rsidRDefault="00CD04C1" w:rsidP="00E67EC5">
      <w:pPr>
        <w:pStyle w:val="SingleTxtG"/>
        <w:ind w:left="2268" w:hanging="1134"/>
      </w:pPr>
      <w:r w:rsidRPr="00B713EE">
        <w:t>5.6.2.3</w:t>
      </w:r>
      <w:r w:rsidRPr="00B713EE">
        <w:tab/>
        <w:t>Données d</w:t>
      </w:r>
      <w:r w:rsidR="007C2F80">
        <w:t>’</w:t>
      </w:r>
      <w:r w:rsidRPr="00B713EE">
        <w:t>information du système</w:t>
      </w:r>
      <w:r w:rsidR="009A2D64">
        <w:t xml:space="preserve"> </w:t>
      </w:r>
    </w:p>
    <w:p w:rsidR="00CD04C1" w:rsidRPr="00B713EE" w:rsidRDefault="00CD04C1" w:rsidP="00E67EC5">
      <w:pPr>
        <w:pStyle w:val="SingleTxtG"/>
        <w:ind w:left="2268" w:hanging="1134"/>
      </w:pPr>
      <w:r w:rsidRPr="00B713EE">
        <w:t>5.6.2.3.1</w:t>
      </w:r>
      <w:r w:rsidRPr="00B713EE">
        <w:tab/>
        <w:t>Les données suivantes doivent être fournies au service technique, avec le dossie</w:t>
      </w:r>
      <w:r w:rsidR="00C67B19">
        <w:t>r d</w:t>
      </w:r>
      <w:r w:rsidR="007C2F80">
        <w:t>’</w:t>
      </w:r>
      <w:r w:rsidR="00C67B19">
        <w:t>information visé à l</w:t>
      </w:r>
      <w:r w:rsidR="007C2F80">
        <w:t>’</w:t>
      </w:r>
      <w:r w:rsidR="00C67B19">
        <w:t>annexe </w:t>
      </w:r>
      <w:r w:rsidRPr="00B713EE">
        <w:t>6 du présent Règlement au moment de l</w:t>
      </w:r>
      <w:r w:rsidR="007C2F80">
        <w:t>’</w:t>
      </w:r>
      <w:r w:rsidRPr="00B713EE">
        <w:t xml:space="preserve">homologation de type : </w:t>
      </w:r>
    </w:p>
    <w:p w:rsidR="00CD04C1" w:rsidRPr="00B713EE" w:rsidRDefault="00CD04C1" w:rsidP="00E67EC5">
      <w:pPr>
        <w:pStyle w:val="SingleTxtG"/>
        <w:ind w:left="2268" w:hanging="1134"/>
      </w:pPr>
      <w:r w:rsidRPr="00B713EE">
        <w:t>5.6.2.3.1.1</w:t>
      </w:r>
      <w:r w:rsidRPr="00B713EE">
        <w:tab/>
        <w:t>Les conditions dans lesquelles le système peut être activé et les limites de fonctionnement (conditions limites). Le constructeur du véhicule doit fournir les valeurs de V</w:t>
      </w:r>
      <w:r w:rsidRPr="00B713EE">
        <w:rPr>
          <w:vertAlign w:val="subscript"/>
        </w:rPr>
        <w:t>smax</w:t>
      </w:r>
      <w:r w:rsidRPr="00B713EE">
        <w:t>, V</w:t>
      </w:r>
      <w:r w:rsidRPr="00B713EE">
        <w:rPr>
          <w:vertAlign w:val="subscript"/>
        </w:rPr>
        <w:t>smin</w:t>
      </w:r>
      <w:r w:rsidRPr="00B713EE">
        <w:t xml:space="preserve"> et ay</w:t>
      </w:r>
      <w:r w:rsidRPr="00B713EE">
        <w:rPr>
          <w:vertAlign w:val="subscript"/>
        </w:rPr>
        <w:t>smax</w:t>
      </w:r>
      <w:r w:rsidRPr="00B713EE">
        <w:t xml:space="preserve"> pour chaque plage de vitesse mentionné</w:t>
      </w:r>
      <w:r w:rsidR="00C67B19">
        <w:t>e dans le tableau du paragraphe </w:t>
      </w:r>
      <w:r w:rsidRPr="00B713EE">
        <w:t>5.6.2.1.3 du présent Règlement</w:t>
      </w:r>
      <w:r w:rsidR="003221B6">
        <w:t> ;</w:t>
      </w:r>
      <w:r w:rsidRPr="00B713EE">
        <w:t xml:space="preserve"> </w:t>
      </w:r>
    </w:p>
    <w:p w:rsidR="00CD04C1" w:rsidRPr="00B713EE" w:rsidRDefault="00CD04C1" w:rsidP="00E67EC5">
      <w:pPr>
        <w:pStyle w:val="SingleTxtG"/>
        <w:ind w:left="2268" w:hanging="1134"/>
      </w:pPr>
      <w:r w:rsidRPr="00B713EE">
        <w:t>5.6.2.3.1.2</w:t>
      </w:r>
      <w:r w:rsidRPr="00B713EE">
        <w:tab/>
        <w:t>Des informations concernant la manière dont le système détecte que le conducteur a la commande de direction en main.</w:t>
      </w:r>
      <w:r w:rsidR="00B8455E">
        <w:t> »</w:t>
      </w:r>
      <w:r w:rsidRPr="00B713EE">
        <w:t>.</w:t>
      </w:r>
    </w:p>
    <w:p w:rsidR="00CD04C1" w:rsidRPr="00B713EE" w:rsidRDefault="00CD04C1" w:rsidP="00B713EE">
      <w:pPr>
        <w:pStyle w:val="SingleTxtG"/>
      </w:pPr>
      <w:r w:rsidRPr="00B713EE">
        <w:rPr>
          <w:i/>
          <w:iCs/>
        </w:rPr>
        <w:t>Ajouter un nouveau paragraphe 12</w:t>
      </w:r>
      <w:r w:rsidRPr="00B713EE">
        <w:t>, ai</w:t>
      </w:r>
      <w:r w:rsidR="00B90B28">
        <w:t>nsi conçu </w:t>
      </w:r>
      <w:r w:rsidRPr="00B713EE">
        <w:t>:</w:t>
      </w:r>
    </w:p>
    <w:p w:rsidR="00CD04C1" w:rsidRPr="00B713EE" w:rsidRDefault="00B8455E" w:rsidP="00E67EC5">
      <w:pPr>
        <w:pStyle w:val="SingleTxtG"/>
        <w:ind w:left="2268" w:hanging="1134"/>
      </w:pPr>
      <w:r>
        <w:t>« </w:t>
      </w:r>
      <w:r w:rsidR="00CD04C1" w:rsidRPr="00B713EE">
        <w:t>12.</w:t>
      </w:r>
      <w:r w:rsidR="00CD04C1" w:rsidRPr="00B713EE">
        <w:tab/>
        <w:t>Dispositions transitoires</w:t>
      </w:r>
    </w:p>
    <w:p w:rsidR="00CD04C1" w:rsidRPr="00B713EE" w:rsidRDefault="00CD04C1" w:rsidP="00E67EC5">
      <w:pPr>
        <w:pStyle w:val="SingleTxtG"/>
        <w:ind w:left="2268" w:hanging="1134"/>
      </w:pPr>
      <w:r w:rsidRPr="00B713EE">
        <w:t>12.1</w:t>
      </w:r>
      <w:r w:rsidRPr="00B713EE">
        <w:tab/>
        <w:t>À compter de la date officielle d</w:t>
      </w:r>
      <w:r w:rsidR="007C2F80">
        <w:t>’</w:t>
      </w:r>
      <w:r w:rsidRPr="00B713EE">
        <w:t>entrée en vigueur de la série</w:t>
      </w:r>
      <w:r w:rsidR="00C67B19">
        <w:t> </w:t>
      </w:r>
      <w:r w:rsidRPr="00B713EE">
        <w:t>02 d</w:t>
      </w:r>
      <w:r w:rsidR="007C2F80">
        <w:t>’</w:t>
      </w:r>
      <w:r w:rsidRPr="00B713EE">
        <w:t>amendements, aucune Partie contractante appliquant le présent Règlement ne pourra refuser d</w:t>
      </w:r>
      <w:r w:rsidR="007C2F80">
        <w:t>’</w:t>
      </w:r>
      <w:r w:rsidRPr="00B713EE">
        <w:t>accorder ou d</w:t>
      </w:r>
      <w:r w:rsidR="007C2F80">
        <w:t>’</w:t>
      </w:r>
      <w:r w:rsidRPr="00B713EE">
        <w:t>accepter une homologation de type en vertu du présent Règleme</w:t>
      </w:r>
      <w:r w:rsidR="00B90B28">
        <w:t>nt tel que modifié par la série </w:t>
      </w:r>
      <w:r w:rsidRPr="00B713EE">
        <w:t>02 d</w:t>
      </w:r>
      <w:r w:rsidR="007C2F80">
        <w:t>’</w:t>
      </w:r>
      <w:r w:rsidRPr="00B713EE">
        <w:t>amendements.</w:t>
      </w:r>
    </w:p>
    <w:p w:rsidR="00CD04C1" w:rsidRPr="00B713EE" w:rsidRDefault="00CD04C1" w:rsidP="00E67EC5">
      <w:pPr>
        <w:pStyle w:val="SingleTxtG"/>
        <w:ind w:left="2268" w:hanging="1134"/>
      </w:pPr>
      <w:r w:rsidRPr="00B713EE">
        <w:t>12.2</w:t>
      </w:r>
      <w:r w:rsidRPr="00B713EE">
        <w:tab/>
        <w:t>À compter du 1</w:t>
      </w:r>
      <w:r w:rsidRPr="00B713EE">
        <w:rPr>
          <w:vertAlign w:val="superscript"/>
        </w:rPr>
        <w:t>er</w:t>
      </w:r>
      <w:r w:rsidR="00C67B19">
        <w:t> </w:t>
      </w:r>
      <w:r w:rsidRPr="00B713EE">
        <w:t>avril 2018, les Parties contractantes appliquant le présent Règlement ne pourront accorder d</w:t>
      </w:r>
      <w:r w:rsidR="007C2F80">
        <w:t>’</w:t>
      </w:r>
      <w:r w:rsidRPr="00B713EE">
        <w:t>homologation de type que si le type du véhicule à homologuer satisfait aux prescriptions dudit Règleme</w:t>
      </w:r>
      <w:r w:rsidR="00C67B19">
        <w:t>nt tel que modifié par la série </w:t>
      </w:r>
      <w:r w:rsidRPr="00B713EE">
        <w:t>02 d</w:t>
      </w:r>
      <w:r w:rsidR="007C2F80">
        <w:t>’</w:t>
      </w:r>
      <w:r w:rsidRPr="00B713EE">
        <w:t>amendements.</w:t>
      </w:r>
    </w:p>
    <w:p w:rsidR="00CD04C1" w:rsidRPr="00B713EE" w:rsidRDefault="00CD04C1" w:rsidP="00743036">
      <w:pPr>
        <w:pStyle w:val="SingleTxtG"/>
        <w:keepNext/>
        <w:keepLines/>
        <w:ind w:left="2268" w:hanging="1134"/>
      </w:pPr>
      <w:r w:rsidRPr="00B713EE">
        <w:t>12.3</w:t>
      </w:r>
      <w:r w:rsidRPr="00B713EE">
        <w:tab/>
        <w:t>À compter du 1</w:t>
      </w:r>
      <w:r w:rsidRPr="00B713EE">
        <w:rPr>
          <w:vertAlign w:val="superscript"/>
        </w:rPr>
        <w:t>er</w:t>
      </w:r>
      <w:r w:rsidR="00C67B19">
        <w:t> </w:t>
      </w:r>
      <w:r w:rsidRPr="00B713EE">
        <w:t>avril 2021, les Parties contractantes appliquant le présent Règlement ne seront pas tenues d</w:t>
      </w:r>
      <w:r w:rsidR="007C2F80">
        <w:t>’</w:t>
      </w:r>
      <w:r w:rsidRPr="00B713EE">
        <w:t>accepter, aux fins d</w:t>
      </w:r>
      <w:r w:rsidR="007C2F80">
        <w:t>’</w:t>
      </w:r>
      <w:r w:rsidRPr="00B713EE">
        <w:t>une homologation nationale ou régionale, un type de véhicule homologué conformément à la précédente série d</w:t>
      </w:r>
      <w:r w:rsidR="007C2F80">
        <w:t>’</w:t>
      </w:r>
      <w:r w:rsidRPr="00B713EE">
        <w:t xml:space="preserve">amendements au présent Règlement. </w:t>
      </w:r>
    </w:p>
    <w:p w:rsidR="00CD04C1" w:rsidRPr="00B713EE" w:rsidRDefault="00CD04C1" w:rsidP="00186840">
      <w:pPr>
        <w:pStyle w:val="SingleTxtG"/>
        <w:ind w:left="2268" w:hanging="1134"/>
      </w:pPr>
      <w:r w:rsidRPr="00B713EE">
        <w:t>12.4</w:t>
      </w:r>
      <w:r w:rsidRPr="00B713EE">
        <w:tab/>
        <w:t>Les Parties contractantes appliquant le présent Règlement ne pourront refuser d</w:t>
      </w:r>
      <w:r w:rsidR="007C2F80">
        <w:t>’</w:t>
      </w:r>
      <w:r w:rsidRPr="00B713EE">
        <w:t>accorder des extensions pour les homologations de types existants accordées conformément à la précédente série d</w:t>
      </w:r>
      <w:r w:rsidR="007C2F80">
        <w:t>’</w:t>
      </w:r>
      <w:r w:rsidRPr="00B713EE">
        <w:t>amendements au présent Règlement.</w:t>
      </w:r>
    </w:p>
    <w:p w:rsidR="00CD04C1" w:rsidRPr="00B713EE" w:rsidRDefault="00C67B19" w:rsidP="00E67EC5">
      <w:pPr>
        <w:pStyle w:val="SingleTxtG"/>
        <w:ind w:left="2268" w:hanging="1134"/>
        <w:rPr>
          <w:rFonts w:eastAsia="MS PGothic"/>
          <w:iCs/>
          <w:lang w:eastAsia="ja-JP"/>
        </w:rPr>
      </w:pPr>
      <w:r>
        <w:rPr>
          <w:rFonts w:eastAsia="MS PGothic"/>
          <w:iCs/>
          <w:lang w:eastAsia="ja-JP"/>
        </w:rPr>
        <w:t>12.5</w:t>
      </w:r>
      <w:r>
        <w:rPr>
          <w:rFonts w:eastAsia="MS PGothic"/>
          <w:iCs/>
          <w:lang w:eastAsia="ja-JP"/>
        </w:rPr>
        <w:tab/>
        <w:t>Nonobstant le paragraphe </w:t>
      </w:r>
      <w:r w:rsidR="00CD04C1" w:rsidRPr="00B713EE">
        <w:rPr>
          <w:rFonts w:eastAsia="MS PGothic"/>
          <w:iCs/>
          <w:lang w:eastAsia="ja-JP"/>
        </w:rPr>
        <w:t>12.3, les homologations de type accordées au titre des précédentes séries d</w:t>
      </w:r>
      <w:r w:rsidR="007C2F80">
        <w:rPr>
          <w:rFonts w:eastAsia="MS PGothic"/>
          <w:iCs/>
          <w:lang w:eastAsia="ja-JP"/>
        </w:rPr>
        <w:t>’</w:t>
      </w:r>
      <w:r w:rsidR="00CD04C1" w:rsidRPr="00B713EE">
        <w:rPr>
          <w:rFonts w:eastAsia="MS PGothic"/>
          <w:iCs/>
          <w:lang w:eastAsia="ja-JP"/>
        </w:rPr>
        <w:t>amendements au Règlement qui ne sont pas concernés par la séri</w:t>
      </w:r>
      <w:r>
        <w:rPr>
          <w:rFonts w:eastAsia="MS PGothic"/>
          <w:iCs/>
          <w:lang w:eastAsia="ja-JP"/>
        </w:rPr>
        <w:t>e </w:t>
      </w:r>
      <w:r w:rsidR="00CD04C1" w:rsidRPr="00B713EE">
        <w:rPr>
          <w:rFonts w:eastAsia="MS PGothic"/>
          <w:iCs/>
          <w:lang w:eastAsia="ja-JP"/>
        </w:rPr>
        <w:t>02 d</w:t>
      </w:r>
      <w:r w:rsidR="007C2F80">
        <w:rPr>
          <w:rFonts w:eastAsia="MS PGothic"/>
          <w:iCs/>
          <w:lang w:eastAsia="ja-JP"/>
        </w:rPr>
        <w:t>’</w:t>
      </w:r>
      <w:r w:rsidR="00CD04C1" w:rsidRPr="00B713EE">
        <w:rPr>
          <w:rFonts w:eastAsia="MS PGothic"/>
          <w:iCs/>
          <w:lang w:eastAsia="ja-JP"/>
        </w:rPr>
        <w:t>amendements restent valides et les Parties contractantes appliquant le présent Règlement doivent continuer à les accepter.</w:t>
      </w:r>
    </w:p>
    <w:p w:rsidR="00CD04C1" w:rsidRPr="00B713EE" w:rsidRDefault="00CD04C1" w:rsidP="00E67EC5">
      <w:pPr>
        <w:pStyle w:val="SingleTxtG"/>
        <w:ind w:left="2268" w:hanging="1134"/>
      </w:pPr>
      <w:r w:rsidRPr="00B713EE">
        <w:t>12</w:t>
      </w:r>
      <w:r w:rsidR="00C67B19">
        <w:t>.6</w:t>
      </w:r>
      <w:r w:rsidR="00C67B19">
        <w:tab/>
        <w:t>Par dérogation au paragraphe </w:t>
      </w:r>
      <w:r w:rsidRPr="00B713EE">
        <w:t>12.2, jusqu</w:t>
      </w:r>
      <w:r w:rsidR="007C2F80">
        <w:t>’</w:t>
      </w:r>
      <w:r w:rsidRPr="00B713EE">
        <w:t>au 1</w:t>
      </w:r>
      <w:r w:rsidRPr="00B713EE">
        <w:rPr>
          <w:vertAlign w:val="superscript"/>
        </w:rPr>
        <w:t>er</w:t>
      </w:r>
      <w:r w:rsidR="00C67B19">
        <w:t> </w:t>
      </w:r>
      <w:r w:rsidRPr="00B713EE">
        <w:t>avril 2020, des homologations de type pourront être accordées à de nouveaux types de véhicules ne respectant pas la couleur rouge pour les signaux avertissement que les mains ne sont pas sur le volant prescrits au paragraphe</w:t>
      </w:r>
      <w:r w:rsidR="00C67B19">
        <w:t> </w:t>
      </w:r>
      <w:r w:rsidRPr="00B713EE">
        <w:t>5.6.2.2.5, ou dont les affichages multi-informations du tableau de bord ne sont pas capables d</w:t>
      </w:r>
      <w:r w:rsidR="007C2F80">
        <w:t>’</w:t>
      </w:r>
      <w:r w:rsidRPr="00B713EE">
        <w:t>émettre des signaux d</w:t>
      </w:r>
      <w:r w:rsidR="007C2F80">
        <w:t>’</w:t>
      </w:r>
      <w:r w:rsidRPr="00B713EE">
        <w:t>avertissement rouges ou d</w:t>
      </w:r>
      <w:r w:rsidR="007C2F80">
        <w:t>’</w:t>
      </w:r>
      <w:r w:rsidRPr="00B713EE">
        <w:t>utiliser des témoins autonomes seulement.</w:t>
      </w:r>
      <w:r w:rsidR="00B8455E">
        <w:t> »</w:t>
      </w:r>
      <w:r w:rsidRPr="00B713EE">
        <w:t>.</w:t>
      </w:r>
    </w:p>
    <w:p w:rsidR="00CD04C1" w:rsidRPr="00B713EE" w:rsidRDefault="00CD04C1" w:rsidP="00B713EE">
      <w:pPr>
        <w:pStyle w:val="SingleTxtG"/>
      </w:pPr>
      <w:r w:rsidRPr="00B713EE">
        <w:rPr>
          <w:i/>
        </w:rPr>
        <w:t>Annexe 2</w:t>
      </w:r>
      <w:r w:rsidRPr="00D87F5C">
        <w:t>,</w:t>
      </w:r>
      <w:r w:rsidRPr="00B713EE">
        <w:t xml:space="preserve"> modifier les dispositions relatives au ma</w:t>
      </w:r>
      <w:r w:rsidR="00C67B19">
        <w:t>rquage correspondant à la série </w:t>
      </w:r>
      <w:r w:rsidR="00B90B28">
        <w:t>02 d</w:t>
      </w:r>
      <w:r w:rsidR="007C2F80">
        <w:t>’</w:t>
      </w:r>
      <w:r w:rsidR="00B90B28">
        <w:t>amendements </w:t>
      </w:r>
      <w:r w:rsidRPr="00B713EE">
        <w:t xml:space="preserve">: </w:t>
      </w:r>
      <w:r w:rsidRPr="00B713EE">
        <w:rPr>
          <w:i/>
        </w:rPr>
        <w:t xml:space="preserve">Remplacer </w:t>
      </w:r>
      <w:r w:rsidR="00B8455E">
        <w:t>« </w:t>
      </w:r>
      <w:r w:rsidRPr="00B713EE">
        <w:t>01</w:t>
      </w:r>
      <w:r w:rsidR="00B8455E">
        <w:t> »</w:t>
      </w:r>
      <w:r w:rsidRPr="00B713EE">
        <w:t xml:space="preserve"> </w:t>
      </w:r>
      <w:r w:rsidRPr="00B713EE">
        <w:rPr>
          <w:i/>
        </w:rPr>
        <w:t>par</w:t>
      </w:r>
      <w:r w:rsidRPr="00B713EE">
        <w:t xml:space="preserve"> </w:t>
      </w:r>
      <w:r w:rsidR="00B8455E">
        <w:t>« </w:t>
      </w:r>
      <w:r w:rsidRPr="00B713EE">
        <w:t>02</w:t>
      </w:r>
      <w:r w:rsidR="00B8455E">
        <w:t> »</w:t>
      </w:r>
      <w:r w:rsidR="00C67B19">
        <w:t xml:space="preserve"> (5 </w:t>
      </w:r>
      <w:r w:rsidRPr="00B713EE">
        <w:t>fois)</w:t>
      </w:r>
    </w:p>
    <w:p w:rsidR="00CD04C1" w:rsidRPr="00B713EE" w:rsidRDefault="00CD04C1" w:rsidP="00B713EE">
      <w:pPr>
        <w:pStyle w:val="SingleTxtG"/>
        <w:rPr>
          <w:i/>
        </w:rPr>
      </w:pPr>
      <w:r w:rsidRPr="00B713EE">
        <w:rPr>
          <w:i/>
        </w:rPr>
        <w:t>Ajouter une nouvelle annexe 8</w:t>
      </w:r>
      <w:r w:rsidRPr="00C67B19">
        <w:t>,</w:t>
      </w:r>
      <w:r w:rsidRPr="00B713EE">
        <w:rPr>
          <w:i/>
        </w:rPr>
        <w:t xml:space="preserve"> </w:t>
      </w:r>
      <w:r w:rsidRPr="00B713EE">
        <w:t>ainsi c</w:t>
      </w:r>
      <w:r w:rsidR="00B90B28">
        <w:t>onçue </w:t>
      </w:r>
      <w:r w:rsidRPr="00B713EE">
        <w:t>:</w:t>
      </w:r>
    </w:p>
    <w:p w:rsidR="00CD04C1" w:rsidRPr="00B713EE" w:rsidRDefault="00186840" w:rsidP="002A0E10">
      <w:pPr>
        <w:pStyle w:val="HChG"/>
      </w:pPr>
      <w:r>
        <w:t>« </w:t>
      </w:r>
      <w:r w:rsidR="00CD04C1" w:rsidRPr="00B713EE">
        <w:t>Annexe 8</w:t>
      </w:r>
    </w:p>
    <w:p w:rsidR="00CD04C1" w:rsidRPr="00B713EE" w:rsidRDefault="00CD04C1" w:rsidP="002A0E10">
      <w:pPr>
        <w:pStyle w:val="HChG"/>
      </w:pPr>
      <w:r w:rsidRPr="00B713EE">
        <w:tab/>
      </w:r>
      <w:r w:rsidRPr="00B713EE">
        <w:tab/>
        <w:t>Prescriptions d</w:t>
      </w:r>
      <w:r w:rsidR="007C2F80">
        <w:t>’</w:t>
      </w:r>
      <w:r w:rsidRPr="00B713EE">
        <w:t>essai relatives aux fonctions de direction corrective et de d</w:t>
      </w:r>
      <w:r w:rsidR="00722588">
        <w:t>irection à commande automatique</w:t>
      </w:r>
    </w:p>
    <w:p w:rsidR="00CD04C1" w:rsidRPr="00B713EE" w:rsidRDefault="002A0E10" w:rsidP="00E67EC5">
      <w:pPr>
        <w:pStyle w:val="SingleTxtG"/>
        <w:ind w:left="2268" w:hanging="1134"/>
      </w:pPr>
      <w:r>
        <w:t>1.</w:t>
      </w:r>
      <w:r w:rsidR="00CD04C1" w:rsidRPr="00B713EE">
        <w:tab/>
        <w:t xml:space="preserve">Dispositions générales </w:t>
      </w:r>
    </w:p>
    <w:p w:rsidR="00CD04C1" w:rsidRPr="00B713EE" w:rsidRDefault="00CD04C1" w:rsidP="002A0E10">
      <w:pPr>
        <w:pStyle w:val="SingleTxtG"/>
        <w:ind w:left="2268"/>
      </w:pPr>
      <w:r w:rsidRPr="00B713EE">
        <w:t>Les véhicules équipés de FDC et/ou de FDCA doivent satisfaire aux prescriptions d</w:t>
      </w:r>
      <w:r w:rsidR="007C2F80">
        <w:t>’</w:t>
      </w:r>
      <w:r w:rsidRPr="00B713EE">
        <w:t>essai appropriées de la présente annexe.</w:t>
      </w:r>
    </w:p>
    <w:p w:rsidR="00CD04C1" w:rsidRPr="00B713EE" w:rsidRDefault="00CD04C1" w:rsidP="00E67EC5">
      <w:pPr>
        <w:pStyle w:val="SingleTxtG"/>
        <w:ind w:left="2268" w:hanging="1134"/>
      </w:pPr>
      <w:r w:rsidRPr="00B713EE">
        <w:t>2.</w:t>
      </w:r>
      <w:r w:rsidRPr="00B713EE">
        <w:tab/>
        <w:t>Conditions d</w:t>
      </w:r>
      <w:r w:rsidR="007C2F80">
        <w:t>’</w:t>
      </w:r>
      <w:r w:rsidRPr="00B713EE">
        <w:t xml:space="preserve">essai </w:t>
      </w:r>
    </w:p>
    <w:p w:rsidR="00CD04C1" w:rsidRPr="00B713EE" w:rsidRDefault="00CD04C1" w:rsidP="002A0E10">
      <w:pPr>
        <w:pStyle w:val="SingleTxtG"/>
        <w:ind w:left="2268"/>
      </w:pPr>
      <w:r w:rsidRPr="00B713EE">
        <w:t>Les essais doivent se dérouler sur une chaussée plane et sèche en bitume ou en béton offrant une bonne adhérence. La température ambia</w:t>
      </w:r>
      <w:r w:rsidR="00C67B19">
        <w:t>nte doit être comprise entre 0° C et 45° </w:t>
      </w:r>
      <w:r w:rsidRPr="00B713EE">
        <w:t>C.</w:t>
      </w:r>
    </w:p>
    <w:p w:rsidR="00CD04C1" w:rsidRPr="00B713EE" w:rsidRDefault="00CD04C1" w:rsidP="00E67EC5">
      <w:pPr>
        <w:pStyle w:val="SingleTxtG"/>
        <w:ind w:left="2268" w:hanging="1134"/>
      </w:pPr>
      <w:r w:rsidRPr="00B713EE">
        <w:t>2.1</w:t>
      </w:r>
      <w:r w:rsidRPr="00B713EE">
        <w:tab/>
        <w:t xml:space="preserve">Marquage des voies </w:t>
      </w:r>
    </w:p>
    <w:p w:rsidR="00CD04C1" w:rsidRPr="00B713EE" w:rsidRDefault="00CD04C1" w:rsidP="002A0E10">
      <w:pPr>
        <w:pStyle w:val="SingleTxtG"/>
        <w:ind w:left="2268"/>
      </w:pPr>
      <w:r w:rsidRPr="00B713EE">
        <w:t>Le marquage des voies sur la route utilisée pour les essais doit être conforme aux prescriptions de l</w:t>
      </w:r>
      <w:r w:rsidR="007C2F80">
        <w:t>’</w:t>
      </w:r>
      <w:r w:rsidRPr="00B713EE">
        <w:t xml:space="preserve">annexe 3 du Règlement </w:t>
      </w:r>
      <w:r w:rsidR="00B8455E">
        <w:rPr>
          <w:rFonts w:eastAsia="MS Mincho"/>
        </w:rPr>
        <w:t>n</w:t>
      </w:r>
      <w:r w:rsidR="00B8455E">
        <w:rPr>
          <w:rFonts w:eastAsia="MS Mincho"/>
          <w:vertAlign w:val="superscript"/>
        </w:rPr>
        <w:t>o</w:t>
      </w:r>
      <w:r w:rsidR="00B8455E">
        <w:t> </w:t>
      </w:r>
      <w:r w:rsidRPr="00B713EE">
        <w:t>130. Le marquage doit être en bon état et d</w:t>
      </w:r>
      <w:r w:rsidR="007C2F80">
        <w:t>’</w:t>
      </w:r>
      <w:r w:rsidRPr="00B713EE">
        <w:t>un matériau se conformant à la norme relative au marquage visible des voies. La configuration du marquage utilisé pour les essais doit être consignée dans le procès-verbal d</w:t>
      </w:r>
      <w:r w:rsidR="007C2F80">
        <w:t>’</w:t>
      </w:r>
      <w:r w:rsidRPr="00B713EE">
        <w:t>essai.</w:t>
      </w:r>
    </w:p>
    <w:p w:rsidR="00CD04C1" w:rsidRPr="00B713EE" w:rsidRDefault="00CD04C1" w:rsidP="002A0E10">
      <w:pPr>
        <w:pStyle w:val="SingleTxtG"/>
        <w:ind w:left="2268"/>
      </w:pPr>
      <w:r w:rsidRPr="00B713EE">
        <w:t>Pour les besoins des essais de la présente annexe, la largeur de la v</w:t>
      </w:r>
      <w:r w:rsidR="00C67B19">
        <w:t>oie doit être au minimum de 3,5 </w:t>
      </w:r>
      <w:r w:rsidRPr="00B713EE">
        <w:t xml:space="preserve">m. </w:t>
      </w:r>
    </w:p>
    <w:p w:rsidR="00CD04C1" w:rsidRPr="00B713EE" w:rsidRDefault="00CD04C1" w:rsidP="002A0E10">
      <w:pPr>
        <w:pStyle w:val="SingleTxtG"/>
        <w:ind w:left="2268"/>
      </w:pPr>
      <w:r w:rsidRPr="00B713EE">
        <w:t>L</w:t>
      </w:r>
      <w:r w:rsidR="007C2F80">
        <w:t>’</w:t>
      </w:r>
      <w:r w:rsidRPr="00B713EE">
        <w:t>essai doit être exécuté dans des conditions de visibilité qui assurent une conduite sûre à la vitesse d</w:t>
      </w:r>
      <w:r w:rsidR="007C2F80">
        <w:t>’</w:t>
      </w:r>
      <w:r w:rsidRPr="00B713EE">
        <w:t xml:space="preserve">essai requise. </w:t>
      </w:r>
    </w:p>
    <w:p w:rsidR="00CD04C1" w:rsidRPr="00B713EE" w:rsidRDefault="00CD04C1" w:rsidP="002A0E10">
      <w:pPr>
        <w:pStyle w:val="SingleTxtG"/>
        <w:ind w:left="2268"/>
      </w:pPr>
      <w:r w:rsidRPr="00B713EE">
        <w:t>Le constructeur doit démontrer, documents à l</w:t>
      </w:r>
      <w:r w:rsidR="007C2F80">
        <w:t>’</w:t>
      </w:r>
      <w:r w:rsidRPr="00B713EE">
        <w:t>appui, la conformité avec tous les autres marquages des v</w:t>
      </w:r>
      <w:r w:rsidR="00C67B19">
        <w:t>oies qui figurent dans l</w:t>
      </w:r>
      <w:r w:rsidR="007C2F80">
        <w:t>’</w:t>
      </w:r>
      <w:r w:rsidR="00C67B19">
        <w:t>annexe </w:t>
      </w:r>
      <w:r w:rsidRPr="00B713EE">
        <w:t xml:space="preserve">3 du Règlement </w:t>
      </w:r>
      <w:r w:rsidR="00FC5FE9">
        <w:rPr>
          <w:rFonts w:eastAsia="MS Mincho"/>
        </w:rPr>
        <w:t>n</w:t>
      </w:r>
      <w:r w:rsidR="00FC5FE9">
        <w:rPr>
          <w:rFonts w:eastAsia="MS Mincho"/>
          <w:vertAlign w:val="superscript"/>
        </w:rPr>
        <w:t>o</w:t>
      </w:r>
      <w:r w:rsidR="00FC5FE9">
        <w:t> </w:t>
      </w:r>
      <w:r w:rsidRPr="00B713EE">
        <w:t>130. Tous les documents utilisés à cet effet doivent être joints au procès-verbal d</w:t>
      </w:r>
      <w:r w:rsidR="007C2F80">
        <w:t>’</w:t>
      </w:r>
      <w:r w:rsidRPr="00B713EE">
        <w:t>essai.</w:t>
      </w:r>
    </w:p>
    <w:p w:rsidR="00CD04C1" w:rsidRPr="00B713EE" w:rsidRDefault="00CD04C1" w:rsidP="00E67EC5">
      <w:pPr>
        <w:pStyle w:val="SingleTxtG"/>
        <w:ind w:left="2268" w:hanging="1134"/>
      </w:pPr>
      <w:r w:rsidRPr="00B713EE">
        <w:t>2.2</w:t>
      </w:r>
      <w:r w:rsidRPr="00B713EE">
        <w:tab/>
        <w:t>Tolérances</w:t>
      </w:r>
    </w:p>
    <w:p w:rsidR="00CD04C1" w:rsidRPr="00B713EE" w:rsidRDefault="00CD04C1" w:rsidP="002A0E10">
      <w:pPr>
        <w:pStyle w:val="SingleTxtG"/>
        <w:ind w:left="2268"/>
      </w:pPr>
      <w:r w:rsidRPr="00B713EE">
        <w:t>Toutes les vitesses du véhicule spécifiées pour les essais décrits dans la présente annexe doivent être resp</w:t>
      </w:r>
      <w:r w:rsidR="00C67B19">
        <w:t>ectées avec une tolérance de ±2 </w:t>
      </w:r>
      <w:r w:rsidRPr="00B713EE">
        <w:t xml:space="preserve">km/h. </w:t>
      </w:r>
    </w:p>
    <w:p w:rsidR="00CD04C1" w:rsidRPr="00B713EE" w:rsidRDefault="00186840" w:rsidP="00E67EC5">
      <w:pPr>
        <w:pStyle w:val="SingleTxtG"/>
        <w:ind w:left="2268" w:hanging="1134"/>
      </w:pPr>
      <w:r>
        <w:t>2.3</w:t>
      </w:r>
      <w:r w:rsidR="00CD04C1" w:rsidRPr="00B713EE">
        <w:tab/>
        <w:t xml:space="preserve">État du véhicule </w:t>
      </w:r>
    </w:p>
    <w:p w:rsidR="00CD04C1" w:rsidRPr="00B713EE" w:rsidRDefault="00186840" w:rsidP="00E67EC5">
      <w:pPr>
        <w:pStyle w:val="SingleTxtG"/>
        <w:ind w:left="2268" w:hanging="1134"/>
      </w:pPr>
      <w:r>
        <w:t>2.3.1</w:t>
      </w:r>
      <w:r w:rsidR="00CD04C1" w:rsidRPr="00B713EE">
        <w:tab/>
        <w:t>Masse d</w:t>
      </w:r>
      <w:r w:rsidR="007C2F80">
        <w:t>’</w:t>
      </w:r>
      <w:r w:rsidR="00CD04C1" w:rsidRPr="00B713EE">
        <w:t xml:space="preserve">essai </w:t>
      </w:r>
    </w:p>
    <w:p w:rsidR="00CD04C1" w:rsidRPr="00B713EE" w:rsidRDefault="00CD04C1" w:rsidP="002A0E10">
      <w:pPr>
        <w:pStyle w:val="SingleTxtG"/>
        <w:ind w:left="2268"/>
      </w:pPr>
      <w:r w:rsidRPr="00B713EE">
        <w:t>Le véhicule doit être soumis à essai dans un état de charge convenu entre le constructeur et le service technique. Aucune modification ne doit être apportée à la charge une fois que l</w:t>
      </w:r>
      <w:r w:rsidR="007C2F80">
        <w:t>’</w:t>
      </w:r>
      <w:r w:rsidRPr="00B713EE">
        <w:t>essai a commencé. Le constructeur doit démontrer, documents à l</w:t>
      </w:r>
      <w:r w:rsidR="007C2F80">
        <w:t>’</w:t>
      </w:r>
      <w:r w:rsidRPr="00B713EE">
        <w:t>appui, que le système fonctionne dans tous les états de charge.</w:t>
      </w:r>
    </w:p>
    <w:p w:rsidR="00CD04C1" w:rsidRPr="00B713EE" w:rsidRDefault="00186840" w:rsidP="00E67EC5">
      <w:pPr>
        <w:pStyle w:val="SingleTxtG"/>
        <w:ind w:left="2268" w:hanging="1134"/>
      </w:pPr>
      <w:r>
        <w:t>2.3.2</w:t>
      </w:r>
      <w:r w:rsidR="00CD04C1" w:rsidRPr="00B713EE">
        <w:tab/>
        <w:t>Le véhicule doit être soumis à l</w:t>
      </w:r>
      <w:r w:rsidR="007C2F80">
        <w:t>’</w:t>
      </w:r>
      <w:r w:rsidR="00CD04C1" w:rsidRPr="00B713EE">
        <w:t xml:space="preserve">essai avec des pneumatiques gonflés à la pression recommandée par le constructeur. </w:t>
      </w:r>
    </w:p>
    <w:p w:rsidR="00CD04C1" w:rsidRPr="00B713EE" w:rsidRDefault="00CD04C1" w:rsidP="00E67EC5">
      <w:pPr>
        <w:pStyle w:val="SingleTxtG"/>
        <w:ind w:left="2268" w:hanging="1134"/>
      </w:pPr>
      <w:r w:rsidRPr="00B713EE">
        <w:rPr>
          <w:rFonts w:eastAsiaTheme="minorHAnsi" w:cstheme="minorBidi"/>
        </w:rPr>
        <w:t>2.4</w:t>
      </w:r>
      <w:r w:rsidRPr="00B713EE">
        <w:rPr>
          <w:rFonts w:eastAsiaTheme="minorHAnsi" w:cstheme="minorBidi"/>
        </w:rPr>
        <w:tab/>
        <w:t xml:space="preserve">Accélération latérale </w:t>
      </w:r>
    </w:p>
    <w:p w:rsidR="00CD04C1" w:rsidRPr="00B713EE" w:rsidRDefault="00CD04C1" w:rsidP="002A0E10">
      <w:pPr>
        <w:pStyle w:val="SingleTxtG"/>
        <w:ind w:left="2268"/>
      </w:pPr>
      <w:r w:rsidRPr="00B713EE">
        <w:t>La position représentant le centre de gravité, à laquelle il faut mesurer l</w:t>
      </w:r>
      <w:r w:rsidR="007C2F80">
        <w:t>’</w:t>
      </w:r>
      <w:r w:rsidRPr="00B713EE">
        <w:t>accélération latérale, doit être déterminée d</w:t>
      </w:r>
      <w:r w:rsidR="007C2F80">
        <w:t>’</w:t>
      </w:r>
      <w:r w:rsidRPr="00B713EE">
        <w:t>un commun accord entre le constructeur et le service technique. Cette position doit être consignée dans le procès-verbal d</w:t>
      </w:r>
      <w:r w:rsidR="007C2F80">
        <w:t>’</w:t>
      </w:r>
      <w:r w:rsidRPr="00B713EE">
        <w:t>essai.</w:t>
      </w:r>
    </w:p>
    <w:p w:rsidR="00CD04C1" w:rsidRPr="00B713EE" w:rsidRDefault="00CD04C1" w:rsidP="002A0E10">
      <w:pPr>
        <w:pStyle w:val="SingleTxtG"/>
        <w:ind w:left="2268"/>
      </w:pPr>
      <w:r w:rsidRPr="00B713EE">
        <w:t>On doit mesurer l</w:t>
      </w:r>
      <w:r w:rsidR="007C2F80">
        <w:t>’</w:t>
      </w:r>
      <w:r w:rsidRPr="00B713EE">
        <w:t xml:space="preserve">accélération latérale sans tenir compte des effets additionnels dus aux mouvements de la carrosserie (par exemple le roulis de la masse suspendue). </w:t>
      </w:r>
    </w:p>
    <w:p w:rsidR="00CD04C1" w:rsidRPr="00B713EE" w:rsidRDefault="00C67B19" w:rsidP="00E67EC5">
      <w:pPr>
        <w:pStyle w:val="SingleTxtG"/>
        <w:ind w:left="2268" w:hanging="1134"/>
      </w:pPr>
      <w:r>
        <w:t>3.</w:t>
      </w:r>
      <w:r>
        <w:tab/>
        <w:t>Procédures d</w:t>
      </w:r>
      <w:r w:rsidR="007C2F80">
        <w:t>’</w:t>
      </w:r>
      <w:r>
        <w:t>essai</w:t>
      </w:r>
    </w:p>
    <w:p w:rsidR="00CD04C1" w:rsidRPr="00B713EE" w:rsidRDefault="00CD04C1" w:rsidP="00E67EC5">
      <w:pPr>
        <w:pStyle w:val="SingleTxtG"/>
        <w:ind w:left="2268" w:hanging="1134"/>
      </w:pPr>
      <w:r w:rsidRPr="00B713EE">
        <w:t>3.1</w:t>
      </w:r>
      <w:r w:rsidRPr="00B713EE">
        <w:tab/>
        <w:t>Essais de la fonction de direction corrective (FDC)</w:t>
      </w:r>
    </w:p>
    <w:p w:rsidR="00CD04C1" w:rsidRPr="00B713EE" w:rsidRDefault="00CD04C1" w:rsidP="002A0E10">
      <w:pPr>
        <w:pStyle w:val="SingleTxtG"/>
        <w:ind w:left="2268"/>
      </w:pPr>
      <w:r w:rsidRPr="00B713EE">
        <w:t>L</w:t>
      </w:r>
      <w:r w:rsidR="007C2F80">
        <w:t>’</w:t>
      </w:r>
      <w:r w:rsidRPr="00B713EE">
        <w:t>essai suivant s</w:t>
      </w:r>
      <w:r w:rsidR="007C2F80">
        <w:t>’</w:t>
      </w:r>
      <w:r w:rsidRPr="00B713EE">
        <w:t>applique à la fonction de direction corrective d</w:t>
      </w:r>
      <w:r w:rsidR="00C67B19">
        <w:t>éfinie à l</w:t>
      </w:r>
      <w:r w:rsidR="007C2F80">
        <w:t>’</w:t>
      </w:r>
      <w:r w:rsidR="00C67B19">
        <w:t>alinéa </w:t>
      </w:r>
      <w:r w:rsidRPr="00B713EE">
        <w:t>c) de la déf</w:t>
      </w:r>
      <w:r w:rsidR="00C67B19">
        <w:t>inition de la FDC au paragraphe </w:t>
      </w:r>
      <w:r w:rsidRPr="00B713EE">
        <w:t xml:space="preserve">2.3.4.2 du présent Règlement. </w:t>
      </w:r>
    </w:p>
    <w:p w:rsidR="00CD04C1" w:rsidRPr="00B713EE" w:rsidRDefault="00CD04C1" w:rsidP="00E67EC5">
      <w:pPr>
        <w:pStyle w:val="SingleTxtG"/>
        <w:ind w:left="2268" w:hanging="1134"/>
      </w:pPr>
      <w:r w:rsidRPr="00B713EE">
        <w:t>3.1.1</w:t>
      </w:r>
      <w:r w:rsidRPr="00B713EE">
        <w:tab/>
        <w:t>Essai d</w:t>
      </w:r>
      <w:r w:rsidR="007C2F80">
        <w:t>’</w:t>
      </w:r>
      <w:r w:rsidRPr="00B713EE">
        <w:t>alerte de la FDC</w:t>
      </w:r>
    </w:p>
    <w:p w:rsidR="00CD04C1" w:rsidRPr="00B713EE" w:rsidRDefault="00CD04C1" w:rsidP="00E67EC5">
      <w:pPr>
        <w:pStyle w:val="SingleTxtG"/>
        <w:ind w:left="2268" w:hanging="1134"/>
      </w:pPr>
      <w:r w:rsidRPr="00B713EE">
        <w:t>3.1.1.1</w:t>
      </w:r>
      <w:r w:rsidRPr="00B713EE">
        <w:tab/>
        <w:t>Le véhicule doit être conduit avec FDC activée sur une route comportant des marquages de chaque côté de la voie. Dans le cas d</w:t>
      </w:r>
      <w:r w:rsidR="007C2F80">
        <w:t>’</w:t>
      </w:r>
      <w:r w:rsidRPr="00B713EE">
        <w:t>un système dont les interventions sont uniquement basées sur l</w:t>
      </w:r>
      <w:r w:rsidR="007C2F80">
        <w:t>’</w:t>
      </w:r>
      <w:r w:rsidRPr="00B713EE">
        <w:t>évaluation de la présence et de l</w:t>
      </w:r>
      <w:r w:rsidR="007C2F80">
        <w:t>’</w:t>
      </w:r>
      <w:r w:rsidRPr="00B713EE">
        <w:t xml:space="preserve">emplacement du marquage ou des limites de la voie, le véhicule doit être conduit sur une route délimitée de la manière indiquée par le constructeur (par exemple par des bords). </w:t>
      </w:r>
    </w:p>
    <w:p w:rsidR="00CD04C1" w:rsidRPr="00B713EE" w:rsidRDefault="00CD04C1" w:rsidP="002A0E10">
      <w:pPr>
        <w:pStyle w:val="SingleTxtG"/>
        <w:ind w:left="2268"/>
      </w:pPr>
      <w:r w:rsidRPr="00B713EE">
        <w:t>Les conditions d</w:t>
      </w:r>
      <w:r w:rsidR="007C2F80">
        <w:t>’</w:t>
      </w:r>
      <w:r w:rsidRPr="00B713EE">
        <w:t>essai et la vitesse d</w:t>
      </w:r>
      <w:r w:rsidR="007C2F80">
        <w:t>’</w:t>
      </w:r>
      <w:r w:rsidRPr="00B713EE">
        <w:t>essai du véhicule doivent être dans la plage de fonctionnement du système.</w:t>
      </w:r>
    </w:p>
    <w:p w:rsidR="00CD04C1" w:rsidRPr="00B713EE" w:rsidRDefault="00CD04C1" w:rsidP="002A0E10">
      <w:pPr>
        <w:pStyle w:val="SingleTxtG"/>
        <w:ind w:left="2268"/>
      </w:pPr>
      <w:r w:rsidRPr="00B713EE">
        <w:t>Lors de l</w:t>
      </w:r>
      <w:r w:rsidR="007C2F80">
        <w:t>’</w:t>
      </w:r>
      <w:r w:rsidRPr="00B713EE">
        <w:t>essai, il faut enregistrer la durée des interventions de la FDC ainsi que celles des signaux d</w:t>
      </w:r>
      <w:r w:rsidR="007C2F80">
        <w:t>’</w:t>
      </w:r>
      <w:r w:rsidRPr="00B713EE">
        <w:t>avertissement visuels et sonores.</w:t>
      </w:r>
    </w:p>
    <w:p w:rsidR="00CD04C1" w:rsidRPr="00B713EE" w:rsidRDefault="00CD04C1" w:rsidP="002A0E10">
      <w:pPr>
        <w:pStyle w:val="SingleTxtG"/>
        <w:ind w:left="2268"/>
      </w:pPr>
      <w:r w:rsidRPr="00B713EE">
        <w:t>D</w:t>
      </w:r>
      <w:r w:rsidR="00C67B19">
        <w:t>ans le cas décrit au paragraphe </w:t>
      </w:r>
      <w:r w:rsidRPr="00B713EE">
        <w:t xml:space="preserve">5.1.6.1.2.1 du présent Règlement, le véhicule doit être conduit de telle manière que ses tentatives de quitter sa voie provoquant des interventions de </w:t>
      </w:r>
      <w:r w:rsidR="00C67B19">
        <w:t>la FDC ne durent pas plus de 10 </w:t>
      </w:r>
      <w:r w:rsidRPr="00B713EE">
        <w:t>s (pour les véhicules des catégories M</w:t>
      </w:r>
      <w:r w:rsidRPr="00B713EE">
        <w:rPr>
          <w:vertAlign w:val="subscript"/>
        </w:rPr>
        <w:t>1</w:t>
      </w:r>
      <w:r w:rsidRPr="00B713EE">
        <w:t>, N</w:t>
      </w:r>
      <w:r w:rsidRPr="00B713EE">
        <w:rPr>
          <w:vertAlign w:val="subscript"/>
        </w:rPr>
        <w:t>1</w:t>
      </w:r>
      <w:r w:rsidR="00C67B19">
        <w:t>) ou 30 </w:t>
      </w:r>
      <w:r w:rsidRPr="00B713EE">
        <w:t>s (pour ceux des catégories M</w:t>
      </w:r>
      <w:r w:rsidRPr="00B713EE">
        <w:rPr>
          <w:vertAlign w:val="subscript"/>
        </w:rPr>
        <w:t>2</w:t>
      </w:r>
      <w:r w:rsidRPr="00B713EE">
        <w:t>, M</w:t>
      </w:r>
      <w:r w:rsidRPr="00B713EE">
        <w:rPr>
          <w:vertAlign w:val="subscript"/>
        </w:rPr>
        <w:t>3</w:t>
      </w:r>
      <w:r w:rsidRPr="00B713EE">
        <w:t>, N</w:t>
      </w:r>
      <w:r w:rsidRPr="00B713EE">
        <w:rPr>
          <w:vertAlign w:val="subscript"/>
        </w:rPr>
        <w:t xml:space="preserve">2 </w:t>
      </w:r>
      <w:r w:rsidRPr="00B713EE">
        <w:t>et N</w:t>
      </w:r>
      <w:r w:rsidRPr="00B713EE">
        <w:rPr>
          <w:vertAlign w:val="subscript"/>
        </w:rPr>
        <w:t>3</w:t>
      </w:r>
      <w:r w:rsidRPr="00B713EE">
        <w:t>). Si un tel essai n</w:t>
      </w:r>
      <w:r w:rsidR="007C2F80">
        <w:t>’</w:t>
      </w:r>
      <w:r w:rsidRPr="00B713EE">
        <w:t>est pas possible en pratique, en raison par exemple des limites des centres d</w:t>
      </w:r>
      <w:r w:rsidR="007C2F80">
        <w:t>’</w:t>
      </w:r>
      <w:r w:rsidRPr="00B713EE">
        <w:t>essai, cette prescription peut, avec l</w:t>
      </w:r>
      <w:r w:rsidR="007C2F80">
        <w:t>’</w:t>
      </w:r>
      <w:r w:rsidRPr="00B713EE">
        <w:t>accord de l</w:t>
      </w:r>
      <w:r w:rsidR="007C2F80">
        <w:t>’</w:t>
      </w:r>
      <w:r w:rsidRPr="00B713EE">
        <w:t>autorité d</w:t>
      </w:r>
      <w:r w:rsidR="007C2F80">
        <w:t>’</w:t>
      </w:r>
      <w:r w:rsidRPr="00B713EE">
        <w:t>homologation de type, être remplie à l</w:t>
      </w:r>
      <w:r w:rsidR="007C2F80">
        <w:t>’</w:t>
      </w:r>
      <w:r w:rsidRPr="00B713EE">
        <w:t>aide de documents.</w:t>
      </w:r>
    </w:p>
    <w:p w:rsidR="00CD04C1" w:rsidRPr="00B713EE" w:rsidRDefault="00CD04C1" w:rsidP="002A0E10">
      <w:pPr>
        <w:pStyle w:val="SingleTxtG"/>
        <w:ind w:left="2268"/>
      </w:pPr>
      <w:r w:rsidRPr="00B713EE">
        <w:t>Les prescripti</w:t>
      </w:r>
      <w:r w:rsidR="00722588">
        <w:t>ons d</w:t>
      </w:r>
      <w:r w:rsidR="007C2F80">
        <w:t>’</w:t>
      </w:r>
      <w:r w:rsidR="00722588">
        <w:t>essai sont satisfaites si </w:t>
      </w:r>
      <w:r w:rsidRPr="00B713EE">
        <w:t>:</w:t>
      </w:r>
    </w:p>
    <w:p w:rsidR="00CD04C1" w:rsidRPr="00B713EE" w:rsidRDefault="00CD04C1" w:rsidP="002A0E10">
      <w:pPr>
        <w:pStyle w:val="SingleTxtG"/>
        <w:ind w:left="2835" w:hanging="567"/>
      </w:pPr>
      <w:r w:rsidRPr="00B713EE">
        <w:t>a)</w:t>
      </w:r>
      <w:r w:rsidRPr="00B713EE">
        <w:tab/>
        <w:t>L</w:t>
      </w:r>
      <w:r w:rsidR="007C2F80">
        <w:t>’</w:t>
      </w:r>
      <w:r w:rsidRPr="00B713EE">
        <w:t xml:space="preserve">avertissement </w:t>
      </w:r>
      <w:r w:rsidR="00C67B19">
        <w:t>sonore est émis au plus tard 10 </w:t>
      </w:r>
      <w:r w:rsidRPr="00B713EE">
        <w:t>s (pour les véhicules des catégories M</w:t>
      </w:r>
      <w:r w:rsidRPr="00B713EE">
        <w:rPr>
          <w:vertAlign w:val="subscript"/>
        </w:rPr>
        <w:t>1</w:t>
      </w:r>
      <w:r w:rsidRPr="00B713EE">
        <w:t>, N</w:t>
      </w:r>
      <w:r w:rsidRPr="00B713EE">
        <w:rPr>
          <w:vertAlign w:val="subscript"/>
        </w:rPr>
        <w:t>1</w:t>
      </w:r>
      <w:r w:rsidR="00C67B19">
        <w:t>) ou 30 </w:t>
      </w:r>
      <w:r w:rsidRPr="00B713EE">
        <w:t>s (pour ceux des catégories M</w:t>
      </w:r>
      <w:r w:rsidRPr="00B713EE">
        <w:rPr>
          <w:vertAlign w:val="subscript"/>
        </w:rPr>
        <w:t>2</w:t>
      </w:r>
      <w:r w:rsidRPr="00B713EE">
        <w:t>, M</w:t>
      </w:r>
      <w:r w:rsidRPr="00B713EE">
        <w:rPr>
          <w:vertAlign w:val="subscript"/>
        </w:rPr>
        <w:t>3</w:t>
      </w:r>
      <w:r w:rsidRPr="00B713EE">
        <w:t>, N</w:t>
      </w:r>
      <w:r w:rsidRPr="00B713EE">
        <w:rPr>
          <w:vertAlign w:val="subscript"/>
        </w:rPr>
        <w:t xml:space="preserve">2 </w:t>
      </w:r>
      <w:r w:rsidRPr="00B713EE">
        <w:t>et N</w:t>
      </w:r>
      <w:r w:rsidRPr="00B713EE">
        <w:rPr>
          <w:vertAlign w:val="subscript"/>
        </w:rPr>
        <w:t>3</w:t>
      </w:r>
      <w:r w:rsidRPr="00B713EE">
        <w:t>) après le début de l</w:t>
      </w:r>
      <w:r w:rsidR="007C2F80">
        <w:t>’</w:t>
      </w:r>
      <w:r w:rsidRPr="00B713EE">
        <w:t>intervention.</w:t>
      </w:r>
    </w:p>
    <w:p w:rsidR="00CD04C1" w:rsidRPr="00B713EE" w:rsidRDefault="00CD04C1" w:rsidP="002A0E10">
      <w:pPr>
        <w:pStyle w:val="SingleTxtG"/>
        <w:ind w:left="2268"/>
      </w:pPr>
      <w:r w:rsidRPr="00B713EE">
        <w:t>D</w:t>
      </w:r>
      <w:r w:rsidR="00C67B19">
        <w:t>ans le cas décrit au paragraphe </w:t>
      </w:r>
      <w:r w:rsidRPr="00B713EE">
        <w:t>5.1.6.1.2.2 du présent Règlement, le véhicule doit être conduit de telle manière que ses tentatives de quitter sa voie provoquent au moins trois interventions du système dan</w:t>
      </w:r>
      <w:r w:rsidR="00C67B19">
        <w:t>s un intervalle glissant de 180 </w:t>
      </w:r>
      <w:r w:rsidRPr="00B713EE">
        <w:t>s.</w:t>
      </w:r>
    </w:p>
    <w:p w:rsidR="00CD04C1" w:rsidRPr="00B713EE" w:rsidRDefault="00CD04C1" w:rsidP="002A0E10">
      <w:pPr>
        <w:pStyle w:val="SingleTxtG"/>
        <w:ind w:left="2268"/>
      </w:pPr>
      <w:r w:rsidRPr="00B713EE">
        <w:t>Les prescripti</w:t>
      </w:r>
      <w:r w:rsidR="00722588">
        <w:t>ons d</w:t>
      </w:r>
      <w:r w:rsidR="007C2F80">
        <w:t>’</w:t>
      </w:r>
      <w:r w:rsidR="00722588">
        <w:t>essai sont satisfaites si </w:t>
      </w:r>
      <w:r w:rsidRPr="00B713EE">
        <w:t>:</w:t>
      </w:r>
    </w:p>
    <w:p w:rsidR="00CD04C1" w:rsidRPr="00B713EE" w:rsidRDefault="00CD04C1" w:rsidP="002A0E10">
      <w:pPr>
        <w:pStyle w:val="SingleTxtG"/>
        <w:ind w:left="2835" w:hanging="567"/>
      </w:pPr>
      <w:r w:rsidRPr="00B713EE">
        <w:t>a)</w:t>
      </w:r>
      <w:r w:rsidRPr="00B713EE">
        <w:tab/>
        <w:t>Un signal d</w:t>
      </w:r>
      <w:r w:rsidR="007C2F80">
        <w:t>’</w:t>
      </w:r>
      <w:r w:rsidRPr="00B713EE">
        <w:t>avertissement visuel est émis pour chaque intervention, auss</w:t>
      </w:r>
      <w:r w:rsidR="00722588">
        <w:t>i longtemps qu</w:t>
      </w:r>
      <w:r w:rsidR="007C2F80">
        <w:t>’</w:t>
      </w:r>
      <w:r w:rsidR="00722588">
        <w:t>elle se poursuit ;</w:t>
      </w:r>
      <w:r w:rsidRPr="00B713EE">
        <w:t xml:space="preserve"> et</w:t>
      </w:r>
    </w:p>
    <w:p w:rsidR="00CD04C1" w:rsidRPr="00B713EE" w:rsidRDefault="00CD04C1" w:rsidP="002A0E10">
      <w:pPr>
        <w:pStyle w:val="SingleTxtG"/>
        <w:ind w:left="2835" w:hanging="567"/>
      </w:pPr>
      <w:r w:rsidRPr="00B713EE">
        <w:t>b)</w:t>
      </w:r>
      <w:r w:rsidRPr="00B713EE">
        <w:tab/>
        <w:t>Un signal d</w:t>
      </w:r>
      <w:r w:rsidR="007C2F80">
        <w:t>’</w:t>
      </w:r>
      <w:r w:rsidRPr="00B713EE">
        <w:t xml:space="preserve">avertissement sonore est émis lors de la deuxième </w:t>
      </w:r>
      <w:r w:rsidR="00722588">
        <w:t>et de la troisième intervention ;</w:t>
      </w:r>
      <w:r w:rsidRPr="00B713EE">
        <w:t xml:space="preserve"> et </w:t>
      </w:r>
    </w:p>
    <w:p w:rsidR="00CD04C1" w:rsidRPr="00B713EE" w:rsidRDefault="00CD04C1" w:rsidP="002A0E10">
      <w:pPr>
        <w:pStyle w:val="SingleTxtG"/>
        <w:ind w:left="2835" w:hanging="567"/>
      </w:pPr>
      <w:r w:rsidRPr="00B713EE">
        <w:t>c)</w:t>
      </w:r>
      <w:r w:rsidRPr="00B713EE">
        <w:tab/>
        <w:t>Le signal d</w:t>
      </w:r>
      <w:r w:rsidR="007C2F80">
        <w:t>’</w:t>
      </w:r>
      <w:r w:rsidRPr="00B713EE">
        <w:t>avertissement sonore émis lors de la troisième intervent</w:t>
      </w:r>
      <w:r w:rsidR="00AD513A">
        <w:t>ion est plus long d</w:t>
      </w:r>
      <w:r w:rsidR="007C2F80">
        <w:t>’</w:t>
      </w:r>
      <w:r w:rsidR="00AD513A">
        <w:t>au moins 10 </w:t>
      </w:r>
      <w:r w:rsidRPr="00B713EE">
        <w:t>s que celui de la deuxième intervention.</w:t>
      </w:r>
    </w:p>
    <w:p w:rsidR="00CD04C1" w:rsidRPr="00B713EE" w:rsidRDefault="00CD04C1" w:rsidP="00E67EC5">
      <w:pPr>
        <w:pStyle w:val="SingleTxtG"/>
        <w:ind w:left="2268" w:hanging="1134"/>
      </w:pPr>
      <w:r w:rsidRPr="00B713EE">
        <w:t>3.1.1.2</w:t>
      </w:r>
      <w:r w:rsidRPr="00B713EE">
        <w:tab/>
        <w:t>En outre, le constructeur doit démontrer à la satisfaction du service technique que les prescriptions é</w:t>
      </w:r>
      <w:r w:rsidR="00AD513A">
        <w:t>noncées aux paragraphes </w:t>
      </w:r>
      <w:r w:rsidRPr="00B713EE">
        <w:t>5.1.6.1.1 et 5.1.6.1.2 sont satisfaites dans toute la gamme de fonctionnement de la FDC. Cela peut se faire sur la base de documents appropriés joints au procès-verbal d</w:t>
      </w:r>
      <w:r w:rsidR="007C2F80">
        <w:t>’</w:t>
      </w:r>
      <w:r w:rsidRPr="00B713EE">
        <w:t>essai.</w:t>
      </w:r>
    </w:p>
    <w:p w:rsidR="00CD04C1" w:rsidRPr="00B713EE" w:rsidRDefault="00CD04C1" w:rsidP="00E67EC5">
      <w:pPr>
        <w:pStyle w:val="SingleTxtG"/>
        <w:ind w:left="2268" w:hanging="1134"/>
      </w:pPr>
      <w:r w:rsidRPr="00B713EE">
        <w:t>3.1.2</w:t>
      </w:r>
      <w:r w:rsidRPr="00B713EE">
        <w:tab/>
        <w:t xml:space="preserve">Essai de force de neutralisation </w:t>
      </w:r>
    </w:p>
    <w:p w:rsidR="00CD04C1" w:rsidRPr="00B713EE" w:rsidRDefault="00CD04C1" w:rsidP="00E67EC5">
      <w:pPr>
        <w:pStyle w:val="SingleTxtG"/>
        <w:ind w:left="2268" w:hanging="1134"/>
      </w:pPr>
      <w:r w:rsidRPr="00B713EE">
        <w:t>3.1.2.1</w:t>
      </w:r>
      <w:r w:rsidRPr="00B713EE">
        <w:tab/>
        <w:t xml:space="preserve">Le véhicule doit être conduit avec la FDC activée sur une route comportant des marquages de chaque côté de la voie. </w:t>
      </w:r>
    </w:p>
    <w:p w:rsidR="00CD04C1" w:rsidRPr="00B713EE" w:rsidRDefault="00CD04C1" w:rsidP="002A0E10">
      <w:pPr>
        <w:pStyle w:val="SingleTxtG"/>
        <w:ind w:left="2268"/>
      </w:pPr>
      <w:r w:rsidRPr="00B713EE">
        <w:t>Les conditions d</w:t>
      </w:r>
      <w:r w:rsidR="007C2F80">
        <w:t>’</w:t>
      </w:r>
      <w:r w:rsidRPr="00B713EE">
        <w:t>essai et la vitesse d</w:t>
      </w:r>
      <w:r w:rsidR="007C2F80">
        <w:t>’</w:t>
      </w:r>
      <w:r w:rsidRPr="00B713EE">
        <w:t>essai du véhicule doivent être dans la plage de fonctionnement du système.</w:t>
      </w:r>
    </w:p>
    <w:p w:rsidR="00CD04C1" w:rsidRPr="00B713EE" w:rsidRDefault="00CD04C1" w:rsidP="002A0E10">
      <w:pPr>
        <w:pStyle w:val="SingleTxtG"/>
        <w:ind w:left="2268"/>
        <w:rPr>
          <w:strike/>
        </w:rPr>
      </w:pPr>
      <w:r w:rsidRPr="00B713EE">
        <w:t>Le véhicule doit être conduit de telle manière que ses tentatives de quitter sa voie pro</w:t>
      </w:r>
      <w:r w:rsidR="00AD513A">
        <w:t>voque l</w:t>
      </w:r>
      <w:r w:rsidR="007C2F80">
        <w:t>’</w:t>
      </w:r>
      <w:r w:rsidR="00AD513A">
        <w:t>intervention de la FDC.</w:t>
      </w:r>
      <w:r w:rsidRPr="00B713EE">
        <w:t xml:space="preserve"> Lors de l</w:t>
      </w:r>
      <w:r w:rsidR="007C2F80">
        <w:t>’</w:t>
      </w:r>
      <w:r w:rsidRPr="00B713EE">
        <w:t>intervention, le conducteur doit appliquer une force sur la commande de direction pour neutraliser l</w:t>
      </w:r>
      <w:r w:rsidR="007C2F80">
        <w:t>’</w:t>
      </w:r>
      <w:r w:rsidRPr="00B713EE">
        <w:t>intervention.</w:t>
      </w:r>
    </w:p>
    <w:p w:rsidR="00CD04C1" w:rsidRPr="00B713EE" w:rsidRDefault="00CD04C1" w:rsidP="002A0E10">
      <w:pPr>
        <w:pStyle w:val="SingleTxtG"/>
        <w:ind w:left="2268"/>
      </w:pPr>
      <w:r w:rsidRPr="00B713EE">
        <w:t xml:space="preserve">La force appliquée par le conducteur sur la commande de direction doit être enregistrée. </w:t>
      </w:r>
    </w:p>
    <w:p w:rsidR="00CD04C1" w:rsidRPr="00B713EE" w:rsidRDefault="00CD04C1" w:rsidP="00E67EC5">
      <w:pPr>
        <w:pStyle w:val="SingleTxtG"/>
        <w:ind w:left="2268" w:hanging="1134"/>
      </w:pPr>
      <w:r w:rsidRPr="00B713EE">
        <w:t>3.1.2.2</w:t>
      </w:r>
      <w:r w:rsidRPr="00B713EE">
        <w:tab/>
        <w:t>Les prescriptions d</w:t>
      </w:r>
      <w:r w:rsidR="007C2F80">
        <w:t>’</w:t>
      </w:r>
      <w:r w:rsidRPr="00B713EE">
        <w:t>essai sont satisfaites si la force appliquée par le conducteur sur la commande de direction pour neutraliser l</w:t>
      </w:r>
      <w:r w:rsidR="007C2F80">
        <w:t>’</w:t>
      </w:r>
      <w:r w:rsidR="00AD513A">
        <w:t>intervention ne dépasse pas 50 </w:t>
      </w:r>
      <w:r w:rsidRPr="00B713EE">
        <w:t>N.</w:t>
      </w:r>
    </w:p>
    <w:p w:rsidR="00CD04C1" w:rsidRPr="00B713EE" w:rsidRDefault="00CD04C1" w:rsidP="00E67EC5">
      <w:pPr>
        <w:pStyle w:val="SingleTxtG"/>
        <w:ind w:left="2268" w:hanging="1134"/>
      </w:pPr>
      <w:r w:rsidRPr="00B713EE">
        <w:t>3.1.2.3</w:t>
      </w:r>
      <w:r w:rsidRPr="00B713EE">
        <w:tab/>
        <w:t>En outre, le constructeur doit démontrer à la satisfaction du service technique que les presc</w:t>
      </w:r>
      <w:r w:rsidR="00AD513A">
        <w:t>riptions énoncées au paragraphe </w:t>
      </w:r>
      <w:r w:rsidRPr="00B713EE">
        <w:t>5.1.6.1.3 sont satisfaites dans toute la gamme de fonctionnement de la FDC. Cela peut se faire sur la base de documents appropriés joints au procès-verbal d</w:t>
      </w:r>
      <w:r w:rsidR="007C2F80">
        <w:t>’</w:t>
      </w:r>
      <w:r w:rsidRPr="00B713EE">
        <w:t>essai.</w:t>
      </w:r>
    </w:p>
    <w:p w:rsidR="00CD04C1" w:rsidRPr="00B713EE" w:rsidRDefault="00CD04C1" w:rsidP="00E67EC5">
      <w:pPr>
        <w:pStyle w:val="SingleTxtG"/>
        <w:ind w:left="2268" w:hanging="1134"/>
      </w:pPr>
      <w:r w:rsidRPr="00B713EE">
        <w:t>3.2</w:t>
      </w:r>
      <w:r w:rsidRPr="00B713EE">
        <w:tab/>
        <w:t>Essais applicables aux FDCA de catégorie B1</w:t>
      </w:r>
    </w:p>
    <w:p w:rsidR="00CD04C1" w:rsidRPr="00B713EE" w:rsidRDefault="00CD04C1" w:rsidP="00E67EC5">
      <w:pPr>
        <w:pStyle w:val="SingleTxtG"/>
        <w:ind w:left="2268" w:hanging="1134"/>
      </w:pPr>
      <w:r w:rsidRPr="00B713EE">
        <w:t>3.2.1</w:t>
      </w:r>
      <w:r w:rsidRPr="00B713EE">
        <w:tab/>
        <w:t xml:space="preserve">Essai fonctionnel de maintien dans la voie </w:t>
      </w:r>
    </w:p>
    <w:p w:rsidR="00CD04C1" w:rsidRPr="00B713EE" w:rsidRDefault="00CD04C1" w:rsidP="00E67EC5">
      <w:pPr>
        <w:pStyle w:val="SingleTxtG"/>
        <w:ind w:left="2268" w:hanging="1134"/>
      </w:pPr>
      <w:r w:rsidRPr="00B713EE">
        <w:t>3.2.1.1</w:t>
      </w:r>
      <w:r w:rsidRPr="00B713EE">
        <w:tab/>
        <w:t>La vitesse du véhicule doit être maintenue dans la plage comprise entre V</w:t>
      </w:r>
      <w:r w:rsidRPr="00B713EE">
        <w:rPr>
          <w:vertAlign w:val="subscript"/>
        </w:rPr>
        <w:t>smin</w:t>
      </w:r>
      <w:r w:rsidRPr="00B713EE">
        <w:t xml:space="preserve"> et V</w:t>
      </w:r>
      <w:r w:rsidRPr="00B713EE">
        <w:rPr>
          <w:vertAlign w:val="subscript"/>
        </w:rPr>
        <w:t>smax</w:t>
      </w:r>
      <w:r w:rsidRPr="00B713EE">
        <w:t>.</w:t>
      </w:r>
    </w:p>
    <w:p w:rsidR="00CD04C1" w:rsidRPr="00B713EE" w:rsidRDefault="00CD04C1" w:rsidP="002A0E10">
      <w:pPr>
        <w:pStyle w:val="SingleTxtG"/>
        <w:ind w:left="2268"/>
      </w:pPr>
      <w:r w:rsidRPr="00B713EE">
        <w:t>L</w:t>
      </w:r>
      <w:r w:rsidR="007C2F80">
        <w:t>’</w:t>
      </w:r>
      <w:r w:rsidRPr="00B713EE">
        <w:t>essai doit être exécuté séparément pour chaque plage de</w:t>
      </w:r>
      <w:r w:rsidR="00AD513A">
        <w:t xml:space="preserve"> vitesse indiquée au paragraphe </w:t>
      </w:r>
      <w:r w:rsidRPr="00B713EE">
        <w:t>5.6.2.1.3 du présent Règlement ou dans des plages de vitesses contiguës ayant la même valeur ay</w:t>
      </w:r>
      <w:r w:rsidRPr="00B713EE">
        <w:rPr>
          <w:vertAlign w:val="subscript"/>
        </w:rPr>
        <w:t>smax</w:t>
      </w:r>
      <w:r w:rsidRPr="00B713EE">
        <w:t>.</w:t>
      </w:r>
    </w:p>
    <w:p w:rsidR="00CD04C1" w:rsidRPr="00B713EE" w:rsidRDefault="00CD04C1" w:rsidP="002A0E10">
      <w:pPr>
        <w:pStyle w:val="SingleTxtG"/>
        <w:ind w:left="2268"/>
      </w:pPr>
      <w:r w:rsidRPr="00B713EE">
        <w:t>Le véhicule doit être conduit, sans que le conducteur n</w:t>
      </w:r>
      <w:r w:rsidR="007C2F80">
        <w:t>’</w:t>
      </w:r>
      <w:r w:rsidRPr="00B713EE">
        <w:t xml:space="preserve">exerce de pression sur la commande de direction (par exemple, en ôtant ses mains du volant), à une vitesse constante sur une piste incurvée comportant des marquages de voie de chaque côté. </w:t>
      </w:r>
    </w:p>
    <w:p w:rsidR="00CD04C1" w:rsidRPr="00B713EE" w:rsidRDefault="00CD04C1" w:rsidP="002A0E10">
      <w:pPr>
        <w:pStyle w:val="SingleTxtG"/>
        <w:ind w:left="2268"/>
      </w:pPr>
      <w:r w:rsidRPr="00B713EE">
        <w:t>L</w:t>
      </w:r>
      <w:r w:rsidR="007C2F80">
        <w:t>’</w:t>
      </w:r>
      <w:r w:rsidRPr="00B713EE">
        <w:t>accélération latérale nécessaire pour suivre la courb</w:t>
      </w:r>
      <w:r w:rsidR="00AD513A">
        <w:t>e doit se situer entre 80 et 90 </w:t>
      </w:r>
      <w:r w:rsidRPr="00B713EE">
        <w:t>% de l</w:t>
      </w:r>
      <w:r w:rsidR="007C2F80">
        <w:t>’</w:t>
      </w:r>
      <w:r w:rsidRPr="00B713EE">
        <w:t>accélération latérale maximale indiquée par le constructeur (ay</w:t>
      </w:r>
      <w:r w:rsidRPr="00B713EE">
        <w:rPr>
          <w:vertAlign w:val="subscript"/>
        </w:rPr>
        <w:t>smax</w:t>
      </w:r>
      <w:r w:rsidRPr="00B713EE">
        <w:t>).</w:t>
      </w:r>
    </w:p>
    <w:p w:rsidR="00CD04C1" w:rsidRPr="00B713EE" w:rsidRDefault="00CD04C1" w:rsidP="002A0E10">
      <w:pPr>
        <w:pStyle w:val="SingleTxtG"/>
        <w:ind w:left="2268"/>
      </w:pPr>
      <w:r w:rsidRPr="00B713EE">
        <w:t>L</w:t>
      </w:r>
      <w:r w:rsidR="007C2F80">
        <w:t>’</w:t>
      </w:r>
      <w:r w:rsidRPr="00B713EE">
        <w:t>accélération latérale et l</w:t>
      </w:r>
      <w:r w:rsidR="007C2F80">
        <w:t>’</w:t>
      </w:r>
      <w:r w:rsidRPr="00B713EE">
        <w:t>à-coup latéral doivent être enregistrés pendant l</w:t>
      </w:r>
      <w:r w:rsidR="007C2F80">
        <w:t>’</w:t>
      </w:r>
      <w:r w:rsidRPr="00B713EE">
        <w:t xml:space="preserve">essai. </w:t>
      </w:r>
    </w:p>
    <w:p w:rsidR="00CD04C1" w:rsidRPr="00B713EE" w:rsidRDefault="00CD04C1" w:rsidP="00E67EC5">
      <w:pPr>
        <w:pStyle w:val="SingleTxtG"/>
        <w:ind w:left="2268" w:hanging="1134"/>
      </w:pPr>
      <w:r w:rsidRPr="00B713EE">
        <w:t>3.2.1.2</w:t>
      </w:r>
      <w:r w:rsidRPr="00B713EE">
        <w:tab/>
        <w:t>Les prescripti</w:t>
      </w:r>
      <w:r w:rsidR="00722588">
        <w:t>ons d</w:t>
      </w:r>
      <w:r w:rsidR="007C2F80">
        <w:t>’</w:t>
      </w:r>
      <w:r w:rsidR="00722588">
        <w:t>essai sont satisfaites si </w:t>
      </w:r>
      <w:r w:rsidRPr="00B713EE">
        <w:t xml:space="preserve">: </w:t>
      </w:r>
    </w:p>
    <w:p w:rsidR="00CD04C1" w:rsidRPr="00B713EE" w:rsidRDefault="00CD04C1" w:rsidP="002A0E10">
      <w:pPr>
        <w:pStyle w:val="SingleTxtG"/>
        <w:ind w:left="2268"/>
      </w:pPr>
      <w:r w:rsidRPr="00B713EE">
        <w:t xml:space="preserve">Le véhicule ne franchit aucun marquage de voie. </w:t>
      </w:r>
    </w:p>
    <w:p w:rsidR="00CD04C1" w:rsidRPr="00B713EE" w:rsidRDefault="00CD04C1" w:rsidP="002A0E10">
      <w:pPr>
        <w:pStyle w:val="SingleTxtG"/>
        <w:ind w:left="2268"/>
      </w:pPr>
      <w:r w:rsidRPr="00B713EE">
        <w:t>La moyenne mobile, sur une durée d</w:t>
      </w:r>
      <w:r w:rsidR="007C2F80">
        <w:t>’</w:t>
      </w:r>
      <w:r w:rsidRPr="00B713EE">
        <w:t>une demi-seconde, de l</w:t>
      </w:r>
      <w:r w:rsidR="007C2F80">
        <w:t>’</w:t>
      </w:r>
      <w:r w:rsidR="00AD513A">
        <w:t>à-coup latéral ne dépasse pas 5 </w:t>
      </w:r>
      <w:r w:rsidRPr="00B713EE">
        <w:t xml:space="preserve">m/s³. </w:t>
      </w:r>
    </w:p>
    <w:p w:rsidR="00CD04C1" w:rsidRPr="00B713EE" w:rsidRDefault="00CD04C1" w:rsidP="00743036">
      <w:pPr>
        <w:pStyle w:val="SingleTxtG"/>
        <w:keepNext/>
        <w:keepLines/>
        <w:ind w:left="2268" w:hanging="1134"/>
      </w:pPr>
      <w:r w:rsidRPr="00B713EE">
        <w:t>3.2.1.3</w:t>
      </w:r>
      <w:r w:rsidRPr="00B713EE">
        <w:tab/>
        <w:t>Le constructeur doit démontrer à la satisfaction du service technique que les prescriptions sont satisfaites dans toute la gamme des accélérations latérales et des vitesses. Cela peut se faire sur la base de documents appropriés joints au procès-verbal d</w:t>
      </w:r>
      <w:r w:rsidR="007C2F80">
        <w:t>’</w:t>
      </w:r>
      <w:r w:rsidRPr="00B713EE">
        <w:t>essai.</w:t>
      </w:r>
    </w:p>
    <w:p w:rsidR="00CD04C1" w:rsidRPr="00B713EE" w:rsidRDefault="00CD04C1" w:rsidP="00E67EC5">
      <w:pPr>
        <w:pStyle w:val="SingleTxtG"/>
        <w:ind w:left="2268" w:hanging="1134"/>
      </w:pPr>
      <w:r w:rsidRPr="00B713EE">
        <w:t>3.2.2</w:t>
      </w:r>
      <w:r w:rsidRPr="00B713EE">
        <w:tab/>
        <w:t>Essai d</w:t>
      </w:r>
      <w:r w:rsidR="007C2F80">
        <w:t>’</w:t>
      </w:r>
      <w:r w:rsidRPr="00B713EE">
        <w:t xml:space="preserve">accélération latérale maximale </w:t>
      </w:r>
    </w:p>
    <w:p w:rsidR="00CD04C1" w:rsidRPr="00B713EE" w:rsidRDefault="00CD04C1" w:rsidP="00E67EC5">
      <w:pPr>
        <w:pStyle w:val="SingleTxtG"/>
        <w:ind w:left="2268" w:hanging="1134"/>
      </w:pPr>
      <w:r w:rsidRPr="00B713EE">
        <w:t>3.2.2.1</w:t>
      </w:r>
      <w:r w:rsidRPr="00B713EE">
        <w:tab/>
        <w:t>La vitesse du véhicule doit être maintenue dans la plage comprise entre V</w:t>
      </w:r>
      <w:r w:rsidRPr="00B713EE">
        <w:rPr>
          <w:vertAlign w:val="subscript"/>
        </w:rPr>
        <w:t>smin</w:t>
      </w:r>
      <w:r w:rsidRPr="00B713EE">
        <w:t xml:space="preserve"> et V</w:t>
      </w:r>
      <w:r w:rsidRPr="00B713EE">
        <w:rPr>
          <w:vertAlign w:val="subscript"/>
        </w:rPr>
        <w:t>smax</w:t>
      </w:r>
      <w:r w:rsidRPr="00B713EE">
        <w:t>.</w:t>
      </w:r>
    </w:p>
    <w:p w:rsidR="00CD04C1" w:rsidRPr="00B713EE" w:rsidRDefault="00CD04C1" w:rsidP="002A0E10">
      <w:pPr>
        <w:pStyle w:val="SingleTxtG"/>
        <w:ind w:left="2268"/>
      </w:pPr>
      <w:r w:rsidRPr="00B713EE">
        <w:t>L</w:t>
      </w:r>
      <w:r w:rsidR="007C2F80">
        <w:t>’</w:t>
      </w:r>
      <w:r w:rsidRPr="00B713EE">
        <w:t>essai doit être exécuté séparément pour chaque plage de</w:t>
      </w:r>
      <w:r w:rsidR="00BE5C83">
        <w:t xml:space="preserve"> vitesse indiquée au paragraphe </w:t>
      </w:r>
      <w:r w:rsidRPr="00B713EE">
        <w:t>5.6.2.1.3 du présent Règlement ou dans des plages de vitesses contiguës ayant la même valeur ay</w:t>
      </w:r>
      <w:r w:rsidRPr="00B713EE">
        <w:rPr>
          <w:vertAlign w:val="subscript"/>
        </w:rPr>
        <w:t>smax</w:t>
      </w:r>
      <w:r w:rsidRPr="00B713EE">
        <w:t>.</w:t>
      </w:r>
    </w:p>
    <w:p w:rsidR="00CD04C1" w:rsidRPr="00B713EE" w:rsidRDefault="00CD04C1" w:rsidP="002A0E10">
      <w:pPr>
        <w:pStyle w:val="SingleTxtG"/>
        <w:ind w:left="2268"/>
      </w:pPr>
      <w:r w:rsidRPr="00B713EE">
        <w:t>Le véhicule doit être conduit sans que le conducteur n</w:t>
      </w:r>
      <w:r w:rsidR="007C2F80">
        <w:t>’</w:t>
      </w:r>
      <w:r w:rsidRPr="00B713EE">
        <w:t xml:space="preserve">exerce aucune pression sur la commande de direction (par exemple, en ôtant ses mains du volant), à une vitesse constante sur une piste incurvée comportant des marquages de voie de chaque côté. </w:t>
      </w:r>
    </w:p>
    <w:p w:rsidR="00CD04C1" w:rsidRPr="00B713EE" w:rsidRDefault="00CD04C1" w:rsidP="002A0E10">
      <w:pPr>
        <w:pStyle w:val="SingleTxtG"/>
        <w:ind w:left="2268"/>
      </w:pPr>
      <w:r w:rsidRPr="00B713EE">
        <w:t>Le service technique définit une vitesse d</w:t>
      </w:r>
      <w:r w:rsidR="007C2F80">
        <w:t>’</w:t>
      </w:r>
      <w:r w:rsidRPr="00B713EE">
        <w:t>essai et un rayon susceptibles de provoquer une accélération supérieure à ay</w:t>
      </w:r>
      <w:r w:rsidRPr="00B713EE">
        <w:rPr>
          <w:vertAlign w:val="subscript"/>
        </w:rPr>
        <w:t>smax</w:t>
      </w:r>
      <w:r w:rsidR="00BE5C83">
        <w:t> + 0,3 </w:t>
      </w:r>
      <w:r w:rsidRPr="00B713EE">
        <w:t>m/s</w:t>
      </w:r>
      <w:r w:rsidRPr="00BE5C83">
        <w:rPr>
          <w:vertAlign w:val="superscript"/>
        </w:rPr>
        <w:t>2</w:t>
      </w:r>
      <w:r w:rsidRPr="00B713EE">
        <w:t xml:space="preserve"> (par exemple, en conduisant à une vitesse plus élevée dans un virage ayant un rayon donné). </w:t>
      </w:r>
    </w:p>
    <w:p w:rsidR="00CD04C1" w:rsidRPr="00B713EE" w:rsidRDefault="00CD04C1" w:rsidP="002A0E10">
      <w:pPr>
        <w:pStyle w:val="SingleTxtG"/>
        <w:ind w:left="2268"/>
      </w:pPr>
      <w:r w:rsidRPr="00B713EE">
        <w:t>L</w:t>
      </w:r>
      <w:r w:rsidR="007C2F80">
        <w:t>’</w:t>
      </w:r>
      <w:r w:rsidRPr="00B713EE">
        <w:t>accélération latérale et l</w:t>
      </w:r>
      <w:r w:rsidR="007C2F80">
        <w:t>’</w:t>
      </w:r>
      <w:r w:rsidRPr="00B713EE">
        <w:t>à-coup latéral doivent être enregistrés pendant l</w:t>
      </w:r>
      <w:r w:rsidR="007C2F80">
        <w:t>’</w:t>
      </w:r>
      <w:r w:rsidRPr="00B713EE">
        <w:t xml:space="preserve">essai. </w:t>
      </w:r>
    </w:p>
    <w:p w:rsidR="00CD04C1" w:rsidRPr="00B713EE" w:rsidRDefault="00CD04C1" w:rsidP="00E67EC5">
      <w:pPr>
        <w:pStyle w:val="SingleTxtG"/>
        <w:ind w:left="2268" w:hanging="1134"/>
      </w:pPr>
      <w:r w:rsidRPr="00B713EE">
        <w:t>3.2.2.2</w:t>
      </w:r>
      <w:r w:rsidRPr="00B713EE">
        <w:tab/>
        <w:t>Les prescriptions d</w:t>
      </w:r>
      <w:r w:rsidR="007C2F80">
        <w:t>’</w:t>
      </w:r>
      <w:r w:rsidRPr="00B713EE">
        <w:t>essai sont satisfait</w:t>
      </w:r>
      <w:r w:rsidR="00722588">
        <w:t>es si </w:t>
      </w:r>
      <w:r w:rsidRPr="00B713EE">
        <w:t xml:space="preserve">: </w:t>
      </w:r>
    </w:p>
    <w:p w:rsidR="00CD04C1" w:rsidRPr="00B713EE" w:rsidRDefault="00CD04C1" w:rsidP="002A0E10">
      <w:pPr>
        <w:pStyle w:val="SingleTxtG"/>
        <w:ind w:left="2268"/>
      </w:pPr>
      <w:r w:rsidRPr="00B713EE">
        <w:t>L</w:t>
      </w:r>
      <w:r w:rsidR="007C2F80">
        <w:t>’</w:t>
      </w:r>
      <w:r w:rsidRPr="00B713EE">
        <w:t>accélération enregistrée est dans les l</w:t>
      </w:r>
      <w:r w:rsidR="00BE5C83">
        <w:t>imites spécifiées au paragraphe </w:t>
      </w:r>
      <w:r w:rsidRPr="00B713EE">
        <w:t xml:space="preserve">5.6.2.1.3 du présent Règlement. </w:t>
      </w:r>
    </w:p>
    <w:p w:rsidR="00CD04C1" w:rsidRPr="00B713EE" w:rsidRDefault="00CD04C1" w:rsidP="002A0E10">
      <w:pPr>
        <w:pStyle w:val="SingleTxtG"/>
        <w:ind w:left="2268"/>
      </w:pPr>
      <w:r w:rsidRPr="00B713EE">
        <w:t>La moyenne mobile, sur une durée d</w:t>
      </w:r>
      <w:r w:rsidR="007C2F80">
        <w:t>’</w:t>
      </w:r>
      <w:r w:rsidRPr="00B713EE">
        <w:t>une demi-seconde, de l</w:t>
      </w:r>
      <w:r w:rsidR="007C2F80">
        <w:t>’</w:t>
      </w:r>
      <w:r w:rsidR="00BE5C83">
        <w:t>à-coup latéral ne dépasse pas 5 </w:t>
      </w:r>
      <w:r w:rsidRPr="00B713EE">
        <w:t xml:space="preserve">m/s³. </w:t>
      </w:r>
    </w:p>
    <w:p w:rsidR="00CD04C1" w:rsidRPr="00B713EE" w:rsidRDefault="00CD04C1" w:rsidP="00E67EC5">
      <w:pPr>
        <w:pStyle w:val="SingleTxtG"/>
        <w:ind w:left="2268" w:hanging="1134"/>
      </w:pPr>
      <w:r w:rsidRPr="00B713EE">
        <w:t>3.2.3</w:t>
      </w:r>
      <w:r w:rsidRPr="00B713EE">
        <w:tab/>
        <w:t xml:space="preserve">Essai de force de neutralisation </w:t>
      </w:r>
    </w:p>
    <w:p w:rsidR="00CD04C1" w:rsidRPr="00B713EE" w:rsidRDefault="00CD04C1" w:rsidP="00E67EC5">
      <w:pPr>
        <w:pStyle w:val="SingleTxtG"/>
        <w:ind w:left="2268" w:hanging="1134"/>
      </w:pPr>
      <w:r w:rsidRPr="00B713EE">
        <w:t>3.2.3.1</w:t>
      </w:r>
      <w:r w:rsidRPr="00B713EE">
        <w:tab/>
        <w:t>La vitesse du véhicule doit être maintenue dans la plage comprise entre V</w:t>
      </w:r>
      <w:r w:rsidRPr="00B713EE">
        <w:rPr>
          <w:vertAlign w:val="subscript"/>
        </w:rPr>
        <w:t>smin</w:t>
      </w:r>
      <w:r w:rsidRPr="00B713EE">
        <w:t xml:space="preserve"> et V</w:t>
      </w:r>
      <w:r w:rsidRPr="00B713EE">
        <w:rPr>
          <w:vertAlign w:val="subscript"/>
        </w:rPr>
        <w:t>smax</w:t>
      </w:r>
      <w:r w:rsidRPr="00B713EE">
        <w:t>.</w:t>
      </w:r>
    </w:p>
    <w:p w:rsidR="00CD04C1" w:rsidRPr="00B713EE" w:rsidRDefault="00CD04C1" w:rsidP="002A0E10">
      <w:pPr>
        <w:pStyle w:val="SingleTxtG"/>
        <w:ind w:left="2268"/>
      </w:pPr>
      <w:r w:rsidRPr="00B713EE">
        <w:t>Le véhicule doit être conduit sans que le conducteur n</w:t>
      </w:r>
      <w:r w:rsidR="007C2F80">
        <w:t>’</w:t>
      </w:r>
      <w:r w:rsidRPr="00B713EE">
        <w:t>exerce aucune pression sur la commande de direction (par exemple, en ôtant ses mains du volant), à une vitesse constante sur une piste incurvée comportant des marquages de voie de chaque côté.</w:t>
      </w:r>
    </w:p>
    <w:p w:rsidR="00CD04C1" w:rsidRPr="00B713EE" w:rsidRDefault="00CD04C1" w:rsidP="002A0E10">
      <w:pPr>
        <w:pStyle w:val="SingleTxtG"/>
        <w:ind w:left="2268"/>
      </w:pPr>
      <w:r w:rsidRPr="00B713EE">
        <w:t>L</w:t>
      </w:r>
      <w:r w:rsidR="007C2F80">
        <w:t>’</w:t>
      </w:r>
      <w:r w:rsidRPr="00B713EE">
        <w:t>accélération latérale nécessaire pour suivre la courb</w:t>
      </w:r>
      <w:r w:rsidR="00BE5C83">
        <w:t>e doit se situer entre 80 et 90 </w:t>
      </w:r>
      <w:r w:rsidRPr="00B713EE">
        <w:t>% de la valeur minimale indiqué</w:t>
      </w:r>
      <w:r w:rsidR="00BE5C83">
        <w:t>e dans le tableau du paragraphe </w:t>
      </w:r>
      <w:r w:rsidRPr="00B713EE">
        <w:t>5.6.2.1.3 du présent Règlement.</w:t>
      </w:r>
    </w:p>
    <w:p w:rsidR="00CD04C1" w:rsidRPr="00B713EE" w:rsidRDefault="00CD04C1" w:rsidP="002A0E10">
      <w:pPr>
        <w:pStyle w:val="SingleTxtG"/>
        <w:ind w:left="2268"/>
      </w:pPr>
      <w:r w:rsidRPr="00B713EE">
        <w:t>Le conducteur doit alors exercer une pression sur la commande de direction pour neutraliser l</w:t>
      </w:r>
      <w:r w:rsidR="007C2F80">
        <w:t>’</w:t>
      </w:r>
      <w:r w:rsidRPr="00B713EE">
        <w:t>intervention du système et quitter la voie.</w:t>
      </w:r>
    </w:p>
    <w:p w:rsidR="00CD04C1" w:rsidRPr="00B713EE" w:rsidRDefault="00CD04C1" w:rsidP="002A0E10">
      <w:pPr>
        <w:pStyle w:val="SingleTxtG"/>
        <w:ind w:left="2268"/>
        <w:rPr>
          <w:rFonts w:asciiTheme="minorHAnsi" w:hAnsiTheme="minorHAnsi"/>
          <w:sz w:val="22"/>
          <w:szCs w:val="22"/>
        </w:rPr>
      </w:pPr>
      <w:r w:rsidRPr="00B713EE">
        <w:t>La pression exercée par le conducteur sur la commande de direction au cours de la manœuvre de neutralisation doit être enregistrée.</w:t>
      </w:r>
    </w:p>
    <w:p w:rsidR="00CD04C1" w:rsidRPr="00B713EE" w:rsidRDefault="00CD04C1" w:rsidP="003A4371">
      <w:pPr>
        <w:pStyle w:val="SingleTxtG"/>
        <w:ind w:left="2268" w:hanging="1134"/>
      </w:pPr>
      <w:r w:rsidRPr="00B713EE">
        <w:t>3.2.3.2</w:t>
      </w:r>
      <w:r w:rsidRPr="00B713EE">
        <w:tab/>
        <w:t>Les prescriptions d</w:t>
      </w:r>
      <w:r w:rsidR="007C2F80">
        <w:t>’</w:t>
      </w:r>
      <w:r w:rsidRPr="00B713EE">
        <w:t>essai sont satisfaites si la pression exercée par le conducteur sur la commande de direction au cours de la manœuvre de neu</w:t>
      </w:r>
      <w:r w:rsidR="00BE5C83">
        <w:t>tralisation est inférieure à 50 </w:t>
      </w:r>
      <w:r w:rsidRPr="00B713EE">
        <w:t>N.</w:t>
      </w:r>
    </w:p>
    <w:p w:rsidR="00CD04C1" w:rsidRPr="00B713EE" w:rsidRDefault="00CD04C1" w:rsidP="002A0E10">
      <w:pPr>
        <w:pStyle w:val="SingleTxtG"/>
        <w:ind w:left="2268"/>
      </w:pPr>
      <w:r w:rsidRPr="00B713EE">
        <w:t>Le constructeur doit démontrer, documents à l</w:t>
      </w:r>
      <w:r w:rsidR="007C2F80">
        <w:t>’</w:t>
      </w:r>
      <w:r w:rsidRPr="00B713EE">
        <w:t xml:space="preserve">appui, que cette condition est remplie dans toute la plage de fonctionnement de la FDCA. </w:t>
      </w:r>
    </w:p>
    <w:p w:rsidR="00CD04C1" w:rsidRPr="00B713EE" w:rsidRDefault="00CD04C1" w:rsidP="003A4371">
      <w:pPr>
        <w:pStyle w:val="SingleTxtG"/>
        <w:ind w:left="2268" w:hanging="1134"/>
      </w:pPr>
      <w:r w:rsidRPr="00B713EE">
        <w:t>3.2.4</w:t>
      </w:r>
      <w:r w:rsidRPr="00B713EE">
        <w:tab/>
        <w:t>Essai de transition ; examen pratique</w:t>
      </w:r>
    </w:p>
    <w:p w:rsidR="00CD04C1" w:rsidRPr="00B713EE" w:rsidRDefault="00CD04C1" w:rsidP="003A4371">
      <w:pPr>
        <w:pStyle w:val="SingleTxtG"/>
        <w:ind w:left="2268" w:hanging="1134"/>
      </w:pPr>
      <w:r w:rsidRPr="00B713EE">
        <w:t>3.2.4.1</w:t>
      </w:r>
      <w:r w:rsidRPr="00B713EE">
        <w:tab/>
        <w:t>Le véhicule doit être conduit avec la FDCA activée à une vitesse d</w:t>
      </w:r>
      <w:r w:rsidR="007C2F80">
        <w:t>’</w:t>
      </w:r>
      <w:r w:rsidRPr="00B713EE">
        <w:t>essai comprise entre V</w:t>
      </w:r>
      <w:r w:rsidRPr="00B713EE">
        <w:rPr>
          <w:vertAlign w:val="subscript"/>
        </w:rPr>
        <w:t>smin</w:t>
      </w:r>
      <w:r w:rsidR="00BE5C83">
        <w:t> + 10 </w:t>
      </w:r>
      <w:r w:rsidRPr="00B713EE">
        <w:t>km/h et V</w:t>
      </w:r>
      <w:r w:rsidRPr="00B713EE">
        <w:rPr>
          <w:vertAlign w:val="subscript"/>
        </w:rPr>
        <w:t>smin</w:t>
      </w:r>
      <w:r w:rsidR="00BE5C83">
        <w:t> </w:t>
      </w:r>
      <w:r w:rsidRPr="00B713EE">
        <w:t>+</w:t>
      </w:r>
      <w:r w:rsidR="00BE5C83">
        <w:t> 20 </w:t>
      </w:r>
      <w:r w:rsidRPr="00B713EE">
        <w:t xml:space="preserve">km/h sur une piste comportant des marquages de voie de chaque côté. </w:t>
      </w:r>
    </w:p>
    <w:p w:rsidR="00CD04C1" w:rsidRPr="00B713EE" w:rsidRDefault="00CD04C1" w:rsidP="00743036">
      <w:pPr>
        <w:pStyle w:val="SingleTxtG"/>
        <w:keepNext/>
        <w:keepLines/>
        <w:ind w:left="2268"/>
      </w:pPr>
      <w:r w:rsidRPr="00B713EE">
        <w:t>Le conducteur doit relâcher la commande de direction et continuer à conduire jusqu</w:t>
      </w:r>
      <w:r w:rsidR="007C2F80">
        <w:t>’</w:t>
      </w:r>
      <w:r w:rsidRPr="00B713EE">
        <w:t>à ce que la FDCA soit désactivée par le système. La piste doit être choisi de façon à permettre la conduite avec la F</w:t>
      </w:r>
      <w:r w:rsidR="00BE5C83">
        <w:t>DCA activée pendant au moins 65 </w:t>
      </w:r>
      <w:r w:rsidRPr="00B713EE">
        <w:t>s sans aucune intervention du conducteur.</w:t>
      </w:r>
    </w:p>
    <w:p w:rsidR="00CD04C1" w:rsidRPr="00B713EE" w:rsidRDefault="00CD04C1" w:rsidP="002A0E10">
      <w:pPr>
        <w:pStyle w:val="SingleTxtG"/>
        <w:ind w:left="2268"/>
      </w:pPr>
      <w:r w:rsidRPr="00B713EE">
        <w:t>L</w:t>
      </w:r>
      <w:r w:rsidR="007C2F80">
        <w:t>’</w:t>
      </w:r>
      <w:r w:rsidRPr="00B713EE">
        <w:t>essai doit être répété avec une vitesse comprise entre V</w:t>
      </w:r>
      <w:r w:rsidRPr="00B713EE">
        <w:rPr>
          <w:vertAlign w:val="subscript"/>
        </w:rPr>
        <w:t>smax</w:t>
      </w:r>
      <w:r w:rsidR="00BE5C83">
        <w:t> -</w:t>
      </w:r>
      <w:r w:rsidR="00567416">
        <w:t> </w:t>
      </w:r>
      <w:r w:rsidR="00BE5C83">
        <w:t>20 </w:t>
      </w:r>
      <w:r w:rsidRPr="00B713EE">
        <w:t>km/h et V</w:t>
      </w:r>
      <w:r w:rsidRPr="00B713EE">
        <w:rPr>
          <w:vertAlign w:val="subscript"/>
        </w:rPr>
        <w:t>smax</w:t>
      </w:r>
      <w:r w:rsidR="00BE5C83">
        <w:t> - 10 km/h ou à 130 </w:t>
      </w:r>
      <w:r w:rsidRPr="00B713EE">
        <w:t xml:space="preserve">km/h, la valeur la plus faible étant retenue. </w:t>
      </w:r>
    </w:p>
    <w:p w:rsidR="00CD04C1" w:rsidRPr="00B713EE" w:rsidRDefault="00CD04C1" w:rsidP="002A0E10">
      <w:pPr>
        <w:pStyle w:val="SingleTxtG"/>
        <w:ind w:left="2268"/>
      </w:pPr>
      <w:r w:rsidRPr="00B713EE">
        <w:t>En outre, le constructeur doit démontrer à la satisfaction du service technique que les prescriptions sont satisfaites dans toute la gamme des vitesses. Cela peut se faire sur la base de documents appropriés joints au procès-verbal d</w:t>
      </w:r>
      <w:r w:rsidR="007C2F80">
        <w:t>’</w:t>
      </w:r>
      <w:r w:rsidRPr="00B713EE">
        <w:t>essai.</w:t>
      </w:r>
    </w:p>
    <w:p w:rsidR="00CD04C1" w:rsidRPr="00B713EE" w:rsidRDefault="00CD04C1" w:rsidP="003A4371">
      <w:pPr>
        <w:pStyle w:val="SingleTxtG"/>
        <w:ind w:left="2268" w:hanging="1134"/>
      </w:pPr>
      <w:r w:rsidRPr="00B713EE">
        <w:t>3.2.4.2</w:t>
      </w:r>
      <w:r w:rsidRPr="00B713EE">
        <w:tab/>
        <w:t>Les prescripti</w:t>
      </w:r>
      <w:r w:rsidR="00722588">
        <w:t>ons d</w:t>
      </w:r>
      <w:r w:rsidR="007C2F80">
        <w:t>’</w:t>
      </w:r>
      <w:r w:rsidR="00722588">
        <w:t>essai sont satisfaites si </w:t>
      </w:r>
      <w:r w:rsidRPr="00B713EE">
        <w:t xml:space="preserve">: </w:t>
      </w:r>
    </w:p>
    <w:p w:rsidR="00CD04C1" w:rsidRPr="00B713EE" w:rsidRDefault="00CD04C1" w:rsidP="002A0E10">
      <w:pPr>
        <w:pStyle w:val="SingleTxtG"/>
        <w:ind w:left="2268"/>
      </w:pPr>
      <w:r w:rsidRPr="00B713EE">
        <w:t>Le signal d</w:t>
      </w:r>
      <w:r w:rsidR="007C2F80">
        <w:t>’</w:t>
      </w:r>
      <w:r w:rsidRPr="00B713EE">
        <w:t xml:space="preserve">avertissement </w:t>
      </w:r>
      <w:r w:rsidR="00BE5C83">
        <w:t>visuel est émis au plus tard 15 </w:t>
      </w:r>
      <w:r w:rsidRPr="00B713EE">
        <w:t>s après que la commande de direction a été relâchée et qu</w:t>
      </w:r>
      <w:r w:rsidR="007C2F80">
        <w:t>’</w:t>
      </w:r>
      <w:r w:rsidRPr="00B713EE">
        <w:t>il persiste jusqu</w:t>
      </w:r>
      <w:r w:rsidR="007C2F80">
        <w:t>’</w:t>
      </w:r>
      <w:r w:rsidRPr="00B713EE">
        <w:t>à désactivation de la FDCA.</w:t>
      </w:r>
    </w:p>
    <w:p w:rsidR="00CD04C1" w:rsidRPr="00B713EE" w:rsidRDefault="00CD04C1" w:rsidP="002A0E10">
      <w:pPr>
        <w:pStyle w:val="SingleTxtG"/>
        <w:ind w:left="2268"/>
      </w:pPr>
      <w:r w:rsidRPr="00B713EE">
        <w:t>Le signal d</w:t>
      </w:r>
      <w:r w:rsidR="007C2F80">
        <w:t>’</w:t>
      </w:r>
      <w:r w:rsidRPr="00B713EE">
        <w:t xml:space="preserve">avertissement </w:t>
      </w:r>
      <w:r w:rsidR="00BE5C83">
        <w:t>sonore est émis au plus tard 30 </w:t>
      </w:r>
      <w:r w:rsidRPr="00B713EE">
        <w:t>s après que la commande de direction a été relâchée et qu</w:t>
      </w:r>
      <w:r w:rsidR="007C2F80">
        <w:t>’</w:t>
      </w:r>
      <w:r w:rsidRPr="00B713EE">
        <w:t>il persiste jusqu</w:t>
      </w:r>
      <w:r w:rsidR="007C2F80">
        <w:t>’</w:t>
      </w:r>
      <w:r w:rsidRPr="00B713EE">
        <w:t xml:space="preserve">à désactivation de la FDCA. </w:t>
      </w:r>
    </w:p>
    <w:p w:rsidR="00F9573C" w:rsidRPr="00B713EE" w:rsidRDefault="00CD04C1" w:rsidP="002A0E10">
      <w:pPr>
        <w:pStyle w:val="SingleTxtG"/>
        <w:ind w:left="2268"/>
      </w:pPr>
      <w:r w:rsidRPr="00B713EE">
        <w:t>La FDCA</w:t>
      </w:r>
      <w:r w:rsidR="00BE5C83">
        <w:t xml:space="preserve"> est désactivée au plus tard 30 </w:t>
      </w:r>
      <w:r w:rsidRPr="00B713EE">
        <w:t xml:space="preserve">s après le début du signal sonore, avec </w:t>
      </w:r>
      <w:r w:rsidR="00BE5C83">
        <w:t>un signal d</w:t>
      </w:r>
      <w:r w:rsidR="007C2F80">
        <w:t>’</w:t>
      </w:r>
      <w:r w:rsidR="00BE5C83">
        <w:t>alerte d</w:t>
      </w:r>
      <w:r w:rsidR="007C2F80">
        <w:t>’</w:t>
      </w:r>
      <w:r w:rsidR="00BE5C83">
        <w:t>au moins 5 </w:t>
      </w:r>
      <w:r w:rsidRPr="00B713EE">
        <w:t>s, différent du signal d</w:t>
      </w:r>
      <w:r w:rsidR="007C2F80">
        <w:t>’</w:t>
      </w:r>
      <w:r w:rsidRPr="00B713EE">
        <w:t>avertissement sonore précédent.</w:t>
      </w:r>
      <w:r w:rsidR="00186840">
        <w:t> »</w:t>
      </w:r>
      <w:r w:rsidRPr="00B713EE">
        <w:t>.</w:t>
      </w:r>
    </w:p>
    <w:p w:rsidR="00CD04C1" w:rsidRPr="003A4371" w:rsidRDefault="00CD04C1" w:rsidP="003A4371">
      <w:pPr>
        <w:pStyle w:val="SingleTxtG"/>
        <w:spacing w:before="240" w:after="0"/>
        <w:jc w:val="center"/>
        <w:rPr>
          <w:u w:val="single"/>
        </w:rPr>
      </w:pPr>
      <w:r w:rsidRPr="00B713EE">
        <w:tab/>
      </w:r>
      <w:r w:rsidR="003A4371">
        <w:rPr>
          <w:u w:val="single"/>
        </w:rPr>
        <w:tab/>
      </w:r>
      <w:r w:rsidR="003A4371">
        <w:rPr>
          <w:u w:val="single"/>
        </w:rPr>
        <w:tab/>
      </w:r>
      <w:r w:rsidR="003A4371">
        <w:rPr>
          <w:u w:val="single"/>
        </w:rPr>
        <w:tab/>
      </w:r>
    </w:p>
    <w:sectPr w:rsidR="00CD04C1" w:rsidRPr="003A4371" w:rsidSect="002A47B0">
      <w:headerReference w:type="even" r:id="rId12"/>
      <w:headerReference w:type="default" r:id="rId13"/>
      <w:footerReference w:type="even" r:id="rId14"/>
      <w:footerReference w:type="default" r:id="rId15"/>
      <w:footerReference w:type="first" r:id="rId16"/>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F80" w:rsidRDefault="007C2F80" w:rsidP="00F95C08">
      <w:pPr>
        <w:spacing w:line="240" w:lineRule="auto"/>
      </w:pPr>
    </w:p>
  </w:endnote>
  <w:endnote w:type="continuationSeparator" w:id="0">
    <w:p w:rsidR="007C2F80" w:rsidRPr="00AC3823" w:rsidRDefault="007C2F80" w:rsidP="00AC3823">
      <w:pPr>
        <w:pStyle w:val="Footer"/>
      </w:pPr>
    </w:p>
  </w:endnote>
  <w:endnote w:type="continuationNotice" w:id="1">
    <w:p w:rsidR="007C2F80" w:rsidRDefault="007C2F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HGMaruGothicMPRO">
    <w:altName w:val="MS Gothic"/>
    <w:charset w:val="80"/>
    <w:family w:val="modern"/>
    <w:pitch w:val="variable"/>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F80" w:rsidRPr="002A47B0" w:rsidRDefault="007C2F80" w:rsidP="002A47B0">
    <w:pPr>
      <w:pStyle w:val="Footer"/>
      <w:tabs>
        <w:tab w:val="right" w:pos="9638"/>
      </w:tabs>
    </w:pPr>
    <w:r w:rsidRPr="002A47B0">
      <w:rPr>
        <w:b/>
        <w:sz w:val="18"/>
      </w:rPr>
      <w:fldChar w:fldCharType="begin"/>
    </w:r>
    <w:r w:rsidRPr="002A47B0">
      <w:rPr>
        <w:b/>
        <w:sz w:val="18"/>
      </w:rPr>
      <w:instrText xml:space="preserve"> PAGE  \* MERGEFORMAT </w:instrText>
    </w:r>
    <w:r w:rsidRPr="002A47B0">
      <w:rPr>
        <w:b/>
        <w:sz w:val="18"/>
      </w:rPr>
      <w:fldChar w:fldCharType="separate"/>
    </w:r>
    <w:r w:rsidR="0090189A">
      <w:rPr>
        <w:b/>
        <w:noProof/>
        <w:sz w:val="18"/>
      </w:rPr>
      <w:t>2</w:t>
    </w:r>
    <w:r w:rsidRPr="002A47B0">
      <w:rPr>
        <w:b/>
        <w:sz w:val="18"/>
      </w:rPr>
      <w:fldChar w:fldCharType="end"/>
    </w:r>
    <w:r>
      <w:rPr>
        <w:b/>
        <w:sz w:val="18"/>
      </w:rPr>
      <w:tab/>
    </w:r>
    <w:r>
      <w:t>GE.17-05186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F80" w:rsidRPr="002A47B0" w:rsidRDefault="007C2F80" w:rsidP="002A47B0">
    <w:pPr>
      <w:pStyle w:val="Footer"/>
      <w:tabs>
        <w:tab w:val="right" w:pos="9638"/>
      </w:tabs>
      <w:rPr>
        <w:b/>
        <w:sz w:val="18"/>
      </w:rPr>
    </w:pPr>
    <w:r>
      <w:t>GE.17-05186</w:t>
    </w:r>
    <w:r>
      <w:tab/>
    </w:r>
    <w:r w:rsidRPr="002A47B0">
      <w:rPr>
        <w:b/>
        <w:sz w:val="18"/>
      </w:rPr>
      <w:fldChar w:fldCharType="begin"/>
    </w:r>
    <w:r w:rsidRPr="002A47B0">
      <w:rPr>
        <w:b/>
        <w:sz w:val="18"/>
      </w:rPr>
      <w:instrText xml:space="preserve"> PAGE  \* MERGEFORMAT </w:instrText>
    </w:r>
    <w:r w:rsidRPr="002A47B0">
      <w:rPr>
        <w:b/>
        <w:sz w:val="18"/>
      </w:rPr>
      <w:fldChar w:fldCharType="separate"/>
    </w:r>
    <w:r w:rsidR="0090189A">
      <w:rPr>
        <w:b/>
        <w:noProof/>
        <w:sz w:val="18"/>
      </w:rPr>
      <w:t>25</w:t>
    </w:r>
    <w:r w:rsidRPr="002A47B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F80" w:rsidRPr="002A47B0" w:rsidRDefault="007C2F80" w:rsidP="002A47B0">
    <w:pPr>
      <w:pStyle w:val="Footer"/>
      <w:spacing w:before="120"/>
      <w:rPr>
        <w:sz w:val="20"/>
      </w:rPr>
    </w:pPr>
    <w:r>
      <w:rPr>
        <w:sz w:val="20"/>
      </w:rPr>
      <w:t>GE.</w:t>
    </w:r>
    <w:r>
      <w:rPr>
        <w:noProof/>
        <w:lang w:val="en-GB" w:eastAsia="en-GB"/>
      </w:rPr>
      <w:drawing>
        <wp:anchor distT="0" distB="0" distL="114300" distR="114300" simplePos="0" relativeHeight="251660288" behindDoc="0" locked="0" layoutInCell="1" allowOverlap="0" wp14:anchorId="16F634A7" wp14:editId="7E4EAD80">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77E3">
      <w:rPr>
        <w:sz w:val="20"/>
      </w:rPr>
      <w:t>17-05186  (F)    180517    26</w:t>
    </w:r>
    <w:r>
      <w:rPr>
        <w:sz w:val="20"/>
      </w:rPr>
      <w:t>0517</w:t>
    </w:r>
    <w:r>
      <w:rPr>
        <w:sz w:val="20"/>
      </w:rPr>
      <w:br/>
    </w:r>
    <w:r w:rsidRPr="002A47B0">
      <w:rPr>
        <w:rFonts w:ascii="C39T30Lfz" w:hAnsi="C39T30Lfz"/>
        <w:sz w:val="56"/>
      </w:rPr>
      <w:t></w:t>
    </w:r>
    <w:r w:rsidRPr="002A47B0">
      <w:rPr>
        <w:rFonts w:ascii="C39T30Lfz" w:hAnsi="C39T30Lfz"/>
        <w:sz w:val="56"/>
      </w:rPr>
      <w:t></w:t>
    </w:r>
    <w:r w:rsidRPr="002A47B0">
      <w:rPr>
        <w:rFonts w:ascii="C39T30Lfz" w:hAnsi="C39T30Lfz"/>
        <w:sz w:val="56"/>
      </w:rPr>
      <w:t></w:t>
    </w:r>
    <w:r w:rsidRPr="002A47B0">
      <w:rPr>
        <w:rFonts w:ascii="C39T30Lfz" w:hAnsi="C39T30Lfz"/>
        <w:sz w:val="56"/>
      </w:rPr>
      <w:t></w:t>
    </w:r>
    <w:r w:rsidRPr="002A47B0">
      <w:rPr>
        <w:rFonts w:ascii="C39T30Lfz" w:hAnsi="C39T30Lfz"/>
        <w:sz w:val="56"/>
      </w:rPr>
      <w:t></w:t>
    </w:r>
    <w:r w:rsidRPr="002A47B0">
      <w:rPr>
        <w:rFonts w:ascii="C39T30Lfz" w:hAnsi="C39T30Lfz"/>
        <w:sz w:val="56"/>
      </w:rPr>
      <w:t></w:t>
    </w:r>
    <w:r w:rsidRPr="002A47B0">
      <w:rPr>
        <w:rFonts w:ascii="C39T30Lfz" w:hAnsi="C39T30Lfz"/>
        <w:sz w:val="56"/>
      </w:rPr>
      <w:t></w:t>
    </w:r>
    <w:r w:rsidRPr="002A47B0">
      <w:rPr>
        <w:rFonts w:ascii="C39T30Lfz" w:hAnsi="C39T30Lfz"/>
        <w:sz w:val="56"/>
      </w:rPr>
      <w:t></w:t>
    </w:r>
    <w:r w:rsidRPr="002A47B0">
      <w:rPr>
        <w:rFonts w:ascii="C39T30Lfz" w:hAnsi="C39T30Lfz"/>
        <w:sz w:val="56"/>
      </w:rPr>
      <w:t></w:t>
    </w:r>
    <w:r>
      <w:rPr>
        <w:noProof/>
        <w:sz w:val="20"/>
        <w:lang w:val="en-GB" w:eastAsia="en-GB"/>
      </w:rPr>
      <w:drawing>
        <wp:anchor distT="0" distB="0" distL="114300" distR="114300" simplePos="0" relativeHeight="251658240" behindDoc="0" locked="0" layoutInCell="1" allowOverlap="1">
          <wp:simplePos x="0" y="0"/>
          <wp:positionH relativeFrom="margin">
            <wp:posOffset>5489575</wp:posOffset>
          </wp:positionH>
          <wp:positionV relativeFrom="margin">
            <wp:posOffset>8891905</wp:posOffset>
          </wp:positionV>
          <wp:extent cx="638175" cy="638175"/>
          <wp:effectExtent l="0" t="0" r="9525" b="9525"/>
          <wp:wrapNone/>
          <wp:docPr id="3" name="Image 1" descr="https://undocs.org/m2/QRCode.ashx?DS=ECE/TRANS/WP.29/1129&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1129&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F80" w:rsidRPr="00AC3823" w:rsidRDefault="007C2F80" w:rsidP="00AC3823">
      <w:pPr>
        <w:pStyle w:val="Footer"/>
        <w:tabs>
          <w:tab w:val="right" w:pos="2155"/>
        </w:tabs>
        <w:spacing w:after="80" w:line="240" w:lineRule="atLeast"/>
        <w:ind w:left="680"/>
        <w:rPr>
          <w:u w:val="single"/>
        </w:rPr>
      </w:pPr>
      <w:r>
        <w:rPr>
          <w:u w:val="single"/>
        </w:rPr>
        <w:tab/>
      </w:r>
    </w:p>
  </w:footnote>
  <w:footnote w:type="continuationSeparator" w:id="0">
    <w:p w:rsidR="007C2F80" w:rsidRPr="00AC3823" w:rsidRDefault="007C2F80" w:rsidP="00AC3823">
      <w:pPr>
        <w:pStyle w:val="Footer"/>
        <w:tabs>
          <w:tab w:val="right" w:pos="2155"/>
        </w:tabs>
        <w:spacing w:after="80" w:line="240" w:lineRule="atLeast"/>
        <w:ind w:left="680"/>
        <w:rPr>
          <w:u w:val="single"/>
        </w:rPr>
      </w:pPr>
      <w:r>
        <w:rPr>
          <w:u w:val="single"/>
        </w:rPr>
        <w:tab/>
      </w:r>
    </w:p>
  </w:footnote>
  <w:footnote w:type="continuationNotice" w:id="1">
    <w:p w:rsidR="007C2F80" w:rsidRPr="00AC3823" w:rsidRDefault="007C2F80">
      <w:pPr>
        <w:spacing w:line="240" w:lineRule="auto"/>
        <w:rPr>
          <w:sz w:val="2"/>
          <w:szCs w:val="2"/>
        </w:rPr>
      </w:pPr>
    </w:p>
  </w:footnote>
  <w:footnote w:id="2">
    <w:p w:rsidR="007C2F80" w:rsidRDefault="007C2F80" w:rsidP="00CD04C1">
      <w:pPr>
        <w:pStyle w:val="FootnoteText"/>
      </w:pPr>
      <w:r>
        <w:tab/>
      </w:r>
      <w:r w:rsidRPr="00513B9E">
        <w:rPr>
          <w:rStyle w:val="FootnoteReference"/>
        </w:rPr>
        <w:footnoteRef/>
      </w:r>
      <w:r>
        <w:tab/>
        <w:t xml:space="preserve">Représentant aussi la </w:t>
      </w:r>
      <w:r w:rsidRPr="004E1748">
        <w:rPr>
          <w:lang w:val="fr-FR"/>
        </w:rPr>
        <w:t>Motor and Equipment Manufacturers Association (MEMA) et la Japan Auto Parts Industries Association</w:t>
      </w:r>
      <w:r>
        <w:rPr>
          <w:lang w:val="fr-FR"/>
        </w:rPr>
        <w:t xml:space="preserve"> (JAPIA) (TRANS/WP.29/885, par. 4</w:t>
      </w:r>
      <w:r w:rsidRPr="004E1748">
        <w:rPr>
          <w:lang w:val="fr-FR"/>
        </w:rPr>
        <w:t>).</w:t>
      </w:r>
    </w:p>
  </w:footnote>
  <w:footnote w:id="3">
    <w:p w:rsidR="007C2F80" w:rsidRPr="00DD1FE0" w:rsidRDefault="007C2F80" w:rsidP="00CD04C1">
      <w:pPr>
        <w:pStyle w:val="FootnoteText"/>
        <w:rPr>
          <w:sz w:val="16"/>
          <w:szCs w:val="16"/>
        </w:rPr>
      </w:pPr>
      <w:r w:rsidRPr="00DD1FE0">
        <w:rPr>
          <w:rStyle w:val="FootnoteReference"/>
          <w:sz w:val="20"/>
        </w:rPr>
        <w:tab/>
      </w:r>
      <w:r w:rsidRPr="00931B50">
        <w:rPr>
          <w:rStyle w:val="FootnoteReference"/>
          <w:sz w:val="20"/>
          <w:vertAlign w:val="baseline"/>
        </w:rPr>
        <w:t>*</w:t>
      </w:r>
      <w:r w:rsidRPr="00DD1FE0">
        <w:rPr>
          <w:sz w:val="20"/>
        </w:rPr>
        <w:tab/>
      </w:r>
      <w:r w:rsidRPr="00DD1FE0">
        <w:rPr>
          <w:sz w:val="16"/>
          <w:szCs w:val="16"/>
        </w:rPr>
        <w:t>Les informations concernant les Parties contractantes (36), le Registre mondial et le Recueil des Règlements admissibles figurent dans le document ECE/TRANS/WP.29/1073/Rev.18.</w:t>
      </w:r>
    </w:p>
  </w:footnote>
  <w:footnote w:id="4">
    <w:p w:rsidR="007C2F80" w:rsidRPr="00A00553" w:rsidRDefault="007C2F80" w:rsidP="00CD04C1">
      <w:pPr>
        <w:pStyle w:val="FootnoteText"/>
      </w:pPr>
      <w:r w:rsidRPr="00DD1FE0">
        <w:tab/>
      </w:r>
      <w:r w:rsidRPr="00513B9E">
        <w:rPr>
          <w:rStyle w:val="FootnoteReference"/>
        </w:rPr>
        <w:footnoteRef/>
      </w:r>
      <w:r w:rsidRPr="00A00553">
        <w:tab/>
        <w:t>M. C.Theis et M. H. Kubota</w:t>
      </w:r>
      <w:r w:rsidR="008F0A7E">
        <w:t xml:space="preserve"> sont les C</w:t>
      </w:r>
      <w:r>
        <w:t>o</w:t>
      </w:r>
      <w:r w:rsidRPr="00A00553">
        <w:t xml:space="preserve">présidents du GTI </w:t>
      </w:r>
      <w:r>
        <w:t>sur les f</w:t>
      </w:r>
      <w:r w:rsidRPr="00A00553">
        <w:t>onctions de direction à commande automatique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F80" w:rsidRPr="002A47B0" w:rsidRDefault="005721B8">
    <w:pPr>
      <w:pStyle w:val="Header"/>
    </w:pPr>
    <w:fldSimple w:instr=" TITLE  \* MERGEFORMAT ">
      <w:r>
        <w:t>ECE/TRANS/WP.29/1129</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F80" w:rsidRPr="002A47B0" w:rsidRDefault="005721B8" w:rsidP="002A47B0">
    <w:pPr>
      <w:pStyle w:val="Header"/>
      <w:jc w:val="right"/>
    </w:pPr>
    <w:fldSimple w:instr=" TITLE  \* MERGEFORMAT ">
      <w:r>
        <w:t>ECE/TRANS/WP.29/1129</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54887"/>
    <w:multiLevelType w:val="hybridMultilevel"/>
    <w:tmpl w:val="85E2C03A"/>
    <w:lvl w:ilvl="0" w:tplc="251CE940">
      <w:start w:val="1"/>
      <w:numFmt w:val="decimal"/>
      <w:pStyle w:val="ParNoG"/>
      <w:lvlText w:val="%1."/>
      <w:lvlJc w:val="left"/>
      <w:pPr>
        <w:tabs>
          <w:tab w:val="num" w:pos="1701"/>
        </w:tabs>
        <w:ind w:left="1134" w:firstLine="0"/>
      </w:pPr>
      <w:rPr>
        <w:rFonts w:ascii="Times New Roman" w:hAnsi="Times New Roman" w:hint="default"/>
        <w:b w:val="0"/>
        <w:i w:val="0"/>
        <w:strike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567"/>
  <w:hyphenationZone w:val="425"/>
  <w:evenAndOddHeaders/>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42"/>
    <w:rsid w:val="00012C47"/>
    <w:rsid w:val="00017F94"/>
    <w:rsid w:val="00023842"/>
    <w:rsid w:val="000334F9"/>
    <w:rsid w:val="000360E3"/>
    <w:rsid w:val="00041F43"/>
    <w:rsid w:val="00045FEB"/>
    <w:rsid w:val="00072784"/>
    <w:rsid w:val="0007796D"/>
    <w:rsid w:val="00086484"/>
    <w:rsid w:val="00094633"/>
    <w:rsid w:val="000B7790"/>
    <w:rsid w:val="000C537F"/>
    <w:rsid w:val="000E41A7"/>
    <w:rsid w:val="000F7ED0"/>
    <w:rsid w:val="0010036E"/>
    <w:rsid w:val="00102DDD"/>
    <w:rsid w:val="00111F2F"/>
    <w:rsid w:val="00117E1F"/>
    <w:rsid w:val="0012407F"/>
    <w:rsid w:val="0014365E"/>
    <w:rsid w:val="00143C66"/>
    <w:rsid w:val="00176178"/>
    <w:rsid w:val="001777E3"/>
    <w:rsid w:val="00186840"/>
    <w:rsid w:val="0019562F"/>
    <w:rsid w:val="001C6A52"/>
    <w:rsid w:val="001D0106"/>
    <w:rsid w:val="001D03E3"/>
    <w:rsid w:val="001E39A4"/>
    <w:rsid w:val="001F525A"/>
    <w:rsid w:val="001F7EFD"/>
    <w:rsid w:val="00205708"/>
    <w:rsid w:val="002171AC"/>
    <w:rsid w:val="00217349"/>
    <w:rsid w:val="00223272"/>
    <w:rsid w:val="00223DA6"/>
    <w:rsid w:val="002267EA"/>
    <w:rsid w:val="00233EB7"/>
    <w:rsid w:val="002347F3"/>
    <w:rsid w:val="0024779E"/>
    <w:rsid w:val="00257168"/>
    <w:rsid w:val="00260D2A"/>
    <w:rsid w:val="002744B8"/>
    <w:rsid w:val="002832AC"/>
    <w:rsid w:val="002A0E10"/>
    <w:rsid w:val="002A47B0"/>
    <w:rsid w:val="002B129D"/>
    <w:rsid w:val="002D0B1F"/>
    <w:rsid w:val="002D7C93"/>
    <w:rsid w:val="002E5A98"/>
    <w:rsid w:val="002E794F"/>
    <w:rsid w:val="00305801"/>
    <w:rsid w:val="00305D70"/>
    <w:rsid w:val="003221B6"/>
    <w:rsid w:val="00327B26"/>
    <w:rsid w:val="0037554A"/>
    <w:rsid w:val="00385B7A"/>
    <w:rsid w:val="003916DE"/>
    <w:rsid w:val="003A4371"/>
    <w:rsid w:val="003A49A4"/>
    <w:rsid w:val="003C0FA7"/>
    <w:rsid w:val="003E70DE"/>
    <w:rsid w:val="003F52EE"/>
    <w:rsid w:val="003F70CF"/>
    <w:rsid w:val="0040210E"/>
    <w:rsid w:val="004155B1"/>
    <w:rsid w:val="00441C3B"/>
    <w:rsid w:val="00446FE5"/>
    <w:rsid w:val="00450782"/>
    <w:rsid w:val="0045185E"/>
    <w:rsid w:val="00452396"/>
    <w:rsid w:val="0047322F"/>
    <w:rsid w:val="0047572D"/>
    <w:rsid w:val="004837D8"/>
    <w:rsid w:val="004B16FD"/>
    <w:rsid w:val="004C4F62"/>
    <w:rsid w:val="004E468C"/>
    <w:rsid w:val="004E6C37"/>
    <w:rsid w:val="005106EE"/>
    <w:rsid w:val="005123E9"/>
    <w:rsid w:val="0051257F"/>
    <w:rsid w:val="00536634"/>
    <w:rsid w:val="005442FB"/>
    <w:rsid w:val="005505B7"/>
    <w:rsid w:val="005530CC"/>
    <w:rsid w:val="00567416"/>
    <w:rsid w:val="005721B8"/>
    <w:rsid w:val="00573BE5"/>
    <w:rsid w:val="00580863"/>
    <w:rsid w:val="00584E43"/>
    <w:rsid w:val="00586ED3"/>
    <w:rsid w:val="00594E4D"/>
    <w:rsid w:val="00596AA9"/>
    <w:rsid w:val="005C1CDA"/>
    <w:rsid w:val="00636F7B"/>
    <w:rsid w:val="00641815"/>
    <w:rsid w:val="006740F4"/>
    <w:rsid w:val="006A2269"/>
    <w:rsid w:val="006B2938"/>
    <w:rsid w:val="006B45E9"/>
    <w:rsid w:val="006B4D9D"/>
    <w:rsid w:val="0071601D"/>
    <w:rsid w:val="00722588"/>
    <w:rsid w:val="007345F1"/>
    <w:rsid w:val="00742FB1"/>
    <w:rsid w:val="00743036"/>
    <w:rsid w:val="007473D0"/>
    <w:rsid w:val="00756B89"/>
    <w:rsid w:val="007A62E6"/>
    <w:rsid w:val="007B2739"/>
    <w:rsid w:val="007C291C"/>
    <w:rsid w:val="007C2F80"/>
    <w:rsid w:val="007C6625"/>
    <w:rsid w:val="007F20FA"/>
    <w:rsid w:val="0080684C"/>
    <w:rsid w:val="00827717"/>
    <w:rsid w:val="00834472"/>
    <w:rsid w:val="00844FD4"/>
    <w:rsid w:val="008535B6"/>
    <w:rsid w:val="00863242"/>
    <w:rsid w:val="00863F1A"/>
    <w:rsid w:val="00870C01"/>
    <w:rsid w:val="00871C75"/>
    <w:rsid w:val="008776DC"/>
    <w:rsid w:val="00897D46"/>
    <w:rsid w:val="008B16CA"/>
    <w:rsid w:val="008C0F4C"/>
    <w:rsid w:val="008D1C0A"/>
    <w:rsid w:val="008F0A7E"/>
    <w:rsid w:val="0090189A"/>
    <w:rsid w:val="00903788"/>
    <w:rsid w:val="0093100A"/>
    <w:rsid w:val="00931B50"/>
    <w:rsid w:val="00941BF3"/>
    <w:rsid w:val="009446C0"/>
    <w:rsid w:val="00944C10"/>
    <w:rsid w:val="009705C8"/>
    <w:rsid w:val="00973ACD"/>
    <w:rsid w:val="009A0DE3"/>
    <w:rsid w:val="009A2D64"/>
    <w:rsid w:val="009B39AB"/>
    <w:rsid w:val="009C1CF4"/>
    <w:rsid w:val="009C4455"/>
    <w:rsid w:val="009D53B7"/>
    <w:rsid w:val="009E664F"/>
    <w:rsid w:val="009F6B74"/>
    <w:rsid w:val="00A17440"/>
    <w:rsid w:val="00A30353"/>
    <w:rsid w:val="00A30ED3"/>
    <w:rsid w:val="00A60936"/>
    <w:rsid w:val="00A73423"/>
    <w:rsid w:val="00A74844"/>
    <w:rsid w:val="00A9494A"/>
    <w:rsid w:val="00A95C25"/>
    <w:rsid w:val="00A97416"/>
    <w:rsid w:val="00AA1154"/>
    <w:rsid w:val="00AA44DC"/>
    <w:rsid w:val="00AA7C01"/>
    <w:rsid w:val="00AC0C36"/>
    <w:rsid w:val="00AC3823"/>
    <w:rsid w:val="00AD513A"/>
    <w:rsid w:val="00AE323C"/>
    <w:rsid w:val="00AE35A6"/>
    <w:rsid w:val="00AF0CB5"/>
    <w:rsid w:val="00AF5629"/>
    <w:rsid w:val="00B00181"/>
    <w:rsid w:val="00B00B0D"/>
    <w:rsid w:val="00B06A76"/>
    <w:rsid w:val="00B1602D"/>
    <w:rsid w:val="00B16631"/>
    <w:rsid w:val="00B579D9"/>
    <w:rsid w:val="00B713EE"/>
    <w:rsid w:val="00B75260"/>
    <w:rsid w:val="00B765F7"/>
    <w:rsid w:val="00B8455E"/>
    <w:rsid w:val="00B90B28"/>
    <w:rsid w:val="00BA0CA9"/>
    <w:rsid w:val="00BD2F5E"/>
    <w:rsid w:val="00BE5C83"/>
    <w:rsid w:val="00C02897"/>
    <w:rsid w:val="00C0559D"/>
    <w:rsid w:val="00C60236"/>
    <w:rsid w:val="00C67B19"/>
    <w:rsid w:val="00C953E1"/>
    <w:rsid w:val="00C97039"/>
    <w:rsid w:val="00CA41BB"/>
    <w:rsid w:val="00CC4189"/>
    <w:rsid w:val="00CD04C1"/>
    <w:rsid w:val="00CE29D2"/>
    <w:rsid w:val="00D05198"/>
    <w:rsid w:val="00D3439C"/>
    <w:rsid w:val="00D54083"/>
    <w:rsid w:val="00D77236"/>
    <w:rsid w:val="00D84362"/>
    <w:rsid w:val="00D87F5C"/>
    <w:rsid w:val="00D93F15"/>
    <w:rsid w:val="00DB1831"/>
    <w:rsid w:val="00DD3BFD"/>
    <w:rsid w:val="00DE30C7"/>
    <w:rsid w:val="00DF6678"/>
    <w:rsid w:val="00E24A0B"/>
    <w:rsid w:val="00E3481F"/>
    <w:rsid w:val="00E4024E"/>
    <w:rsid w:val="00E6243E"/>
    <w:rsid w:val="00E6568C"/>
    <w:rsid w:val="00E67EC5"/>
    <w:rsid w:val="00E85C74"/>
    <w:rsid w:val="00EA6547"/>
    <w:rsid w:val="00EC6A85"/>
    <w:rsid w:val="00ED41A3"/>
    <w:rsid w:val="00EF2D08"/>
    <w:rsid w:val="00EF2E22"/>
    <w:rsid w:val="00F01852"/>
    <w:rsid w:val="00F238E2"/>
    <w:rsid w:val="00F26A5C"/>
    <w:rsid w:val="00F35BAF"/>
    <w:rsid w:val="00F45D4C"/>
    <w:rsid w:val="00F660DF"/>
    <w:rsid w:val="00F70973"/>
    <w:rsid w:val="00F73881"/>
    <w:rsid w:val="00F91253"/>
    <w:rsid w:val="00F94664"/>
    <w:rsid w:val="00F9573C"/>
    <w:rsid w:val="00F95C08"/>
    <w:rsid w:val="00FC4127"/>
    <w:rsid w:val="00FC5FE9"/>
    <w:rsid w:val="00FD3A7B"/>
    <w:rsid w:val="00FE6535"/>
    <w:rsid w:val="00FF3B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E5DE6D9-346E-48FC-80FB-44F5CE5D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2AC"/>
    <w:pPr>
      <w:suppressAutoHyphens/>
      <w:kinsoku w:val="0"/>
      <w:overflowPunct w:val="0"/>
      <w:autoSpaceDE w:val="0"/>
      <w:autoSpaceDN w:val="0"/>
      <w:adjustRightInd w:val="0"/>
      <w:snapToGrid w:val="0"/>
      <w:spacing w:after="0" w:line="240" w:lineRule="atLeast"/>
    </w:pPr>
    <w:rPr>
      <w:rFonts w:ascii="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80684C"/>
    <w:pPr>
      <w:keepNext/>
      <w:keepLines/>
      <w:spacing w:after="0" w:line="240" w:lineRule="auto"/>
      <w:ind w:right="0"/>
      <w:jc w:val="left"/>
      <w:outlineLvl w:val="0"/>
    </w:pPr>
  </w:style>
  <w:style w:type="paragraph" w:styleId="Heading2">
    <w:name w:val="heading 2"/>
    <w:basedOn w:val="Normal"/>
    <w:next w:val="Normal"/>
    <w:link w:val="Heading2Char"/>
    <w:qFormat/>
    <w:rsid w:val="00023842"/>
    <w:pPr>
      <w:outlineLvl w:val="1"/>
    </w:pPr>
  </w:style>
  <w:style w:type="paragraph" w:styleId="Heading3">
    <w:name w:val="heading 3"/>
    <w:basedOn w:val="Normal"/>
    <w:next w:val="Normal"/>
    <w:link w:val="Heading3Char"/>
    <w:qFormat/>
    <w:rsid w:val="00023842"/>
    <w:pPr>
      <w:outlineLvl w:val="2"/>
    </w:pPr>
  </w:style>
  <w:style w:type="paragraph" w:styleId="Heading4">
    <w:name w:val="heading 4"/>
    <w:basedOn w:val="Normal"/>
    <w:next w:val="Normal"/>
    <w:link w:val="Heading4Char"/>
    <w:qFormat/>
    <w:rsid w:val="00023842"/>
    <w:pPr>
      <w:outlineLvl w:val="3"/>
    </w:pPr>
  </w:style>
  <w:style w:type="paragraph" w:styleId="Heading5">
    <w:name w:val="heading 5"/>
    <w:basedOn w:val="Normal"/>
    <w:next w:val="Normal"/>
    <w:link w:val="Heading5Char"/>
    <w:qFormat/>
    <w:rsid w:val="00023842"/>
    <w:pPr>
      <w:outlineLvl w:val="4"/>
    </w:pPr>
  </w:style>
  <w:style w:type="paragraph" w:styleId="Heading6">
    <w:name w:val="heading 6"/>
    <w:basedOn w:val="Normal"/>
    <w:next w:val="Normal"/>
    <w:link w:val="Heading6Char"/>
    <w:qFormat/>
    <w:rsid w:val="00023842"/>
    <w:pPr>
      <w:outlineLvl w:val="5"/>
    </w:pPr>
  </w:style>
  <w:style w:type="paragraph" w:styleId="Heading7">
    <w:name w:val="heading 7"/>
    <w:basedOn w:val="Normal"/>
    <w:next w:val="Normal"/>
    <w:link w:val="Heading7Char"/>
    <w:qFormat/>
    <w:rsid w:val="00023842"/>
    <w:pPr>
      <w:outlineLvl w:val="6"/>
    </w:pPr>
  </w:style>
  <w:style w:type="paragraph" w:styleId="Heading8">
    <w:name w:val="heading 8"/>
    <w:basedOn w:val="Normal"/>
    <w:next w:val="Normal"/>
    <w:link w:val="Heading8Char"/>
    <w:qFormat/>
    <w:rsid w:val="00023842"/>
    <w:pPr>
      <w:outlineLvl w:val="7"/>
    </w:pPr>
  </w:style>
  <w:style w:type="paragraph" w:styleId="Heading9">
    <w:name w:val="heading 9"/>
    <w:basedOn w:val="Normal"/>
    <w:next w:val="Normal"/>
    <w:link w:val="Heading9Char"/>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80684C"/>
    <w:pPr>
      <w:spacing w:after="120"/>
      <w:ind w:left="1134" w:right="1134"/>
      <w:jc w:val="both"/>
    </w:p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rsid w:val="00023842"/>
    <w:rPr>
      <w:rFonts w:ascii="Times New Roman" w:eastAsia="Times New Roman" w:hAnsi="Times New Roman" w:cs="Times New Roman"/>
      <w:sz w:val="20"/>
      <w:szCs w:val="20"/>
      <w:lang w:eastAsia="en-US"/>
    </w:rPr>
  </w:style>
  <w:style w:type="paragraph" w:styleId="Header">
    <w:name w:val="header"/>
    <w:aliases w:val="6_G"/>
    <w:basedOn w:val="Normal"/>
    <w:next w:val="Normal"/>
    <w:link w:val="HeaderChar"/>
    <w:qFormat/>
    <w:rsid w:val="0080684C"/>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eastAsia="en-US"/>
    </w:rPr>
  </w:style>
  <w:style w:type="paragraph" w:styleId="Footer">
    <w:name w:val="footer"/>
    <w:aliases w:val="3_G"/>
    <w:basedOn w:val="Normal"/>
    <w:next w:val="Normal"/>
    <w:link w:val="FooterChar"/>
    <w:qFormat/>
    <w:rsid w:val="0080684C"/>
    <w:pPr>
      <w:spacing w:line="240" w:lineRule="auto"/>
    </w:pPr>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Normal"/>
    <w:qFormat/>
    <w:rsid w:val="00DF6678"/>
    <w:pPr>
      <w:numPr>
        <w:numId w:val="3"/>
      </w:numPr>
      <w:spacing w:after="120"/>
      <w:ind w:right="1134"/>
      <w:jc w:val="both"/>
    </w:pPr>
  </w:style>
  <w:style w:type="character" w:styleId="FootnoteReference">
    <w:name w:val="footnote reference"/>
    <w:aliases w:val="4_G,-E Fußnotenzeichen"/>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023842"/>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4837D8"/>
    <w:rPr>
      <w:color w:val="0000FF"/>
      <w:u w:val="none"/>
    </w:rPr>
  </w:style>
  <w:style w:type="character" w:styleId="FollowedHyperlink">
    <w:name w:val="FollowedHyperlink"/>
    <w:basedOn w:val="DefaultParagraphFont"/>
    <w:unhideWhenUsed/>
    <w:rsid w:val="004837D8"/>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rancois.guichard@unece.org" TargetMode="External"/><Relationship Id="rId4" Type="http://schemas.openxmlformats.org/officeDocument/2006/relationships/settings" Target="settings.xml"/><Relationship Id="rId9" Type="http://schemas.openxmlformats.org/officeDocument/2006/relationships/hyperlink" Target="http://www.unece.org/trans/main/wp29/wp29wgs/wp29gen/wp29fdocstts.html"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70009-72F6-4815-A2D0-EB47BFA2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23671</Words>
  <Characters>134925</Characters>
  <Application>Microsoft Office Word</Application>
  <DocSecurity>0</DocSecurity>
  <Lines>1124</Lines>
  <Paragraphs>316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ECE/TRANS/WP.29/1129</vt:lpstr>
      <vt:lpstr>ECE/TRANS/WP.29/1129</vt:lpstr>
    </vt:vector>
  </TitlesOfParts>
  <Company>DCM</Company>
  <LinksUpToDate>false</LinksUpToDate>
  <CharactersWithSpaces>158280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ECE/TRANS/WP.29/1129</dc:title>
  <dc:subject/>
  <dc:creator>Maud DARICHE</dc:creator>
  <cp:keywords/>
  <cp:lastModifiedBy>Marie-Claude Collet</cp:lastModifiedBy>
  <cp:revision>2</cp:revision>
  <cp:lastPrinted>2017-05-26T12:39:00Z</cp:lastPrinted>
  <dcterms:created xsi:type="dcterms:W3CDTF">2017-06-21T07:19:00Z</dcterms:created>
  <dcterms:modified xsi:type="dcterms:W3CDTF">2017-06-21T07:19:00Z</dcterms:modified>
</cp:coreProperties>
</file>