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91435A" w:rsidTr="000305D3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91435A" w:rsidRDefault="00132EA9" w:rsidP="00BE3123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91435A" w:rsidRDefault="00132EA9" w:rsidP="009C3129">
            <w:pPr>
              <w:spacing w:after="80" w:line="300" w:lineRule="exact"/>
              <w:rPr>
                <w:sz w:val="28"/>
              </w:rPr>
            </w:pPr>
            <w:r w:rsidRPr="0091435A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91435A" w:rsidRDefault="00BE3123" w:rsidP="00BE3123">
            <w:pPr>
              <w:jc w:val="right"/>
            </w:pPr>
            <w:r w:rsidRPr="0091435A">
              <w:rPr>
                <w:sz w:val="40"/>
              </w:rPr>
              <w:t>ST</w:t>
            </w:r>
            <w:r w:rsidRPr="0091435A">
              <w:t>/SG/AC.10/C.4/61/Add.1</w:t>
            </w:r>
          </w:p>
        </w:tc>
      </w:tr>
      <w:tr w:rsidR="00132EA9" w:rsidRPr="0091435A" w:rsidTr="009C312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91435A" w:rsidRDefault="00132EA9" w:rsidP="009C3129">
            <w:pPr>
              <w:spacing w:before="120"/>
              <w:jc w:val="center"/>
            </w:pPr>
            <w:r w:rsidRPr="0091435A">
              <w:rPr>
                <w:noProof/>
                <w:lang w:val="en-GB" w:eastAsia="en-GB"/>
              </w:rPr>
              <w:drawing>
                <wp:inline distT="0" distB="0" distL="0" distR="0" wp14:anchorId="4811B509" wp14:editId="6A5B07F7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91435A" w:rsidRDefault="00132EA9" w:rsidP="009C312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91435A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91435A" w:rsidRDefault="00BE3123" w:rsidP="009C3129">
            <w:pPr>
              <w:spacing w:before="240"/>
            </w:pPr>
            <w:r w:rsidRPr="0091435A">
              <w:t>Distr. générale</w:t>
            </w:r>
          </w:p>
          <w:p w:rsidR="00BE3123" w:rsidRPr="0091435A" w:rsidRDefault="00BE3123" w:rsidP="00BE3123">
            <w:pPr>
              <w:spacing w:line="240" w:lineRule="exact"/>
            </w:pPr>
            <w:r w:rsidRPr="0091435A">
              <w:t>27 avril 2016</w:t>
            </w:r>
          </w:p>
          <w:p w:rsidR="00BE3123" w:rsidRPr="0091435A" w:rsidRDefault="00BE3123" w:rsidP="00BE3123">
            <w:pPr>
              <w:spacing w:line="240" w:lineRule="exact"/>
            </w:pPr>
            <w:r w:rsidRPr="0091435A">
              <w:t>Français</w:t>
            </w:r>
          </w:p>
          <w:p w:rsidR="00BE3123" w:rsidRPr="0091435A" w:rsidRDefault="00BE3123" w:rsidP="00BE3123">
            <w:pPr>
              <w:spacing w:line="240" w:lineRule="exact"/>
            </w:pPr>
            <w:r w:rsidRPr="0091435A">
              <w:t>Original</w:t>
            </w:r>
            <w:r w:rsidR="00D04CA8">
              <w:t> :</w:t>
            </w:r>
            <w:r w:rsidRPr="0091435A">
              <w:t xml:space="preserve"> anglais</w:t>
            </w:r>
          </w:p>
        </w:tc>
      </w:tr>
    </w:tbl>
    <w:p w:rsidR="00BE3123" w:rsidRPr="0091435A" w:rsidRDefault="00BE3123" w:rsidP="00BE3123">
      <w:pPr>
        <w:spacing w:before="120"/>
        <w:rPr>
          <w:b/>
          <w:sz w:val="24"/>
          <w:szCs w:val="24"/>
        </w:rPr>
      </w:pPr>
      <w:r w:rsidRPr="0091435A">
        <w:rPr>
          <w:b/>
          <w:sz w:val="24"/>
          <w:szCs w:val="24"/>
        </w:rPr>
        <w:t>Comité d’experts du transport des marchandises dangereuses</w:t>
      </w:r>
      <w:r w:rsidRPr="0091435A">
        <w:rPr>
          <w:b/>
          <w:sz w:val="24"/>
          <w:szCs w:val="24"/>
        </w:rPr>
        <w:br/>
        <w:t>et du Système général harmonisé de classification</w:t>
      </w:r>
      <w:r w:rsidRPr="0091435A">
        <w:rPr>
          <w:b/>
          <w:sz w:val="24"/>
          <w:szCs w:val="24"/>
        </w:rPr>
        <w:br/>
        <w:t>et d’étiquetage des produits chimiques</w:t>
      </w:r>
    </w:p>
    <w:p w:rsidR="00BE3123" w:rsidRPr="0091435A" w:rsidRDefault="00BE3123" w:rsidP="00BE3123">
      <w:pPr>
        <w:spacing w:before="120"/>
        <w:rPr>
          <w:b/>
        </w:rPr>
      </w:pPr>
      <w:r w:rsidRPr="0091435A">
        <w:rPr>
          <w:b/>
        </w:rPr>
        <w:t>Sous-Comité d’experts du Système général harmonisé</w:t>
      </w:r>
      <w:r w:rsidRPr="0091435A">
        <w:rPr>
          <w:b/>
        </w:rPr>
        <w:br/>
        <w:t>de classification et d’étiquetage des produits chimiques</w:t>
      </w:r>
    </w:p>
    <w:p w:rsidR="00BE3123" w:rsidRPr="0091435A" w:rsidRDefault="00BE3123" w:rsidP="007E3C8C">
      <w:pPr>
        <w:spacing w:before="100"/>
        <w:rPr>
          <w:b/>
        </w:rPr>
      </w:pPr>
      <w:r w:rsidRPr="0091435A">
        <w:rPr>
          <w:b/>
        </w:rPr>
        <w:t>Trente</w:t>
      </w:r>
      <w:r w:rsidR="007E3C8C" w:rsidRPr="0091435A">
        <w:rPr>
          <w:b/>
        </w:rPr>
        <w:t xml:space="preserve"> </w:t>
      </w:r>
      <w:r w:rsidRPr="0091435A">
        <w:rPr>
          <w:b/>
        </w:rPr>
        <w:t>et</w:t>
      </w:r>
      <w:r w:rsidR="007E3C8C" w:rsidRPr="0091435A">
        <w:rPr>
          <w:b/>
        </w:rPr>
        <w:t xml:space="preserve"> </w:t>
      </w:r>
      <w:r w:rsidRPr="0091435A">
        <w:rPr>
          <w:b/>
        </w:rPr>
        <w:t>unième session</w:t>
      </w:r>
    </w:p>
    <w:p w:rsidR="007E3C8C" w:rsidRPr="0091435A" w:rsidRDefault="00BE3123" w:rsidP="007E3C8C">
      <w:r w:rsidRPr="0091435A">
        <w:t>Genève, 5</w:t>
      </w:r>
      <w:r w:rsidR="007E3C8C" w:rsidRPr="0091435A">
        <w:t>-</w:t>
      </w:r>
      <w:r w:rsidRPr="0091435A">
        <w:t>8 juillet 2016</w:t>
      </w:r>
    </w:p>
    <w:p w:rsidR="007E3C8C" w:rsidRPr="0091435A" w:rsidRDefault="00BE3123" w:rsidP="007E3C8C">
      <w:r w:rsidRPr="0091435A">
        <w:t>Point 1 de l’ordre du jour provisoire</w:t>
      </w:r>
    </w:p>
    <w:p w:rsidR="00BE3123" w:rsidRPr="0091435A" w:rsidRDefault="00BE3123" w:rsidP="007E3C8C">
      <w:pPr>
        <w:rPr>
          <w:b/>
        </w:rPr>
      </w:pPr>
      <w:r w:rsidRPr="0091435A">
        <w:rPr>
          <w:b/>
        </w:rPr>
        <w:t>Adoption de l’ordre du jour</w:t>
      </w:r>
    </w:p>
    <w:p w:rsidR="00BE3123" w:rsidRPr="0091435A" w:rsidRDefault="00BE3123" w:rsidP="0091435A">
      <w:pPr>
        <w:pStyle w:val="HChG"/>
      </w:pPr>
      <w:r w:rsidRPr="0091435A">
        <w:rPr>
          <w:szCs w:val="28"/>
        </w:rPr>
        <w:tab/>
      </w:r>
      <w:r w:rsidRPr="0091435A">
        <w:rPr>
          <w:szCs w:val="28"/>
        </w:rPr>
        <w:tab/>
      </w:r>
      <w:r w:rsidRPr="0091435A">
        <w:t>Ordre du jour provisoire de la trente</w:t>
      </w:r>
      <w:r w:rsidR="0091435A" w:rsidRPr="0091435A">
        <w:t xml:space="preserve"> </w:t>
      </w:r>
      <w:r w:rsidRPr="0091435A">
        <w:t>et</w:t>
      </w:r>
      <w:r w:rsidR="0091435A" w:rsidRPr="0091435A">
        <w:t xml:space="preserve"> </w:t>
      </w:r>
      <w:r w:rsidRPr="0091435A">
        <w:t>unième session</w:t>
      </w:r>
    </w:p>
    <w:p w:rsidR="00BE3123" w:rsidRPr="0091435A" w:rsidRDefault="00BE3123" w:rsidP="007E3C8C">
      <w:pPr>
        <w:pStyle w:val="H23G"/>
      </w:pPr>
      <w:r w:rsidRPr="0091435A">
        <w:tab/>
      </w:r>
      <w:r w:rsidRPr="0091435A">
        <w:tab/>
        <w:t>Additif</w:t>
      </w:r>
    </w:p>
    <w:p w:rsidR="00BE3123" w:rsidRPr="0091435A" w:rsidRDefault="00BE3123" w:rsidP="007E3C8C">
      <w:pPr>
        <w:pStyle w:val="H1G"/>
      </w:pPr>
      <w:r w:rsidRPr="0091435A">
        <w:tab/>
      </w:r>
      <w:r w:rsidRPr="0091435A">
        <w:tab/>
        <w:t>Liste des documents et annotations</w:t>
      </w:r>
    </w:p>
    <w:p w:rsidR="00BE3123" w:rsidRPr="0091435A" w:rsidRDefault="00BE3123" w:rsidP="007E3C8C">
      <w:pPr>
        <w:pStyle w:val="H1G"/>
      </w:pPr>
      <w:r w:rsidRPr="0091435A">
        <w:tab/>
        <w:t>1.</w:t>
      </w:r>
      <w:r w:rsidRPr="0091435A">
        <w:tab/>
        <w:t>Adoption de l’ordre du jour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4819"/>
      </w:tblGrid>
      <w:tr w:rsidR="0091435A" w:rsidRPr="0091435A" w:rsidTr="00C4081E">
        <w:tc>
          <w:tcPr>
            <w:tcW w:w="2552" w:type="dxa"/>
            <w:shd w:val="clear" w:color="auto" w:fill="auto"/>
          </w:tcPr>
          <w:p w:rsidR="0091435A" w:rsidRPr="0091435A" w:rsidRDefault="0091435A" w:rsidP="00C4081E">
            <w:pPr>
              <w:spacing w:after="120"/>
            </w:pPr>
            <w:r w:rsidRPr="0091435A">
              <w:t>ST/SG/AC.10/C.4/61</w:t>
            </w:r>
          </w:p>
        </w:tc>
        <w:tc>
          <w:tcPr>
            <w:tcW w:w="4819" w:type="dxa"/>
            <w:shd w:val="clear" w:color="auto" w:fill="auto"/>
          </w:tcPr>
          <w:p w:rsidR="0091435A" w:rsidRPr="0091435A" w:rsidRDefault="0091435A" w:rsidP="0091435A">
            <w:pPr>
              <w:spacing w:after="120"/>
            </w:pPr>
            <w:r w:rsidRPr="0091435A">
              <w:t>Ordre du jour provisoire de la trente et unième session</w:t>
            </w:r>
          </w:p>
        </w:tc>
      </w:tr>
      <w:tr w:rsidR="0091435A" w:rsidRPr="0091435A" w:rsidTr="00C4081E">
        <w:tc>
          <w:tcPr>
            <w:tcW w:w="2552" w:type="dxa"/>
            <w:shd w:val="clear" w:color="auto" w:fill="auto"/>
          </w:tcPr>
          <w:p w:rsidR="0091435A" w:rsidRPr="0091435A" w:rsidRDefault="0091435A" w:rsidP="00C4081E">
            <w:pPr>
              <w:spacing w:after="120"/>
            </w:pPr>
            <w:r w:rsidRPr="0091435A">
              <w:t>ST/SG/AC.10/C.4/61/Add.1</w:t>
            </w:r>
          </w:p>
        </w:tc>
        <w:tc>
          <w:tcPr>
            <w:tcW w:w="4819" w:type="dxa"/>
            <w:shd w:val="clear" w:color="auto" w:fill="auto"/>
          </w:tcPr>
          <w:p w:rsidR="0091435A" w:rsidRPr="0091435A" w:rsidRDefault="0091435A" w:rsidP="00C4081E">
            <w:pPr>
              <w:spacing w:after="120"/>
            </w:pPr>
            <w:r w:rsidRPr="0091435A">
              <w:t>Liste des documents et annotations</w:t>
            </w:r>
          </w:p>
        </w:tc>
      </w:tr>
    </w:tbl>
    <w:p w:rsidR="00BE3123" w:rsidRPr="0091435A" w:rsidRDefault="00BE3123" w:rsidP="00BE3123">
      <w:pPr>
        <w:pStyle w:val="H23G"/>
        <w:spacing w:line="240" w:lineRule="atLeast"/>
      </w:pPr>
      <w:r w:rsidRPr="0091435A">
        <w:tab/>
      </w:r>
      <w:r w:rsidRPr="0091435A">
        <w:tab/>
        <w:t>Documents de référence (Secrétariat)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4819"/>
      </w:tblGrid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ST/SG/AC.10/30/Rev.6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Système général harmonisé de classification et d’étiquetage des produits chimiques (SGH), sixième édition révisée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ST/SG/AC.10/1/Rev.19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91435A">
            <w:pPr>
              <w:spacing w:after="120"/>
            </w:pPr>
            <w:r w:rsidRPr="0091435A">
              <w:t>Recommandations relatives au transport des marchandises dangereuses, Règlement type, dix-neuvième édition révisée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ST/SG/AC.10/11/Rev.6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Recommandations relatives au transport des marchandises dangereuses, Manuel d’épreuves et de critères, sixième édition révisée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spacing w:after="120"/>
              <w:rPr>
                <w:b/>
              </w:rPr>
            </w:pPr>
            <w:r w:rsidRPr="0091435A">
              <w:t>ST/SG/AC.10/C.4/60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Rapport du Sous-Comité sur sa trentième session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spacing w:after="120"/>
              <w:rPr>
                <w:b/>
              </w:rPr>
            </w:pPr>
            <w:r w:rsidRPr="0091435A">
              <w:t>ST/SG/AC.10/C.3/96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spacing w:after="120"/>
            </w:pPr>
            <w:r w:rsidRPr="0091435A">
              <w:t>Rapport du Sous-Comité d’experts du transport de marchandises dangereuses sur sa quarante-huitième session</w:t>
            </w:r>
          </w:p>
        </w:tc>
      </w:tr>
    </w:tbl>
    <w:p w:rsidR="00BE3123" w:rsidRPr="0091435A" w:rsidRDefault="00BE3123" w:rsidP="0091435A">
      <w:pPr>
        <w:pStyle w:val="H1G"/>
      </w:pPr>
      <w:r w:rsidRPr="0091435A">
        <w:lastRenderedPageBreak/>
        <w:tab/>
        <w:t>2.</w:t>
      </w:r>
      <w:r w:rsidRPr="0091435A">
        <w:tab/>
        <w:t>Travaux à mener conjointement avec le Sous-Comité d’experts du</w:t>
      </w:r>
      <w:r w:rsidR="0091435A" w:rsidRPr="0091435A">
        <w:t> </w:t>
      </w:r>
      <w:r w:rsidRPr="0091435A">
        <w:t>transport des marchandises dangereuses (Sous-Comité TMD)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819"/>
      </w:tblGrid>
      <w:tr w:rsidR="00BE3123" w:rsidRPr="0091435A" w:rsidTr="0091435A">
        <w:trPr>
          <w:trHeight w:val="70"/>
        </w:trPr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keepNext/>
              <w:keepLines/>
              <w:ind w:left="0" w:right="0"/>
              <w:jc w:val="left"/>
            </w:pPr>
            <w:r w:rsidRPr="0091435A">
              <w:t>ST/SG/AC.10/C.4/2016/2 (AEISG)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keepNext/>
              <w:keepLines/>
              <w:ind w:left="0" w:right="0"/>
              <w:jc w:val="left"/>
            </w:pPr>
            <w:r w:rsidRPr="0091435A">
              <w:t>(AEISG) Examen du chapitre 2.1 du SGH</w:t>
            </w:r>
          </w:p>
        </w:tc>
      </w:tr>
      <w:tr w:rsidR="00BE3123" w:rsidRPr="0091435A" w:rsidTr="0091435A">
        <w:trPr>
          <w:trHeight w:val="426"/>
        </w:trPr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Bullet1G"/>
              <w:numPr>
                <w:ilvl w:val="0"/>
                <w:numId w:val="0"/>
              </w:numPr>
              <w:ind w:right="0"/>
              <w:rPr>
                <w:u w:val="single"/>
              </w:rPr>
            </w:pPr>
            <w:r w:rsidRPr="0091435A">
              <w:t>ST/SG/AC.10/C.4/2016/3 (France)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keepNext/>
              <w:keepLines/>
              <w:ind w:left="0" w:right="0"/>
              <w:jc w:val="left"/>
            </w:pPr>
            <w:r w:rsidRPr="0091435A">
              <w:t xml:space="preserve">Programme d’épreuves </w:t>
            </w:r>
            <w:proofErr w:type="spellStart"/>
            <w:r w:rsidRPr="0091435A">
              <w:t>interlaboratoires</w:t>
            </w:r>
            <w:proofErr w:type="spellEnd"/>
            <w:r w:rsidRPr="0091435A">
              <w:t xml:space="preserve"> pour les matières solides et les liquides comburants (Épreuves ONU O.2 et O.3)</w:t>
            </w:r>
            <w:r w:rsidR="0091435A" w:rsidRPr="0091435A">
              <w:t>,</w:t>
            </w:r>
            <w:r w:rsidRPr="0091435A">
              <w:t xml:space="preserve"> résultats provisoires du programme et propositions de modifications des descriptifs des épreuves 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Bullet1G"/>
              <w:numPr>
                <w:ilvl w:val="0"/>
                <w:numId w:val="0"/>
              </w:numPr>
              <w:ind w:right="0"/>
              <w:rPr>
                <w:u w:val="single"/>
              </w:rPr>
            </w:pPr>
            <w:r w:rsidRPr="0091435A">
              <w:t>ST/SG/AC.10/C.4/2016/4 (Belgique/Japon)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keepNext/>
              <w:keepLines/>
              <w:ind w:left="0" w:right="0"/>
              <w:jc w:val="left"/>
            </w:pPr>
            <w:r w:rsidRPr="0091435A">
              <w:t>Proposition de modification des critères de classification et de la communication des dangers des gaz inflammables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ST/SG/AC.10/C.4/2016/5 (Allemagne/EIGA/CEFIC)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  <w:rPr>
                <w:spacing w:val="-1"/>
              </w:rPr>
            </w:pPr>
            <w:r w:rsidRPr="0091435A">
              <w:rPr>
                <w:spacing w:val="-1"/>
              </w:rPr>
              <w:t>Examen détaillé de la classe de danger «</w:t>
            </w:r>
            <w:r w:rsidR="0091435A" w:rsidRPr="0091435A">
              <w:rPr>
                <w:spacing w:val="-1"/>
              </w:rPr>
              <w:t> </w:t>
            </w:r>
            <w:r w:rsidRPr="0091435A">
              <w:rPr>
                <w:spacing w:val="-1"/>
              </w:rPr>
              <w:t>gaz inflammables</w:t>
            </w:r>
            <w:r w:rsidR="0091435A" w:rsidRPr="0091435A">
              <w:rPr>
                <w:spacing w:val="-1"/>
              </w:rPr>
              <w:t> </w:t>
            </w:r>
            <w:r w:rsidRPr="0091435A">
              <w:rPr>
                <w:spacing w:val="-1"/>
              </w:rPr>
              <w:t xml:space="preserve">» à l’occasion de l’introduction de nouveaux critères de classification 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ST/SG/AC.10/C.4/2016/10 (SAAMI)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Révisions de la partie 2.1.3 du SGH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91435A">
            <w:pPr>
              <w:pStyle w:val="SingleTxtG"/>
              <w:ind w:left="0" w:right="0"/>
              <w:jc w:val="left"/>
            </w:pPr>
            <w:r w:rsidRPr="0091435A">
              <w:t>Document informel INF.3 et Add.1</w:t>
            </w:r>
            <w:r w:rsidR="0091435A" w:rsidRPr="0091435A">
              <w:t>-</w:t>
            </w:r>
            <w:r w:rsidRPr="0091435A">
              <w:t>5 (Président du Groupe de travail des explosifs)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 xml:space="preserve">Révision du Manuel d’épreuves et de critères 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Document informel INF.4 (Canada et FEA)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Utilisation du Manuel d’épreuves et de critères dans le contexte du SGH</w:t>
            </w:r>
            <w:r w:rsidR="00D04CA8">
              <w:t> :</w:t>
            </w:r>
            <w:r w:rsidRPr="0091435A">
              <w:t xml:space="preserve"> Propositio</w:t>
            </w:r>
            <w:r w:rsidR="0091435A">
              <w:t>ns de modifications du chapitre </w:t>
            </w:r>
            <w:r w:rsidRPr="0091435A">
              <w:t>31 de la troisième partie du Manuel</w:t>
            </w:r>
          </w:p>
        </w:tc>
      </w:tr>
    </w:tbl>
    <w:p w:rsidR="00BE3123" w:rsidRPr="0091435A" w:rsidRDefault="00BE3123" w:rsidP="0091435A">
      <w:pPr>
        <w:pStyle w:val="SingleTxtG"/>
        <w:ind w:firstLine="567"/>
        <w:rPr>
          <w:rFonts w:eastAsia="MS Mincho"/>
          <w:lang w:eastAsia="ja-JP"/>
        </w:rPr>
      </w:pPr>
      <w:r w:rsidRPr="0091435A">
        <w:t xml:space="preserve">Les explosifs et questions connexes seront examinés par le </w:t>
      </w:r>
      <w:r w:rsidR="007D1601" w:rsidRPr="0091435A">
        <w:t>So</w:t>
      </w:r>
      <w:r w:rsidR="007D1601">
        <w:t>us</w:t>
      </w:r>
      <w:r w:rsidR="0091435A">
        <w:t>-</w:t>
      </w:r>
      <w:r w:rsidR="007D1601">
        <w:t xml:space="preserve">Comité </w:t>
      </w:r>
      <w:r w:rsidR="0091435A">
        <w:t>TMD sous le point </w:t>
      </w:r>
      <w:r w:rsidRPr="0091435A">
        <w:t>2 de son ordre du jour provisoire</w:t>
      </w:r>
      <w:r w:rsidRPr="0091435A">
        <w:rPr>
          <w:rFonts w:eastAsia="MS Mincho"/>
          <w:lang w:eastAsia="ja-JP"/>
        </w:rPr>
        <w:t xml:space="preserve">. </w:t>
      </w:r>
      <w:r w:rsidRPr="0091435A">
        <w:t>Le Sous-Comité TMD confier</w:t>
      </w:r>
      <w:r w:rsidR="0091435A">
        <w:t xml:space="preserve">a probablement </w:t>
      </w:r>
      <w:r w:rsidRPr="0091435A">
        <w:t xml:space="preserve">l’examen des documents soumis au titre de ce point de l’ordre du jour au Groupe de travail des explosifs, qui devrait </w:t>
      </w:r>
      <w:r w:rsidR="0091435A">
        <w:t xml:space="preserve">en principe </w:t>
      </w:r>
      <w:r w:rsidRPr="0091435A">
        <w:t xml:space="preserve">se réunir parallèlement à la session du Sous-Comité. Les délégués du Sous-Comité SGH </w:t>
      </w:r>
      <w:r w:rsidR="0091435A">
        <w:t xml:space="preserve">souhaitant </w:t>
      </w:r>
      <w:r w:rsidRPr="0091435A">
        <w:t>participer aux travaux du Sous-Comité TMD sur ces questions doivent s’inscrire pour les deux sessions (Sous-Comités TMD et SGH).</w:t>
      </w:r>
    </w:p>
    <w:p w:rsidR="00BE3123" w:rsidRPr="0091435A" w:rsidRDefault="00BE3123" w:rsidP="0091435A">
      <w:pPr>
        <w:pStyle w:val="H1G"/>
      </w:pPr>
      <w:r w:rsidRPr="0091435A">
        <w:tab/>
        <w:t>3.</w:t>
      </w:r>
      <w:r w:rsidRPr="0091435A">
        <w:tab/>
        <w:t xml:space="preserve">Critères de classification et communication </w:t>
      </w:r>
      <w:r w:rsidR="0091435A">
        <w:t xml:space="preserve">sur les </w:t>
      </w:r>
      <w:r w:rsidRPr="0091435A">
        <w:t xml:space="preserve">dangers </w:t>
      </w:r>
      <w:r w:rsidR="0091435A">
        <w:t>correspondants</w:t>
      </w:r>
    </w:p>
    <w:p w:rsidR="00BE3123" w:rsidRPr="0091435A" w:rsidRDefault="00BE3123" w:rsidP="007E3C8C">
      <w:pPr>
        <w:pStyle w:val="H23G"/>
      </w:pPr>
      <w:r w:rsidRPr="0091435A">
        <w:tab/>
        <w:t>a)</w:t>
      </w:r>
      <w:r w:rsidRPr="0091435A">
        <w:tab/>
        <w:t>Travaux du Sous-Comité TMD sur des questions intéressant le Sous-Comité SGH</w:t>
      </w:r>
    </w:p>
    <w:p w:rsidR="00BE3123" w:rsidRPr="0091435A" w:rsidRDefault="00BE3123" w:rsidP="007E3C8C">
      <w:pPr>
        <w:pStyle w:val="SingleTxtG"/>
        <w:ind w:firstLine="567"/>
        <w:rPr>
          <w:rFonts w:eastAsia="MS Mincho"/>
          <w:lang w:eastAsia="ja-JP"/>
        </w:rPr>
      </w:pPr>
      <w:r w:rsidRPr="0091435A">
        <w:t>Le Sous-Comité sera tenu au courant des résultats des discussions qui ont eu lieu au sein du Sous-Comité du transport des marchandises dangereuses à sa quarante-neuvième session en ce qui concerne les questions intéressant le Sous-Comité</w:t>
      </w:r>
      <w:r w:rsidRPr="0091435A">
        <w:rPr>
          <w:rStyle w:val="FootnoteReference"/>
          <w:rFonts w:eastAsia="MS Mincho"/>
        </w:rPr>
        <w:footnoteReference w:id="2"/>
      </w:r>
      <w:r w:rsidRPr="0091435A">
        <w:rPr>
          <w:rFonts w:eastAsia="MS Mincho"/>
          <w:lang w:eastAsia="ja-JP"/>
        </w:rPr>
        <w:t xml:space="preserve">. </w:t>
      </w:r>
    </w:p>
    <w:p w:rsidR="00BE3123" w:rsidRPr="0091435A" w:rsidRDefault="00BE3123" w:rsidP="0091435A">
      <w:pPr>
        <w:pStyle w:val="H23G"/>
      </w:pPr>
      <w:r w:rsidRPr="0091435A">
        <w:tab/>
        <w:t>b)</w:t>
      </w:r>
      <w:r w:rsidRPr="0091435A">
        <w:tab/>
        <w:t>Dangers d’explosion</w:t>
      </w:r>
      <w:r w:rsidR="0091435A">
        <w:t>s</w:t>
      </w:r>
      <w:r w:rsidRPr="0091435A">
        <w:t xml:space="preserve"> de poussières </w:t>
      </w:r>
    </w:p>
    <w:p w:rsidR="00BE3123" w:rsidRPr="0091435A" w:rsidRDefault="00BE3123" w:rsidP="007E3C8C">
      <w:pPr>
        <w:pStyle w:val="SingleTxtG"/>
        <w:ind w:firstLine="567"/>
      </w:pPr>
      <w:r w:rsidRPr="0091435A">
        <w:t>Aucun document n’avait été soumis sous ce point de l’ordre du jour au moment de la rédaction du présent document.</w:t>
      </w:r>
    </w:p>
    <w:p w:rsidR="00BE3123" w:rsidRPr="0091435A" w:rsidRDefault="00BE3123" w:rsidP="0091435A">
      <w:pPr>
        <w:pStyle w:val="SingleTxtG"/>
        <w:ind w:firstLine="567"/>
        <w:rPr>
          <w:spacing w:val="2"/>
        </w:rPr>
      </w:pPr>
      <w:r w:rsidRPr="0091435A">
        <w:rPr>
          <w:spacing w:val="2"/>
        </w:rPr>
        <w:t>L’expert des États-Unis d’Amérique souhaitera peut-être informer le Sous-Comité de l’état d’avancement des travaux du groupe de travail informel par correspondance chargé des dangers d’explosion</w:t>
      </w:r>
      <w:r w:rsidR="0091435A" w:rsidRPr="0091435A">
        <w:rPr>
          <w:spacing w:val="2"/>
        </w:rPr>
        <w:t>s</w:t>
      </w:r>
      <w:r w:rsidRPr="0091435A">
        <w:rPr>
          <w:spacing w:val="2"/>
        </w:rPr>
        <w:t xml:space="preserve"> de poussières depuis la dernière session</w:t>
      </w:r>
      <w:r w:rsidRPr="0091435A">
        <w:rPr>
          <w:rFonts w:eastAsia="MS Mincho"/>
          <w:spacing w:val="2"/>
          <w:lang w:eastAsia="ja-JP"/>
        </w:rPr>
        <w:t xml:space="preserve">. </w:t>
      </w:r>
      <w:r w:rsidRPr="0091435A">
        <w:rPr>
          <w:spacing w:val="2"/>
        </w:rPr>
        <w:t xml:space="preserve">Pour référence, </w:t>
      </w:r>
      <w:r w:rsidRPr="0091435A">
        <w:rPr>
          <w:spacing w:val="2"/>
        </w:rPr>
        <w:lastRenderedPageBreak/>
        <w:t xml:space="preserve">se reporter au rapport du Sous-Comité sur sa trentième session </w:t>
      </w:r>
      <w:r w:rsidRPr="0091435A">
        <w:rPr>
          <w:rFonts w:eastAsia="MS Mincho"/>
          <w:spacing w:val="2"/>
          <w:lang w:eastAsia="ja-JP"/>
        </w:rPr>
        <w:t>(</w:t>
      </w:r>
      <w:r w:rsidRPr="0091435A">
        <w:rPr>
          <w:spacing w:val="2"/>
        </w:rPr>
        <w:t>ST/SG/AC.10/C.4/60, par</w:t>
      </w:r>
      <w:r w:rsidR="0091435A" w:rsidRPr="0091435A">
        <w:rPr>
          <w:spacing w:val="2"/>
        </w:rPr>
        <w:t>. </w:t>
      </w:r>
      <w:r w:rsidRPr="0091435A">
        <w:rPr>
          <w:spacing w:val="2"/>
        </w:rPr>
        <w:t xml:space="preserve">13 à 19). </w:t>
      </w:r>
    </w:p>
    <w:p w:rsidR="00BE3123" w:rsidRPr="0091435A" w:rsidRDefault="00BE3123" w:rsidP="007E3C8C">
      <w:pPr>
        <w:pStyle w:val="H23G"/>
      </w:pPr>
      <w:r w:rsidRPr="0091435A">
        <w:tab/>
        <w:t>c)</w:t>
      </w:r>
      <w:r w:rsidRPr="0091435A">
        <w:tab/>
        <w:t>Quest</w:t>
      </w:r>
      <w:r w:rsidR="0091435A">
        <w:t>ions pratiques de classement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819"/>
      </w:tblGrid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keepNext/>
              <w:keepLines/>
              <w:ind w:left="0" w:right="0"/>
              <w:jc w:val="left"/>
            </w:pPr>
            <w:r w:rsidRPr="0091435A">
              <w:t>ST/SG/AC.10/C.4/2016/9 (États-Unis d’Amérique)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91435A">
            <w:pPr>
              <w:keepNext/>
              <w:keepLines/>
              <w:spacing w:after="120"/>
            </w:pPr>
            <w:r w:rsidRPr="0091435A">
              <w:t>Propositions visant à résou</w:t>
            </w:r>
            <w:r w:rsidR="0091435A">
              <w:t>dre les problèmes recensés dans </w:t>
            </w:r>
            <w:r w:rsidRPr="0091435A">
              <w:t>le programme de travail du groupe de travail par correspondance chargé des questions pratiques de class</w:t>
            </w:r>
            <w:r w:rsidR="0091435A">
              <w:t>ement</w:t>
            </w:r>
          </w:p>
        </w:tc>
      </w:tr>
    </w:tbl>
    <w:p w:rsidR="00BE3123" w:rsidRPr="0091435A" w:rsidRDefault="00BE3123" w:rsidP="00F767D7">
      <w:pPr>
        <w:pStyle w:val="H23G"/>
      </w:pPr>
      <w:r w:rsidRPr="0091435A">
        <w:tab/>
        <w:t>d)</w:t>
      </w:r>
      <w:r w:rsidRPr="0091435A">
        <w:tab/>
        <w:t>Dangers par aspiration</w:t>
      </w:r>
      <w:r w:rsidR="00D04CA8">
        <w:t> :</w:t>
      </w:r>
      <w:r w:rsidRPr="0091435A">
        <w:t xml:space="preserve"> critère de viscosité pour </w:t>
      </w:r>
      <w:r w:rsidR="00F767D7">
        <w:t>le classement</w:t>
      </w:r>
      <w:r w:rsidRPr="0091435A">
        <w:t xml:space="preserve"> des mélanges</w:t>
      </w:r>
    </w:p>
    <w:p w:rsidR="00BE3123" w:rsidRPr="0091435A" w:rsidRDefault="00BE3123" w:rsidP="00F767D7">
      <w:pPr>
        <w:pStyle w:val="SingleTxtG"/>
        <w:ind w:firstLine="567"/>
      </w:pPr>
      <w:r w:rsidRPr="0091435A">
        <w:t>Aucun document n’avait été soumis sous ce point de l’ordre du jour au moment de la rédaction du présent document</w:t>
      </w:r>
      <w:r w:rsidRPr="0091435A">
        <w:rPr>
          <w:rFonts w:eastAsia="MS Mincho"/>
          <w:lang w:eastAsia="ja-JP"/>
        </w:rPr>
        <w:t xml:space="preserve">. </w:t>
      </w:r>
      <w:r w:rsidRPr="0091435A">
        <w:t xml:space="preserve">Pour référence, se reporter au rapport du Sous-Comité sur sa trentième session </w:t>
      </w:r>
      <w:r w:rsidRPr="0091435A">
        <w:rPr>
          <w:rFonts w:eastAsia="MS Mincho"/>
          <w:lang w:eastAsia="ja-JP"/>
        </w:rPr>
        <w:t>(</w:t>
      </w:r>
      <w:r w:rsidRPr="0091435A">
        <w:t>ST/SG/AC.10/C.4/60, par</w:t>
      </w:r>
      <w:r w:rsidR="00F767D7">
        <w:t>. </w:t>
      </w:r>
      <w:r w:rsidRPr="0091435A">
        <w:t>23).</w:t>
      </w:r>
    </w:p>
    <w:p w:rsidR="00BE3123" w:rsidRPr="0091435A" w:rsidRDefault="00BE3123" w:rsidP="007E3C8C">
      <w:pPr>
        <w:pStyle w:val="H23G"/>
      </w:pPr>
      <w:r w:rsidRPr="0091435A">
        <w:tab/>
        <w:t>e)</w:t>
      </w:r>
      <w:r w:rsidRPr="0091435A">
        <w:tab/>
        <w:t>Nanomatériaux</w:t>
      </w:r>
    </w:p>
    <w:p w:rsidR="00BE3123" w:rsidRPr="0091435A" w:rsidRDefault="00BE3123" w:rsidP="00F767D7">
      <w:pPr>
        <w:pStyle w:val="SingleTxtG"/>
        <w:ind w:firstLine="567"/>
      </w:pPr>
      <w:r w:rsidRPr="0091435A">
        <w:t xml:space="preserve">L’expert de la France </w:t>
      </w:r>
      <w:r w:rsidR="00F767D7">
        <w:t>voudra sans doute</w:t>
      </w:r>
      <w:r w:rsidRPr="0091435A">
        <w:t xml:space="preserve"> informer le Sous-Comité de l’état d’avancement des travaux du groupe de travail informel par correspondance chargé des nanomatériaux depuis la dernière session. Pour référence, se reporter au rapport du Sous-Comité sur sa trentième session </w:t>
      </w:r>
      <w:r w:rsidRPr="0091435A">
        <w:rPr>
          <w:rFonts w:eastAsia="MS Mincho"/>
          <w:lang w:eastAsia="ja-JP"/>
        </w:rPr>
        <w:t>(</w:t>
      </w:r>
      <w:r w:rsidRPr="0091435A">
        <w:t>ST/SG/AC.10/C.4/60, par</w:t>
      </w:r>
      <w:r w:rsidR="00F767D7">
        <w:t>. </w:t>
      </w:r>
      <w:r w:rsidRPr="0091435A">
        <w:t>24</w:t>
      </w:r>
      <w:r w:rsidR="00F767D7">
        <w:t xml:space="preserve"> à </w:t>
      </w:r>
      <w:r w:rsidRPr="0091435A">
        <w:t xml:space="preserve">26). </w:t>
      </w:r>
    </w:p>
    <w:p w:rsidR="00BE3123" w:rsidRPr="0091435A" w:rsidRDefault="00BE3123" w:rsidP="007E3C8C">
      <w:pPr>
        <w:pStyle w:val="H23G"/>
      </w:pPr>
      <w:r w:rsidRPr="0091435A">
        <w:tab/>
        <w:t>f)</w:t>
      </w:r>
      <w:r w:rsidRPr="0091435A">
        <w:tab/>
        <w:t>Divers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819"/>
      </w:tblGrid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ST/SG/AC.10/C.4/2016/6 (AEISG, SAAMI)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F767D7">
            <w:pPr>
              <w:pStyle w:val="SingleTxtG"/>
              <w:ind w:left="0" w:right="0"/>
              <w:jc w:val="left"/>
            </w:pPr>
            <w:r w:rsidRPr="0091435A">
              <w:t>Clarification des critères de class</w:t>
            </w:r>
            <w:r w:rsidR="00F767D7">
              <w:t>ement</w:t>
            </w:r>
            <w:r w:rsidRPr="0091435A">
              <w:t xml:space="preserve"> des explosifs flegmatisés dans le SGH</w:t>
            </w:r>
          </w:p>
        </w:tc>
      </w:tr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ST/SG/AC.10/C.4/2016/7 (Pays-Bas et Royaume-Uni)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Utilisation de méthodes d’expérimentation non animales pour le classement des dangers pour la santé</w:t>
            </w:r>
            <w:r w:rsidR="00D04CA8">
              <w:t> :</w:t>
            </w:r>
            <w:r w:rsidRPr="0091435A">
              <w:t xml:space="preserve"> mandat du groupe de travail informel</w:t>
            </w:r>
          </w:p>
        </w:tc>
      </w:tr>
    </w:tbl>
    <w:p w:rsidR="00BE3123" w:rsidRPr="0091435A" w:rsidRDefault="00BE3123" w:rsidP="007E3C8C">
      <w:pPr>
        <w:pStyle w:val="H1G"/>
      </w:pPr>
      <w:r w:rsidRPr="0091435A">
        <w:tab/>
        <w:t>4.</w:t>
      </w:r>
      <w:r w:rsidRPr="0091435A">
        <w:tab/>
        <w:t xml:space="preserve">Questions relatives à la communication des </w:t>
      </w:r>
      <w:r w:rsidR="00F767D7">
        <w:t>informations de danger</w:t>
      </w:r>
    </w:p>
    <w:p w:rsidR="00BE3123" w:rsidRPr="0091435A" w:rsidRDefault="00BE3123" w:rsidP="007E3C8C">
      <w:pPr>
        <w:pStyle w:val="H23G"/>
      </w:pPr>
      <w:r w:rsidRPr="0091435A">
        <w:tab/>
        <w:t>a)</w:t>
      </w:r>
      <w:r w:rsidRPr="0091435A">
        <w:tab/>
        <w:t>Étiquetage des petits emballages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819"/>
      </w:tblGrid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ST/SG/AC.10/C.4/2016/8 (CEFIC)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Étiquetage des petits emballages</w:t>
            </w:r>
          </w:p>
        </w:tc>
      </w:tr>
    </w:tbl>
    <w:p w:rsidR="00BE3123" w:rsidRPr="0091435A" w:rsidRDefault="00BE3123" w:rsidP="00F767D7">
      <w:pPr>
        <w:pStyle w:val="H23G"/>
      </w:pPr>
      <w:r w:rsidRPr="0091435A">
        <w:tab/>
        <w:t>b)</w:t>
      </w:r>
      <w:r w:rsidRPr="0091435A">
        <w:tab/>
        <w:t>Amélioration des annexes 1 à 3 et poursuite de la rationalisation des conseils de</w:t>
      </w:r>
      <w:r w:rsidR="00F767D7">
        <w:t> </w:t>
      </w:r>
      <w:r w:rsidRPr="0091435A">
        <w:t>prudence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819"/>
      </w:tblGrid>
      <w:tr w:rsidR="00BE3123" w:rsidRPr="0091435A" w:rsidTr="0091435A">
        <w:tc>
          <w:tcPr>
            <w:tcW w:w="2552" w:type="dxa"/>
            <w:shd w:val="clear" w:color="auto" w:fill="auto"/>
          </w:tcPr>
          <w:p w:rsidR="00BE3123" w:rsidRPr="0091435A" w:rsidRDefault="00BE3123" w:rsidP="007E3C8C">
            <w:pPr>
              <w:pStyle w:val="SingleTxtG"/>
              <w:ind w:left="0" w:right="0"/>
              <w:jc w:val="left"/>
            </w:pPr>
            <w:r w:rsidRPr="0091435A">
              <w:t>ST/SG/AC.10/C.4/2016/1 (Suède)</w:t>
            </w:r>
          </w:p>
        </w:tc>
        <w:tc>
          <w:tcPr>
            <w:tcW w:w="4819" w:type="dxa"/>
            <w:shd w:val="clear" w:color="auto" w:fill="auto"/>
          </w:tcPr>
          <w:p w:rsidR="00BE3123" w:rsidRPr="0091435A" w:rsidRDefault="00BE3123" w:rsidP="00F767D7">
            <w:pPr>
              <w:spacing w:after="120"/>
            </w:pPr>
            <w:r w:rsidRPr="0091435A">
              <w:t xml:space="preserve">Proposition de modification du conseil de prudence P280 pour </w:t>
            </w:r>
            <w:r w:rsidR="00F767D7">
              <w:t xml:space="preserve">inclure </w:t>
            </w:r>
            <w:r w:rsidRPr="0091435A">
              <w:t>la protection de l’audition et d’autres équipements de protection individuelle</w:t>
            </w:r>
          </w:p>
        </w:tc>
      </w:tr>
    </w:tbl>
    <w:p w:rsidR="00BE3123" w:rsidRPr="0091435A" w:rsidRDefault="00BE3123" w:rsidP="00F767D7">
      <w:pPr>
        <w:pStyle w:val="SingleTxtG"/>
        <w:ind w:firstLine="567"/>
      </w:pPr>
      <w:r w:rsidRPr="0091435A">
        <w:t xml:space="preserve">L’expert du Royaume-Uni </w:t>
      </w:r>
      <w:r w:rsidR="00F767D7">
        <w:t xml:space="preserve">voudra sans doute </w:t>
      </w:r>
      <w:r w:rsidRPr="0091435A">
        <w:t>informer le Sous-Comité de l’état d’avancement des travaux du groupe de travail informel par correspondance chargé de l’</w:t>
      </w:r>
      <w:r w:rsidR="00F767D7">
        <w:t>amélioration des annexes </w:t>
      </w:r>
      <w:r w:rsidRPr="0091435A">
        <w:t>1 à 3 depuis la dernière session.</w:t>
      </w:r>
      <w:r w:rsidRPr="0091435A">
        <w:rPr>
          <w:rFonts w:eastAsia="MS Mincho"/>
          <w:lang w:eastAsia="ja-JP"/>
        </w:rPr>
        <w:t xml:space="preserve"> </w:t>
      </w:r>
      <w:r w:rsidRPr="0091435A">
        <w:t xml:space="preserve">Pour référence, se reporter au rapport du Sous-Comité sur sa trentième session </w:t>
      </w:r>
      <w:r w:rsidRPr="0091435A">
        <w:rPr>
          <w:rFonts w:eastAsia="MS Mincho"/>
          <w:lang w:eastAsia="ja-JP"/>
        </w:rPr>
        <w:t>(</w:t>
      </w:r>
      <w:r w:rsidRPr="0091435A">
        <w:t>ST/SG/AC.10/C.4/60, par</w:t>
      </w:r>
      <w:r w:rsidR="00F767D7">
        <w:t>. </w:t>
      </w:r>
      <w:r w:rsidRPr="0091435A">
        <w:t>35).</w:t>
      </w:r>
    </w:p>
    <w:p w:rsidR="00BE3123" w:rsidRPr="0091435A" w:rsidRDefault="00BE3123" w:rsidP="007E3C8C">
      <w:pPr>
        <w:pStyle w:val="H23G"/>
      </w:pPr>
      <w:r w:rsidRPr="0091435A">
        <w:tab/>
        <w:t>c)</w:t>
      </w:r>
      <w:r w:rsidRPr="0091435A">
        <w:tab/>
        <w:t>Divers</w:t>
      </w:r>
    </w:p>
    <w:p w:rsidR="00BE3123" w:rsidRPr="0091435A" w:rsidRDefault="00BE3123" w:rsidP="007E3C8C">
      <w:pPr>
        <w:pStyle w:val="SingleTxtG"/>
        <w:ind w:firstLine="567"/>
      </w:pPr>
      <w:r w:rsidRPr="0091435A">
        <w:t>Aucun document n’avait été soumis sous ce point de l’ordre du jour au moment de la rédaction du présent document</w:t>
      </w:r>
      <w:r w:rsidRPr="0091435A">
        <w:rPr>
          <w:rFonts w:eastAsia="MS Mincho"/>
          <w:lang w:eastAsia="ja-JP"/>
        </w:rPr>
        <w:t>.</w:t>
      </w:r>
    </w:p>
    <w:p w:rsidR="00BE3123" w:rsidRPr="0091435A" w:rsidRDefault="00BE3123" w:rsidP="007E3C8C">
      <w:pPr>
        <w:pStyle w:val="H1G"/>
      </w:pPr>
      <w:r w:rsidRPr="0091435A">
        <w:tab/>
        <w:t>5.</w:t>
      </w:r>
      <w:r w:rsidRPr="0091435A">
        <w:tab/>
        <w:t>Mise en œuvre du SGH</w:t>
      </w:r>
    </w:p>
    <w:p w:rsidR="00BE3123" w:rsidRPr="0091435A" w:rsidRDefault="00BE3123" w:rsidP="0091435A">
      <w:pPr>
        <w:pStyle w:val="H23G"/>
      </w:pPr>
      <w:r w:rsidRPr="0091435A">
        <w:tab/>
        <w:t>a)</w:t>
      </w:r>
      <w:r w:rsidRPr="0091435A">
        <w:tab/>
        <w:t>Élaboration d’une liste des produits chimiques classés conformément au SGH</w:t>
      </w:r>
    </w:p>
    <w:p w:rsidR="00BE3123" w:rsidRPr="0091435A" w:rsidRDefault="00BE3123" w:rsidP="00F767D7">
      <w:pPr>
        <w:pStyle w:val="SingleTxtG"/>
        <w:ind w:firstLine="567"/>
        <w:rPr>
          <w:rFonts w:eastAsia="MS Mincho"/>
          <w:lang w:eastAsia="ja-JP"/>
        </w:rPr>
      </w:pPr>
      <w:r w:rsidRPr="0091435A">
        <w:t xml:space="preserve">L’expert des États-Unis d’Amérique </w:t>
      </w:r>
      <w:r w:rsidR="00F767D7">
        <w:t xml:space="preserve">voudra sans doute </w:t>
      </w:r>
      <w:r w:rsidRPr="0091435A">
        <w:t>informer le Sous-Comité de l’état d’avancement des travaux du groupe de travail informel par correspondance depuis la dernière session</w:t>
      </w:r>
      <w:r w:rsidRPr="0091435A">
        <w:rPr>
          <w:rFonts w:eastAsia="MS Mincho"/>
          <w:lang w:eastAsia="ja-JP"/>
        </w:rPr>
        <w:t xml:space="preserve">. </w:t>
      </w:r>
      <w:r w:rsidRPr="0091435A">
        <w:t xml:space="preserve">Pour référence, se reporter au rapport du Sous-Comité sur sa trentième session </w:t>
      </w:r>
      <w:r w:rsidRPr="0091435A">
        <w:rPr>
          <w:rFonts w:eastAsia="MS Mincho"/>
          <w:lang w:eastAsia="ja-JP"/>
        </w:rPr>
        <w:t>(ST/SG/AC.10/C.4/60, par</w:t>
      </w:r>
      <w:r w:rsidR="0091435A" w:rsidRPr="0091435A">
        <w:rPr>
          <w:rFonts w:eastAsia="MS Mincho"/>
          <w:lang w:eastAsia="ja-JP"/>
        </w:rPr>
        <w:t>. </w:t>
      </w:r>
      <w:r w:rsidRPr="0091435A">
        <w:rPr>
          <w:rFonts w:eastAsia="MS Mincho"/>
          <w:lang w:eastAsia="ja-JP"/>
        </w:rPr>
        <w:t>38</w:t>
      </w:r>
      <w:r w:rsidR="0091435A" w:rsidRPr="0091435A">
        <w:rPr>
          <w:rFonts w:eastAsia="MS Mincho"/>
          <w:lang w:eastAsia="ja-JP"/>
        </w:rPr>
        <w:t xml:space="preserve"> à </w:t>
      </w:r>
      <w:r w:rsidRPr="0091435A">
        <w:rPr>
          <w:rFonts w:eastAsia="MS Mincho"/>
          <w:lang w:eastAsia="ja-JP"/>
        </w:rPr>
        <w:t>40).</w:t>
      </w:r>
    </w:p>
    <w:p w:rsidR="00BE3123" w:rsidRPr="0091435A" w:rsidRDefault="00BE3123" w:rsidP="007E3C8C">
      <w:pPr>
        <w:pStyle w:val="H23G"/>
      </w:pPr>
      <w:r w:rsidRPr="0091435A">
        <w:tab/>
        <w:t>b)</w:t>
      </w:r>
      <w:r w:rsidRPr="0091435A">
        <w:tab/>
        <w:t xml:space="preserve">Rapports relatifs à l’état de la mise en œuvre </w:t>
      </w:r>
    </w:p>
    <w:p w:rsidR="00BE3123" w:rsidRPr="0091435A" w:rsidRDefault="00BE3123" w:rsidP="007E3C8C">
      <w:pPr>
        <w:pStyle w:val="SingleTxtG"/>
        <w:ind w:firstLine="567"/>
      </w:pPr>
      <w:r w:rsidRPr="0091435A">
        <w:t>Les experts, observateurs et organisations internationales souhaiteront peut-être informer le Sous-Comité de l’état d’avancement de la mise en œuvre du SGH dans leurs pays ou domaines d’activités respectifs.</w:t>
      </w:r>
    </w:p>
    <w:p w:rsidR="00BE3123" w:rsidRPr="0091435A" w:rsidRDefault="00BE3123" w:rsidP="007E3C8C">
      <w:pPr>
        <w:pStyle w:val="H23G"/>
      </w:pPr>
      <w:r w:rsidRPr="0091435A">
        <w:tab/>
        <w:t>c)</w:t>
      </w:r>
      <w:r w:rsidRPr="0091435A">
        <w:tab/>
        <w:t>Coopération avec d’autres organes ou organisations internationales</w:t>
      </w:r>
    </w:p>
    <w:p w:rsidR="00BE3123" w:rsidRPr="0091435A" w:rsidRDefault="00BE3123" w:rsidP="007E3C8C">
      <w:pPr>
        <w:pStyle w:val="SingleTxtG"/>
        <w:ind w:firstLine="567"/>
      </w:pPr>
      <w:r w:rsidRPr="0091435A">
        <w:t xml:space="preserve">Aucun document n’avait été soumis sous ce point de l’ordre du jour au moment de la rédaction du présent document. </w:t>
      </w:r>
    </w:p>
    <w:p w:rsidR="00BE3123" w:rsidRPr="0091435A" w:rsidRDefault="00BE3123" w:rsidP="007E3C8C">
      <w:pPr>
        <w:pStyle w:val="H23G"/>
      </w:pPr>
      <w:r w:rsidRPr="0091435A">
        <w:tab/>
        <w:t>d)</w:t>
      </w:r>
      <w:r w:rsidRPr="0091435A">
        <w:tab/>
        <w:t>Divers</w:t>
      </w:r>
    </w:p>
    <w:p w:rsidR="00BE3123" w:rsidRPr="0091435A" w:rsidRDefault="00BE3123" w:rsidP="007E3C8C">
      <w:pPr>
        <w:pStyle w:val="SingleTxtG"/>
        <w:ind w:firstLine="567"/>
      </w:pPr>
      <w:r w:rsidRPr="0091435A">
        <w:t>Aucun document n’avait été soumis sous ce point de l’ordre du jour au moment de la rédaction du présent document.</w:t>
      </w:r>
    </w:p>
    <w:p w:rsidR="00BE3123" w:rsidRPr="0091435A" w:rsidRDefault="00BE3123" w:rsidP="00F767D7">
      <w:pPr>
        <w:pStyle w:val="H1G"/>
      </w:pPr>
      <w:r w:rsidRPr="0091435A">
        <w:tab/>
        <w:t>6.</w:t>
      </w:r>
      <w:r w:rsidRPr="0091435A">
        <w:tab/>
        <w:t xml:space="preserve">Mise au point de </w:t>
      </w:r>
      <w:r w:rsidR="00F767D7">
        <w:t xml:space="preserve">lignes </w:t>
      </w:r>
      <w:r w:rsidRPr="0091435A">
        <w:t>direct</w:t>
      </w:r>
      <w:r w:rsidR="00F767D7">
        <w:t>r</w:t>
      </w:r>
      <w:r w:rsidRPr="0091435A">
        <w:t>i</w:t>
      </w:r>
      <w:r w:rsidR="00F767D7">
        <w:t>c</w:t>
      </w:r>
      <w:r w:rsidRPr="0091435A">
        <w:t>es pour l’application des critères du</w:t>
      </w:r>
      <w:r w:rsidR="00F767D7">
        <w:t> </w:t>
      </w:r>
      <w:r w:rsidRPr="0091435A">
        <w:t>SGH</w:t>
      </w:r>
    </w:p>
    <w:p w:rsidR="00BE3123" w:rsidRPr="0091435A" w:rsidRDefault="00BE3123" w:rsidP="007E3C8C">
      <w:pPr>
        <w:pStyle w:val="SingleTxtG"/>
        <w:ind w:firstLine="567"/>
      </w:pPr>
      <w:r w:rsidRPr="0091435A">
        <w:t>Aucun document n’avait été soumis sous ce point de l’ordre du jour au moment de la rédaction du présent document.</w:t>
      </w:r>
    </w:p>
    <w:p w:rsidR="00BE3123" w:rsidRPr="0091435A" w:rsidRDefault="00BE3123" w:rsidP="007E3C8C">
      <w:pPr>
        <w:pStyle w:val="H1G"/>
      </w:pPr>
      <w:r w:rsidRPr="0091435A">
        <w:tab/>
        <w:t>7.</w:t>
      </w:r>
      <w:r w:rsidRPr="0091435A">
        <w:tab/>
        <w:t>Renforcement des capacités</w:t>
      </w:r>
    </w:p>
    <w:p w:rsidR="00BE3123" w:rsidRPr="0091435A" w:rsidRDefault="00BE3123" w:rsidP="007E3C8C">
      <w:pPr>
        <w:pStyle w:val="SingleTxtG"/>
        <w:ind w:firstLine="567"/>
      </w:pPr>
      <w:r w:rsidRPr="0091435A">
        <w:t>Les experts, observateurs et organisations internationales souhaiteront peut-être informer le Sous-Comité de leurs activités ou projets de renforcement des capacités entrepris en relation avec le SGH.</w:t>
      </w:r>
    </w:p>
    <w:p w:rsidR="00BE3123" w:rsidRPr="0091435A" w:rsidRDefault="00BE3123" w:rsidP="007E3C8C">
      <w:pPr>
        <w:pStyle w:val="H1G"/>
      </w:pPr>
      <w:r w:rsidRPr="0091435A">
        <w:tab/>
        <w:t>8.</w:t>
      </w:r>
      <w:r w:rsidRPr="0091435A">
        <w:tab/>
        <w:t>Questions diverses</w:t>
      </w:r>
    </w:p>
    <w:p w:rsidR="00BE3123" w:rsidRPr="0091435A" w:rsidRDefault="00BE3123" w:rsidP="007E3C8C">
      <w:pPr>
        <w:pStyle w:val="SingleTxtG"/>
        <w:ind w:firstLine="567"/>
      </w:pPr>
      <w:r w:rsidRPr="0091435A">
        <w:t>Aucun document n’avait été soumis sous ce point de l’ordre du jour au moment de la rédaction du présent document.</w:t>
      </w:r>
    </w:p>
    <w:p w:rsidR="00BE3123" w:rsidRPr="0091435A" w:rsidRDefault="00BE3123" w:rsidP="007E3C8C">
      <w:pPr>
        <w:pStyle w:val="H1G"/>
      </w:pPr>
      <w:r w:rsidRPr="0091435A">
        <w:tab/>
        <w:t>9.</w:t>
      </w:r>
      <w:r w:rsidRPr="0091435A">
        <w:tab/>
        <w:t>Adoption du rapport</w:t>
      </w:r>
    </w:p>
    <w:p w:rsidR="00BE3123" w:rsidRPr="0091435A" w:rsidRDefault="00BE3123" w:rsidP="00F767D7">
      <w:pPr>
        <w:pStyle w:val="SingleTxtG"/>
        <w:ind w:firstLine="567"/>
      </w:pPr>
      <w:r w:rsidRPr="0091435A">
        <w:t xml:space="preserve">Conformément à l’usage, le Sous-Comité </w:t>
      </w:r>
      <w:r w:rsidR="00F767D7">
        <w:t>pourra</w:t>
      </w:r>
      <w:r w:rsidRPr="0091435A">
        <w:t xml:space="preserve"> adopter le rapport de sa trente et unième session sur la base d’un projet établi par le secrétariat.</w:t>
      </w:r>
    </w:p>
    <w:p w:rsidR="00446FE5" w:rsidRPr="0091435A" w:rsidRDefault="00BE3123" w:rsidP="00BE3123">
      <w:pPr>
        <w:pStyle w:val="SingleTxtG"/>
        <w:spacing w:before="240" w:after="0"/>
        <w:jc w:val="center"/>
        <w:rPr>
          <w:u w:val="single"/>
        </w:rPr>
      </w:pPr>
      <w:r w:rsidRPr="0091435A">
        <w:rPr>
          <w:u w:val="single"/>
        </w:rPr>
        <w:tab/>
      </w:r>
      <w:r w:rsidRPr="0091435A">
        <w:rPr>
          <w:u w:val="single"/>
        </w:rPr>
        <w:tab/>
      </w:r>
      <w:r w:rsidRPr="0091435A">
        <w:rPr>
          <w:u w:val="single"/>
        </w:rPr>
        <w:tab/>
      </w:r>
    </w:p>
    <w:sectPr w:rsidR="00446FE5" w:rsidRPr="0091435A" w:rsidSect="00BE312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F7B" w:rsidRDefault="00757F7B" w:rsidP="00F95C08">
      <w:pPr>
        <w:spacing w:line="240" w:lineRule="auto"/>
      </w:pPr>
    </w:p>
  </w:endnote>
  <w:endnote w:type="continuationSeparator" w:id="0">
    <w:p w:rsidR="00757F7B" w:rsidRPr="00AC3823" w:rsidRDefault="00757F7B" w:rsidP="00AC3823">
      <w:pPr>
        <w:pStyle w:val="Footer"/>
      </w:pPr>
    </w:p>
  </w:endnote>
  <w:endnote w:type="continuationNotice" w:id="1">
    <w:p w:rsidR="00757F7B" w:rsidRDefault="00757F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23" w:rsidRPr="00BE3123" w:rsidRDefault="00BE3123" w:rsidP="00BE3123">
    <w:pPr>
      <w:pStyle w:val="Footer"/>
      <w:tabs>
        <w:tab w:val="right" w:pos="9638"/>
      </w:tabs>
    </w:pPr>
    <w:r w:rsidRPr="00BE3123">
      <w:rPr>
        <w:b/>
        <w:sz w:val="18"/>
      </w:rPr>
      <w:fldChar w:fldCharType="begin"/>
    </w:r>
    <w:r w:rsidRPr="00BE3123">
      <w:rPr>
        <w:b/>
        <w:sz w:val="18"/>
      </w:rPr>
      <w:instrText xml:space="preserve"> PAGE  \* MERGEFORMAT </w:instrText>
    </w:r>
    <w:r w:rsidRPr="00BE3123">
      <w:rPr>
        <w:b/>
        <w:sz w:val="18"/>
      </w:rPr>
      <w:fldChar w:fldCharType="separate"/>
    </w:r>
    <w:r w:rsidR="00D608AC">
      <w:rPr>
        <w:b/>
        <w:noProof/>
        <w:sz w:val="18"/>
      </w:rPr>
      <w:t>4</w:t>
    </w:r>
    <w:r w:rsidRPr="00BE3123">
      <w:rPr>
        <w:b/>
        <w:sz w:val="18"/>
      </w:rPr>
      <w:fldChar w:fldCharType="end"/>
    </w:r>
    <w:r>
      <w:rPr>
        <w:b/>
        <w:sz w:val="18"/>
      </w:rPr>
      <w:tab/>
    </w:r>
    <w:r>
      <w:t>GE.16-06892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23" w:rsidRPr="00BE3123" w:rsidRDefault="00BE3123" w:rsidP="00BE3123">
    <w:pPr>
      <w:pStyle w:val="Footer"/>
      <w:tabs>
        <w:tab w:val="right" w:pos="9638"/>
      </w:tabs>
      <w:rPr>
        <w:b/>
        <w:sz w:val="18"/>
      </w:rPr>
    </w:pPr>
    <w:r>
      <w:t>GE.16-06892</w:t>
    </w:r>
    <w:r>
      <w:tab/>
    </w:r>
    <w:r w:rsidRPr="00BE3123">
      <w:rPr>
        <w:b/>
        <w:sz w:val="18"/>
      </w:rPr>
      <w:fldChar w:fldCharType="begin"/>
    </w:r>
    <w:r w:rsidRPr="00BE3123">
      <w:rPr>
        <w:b/>
        <w:sz w:val="18"/>
      </w:rPr>
      <w:instrText xml:space="preserve"> PAGE  \* MERGEFORMAT </w:instrText>
    </w:r>
    <w:r w:rsidRPr="00BE3123">
      <w:rPr>
        <w:b/>
        <w:sz w:val="18"/>
      </w:rPr>
      <w:fldChar w:fldCharType="separate"/>
    </w:r>
    <w:r w:rsidR="00D608AC">
      <w:rPr>
        <w:b/>
        <w:noProof/>
        <w:sz w:val="18"/>
      </w:rPr>
      <w:t>3</w:t>
    </w:r>
    <w:r w:rsidRPr="00BE312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56F" w:rsidRPr="00BE3123" w:rsidRDefault="00BE3123" w:rsidP="00BE3123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4390E5B6" wp14:editId="28C9518F">
          <wp:simplePos x="0" y="0"/>
          <wp:positionH relativeFrom="margin">
            <wp:posOffset>4319905</wp:posOffset>
          </wp:positionH>
          <wp:positionV relativeFrom="margin">
            <wp:posOffset>8279765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16-06892  (F)</w:t>
    </w:r>
    <w:r w:rsidR="0091435A">
      <w:rPr>
        <w:sz w:val="20"/>
      </w:rPr>
      <w:t xml:space="preserve">    190516    190516</w:t>
    </w:r>
    <w:r>
      <w:rPr>
        <w:sz w:val="20"/>
      </w:rPr>
      <w:br/>
    </w:r>
    <w:r w:rsidRPr="00BE3123">
      <w:rPr>
        <w:rFonts w:ascii="C39T30Lfz" w:hAnsi="C39T30Lfz"/>
        <w:sz w:val="56"/>
      </w:rPr>
      <w:t></w:t>
    </w:r>
    <w:r w:rsidRPr="00BE3123">
      <w:rPr>
        <w:rFonts w:ascii="C39T30Lfz" w:hAnsi="C39T30Lfz"/>
        <w:sz w:val="56"/>
      </w:rPr>
      <w:t></w:t>
    </w:r>
    <w:r w:rsidRPr="00BE3123">
      <w:rPr>
        <w:rFonts w:ascii="C39T30Lfz" w:hAnsi="C39T30Lfz"/>
        <w:sz w:val="56"/>
      </w:rPr>
      <w:t></w:t>
    </w:r>
    <w:r w:rsidRPr="00BE3123">
      <w:rPr>
        <w:rFonts w:ascii="C39T30Lfz" w:hAnsi="C39T30Lfz"/>
        <w:sz w:val="56"/>
      </w:rPr>
      <w:t></w:t>
    </w:r>
    <w:r w:rsidRPr="00BE3123">
      <w:rPr>
        <w:rFonts w:ascii="C39T30Lfz" w:hAnsi="C39T30Lfz"/>
        <w:sz w:val="56"/>
      </w:rPr>
      <w:t></w:t>
    </w:r>
    <w:r w:rsidRPr="00BE3123">
      <w:rPr>
        <w:rFonts w:ascii="C39T30Lfz" w:hAnsi="C39T30Lfz"/>
        <w:sz w:val="56"/>
      </w:rPr>
      <w:t></w:t>
    </w:r>
    <w:r w:rsidRPr="00BE3123">
      <w:rPr>
        <w:rFonts w:ascii="C39T30Lfz" w:hAnsi="C39T30Lfz"/>
        <w:sz w:val="56"/>
      </w:rPr>
      <w:t></w:t>
    </w:r>
    <w:r w:rsidRPr="00BE3123">
      <w:rPr>
        <w:rFonts w:ascii="C39T30Lfz" w:hAnsi="C39T30Lfz"/>
        <w:sz w:val="56"/>
      </w:rPr>
      <w:t></w:t>
    </w:r>
    <w:r w:rsidRPr="00BE3123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8027670</wp:posOffset>
          </wp:positionV>
          <wp:extent cx="638175" cy="638175"/>
          <wp:effectExtent l="0" t="0" r="9525" b="9525"/>
          <wp:wrapNone/>
          <wp:docPr id="3" name="Image 1" descr="http://undocs.org/m2/QRCode.ashx?DS=ST/SG/AC.10/C.4/61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ST/SG/AC.10/C.4/61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F7B" w:rsidRPr="00AC3823" w:rsidRDefault="00757F7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57F7B" w:rsidRPr="00AC3823" w:rsidRDefault="00757F7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57F7B" w:rsidRPr="00AC3823" w:rsidRDefault="00757F7B">
      <w:pPr>
        <w:spacing w:line="240" w:lineRule="auto"/>
        <w:rPr>
          <w:sz w:val="2"/>
          <w:szCs w:val="2"/>
        </w:rPr>
      </w:pPr>
    </w:p>
  </w:footnote>
  <w:footnote w:id="2">
    <w:p w:rsidR="00BE3123" w:rsidRPr="00971B87" w:rsidRDefault="00BE3123" w:rsidP="007D1601">
      <w:pPr>
        <w:pStyle w:val="FootnoteText"/>
      </w:pPr>
      <w:r>
        <w:tab/>
      </w:r>
      <w:r w:rsidRPr="0091435A">
        <w:rPr>
          <w:rStyle w:val="FootnoteReference"/>
        </w:rPr>
        <w:footnoteRef/>
      </w:r>
      <w:r w:rsidRPr="00971B87">
        <w:t xml:space="preserve"> </w:t>
      </w:r>
      <w:r w:rsidRPr="00971B87">
        <w:tab/>
        <w:t>L</w:t>
      </w:r>
      <w:r>
        <w:t>’</w:t>
      </w:r>
      <w:r w:rsidRPr="00971B87">
        <w:t>ordre du jour provisoire de la quarante-neuvième session du Sous-Comité</w:t>
      </w:r>
      <w:r>
        <w:t xml:space="preserve"> </w:t>
      </w:r>
      <w:r w:rsidRPr="00971B87">
        <w:t>T</w:t>
      </w:r>
      <w:r>
        <w:t>M</w:t>
      </w:r>
      <w:r w:rsidRPr="00971B87">
        <w:t>D et ses annotations ont été di</w:t>
      </w:r>
      <w:r>
        <w:t xml:space="preserve">ffusés sous la cote </w:t>
      </w:r>
      <w:r w:rsidRPr="00971B87">
        <w:t xml:space="preserve">ST/SG/AC.10/C.3/97 </w:t>
      </w:r>
      <w:r>
        <w:t>et</w:t>
      </w:r>
      <w:r w:rsidRPr="00971B87">
        <w:t xml:space="preserve"> Add.1 (http</w:t>
      </w:r>
      <w:r w:rsidR="00D04CA8">
        <w:t>:</w:t>
      </w:r>
      <w:r w:rsidRPr="00971B87">
        <w:t>//www.unece.org/trans/main/dgdb/dgsubc3/c3age.html).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23" w:rsidRPr="00BE3123" w:rsidRDefault="00BE3123">
    <w:pPr>
      <w:pStyle w:val="Header"/>
    </w:pPr>
    <w:r>
      <w:t>ST/SG/AC.10/C.4/61/Add.1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123" w:rsidRPr="00BE3123" w:rsidRDefault="00BE3123" w:rsidP="00BE3123">
    <w:pPr>
      <w:pStyle w:val="Header"/>
      <w:jc w:val="right"/>
    </w:pPr>
    <w:r>
      <w:t>ST/SG/AC.10/C.4/61/Add.1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F7B"/>
    <w:rsid w:val="00017F94"/>
    <w:rsid w:val="00023842"/>
    <w:rsid w:val="000305D3"/>
    <w:rsid w:val="000334F9"/>
    <w:rsid w:val="0007796D"/>
    <w:rsid w:val="000B7790"/>
    <w:rsid w:val="00111F2F"/>
    <w:rsid w:val="00132EA9"/>
    <w:rsid w:val="0014365E"/>
    <w:rsid w:val="00176178"/>
    <w:rsid w:val="001F525A"/>
    <w:rsid w:val="00223272"/>
    <w:rsid w:val="0024779E"/>
    <w:rsid w:val="00283190"/>
    <w:rsid w:val="002832AC"/>
    <w:rsid w:val="00293093"/>
    <w:rsid w:val="002D7C93"/>
    <w:rsid w:val="00441C3B"/>
    <w:rsid w:val="00446FE5"/>
    <w:rsid w:val="00452396"/>
    <w:rsid w:val="004E468C"/>
    <w:rsid w:val="005505B7"/>
    <w:rsid w:val="00573BE5"/>
    <w:rsid w:val="00586ED3"/>
    <w:rsid w:val="00596AA9"/>
    <w:rsid w:val="0068456F"/>
    <w:rsid w:val="0071601D"/>
    <w:rsid w:val="00757F7B"/>
    <w:rsid w:val="007A62E6"/>
    <w:rsid w:val="007D1601"/>
    <w:rsid w:val="007E3C8C"/>
    <w:rsid w:val="0080684C"/>
    <w:rsid w:val="00871C75"/>
    <w:rsid w:val="008776DC"/>
    <w:rsid w:val="0091435A"/>
    <w:rsid w:val="009705C8"/>
    <w:rsid w:val="009C1CF4"/>
    <w:rsid w:val="00A30353"/>
    <w:rsid w:val="00AC3823"/>
    <w:rsid w:val="00AE323C"/>
    <w:rsid w:val="00B00181"/>
    <w:rsid w:val="00B00B0D"/>
    <w:rsid w:val="00B765F7"/>
    <w:rsid w:val="00BA0CA9"/>
    <w:rsid w:val="00BE3123"/>
    <w:rsid w:val="00C02897"/>
    <w:rsid w:val="00D04CA8"/>
    <w:rsid w:val="00D3439C"/>
    <w:rsid w:val="00D608AC"/>
    <w:rsid w:val="00DB1831"/>
    <w:rsid w:val="00DD3BFD"/>
    <w:rsid w:val="00DF6678"/>
    <w:rsid w:val="00EF2E22"/>
    <w:rsid w:val="00F660DF"/>
    <w:rsid w:val="00F730C8"/>
    <w:rsid w:val="00F767D7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2831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283190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1170</Words>
  <Characters>6674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ST/SG/AC.10/C.4/61/Add.1</vt:lpstr>
      <vt:lpstr>ST/SG/AC.10/C.4/61/Add.1</vt:lpstr>
    </vt:vector>
  </TitlesOfParts>
  <Company>DCM</Company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ST/SG/AC.10/C.4/61/Add.1</dc:title>
  <dc:creator>Morin</dc:creator>
  <cp:lastModifiedBy>Laurence Berthet</cp:lastModifiedBy>
  <cp:revision>2</cp:revision>
  <cp:lastPrinted>2016-05-23T13:29:00Z</cp:lastPrinted>
  <dcterms:created xsi:type="dcterms:W3CDTF">2016-05-23T13:30:00Z</dcterms:created>
  <dcterms:modified xsi:type="dcterms:W3CDTF">2016-05-23T13:30:00Z</dcterms:modified>
</cp:coreProperties>
</file>