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7A355204" w14:textId="77777777" w:rsidTr="00DF5712">
        <w:trPr>
          <w:trHeight w:hRule="exact" w:val="851"/>
        </w:trPr>
        <w:tc>
          <w:tcPr>
            <w:tcW w:w="1276" w:type="dxa"/>
            <w:tcBorders>
              <w:bottom w:val="single" w:sz="4" w:space="0" w:color="auto"/>
            </w:tcBorders>
          </w:tcPr>
          <w:p w14:paraId="31909A20" w14:textId="77777777" w:rsidR="00A14420" w:rsidRPr="00DB58B5" w:rsidRDefault="00A14420" w:rsidP="004C0389"/>
        </w:tc>
        <w:tc>
          <w:tcPr>
            <w:tcW w:w="2268" w:type="dxa"/>
            <w:tcBorders>
              <w:bottom w:val="single" w:sz="4" w:space="0" w:color="auto"/>
            </w:tcBorders>
            <w:vAlign w:val="bottom"/>
          </w:tcPr>
          <w:p w14:paraId="13758B54"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6ED6DB" w14:textId="77777777" w:rsidR="00A14420" w:rsidRPr="00DB58B5" w:rsidRDefault="004C0389" w:rsidP="004C0389">
            <w:pPr>
              <w:jc w:val="right"/>
            </w:pPr>
            <w:r w:rsidRPr="004C0389">
              <w:rPr>
                <w:sz w:val="40"/>
              </w:rPr>
              <w:t>ECE</w:t>
            </w:r>
            <w:r>
              <w:t>/MP.PP/WG.1/2020/7</w:t>
            </w:r>
          </w:p>
        </w:tc>
      </w:tr>
      <w:tr w:rsidR="00A14420" w:rsidRPr="00DB58B5" w14:paraId="0122B2FD" w14:textId="77777777" w:rsidTr="00DF5712">
        <w:trPr>
          <w:trHeight w:hRule="exact" w:val="2835"/>
        </w:trPr>
        <w:tc>
          <w:tcPr>
            <w:tcW w:w="1276" w:type="dxa"/>
            <w:tcBorders>
              <w:top w:val="single" w:sz="4" w:space="0" w:color="auto"/>
              <w:bottom w:val="single" w:sz="12" w:space="0" w:color="auto"/>
            </w:tcBorders>
          </w:tcPr>
          <w:p w14:paraId="6A986813" w14:textId="77777777" w:rsidR="00A14420" w:rsidRPr="00DB58B5" w:rsidRDefault="00A14420" w:rsidP="00DF5712">
            <w:pPr>
              <w:spacing w:before="120"/>
              <w:jc w:val="center"/>
            </w:pPr>
            <w:r>
              <w:rPr>
                <w:noProof/>
                <w:lang w:eastAsia="fr-CH"/>
              </w:rPr>
              <w:drawing>
                <wp:inline distT="0" distB="0" distL="0" distR="0" wp14:anchorId="4FBF27EF" wp14:editId="736BCE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DD8E3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A5FB13" w14:textId="77777777" w:rsidR="00A14420" w:rsidRDefault="004C0389" w:rsidP="00DF5712">
            <w:pPr>
              <w:spacing w:before="240"/>
            </w:pPr>
            <w:r>
              <w:t>Distr. générale</w:t>
            </w:r>
          </w:p>
          <w:p w14:paraId="1B9DBDC7" w14:textId="77777777" w:rsidR="004C0389" w:rsidRDefault="004C0389" w:rsidP="004C0389">
            <w:pPr>
              <w:spacing w:line="240" w:lineRule="exact"/>
            </w:pPr>
            <w:r>
              <w:t>9 avril 2020</w:t>
            </w:r>
          </w:p>
          <w:p w14:paraId="0D8645C6" w14:textId="77777777" w:rsidR="004C0389" w:rsidRDefault="004C0389" w:rsidP="004C0389">
            <w:pPr>
              <w:spacing w:line="240" w:lineRule="exact"/>
            </w:pPr>
            <w:r>
              <w:t>Français</w:t>
            </w:r>
          </w:p>
          <w:p w14:paraId="732F8588" w14:textId="77777777" w:rsidR="004C0389" w:rsidRPr="00DB58B5" w:rsidRDefault="004C0389" w:rsidP="004C0389">
            <w:pPr>
              <w:spacing w:line="240" w:lineRule="exact"/>
            </w:pPr>
            <w:r>
              <w:t>Original : anglais</w:t>
            </w:r>
          </w:p>
        </w:tc>
      </w:tr>
    </w:tbl>
    <w:p w14:paraId="2B393BB3" w14:textId="77777777" w:rsidR="00C554CE" w:rsidRDefault="00C554CE" w:rsidP="00C554CE">
      <w:pPr>
        <w:spacing w:before="120"/>
        <w:rPr>
          <w:b/>
          <w:sz w:val="28"/>
          <w:szCs w:val="28"/>
        </w:rPr>
      </w:pPr>
      <w:r w:rsidRPr="000312C0">
        <w:rPr>
          <w:b/>
          <w:sz w:val="28"/>
          <w:szCs w:val="28"/>
        </w:rPr>
        <w:t>Commission économique pour l</w:t>
      </w:r>
      <w:r w:rsidR="00457C42">
        <w:rPr>
          <w:b/>
          <w:sz w:val="28"/>
          <w:szCs w:val="28"/>
        </w:rPr>
        <w:t>’</w:t>
      </w:r>
      <w:r w:rsidRPr="000312C0">
        <w:rPr>
          <w:b/>
          <w:sz w:val="28"/>
          <w:szCs w:val="28"/>
        </w:rPr>
        <w:t>Europe</w:t>
      </w:r>
    </w:p>
    <w:p w14:paraId="4DB406D0" w14:textId="77777777" w:rsidR="004C0389" w:rsidRPr="00884FBF" w:rsidRDefault="004C0389" w:rsidP="00C554CE">
      <w:pPr>
        <w:spacing w:before="120"/>
        <w:rPr>
          <w:sz w:val="28"/>
          <w:szCs w:val="28"/>
        </w:rPr>
      </w:pPr>
      <w:r w:rsidRPr="00884FBF">
        <w:rPr>
          <w:sz w:val="28"/>
          <w:szCs w:val="28"/>
        </w:rPr>
        <w:t>Réunion des Parties à la Convention sur l</w:t>
      </w:r>
      <w:r w:rsidR="00457C42">
        <w:rPr>
          <w:sz w:val="28"/>
          <w:szCs w:val="28"/>
        </w:rPr>
        <w:t>’</w:t>
      </w:r>
      <w:r w:rsidRPr="00884FBF">
        <w:rPr>
          <w:sz w:val="28"/>
          <w:szCs w:val="28"/>
        </w:rPr>
        <w:t>accès</w:t>
      </w:r>
      <w:r>
        <w:rPr>
          <w:sz w:val="28"/>
          <w:szCs w:val="28"/>
        </w:rPr>
        <w:br/>
      </w:r>
      <w:r w:rsidRPr="00884FBF">
        <w:rPr>
          <w:sz w:val="28"/>
          <w:szCs w:val="28"/>
        </w:rPr>
        <w:t>à l</w:t>
      </w:r>
      <w:r w:rsidR="00457C42">
        <w:rPr>
          <w:sz w:val="28"/>
          <w:szCs w:val="28"/>
        </w:rPr>
        <w:t>’</w:t>
      </w:r>
      <w:r w:rsidRPr="00884FBF">
        <w:rPr>
          <w:sz w:val="28"/>
          <w:szCs w:val="28"/>
        </w:rPr>
        <w:t>information,</w:t>
      </w:r>
      <w:r>
        <w:rPr>
          <w:sz w:val="28"/>
          <w:szCs w:val="28"/>
        </w:rPr>
        <w:t xml:space="preserve"> </w:t>
      </w:r>
      <w:r w:rsidRPr="00884FBF">
        <w:rPr>
          <w:sz w:val="28"/>
          <w:szCs w:val="28"/>
        </w:rPr>
        <w:t>la participation du public</w:t>
      </w:r>
      <w:r>
        <w:rPr>
          <w:sz w:val="28"/>
          <w:szCs w:val="28"/>
        </w:rPr>
        <w:br/>
      </w:r>
      <w:r w:rsidRPr="00884FBF">
        <w:rPr>
          <w:sz w:val="28"/>
          <w:szCs w:val="28"/>
        </w:rPr>
        <w:t>au processus décisionnel</w:t>
      </w:r>
      <w:r>
        <w:rPr>
          <w:sz w:val="28"/>
          <w:szCs w:val="28"/>
        </w:rPr>
        <w:t xml:space="preserve"> </w:t>
      </w:r>
      <w:r w:rsidRPr="00884FBF">
        <w:rPr>
          <w:sz w:val="28"/>
          <w:szCs w:val="28"/>
        </w:rPr>
        <w:t>et l</w:t>
      </w:r>
      <w:r w:rsidR="00457C42">
        <w:rPr>
          <w:sz w:val="28"/>
          <w:szCs w:val="28"/>
        </w:rPr>
        <w:t>’</w:t>
      </w:r>
      <w:r w:rsidRPr="00884FBF">
        <w:rPr>
          <w:sz w:val="28"/>
          <w:szCs w:val="28"/>
        </w:rPr>
        <w:t>accès à la justice</w:t>
      </w:r>
      <w:r>
        <w:rPr>
          <w:sz w:val="28"/>
          <w:szCs w:val="28"/>
        </w:rPr>
        <w:br/>
      </w:r>
      <w:r w:rsidRPr="00884FBF">
        <w:rPr>
          <w:sz w:val="28"/>
          <w:szCs w:val="28"/>
        </w:rPr>
        <w:t>en matière d</w:t>
      </w:r>
      <w:r w:rsidR="00457C42">
        <w:rPr>
          <w:sz w:val="28"/>
          <w:szCs w:val="28"/>
        </w:rPr>
        <w:t>’</w:t>
      </w:r>
      <w:r w:rsidRPr="00884FBF">
        <w:rPr>
          <w:sz w:val="28"/>
          <w:szCs w:val="28"/>
        </w:rPr>
        <w:t>environnement</w:t>
      </w:r>
    </w:p>
    <w:p w14:paraId="0E76352A" w14:textId="77777777" w:rsidR="004C0389" w:rsidRPr="00884FBF" w:rsidRDefault="004C0389" w:rsidP="00C554CE">
      <w:pPr>
        <w:spacing w:before="120"/>
        <w:rPr>
          <w:b/>
          <w:sz w:val="24"/>
          <w:szCs w:val="24"/>
        </w:rPr>
      </w:pPr>
      <w:r w:rsidRPr="00884FBF">
        <w:rPr>
          <w:b/>
          <w:sz w:val="24"/>
          <w:szCs w:val="24"/>
        </w:rPr>
        <w:t>Groupe de travail des Parties</w:t>
      </w:r>
    </w:p>
    <w:p w14:paraId="67E25516" w14:textId="77777777" w:rsidR="004C0389" w:rsidRPr="004C0389" w:rsidRDefault="004C0389" w:rsidP="004C0389">
      <w:pPr>
        <w:spacing w:before="120"/>
        <w:rPr>
          <w:b/>
          <w:lang w:val="fr-FR"/>
        </w:rPr>
      </w:pPr>
      <w:r w:rsidRPr="004C0389">
        <w:rPr>
          <w:b/>
          <w:bCs/>
          <w:lang w:val="fr-FR"/>
        </w:rPr>
        <w:t>Vingt-quatrième réunion</w:t>
      </w:r>
    </w:p>
    <w:p w14:paraId="70E71C1C" w14:textId="77777777" w:rsidR="004C0389" w:rsidRPr="004C0389" w:rsidRDefault="004C0389" w:rsidP="004C0389">
      <w:pPr>
        <w:rPr>
          <w:lang w:val="fr-FR"/>
        </w:rPr>
      </w:pPr>
      <w:r w:rsidRPr="004C0389">
        <w:rPr>
          <w:lang w:val="fr-FR"/>
        </w:rPr>
        <w:t>Genève, 1</w:t>
      </w:r>
      <w:r w:rsidRPr="004C0389">
        <w:rPr>
          <w:vertAlign w:val="superscript"/>
          <w:lang w:val="fr-FR"/>
        </w:rPr>
        <w:t>er</w:t>
      </w:r>
      <w:r w:rsidRPr="004C0389">
        <w:rPr>
          <w:lang w:val="fr-FR"/>
        </w:rPr>
        <w:t>-3 juillet 2020</w:t>
      </w:r>
    </w:p>
    <w:p w14:paraId="6D2E4652" w14:textId="77777777" w:rsidR="004C0389" w:rsidRPr="004C0389" w:rsidRDefault="004C0389" w:rsidP="004C0389">
      <w:pPr>
        <w:rPr>
          <w:lang w:val="fr-FR"/>
        </w:rPr>
      </w:pPr>
      <w:r w:rsidRPr="004C0389">
        <w:rPr>
          <w:lang w:val="fr-FR"/>
        </w:rPr>
        <w:t>Point 7 a) de l</w:t>
      </w:r>
      <w:r w:rsidR="00457C42">
        <w:rPr>
          <w:lang w:val="fr-FR"/>
        </w:rPr>
        <w:t>’</w:t>
      </w:r>
      <w:r w:rsidRPr="004C0389">
        <w:rPr>
          <w:lang w:val="fr-FR"/>
        </w:rPr>
        <w:t>ordre du jour provisoire</w:t>
      </w:r>
    </w:p>
    <w:p w14:paraId="234CA436" w14:textId="77777777" w:rsidR="004C0389" w:rsidRPr="004C0389" w:rsidRDefault="004C0389" w:rsidP="004C0389">
      <w:pPr>
        <w:rPr>
          <w:b/>
          <w:lang w:val="fr-FR"/>
        </w:rPr>
      </w:pPr>
      <w:r w:rsidRPr="004C0389">
        <w:rPr>
          <w:b/>
          <w:bCs/>
          <w:lang w:val="fr-FR"/>
        </w:rPr>
        <w:t>Préparatifs de la septième session de la Réunion des Parties :</w:t>
      </w:r>
      <w:r>
        <w:rPr>
          <w:b/>
          <w:bCs/>
          <w:lang w:val="fr-FR"/>
        </w:rPr>
        <w:br/>
      </w:r>
      <w:r w:rsidRPr="004C0389">
        <w:rPr>
          <w:b/>
          <w:bCs/>
          <w:lang w:val="fr-FR"/>
        </w:rPr>
        <w:t>programme de travail futur</w:t>
      </w:r>
    </w:p>
    <w:p w14:paraId="4E447F29" w14:textId="77777777" w:rsidR="004C0389" w:rsidRPr="004C0389" w:rsidRDefault="004C0389" w:rsidP="004C0389">
      <w:pPr>
        <w:pStyle w:val="HChG"/>
        <w:rPr>
          <w:lang w:val="fr-FR"/>
        </w:rPr>
      </w:pPr>
      <w:r w:rsidRPr="004C0389">
        <w:rPr>
          <w:lang w:val="fr-FR"/>
        </w:rPr>
        <w:tab/>
      </w:r>
      <w:r w:rsidRPr="004C0389">
        <w:rPr>
          <w:lang w:val="fr-FR"/>
        </w:rPr>
        <w:tab/>
        <w:t xml:space="preserve">Projet </w:t>
      </w:r>
      <w:r w:rsidRPr="004C0389">
        <w:t>d</w:t>
      </w:r>
      <w:r w:rsidR="00457C42">
        <w:t>’</w:t>
      </w:r>
      <w:r w:rsidRPr="004C0389">
        <w:t>éléments</w:t>
      </w:r>
      <w:r w:rsidRPr="004C0389">
        <w:rPr>
          <w:lang w:val="fr-FR"/>
        </w:rPr>
        <w:t xml:space="preserve"> du programme de travail pour 2022-2025</w:t>
      </w:r>
    </w:p>
    <w:p w14:paraId="34CF360A" w14:textId="77777777" w:rsidR="005F26E5" w:rsidRDefault="004C0389" w:rsidP="004C0389">
      <w:pPr>
        <w:pStyle w:val="H1G"/>
        <w:rPr>
          <w:lang w:val="fr-FR"/>
        </w:rPr>
      </w:pPr>
      <w:r w:rsidRPr="00FA790F">
        <w:rPr>
          <w:lang w:val="fr-FR"/>
        </w:rPr>
        <w:tab/>
      </w:r>
      <w:r w:rsidRPr="00FA790F">
        <w:rPr>
          <w:lang w:val="fr-FR"/>
        </w:rPr>
        <w:tab/>
        <w:t xml:space="preserve">Document établi par le Bureau avec </w:t>
      </w:r>
      <w:r w:rsidRPr="004C0389">
        <w:t>le</w:t>
      </w:r>
      <w:r w:rsidRPr="00FA790F">
        <w:rPr>
          <w:lang w:val="fr-FR"/>
        </w:rPr>
        <w:t xml:space="preserve"> concours de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C0389" w14:paraId="4C2BEDDA" w14:textId="77777777">
        <w:trPr>
          <w:jc w:val="center"/>
        </w:trPr>
        <w:tc>
          <w:tcPr>
            <w:tcW w:w="9637" w:type="dxa"/>
            <w:shd w:val="clear" w:color="auto" w:fill="auto"/>
          </w:tcPr>
          <w:p w14:paraId="0C58F7ED" w14:textId="77777777" w:rsidR="004C0389" w:rsidRDefault="004C0389">
            <w:pPr>
              <w:spacing w:before="240" w:after="120"/>
              <w:ind w:left="255"/>
              <w:rPr>
                <w:i/>
                <w:sz w:val="24"/>
              </w:rPr>
            </w:pPr>
            <w:r>
              <w:rPr>
                <w:i/>
                <w:sz w:val="24"/>
              </w:rPr>
              <w:t>Résumé</w:t>
            </w:r>
          </w:p>
        </w:tc>
      </w:tr>
      <w:tr w:rsidR="004C0389" w14:paraId="4DC57A2E" w14:textId="77777777" w:rsidTr="004C0389">
        <w:trPr>
          <w:jc w:val="center"/>
        </w:trPr>
        <w:tc>
          <w:tcPr>
            <w:tcW w:w="9637" w:type="dxa"/>
            <w:tcBorders>
              <w:bottom w:val="nil"/>
            </w:tcBorders>
            <w:shd w:val="clear" w:color="auto" w:fill="auto"/>
          </w:tcPr>
          <w:p w14:paraId="4C50AB39" w14:textId="77777777" w:rsidR="004C0389" w:rsidRDefault="004C0389" w:rsidP="004C0389">
            <w:pPr>
              <w:pStyle w:val="SingleTxtG"/>
              <w:ind w:firstLine="567"/>
            </w:pPr>
            <w:r w:rsidRPr="004C0389">
              <w:rPr>
                <w:lang w:val="fr-FR"/>
              </w:rPr>
              <w:t>À sa sixième session (</w:t>
            </w:r>
            <w:proofErr w:type="spellStart"/>
            <w:r w:rsidRPr="004C0389">
              <w:rPr>
                <w:lang w:val="fr-FR"/>
              </w:rPr>
              <w:t>Budva</w:t>
            </w:r>
            <w:proofErr w:type="spellEnd"/>
            <w:r w:rsidRPr="004C0389">
              <w:rPr>
                <w:lang w:val="fr-FR"/>
              </w:rPr>
              <w:t xml:space="preserve"> (Monténégro), 11-14</w:t>
            </w:r>
            <w:r w:rsidR="00B10F0D">
              <w:rPr>
                <w:lang w:val="fr-FR"/>
              </w:rPr>
              <w:t> </w:t>
            </w:r>
            <w:r w:rsidRPr="004C0389">
              <w:rPr>
                <w:lang w:val="fr-FR"/>
              </w:rPr>
              <w:t>septembre 2017), la Réunion des Parties à la Convention sur l</w:t>
            </w:r>
            <w:r w:rsidR="00457C42">
              <w:rPr>
                <w:lang w:val="fr-FR"/>
              </w:rPr>
              <w:t>’</w:t>
            </w:r>
            <w:r w:rsidRPr="004C0389">
              <w:rPr>
                <w:lang w:val="fr-FR"/>
              </w:rPr>
              <w:t>accès à l</w:t>
            </w:r>
            <w:r w:rsidR="00457C42">
              <w:rPr>
                <w:lang w:val="fr-FR"/>
              </w:rPr>
              <w:t>’</w:t>
            </w:r>
            <w:r w:rsidRPr="004C0389">
              <w:rPr>
                <w:lang w:val="fr-FR"/>
              </w:rPr>
              <w:t>information, la participation du public au processus décisionnel et l</w:t>
            </w:r>
            <w:r w:rsidR="00457C42">
              <w:rPr>
                <w:lang w:val="fr-FR"/>
              </w:rPr>
              <w:t>’</w:t>
            </w:r>
            <w:r w:rsidRPr="004C0389">
              <w:rPr>
                <w:lang w:val="fr-FR"/>
              </w:rPr>
              <w:t>accès à la justice en matière d</w:t>
            </w:r>
            <w:r w:rsidR="00457C42">
              <w:rPr>
                <w:lang w:val="fr-FR"/>
              </w:rPr>
              <w:t>’</w:t>
            </w:r>
            <w:r w:rsidRPr="004C0389">
              <w:rPr>
                <w:lang w:val="fr-FR"/>
              </w:rPr>
              <w:t>environnement a demandé au secrétariat d</w:t>
            </w:r>
            <w:r w:rsidR="00457C42">
              <w:rPr>
                <w:lang w:val="fr-FR"/>
              </w:rPr>
              <w:t>’</w:t>
            </w:r>
            <w:r w:rsidRPr="004C0389">
              <w:rPr>
                <w:lang w:val="fr-FR"/>
              </w:rPr>
              <w:t>établir un projet de programme de travail pour la période intersessions qui suivrait la septième session de la Réunion des Parties, contenant une ventilation détaillée des prévisions de dépenses, en vue de son examen et de sa mise au point plus poussée par le Bureau et le Groupe de travail des Parties (ECE/MP.PP/2017/2/Add.1, décision VI/5, par.</w:t>
            </w:r>
            <w:r>
              <w:rPr>
                <w:lang w:val="fr-FR"/>
              </w:rPr>
              <w:t> </w:t>
            </w:r>
            <w:r w:rsidRPr="004C0389">
              <w:rPr>
                <w:lang w:val="fr-FR"/>
              </w:rPr>
              <w:t>10). Le Bureau a également été prié de fournir, avec l</w:t>
            </w:r>
            <w:r w:rsidR="00457C42">
              <w:rPr>
                <w:lang w:val="fr-FR"/>
              </w:rPr>
              <w:t>’</w:t>
            </w:r>
            <w:r w:rsidRPr="004C0389">
              <w:rPr>
                <w:lang w:val="fr-FR"/>
              </w:rPr>
              <w:t>aide du secrétariat, une estimation des coûts opérationnels nécessaires au bon fonctionnement de la Convention, qui devait clairement se différencier du coût d</w:t>
            </w:r>
            <w:r w:rsidR="00457C42">
              <w:rPr>
                <w:lang w:val="fr-FR"/>
              </w:rPr>
              <w:t>’</w:t>
            </w:r>
            <w:r w:rsidRPr="004C0389">
              <w:rPr>
                <w:lang w:val="fr-FR"/>
              </w:rPr>
              <w:t>autres activités subordonnées à la disponibilité des ressources (ECE/MP.PP/2017/2/Add.1, décision VI/6, par.</w:t>
            </w:r>
            <w:r w:rsidR="00B10F0D">
              <w:rPr>
                <w:lang w:val="fr-FR"/>
              </w:rPr>
              <w:t> </w:t>
            </w:r>
            <w:r w:rsidRPr="004C0389">
              <w:rPr>
                <w:lang w:val="fr-FR"/>
              </w:rPr>
              <w:t>10).</w:t>
            </w:r>
          </w:p>
        </w:tc>
      </w:tr>
      <w:tr w:rsidR="004C0389" w:rsidRPr="004C0389" w14:paraId="41197D77" w14:textId="77777777" w:rsidTr="004C0389">
        <w:trPr>
          <w:jc w:val="center"/>
        </w:trPr>
        <w:tc>
          <w:tcPr>
            <w:tcW w:w="9637" w:type="dxa"/>
            <w:tcBorders>
              <w:top w:val="nil"/>
              <w:bottom w:val="nil"/>
            </w:tcBorders>
            <w:shd w:val="clear" w:color="auto" w:fill="auto"/>
          </w:tcPr>
          <w:p w14:paraId="2BED13B3" w14:textId="77777777" w:rsidR="004C0389" w:rsidRPr="004C0389" w:rsidRDefault="004C0389" w:rsidP="004C0389">
            <w:pPr>
              <w:pStyle w:val="SingleTxtG"/>
              <w:ind w:firstLine="567"/>
              <w:rPr>
                <w:lang w:val="fr-FR"/>
              </w:rPr>
            </w:pPr>
            <w:r w:rsidRPr="004C0389">
              <w:rPr>
                <w:lang w:val="fr-FR"/>
              </w:rPr>
              <w:t>Conformément à ces décisions, on trouvera ci-après le projet d</w:t>
            </w:r>
            <w:r w:rsidR="00457C42">
              <w:rPr>
                <w:lang w:val="fr-FR"/>
              </w:rPr>
              <w:t>’</w:t>
            </w:r>
            <w:r w:rsidRPr="004C0389">
              <w:rPr>
                <w:lang w:val="fr-FR"/>
              </w:rPr>
              <w:t>éléments du programme de travail futur pour 2022-2025 et trois tableaux : un projet de programme de travail pour 2022-2025 (annexe</w:t>
            </w:r>
            <w:r w:rsidR="00B10F0D">
              <w:rPr>
                <w:lang w:val="fr-FR"/>
              </w:rPr>
              <w:t> </w:t>
            </w:r>
            <w:r w:rsidRPr="004C0389">
              <w:rPr>
                <w:lang w:val="fr-FR"/>
              </w:rPr>
              <w:t>I), les coûts estimatifs des activités prévues dans les domaines d</w:t>
            </w:r>
            <w:r w:rsidR="00457C42">
              <w:rPr>
                <w:lang w:val="fr-FR"/>
              </w:rPr>
              <w:t>’</w:t>
            </w:r>
            <w:r w:rsidRPr="004C0389">
              <w:rPr>
                <w:lang w:val="fr-FR"/>
              </w:rPr>
              <w:t>activité du programme de travail pour 2022-2025 (annexe II) et un exemple de répartition des différentes réunions prévues au titre de la Convention pour la période 2022</w:t>
            </w:r>
            <w:r w:rsidR="00B10F0D">
              <w:rPr>
                <w:lang w:val="fr-FR"/>
              </w:rPr>
              <w:noBreakHyphen/>
            </w:r>
            <w:r w:rsidRPr="004C0389">
              <w:rPr>
                <w:lang w:val="fr-FR"/>
              </w:rPr>
              <w:t>2025 (annexe III).</w:t>
            </w:r>
          </w:p>
        </w:tc>
      </w:tr>
      <w:tr w:rsidR="004C0389" w:rsidRPr="004C0389" w14:paraId="3178DEDF" w14:textId="77777777" w:rsidTr="004C0389">
        <w:trPr>
          <w:jc w:val="center"/>
        </w:trPr>
        <w:tc>
          <w:tcPr>
            <w:tcW w:w="9637" w:type="dxa"/>
            <w:tcBorders>
              <w:top w:val="nil"/>
              <w:bottom w:val="nil"/>
            </w:tcBorders>
            <w:shd w:val="clear" w:color="auto" w:fill="auto"/>
          </w:tcPr>
          <w:p w14:paraId="09EF03FE" w14:textId="77777777" w:rsidR="004C0389" w:rsidRPr="004C0389" w:rsidRDefault="004C0389" w:rsidP="004C0389">
            <w:pPr>
              <w:pStyle w:val="SingleTxtG"/>
              <w:keepNext/>
              <w:ind w:firstLine="567"/>
              <w:rPr>
                <w:lang w:val="fr-FR"/>
              </w:rPr>
            </w:pPr>
            <w:r w:rsidRPr="004C0389">
              <w:rPr>
                <w:lang w:val="fr-FR"/>
              </w:rPr>
              <w:lastRenderedPageBreak/>
              <w:t>Le présent document pourra faire l</w:t>
            </w:r>
            <w:r w:rsidR="00457C42">
              <w:rPr>
                <w:lang w:val="fr-FR"/>
              </w:rPr>
              <w:t>’</w:t>
            </w:r>
            <w:r w:rsidRPr="004C0389">
              <w:rPr>
                <w:lang w:val="fr-FR"/>
              </w:rPr>
              <w:t>objet de consultations ouvertes entre les correspondants nationaux et les parties prenantes avant et après la vingt-quatrième réunion du Groupe de travail (Genève, 1</w:t>
            </w:r>
            <w:r w:rsidRPr="004C0389">
              <w:rPr>
                <w:vertAlign w:val="superscript"/>
                <w:lang w:val="fr-FR"/>
              </w:rPr>
              <w:t>er</w:t>
            </w:r>
            <w:r w:rsidRPr="004C0389">
              <w:rPr>
                <w:lang w:val="fr-FR"/>
              </w:rPr>
              <w:t>-3</w:t>
            </w:r>
            <w:r w:rsidR="00B10F0D">
              <w:rPr>
                <w:lang w:val="fr-FR"/>
              </w:rPr>
              <w:t> </w:t>
            </w:r>
            <w:r w:rsidRPr="004C0389">
              <w:rPr>
                <w:lang w:val="fr-FR"/>
              </w:rPr>
              <w:t>juillet 2020). Il appartiendra ensuite au Bureau de réviser le document à la lumière des observations reçues et de le soumettre au Groupe de travail, à sa vingt-cinquième réunion (2021), pour que celui-ci l</w:t>
            </w:r>
            <w:r w:rsidR="00457C42">
              <w:rPr>
                <w:lang w:val="fr-FR"/>
              </w:rPr>
              <w:t>’</w:t>
            </w:r>
            <w:r w:rsidRPr="004C0389">
              <w:rPr>
                <w:lang w:val="fr-FR"/>
              </w:rPr>
              <w:t>examine et l</w:t>
            </w:r>
            <w:r w:rsidR="00457C42">
              <w:rPr>
                <w:lang w:val="fr-FR"/>
              </w:rPr>
              <w:t>’</w:t>
            </w:r>
            <w:r w:rsidRPr="004C0389">
              <w:rPr>
                <w:lang w:val="fr-FR"/>
              </w:rPr>
              <w:t>approuve en vue de sa soumission ultérieure à la Réunion des Parties, qui l</w:t>
            </w:r>
            <w:r w:rsidR="00457C42">
              <w:rPr>
                <w:lang w:val="fr-FR"/>
              </w:rPr>
              <w:t>’</w:t>
            </w:r>
            <w:r w:rsidRPr="004C0389">
              <w:rPr>
                <w:lang w:val="fr-FR"/>
              </w:rPr>
              <w:t>examinera à sa septième</w:t>
            </w:r>
            <w:r w:rsidR="00F1383B">
              <w:rPr>
                <w:lang w:val="fr-FR"/>
              </w:rPr>
              <w:t> </w:t>
            </w:r>
            <w:r w:rsidRPr="004C0389">
              <w:rPr>
                <w:lang w:val="fr-FR"/>
              </w:rPr>
              <w:t>session.</w:t>
            </w:r>
          </w:p>
        </w:tc>
      </w:tr>
      <w:tr w:rsidR="004C0389" w14:paraId="0D98CD9D" w14:textId="77777777" w:rsidTr="004C0389">
        <w:trPr>
          <w:jc w:val="center"/>
        </w:trPr>
        <w:tc>
          <w:tcPr>
            <w:tcW w:w="9637" w:type="dxa"/>
            <w:tcBorders>
              <w:top w:val="nil"/>
              <w:bottom w:val="single" w:sz="4" w:space="0" w:color="auto"/>
            </w:tcBorders>
            <w:shd w:val="clear" w:color="auto" w:fill="auto"/>
          </w:tcPr>
          <w:p w14:paraId="050AE250" w14:textId="77777777" w:rsidR="004C0389" w:rsidRDefault="004C0389"/>
        </w:tc>
      </w:tr>
    </w:tbl>
    <w:p w14:paraId="3A14BC81" w14:textId="77777777" w:rsidR="00F1383B" w:rsidRPr="00F1383B" w:rsidRDefault="00F1383B" w:rsidP="00B10F0D">
      <w:pPr>
        <w:pStyle w:val="HChG"/>
        <w:spacing w:before="0"/>
        <w:rPr>
          <w:lang w:val="fr-FR"/>
        </w:rPr>
      </w:pPr>
      <w:r>
        <w:rPr>
          <w:lang w:val="fr-FR"/>
        </w:rPr>
        <w:br w:type="page"/>
      </w:r>
      <w:r w:rsidRPr="00F1383B">
        <w:rPr>
          <w:lang w:val="fr-FR"/>
        </w:rPr>
        <w:lastRenderedPageBreak/>
        <w:tab/>
      </w:r>
      <w:r w:rsidRPr="00F1383B">
        <w:rPr>
          <w:lang w:val="fr-FR"/>
        </w:rPr>
        <w:tab/>
        <w:t>Introduction</w:t>
      </w:r>
    </w:p>
    <w:p w14:paraId="48906ABE" w14:textId="77777777" w:rsidR="00F1383B" w:rsidRPr="00F1383B" w:rsidRDefault="00F1383B" w:rsidP="00F1383B">
      <w:pPr>
        <w:pStyle w:val="SingleTxtG"/>
        <w:rPr>
          <w:lang w:val="fr-FR"/>
        </w:rPr>
      </w:pPr>
      <w:r w:rsidRPr="00F1383B">
        <w:rPr>
          <w:lang w:val="fr-FR"/>
        </w:rPr>
        <w:t>1.</w:t>
      </w:r>
      <w:r w:rsidRPr="00F1383B">
        <w:rPr>
          <w:lang w:val="fr-FR"/>
        </w:rPr>
        <w:tab/>
        <w:t>À sa sixième session (Budva (Monténégro), 11-14</w:t>
      </w:r>
      <w:r>
        <w:rPr>
          <w:lang w:val="fr-FR"/>
        </w:rPr>
        <w:t> </w:t>
      </w:r>
      <w:r w:rsidRPr="00F1383B">
        <w:rPr>
          <w:lang w:val="fr-FR"/>
        </w:rPr>
        <w:t>septembre 2017), la Réunion des Parties à la Convention sur l</w:t>
      </w:r>
      <w:r w:rsidR="00457C42">
        <w:rPr>
          <w:lang w:val="fr-FR"/>
        </w:rPr>
        <w:t>’</w:t>
      </w:r>
      <w:r w:rsidRPr="00F1383B">
        <w:rPr>
          <w:lang w:val="fr-FR"/>
        </w:rPr>
        <w:t>accès à l</w:t>
      </w:r>
      <w:r w:rsidR="00457C42">
        <w:rPr>
          <w:lang w:val="fr-FR"/>
        </w:rPr>
        <w:t>’</w:t>
      </w:r>
      <w:r w:rsidRPr="00F1383B">
        <w:rPr>
          <w:lang w:val="fr-FR"/>
        </w:rPr>
        <w:t>information, la participation du public au processus décisionnel et l</w:t>
      </w:r>
      <w:r w:rsidR="00457C42">
        <w:rPr>
          <w:lang w:val="fr-FR"/>
        </w:rPr>
        <w:t>’</w:t>
      </w:r>
      <w:r w:rsidRPr="00F1383B">
        <w:rPr>
          <w:lang w:val="fr-FR"/>
        </w:rPr>
        <w:t>accès à la justice en matière d</w:t>
      </w:r>
      <w:r w:rsidR="00457C42">
        <w:rPr>
          <w:lang w:val="fr-FR"/>
        </w:rPr>
        <w:t>’</w:t>
      </w:r>
      <w:r w:rsidRPr="00F1383B">
        <w:rPr>
          <w:lang w:val="fr-FR"/>
        </w:rPr>
        <w:t>environnement a demandé au secrétariat d</w:t>
      </w:r>
      <w:r w:rsidR="00457C42">
        <w:rPr>
          <w:lang w:val="fr-FR"/>
        </w:rPr>
        <w:t>’</w:t>
      </w:r>
      <w:r w:rsidRPr="00F1383B">
        <w:rPr>
          <w:lang w:val="fr-FR"/>
        </w:rPr>
        <w:t>établir un projet de programme de travail pour la période intersessions qui suivrait la septième session de la Réunion des Parties, contenant une ventilation détaillée des prévisions de dépenses, en vue de son examen et de sa mise au point plus poussée par le Bureau et le Groupe de travail des Parties (ECE/MP.PP/2017/2/Add.1, décision VI/5, par.</w:t>
      </w:r>
      <w:r>
        <w:rPr>
          <w:lang w:val="fr-FR"/>
        </w:rPr>
        <w:t> </w:t>
      </w:r>
      <w:r w:rsidRPr="00F1383B">
        <w:rPr>
          <w:lang w:val="fr-FR"/>
        </w:rPr>
        <w:t>10). Le Bureau a également été prié de fournir, avec l</w:t>
      </w:r>
      <w:r w:rsidR="00457C42">
        <w:rPr>
          <w:lang w:val="fr-FR"/>
        </w:rPr>
        <w:t>’</w:t>
      </w:r>
      <w:r w:rsidRPr="00F1383B">
        <w:rPr>
          <w:lang w:val="fr-FR"/>
        </w:rPr>
        <w:t>aide du secrétariat, une estimation des coûts opérationnels nécessaires au bon fonctionnement de la Convention, qui devait clairement se différencier du coût d</w:t>
      </w:r>
      <w:r w:rsidR="00457C42">
        <w:rPr>
          <w:lang w:val="fr-FR"/>
        </w:rPr>
        <w:t>’</w:t>
      </w:r>
      <w:r w:rsidRPr="00F1383B">
        <w:rPr>
          <w:lang w:val="fr-FR"/>
        </w:rPr>
        <w:t>autres activités subordonnées à la disponibilité des ressources (ECE/MP.PP/2017/2/Add.1, décision VI/6, par.</w:t>
      </w:r>
      <w:r>
        <w:rPr>
          <w:lang w:val="fr-FR"/>
        </w:rPr>
        <w:t> </w:t>
      </w:r>
      <w:r w:rsidRPr="00F1383B">
        <w:rPr>
          <w:lang w:val="fr-FR"/>
        </w:rPr>
        <w:t>10).</w:t>
      </w:r>
    </w:p>
    <w:p w14:paraId="675BD89B" w14:textId="77777777" w:rsidR="00F1383B" w:rsidRPr="00F1383B" w:rsidRDefault="00F1383B" w:rsidP="00F1383B">
      <w:pPr>
        <w:pStyle w:val="SingleTxtG"/>
        <w:rPr>
          <w:lang w:val="fr-FR"/>
        </w:rPr>
      </w:pPr>
      <w:r w:rsidRPr="00F1383B">
        <w:rPr>
          <w:lang w:val="fr-FR"/>
        </w:rPr>
        <w:t>2.</w:t>
      </w:r>
      <w:r w:rsidRPr="00F1383B">
        <w:rPr>
          <w:lang w:val="fr-FR"/>
        </w:rPr>
        <w:tab/>
        <w:t>Conformément aux décisions susmentionnées, on trouvera</w:t>
      </w:r>
      <w:r w:rsidR="00C53881">
        <w:rPr>
          <w:lang w:val="fr-FR"/>
        </w:rPr>
        <w:t xml:space="preserve"> </w:t>
      </w:r>
      <w:r w:rsidRPr="00F1383B">
        <w:rPr>
          <w:lang w:val="fr-FR"/>
        </w:rPr>
        <w:t>ci-après le projet d</w:t>
      </w:r>
      <w:r w:rsidR="00457C42">
        <w:rPr>
          <w:lang w:val="fr-FR"/>
        </w:rPr>
        <w:t>’</w:t>
      </w:r>
      <w:r w:rsidRPr="00F1383B">
        <w:rPr>
          <w:lang w:val="fr-FR"/>
        </w:rPr>
        <w:t>éléments du programme de travail futur et trois tableaux : un projet de programme de travail pour 2022-2025 (annexe</w:t>
      </w:r>
      <w:r>
        <w:rPr>
          <w:lang w:val="fr-FR"/>
        </w:rPr>
        <w:t> </w:t>
      </w:r>
      <w:r w:rsidRPr="00F1383B">
        <w:rPr>
          <w:lang w:val="fr-FR"/>
        </w:rPr>
        <w:t>I), les coûts estimatifs des activités prévues dans les domaines d</w:t>
      </w:r>
      <w:r w:rsidR="00457C42">
        <w:rPr>
          <w:lang w:val="fr-FR"/>
        </w:rPr>
        <w:t>’</w:t>
      </w:r>
      <w:r w:rsidRPr="00F1383B">
        <w:rPr>
          <w:lang w:val="fr-FR"/>
        </w:rPr>
        <w:t>activité du programme de travail pour 2022-2025 (annexe II) et un exemple de répartition des différentes réunions prévues au titre de la Convention pour la période 2022</w:t>
      </w:r>
      <w:r>
        <w:rPr>
          <w:lang w:val="fr-FR"/>
        </w:rPr>
        <w:noBreakHyphen/>
      </w:r>
      <w:r w:rsidRPr="00F1383B">
        <w:rPr>
          <w:lang w:val="fr-FR"/>
        </w:rPr>
        <w:t>2025 (annexe III).</w:t>
      </w:r>
    </w:p>
    <w:p w14:paraId="4991AD7E" w14:textId="77777777" w:rsidR="00F1383B" w:rsidRPr="00F1383B" w:rsidRDefault="00F1383B" w:rsidP="00F1383B">
      <w:pPr>
        <w:pStyle w:val="SingleTxtG"/>
        <w:rPr>
          <w:lang w:val="fr-FR"/>
        </w:rPr>
      </w:pPr>
      <w:r w:rsidRPr="00F1383B">
        <w:rPr>
          <w:lang w:val="fr-FR"/>
        </w:rPr>
        <w:t>3.</w:t>
      </w:r>
      <w:r w:rsidRPr="00F1383B">
        <w:rPr>
          <w:lang w:val="fr-FR"/>
        </w:rPr>
        <w:tab/>
        <w:t>Le projet d</w:t>
      </w:r>
      <w:r w:rsidR="00457C42">
        <w:rPr>
          <w:lang w:val="fr-FR"/>
        </w:rPr>
        <w:t>’</w:t>
      </w:r>
      <w:r w:rsidRPr="00F1383B">
        <w:rPr>
          <w:lang w:val="fr-FR"/>
        </w:rPr>
        <w:t>éléments du programme de travail a été établi sur la base des résultats des réunions du Groupe de travail des Parties, ainsi qu</w:t>
      </w:r>
      <w:r w:rsidR="00457C42">
        <w:rPr>
          <w:lang w:val="fr-FR"/>
        </w:rPr>
        <w:t>’</w:t>
      </w:r>
      <w:r w:rsidRPr="00F1383B">
        <w:rPr>
          <w:lang w:val="fr-FR"/>
        </w:rPr>
        <w:t>à partir des notes d</w:t>
      </w:r>
      <w:r w:rsidR="00457C42">
        <w:rPr>
          <w:lang w:val="fr-FR"/>
        </w:rPr>
        <w:t>’</w:t>
      </w:r>
      <w:r w:rsidRPr="00F1383B">
        <w:rPr>
          <w:lang w:val="fr-FR"/>
        </w:rPr>
        <w:t>information soumises par les présidents des équipes spéciales et de la séance thématique sur la promotion des principes de la Convention dans les instances internationales. Il a également été tenu compte des résultats de la mise en œuvre du Plan stratégique actuel et d</w:t>
      </w:r>
      <w:r w:rsidR="00457C42">
        <w:rPr>
          <w:lang w:val="fr-FR"/>
        </w:rPr>
        <w:t>’</w:t>
      </w:r>
      <w:r w:rsidRPr="00F1383B">
        <w:rPr>
          <w:lang w:val="fr-FR"/>
        </w:rPr>
        <w:t>une proposition concernant le nouveau plan stratégique.</w:t>
      </w:r>
    </w:p>
    <w:p w14:paraId="74B985EC" w14:textId="77777777" w:rsidR="00F1383B" w:rsidRPr="00F1383B" w:rsidRDefault="00F1383B" w:rsidP="00F1383B">
      <w:pPr>
        <w:pStyle w:val="SingleTxtG"/>
        <w:rPr>
          <w:lang w:val="fr-FR"/>
        </w:rPr>
      </w:pPr>
      <w:r w:rsidRPr="00F1383B">
        <w:rPr>
          <w:lang w:val="fr-FR"/>
        </w:rPr>
        <w:t>4.</w:t>
      </w:r>
      <w:r w:rsidRPr="00F1383B">
        <w:rPr>
          <w:lang w:val="fr-FR"/>
        </w:rPr>
        <w:tab/>
        <w:t>Il est proposé dans le projet de suivre l</w:t>
      </w:r>
      <w:r w:rsidR="00457C42">
        <w:rPr>
          <w:lang w:val="fr-FR"/>
        </w:rPr>
        <w:t>’</w:t>
      </w:r>
      <w:r w:rsidRPr="00F1383B">
        <w:rPr>
          <w:lang w:val="fr-FR"/>
        </w:rPr>
        <w:t>approche adoptée pour le programme de travail actuel, qui est fondé sur</w:t>
      </w:r>
      <w:r w:rsidR="00C53881">
        <w:rPr>
          <w:lang w:val="fr-FR"/>
        </w:rPr>
        <w:t xml:space="preserve"> </w:t>
      </w:r>
      <w:r w:rsidRPr="00F1383B">
        <w:rPr>
          <w:lang w:val="fr-FR"/>
        </w:rPr>
        <w:t>une période intersessions de</w:t>
      </w:r>
      <w:r w:rsidR="00C53881">
        <w:rPr>
          <w:lang w:val="fr-FR"/>
        </w:rPr>
        <w:t xml:space="preserve"> </w:t>
      </w:r>
      <w:r w:rsidRPr="00F1383B">
        <w:rPr>
          <w:lang w:val="fr-FR"/>
        </w:rPr>
        <w:t>quatre</w:t>
      </w:r>
      <w:r w:rsidR="00DB17BC">
        <w:rPr>
          <w:lang w:val="fr-FR"/>
        </w:rPr>
        <w:t> </w:t>
      </w:r>
      <w:r w:rsidRPr="00F1383B">
        <w:rPr>
          <w:lang w:val="fr-FR"/>
        </w:rPr>
        <w:t>ans, et d</w:t>
      </w:r>
      <w:r w:rsidR="00457C42">
        <w:rPr>
          <w:lang w:val="fr-FR"/>
        </w:rPr>
        <w:t>’</w:t>
      </w:r>
      <w:r w:rsidRPr="00F1383B">
        <w:rPr>
          <w:lang w:val="fr-FR"/>
        </w:rPr>
        <w:t>organiser un débat thématique sur diverses questions de fond à chacune des réunions du Groupe de travail des Parties. Les résultats des activités des équipes spéciales et des travaux consacrés aux organismes génétiquement modifiés serviront de point de départ aux débats tenus dans le cadre des séances thématiques. Le Groupe de travail devrait continuer de centrer ses débats sur les questions auxquelles les correspondants</w:t>
      </w:r>
      <w:r w:rsidR="00C53881">
        <w:rPr>
          <w:lang w:val="fr-FR"/>
        </w:rPr>
        <w:t xml:space="preserve"> </w:t>
      </w:r>
      <w:r w:rsidRPr="00F1383B">
        <w:rPr>
          <w:lang w:val="fr-FR"/>
        </w:rPr>
        <w:t>des Parties à la Convention doivent accorder une attention particulière (par exemple la politique</w:t>
      </w:r>
      <w:r w:rsidR="00C53881">
        <w:rPr>
          <w:lang w:val="fr-FR"/>
        </w:rPr>
        <w:t xml:space="preserve"> </w:t>
      </w:r>
      <w:r w:rsidRPr="00F1383B">
        <w:rPr>
          <w:lang w:val="fr-FR"/>
        </w:rPr>
        <w:t>stratégique), comme il le fait pendant la période intersessions au cours. En outre, étant donné qu</w:t>
      </w:r>
      <w:r w:rsidR="00457C42">
        <w:rPr>
          <w:lang w:val="fr-FR"/>
        </w:rPr>
        <w:t>’</w:t>
      </w:r>
      <w:r w:rsidRPr="00F1383B">
        <w:rPr>
          <w:lang w:val="fr-FR"/>
        </w:rPr>
        <w:t>il a notamment pour mandat de superviser les progrès accomplis dans l</w:t>
      </w:r>
      <w:r w:rsidR="00457C42">
        <w:rPr>
          <w:lang w:val="fr-FR"/>
        </w:rPr>
        <w:t>’</w:t>
      </w:r>
      <w:r w:rsidRPr="00F1383B">
        <w:rPr>
          <w:lang w:val="fr-FR"/>
        </w:rPr>
        <w:t xml:space="preserve">exécution des programmes de travail de la Convention </w:t>
      </w:r>
      <w:r w:rsidR="00DB17BC">
        <w:rPr>
          <w:lang w:val="fr-FR"/>
        </w:rPr>
        <w:t>(</w:t>
      </w:r>
      <w:r w:rsidRPr="00F1383B">
        <w:rPr>
          <w:lang w:val="fr-FR"/>
        </w:rPr>
        <w:t>ECE/MP.PP/2/Add.15, décision I/14, par.</w:t>
      </w:r>
      <w:r w:rsidR="00420177">
        <w:rPr>
          <w:lang w:val="fr-FR"/>
        </w:rPr>
        <w:t> </w:t>
      </w:r>
      <w:r w:rsidRPr="00F1383B">
        <w:rPr>
          <w:lang w:val="fr-FR"/>
        </w:rPr>
        <w:t>1 et 2 b)</w:t>
      </w:r>
      <w:r w:rsidR="00DB17BC">
        <w:rPr>
          <w:lang w:val="fr-FR"/>
        </w:rPr>
        <w:t>)</w:t>
      </w:r>
      <w:r w:rsidRPr="00F1383B">
        <w:rPr>
          <w:lang w:val="fr-FR"/>
        </w:rPr>
        <w:t>, le Groupe de travail</w:t>
      </w:r>
      <w:r w:rsidR="00C53881">
        <w:rPr>
          <w:lang w:val="fr-FR"/>
        </w:rPr>
        <w:t xml:space="preserve"> </w:t>
      </w:r>
      <w:r w:rsidRPr="00F1383B">
        <w:rPr>
          <w:lang w:val="fr-FR"/>
        </w:rPr>
        <w:t>aura la possibilité, à chacune de ses réunions, d</w:t>
      </w:r>
      <w:r w:rsidR="00457C42">
        <w:rPr>
          <w:lang w:val="fr-FR"/>
        </w:rPr>
        <w:t>’</w:t>
      </w:r>
      <w:r w:rsidRPr="00F1383B">
        <w:rPr>
          <w:lang w:val="fr-FR"/>
        </w:rPr>
        <w:t>être saisi de rapports plus détaillés sur l</w:t>
      </w:r>
      <w:r w:rsidR="00457C42">
        <w:rPr>
          <w:lang w:val="fr-FR"/>
        </w:rPr>
        <w:t>’</w:t>
      </w:r>
      <w:r w:rsidRPr="00F1383B">
        <w:rPr>
          <w:lang w:val="fr-FR"/>
        </w:rPr>
        <w:t>application des décisions adoptées par la Réunion des Parties en ce qui concerne le respect des dispositions.</w:t>
      </w:r>
      <w:bookmarkStart w:id="0" w:name="_Hlk35613090"/>
      <w:bookmarkEnd w:id="0"/>
    </w:p>
    <w:p w14:paraId="0C53B60F" w14:textId="77777777" w:rsidR="00F1383B" w:rsidRPr="00F1383B" w:rsidRDefault="00F1383B" w:rsidP="00F1383B">
      <w:pPr>
        <w:pStyle w:val="SingleTxtG"/>
        <w:rPr>
          <w:lang w:val="fr-FR"/>
        </w:rPr>
      </w:pPr>
      <w:r w:rsidRPr="00F1383B">
        <w:rPr>
          <w:lang w:val="fr-FR"/>
        </w:rPr>
        <w:t>5.</w:t>
      </w:r>
      <w:r w:rsidRPr="00F1383B">
        <w:rPr>
          <w:lang w:val="fr-FR"/>
        </w:rPr>
        <w:tab/>
        <w:t>Grâce à la diversité de la structure de travail mise en place au titre de la Convention (les trois équipes spéciales, qui se consacrent chacune à l</w:t>
      </w:r>
      <w:r w:rsidR="00457C42">
        <w:rPr>
          <w:lang w:val="fr-FR"/>
        </w:rPr>
        <w:t>’</w:t>
      </w:r>
      <w:r w:rsidRPr="00F1383B">
        <w:rPr>
          <w:lang w:val="fr-FR"/>
        </w:rPr>
        <w:t>un des trois piliers de la Convention, le Comité d</w:t>
      </w:r>
      <w:r w:rsidR="00457C42">
        <w:rPr>
          <w:lang w:val="fr-FR"/>
        </w:rPr>
        <w:t>’</w:t>
      </w:r>
      <w:r w:rsidRPr="00F1383B">
        <w:rPr>
          <w:lang w:val="fr-FR"/>
        </w:rPr>
        <w:t>examen du respect des dispositions, qui se réunit en moyenne toutes les cinq semaines, le secrétariat, qui assure un appui consultatif constant, et les nombreux partenaires avec lesquels une coopération s</w:t>
      </w:r>
      <w:r w:rsidR="00457C42">
        <w:rPr>
          <w:lang w:val="fr-FR"/>
        </w:rPr>
        <w:t>’</w:t>
      </w:r>
      <w:r w:rsidRPr="00F1383B">
        <w:rPr>
          <w:lang w:val="fr-FR"/>
        </w:rPr>
        <w:t>est instaurée), le fait que</w:t>
      </w:r>
      <w:r w:rsidR="00C53881">
        <w:rPr>
          <w:lang w:val="fr-FR"/>
        </w:rPr>
        <w:t xml:space="preserve"> </w:t>
      </w:r>
      <w:r w:rsidRPr="00F1383B">
        <w:rPr>
          <w:lang w:val="fr-FR"/>
        </w:rPr>
        <w:t>la période intersessions se soit étendue sur</w:t>
      </w:r>
      <w:r w:rsidR="00C53881">
        <w:rPr>
          <w:lang w:val="fr-FR"/>
        </w:rPr>
        <w:t xml:space="preserve"> </w:t>
      </w:r>
      <w:r w:rsidRPr="00F1383B">
        <w:rPr>
          <w:lang w:val="fr-FR"/>
        </w:rPr>
        <w:t>quatre ans, au cours desquels ont eu lieu des débats thématiques annuels sur les politiques et un examen approfondi par le Groupe de travail des progrès accomplis dans l</w:t>
      </w:r>
      <w:r w:rsidR="00457C42">
        <w:rPr>
          <w:lang w:val="fr-FR"/>
        </w:rPr>
        <w:t>’</w:t>
      </w:r>
      <w:r w:rsidRPr="00F1383B">
        <w:rPr>
          <w:lang w:val="fr-FR"/>
        </w:rPr>
        <w:t>exécution des activités relatives au respect des dispositions, n</w:t>
      </w:r>
      <w:r w:rsidR="00457C42">
        <w:rPr>
          <w:lang w:val="fr-FR"/>
        </w:rPr>
        <w:t>’</w:t>
      </w:r>
      <w:r w:rsidRPr="00F1383B">
        <w:rPr>
          <w:lang w:val="fr-FR"/>
        </w:rPr>
        <w:t>a pas eu d</w:t>
      </w:r>
      <w:r w:rsidR="00457C42">
        <w:rPr>
          <w:lang w:val="fr-FR"/>
        </w:rPr>
        <w:t>’</w:t>
      </w:r>
      <w:r w:rsidRPr="00F1383B">
        <w:rPr>
          <w:lang w:val="fr-FR"/>
        </w:rPr>
        <w:t>incidence négative sur les travaux menés dans le cadre de la Convention. Au contraire, l</w:t>
      </w:r>
      <w:r w:rsidR="00457C42">
        <w:rPr>
          <w:lang w:val="fr-FR"/>
        </w:rPr>
        <w:t>’</w:t>
      </w:r>
      <w:r w:rsidRPr="00F1383B">
        <w:rPr>
          <w:lang w:val="fr-FR"/>
        </w:rPr>
        <w:t>extension de la période intersession</w:t>
      </w:r>
      <w:r w:rsidR="00DB17BC">
        <w:rPr>
          <w:lang w:val="fr-FR"/>
        </w:rPr>
        <w:t>s</w:t>
      </w:r>
      <w:r w:rsidR="00C53881">
        <w:rPr>
          <w:lang w:val="fr-FR"/>
        </w:rPr>
        <w:t xml:space="preserve"> </w:t>
      </w:r>
      <w:r w:rsidRPr="00F1383B">
        <w:rPr>
          <w:lang w:val="fr-FR"/>
        </w:rPr>
        <w:t>a permis de consacrer davantage de temps à la préparation technique des différentes réunions, auxquelles les Parties ont également été plus à même de participer. En moyenne, une réunion d</w:t>
      </w:r>
      <w:r w:rsidR="00457C42">
        <w:rPr>
          <w:lang w:val="fr-FR"/>
        </w:rPr>
        <w:t>’</w:t>
      </w:r>
      <w:r w:rsidRPr="00F1383B">
        <w:rPr>
          <w:lang w:val="fr-FR"/>
        </w:rPr>
        <w:t>un organe subsidiaire ou une activité de renforcement des capacités a continué d</w:t>
      </w:r>
      <w:r w:rsidR="00457C42">
        <w:rPr>
          <w:lang w:val="fr-FR"/>
        </w:rPr>
        <w:t>’</w:t>
      </w:r>
      <w:r w:rsidRPr="00F1383B">
        <w:rPr>
          <w:lang w:val="fr-FR"/>
        </w:rPr>
        <w:t>avoir lieu chaque mois.</w:t>
      </w:r>
    </w:p>
    <w:p w14:paraId="027C12BA" w14:textId="77777777" w:rsidR="00F1383B" w:rsidRPr="00F1383B" w:rsidRDefault="00F1383B" w:rsidP="00423B43">
      <w:pPr>
        <w:pStyle w:val="H1G"/>
        <w:rPr>
          <w:lang w:val="fr-FR"/>
        </w:rPr>
      </w:pPr>
      <w:r w:rsidRPr="00F1383B">
        <w:rPr>
          <w:lang w:val="fr-FR"/>
        </w:rPr>
        <w:lastRenderedPageBreak/>
        <w:tab/>
      </w:r>
      <w:r w:rsidRPr="00F1383B">
        <w:rPr>
          <w:lang w:val="fr-FR"/>
        </w:rPr>
        <w:tab/>
        <w:t>Nouveaux éléments</w:t>
      </w:r>
    </w:p>
    <w:p w14:paraId="6CE722AA" w14:textId="77777777" w:rsidR="004C0389" w:rsidRDefault="00F1383B" w:rsidP="00F1383B">
      <w:pPr>
        <w:pStyle w:val="SingleTxtG"/>
        <w:rPr>
          <w:lang w:val="fr-FR"/>
        </w:rPr>
      </w:pPr>
      <w:bookmarkStart w:id="1" w:name="_Hlk31482138"/>
      <w:r w:rsidRPr="00F1383B">
        <w:rPr>
          <w:lang w:val="fr-FR"/>
        </w:rPr>
        <w:t>6.</w:t>
      </w:r>
      <w:r w:rsidRPr="00F1383B">
        <w:rPr>
          <w:lang w:val="fr-FR"/>
        </w:rPr>
        <w:tab/>
        <w:t>Sur la base des enseignements tirés de l</w:t>
      </w:r>
      <w:r w:rsidR="00457C42">
        <w:rPr>
          <w:lang w:val="fr-FR"/>
        </w:rPr>
        <w:t>’</w:t>
      </w:r>
      <w:r w:rsidRPr="00F1383B">
        <w:rPr>
          <w:lang w:val="fr-FR"/>
        </w:rPr>
        <w:t>exécution du programme de travail actuel, il a été proposé d</w:t>
      </w:r>
      <w:r w:rsidR="00457C42">
        <w:rPr>
          <w:lang w:val="fr-FR"/>
        </w:rPr>
        <w:t>’</w:t>
      </w:r>
      <w:r w:rsidRPr="00F1383B">
        <w:rPr>
          <w:lang w:val="fr-FR"/>
        </w:rPr>
        <w:t>intégrer plusieurs nouveaux éléments au futur programme de travail. Il a notamment été suggéré qu</w:t>
      </w:r>
      <w:r w:rsidR="00457C42">
        <w:rPr>
          <w:lang w:val="fr-FR"/>
        </w:rPr>
        <w:t>’</w:t>
      </w:r>
      <w:r w:rsidRPr="00F1383B">
        <w:rPr>
          <w:lang w:val="fr-FR"/>
        </w:rPr>
        <w:t>un nouveau mécanisme soit créé au titre du domaine d</w:t>
      </w:r>
      <w:r w:rsidR="00457C42">
        <w:rPr>
          <w:lang w:val="fr-FR"/>
        </w:rPr>
        <w:t>’</w:t>
      </w:r>
      <w:r w:rsidRPr="00F1383B">
        <w:rPr>
          <w:lang w:val="fr-FR"/>
        </w:rPr>
        <w:t>activité relatif au mécanisme d</w:t>
      </w:r>
      <w:r w:rsidR="00457C42">
        <w:rPr>
          <w:lang w:val="fr-FR"/>
        </w:rPr>
        <w:t>’</w:t>
      </w:r>
      <w:r w:rsidRPr="00F1383B">
        <w:rPr>
          <w:lang w:val="fr-FR"/>
        </w:rPr>
        <w:t>examen du respect des dispositions et que l</w:t>
      </w:r>
      <w:r w:rsidR="00457C42">
        <w:rPr>
          <w:lang w:val="fr-FR"/>
        </w:rPr>
        <w:t>’</w:t>
      </w:r>
      <w:r w:rsidRPr="00F1383B">
        <w:rPr>
          <w:lang w:val="fr-FR"/>
        </w:rPr>
        <w:t>assistance juridique fournie à</w:t>
      </w:r>
      <w:r w:rsidR="00C53881">
        <w:rPr>
          <w:lang w:val="fr-FR"/>
        </w:rPr>
        <w:t xml:space="preserve"> </w:t>
      </w:r>
      <w:r w:rsidRPr="00F1383B">
        <w:rPr>
          <w:lang w:val="fr-FR"/>
        </w:rPr>
        <w:t>ce domaine d</w:t>
      </w:r>
      <w:r w:rsidR="00457C42">
        <w:rPr>
          <w:lang w:val="fr-FR"/>
        </w:rPr>
        <w:t>’</w:t>
      </w:r>
      <w:r w:rsidRPr="00F1383B">
        <w:rPr>
          <w:lang w:val="fr-FR"/>
        </w:rPr>
        <w:t>activité soit renforcée. Ce mécanisme viendra compléter l</w:t>
      </w:r>
      <w:r w:rsidR="00457C42">
        <w:rPr>
          <w:lang w:val="fr-FR"/>
        </w:rPr>
        <w:t>’</w:t>
      </w:r>
      <w:r w:rsidRPr="00F1383B">
        <w:rPr>
          <w:lang w:val="fr-FR"/>
        </w:rPr>
        <w:t>action</w:t>
      </w:r>
      <w:r w:rsidR="00C53881">
        <w:rPr>
          <w:lang w:val="fr-FR"/>
        </w:rPr>
        <w:t xml:space="preserve"> </w:t>
      </w:r>
      <w:r w:rsidRPr="00F1383B">
        <w:rPr>
          <w:lang w:val="fr-FR"/>
        </w:rPr>
        <w:t>du Comité d</w:t>
      </w:r>
      <w:r w:rsidR="00457C42">
        <w:rPr>
          <w:lang w:val="fr-FR"/>
        </w:rPr>
        <w:t>’</w:t>
      </w:r>
      <w:r w:rsidRPr="00F1383B">
        <w:rPr>
          <w:lang w:val="fr-FR"/>
        </w:rPr>
        <w:t>examen du respect des dispositions et sera exclusivement chargé de prendre des mesures urgentes dans les affaires relevant du</w:t>
      </w:r>
      <w:r w:rsidR="00C53881">
        <w:rPr>
          <w:lang w:val="fr-FR"/>
        </w:rPr>
        <w:t xml:space="preserve"> </w:t>
      </w:r>
      <w:r w:rsidRPr="00F1383B">
        <w:rPr>
          <w:lang w:val="fr-FR"/>
        </w:rPr>
        <w:t>paragraphe 8 de l</w:t>
      </w:r>
      <w:r w:rsidR="00457C42">
        <w:rPr>
          <w:lang w:val="fr-FR"/>
        </w:rPr>
        <w:t>’</w:t>
      </w:r>
      <w:r w:rsidRPr="00F1383B">
        <w:rPr>
          <w:lang w:val="fr-FR"/>
        </w:rPr>
        <w:t>article 3 de la Convention. Il a aussi été proposé d</w:t>
      </w:r>
      <w:r w:rsidR="00457C42">
        <w:rPr>
          <w:lang w:val="fr-FR"/>
        </w:rPr>
        <w:t>’</w:t>
      </w:r>
      <w:r w:rsidRPr="00F1383B">
        <w:rPr>
          <w:lang w:val="fr-FR"/>
        </w:rPr>
        <w:t>offrir une assistance consultative aux</w:t>
      </w:r>
      <w:r w:rsidR="00C53881">
        <w:rPr>
          <w:lang w:val="fr-FR"/>
        </w:rPr>
        <w:t xml:space="preserve"> </w:t>
      </w:r>
      <w:r w:rsidRPr="00F1383B">
        <w:rPr>
          <w:lang w:val="fr-FR"/>
        </w:rPr>
        <w:t>domaines d</w:t>
      </w:r>
      <w:r w:rsidR="00457C42">
        <w:rPr>
          <w:lang w:val="fr-FR"/>
        </w:rPr>
        <w:t>’</w:t>
      </w:r>
      <w:r w:rsidRPr="00F1383B">
        <w:rPr>
          <w:lang w:val="fr-FR"/>
        </w:rPr>
        <w:t>activité suivants : renforcement des capacités ; sensibilisation et promotion ; promotion des Lignes directrices d</w:t>
      </w:r>
      <w:r w:rsidR="00457C42">
        <w:rPr>
          <w:lang w:val="fr-FR"/>
        </w:rPr>
        <w:t>’</w:t>
      </w:r>
      <w:r w:rsidRPr="00F1383B">
        <w:rPr>
          <w:lang w:val="fr-FR"/>
        </w:rPr>
        <w:t>Almaty sur les moyens de promouvoir l</w:t>
      </w:r>
      <w:r w:rsidR="00457C42">
        <w:rPr>
          <w:lang w:val="fr-FR"/>
        </w:rPr>
        <w:t>’</w:t>
      </w:r>
      <w:r w:rsidRPr="00F1383B">
        <w:rPr>
          <w:lang w:val="fr-FR"/>
        </w:rPr>
        <w:t>application des principes de la Convention d</w:t>
      </w:r>
      <w:r w:rsidR="00457C42">
        <w:rPr>
          <w:lang w:val="fr-FR"/>
        </w:rPr>
        <w:t>’</w:t>
      </w:r>
      <w:r w:rsidRPr="00F1383B">
        <w:rPr>
          <w:lang w:val="fr-FR"/>
        </w:rPr>
        <w:t>Aarhus dans les instances internationales (ECE/MP.PP/2005/2/Add.5, annexe) et d</w:t>
      </w:r>
      <w:r w:rsidR="00457C42">
        <w:rPr>
          <w:lang w:val="fr-FR"/>
        </w:rPr>
        <w:t>’</w:t>
      </w:r>
      <w:r w:rsidRPr="00F1383B">
        <w:rPr>
          <w:lang w:val="fr-FR"/>
        </w:rPr>
        <w:t>autres formes d</w:t>
      </w:r>
      <w:r w:rsidR="00457C42">
        <w:rPr>
          <w:lang w:val="fr-FR"/>
        </w:rPr>
        <w:t>’</w:t>
      </w:r>
      <w:r w:rsidRPr="00F1383B">
        <w:rPr>
          <w:lang w:val="fr-FR"/>
        </w:rPr>
        <w:t>interaction avec les organismes et processus internationaux concernés. Il convient de noter que toutes les nouvelles activités proposées apportent dans le même temps une contribution très utile</w:t>
      </w:r>
      <w:r w:rsidR="00C53881">
        <w:rPr>
          <w:lang w:val="fr-FR"/>
        </w:rPr>
        <w:t xml:space="preserve"> </w:t>
      </w:r>
      <w:r w:rsidRPr="00F1383B">
        <w:rPr>
          <w:lang w:val="fr-FR"/>
        </w:rPr>
        <w:t>au domaine d</w:t>
      </w:r>
      <w:r w:rsidR="00457C42">
        <w:rPr>
          <w:lang w:val="fr-FR"/>
        </w:rPr>
        <w:t>’</w:t>
      </w:r>
      <w:r w:rsidRPr="00F1383B">
        <w:rPr>
          <w:lang w:val="fr-FR"/>
        </w:rPr>
        <w:t>activité relatif au renforcement des capacités. Les domaines d</w:t>
      </w:r>
      <w:r w:rsidR="00457C42">
        <w:rPr>
          <w:lang w:val="fr-FR"/>
        </w:rPr>
        <w:t>’</w:t>
      </w:r>
      <w:r w:rsidRPr="00F1383B">
        <w:rPr>
          <w:lang w:val="fr-FR"/>
        </w:rPr>
        <w:t>activité seront donc les suivants (les nouveaux éléments sont soulignés) :</w:t>
      </w:r>
      <w:bookmarkEnd w:id="1"/>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420177" w:rsidRPr="00420177" w14:paraId="2E51541A" w14:textId="77777777" w:rsidTr="00420177">
        <w:trPr>
          <w:tblHeader/>
        </w:trPr>
        <w:tc>
          <w:tcPr>
            <w:tcW w:w="7370" w:type="dxa"/>
            <w:tcBorders>
              <w:top w:val="single" w:sz="4" w:space="0" w:color="auto"/>
              <w:bottom w:val="single" w:sz="12" w:space="0" w:color="auto"/>
            </w:tcBorders>
            <w:shd w:val="clear" w:color="auto" w:fill="auto"/>
            <w:vAlign w:val="bottom"/>
          </w:tcPr>
          <w:p w14:paraId="7A29BD55" w14:textId="77777777" w:rsidR="00420177" w:rsidRPr="00420177" w:rsidRDefault="00420177" w:rsidP="00420177">
            <w:pPr>
              <w:spacing w:before="80" w:after="80" w:line="200" w:lineRule="exact"/>
              <w:ind w:right="113"/>
              <w:rPr>
                <w:i/>
                <w:sz w:val="16"/>
                <w:lang w:val="en-GB"/>
              </w:rPr>
            </w:pPr>
            <w:r w:rsidRPr="00420177">
              <w:rPr>
                <w:i/>
                <w:sz w:val="16"/>
                <w:lang w:val="fr-FR"/>
              </w:rPr>
              <w:t>Domaine d</w:t>
            </w:r>
            <w:r w:rsidR="00457C42">
              <w:rPr>
                <w:i/>
                <w:sz w:val="16"/>
                <w:lang w:val="fr-FR"/>
              </w:rPr>
              <w:t>’</w:t>
            </w:r>
            <w:r w:rsidRPr="00420177">
              <w:rPr>
                <w:i/>
                <w:sz w:val="16"/>
                <w:lang w:val="fr-FR"/>
              </w:rPr>
              <w:t>activité</w:t>
            </w:r>
          </w:p>
        </w:tc>
      </w:tr>
      <w:tr w:rsidR="00420177" w:rsidRPr="00420177" w14:paraId="7CC5CE78" w14:textId="77777777" w:rsidTr="00420177">
        <w:trPr>
          <w:trHeight w:hRule="exact" w:val="113"/>
        </w:trPr>
        <w:tc>
          <w:tcPr>
            <w:tcW w:w="7370" w:type="dxa"/>
            <w:tcBorders>
              <w:top w:val="single" w:sz="12" w:space="0" w:color="auto"/>
            </w:tcBorders>
            <w:shd w:val="clear" w:color="auto" w:fill="auto"/>
          </w:tcPr>
          <w:p w14:paraId="0114246B" w14:textId="77777777" w:rsidR="00420177" w:rsidRPr="00420177" w:rsidRDefault="00420177" w:rsidP="00420177">
            <w:pPr>
              <w:spacing w:before="40" w:after="120"/>
              <w:ind w:right="113"/>
              <w:rPr>
                <w:lang w:val="fr-FR"/>
              </w:rPr>
            </w:pPr>
          </w:p>
        </w:tc>
      </w:tr>
      <w:tr w:rsidR="00420177" w:rsidRPr="00420177" w14:paraId="427D8C1A" w14:textId="77777777" w:rsidTr="00420177">
        <w:tc>
          <w:tcPr>
            <w:tcW w:w="7370" w:type="dxa"/>
            <w:shd w:val="clear" w:color="auto" w:fill="auto"/>
          </w:tcPr>
          <w:p w14:paraId="4B8EDB3D" w14:textId="77777777" w:rsidR="00420177" w:rsidRPr="00420177" w:rsidRDefault="00420177" w:rsidP="00420177">
            <w:pPr>
              <w:spacing w:before="40" w:after="120"/>
              <w:ind w:right="113"/>
              <w:rPr>
                <w:lang w:val="en-GB"/>
              </w:rPr>
            </w:pPr>
            <w:r w:rsidRPr="00420177">
              <w:rPr>
                <w:b/>
                <w:bCs/>
                <w:lang w:val="fr-FR"/>
              </w:rPr>
              <w:t>Questions de fond</w:t>
            </w:r>
          </w:p>
        </w:tc>
      </w:tr>
      <w:tr w:rsidR="00420177" w:rsidRPr="00420177" w14:paraId="43344B30" w14:textId="77777777" w:rsidTr="00420177">
        <w:tc>
          <w:tcPr>
            <w:tcW w:w="7370" w:type="dxa"/>
            <w:shd w:val="clear" w:color="auto" w:fill="auto"/>
          </w:tcPr>
          <w:p w14:paraId="65748C39" w14:textId="77777777" w:rsidR="00420177" w:rsidRPr="00420177" w:rsidRDefault="00420177" w:rsidP="00420177">
            <w:pPr>
              <w:spacing w:before="40" w:after="120"/>
              <w:ind w:right="113"/>
              <w:rPr>
                <w:bCs/>
                <w:lang w:val="fr-FR"/>
              </w:rPr>
            </w:pPr>
            <w:r w:rsidRPr="00420177">
              <w:rPr>
                <w:lang w:val="fr-FR"/>
              </w:rPr>
              <w:t>I.</w:t>
            </w:r>
            <w:r w:rsidRPr="00420177">
              <w:rPr>
                <w:lang w:val="fr-FR"/>
              </w:rPr>
              <w:tab/>
              <w:t>Accès à l</w:t>
            </w:r>
            <w:r w:rsidR="00457C42">
              <w:rPr>
                <w:lang w:val="fr-FR"/>
              </w:rPr>
              <w:t>’</w:t>
            </w:r>
            <w:r w:rsidRPr="00420177">
              <w:rPr>
                <w:lang w:val="fr-FR"/>
              </w:rPr>
              <w:t xml:space="preserve">information, </w:t>
            </w:r>
            <w:r w:rsidR="0050281E">
              <w:rPr>
                <w:lang w:val="fr-FR"/>
              </w:rPr>
              <w:t>y compris</w:t>
            </w:r>
            <w:r w:rsidRPr="00420177">
              <w:rPr>
                <w:lang w:val="fr-FR"/>
              </w:rPr>
              <w:t xml:space="preserve"> les outils d</w:t>
            </w:r>
            <w:r w:rsidR="00457C42">
              <w:rPr>
                <w:lang w:val="fr-FR"/>
              </w:rPr>
              <w:t>’</w:t>
            </w:r>
            <w:r w:rsidRPr="00420177">
              <w:rPr>
                <w:lang w:val="fr-FR"/>
              </w:rPr>
              <w:t>information électroniques</w:t>
            </w:r>
          </w:p>
        </w:tc>
      </w:tr>
      <w:tr w:rsidR="00420177" w:rsidRPr="00420177" w14:paraId="3D055345" w14:textId="77777777" w:rsidTr="00420177">
        <w:tc>
          <w:tcPr>
            <w:tcW w:w="7370" w:type="dxa"/>
            <w:shd w:val="clear" w:color="auto" w:fill="auto"/>
          </w:tcPr>
          <w:p w14:paraId="48353A2B" w14:textId="77777777" w:rsidR="00420177" w:rsidRPr="00420177" w:rsidRDefault="00420177" w:rsidP="00420177">
            <w:pPr>
              <w:spacing w:before="40" w:after="120"/>
              <w:ind w:right="113"/>
              <w:rPr>
                <w:lang w:val="en-GB"/>
              </w:rPr>
            </w:pPr>
            <w:r w:rsidRPr="00420177">
              <w:rPr>
                <w:lang w:val="fr-FR"/>
              </w:rPr>
              <w:t>II.</w:t>
            </w:r>
            <w:r w:rsidRPr="00420177">
              <w:rPr>
                <w:lang w:val="fr-FR"/>
              </w:rPr>
              <w:tab/>
              <w:t>Participation du public</w:t>
            </w:r>
          </w:p>
        </w:tc>
      </w:tr>
      <w:tr w:rsidR="00420177" w:rsidRPr="00420177" w14:paraId="28ACCB65" w14:textId="77777777" w:rsidTr="00420177">
        <w:tc>
          <w:tcPr>
            <w:tcW w:w="7370" w:type="dxa"/>
            <w:shd w:val="clear" w:color="auto" w:fill="auto"/>
          </w:tcPr>
          <w:p w14:paraId="10585B21" w14:textId="77777777" w:rsidR="00420177" w:rsidRPr="00420177" w:rsidRDefault="00420177" w:rsidP="00420177">
            <w:pPr>
              <w:spacing w:before="40" w:after="120"/>
              <w:ind w:right="113"/>
              <w:rPr>
                <w:lang w:val="fr-FR"/>
              </w:rPr>
            </w:pPr>
            <w:r w:rsidRPr="00420177">
              <w:rPr>
                <w:lang w:val="fr-FR"/>
              </w:rPr>
              <w:t>III.</w:t>
            </w:r>
            <w:r w:rsidRPr="00420177">
              <w:rPr>
                <w:lang w:val="fr-FR"/>
              </w:rPr>
              <w:tab/>
              <w:t>Accès à la justice</w:t>
            </w:r>
          </w:p>
        </w:tc>
      </w:tr>
      <w:tr w:rsidR="00420177" w:rsidRPr="00420177" w14:paraId="0E9DABDB" w14:textId="77777777" w:rsidTr="00420177">
        <w:tc>
          <w:tcPr>
            <w:tcW w:w="7370" w:type="dxa"/>
            <w:shd w:val="clear" w:color="auto" w:fill="auto"/>
          </w:tcPr>
          <w:p w14:paraId="0803A355" w14:textId="77777777" w:rsidR="00420177" w:rsidRPr="00420177" w:rsidRDefault="00420177" w:rsidP="00420177">
            <w:pPr>
              <w:spacing w:before="40" w:after="120"/>
              <w:ind w:right="113"/>
              <w:rPr>
                <w:lang w:val="en-GB"/>
              </w:rPr>
            </w:pPr>
            <w:r w:rsidRPr="00420177">
              <w:rPr>
                <w:lang w:val="fr-FR"/>
              </w:rPr>
              <w:t>IV.</w:t>
            </w:r>
            <w:r w:rsidRPr="00420177">
              <w:rPr>
                <w:lang w:val="fr-FR"/>
              </w:rPr>
              <w:tab/>
              <w:t>Organismes génétiquement modifiés</w:t>
            </w:r>
          </w:p>
        </w:tc>
      </w:tr>
      <w:tr w:rsidR="00420177" w:rsidRPr="00420177" w14:paraId="3090F3C4" w14:textId="77777777" w:rsidTr="00420177">
        <w:tc>
          <w:tcPr>
            <w:tcW w:w="7370" w:type="dxa"/>
            <w:shd w:val="clear" w:color="auto" w:fill="auto"/>
          </w:tcPr>
          <w:p w14:paraId="51D697F8" w14:textId="77777777" w:rsidR="00420177" w:rsidRPr="00420177" w:rsidRDefault="00420177" w:rsidP="00420177">
            <w:pPr>
              <w:spacing w:before="40" w:after="120"/>
              <w:ind w:right="113"/>
              <w:rPr>
                <w:lang w:val="en-GB"/>
              </w:rPr>
            </w:pPr>
            <w:r w:rsidRPr="00420177">
              <w:rPr>
                <w:b/>
                <w:bCs/>
                <w:lang w:val="fr-FR"/>
              </w:rPr>
              <w:t>Procédures et mécanismes</w:t>
            </w:r>
          </w:p>
        </w:tc>
      </w:tr>
      <w:tr w:rsidR="00420177" w:rsidRPr="00420177" w14:paraId="2BF20722" w14:textId="77777777" w:rsidTr="00420177">
        <w:tc>
          <w:tcPr>
            <w:tcW w:w="7370" w:type="dxa"/>
            <w:shd w:val="clear" w:color="auto" w:fill="auto"/>
          </w:tcPr>
          <w:p w14:paraId="43E4648B" w14:textId="77777777" w:rsidR="00420177" w:rsidRPr="00420177" w:rsidRDefault="00420177" w:rsidP="00420177">
            <w:pPr>
              <w:spacing w:before="40" w:after="120"/>
              <w:ind w:right="113"/>
              <w:rPr>
                <w:lang w:val="fr-FR"/>
              </w:rPr>
            </w:pPr>
            <w:r w:rsidRPr="00420177">
              <w:rPr>
                <w:lang w:val="fr-FR"/>
              </w:rPr>
              <w:t>V.</w:t>
            </w:r>
            <w:r w:rsidRPr="00420177">
              <w:rPr>
                <w:lang w:val="fr-FR"/>
              </w:rPr>
              <w:tab/>
              <w:t>Mécanisme d</w:t>
            </w:r>
            <w:r w:rsidR="00457C42">
              <w:rPr>
                <w:lang w:val="fr-FR"/>
              </w:rPr>
              <w:t>’</w:t>
            </w:r>
            <w:r w:rsidRPr="00420177">
              <w:rPr>
                <w:lang w:val="fr-FR"/>
              </w:rPr>
              <w:t>examen du respect des dispositions</w:t>
            </w:r>
          </w:p>
        </w:tc>
      </w:tr>
      <w:tr w:rsidR="00420177" w:rsidRPr="00420177" w14:paraId="00565967" w14:textId="77777777" w:rsidTr="00420177">
        <w:tc>
          <w:tcPr>
            <w:tcW w:w="7370" w:type="dxa"/>
            <w:shd w:val="clear" w:color="auto" w:fill="auto"/>
          </w:tcPr>
          <w:p w14:paraId="7F0866A2" w14:textId="77777777" w:rsidR="00420177" w:rsidRPr="00420177" w:rsidRDefault="00420177" w:rsidP="00C30712">
            <w:pPr>
              <w:spacing w:before="40" w:after="120"/>
              <w:ind w:left="567" w:right="113" w:hanging="567"/>
              <w:rPr>
                <w:lang w:val="fr-FR"/>
              </w:rPr>
            </w:pPr>
            <w:r w:rsidRPr="00420177">
              <w:rPr>
                <w:lang w:val="fr-FR"/>
              </w:rPr>
              <w:t>V.1</w:t>
            </w:r>
            <w:r w:rsidRPr="00420177">
              <w:rPr>
                <w:lang w:val="fr-FR"/>
              </w:rPr>
              <w:tab/>
              <w:t>Comité d</w:t>
            </w:r>
            <w:r w:rsidR="00457C42">
              <w:rPr>
                <w:lang w:val="fr-FR"/>
              </w:rPr>
              <w:t>’</w:t>
            </w:r>
            <w:r w:rsidRPr="00420177">
              <w:rPr>
                <w:lang w:val="fr-FR"/>
              </w:rPr>
              <w:t>examen du respect des dispositions (</w:t>
            </w:r>
            <w:r w:rsidRPr="00C30712">
              <w:rPr>
                <w:i/>
                <w:lang w:val="fr-FR"/>
              </w:rPr>
              <w:t>renforcé par</w:t>
            </w:r>
            <w:r w:rsidRPr="00423B43">
              <w:rPr>
                <w:i/>
                <w:lang w:val="fr-FR"/>
              </w:rPr>
              <w:t xml:space="preserve"> </w:t>
            </w:r>
            <w:r w:rsidRPr="00C30712">
              <w:rPr>
                <w:i/>
                <w:u w:val="single"/>
                <w:lang w:val="fr-FR"/>
              </w:rPr>
              <w:t>une assistance juridique</w:t>
            </w:r>
            <w:r w:rsidRPr="00420177">
              <w:rPr>
                <w:lang w:val="fr-FR"/>
              </w:rPr>
              <w:t>)</w:t>
            </w:r>
          </w:p>
        </w:tc>
      </w:tr>
      <w:tr w:rsidR="00420177" w:rsidRPr="00420177" w14:paraId="0DD18866" w14:textId="77777777" w:rsidTr="00420177">
        <w:tc>
          <w:tcPr>
            <w:tcW w:w="7370" w:type="dxa"/>
            <w:shd w:val="clear" w:color="auto" w:fill="auto"/>
          </w:tcPr>
          <w:p w14:paraId="0BB08456" w14:textId="77777777" w:rsidR="00420177" w:rsidRPr="00420177" w:rsidRDefault="00420177" w:rsidP="00C30712">
            <w:pPr>
              <w:spacing w:before="40" w:after="120"/>
              <w:ind w:left="567" w:right="113" w:hanging="567"/>
              <w:rPr>
                <w:lang w:val="fr-FR"/>
              </w:rPr>
            </w:pPr>
            <w:r w:rsidRPr="00420177">
              <w:rPr>
                <w:lang w:val="fr-FR"/>
              </w:rPr>
              <w:t>V.2</w:t>
            </w:r>
            <w:r w:rsidRPr="00420177">
              <w:rPr>
                <w:lang w:val="fr-FR"/>
              </w:rPr>
              <w:tab/>
            </w:r>
            <w:r w:rsidRPr="00C30712">
              <w:rPr>
                <w:i/>
                <w:u w:val="single"/>
                <w:lang w:val="fr-FR"/>
              </w:rPr>
              <w:t>Nouveau mécanisme de réaction rapide visant à traiter les cas relevant du paragraphe 8 de l</w:t>
            </w:r>
            <w:r w:rsidR="00457C42">
              <w:rPr>
                <w:i/>
                <w:u w:val="single"/>
                <w:lang w:val="fr-FR"/>
              </w:rPr>
              <w:t>’</w:t>
            </w:r>
            <w:r w:rsidRPr="00C30712">
              <w:rPr>
                <w:i/>
                <w:u w:val="single"/>
                <w:lang w:val="fr-FR"/>
              </w:rPr>
              <w:t>article 3 de la Convention</w:t>
            </w:r>
          </w:p>
        </w:tc>
      </w:tr>
      <w:tr w:rsidR="00420177" w:rsidRPr="00420177" w14:paraId="21AD07EE" w14:textId="77777777" w:rsidTr="00420177">
        <w:tc>
          <w:tcPr>
            <w:tcW w:w="7370" w:type="dxa"/>
            <w:shd w:val="clear" w:color="auto" w:fill="auto"/>
          </w:tcPr>
          <w:p w14:paraId="3A6A78E7" w14:textId="77777777" w:rsidR="00420177" w:rsidRPr="00420177" w:rsidRDefault="00420177" w:rsidP="00420177">
            <w:pPr>
              <w:spacing w:before="40" w:after="120"/>
              <w:ind w:right="113"/>
              <w:rPr>
                <w:lang w:val="fr-FR"/>
              </w:rPr>
            </w:pPr>
            <w:r w:rsidRPr="00420177">
              <w:rPr>
                <w:lang w:val="fr-FR"/>
              </w:rPr>
              <w:t>VI.</w:t>
            </w:r>
            <w:r w:rsidRPr="00420177">
              <w:rPr>
                <w:lang w:val="fr-FR"/>
              </w:rPr>
              <w:tab/>
              <w:t>Renforcement des capacités (</w:t>
            </w:r>
            <w:r w:rsidRPr="00C30712">
              <w:rPr>
                <w:i/>
                <w:lang w:val="fr-FR"/>
              </w:rPr>
              <w:t>renforcé par</w:t>
            </w:r>
            <w:r w:rsidR="00C30712" w:rsidRPr="00C30712">
              <w:rPr>
                <w:i/>
                <w:lang w:val="fr-FR"/>
              </w:rPr>
              <w:t xml:space="preserve"> </w:t>
            </w:r>
            <w:r w:rsidRPr="00C30712">
              <w:rPr>
                <w:i/>
                <w:u w:val="single"/>
                <w:lang w:val="fr-FR"/>
              </w:rPr>
              <w:t>une assistance consultative</w:t>
            </w:r>
            <w:r w:rsidRPr="00420177">
              <w:rPr>
                <w:lang w:val="fr-FR"/>
              </w:rPr>
              <w:t>)</w:t>
            </w:r>
          </w:p>
        </w:tc>
      </w:tr>
      <w:tr w:rsidR="00420177" w:rsidRPr="00420177" w14:paraId="13595C8F" w14:textId="77777777" w:rsidTr="00420177">
        <w:tc>
          <w:tcPr>
            <w:tcW w:w="7370" w:type="dxa"/>
            <w:shd w:val="clear" w:color="auto" w:fill="auto"/>
          </w:tcPr>
          <w:p w14:paraId="0615F4B4" w14:textId="77777777" w:rsidR="00420177" w:rsidRPr="00420177" w:rsidRDefault="00420177" w:rsidP="00420177">
            <w:pPr>
              <w:spacing w:before="40" w:after="120"/>
              <w:ind w:right="113"/>
              <w:rPr>
                <w:lang w:val="fr-FR"/>
              </w:rPr>
            </w:pPr>
            <w:r w:rsidRPr="00420177">
              <w:rPr>
                <w:lang w:val="fr-FR"/>
              </w:rPr>
              <w:t>VII.</w:t>
            </w:r>
            <w:r w:rsidRPr="00420177">
              <w:rPr>
                <w:lang w:val="fr-FR"/>
              </w:rPr>
              <w:tab/>
              <w:t>Mécanisme d</w:t>
            </w:r>
            <w:r w:rsidR="00457C42">
              <w:rPr>
                <w:lang w:val="fr-FR"/>
              </w:rPr>
              <w:t>’</w:t>
            </w:r>
            <w:r w:rsidRPr="00420177">
              <w:rPr>
                <w:lang w:val="fr-FR"/>
              </w:rPr>
              <w:t>établissement de rapports</w:t>
            </w:r>
          </w:p>
        </w:tc>
      </w:tr>
      <w:tr w:rsidR="00420177" w:rsidRPr="00420177" w14:paraId="5633781F" w14:textId="77777777" w:rsidTr="00420177">
        <w:tc>
          <w:tcPr>
            <w:tcW w:w="7370" w:type="dxa"/>
            <w:shd w:val="clear" w:color="auto" w:fill="auto"/>
          </w:tcPr>
          <w:p w14:paraId="66409225" w14:textId="77777777" w:rsidR="00420177" w:rsidRPr="00420177" w:rsidRDefault="00420177" w:rsidP="00420177">
            <w:pPr>
              <w:spacing w:before="40" w:after="120"/>
              <w:ind w:right="113"/>
              <w:rPr>
                <w:lang w:val="fr-FR"/>
              </w:rPr>
            </w:pPr>
            <w:r w:rsidRPr="00420177">
              <w:rPr>
                <w:lang w:val="fr-FR"/>
              </w:rPr>
              <w:t>VIII.</w:t>
            </w:r>
            <w:r w:rsidRPr="00420177">
              <w:rPr>
                <w:lang w:val="fr-FR"/>
              </w:rPr>
              <w:tab/>
              <w:t>Sensibilisation et promotion (</w:t>
            </w:r>
            <w:r w:rsidRPr="00C30712">
              <w:rPr>
                <w:i/>
                <w:lang w:val="fr-FR"/>
              </w:rPr>
              <w:t>renforcé par</w:t>
            </w:r>
            <w:r w:rsidR="00C30712" w:rsidRPr="00C30712">
              <w:rPr>
                <w:i/>
                <w:lang w:val="fr-FR"/>
              </w:rPr>
              <w:t xml:space="preserve"> </w:t>
            </w:r>
            <w:r w:rsidRPr="00C30712">
              <w:rPr>
                <w:i/>
                <w:u w:val="single"/>
                <w:lang w:val="fr-FR"/>
              </w:rPr>
              <w:t>une assistance consultative</w:t>
            </w:r>
            <w:r w:rsidRPr="00420177">
              <w:rPr>
                <w:lang w:val="fr-FR"/>
              </w:rPr>
              <w:t>)</w:t>
            </w:r>
          </w:p>
        </w:tc>
      </w:tr>
      <w:tr w:rsidR="00420177" w:rsidRPr="00420177" w14:paraId="408BE381" w14:textId="77777777" w:rsidTr="00420177">
        <w:tc>
          <w:tcPr>
            <w:tcW w:w="7370" w:type="dxa"/>
            <w:shd w:val="clear" w:color="auto" w:fill="auto"/>
          </w:tcPr>
          <w:p w14:paraId="0F941F92" w14:textId="77777777" w:rsidR="00420177" w:rsidRPr="00420177" w:rsidRDefault="00420177" w:rsidP="00C30712">
            <w:pPr>
              <w:spacing w:before="40" w:after="120"/>
              <w:ind w:left="567" w:right="113" w:hanging="567"/>
              <w:rPr>
                <w:lang w:val="fr-FR"/>
              </w:rPr>
            </w:pPr>
            <w:r w:rsidRPr="00420177">
              <w:rPr>
                <w:lang w:val="fr-FR"/>
              </w:rPr>
              <w:t>IX.</w:t>
            </w:r>
            <w:r w:rsidRPr="00420177">
              <w:rPr>
                <w:lang w:val="fr-FR"/>
              </w:rPr>
              <w:tab/>
              <w:t>Promotion des Lignes directrices d</w:t>
            </w:r>
            <w:r w:rsidR="00457C42">
              <w:rPr>
                <w:lang w:val="fr-FR"/>
              </w:rPr>
              <w:t>’</w:t>
            </w:r>
            <w:r w:rsidRPr="00420177">
              <w:rPr>
                <w:lang w:val="fr-FR"/>
              </w:rPr>
              <w:t>Almaty et d</w:t>
            </w:r>
            <w:r w:rsidR="00457C42">
              <w:rPr>
                <w:lang w:val="fr-FR"/>
              </w:rPr>
              <w:t>’</w:t>
            </w:r>
            <w:r w:rsidRPr="00420177">
              <w:rPr>
                <w:lang w:val="fr-FR"/>
              </w:rPr>
              <w:t>autres formes d</w:t>
            </w:r>
            <w:r w:rsidR="00457C42">
              <w:rPr>
                <w:lang w:val="fr-FR"/>
              </w:rPr>
              <w:t>’</w:t>
            </w:r>
            <w:r w:rsidRPr="00420177">
              <w:rPr>
                <w:lang w:val="fr-FR"/>
              </w:rPr>
              <w:t>interaction avec les organismes et processus internationaux concernés (</w:t>
            </w:r>
            <w:r w:rsidRPr="00C30712">
              <w:rPr>
                <w:i/>
                <w:lang w:val="fr-FR"/>
              </w:rPr>
              <w:t xml:space="preserve">renforcé par </w:t>
            </w:r>
            <w:r w:rsidRPr="00C30712">
              <w:rPr>
                <w:i/>
                <w:u w:val="single"/>
                <w:lang w:val="fr-FR"/>
              </w:rPr>
              <w:t>une assistance consultative</w:t>
            </w:r>
            <w:r w:rsidRPr="00420177">
              <w:rPr>
                <w:lang w:val="fr-FR"/>
              </w:rPr>
              <w:t>)</w:t>
            </w:r>
          </w:p>
        </w:tc>
      </w:tr>
      <w:tr w:rsidR="00420177" w:rsidRPr="00420177" w14:paraId="0D3B6606" w14:textId="77777777" w:rsidTr="00420177">
        <w:tc>
          <w:tcPr>
            <w:tcW w:w="7370" w:type="dxa"/>
            <w:shd w:val="clear" w:color="auto" w:fill="auto"/>
          </w:tcPr>
          <w:p w14:paraId="51A39FEF" w14:textId="77777777" w:rsidR="00420177" w:rsidRPr="00420177" w:rsidRDefault="00420177" w:rsidP="00420177">
            <w:pPr>
              <w:spacing w:before="40" w:after="120"/>
              <w:ind w:right="113"/>
              <w:rPr>
                <w:b/>
                <w:bCs/>
                <w:lang w:val="fr-FR"/>
              </w:rPr>
            </w:pPr>
            <w:r w:rsidRPr="00420177">
              <w:rPr>
                <w:b/>
                <w:bCs/>
                <w:lang w:val="fr-FR"/>
              </w:rPr>
              <w:t>Coordination, Réunion des Parties et soutien horizontal</w:t>
            </w:r>
          </w:p>
        </w:tc>
      </w:tr>
      <w:tr w:rsidR="00420177" w:rsidRPr="00420177" w14:paraId="4D3BF881" w14:textId="77777777" w:rsidTr="00420177">
        <w:tc>
          <w:tcPr>
            <w:tcW w:w="7370" w:type="dxa"/>
            <w:shd w:val="clear" w:color="auto" w:fill="auto"/>
          </w:tcPr>
          <w:p w14:paraId="3AC5B19F" w14:textId="77777777" w:rsidR="00420177" w:rsidRPr="00420177" w:rsidRDefault="00420177" w:rsidP="00420177">
            <w:pPr>
              <w:spacing w:before="40" w:after="120"/>
              <w:ind w:right="113"/>
              <w:rPr>
                <w:lang w:val="fr-FR"/>
              </w:rPr>
            </w:pPr>
            <w:r w:rsidRPr="00420177">
              <w:rPr>
                <w:lang w:val="fr-FR"/>
              </w:rPr>
              <w:t>X.</w:t>
            </w:r>
            <w:r w:rsidRPr="00420177">
              <w:rPr>
                <w:lang w:val="fr-FR"/>
              </w:rPr>
              <w:tab/>
              <w:t>Coordination et supervision des activités intersessions</w:t>
            </w:r>
          </w:p>
        </w:tc>
      </w:tr>
      <w:tr w:rsidR="00420177" w:rsidRPr="00420177" w14:paraId="2D226CDA" w14:textId="77777777" w:rsidTr="00420177">
        <w:tc>
          <w:tcPr>
            <w:tcW w:w="7370" w:type="dxa"/>
            <w:shd w:val="clear" w:color="auto" w:fill="auto"/>
          </w:tcPr>
          <w:p w14:paraId="10B93B3E" w14:textId="77777777" w:rsidR="00420177" w:rsidRPr="00420177" w:rsidRDefault="00420177" w:rsidP="00420177">
            <w:pPr>
              <w:spacing w:before="40" w:after="120"/>
              <w:ind w:right="113"/>
              <w:rPr>
                <w:lang w:val="en-GB"/>
              </w:rPr>
            </w:pPr>
            <w:r w:rsidRPr="00420177">
              <w:rPr>
                <w:lang w:val="fr-FR"/>
              </w:rPr>
              <w:t>XI.</w:t>
            </w:r>
            <w:r w:rsidRPr="00420177">
              <w:rPr>
                <w:lang w:val="fr-FR"/>
              </w:rPr>
              <w:tab/>
              <w:t>Réunion des Parties</w:t>
            </w:r>
          </w:p>
        </w:tc>
      </w:tr>
      <w:tr w:rsidR="00420177" w:rsidRPr="00420177" w14:paraId="26C84E18" w14:textId="77777777" w:rsidTr="00420177">
        <w:tc>
          <w:tcPr>
            <w:tcW w:w="7370" w:type="dxa"/>
            <w:tcBorders>
              <w:bottom w:val="single" w:sz="12" w:space="0" w:color="auto"/>
            </w:tcBorders>
            <w:shd w:val="clear" w:color="auto" w:fill="auto"/>
          </w:tcPr>
          <w:p w14:paraId="1CB6AAEF" w14:textId="77777777" w:rsidR="00420177" w:rsidRPr="00420177" w:rsidRDefault="00420177" w:rsidP="00420177">
            <w:pPr>
              <w:spacing w:before="40" w:after="120"/>
              <w:ind w:right="113"/>
              <w:rPr>
                <w:lang w:val="en-GB"/>
              </w:rPr>
            </w:pPr>
            <w:r w:rsidRPr="00420177">
              <w:rPr>
                <w:lang w:val="fr-FR"/>
              </w:rPr>
              <w:t>XII.</w:t>
            </w:r>
            <w:r w:rsidRPr="00420177">
              <w:rPr>
                <w:lang w:val="fr-FR"/>
              </w:rPr>
              <w:tab/>
              <w:t>Soutien horizontal</w:t>
            </w:r>
          </w:p>
        </w:tc>
      </w:tr>
    </w:tbl>
    <w:p w14:paraId="6D68BC31" w14:textId="77777777" w:rsidR="00C30712" w:rsidRPr="00C30712" w:rsidRDefault="00C30712" w:rsidP="00423B43">
      <w:pPr>
        <w:pStyle w:val="H1G"/>
        <w:rPr>
          <w:lang w:val="fr-FR"/>
        </w:rPr>
      </w:pPr>
      <w:r w:rsidRPr="00C30712">
        <w:rPr>
          <w:lang w:val="fr-FR"/>
        </w:rPr>
        <w:tab/>
      </w:r>
      <w:r w:rsidRPr="00C30712">
        <w:rPr>
          <w:lang w:val="fr-FR"/>
        </w:rPr>
        <w:tab/>
        <w:t>Justification de l</w:t>
      </w:r>
      <w:r w:rsidR="00457C42">
        <w:rPr>
          <w:lang w:val="fr-FR"/>
        </w:rPr>
        <w:t>’</w:t>
      </w:r>
      <w:r w:rsidRPr="00C30712">
        <w:rPr>
          <w:lang w:val="fr-FR"/>
        </w:rPr>
        <w:t>ajout de nouveaux éléments</w:t>
      </w:r>
    </w:p>
    <w:p w14:paraId="66089CF5" w14:textId="77777777" w:rsidR="00C30712" w:rsidRPr="00C30712" w:rsidRDefault="00C30712" w:rsidP="00C30712">
      <w:pPr>
        <w:pStyle w:val="SingleTxtG"/>
        <w:rPr>
          <w:lang w:val="fr-FR"/>
        </w:rPr>
      </w:pPr>
      <w:r w:rsidRPr="00C30712">
        <w:rPr>
          <w:lang w:val="fr-FR"/>
        </w:rPr>
        <w:t>7.</w:t>
      </w:r>
      <w:r w:rsidRPr="00C30712">
        <w:rPr>
          <w:lang w:val="fr-FR"/>
        </w:rPr>
        <w:tab/>
      </w:r>
      <w:r w:rsidRPr="00423B43">
        <w:rPr>
          <w:spacing w:val="-2"/>
          <w:lang w:val="fr-FR"/>
        </w:rPr>
        <w:t>Il est urgent de lutter contre le harcèlement des défenseurs de l</w:t>
      </w:r>
      <w:r w:rsidR="00457C42" w:rsidRPr="00423B43">
        <w:rPr>
          <w:spacing w:val="-2"/>
          <w:lang w:val="fr-FR"/>
        </w:rPr>
        <w:t>’</w:t>
      </w:r>
      <w:r w:rsidRPr="00423B43">
        <w:rPr>
          <w:spacing w:val="-2"/>
          <w:lang w:val="fr-FR"/>
        </w:rPr>
        <w:t>environnement et d</w:t>
      </w:r>
      <w:r w:rsidR="00457C42" w:rsidRPr="00423B43">
        <w:rPr>
          <w:spacing w:val="-2"/>
          <w:lang w:val="fr-FR"/>
        </w:rPr>
        <w:t>’</w:t>
      </w:r>
      <w:r w:rsidRPr="00423B43">
        <w:rPr>
          <w:spacing w:val="-2"/>
          <w:lang w:val="fr-FR"/>
        </w:rPr>
        <w:t>offrir à ceux-ci une protection au titre de la Convention, ainsi qu</w:t>
      </w:r>
      <w:r w:rsidR="00457C42" w:rsidRPr="00423B43">
        <w:rPr>
          <w:spacing w:val="-2"/>
          <w:lang w:val="fr-FR"/>
        </w:rPr>
        <w:t>’</w:t>
      </w:r>
      <w:r w:rsidRPr="00423B43">
        <w:rPr>
          <w:spacing w:val="-2"/>
          <w:lang w:val="fr-FR"/>
        </w:rPr>
        <w:t>il ressort des conclusions des vingt-deuxième (Genève, 19-21 juin 2018) et vingt-troisième (Genève, 26</w:t>
      </w:r>
      <w:r w:rsidRPr="00423B43">
        <w:rPr>
          <w:spacing w:val="-2"/>
          <w:lang w:val="fr-FR"/>
        </w:rPr>
        <w:noBreakHyphen/>
        <w:t>28 juin 2019)</w:t>
      </w:r>
      <w:r w:rsidRPr="00C30712">
        <w:rPr>
          <w:lang w:val="fr-FR"/>
        </w:rPr>
        <w:t xml:space="preserve"> </w:t>
      </w:r>
      <w:r w:rsidRPr="00C30712">
        <w:rPr>
          <w:lang w:val="fr-FR"/>
        </w:rPr>
        <w:lastRenderedPageBreak/>
        <w:t>réunions du Groupe de travail des Parties (voir les rapports des deux réunions, publiés sous les cotes ECE/MP.PP/WG.1/2018/2 et ECE/MP.PP/WG.1/2019/2, respectivement), de la résolution 40/11 du Conseil des droits de l</w:t>
      </w:r>
      <w:r w:rsidR="00457C42">
        <w:rPr>
          <w:lang w:val="fr-FR"/>
        </w:rPr>
        <w:t>’</w:t>
      </w:r>
      <w:r w:rsidRPr="00C30712">
        <w:rPr>
          <w:lang w:val="fr-FR"/>
        </w:rPr>
        <w:t>homme sur la reconnaissance de la contribution des défenseurs des droits de l</w:t>
      </w:r>
      <w:r w:rsidR="00457C42">
        <w:rPr>
          <w:lang w:val="fr-FR"/>
        </w:rPr>
        <w:t>’</w:t>
      </w:r>
      <w:r w:rsidRPr="00C30712">
        <w:rPr>
          <w:lang w:val="fr-FR"/>
        </w:rPr>
        <w:t>homme liés à l</w:t>
      </w:r>
      <w:r w:rsidR="00457C42">
        <w:rPr>
          <w:lang w:val="fr-FR"/>
        </w:rPr>
        <w:t>’</w:t>
      </w:r>
      <w:r w:rsidRPr="00C30712">
        <w:rPr>
          <w:lang w:val="fr-FR"/>
        </w:rPr>
        <w:t>environnement à la jouissance des droits de l</w:t>
      </w:r>
      <w:r w:rsidR="00457C42">
        <w:rPr>
          <w:lang w:val="fr-FR"/>
        </w:rPr>
        <w:t>’</w:t>
      </w:r>
      <w:r w:rsidRPr="00C30712">
        <w:rPr>
          <w:lang w:val="fr-FR"/>
        </w:rPr>
        <w:t>homme, à la protection de l</w:t>
      </w:r>
      <w:r w:rsidR="00457C42">
        <w:rPr>
          <w:lang w:val="fr-FR"/>
        </w:rPr>
        <w:t>’</w:t>
      </w:r>
      <w:r w:rsidRPr="00C30712">
        <w:rPr>
          <w:lang w:val="fr-FR"/>
        </w:rPr>
        <w:t>environnement et au développement durable (A/HRC/RES/40/11), ainsi que des rapports des rapporteurs spéciaux compétents nommés par le Conseil des droits de l</w:t>
      </w:r>
      <w:r w:rsidR="00457C42">
        <w:rPr>
          <w:lang w:val="fr-FR"/>
        </w:rPr>
        <w:t>’</w:t>
      </w:r>
      <w:r w:rsidRPr="00C30712">
        <w:rPr>
          <w:lang w:val="fr-FR"/>
        </w:rPr>
        <w:t>homme. En outre, plusieurs rapports d</w:t>
      </w:r>
      <w:r w:rsidR="00457C42">
        <w:rPr>
          <w:lang w:val="fr-FR"/>
        </w:rPr>
        <w:t>’</w:t>
      </w:r>
      <w:r w:rsidRPr="00C30712">
        <w:rPr>
          <w:lang w:val="fr-FR"/>
        </w:rPr>
        <w:t>organisations non gouvernementales ont été consacrés à cette question cruciale, notamment les rapports intitulés « Dangerous Work: Reprisals against Environmental Activists »</w:t>
      </w:r>
      <w:r w:rsidRPr="00423B43">
        <w:rPr>
          <w:rStyle w:val="Appelnotedebasdep"/>
        </w:rPr>
        <w:footnoteReference w:id="2"/>
      </w:r>
      <w:r w:rsidRPr="00C30712">
        <w:rPr>
          <w:lang w:val="fr-FR"/>
        </w:rPr>
        <w:t xml:space="preserve"> (2019) et « Front Line Defenders: Global Analysis 2018 »</w:t>
      </w:r>
      <w:r w:rsidRPr="00423B43">
        <w:rPr>
          <w:rStyle w:val="Appelnotedebasdep"/>
        </w:rPr>
        <w:footnoteReference w:id="3"/>
      </w:r>
      <w:r w:rsidRPr="00C30712">
        <w:rPr>
          <w:lang w:val="fr-FR"/>
        </w:rPr>
        <w:t>. Il est essentiel de s</w:t>
      </w:r>
      <w:r w:rsidR="00457C42">
        <w:rPr>
          <w:lang w:val="fr-FR"/>
        </w:rPr>
        <w:t>’</w:t>
      </w:r>
      <w:r w:rsidRPr="00C30712">
        <w:rPr>
          <w:lang w:val="fr-FR"/>
        </w:rPr>
        <w:t>employer à lutter efficacement contre la multiplication des cas de persécution et de harcèlement de défenseurs de l</w:t>
      </w:r>
      <w:r w:rsidR="00457C42">
        <w:rPr>
          <w:lang w:val="fr-FR"/>
        </w:rPr>
        <w:t>’</w:t>
      </w:r>
      <w:r w:rsidRPr="00C30712">
        <w:rPr>
          <w:lang w:val="fr-FR"/>
        </w:rPr>
        <w:t xml:space="preserve">environnement, </w:t>
      </w:r>
      <w:r w:rsidR="0050281E">
        <w:rPr>
          <w:lang w:val="fr-FR"/>
        </w:rPr>
        <w:t>y compris</w:t>
      </w:r>
      <w:r w:rsidRPr="00C30712">
        <w:rPr>
          <w:lang w:val="fr-FR"/>
        </w:rPr>
        <w:t xml:space="preserve"> dans les </w:t>
      </w:r>
      <w:r w:rsidR="00FE368E" w:rsidRPr="004C18FE">
        <w:rPr>
          <w:lang w:val="fr-FR"/>
        </w:rPr>
        <w:t>P</w:t>
      </w:r>
      <w:r w:rsidRPr="004C18FE">
        <w:rPr>
          <w:lang w:val="fr-FR"/>
        </w:rPr>
        <w:t>arties à la Convention d</w:t>
      </w:r>
      <w:r w:rsidR="00457C42" w:rsidRPr="004C18FE">
        <w:rPr>
          <w:lang w:val="fr-FR"/>
        </w:rPr>
        <w:t>’</w:t>
      </w:r>
      <w:r w:rsidRPr="004C18FE">
        <w:rPr>
          <w:lang w:val="fr-FR"/>
        </w:rPr>
        <w:t>Aarhus</w:t>
      </w:r>
      <w:r w:rsidRPr="00C30712">
        <w:rPr>
          <w:lang w:val="fr-FR"/>
        </w:rPr>
        <w:t>. Outre</w:t>
      </w:r>
      <w:r w:rsidR="00C53881">
        <w:rPr>
          <w:lang w:val="fr-FR"/>
        </w:rPr>
        <w:t xml:space="preserve"> </w:t>
      </w:r>
      <w:r w:rsidRPr="00C30712">
        <w:rPr>
          <w:lang w:val="fr-FR"/>
        </w:rPr>
        <w:t>l</w:t>
      </w:r>
      <w:r w:rsidR="00457C42">
        <w:rPr>
          <w:lang w:val="fr-FR"/>
        </w:rPr>
        <w:t>’</w:t>
      </w:r>
      <w:r w:rsidRPr="00C30712">
        <w:rPr>
          <w:lang w:val="fr-FR"/>
        </w:rPr>
        <w:t>examen de cette question au niveau intergouvernemental (Groupe de travail des Parties)</w:t>
      </w:r>
      <w:r w:rsidR="00C53881">
        <w:rPr>
          <w:lang w:val="fr-FR"/>
        </w:rPr>
        <w:t xml:space="preserve"> </w:t>
      </w:r>
      <w:r w:rsidRPr="00C30712">
        <w:rPr>
          <w:lang w:val="fr-FR"/>
        </w:rPr>
        <w:t>et dans le cadre des</w:t>
      </w:r>
      <w:r w:rsidR="00C53881">
        <w:rPr>
          <w:lang w:val="fr-FR"/>
        </w:rPr>
        <w:t xml:space="preserve"> </w:t>
      </w:r>
      <w:r w:rsidRPr="00C30712">
        <w:rPr>
          <w:lang w:val="fr-FR"/>
        </w:rPr>
        <w:t>réunions des équipes spéciales auquel il est procédé</w:t>
      </w:r>
      <w:r w:rsidR="00C53881">
        <w:rPr>
          <w:lang w:val="fr-FR"/>
        </w:rPr>
        <w:t xml:space="preserve"> </w:t>
      </w:r>
      <w:r w:rsidRPr="00C30712">
        <w:rPr>
          <w:lang w:val="fr-FR"/>
        </w:rPr>
        <w:t>pendant la période intersessions en cours, il a été proposé de mettre sur pied un mécanisme spécialisé</w:t>
      </w:r>
      <w:r w:rsidR="00C53881">
        <w:rPr>
          <w:lang w:val="fr-FR"/>
        </w:rPr>
        <w:t xml:space="preserve"> </w:t>
      </w:r>
      <w:r w:rsidRPr="00C30712">
        <w:rPr>
          <w:lang w:val="fr-FR"/>
        </w:rPr>
        <w:t>(voir ECE/MP.PP/WG.1/2020/13 pour plus d</w:t>
      </w:r>
      <w:r w:rsidR="00457C42">
        <w:rPr>
          <w:lang w:val="fr-FR"/>
        </w:rPr>
        <w:t>’</w:t>
      </w:r>
      <w:r w:rsidRPr="00C30712">
        <w:rPr>
          <w:lang w:val="fr-FR"/>
        </w:rPr>
        <w:t>informations). Le secrétariat joue plusieurs rôles dans ce contexte : il organise les réunions et en assure le service sur le plan technique, apporte des contributions de fond aux documents et autres supports d</w:t>
      </w:r>
      <w:r w:rsidR="00457C42">
        <w:rPr>
          <w:lang w:val="fr-FR"/>
        </w:rPr>
        <w:t>’</w:t>
      </w:r>
      <w:r w:rsidRPr="00C30712">
        <w:rPr>
          <w:lang w:val="fr-FR"/>
        </w:rPr>
        <w:t>information et fait office de centre d</w:t>
      </w:r>
      <w:r w:rsidR="00457C42">
        <w:rPr>
          <w:lang w:val="fr-FR"/>
        </w:rPr>
        <w:t>’</w:t>
      </w:r>
      <w:r w:rsidRPr="00C30712">
        <w:rPr>
          <w:lang w:val="fr-FR"/>
        </w:rPr>
        <w:t>assistance en répondant aux nombreuses demandes que lui adressent les pays et organisations au sujet des droits de l</w:t>
      </w:r>
      <w:r w:rsidR="00457C42">
        <w:rPr>
          <w:lang w:val="fr-FR"/>
        </w:rPr>
        <w:t>’</w:t>
      </w:r>
      <w:r w:rsidRPr="00C30712">
        <w:rPr>
          <w:lang w:val="fr-FR"/>
        </w:rPr>
        <w:t>homme dans le domaine de l</w:t>
      </w:r>
      <w:r w:rsidR="00457C42">
        <w:rPr>
          <w:lang w:val="fr-FR"/>
        </w:rPr>
        <w:t>’</w:t>
      </w:r>
      <w:r w:rsidRPr="00C30712">
        <w:rPr>
          <w:lang w:val="fr-FR"/>
        </w:rPr>
        <w:t>environnement. Ces travaux nécessitent également d</w:t>
      </w:r>
      <w:r w:rsidR="00457C42">
        <w:rPr>
          <w:lang w:val="fr-FR"/>
        </w:rPr>
        <w:t>’</w:t>
      </w:r>
      <w:r w:rsidRPr="00C30712">
        <w:rPr>
          <w:lang w:val="fr-FR"/>
        </w:rPr>
        <w:t>entretenir une coopération et des relations étroites avec les compétents organes du Conseil des droits de l</w:t>
      </w:r>
      <w:r w:rsidR="00457C42">
        <w:rPr>
          <w:lang w:val="fr-FR"/>
        </w:rPr>
        <w:t>’</w:t>
      </w:r>
      <w:r w:rsidRPr="00C30712">
        <w:rPr>
          <w:lang w:val="fr-FR"/>
        </w:rPr>
        <w:t>homme et le Programme des Nations Unies pour l</w:t>
      </w:r>
      <w:r w:rsidR="00457C42">
        <w:rPr>
          <w:lang w:val="fr-FR"/>
        </w:rPr>
        <w:t>’</w:t>
      </w:r>
      <w:r w:rsidRPr="00C30712">
        <w:rPr>
          <w:lang w:val="fr-FR"/>
        </w:rPr>
        <w:t>environnement, selon qu</w:t>
      </w:r>
      <w:r w:rsidR="00457C42">
        <w:rPr>
          <w:lang w:val="fr-FR"/>
        </w:rPr>
        <w:t>’</w:t>
      </w:r>
      <w:r w:rsidRPr="00C30712">
        <w:rPr>
          <w:lang w:val="fr-FR"/>
        </w:rPr>
        <w:t>il convient.</w:t>
      </w:r>
    </w:p>
    <w:p w14:paraId="737A5844" w14:textId="77777777" w:rsidR="00C30712" w:rsidRPr="00C30712" w:rsidRDefault="00C30712" w:rsidP="00C30712">
      <w:pPr>
        <w:pStyle w:val="SingleTxtG"/>
        <w:rPr>
          <w:lang w:val="fr-FR"/>
        </w:rPr>
      </w:pPr>
      <w:r w:rsidRPr="00C30712">
        <w:rPr>
          <w:lang w:val="fr-FR"/>
        </w:rPr>
        <w:t>8.</w:t>
      </w:r>
      <w:r w:rsidRPr="00C30712">
        <w:rPr>
          <w:lang w:val="fr-FR"/>
        </w:rPr>
        <w:tab/>
        <w:t>En outre, il importe de resserrer la coopération avec d</w:t>
      </w:r>
      <w:r w:rsidR="00457C42">
        <w:rPr>
          <w:lang w:val="fr-FR"/>
        </w:rPr>
        <w:t>’</w:t>
      </w:r>
      <w:r w:rsidRPr="00C30712">
        <w:rPr>
          <w:lang w:val="fr-FR"/>
        </w:rPr>
        <w:t>autres organisations, secrétariats d</w:t>
      </w:r>
      <w:r w:rsidR="00457C42">
        <w:rPr>
          <w:lang w:val="fr-FR"/>
        </w:rPr>
        <w:t>’</w:t>
      </w:r>
      <w:r w:rsidRPr="00C30712">
        <w:rPr>
          <w:lang w:val="fr-FR"/>
        </w:rPr>
        <w:t>accords multilatéraux relatifs à l</w:t>
      </w:r>
      <w:r w:rsidR="00457C42">
        <w:rPr>
          <w:lang w:val="fr-FR"/>
        </w:rPr>
        <w:t>’</w:t>
      </w:r>
      <w:r w:rsidRPr="00C30712">
        <w:rPr>
          <w:lang w:val="fr-FR"/>
        </w:rPr>
        <w:t>environnement et mécanismes dont les activités ont trait aux droits de l</w:t>
      </w:r>
      <w:r w:rsidR="00457C42">
        <w:rPr>
          <w:lang w:val="fr-FR"/>
        </w:rPr>
        <w:t>’</w:t>
      </w:r>
      <w:r w:rsidRPr="00C30712">
        <w:rPr>
          <w:lang w:val="fr-FR"/>
        </w:rPr>
        <w:t>homme et à l</w:t>
      </w:r>
      <w:r w:rsidR="00457C42">
        <w:rPr>
          <w:lang w:val="fr-FR"/>
        </w:rPr>
        <w:t>’</w:t>
      </w:r>
      <w:r w:rsidRPr="00C30712">
        <w:rPr>
          <w:lang w:val="fr-FR"/>
        </w:rPr>
        <w:t>environnement, mais aussi de consacrer davantage d</w:t>
      </w:r>
      <w:r w:rsidR="00457C42">
        <w:rPr>
          <w:lang w:val="fr-FR"/>
        </w:rPr>
        <w:t>’</w:t>
      </w:r>
      <w:r w:rsidRPr="00C30712">
        <w:rPr>
          <w:lang w:val="fr-FR"/>
        </w:rPr>
        <w:t>efforts à la promotion de la Convention auprès des pays non membres de la CEE et d</w:t>
      </w:r>
      <w:r w:rsidR="00457C42">
        <w:rPr>
          <w:lang w:val="fr-FR"/>
        </w:rPr>
        <w:t>’</w:t>
      </w:r>
      <w:r w:rsidRPr="00C30712">
        <w:rPr>
          <w:lang w:val="fr-FR"/>
        </w:rPr>
        <w:t>autres instances internationales (par exemple, les instances internationales qui traitent des changements climatiques, des produits chimiques ou de la santé et les institutions financières internationales). Le nombre de demandes de conseils spécialisés sur ces questions que le secrétariat a reçues de la part de pays, de secrétariats d</w:t>
      </w:r>
      <w:r w:rsidR="00457C42">
        <w:rPr>
          <w:lang w:val="fr-FR"/>
        </w:rPr>
        <w:t>’</w:t>
      </w:r>
      <w:r w:rsidRPr="00C30712">
        <w:rPr>
          <w:lang w:val="fr-FR"/>
        </w:rPr>
        <w:t>accords multilatéraux relatifs à l</w:t>
      </w:r>
      <w:r w:rsidR="00457C42">
        <w:rPr>
          <w:lang w:val="fr-FR"/>
        </w:rPr>
        <w:t>’</w:t>
      </w:r>
      <w:r w:rsidRPr="00C30712">
        <w:rPr>
          <w:lang w:val="fr-FR"/>
        </w:rPr>
        <w:t>environnement et d</w:t>
      </w:r>
      <w:r w:rsidR="00457C42">
        <w:rPr>
          <w:lang w:val="fr-FR"/>
        </w:rPr>
        <w:t>’</w:t>
      </w:r>
      <w:r w:rsidRPr="00C30712">
        <w:rPr>
          <w:lang w:val="fr-FR"/>
        </w:rPr>
        <w:t xml:space="preserve">organisations internationales a considérablement augmenté. Ces demandes sont généralement urgentes et peuvent par exemple être soumises juste avant </w:t>
      </w:r>
      <w:r w:rsidR="001A4C2E">
        <w:rPr>
          <w:lang w:val="fr-FR"/>
        </w:rPr>
        <w:t>− </w:t>
      </w:r>
      <w:r w:rsidRPr="00C30712">
        <w:rPr>
          <w:lang w:val="fr-FR"/>
        </w:rPr>
        <w:t>et souvent pendant</w:t>
      </w:r>
      <w:r w:rsidR="001A4C2E">
        <w:rPr>
          <w:lang w:val="fr-FR"/>
        </w:rPr>
        <w:t> −</w:t>
      </w:r>
      <w:r w:rsidRPr="00C30712">
        <w:rPr>
          <w:lang w:val="fr-FR"/>
        </w:rPr>
        <w:t xml:space="preserve"> une réunion des Parties à un autre accord multilatéral relatif à l</w:t>
      </w:r>
      <w:r w:rsidR="00457C42">
        <w:rPr>
          <w:lang w:val="fr-FR"/>
        </w:rPr>
        <w:t>’</w:t>
      </w:r>
      <w:r w:rsidRPr="00C30712">
        <w:rPr>
          <w:lang w:val="fr-FR"/>
        </w:rPr>
        <w:t>environnement ou une réunion d</w:t>
      </w:r>
      <w:r w:rsidR="00457C42">
        <w:rPr>
          <w:lang w:val="fr-FR"/>
        </w:rPr>
        <w:t>’</w:t>
      </w:r>
      <w:r w:rsidRPr="00C30712">
        <w:rPr>
          <w:lang w:val="fr-FR"/>
        </w:rPr>
        <w:t>un comité chargé de l</w:t>
      </w:r>
      <w:r w:rsidR="00457C42">
        <w:rPr>
          <w:lang w:val="fr-FR"/>
        </w:rPr>
        <w:t>’</w:t>
      </w:r>
      <w:r w:rsidRPr="00C30712">
        <w:rPr>
          <w:lang w:val="fr-FR"/>
        </w:rPr>
        <w:t>application ou du contrôle du respect des dispositions. Le secrétariat apporte des contributions de fond à de nombreux examens effectués et documents élaborés</w:t>
      </w:r>
      <w:r w:rsidR="00C53881">
        <w:rPr>
          <w:lang w:val="fr-FR"/>
        </w:rPr>
        <w:t xml:space="preserve"> </w:t>
      </w:r>
      <w:r w:rsidRPr="00C30712">
        <w:rPr>
          <w:lang w:val="fr-FR"/>
        </w:rPr>
        <w:t>par d</w:t>
      </w:r>
      <w:r w:rsidR="00457C42">
        <w:rPr>
          <w:lang w:val="fr-FR"/>
        </w:rPr>
        <w:t>’</w:t>
      </w:r>
      <w:r w:rsidRPr="00C30712">
        <w:rPr>
          <w:lang w:val="fr-FR"/>
        </w:rPr>
        <w:t>autres instances, reste en relation</w:t>
      </w:r>
      <w:r w:rsidR="00C53881">
        <w:rPr>
          <w:lang w:val="fr-FR"/>
        </w:rPr>
        <w:t xml:space="preserve"> </w:t>
      </w:r>
      <w:r w:rsidRPr="00C30712">
        <w:rPr>
          <w:lang w:val="fr-FR"/>
        </w:rPr>
        <w:t>avec ces instances, présente des exposés et organise des séances de formation à l</w:t>
      </w:r>
      <w:r w:rsidR="00457C42">
        <w:rPr>
          <w:lang w:val="fr-FR"/>
        </w:rPr>
        <w:t>’</w:t>
      </w:r>
      <w:r w:rsidRPr="00C30712">
        <w:rPr>
          <w:lang w:val="fr-FR"/>
        </w:rPr>
        <w:t>occasion de réunions, et fait office de centre d</w:t>
      </w:r>
      <w:r w:rsidR="00457C42">
        <w:rPr>
          <w:lang w:val="fr-FR"/>
        </w:rPr>
        <w:t>’</w:t>
      </w:r>
      <w:r w:rsidRPr="00C30712">
        <w:rPr>
          <w:lang w:val="fr-FR"/>
        </w:rPr>
        <w:t>assistance répondant aux nombreuses demandes qui émanent des</w:t>
      </w:r>
      <w:r w:rsidR="00C53881">
        <w:rPr>
          <w:lang w:val="fr-FR"/>
        </w:rPr>
        <w:t xml:space="preserve"> </w:t>
      </w:r>
      <w:r w:rsidRPr="00C30712">
        <w:rPr>
          <w:lang w:val="fr-FR"/>
        </w:rPr>
        <w:t>pays et organisations. Actuellement, en raison d</w:t>
      </w:r>
      <w:r w:rsidR="00457C42">
        <w:rPr>
          <w:lang w:val="fr-FR"/>
        </w:rPr>
        <w:t>’</w:t>
      </w:r>
      <w:r w:rsidRPr="00C30712">
        <w:rPr>
          <w:lang w:val="fr-FR"/>
        </w:rPr>
        <w:t>un manque de capacités, le secrétariat</w:t>
      </w:r>
      <w:r w:rsidR="00C53881">
        <w:rPr>
          <w:lang w:val="fr-FR"/>
        </w:rPr>
        <w:t xml:space="preserve"> </w:t>
      </w:r>
      <w:r w:rsidRPr="00C30712">
        <w:rPr>
          <w:lang w:val="fr-FR"/>
        </w:rPr>
        <w:t>rejette</w:t>
      </w:r>
      <w:r w:rsidR="00C53881">
        <w:rPr>
          <w:lang w:val="fr-FR"/>
        </w:rPr>
        <w:t xml:space="preserve"> </w:t>
      </w:r>
      <w:r w:rsidRPr="00C30712">
        <w:rPr>
          <w:lang w:val="fr-FR"/>
        </w:rPr>
        <w:t>la grande majorité des demandes. Sa lourde charge de travail et les demandes de conseils qu</w:t>
      </w:r>
      <w:r w:rsidR="00457C42">
        <w:rPr>
          <w:lang w:val="fr-FR"/>
        </w:rPr>
        <w:t>’</w:t>
      </w:r>
      <w:r w:rsidRPr="00C30712">
        <w:rPr>
          <w:lang w:val="fr-FR"/>
        </w:rPr>
        <w:t>il reçoit continuellement mettent son personnel à rude épreuve et cette situation</w:t>
      </w:r>
      <w:r w:rsidR="00C53881">
        <w:rPr>
          <w:lang w:val="fr-FR"/>
        </w:rPr>
        <w:t xml:space="preserve"> </w:t>
      </w:r>
      <w:r w:rsidRPr="00C30712">
        <w:rPr>
          <w:lang w:val="fr-FR"/>
        </w:rPr>
        <w:t>est source de grande frustration pour les organisations et les pays concernés.</w:t>
      </w:r>
      <w:bookmarkStart w:id="2" w:name="_Hlk35690827"/>
      <w:bookmarkEnd w:id="2"/>
    </w:p>
    <w:p w14:paraId="37990CCF" w14:textId="77777777" w:rsidR="00C30712" w:rsidRPr="00C30712" w:rsidRDefault="00C30712" w:rsidP="00C30712">
      <w:pPr>
        <w:pStyle w:val="SingleTxtG"/>
        <w:rPr>
          <w:lang w:val="fr-FR"/>
        </w:rPr>
      </w:pPr>
      <w:r w:rsidRPr="00C30712">
        <w:rPr>
          <w:lang w:val="fr-FR"/>
        </w:rPr>
        <w:t>9.</w:t>
      </w:r>
      <w:r w:rsidRPr="00C30712">
        <w:rPr>
          <w:lang w:val="fr-FR"/>
        </w:rPr>
        <w:tab/>
        <w:t>De plus, la charge de travail du secrétariat liée au mécanisme d</w:t>
      </w:r>
      <w:r w:rsidR="00457C42">
        <w:rPr>
          <w:lang w:val="fr-FR"/>
        </w:rPr>
        <w:t>’</w:t>
      </w:r>
      <w:r w:rsidRPr="00C30712">
        <w:rPr>
          <w:lang w:val="fr-FR"/>
        </w:rPr>
        <w:t>examen du respect des dispositions a</w:t>
      </w:r>
      <w:r w:rsidR="00C53881">
        <w:rPr>
          <w:lang w:val="fr-FR"/>
        </w:rPr>
        <w:t xml:space="preserve"> </w:t>
      </w:r>
      <w:r w:rsidRPr="00C30712">
        <w:rPr>
          <w:lang w:val="fr-FR"/>
        </w:rPr>
        <w:t>fortement augmenté en raison du volume et de la complexité des dossiers examinés et du</w:t>
      </w:r>
      <w:r w:rsidR="00C53881">
        <w:rPr>
          <w:lang w:val="fr-FR"/>
        </w:rPr>
        <w:t xml:space="preserve"> </w:t>
      </w:r>
      <w:r w:rsidRPr="00C30712">
        <w:rPr>
          <w:lang w:val="fr-FR"/>
        </w:rPr>
        <w:t>suivi de l</w:t>
      </w:r>
      <w:r w:rsidR="00457C42">
        <w:rPr>
          <w:lang w:val="fr-FR"/>
        </w:rPr>
        <w:t>’</w:t>
      </w:r>
      <w:r w:rsidRPr="00C30712">
        <w:rPr>
          <w:lang w:val="fr-FR"/>
        </w:rPr>
        <w:t>application des décisions de la Réunion des Parties quant au respect des dispositions par des</w:t>
      </w:r>
      <w:r w:rsidR="00C53881">
        <w:rPr>
          <w:lang w:val="fr-FR"/>
        </w:rPr>
        <w:t xml:space="preserve"> </w:t>
      </w:r>
      <w:r w:rsidRPr="00C30712">
        <w:rPr>
          <w:lang w:val="fr-FR"/>
        </w:rPr>
        <w:t>Parties. En plus d</w:t>
      </w:r>
      <w:r w:rsidR="00457C42">
        <w:rPr>
          <w:lang w:val="fr-FR"/>
        </w:rPr>
        <w:t>’</w:t>
      </w:r>
      <w:r w:rsidRPr="00C30712">
        <w:rPr>
          <w:lang w:val="fr-FR"/>
        </w:rPr>
        <w:t>établir un grand nombre de documents, notamment des documents analytiques, le secrétariat consacre beaucoup de temps à répondre aux demandes des Parties et des auteurs de communications, ainsi qu</w:t>
      </w:r>
      <w:r w:rsidR="00457C42">
        <w:rPr>
          <w:lang w:val="fr-FR"/>
        </w:rPr>
        <w:t>’</w:t>
      </w:r>
      <w:r w:rsidRPr="00C30712">
        <w:rPr>
          <w:lang w:val="fr-FR"/>
        </w:rPr>
        <w:t>à conseiller les Parties concernées pour les aider à mieux comprendre les procédures du Comité ou ce qu</w:t>
      </w:r>
      <w:r w:rsidR="00457C42">
        <w:rPr>
          <w:lang w:val="fr-FR"/>
        </w:rPr>
        <w:t>’</w:t>
      </w:r>
      <w:r w:rsidRPr="00C30712">
        <w:rPr>
          <w:lang w:val="fr-FR"/>
        </w:rPr>
        <w:t xml:space="preserve">ils pourraient faire pour se mettre en conformité avec les dispositions de la Convention. </w:t>
      </w:r>
      <w:r w:rsidRPr="00C30712">
        <w:rPr>
          <w:lang w:val="fr-FR"/>
        </w:rPr>
        <w:lastRenderedPageBreak/>
        <w:t>L</w:t>
      </w:r>
      <w:r w:rsidR="00457C42">
        <w:rPr>
          <w:lang w:val="fr-FR"/>
        </w:rPr>
        <w:t>’</w:t>
      </w:r>
      <w:r w:rsidRPr="00C30712">
        <w:rPr>
          <w:lang w:val="fr-FR"/>
        </w:rPr>
        <w:t>appui consultatif que le secrétariat fournit aux Parties s</w:t>
      </w:r>
      <w:r w:rsidR="00457C42">
        <w:rPr>
          <w:lang w:val="fr-FR"/>
        </w:rPr>
        <w:t>’</w:t>
      </w:r>
      <w:r w:rsidRPr="00C30712">
        <w:rPr>
          <w:lang w:val="fr-FR"/>
        </w:rPr>
        <w:t>agissant</w:t>
      </w:r>
      <w:r w:rsidR="00C53881">
        <w:rPr>
          <w:lang w:val="fr-FR"/>
        </w:rPr>
        <w:t xml:space="preserve"> </w:t>
      </w:r>
      <w:r w:rsidRPr="00C30712">
        <w:rPr>
          <w:lang w:val="fr-FR"/>
        </w:rPr>
        <w:t>du mécanisme d</w:t>
      </w:r>
      <w:r w:rsidR="00457C42">
        <w:rPr>
          <w:lang w:val="fr-FR"/>
        </w:rPr>
        <w:t>’</w:t>
      </w:r>
      <w:r w:rsidRPr="00C30712">
        <w:rPr>
          <w:lang w:val="fr-FR"/>
        </w:rPr>
        <w:t>examen du respect des dispositions a une double valeur ajoutée puisque le secrétariat non seulement aide le Comité d</w:t>
      </w:r>
      <w:r w:rsidR="00457C42">
        <w:rPr>
          <w:lang w:val="fr-FR"/>
        </w:rPr>
        <w:t>’</w:t>
      </w:r>
      <w:r w:rsidRPr="00C30712">
        <w:rPr>
          <w:lang w:val="fr-FR"/>
        </w:rPr>
        <w:t>examen du respect des dispositions dans l</w:t>
      </w:r>
      <w:r w:rsidR="00457C42">
        <w:rPr>
          <w:lang w:val="fr-FR"/>
        </w:rPr>
        <w:t>’</w:t>
      </w:r>
      <w:r w:rsidRPr="00C30712">
        <w:rPr>
          <w:lang w:val="fr-FR"/>
        </w:rPr>
        <w:t>exécution de ses tâches, mais aussi contribue grandement au renforcement des capacités des</w:t>
      </w:r>
      <w:r w:rsidR="00C53881">
        <w:rPr>
          <w:lang w:val="fr-FR"/>
        </w:rPr>
        <w:t xml:space="preserve"> </w:t>
      </w:r>
      <w:r w:rsidRPr="00C30712">
        <w:rPr>
          <w:lang w:val="fr-FR"/>
        </w:rPr>
        <w:t>Parties concernées</w:t>
      </w:r>
      <w:r w:rsidR="00C53881">
        <w:rPr>
          <w:lang w:val="fr-FR"/>
        </w:rPr>
        <w:t xml:space="preserve"> </w:t>
      </w:r>
      <w:r w:rsidRPr="00C30712">
        <w:rPr>
          <w:lang w:val="fr-FR"/>
        </w:rPr>
        <w:t>(27</w:t>
      </w:r>
      <w:r w:rsidR="001A4C2E">
        <w:rPr>
          <w:lang w:val="fr-FR"/>
        </w:rPr>
        <w:t> </w:t>
      </w:r>
      <w:r w:rsidRPr="00C30712">
        <w:rPr>
          <w:lang w:val="fr-FR"/>
        </w:rPr>
        <w:t>Parties font actuellement l</w:t>
      </w:r>
      <w:r w:rsidR="00457C42">
        <w:rPr>
          <w:lang w:val="fr-FR"/>
        </w:rPr>
        <w:t>’</w:t>
      </w:r>
      <w:r w:rsidRPr="00C30712">
        <w:rPr>
          <w:lang w:val="fr-FR"/>
        </w:rPr>
        <w:t>objet d</w:t>
      </w:r>
      <w:r w:rsidR="00457C42">
        <w:rPr>
          <w:lang w:val="fr-FR"/>
        </w:rPr>
        <w:t>’</w:t>
      </w:r>
      <w:r w:rsidRPr="00C30712">
        <w:rPr>
          <w:lang w:val="fr-FR"/>
        </w:rPr>
        <w:t xml:space="preserve">un examen du respect des dispositions, pour un total de 68 dossiers (14 dossiers relatifs au suivi de décisions et de demandes formulées à la </w:t>
      </w:r>
      <w:r w:rsidRPr="001A4C2E">
        <w:rPr>
          <w:spacing w:val="-2"/>
          <w:lang w:val="fr-FR"/>
        </w:rPr>
        <w:t>sixième session de la Réunion des Parties et à des conclusions</w:t>
      </w:r>
      <w:r w:rsidR="00C53881" w:rsidRPr="001A4C2E">
        <w:rPr>
          <w:spacing w:val="-2"/>
          <w:lang w:val="fr-FR"/>
        </w:rPr>
        <w:t xml:space="preserve"> </w:t>
      </w:r>
      <w:r w:rsidRPr="001A4C2E">
        <w:rPr>
          <w:spacing w:val="-2"/>
          <w:lang w:val="fr-FR"/>
        </w:rPr>
        <w:t>de non-respect rendues</w:t>
      </w:r>
      <w:r w:rsidR="00C53881" w:rsidRPr="001A4C2E">
        <w:rPr>
          <w:spacing w:val="-2"/>
          <w:lang w:val="fr-FR"/>
        </w:rPr>
        <w:t xml:space="preserve"> </w:t>
      </w:r>
      <w:r w:rsidRPr="001A4C2E">
        <w:rPr>
          <w:spacing w:val="-2"/>
          <w:lang w:val="fr-FR"/>
        </w:rPr>
        <w:t>après la sixième</w:t>
      </w:r>
      <w:r w:rsidR="001A4C2E">
        <w:rPr>
          <w:spacing w:val="-2"/>
          <w:lang w:val="fr-FR"/>
        </w:rPr>
        <w:t> </w:t>
      </w:r>
      <w:r w:rsidRPr="001A4C2E">
        <w:rPr>
          <w:spacing w:val="-2"/>
          <w:lang w:val="fr-FR"/>
        </w:rPr>
        <w:t>session, 49 communications et soumissions pendantes, ainsi que 5 communications</w:t>
      </w:r>
      <w:r w:rsidRPr="00C30712">
        <w:rPr>
          <w:lang w:val="fr-FR"/>
        </w:rPr>
        <w:t xml:space="preserve"> au stade de la prérecevabilité)). Actuellement, l</w:t>
      </w:r>
      <w:r w:rsidR="00457C42">
        <w:rPr>
          <w:lang w:val="fr-FR"/>
        </w:rPr>
        <w:t>’</w:t>
      </w:r>
      <w:r w:rsidRPr="00C30712">
        <w:rPr>
          <w:lang w:val="fr-FR"/>
        </w:rPr>
        <w:t>emploi à ces tâches de</w:t>
      </w:r>
      <w:r w:rsidR="00C53881">
        <w:rPr>
          <w:lang w:val="fr-FR"/>
        </w:rPr>
        <w:t xml:space="preserve"> </w:t>
      </w:r>
      <w:r w:rsidRPr="00C30712">
        <w:rPr>
          <w:lang w:val="fr-FR"/>
        </w:rPr>
        <w:t>deux fonctionnaires P-3 à 80 % d</w:t>
      </w:r>
      <w:r w:rsidR="00457C42">
        <w:rPr>
          <w:lang w:val="fr-FR"/>
        </w:rPr>
        <w:t>’</w:t>
      </w:r>
      <w:r w:rsidRPr="00C30712">
        <w:rPr>
          <w:lang w:val="fr-FR"/>
        </w:rPr>
        <w:t>équivalent plein temps est prévu au budget. Toutefois, en période de pointe, c</w:t>
      </w:r>
      <w:r w:rsidR="00457C42">
        <w:rPr>
          <w:lang w:val="fr-FR"/>
        </w:rPr>
        <w:t>’</w:t>
      </w:r>
      <w:r w:rsidRPr="00C30712">
        <w:rPr>
          <w:lang w:val="fr-FR"/>
        </w:rPr>
        <w:t>est-à-dire avant et pendant les réunions (une réunion toutes les cinq</w:t>
      </w:r>
      <w:r w:rsidR="001A4C2E">
        <w:rPr>
          <w:lang w:val="fr-FR"/>
        </w:rPr>
        <w:t> </w:t>
      </w:r>
      <w:r w:rsidRPr="00C30712">
        <w:rPr>
          <w:lang w:val="fr-FR"/>
        </w:rPr>
        <w:t>semaines en moyenne), le personnel travaille à 100 %, voire très souvent à bien plus de 100</w:t>
      </w:r>
      <w:r>
        <w:rPr>
          <w:lang w:val="fr-FR"/>
        </w:rPr>
        <w:t> </w:t>
      </w:r>
      <w:r w:rsidRPr="00C30712">
        <w:rPr>
          <w:lang w:val="fr-FR"/>
        </w:rPr>
        <w:t>%. Si des effectifs suffisants ne sont pas affectés à ce domaine d</w:t>
      </w:r>
      <w:r w:rsidR="00457C42">
        <w:rPr>
          <w:lang w:val="fr-FR"/>
        </w:rPr>
        <w:t>’</w:t>
      </w:r>
      <w:r w:rsidRPr="00C30712">
        <w:rPr>
          <w:lang w:val="fr-FR"/>
        </w:rPr>
        <w:t>activité, l</w:t>
      </w:r>
      <w:r w:rsidR="00457C42">
        <w:rPr>
          <w:lang w:val="fr-FR"/>
        </w:rPr>
        <w:t>’</w:t>
      </w:r>
      <w:r w:rsidRPr="00C30712">
        <w:rPr>
          <w:lang w:val="fr-FR"/>
        </w:rPr>
        <w:t>examen, le traitement et le suivi des dossiers risquent de connaître d</w:t>
      </w:r>
      <w:r w:rsidR="00457C42">
        <w:rPr>
          <w:lang w:val="fr-FR"/>
        </w:rPr>
        <w:t>’</w:t>
      </w:r>
      <w:r w:rsidRPr="00C30712">
        <w:rPr>
          <w:lang w:val="fr-FR"/>
        </w:rPr>
        <w:t>importants retards. En conséquence, les Parties pourraient ne pas recevoir en temps utile l</w:t>
      </w:r>
      <w:r w:rsidR="00457C42">
        <w:rPr>
          <w:lang w:val="fr-FR"/>
        </w:rPr>
        <w:t>’</w:t>
      </w:r>
      <w:r w:rsidRPr="00C30712">
        <w:rPr>
          <w:lang w:val="fr-FR"/>
        </w:rPr>
        <w:t>assistance dont elles ont besoin pour mettre leurs cadres législatifs et leurs pratiques en conformité avec la Convention.</w:t>
      </w:r>
      <w:bookmarkStart w:id="3" w:name="_Hlk36142407"/>
      <w:bookmarkEnd w:id="3"/>
    </w:p>
    <w:p w14:paraId="058D2E74" w14:textId="77777777" w:rsidR="00C30712" w:rsidRPr="00C30712" w:rsidRDefault="00C30712" w:rsidP="00C30712">
      <w:pPr>
        <w:pStyle w:val="SingleTxtG"/>
        <w:rPr>
          <w:lang w:val="fr-FR"/>
        </w:rPr>
      </w:pPr>
      <w:r w:rsidRPr="00C30712">
        <w:rPr>
          <w:lang w:val="fr-FR"/>
        </w:rPr>
        <w:t>10.</w:t>
      </w:r>
      <w:r w:rsidRPr="00C30712">
        <w:rPr>
          <w:lang w:val="fr-FR"/>
        </w:rPr>
        <w:tab/>
        <w:t>Les domaines d</w:t>
      </w:r>
      <w:r w:rsidR="00457C42">
        <w:rPr>
          <w:lang w:val="fr-FR"/>
        </w:rPr>
        <w:t>’</w:t>
      </w:r>
      <w:r w:rsidRPr="00C30712">
        <w:rPr>
          <w:lang w:val="fr-FR"/>
        </w:rPr>
        <w:t>activité susmentionnés sont étroitement liés à l</w:t>
      </w:r>
      <w:r w:rsidR="00457C42">
        <w:rPr>
          <w:lang w:val="fr-FR"/>
        </w:rPr>
        <w:t>’</w:t>
      </w:r>
      <w:r w:rsidRPr="00C30712">
        <w:rPr>
          <w:lang w:val="fr-FR"/>
        </w:rPr>
        <w:t>exécution d</w:t>
      </w:r>
      <w:r w:rsidR="00457C42">
        <w:rPr>
          <w:lang w:val="fr-FR"/>
        </w:rPr>
        <w:t>’</w:t>
      </w:r>
      <w:r w:rsidRPr="00C30712">
        <w:rPr>
          <w:lang w:val="fr-FR"/>
        </w:rPr>
        <w:t>un certain nombre d</w:t>
      </w:r>
      <w:r w:rsidR="00457C42">
        <w:rPr>
          <w:lang w:val="fr-FR"/>
        </w:rPr>
        <w:t>’</w:t>
      </w:r>
      <w:r w:rsidRPr="00C30712">
        <w:rPr>
          <w:lang w:val="fr-FR"/>
        </w:rPr>
        <w:t>engagements que</w:t>
      </w:r>
      <w:r w:rsidR="00C53881">
        <w:rPr>
          <w:lang w:val="fr-FR"/>
        </w:rPr>
        <w:t xml:space="preserve"> </w:t>
      </w:r>
      <w:r w:rsidRPr="00C30712">
        <w:rPr>
          <w:lang w:val="fr-FR"/>
        </w:rPr>
        <w:t>les Parties et d</w:t>
      </w:r>
      <w:r w:rsidR="00457C42">
        <w:rPr>
          <w:lang w:val="fr-FR"/>
        </w:rPr>
        <w:t>’</w:t>
      </w:r>
      <w:r w:rsidRPr="00C30712">
        <w:rPr>
          <w:lang w:val="fr-FR"/>
        </w:rPr>
        <w:t>autres États membres ont pris aux niveaux régional et mondial. En particulier, l</w:t>
      </w:r>
      <w:r w:rsidR="00457C42">
        <w:rPr>
          <w:lang w:val="fr-FR"/>
        </w:rPr>
        <w:t>’</w:t>
      </w:r>
      <w:r w:rsidRPr="00C30712">
        <w:rPr>
          <w:lang w:val="fr-FR"/>
        </w:rPr>
        <w:t>amélioration des cadres législatifs et le renforcement des capacités des autorités, qui visent à garantir un accès effectif à l</w:t>
      </w:r>
      <w:r w:rsidR="00457C42">
        <w:rPr>
          <w:lang w:val="fr-FR"/>
        </w:rPr>
        <w:t>’</w:t>
      </w:r>
      <w:r w:rsidRPr="00C30712">
        <w:rPr>
          <w:lang w:val="fr-FR"/>
        </w:rPr>
        <w:t>information et à la justice, ainsi que la participation inclusive et constructive du public, sont essentielles aux succès de ces initiatives, par exemple :</w:t>
      </w:r>
      <w:bookmarkStart w:id="4" w:name="_Hlk36142480"/>
      <w:bookmarkEnd w:id="4"/>
    </w:p>
    <w:p w14:paraId="143BD609" w14:textId="77777777" w:rsidR="00C30712" w:rsidRPr="00C30712" w:rsidRDefault="00C30712" w:rsidP="00C30712">
      <w:pPr>
        <w:pStyle w:val="SingleTxtG"/>
        <w:ind w:firstLine="567"/>
        <w:rPr>
          <w:lang w:val="fr-FR"/>
        </w:rPr>
      </w:pPr>
      <w:r w:rsidRPr="00C30712">
        <w:rPr>
          <w:lang w:val="fr-FR"/>
        </w:rPr>
        <w:t>a)</w:t>
      </w:r>
      <w:r w:rsidRPr="00C30712">
        <w:rPr>
          <w:lang w:val="fr-FR"/>
        </w:rPr>
        <w:tab/>
        <w:t>Le nouveau pacte vert pour l</w:t>
      </w:r>
      <w:r w:rsidR="00457C42">
        <w:rPr>
          <w:lang w:val="fr-FR"/>
        </w:rPr>
        <w:t>’</w:t>
      </w:r>
      <w:r w:rsidRPr="00C30712">
        <w:rPr>
          <w:lang w:val="fr-FR"/>
        </w:rPr>
        <w:t>Europe</w:t>
      </w:r>
      <w:r w:rsidRPr="00423B43">
        <w:rPr>
          <w:rStyle w:val="Appelnotedebasdep"/>
        </w:rPr>
        <w:footnoteReference w:id="4"/>
      </w:r>
      <w:r w:rsidRPr="00C30712">
        <w:rPr>
          <w:lang w:val="fr-FR"/>
        </w:rPr>
        <w:t>, qui ouvre la voie à une transition « verte », juste et socialement équitable ;</w:t>
      </w:r>
    </w:p>
    <w:p w14:paraId="568ECC18" w14:textId="77777777" w:rsidR="00C30712" w:rsidRPr="00C30712" w:rsidRDefault="00C30712" w:rsidP="00C30712">
      <w:pPr>
        <w:pStyle w:val="SingleTxtG"/>
        <w:ind w:firstLine="567"/>
        <w:rPr>
          <w:lang w:val="fr-FR"/>
        </w:rPr>
      </w:pPr>
      <w:r w:rsidRPr="00C30712">
        <w:rPr>
          <w:lang w:val="fr-FR"/>
        </w:rPr>
        <w:t>b)</w:t>
      </w:r>
      <w:r w:rsidRPr="00C30712">
        <w:rPr>
          <w:lang w:val="fr-FR"/>
        </w:rPr>
        <w:tab/>
        <w:t>Un</w:t>
      </w:r>
      <w:r w:rsidR="00C53881">
        <w:rPr>
          <w:lang w:val="fr-FR"/>
        </w:rPr>
        <w:t xml:space="preserve"> </w:t>
      </w:r>
      <w:r w:rsidRPr="00C30712">
        <w:rPr>
          <w:lang w:val="fr-FR"/>
        </w:rPr>
        <w:t>certain nombre de résolutions du Conseil des droits de l</w:t>
      </w:r>
      <w:r w:rsidR="00457C42">
        <w:rPr>
          <w:lang w:val="fr-FR"/>
        </w:rPr>
        <w:t>’</w:t>
      </w:r>
      <w:r w:rsidRPr="00C30712">
        <w:rPr>
          <w:lang w:val="fr-FR"/>
        </w:rPr>
        <w:t>homme, en particulier les résolutions 37/8 sur les droits de l</w:t>
      </w:r>
      <w:r w:rsidR="00457C42">
        <w:rPr>
          <w:lang w:val="fr-FR"/>
        </w:rPr>
        <w:t>’</w:t>
      </w:r>
      <w:r w:rsidRPr="00C30712">
        <w:rPr>
          <w:lang w:val="fr-FR"/>
        </w:rPr>
        <w:t>homme et l</w:t>
      </w:r>
      <w:r w:rsidR="00457C42">
        <w:rPr>
          <w:lang w:val="fr-FR"/>
        </w:rPr>
        <w:t>’</w:t>
      </w:r>
      <w:r w:rsidRPr="00C30712">
        <w:rPr>
          <w:lang w:val="fr-FR"/>
        </w:rPr>
        <w:t>environnement (A/HRC/RES/37/8), 40/11 sur la reconnaissance de la contribution des défenseurs des droits de l</w:t>
      </w:r>
      <w:r w:rsidR="00457C42">
        <w:rPr>
          <w:lang w:val="fr-FR"/>
        </w:rPr>
        <w:t>’</w:t>
      </w:r>
      <w:r w:rsidRPr="00C30712">
        <w:rPr>
          <w:lang w:val="fr-FR"/>
        </w:rPr>
        <w:t>homme liés à l</w:t>
      </w:r>
      <w:r w:rsidR="00457C42">
        <w:rPr>
          <w:lang w:val="fr-FR"/>
        </w:rPr>
        <w:t>’</w:t>
      </w:r>
      <w:r w:rsidRPr="00C30712">
        <w:rPr>
          <w:lang w:val="fr-FR"/>
        </w:rPr>
        <w:t>environnement à la jouissance des droits de l</w:t>
      </w:r>
      <w:r w:rsidR="00457C42">
        <w:rPr>
          <w:lang w:val="fr-FR"/>
        </w:rPr>
        <w:t>’</w:t>
      </w:r>
      <w:r w:rsidRPr="00C30712">
        <w:rPr>
          <w:lang w:val="fr-FR"/>
        </w:rPr>
        <w:t>homme, à la protection de l</w:t>
      </w:r>
      <w:r w:rsidR="00457C42">
        <w:rPr>
          <w:lang w:val="fr-FR"/>
        </w:rPr>
        <w:t>’</w:t>
      </w:r>
      <w:r w:rsidRPr="00C30712">
        <w:rPr>
          <w:lang w:val="fr-FR"/>
        </w:rPr>
        <w:t>environnement et au développement durable (A/HRC/RES/40/11) et 42/21 sur la protection des droits de travailleurs exposés à des substances et déchets dangereux (A/HRC/RES/42/21), ainsi que les mécanismes tels que l</w:t>
      </w:r>
      <w:r w:rsidR="00457C42">
        <w:rPr>
          <w:lang w:val="fr-FR"/>
        </w:rPr>
        <w:t>’</w:t>
      </w:r>
      <w:r w:rsidRPr="00C30712">
        <w:rPr>
          <w:lang w:val="fr-FR"/>
        </w:rPr>
        <w:t>Examen périodique universel</w:t>
      </w:r>
      <w:r w:rsidRPr="00423B43">
        <w:rPr>
          <w:rStyle w:val="Appelnotedebasdep"/>
        </w:rPr>
        <w:footnoteReference w:id="5"/>
      </w:r>
      <w:r w:rsidRPr="00C30712">
        <w:rPr>
          <w:lang w:val="fr-FR"/>
        </w:rPr>
        <w:t xml:space="preserve"> et les procédures spéciales</w:t>
      </w:r>
      <w:r w:rsidRPr="00423B43">
        <w:rPr>
          <w:rStyle w:val="Appelnotedebasdep"/>
        </w:rPr>
        <w:footnoteReference w:id="6"/>
      </w:r>
      <w:r w:rsidRPr="00C30712">
        <w:rPr>
          <w:lang w:val="fr-FR"/>
        </w:rPr>
        <w:t xml:space="preserve"> dont les travaux ont un lien direct avec les questions environnementales ;</w:t>
      </w:r>
    </w:p>
    <w:p w14:paraId="3F3890BB" w14:textId="77777777" w:rsidR="00C30712" w:rsidRPr="00C30712" w:rsidRDefault="00C30712" w:rsidP="00C30712">
      <w:pPr>
        <w:pStyle w:val="SingleTxtG"/>
        <w:ind w:firstLine="567"/>
        <w:rPr>
          <w:lang w:val="fr-FR"/>
        </w:rPr>
      </w:pPr>
      <w:r w:rsidRPr="00C30712">
        <w:rPr>
          <w:lang w:val="fr-FR"/>
        </w:rPr>
        <w:t>c)</w:t>
      </w:r>
      <w:r w:rsidRPr="00C30712">
        <w:rPr>
          <w:lang w:val="fr-FR"/>
        </w:rPr>
        <w:tab/>
        <w:t>L</w:t>
      </w:r>
      <w:r w:rsidR="00457C42">
        <w:rPr>
          <w:lang w:val="fr-FR"/>
        </w:rPr>
        <w:t>’</w:t>
      </w:r>
      <w:r w:rsidRPr="00C30712">
        <w:rPr>
          <w:lang w:val="fr-FR"/>
        </w:rPr>
        <w:t>engagement pris, au titre de la Convention-cadre des Nations Unies sur les changements climatiques, de mettre en place des mesures d</w:t>
      </w:r>
      <w:r w:rsidR="00457C42">
        <w:rPr>
          <w:lang w:val="fr-FR"/>
        </w:rPr>
        <w:t>’</w:t>
      </w:r>
      <w:r w:rsidRPr="00C30712">
        <w:rPr>
          <w:lang w:val="fr-FR"/>
        </w:rPr>
        <w:t>atténuation et d</w:t>
      </w:r>
      <w:r w:rsidR="00457C42">
        <w:rPr>
          <w:lang w:val="fr-FR"/>
        </w:rPr>
        <w:t>’</w:t>
      </w:r>
      <w:r w:rsidRPr="00C30712">
        <w:rPr>
          <w:lang w:val="fr-FR"/>
        </w:rPr>
        <w:t>adaptation dans le cadre de processus participatifs, notamment en appliquant l</w:t>
      </w:r>
      <w:r w:rsidR="00457C42">
        <w:rPr>
          <w:lang w:val="fr-FR"/>
        </w:rPr>
        <w:t>’</w:t>
      </w:r>
      <w:r w:rsidRPr="00C30712">
        <w:rPr>
          <w:lang w:val="fr-FR"/>
        </w:rPr>
        <w:t>article 6 de la Convention</w:t>
      </w:r>
      <w:r w:rsidR="001A4C2E">
        <w:rPr>
          <w:lang w:val="fr-FR"/>
        </w:rPr>
        <w:noBreakHyphen/>
      </w:r>
      <w:r w:rsidRPr="00C30712">
        <w:rPr>
          <w:lang w:val="fr-FR"/>
        </w:rPr>
        <w:t>cadre et l</w:t>
      </w:r>
      <w:r w:rsidR="00457C42">
        <w:rPr>
          <w:lang w:val="fr-FR"/>
        </w:rPr>
        <w:t>’</w:t>
      </w:r>
      <w:r w:rsidRPr="00C30712">
        <w:rPr>
          <w:lang w:val="fr-FR"/>
        </w:rPr>
        <w:t>Accord de Paris ;</w:t>
      </w:r>
    </w:p>
    <w:p w14:paraId="781531DE" w14:textId="77777777" w:rsidR="00C30712" w:rsidRPr="00C30712" w:rsidRDefault="00C30712" w:rsidP="00C30712">
      <w:pPr>
        <w:pStyle w:val="SingleTxtG"/>
        <w:ind w:firstLine="567"/>
        <w:rPr>
          <w:lang w:val="fr-FR"/>
        </w:rPr>
      </w:pPr>
      <w:r w:rsidRPr="00C30712">
        <w:rPr>
          <w:lang w:val="fr-FR"/>
        </w:rPr>
        <w:t>d)</w:t>
      </w:r>
      <w:r w:rsidRPr="00C30712">
        <w:rPr>
          <w:lang w:val="fr-FR"/>
        </w:rPr>
        <w:tab/>
        <w:t>Les initiatives en faveur de gouvernements ouverts et de données ouvertes</w:t>
      </w:r>
      <w:r w:rsidRPr="00423B43">
        <w:rPr>
          <w:rStyle w:val="Appelnotedebasdep"/>
        </w:rPr>
        <w:footnoteReference w:id="7"/>
      </w:r>
      <w:r w:rsidRPr="00C30712">
        <w:rPr>
          <w:lang w:val="fr-FR"/>
        </w:rPr>
        <w:t>, qui sont cruciales pour renforcer la transparence et prévenir la corruption dans divers secteurs ;</w:t>
      </w:r>
    </w:p>
    <w:p w14:paraId="60270CFB" w14:textId="77777777" w:rsidR="00C30712" w:rsidRPr="00C30712" w:rsidRDefault="00C30712" w:rsidP="00C30712">
      <w:pPr>
        <w:pStyle w:val="SingleTxtG"/>
        <w:ind w:firstLine="567"/>
        <w:rPr>
          <w:lang w:val="fr-FR"/>
        </w:rPr>
      </w:pPr>
      <w:r w:rsidRPr="00C30712">
        <w:rPr>
          <w:lang w:val="fr-FR"/>
        </w:rPr>
        <w:t>e)</w:t>
      </w:r>
      <w:r w:rsidRPr="00C30712">
        <w:rPr>
          <w:lang w:val="fr-FR"/>
        </w:rPr>
        <w:tab/>
        <w:t>Les stratégies et plans d</w:t>
      </w:r>
      <w:r w:rsidR="00457C42">
        <w:rPr>
          <w:lang w:val="fr-FR"/>
        </w:rPr>
        <w:t>’</w:t>
      </w:r>
      <w:r w:rsidRPr="00C30712">
        <w:rPr>
          <w:lang w:val="fr-FR"/>
        </w:rPr>
        <w:t>action qui visent à protéger la biodiversité et exigent la pleine participation de la population, en particulier des communautés locales</w:t>
      </w:r>
      <w:r w:rsidRPr="00423B43">
        <w:rPr>
          <w:rStyle w:val="Appelnotedebasdep"/>
        </w:rPr>
        <w:footnoteReference w:id="8"/>
      </w:r>
      <w:r>
        <w:rPr>
          <w:lang w:val="fr-FR"/>
        </w:rPr>
        <w:t> </w:t>
      </w:r>
      <w:r w:rsidRPr="00C30712">
        <w:rPr>
          <w:lang w:val="fr-FR"/>
        </w:rPr>
        <w:t>;</w:t>
      </w:r>
    </w:p>
    <w:p w14:paraId="5529D26C" w14:textId="77777777" w:rsidR="00C30712" w:rsidRPr="00C30712" w:rsidRDefault="00C30712" w:rsidP="00C30712">
      <w:pPr>
        <w:pStyle w:val="SingleTxtG"/>
        <w:ind w:firstLine="567"/>
        <w:rPr>
          <w:lang w:val="fr-FR"/>
        </w:rPr>
      </w:pPr>
      <w:r w:rsidRPr="00C30712">
        <w:rPr>
          <w:lang w:val="fr-FR"/>
        </w:rPr>
        <w:t>f)</w:t>
      </w:r>
      <w:r w:rsidRPr="00C30712">
        <w:rPr>
          <w:lang w:val="fr-FR"/>
        </w:rPr>
        <w:tab/>
        <w:t>Le Programme de développement durable à l</w:t>
      </w:r>
      <w:r w:rsidR="00457C42">
        <w:rPr>
          <w:lang w:val="fr-FR"/>
        </w:rPr>
        <w:t>’</w:t>
      </w:r>
      <w:r w:rsidRPr="00C30712">
        <w:rPr>
          <w:lang w:val="fr-FR"/>
        </w:rPr>
        <w:t>horizon</w:t>
      </w:r>
      <w:r>
        <w:rPr>
          <w:lang w:val="fr-FR"/>
        </w:rPr>
        <w:t xml:space="preserve"> </w:t>
      </w:r>
      <w:r w:rsidRPr="00C30712">
        <w:rPr>
          <w:lang w:val="fr-FR"/>
        </w:rPr>
        <w:t xml:space="preserve">2030, </w:t>
      </w:r>
      <w:r w:rsidRPr="002D029F">
        <w:rPr>
          <w:lang w:val="fr-FR"/>
        </w:rPr>
        <w:t>que les États Membres de l</w:t>
      </w:r>
      <w:r w:rsidR="00457C42" w:rsidRPr="002D029F">
        <w:rPr>
          <w:lang w:val="fr-FR"/>
        </w:rPr>
        <w:t>’</w:t>
      </w:r>
      <w:r w:rsidRPr="002D029F">
        <w:rPr>
          <w:lang w:val="fr-FR"/>
        </w:rPr>
        <w:t>Organisation des Nations Unies</w:t>
      </w:r>
      <w:r w:rsidRPr="00C30712">
        <w:rPr>
          <w:lang w:val="fr-FR"/>
        </w:rPr>
        <w:t xml:space="preserve"> sont fermement résolus à mener à bien dans le cadre de processus participatifs.</w:t>
      </w:r>
    </w:p>
    <w:p w14:paraId="407A5FE3" w14:textId="77777777" w:rsidR="00C30712" w:rsidRPr="00C30712" w:rsidRDefault="00C30712" w:rsidP="00C30712">
      <w:pPr>
        <w:pStyle w:val="SingleTxtG"/>
        <w:rPr>
          <w:lang w:val="fr-FR"/>
        </w:rPr>
      </w:pPr>
      <w:r w:rsidRPr="00C30712">
        <w:rPr>
          <w:lang w:val="fr-FR"/>
        </w:rPr>
        <w:lastRenderedPageBreak/>
        <w:t>11.</w:t>
      </w:r>
      <w:r w:rsidRPr="00C30712">
        <w:rPr>
          <w:lang w:val="fr-FR"/>
        </w:rPr>
        <w:tab/>
        <w:t>La Convention est donc un puissant outil</w:t>
      </w:r>
      <w:r w:rsidR="00C53881">
        <w:rPr>
          <w:lang w:val="fr-FR"/>
        </w:rPr>
        <w:t xml:space="preserve"> </w:t>
      </w:r>
      <w:r w:rsidRPr="00C30712">
        <w:rPr>
          <w:lang w:val="fr-FR"/>
        </w:rPr>
        <w:t>horizontal qui permet de favoriser</w:t>
      </w:r>
      <w:r w:rsidR="00C53881">
        <w:rPr>
          <w:lang w:val="fr-FR"/>
        </w:rPr>
        <w:t xml:space="preserve"> </w:t>
      </w:r>
      <w:r w:rsidRPr="00C30712">
        <w:rPr>
          <w:lang w:val="fr-FR"/>
        </w:rPr>
        <w:t>la démocratie environnementale dans différents secteurs et mécanismes. En raison de son caractère transversal, elle joue un rôle important dans la réalisation de tous les objectifs de développement durable,</w:t>
      </w:r>
      <w:r w:rsidR="00C53881">
        <w:rPr>
          <w:lang w:val="fr-FR"/>
        </w:rPr>
        <w:t xml:space="preserve"> </w:t>
      </w:r>
      <w:r w:rsidRPr="00C30712">
        <w:rPr>
          <w:lang w:val="fr-FR"/>
        </w:rPr>
        <w:t>en particulier de l</w:t>
      </w:r>
      <w:r w:rsidR="00457C42">
        <w:rPr>
          <w:lang w:val="fr-FR"/>
        </w:rPr>
        <w:t>’</w:t>
      </w:r>
      <w:r w:rsidRPr="00C30712">
        <w:rPr>
          <w:lang w:val="fr-FR"/>
        </w:rPr>
        <w:t>objectif 16, en donnant au public le droit de participer effectivement à la prise de décisions sur un large éventail de questions visées par les objectifs, telles que la protection de la santé (objectif 3), la gestion de l</w:t>
      </w:r>
      <w:r w:rsidR="00457C42">
        <w:rPr>
          <w:lang w:val="fr-FR"/>
        </w:rPr>
        <w:t>’</w:t>
      </w:r>
      <w:r w:rsidRPr="00C30712">
        <w:rPr>
          <w:lang w:val="fr-FR"/>
        </w:rPr>
        <w:t>eau et de l</w:t>
      </w:r>
      <w:r w:rsidR="00457C42">
        <w:rPr>
          <w:lang w:val="fr-FR"/>
        </w:rPr>
        <w:t>’</w:t>
      </w:r>
      <w:r w:rsidRPr="00C30712">
        <w:rPr>
          <w:lang w:val="fr-FR"/>
        </w:rPr>
        <w:t>assainissement (objectif 6), l</w:t>
      </w:r>
      <w:r w:rsidR="00457C42">
        <w:rPr>
          <w:lang w:val="fr-FR"/>
        </w:rPr>
        <w:t>’</w:t>
      </w:r>
      <w:r w:rsidRPr="00C30712">
        <w:rPr>
          <w:lang w:val="fr-FR"/>
        </w:rPr>
        <w:t>énergie propre (objectif 7), l</w:t>
      </w:r>
      <w:r w:rsidR="00457C42">
        <w:rPr>
          <w:lang w:val="fr-FR"/>
        </w:rPr>
        <w:t>’</w:t>
      </w:r>
      <w:r w:rsidRPr="00C30712">
        <w:rPr>
          <w:lang w:val="fr-FR"/>
        </w:rPr>
        <w:t>économie verte (objectifs 8, 9 et 12), la réduction des inégalités (objectif 10), l</w:t>
      </w:r>
      <w:r w:rsidR="00457C42">
        <w:rPr>
          <w:lang w:val="fr-FR"/>
        </w:rPr>
        <w:t>’</w:t>
      </w:r>
      <w:r w:rsidRPr="00C30712">
        <w:rPr>
          <w:lang w:val="fr-FR"/>
        </w:rPr>
        <w:t>action climatique (objectif 13), le tourisme (objectifs 8, 12, 14 et 15), la planification urbaine (objectifs 11 et 13) et la réduction des risques de catastrophe (objectifs 9 et 11). Il est fait référence à ces objectifs dans les textes explicatifs qui figurent dans l</w:t>
      </w:r>
      <w:r w:rsidR="00457C42">
        <w:rPr>
          <w:lang w:val="fr-FR"/>
        </w:rPr>
        <w:t>’</w:t>
      </w:r>
      <w:r w:rsidRPr="00C30712">
        <w:rPr>
          <w:lang w:val="fr-FR"/>
        </w:rPr>
        <w:t>annexe</w:t>
      </w:r>
      <w:r w:rsidR="000E3795">
        <w:rPr>
          <w:lang w:val="fr-FR"/>
        </w:rPr>
        <w:t> </w:t>
      </w:r>
      <w:r w:rsidRPr="00C30712">
        <w:rPr>
          <w:lang w:val="fr-FR"/>
        </w:rPr>
        <w:t>I ci-après.</w:t>
      </w:r>
    </w:p>
    <w:p w14:paraId="31BD5B76" w14:textId="77777777" w:rsidR="00C30712" w:rsidRPr="00C30712" w:rsidRDefault="00C30712" w:rsidP="000E3795">
      <w:pPr>
        <w:pStyle w:val="H1G"/>
        <w:rPr>
          <w:lang w:val="fr-FR"/>
        </w:rPr>
      </w:pPr>
      <w:r w:rsidRPr="00C30712">
        <w:rPr>
          <w:lang w:val="fr-FR"/>
        </w:rPr>
        <w:tab/>
      </w:r>
      <w:r w:rsidRPr="00C30712">
        <w:rPr>
          <w:lang w:val="fr-FR"/>
        </w:rPr>
        <w:tab/>
        <w:t xml:space="preserve">Besoins de financement </w:t>
      </w:r>
      <w:r w:rsidRPr="000E3795">
        <w:t>supplémentaires</w:t>
      </w:r>
    </w:p>
    <w:p w14:paraId="486A8918" w14:textId="77777777" w:rsidR="00C30712" w:rsidRPr="00C30712" w:rsidRDefault="00C30712" w:rsidP="00C30712">
      <w:pPr>
        <w:pStyle w:val="SingleTxtG"/>
        <w:rPr>
          <w:lang w:val="fr-FR"/>
        </w:rPr>
      </w:pPr>
      <w:r w:rsidRPr="00C30712">
        <w:rPr>
          <w:lang w:val="fr-FR"/>
        </w:rPr>
        <w:t>12.</w:t>
      </w:r>
      <w:r w:rsidRPr="00C30712">
        <w:rPr>
          <w:lang w:val="fr-FR"/>
        </w:rPr>
        <w:tab/>
        <w:t>Les prévisions de dépenses pour les domaines d</w:t>
      </w:r>
      <w:r w:rsidR="00457C42">
        <w:rPr>
          <w:lang w:val="fr-FR"/>
        </w:rPr>
        <w:t>’</w:t>
      </w:r>
      <w:r w:rsidRPr="00C30712">
        <w:rPr>
          <w:lang w:val="fr-FR"/>
        </w:rPr>
        <w:t>activité relatifs au respect des dispositions (V), au renforcement des capacités (VI) et à la promotion (VIII et IX) ont été calculées compte tenu des nouveaux éléments susmentionnés. Par conséquent, des ressources supplémentaires seront nécessaires au titre : a) des travaux liés au nouveau mécanisme visant à traiter les affaires relevant du paragraphe 8 de l</w:t>
      </w:r>
      <w:r w:rsidR="00457C42">
        <w:rPr>
          <w:lang w:val="fr-FR"/>
        </w:rPr>
        <w:t>’</w:t>
      </w:r>
      <w:r w:rsidRPr="00C30712">
        <w:rPr>
          <w:lang w:val="fr-FR"/>
        </w:rPr>
        <w:t>article 3 de la Convention</w:t>
      </w:r>
      <w:r w:rsidRPr="00423B43">
        <w:rPr>
          <w:rStyle w:val="Appelnotedebasdep"/>
        </w:rPr>
        <w:footnoteReference w:id="9"/>
      </w:r>
      <w:r w:rsidR="00BC52A2">
        <w:rPr>
          <w:lang w:val="fr-FR"/>
        </w:rPr>
        <w:t> </w:t>
      </w:r>
      <w:r w:rsidRPr="00C30712">
        <w:rPr>
          <w:lang w:val="fr-FR"/>
        </w:rPr>
        <w:t>; b) de l</w:t>
      </w:r>
      <w:r w:rsidR="00457C42">
        <w:rPr>
          <w:lang w:val="fr-FR"/>
        </w:rPr>
        <w:t>’</w:t>
      </w:r>
      <w:r w:rsidRPr="00C30712">
        <w:rPr>
          <w:lang w:val="fr-FR"/>
        </w:rPr>
        <w:t>assistance juridique supplémentaire apportée au Comité d</w:t>
      </w:r>
      <w:r w:rsidR="00457C42">
        <w:rPr>
          <w:lang w:val="fr-FR"/>
        </w:rPr>
        <w:t>’</w:t>
      </w:r>
      <w:r w:rsidRPr="00C30712">
        <w:rPr>
          <w:lang w:val="fr-FR"/>
        </w:rPr>
        <w:t>examen du respect des dispositions ; c) de l</w:t>
      </w:r>
      <w:r w:rsidR="00457C42">
        <w:rPr>
          <w:lang w:val="fr-FR"/>
        </w:rPr>
        <w:t>’</w:t>
      </w:r>
      <w:r w:rsidRPr="00C30712">
        <w:rPr>
          <w:lang w:val="fr-FR"/>
        </w:rPr>
        <w:t>appui au</w:t>
      </w:r>
      <w:r w:rsidR="00C53881">
        <w:rPr>
          <w:lang w:val="fr-FR"/>
        </w:rPr>
        <w:t xml:space="preserve"> </w:t>
      </w:r>
      <w:r w:rsidRPr="00C30712">
        <w:rPr>
          <w:lang w:val="fr-FR"/>
        </w:rPr>
        <w:t>renforcement des capacités des Parties et de l</w:t>
      </w:r>
      <w:r w:rsidR="00457C42">
        <w:rPr>
          <w:lang w:val="fr-FR"/>
        </w:rPr>
        <w:t>’</w:t>
      </w:r>
      <w:r w:rsidRPr="00C30712">
        <w:rPr>
          <w:lang w:val="fr-FR"/>
        </w:rPr>
        <w:t>assistance consultative fournie au Parties, en particulier aux fins de l</w:t>
      </w:r>
      <w:r w:rsidR="00457C42">
        <w:rPr>
          <w:lang w:val="fr-FR"/>
        </w:rPr>
        <w:t>’</w:t>
      </w:r>
      <w:r w:rsidRPr="00C30712">
        <w:rPr>
          <w:lang w:val="fr-FR"/>
        </w:rPr>
        <w:t>application des décisions de la Réunion des Parties quant au respect des dispositions ; d) du renforcement des synergies avec les activités pertinentes en matière de droits de l</w:t>
      </w:r>
      <w:r w:rsidR="00457C42">
        <w:rPr>
          <w:lang w:val="fr-FR"/>
        </w:rPr>
        <w:t>’</w:t>
      </w:r>
      <w:r w:rsidRPr="00C30712">
        <w:rPr>
          <w:lang w:val="fr-FR"/>
        </w:rPr>
        <w:t>hom</w:t>
      </w:r>
      <w:r w:rsidR="00BC52A2">
        <w:rPr>
          <w:lang w:val="fr-FR"/>
        </w:rPr>
        <w:t>m</w:t>
      </w:r>
      <w:r w:rsidRPr="00C30712">
        <w:rPr>
          <w:lang w:val="fr-FR"/>
        </w:rPr>
        <w:t>e menées par</w:t>
      </w:r>
      <w:r w:rsidR="00C53881">
        <w:rPr>
          <w:lang w:val="fr-FR"/>
        </w:rPr>
        <w:t xml:space="preserve"> </w:t>
      </w:r>
      <w:r w:rsidRPr="00C30712">
        <w:rPr>
          <w:lang w:val="fr-FR"/>
        </w:rPr>
        <w:t>d</w:t>
      </w:r>
      <w:r w:rsidR="00457C42">
        <w:rPr>
          <w:lang w:val="fr-FR"/>
        </w:rPr>
        <w:t>’</w:t>
      </w:r>
      <w:r w:rsidRPr="00C30712">
        <w:rPr>
          <w:lang w:val="fr-FR"/>
        </w:rPr>
        <w:t>autres organisations et mécanismes ; e) de la promotion de la Convention et de ses principes auprès des pays non membres de la CEE et d</w:t>
      </w:r>
      <w:r w:rsidR="00457C42">
        <w:rPr>
          <w:lang w:val="fr-FR"/>
        </w:rPr>
        <w:t>’</w:t>
      </w:r>
      <w:r w:rsidRPr="00C30712">
        <w:rPr>
          <w:lang w:val="fr-FR"/>
        </w:rPr>
        <w:t>autres instances internationales.</w:t>
      </w:r>
    </w:p>
    <w:p w14:paraId="3A1A45A5" w14:textId="77777777" w:rsidR="00420177" w:rsidRDefault="00C30712" w:rsidP="00C30712">
      <w:pPr>
        <w:pStyle w:val="SingleTxtG"/>
        <w:rPr>
          <w:lang w:val="fr-FR"/>
        </w:rPr>
      </w:pPr>
      <w:r w:rsidRPr="00C30712">
        <w:rPr>
          <w:lang w:val="fr-FR"/>
        </w:rPr>
        <w:t>13.</w:t>
      </w:r>
      <w:r w:rsidRPr="00C30712">
        <w:rPr>
          <w:lang w:val="fr-FR"/>
        </w:rPr>
        <w:tab/>
        <w:t>De par leur nature (élaboration de documents juridiques complexes, fourniture de conseils spécialisés, liaison et coordination, etc.), les tâches susmentionnées exigent d</w:t>
      </w:r>
      <w:r w:rsidR="00457C42">
        <w:rPr>
          <w:lang w:val="fr-FR"/>
        </w:rPr>
        <w:t>’</w:t>
      </w:r>
      <w:r w:rsidRPr="00C30712">
        <w:rPr>
          <w:lang w:val="fr-FR"/>
        </w:rPr>
        <w:t>importantes</w:t>
      </w:r>
      <w:r w:rsidR="00C53881">
        <w:rPr>
          <w:lang w:val="fr-FR"/>
        </w:rPr>
        <w:t xml:space="preserve"> </w:t>
      </w:r>
      <w:r w:rsidRPr="00C30712">
        <w:rPr>
          <w:lang w:val="fr-FR"/>
        </w:rPr>
        <w:t>ressources humaines. Ainsi, des ressources additionnelles seront nécessaires pour financer : deux postes supplémentaires (P-2 et P-3) dont les titulaires seront chargés de répondre à la demande accrue d</w:t>
      </w:r>
      <w:r w:rsidR="00457C42">
        <w:rPr>
          <w:lang w:val="fr-FR"/>
        </w:rPr>
        <w:t>’</w:t>
      </w:r>
      <w:r w:rsidRPr="00C30712">
        <w:rPr>
          <w:lang w:val="fr-FR"/>
        </w:rPr>
        <w:t>assistance émanant des Parties, en particulier en ce qui concerne l</w:t>
      </w:r>
      <w:r w:rsidR="00457C42">
        <w:rPr>
          <w:lang w:val="fr-FR"/>
        </w:rPr>
        <w:t>’</w:t>
      </w:r>
      <w:r w:rsidRPr="00C30712">
        <w:rPr>
          <w:lang w:val="fr-FR"/>
        </w:rPr>
        <w:t>application des décisions de la Réunion des Parties quant au respect des dispositions, d</w:t>
      </w:r>
      <w:r w:rsidR="00457C42">
        <w:rPr>
          <w:lang w:val="fr-FR"/>
        </w:rPr>
        <w:t>’</w:t>
      </w:r>
      <w:r w:rsidRPr="00C30712">
        <w:rPr>
          <w:lang w:val="fr-FR"/>
        </w:rPr>
        <w:t>appuyer les travaux du</w:t>
      </w:r>
      <w:r w:rsidR="00C53881">
        <w:rPr>
          <w:lang w:val="fr-FR"/>
        </w:rPr>
        <w:t xml:space="preserve"> </w:t>
      </w:r>
      <w:r w:rsidRPr="00C30712">
        <w:rPr>
          <w:lang w:val="fr-FR"/>
        </w:rPr>
        <w:t>nouveau mécanisme relatif</w:t>
      </w:r>
      <w:r w:rsidR="00C53881">
        <w:rPr>
          <w:lang w:val="fr-FR"/>
        </w:rPr>
        <w:t xml:space="preserve"> </w:t>
      </w:r>
      <w:r w:rsidRPr="00C30712">
        <w:rPr>
          <w:lang w:val="fr-FR"/>
        </w:rPr>
        <w:t>au paragraphe 8 de l</w:t>
      </w:r>
      <w:r w:rsidR="00457C42">
        <w:rPr>
          <w:lang w:val="fr-FR"/>
        </w:rPr>
        <w:t>’</w:t>
      </w:r>
      <w:r w:rsidRPr="00C30712">
        <w:rPr>
          <w:lang w:val="fr-FR"/>
        </w:rPr>
        <w:t>article 3 et d</w:t>
      </w:r>
      <w:r w:rsidR="00457C42">
        <w:rPr>
          <w:lang w:val="fr-FR"/>
        </w:rPr>
        <w:t>’</w:t>
      </w:r>
      <w:r w:rsidRPr="00C30712">
        <w:rPr>
          <w:lang w:val="fr-FR"/>
        </w:rPr>
        <w:t>apporter une assistance juridique au Comité d</w:t>
      </w:r>
      <w:r w:rsidR="00457C42">
        <w:rPr>
          <w:lang w:val="fr-FR"/>
        </w:rPr>
        <w:t>’</w:t>
      </w:r>
      <w:r w:rsidRPr="00C30712">
        <w:rPr>
          <w:lang w:val="fr-FR"/>
        </w:rPr>
        <w:t>examen du respect des dispositions ; un poste supplémentaire (P-3) dont le titulaire sera chargé d</w:t>
      </w:r>
      <w:r w:rsidR="00457C42">
        <w:rPr>
          <w:lang w:val="fr-FR"/>
        </w:rPr>
        <w:t>’</w:t>
      </w:r>
      <w:r w:rsidRPr="00C30712">
        <w:rPr>
          <w:lang w:val="fr-FR"/>
        </w:rPr>
        <w:t>appuyer les travaux de renforcement des synergies avec d</w:t>
      </w:r>
      <w:r w:rsidR="00457C42">
        <w:rPr>
          <w:lang w:val="fr-FR"/>
        </w:rPr>
        <w:t>’</w:t>
      </w:r>
      <w:r w:rsidRPr="00C30712">
        <w:rPr>
          <w:lang w:val="fr-FR"/>
        </w:rPr>
        <w:t>autres organismes et mécanismes, ainsi que les activités de promotion de la Convention et de ses principes. Des ressources seront également requises pour financer les services de consultants (pour la traduction de documents ou la fourniture d</w:t>
      </w:r>
      <w:r w:rsidR="00457C42">
        <w:rPr>
          <w:lang w:val="fr-FR"/>
        </w:rPr>
        <w:t>’</w:t>
      </w:r>
      <w:r w:rsidRPr="00C30712">
        <w:rPr>
          <w:lang w:val="fr-FR"/>
        </w:rPr>
        <w:t>un appui opérationnel sur des questions particulières, par exemple), les voyages du personnel et les services d</w:t>
      </w:r>
      <w:r w:rsidR="00457C42">
        <w:rPr>
          <w:lang w:val="fr-FR"/>
        </w:rPr>
        <w:t>’</w:t>
      </w:r>
      <w:r w:rsidRPr="00C30712">
        <w:rPr>
          <w:lang w:val="fr-FR"/>
        </w:rPr>
        <w:t>assistance technique. Les</w:t>
      </w:r>
      <w:r w:rsidR="00C53881">
        <w:rPr>
          <w:lang w:val="fr-FR"/>
        </w:rPr>
        <w:t xml:space="preserve"> </w:t>
      </w:r>
      <w:r w:rsidRPr="00C30712">
        <w:rPr>
          <w:lang w:val="fr-FR"/>
        </w:rPr>
        <w:t>coûts</w:t>
      </w:r>
      <w:r w:rsidR="00C53881">
        <w:rPr>
          <w:lang w:val="fr-FR"/>
        </w:rPr>
        <w:t xml:space="preserve"> </w:t>
      </w:r>
      <w:r w:rsidRPr="00C30712">
        <w:rPr>
          <w:lang w:val="fr-FR"/>
        </w:rPr>
        <w:t>supplémentaires, par an et par domaine d</w:t>
      </w:r>
      <w:r w:rsidR="00457C42">
        <w:rPr>
          <w:lang w:val="fr-FR"/>
        </w:rPr>
        <w:t>’</w:t>
      </w:r>
      <w:r w:rsidRPr="00C30712">
        <w:rPr>
          <w:lang w:val="fr-FR"/>
        </w:rPr>
        <w:t>activité, sont</w:t>
      </w:r>
      <w:r w:rsidR="00C53881">
        <w:rPr>
          <w:lang w:val="fr-FR"/>
        </w:rPr>
        <w:t xml:space="preserve"> </w:t>
      </w:r>
      <w:r w:rsidRPr="00C30712">
        <w:rPr>
          <w:lang w:val="fr-FR"/>
        </w:rPr>
        <w:t>indiqués ci-dessous</w:t>
      </w:r>
      <w:r w:rsidRPr="00423B43">
        <w:rPr>
          <w:rStyle w:val="Appelnotedebasdep"/>
        </w:rPr>
        <w:footnoteReference w:id="10"/>
      </w:r>
      <w:r w:rsidRPr="00C30712">
        <w:rPr>
          <w:lang w:val="fr-FR"/>
        </w:rPr>
        <w:t>.</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3"/>
        <w:gridCol w:w="1548"/>
      </w:tblGrid>
      <w:tr w:rsidR="00BC52A2" w:rsidRPr="00BC52A2" w14:paraId="5EFFEF83" w14:textId="77777777" w:rsidTr="008C673D">
        <w:trPr>
          <w:tblHeader/>
        </w:trPr>
        <w:tc>
          <w:tcPr>
            <w:tcW w:w="5823" w:type="dxa"/>
            <w:tcBorders>
              <w:top w:val="single" w:sz="4" w:space="0" w:color="auto"/>
              <w:bottom w:val="single" w:sz="12" w:space="0" w:color="auto"/>
            </w:tcBorders>
            <w:shd w:val="clear" w:color="auto" w:fill="auto"/>
            <w:vAlign w:val="bottom"/>
          </w:tcPr>
          <w:p w14:paraId="1CEEA24F" w14:textId="77777777" w:rsidR="00BC52A2" w:rsidRPr="00BC52A2" w:rsidRDefault="00BC52A2" w:rsidP="00BC52A2">
            <w:pPr>
              <w:keepNext/>
              <w:suppressAutoHyphens w:val="0"/>
              <w:spacing w:before="80" w:after="80" w:line="200" w:lineRule="exact"/>
              <w:rPr>
                <w:i/>
                <w:sz w:val="16"/>
              </w:rPr>
            </w:pPr>
            <w:r w:rsidRPr="00BC52A2">
              <w:rPr>
                <w:i/>
                <w:sz w:val="16"/>
                <w:lang w:val="fr-FR"/>
              </w:rPr>
              <w:lastRenderedPageBreak/>
              <w:t>Domaine d</w:t>
            </w:r>
            <w:r w:rsidR="00457C42">
              <w:rPr>
                <w:i/>
                <w:sz w:val="16"/>
                <w:lang w:val="fr-FR"/>
              </w:rPr>
              <w:t>’</w:t>
            </w:r>
            <w:r w:rsidRPr="00BC52A2">
              <w:rPr>
                <w:i/>
                <w:sz w:val="16"/>
                <w:lang w:val="fr-FR"/>
              </w:rPr>
              <w:t>activité</w:t>
            </w:r>
          </w:p>
        </w:tc>
        <w:tc>
          <w:tcPr>
            <w:tcW w:w="1548" w:type="dxa"/>
            <w:tcBorders>
              <w:top w:val="single" w:sz="4" w:space="0" w:color="auto"/>
              <w:bottom w:val="single" w:sz="12" w:space="0" w:color="auto"/>
            </w:tcBorders>
            <w:shd w:val="clear" w:color="auto" w:fill="auto"/>
            <w:vAlign w:val="bottom"/>
          </w:tcPr>
          <w:p w14:paraId="09D58299" w14:textId="77777777" w:rsidR="00BC52A2" w:rsidRPr="00BC52A2" w:rsidRDefault="00BC52A2" w:rsidP="00BC52A2">
            <w:pPr>
              <w:keepNext/>
              <w:suppressAutoHyphens w:val="0"/>
              <w:spacing w:before="80" w:after="80" w:line="200" w:lineRule="exact"/>
              <w:jc w:val="right"/>
              <w:rPr>
                <w:i/>
                <w:sz w:val="16"/>
                <w:lang w:val="fr-FR"/>
              </w:rPr>
            </w:pPr>
            <w:r w:rsidRPr="00BC52A2">
              <w:rPr>
                <w:i/>
                <w:sz w:val="16"/>
                <w:lang w:val="fr-FR"/>
              </w:rPr>
              <w:t>Montant estimatif</w:t>
            </w:r>
            <w:r>
              <w:rPr>
                <w:i/>
                <w:sz w:val="16"/>
                <w:lang w:val="fr-FR"/>
              </w:rPr>
              <w:br/>
            </w:r>
            <w:r w:rsidRPr="00BC52A2">
              <w:rPr>
                <w:i/>
                <w:sz w:val="16"/>
                <w:lang w:val="fr-FR"/>
              </w:rPr>
              <w:t>des coûts opérationnels supplémentaires</w:t>
            </w:r>
            <w:r>
              <w:rPr>
                <w:i/>
                <w:sz w:val="16"/>
                <w:lang w:val="fr-FR"/>
              </w:rPr>
              <w:br/>
            </w:r>
            <w:r w:rsidRPr="00BC52A2">
              <w:rPr>
                <w:i/>
                <w:sz w:val="16"/>
                <w:lang w:val="fr-FR"/>
              </w:rPr>
              <w:t>(en dollars É</w:t>
            </w:r>
            <w:r>
              <w:rPr>
                <w:i/>
                <w:sz w:val="16"/>
                <w:lang w:val="fr-FR"/>
              </w:rPr>
              <w:t>.</w:t>
            </w:r>
            <w:r w:rsidRPr="00BC52A2">
              <w:rPr>
                <w:i/>
                <w:sz w:val="16"/>
                <w:lang w:val="fr-FR"/>
              </w:rPr>
              <w:t>-U</w:t>
            </w:r>
            <w:r>
              <w:rPr>
                <w:i/>
                <w:sz w:val="16"/>
                <w:lang w:val="fr-FR"/>
              </w:rPr>
              <w:t>.</w:t>
            </w:r>
            <w:r w:rsidRPr="00BC52A2">
              <w:rPr>
                <w:i/>
                <w:sz w:val="16"/>
                <w:lang w:val="fr-FR"/>
              </w:rPr>
              <w:t>)</w:t>
            </w:r>
          </w:p>
        </w:tc>
      </w:tr>
      <w:tr w:rsidR="00BC52A2" w:rsidRPr="00BC52A2" w14:paraId="5A0EC23F" w14:textId="77777777" w:rsidTr="008C673D">
        <w:tc>
          <w:tcPr>
            <w:tcW w:w="5823" w:type="dxa"/>
            <w:shd w:val="clear" w:color="auto" w:fill="auto"/>
          </w:tcPr>
          <w:p w14:paraId="1B945CD1" w14:textId="77777777" w:rsidR="00BC52A2" w:rsidRPr="00BC52A2" w:rsidRDefault="00BC52A2" w:rsidP="00BC52A2">
            <w:pPr>
              <w:keepNext/>
              <w:suppressAutoHyphens w:val="0"/>
              <w:spacing w:before="40" w:after="40" w:line="220" w:lineRule="exact"/>
              <w:rPr>
                <w:sz w:val="18"/>
              </w:rPr>
            </w:pPr>
            <w:r w:rsidRPr="00BC52A2">
              <w:rPr>
                <w:sz w:val="18"/>
                <w:lang w:val="fr-FR"/>
              </w:rPr>
              <w:t>I.</w:t>
            </w:r>
            <w:r w:rsidRPr="00BC52A2">
              <w:rPr>
                <w:sz w:val="18"/>
                <w:lang w:val="fr-FR"/>
              </w:rPr>
              <w:tab/>
              <w:t>Accès à l</w:t>
            </w:r>
            <w:r w:rsidR="00457C42">
              <w:rPr>
                <w:sz w:val="18"/>
                <w:lang w:val="fr-FR"/>
              </w:rPr>
              <w:t>’</w:t>
            </w:r>
            <w:r w:rsidRPr="00BC52A2">
              <w:rPr>
                <w:sz w:val="18"/>
                <w:lang w:val="fr-FR"/>
              </w:rPr>
              <w:t>information</w:t>
            </w:r>
          </w:p>
        </w:tc>
        <w:tc>
          <w:tcPr>
            <w:tcW w:w="1548" w:type="dxa"/>
            <w:shd w:val="clear" w:color="auto" w:fill="auto"/>
            <w:vAlign w:val="bottom"/>
          </w:tcPr>
          <w:p w14:paraId="25B98ACE" w14:textId="77777777" w:rsidR="00BC52A2" w:rsidRPr="00BC52A2" w:rsidRDefault="008C673D" w:rsidP="00BC52A2">
            <w:pPr>
              <w:keepNext/>
              <w:suppressAutoHyphens w:val="0"/>
              <w:spacing w:before="40" w:after="40" w:line="220" w:lineRule="exact"/>
              <w:jc w:val="right"/>
              <w:rPr>
                <w:sz w:val="18"/>
              </w:rPr>
            </w:pPr>
            <w:r>
              <w:rPr>
                <w:sz w:val="18"/>
                <w:lang w:val="fr-FR"/>
              </w:rPr>
              <w:t>−</w:t>
            </w:r>
          </w:p>
        </w:tc>
      </w:tr>
      <w:tr w:rsidR="00BC52A2" w:rsidRPr="00BC52A2" w14:paraId="58B786E1" w14:textId="77777777" w:rsidTr="008C673D">
        <w:tc>
          <w:tcPr>
            <w:tcW w:w="5823" w:type="dxa"/>
            <w:shd w:val="clear" w:color="auto" w:fill="auto"/>
          </w:tcPr>
          <w:p w14:paraId="033EDAAF" w14:textId="77777777" w:rsidR="00BC52A2" w:rsidRPr="00BC52A2" w:rsidRDefault="00BC52A2" w:rsidP="00BC52A2">
            <w:pPr>
              <w:keepNext/>
              <w:suppressAutoHyphens w:val="0"/>
              <w:spacing w:before="40" w:after="40" w:line="220" w:lineRule="exact"/>
              <w:rPr>
                <w:sz w:val="18"/>
              </w:rPr>
            </w:pPr>
            <w:r w:rsidRPr="00BC52A2">
              <w:rPr>
                <w:sz w:val="18"/>
                <w:lang w:val="fr-FR"/>
              </w:rPr>
              <w:t>II.</w:t>
            </w:r>
            <w:r w:rsidRPr="00BC52A2">
              <w:rPr>
                <w:sz w:val="18"/>
                <w:lang w:val="fr-FR"/>
              </w:rPr>
              <w:tab/>
              <w:t>Participation du public</w:t>
            </w:r>
          </w:p>
        </w:tc>
        <w:tc>
          <w:tcPr>
            <w:tcW w:w="1548" w:type="dxa"/>
            <w:shd w:val="clear" w:color="auto" w:fill="auto"/>
            <w:vAlign w:val="bottom"/>
          </w:tcPr>
          <w:p w14:paraId="1D581F5A" w14:textId="77777777" w:rsidR="00BC52A2" w:rsidRPr="00BC52A2" w:rsidRDefault="008C673D" w:rsidP="00BC52A2">
            <w:pPr>
              <w:keepNext/>
              <w:suppressAutoHyphens w:val="0"/>
              <w:spacing w:before="40" w:after="40" w:line="220" w:lineRule="exact"/>
              <w:jc w:val="right"/>
              <w:rPr>
                <w:sz w:val="18"/>
              </w:rPr>
            </w:pPr>
            <w:r>
              <w:rPr>
                <w:sz w:val="18"/>
              </w:rPr>
              <w:t>−</w:t>
            </w:r>
          </w:p>
        </w:tc>
      </w:tr>
      <w:tr w:rsidR="00BC52A2" w:rsidRPr="00BC52A2" w14:paraId="02D83D3A" w14:textId="77777777" w:rsidTr="008C673D">
        <w:tc>
          <w:tcPr>
            <w:tcW w:w="5823" w:type="dxa"/>
            <w:shd w:val="clear" w:color="auto" w:fill="auto"/>
          </w:tcPr>
          <w:p w14:paraId="13BE45A6" w14:textId="77777777" w:rsidR="00BC52A2" w:rsidRPr="00BC52A2" w:rsidRDefault="00BC52A2" w:rsidP="00BC52A2">
            <w:pPr>
              <w:keepNext/>
              <w:suppressAutoHyphens w:val="0"/>
              <w:spacing w:before="40" w:after="40" w:line="220" w:lineRule="exact"/>
              <w:rPr>
                <w:sz w:val="18"/>
                <w:lang w:val="fr-FR"/>
              </w:rPr>
            </w:pPr>
            <w:r w:rsidRPr="00BC52A2">
              <w:rPr>
                <w:sz w:val="18"/>
                <w:lang w:val="fr-FR"/>
              </w:rPr>
              <w:t>III.</w:t>
            </w:r>
            <w:r w:rsidRPr="00BC52A2">
              <w:rPr>
                <w:sz w:val="18"/>
                <w:lang w:val="fr-FR"/>
              </w:rPr>
              <w:tab/>
              <w:t>Accès à la justice</w:t>
            </w:r>
          </w:p>
        </w:tc>
        <w:tc>
          <w:tcPr>
            <w:tcW w:w="1548" w:type="dxa"/>
            <w:shd w:val="clear" w:color="auto" w:fill="auto"/>
            <w:vAlign w:val="bottom"/>
          </w:tcPr>
          <w:p w14:paraId="0582B7F7" w14:textId="77777777" w:rsidR="00BC52A2" w:rsidRPr="00BC52A2" w:rsidRDefault="008C673D" w:rsidP="00BC52A2">
            <w:pPr>
              <w:keepNext/>
              <w:suppressAutoHyphens w:val="0"/>
              <w:spacing w:before="40" w:after="40" w:line="220" w:lineRule="exact"/>
              <w:jc w:val="right"/>
              <w:rPr>
                <w:sz w:val="18"/>
              </w:rPr>
            </w:pPr>
            <w:r>
              <w:rPr>
                <w:sz w:val="18"/>
                <w:lang w:val="fr-FR"/>
              </w:rPr>
              <w:t>−</w:t>
            </w:r>
          </w:p>
        </w:tc>
      </w:tr>
      <w:tr w:rsidR="00BC52A2" w:rsidRPr="00BC52A2" w14:paraId="0E20C373" w14:textId="77777777" w:rsidTr="008C673D">
        <w:tc>
          <w:tcPr>
            <w:tcW w:w="5823" w:type="dxa"/>
            <w:shd w:val="clear" w:color="auto" w:fill="auto"/>
          </w:tcPr>
          <w:p w14:paraId="3CB179EA" w14:textId="77777777" w:rsidR="00BC52A2" w:rsidRPr="00BC52A2" w:rsidRDefault="00BC52A2" w:rsidP="00BC52A2">
            <w:pPr>
              <w:keepNext/>
              <w:suppressAutoHyphens w:val="0"/>
              <w:spacing w:before="40" w:after="40" w:line="220" w:lineRule="exact"/>
              <w:rPr>
                <w:sz w:val="18"/>
              </w:rPr>
            </w:pPr>
            <w:r w:rsidRPr="00BC52A2">
              <w:rPr>
                <w:sz w:val="18"/>
                <w:lang w:val="fr-FR"/>
              </w:rPr>
              <w:t>IV.</w:t>
            </w:r>
            <w:r w:rsidRPr="00BC52A2">
              <w:rPr>
                <w:sz w:val="18"/>
                <w:lang w:val="fr-FR"/>
              </w:rPr>
              <w:tab/>
              <w:t>Organismes génétiquement modifiés</w:t>
            </w:r>
          </w:p>
        </w:tc>
        <w:tc>
          <w:tcPr>
            <w:tcW w:w="1548" w:type="dxa"/>
            <w:shd w:val="clear" w:color="auto" w:fill="auto"/>
            <w:vAlign w:val="bottom"/>
          </w:tcPr>
          <w:p w14:paraId="7F9EE76A" w14:textId="77777777" w:rsidR="00BC52A2" w:rsidRPr="00BC52A2" w:rsidRDefault="008C673D" w:rsidP="00BC52A2">
            <w:pPr>
              <w:keepNext/>
              <w:suppressAutoHyphens w:val="0"/>
              <w:spacing w:before="40" w:after="40" w:line="220" w:lineRule="exact"/>
              <w:jc w:val="right"/>
              <w:rPr>
                <w:sz w:val="18"/>
              </w:rPr>
            </w:pPr>
            <w:r>
              <w:rPr>
                <w:sz w:val="18"/>
              </w:rPr>
              <w:t>−</w:t>
            </w:r>
          </w:p>
        </w:tc>
      </w:tr>
      <w:tr w:rsidR="00BC52A2" w:rsidRPr="00BC52A2" w14:paraId="6B3F5828" w14:textId="77777777" w:rsidTr="008C673D">
        <w:tc>
          <w:tcPr>
            <w:tcW w:w="5823" w:type="dxa"/>
            <w:shd w:val="clear" w:color="auto" w:fill="auto"/>
          </w:tcPr>
          <w:p w14:paraId="19F6C2A9" w14:textId="77777777" w:rsidR="00BC52A2" w:rsidRPr="00BC52A2" w:rsidRDefault="00BC52A2" w:rsidP="00BC52A2">
            <w:pPr>
              <w:keepNext/>
              <w:suppressAutoHyphens w:val="0"/>
              <w:spacing w:before="40" w:after="40" w:line="220" w:lineRule="exact"/>
              <w:rPr>
                <w:sz w:val="18"/>
                <w:lang w:val="fr-FR"/>
              </w:rPr>
            </w:pPr>
            <w:r w:rsidRPr="00BC52A2">
              <w:rPr>
                <w:sz w:val="18"/>
                <w:lang w:val="fr-FR"/>
              </w:rPr>
              <w:t>V.</w:t>
            </w:r>
            <w:r w:rsidRPr="00BC52A2">
              <w:rPr>
                <w:sz w:val="18"/>
                <w:lang w:val="fr-FR"/>
              </w:rPr>
              <w:tab/>
              <w:t>Mécanisme d</w:t>
            </w:r>
            <w:r w:rsidR="00457C42">
              <w:rPr>
                <w:sz w:val="18"/>
                <w:lang w:val="fr-FR"/>
              </w:rPr>
              <w:t>’</w:t>
            </w:r>
            <w:r w:rsidRPr="00BC52A2">
              <w:rPr>
                <w:sz w:val="18"/>
                <w:lang w:val="fr-FR"/>
              </w:rPr>
              <w:t>examen du respect des dispositions</w:t>
            </w:r>
          </w:p>
        </w:tc>
        <w:tc>
          <w:tcPr>
            <w:tcW w:w="1548" w:type="dxa"/>
            <w:shd w:val="clear" w:color="auto" w:fill="auto"/>
            <w:vAlign w:val="bottom"/>
          </w:tcPr>
          <w:p w14:paraId="2A96837F" w14:textId="77777777" w:rsidR="00BC52A2" w:rsidRPr="00BC52A2" w:rsidRDefault="00BC52A2" w:rsidP="00BC52A2">
            <w:pPr>
              <w:keepNext/>
              <w:suppressAutoHyphens w:val="0"/>
              <w:spacing w:before="40" w:after="40" w:line="220" w:lineRule="exact"/>
              <w:jc w:val="right"/>
              <w:rPr>
                <w:sz w:val="18"/>
              </w:rPr>
            </w:pPr>
            <w:r w:rsidRPr="00BC52A2">
              <w:rPr>
                <w:sz w:val="18"/>
                <w:lang w:val="fr-FR"/>
              </w:rPr>
              <w:t>212 000</w:t>
            </w:r>
          </w:p>
        </w:tc>
      </w:tr>
      <w:tr w:rsidR="00BC52A2" w:rsidRPr="00BC52A2" w14:paraId="4E6AAFBF" w14:textId="77777777" w:rsidTr="008C673D">
        <w:tc>
          <w:tcPr>
            <w:tcW w:w="5823" w:type="dxa"/>
            <w:shd w:val="clear" w:color="auto" w:fill="auto"/>
          </w:tcPr>
          <w:p w14:paraId="7825D922" w14:textId="77777777" w:rsidR="00BC52A2" w:rsidRPr="00BC52A2" w:rsidRDefault="00BC52A2" w:rsidP="00BC52A2">
            <w:pPr>
              <w:keepNext/>
              <w:suppressAutoHyphens w:val="0"/>
              <w:spacing w:before="40" w:after="40" w:line="220" w:lineRule="exact"/>
              <w:rPr>
                <w:sz w:val="18"/>
              </w:rPr>
            </w:pPr>
            <w:r w:rsidRPr="00BC52A2">
              <w:rPr>
                <w:sz w:val="18"/>
                <w:lang w:val="fr-FR"/>
              </w:rPr>
              <w:t>VI.</w:t>
            </w:r>
            <w:r w:rsidRPr="00BC52A2">
              <w:rPr>
                <w:sz w:val="18"/>
                <w:lang w:val="fr-FR"/>
              </w:rPr>
              <w:tab/>
              <w:t>Renforcement des capacités</w:t>
            </w:r>
          </w:p>
        </w:tc>
        <w:tc>
          <w:tcPr>
            <w:tcW w:w="1548" w:type="dxa"/>
            <w:shd w:val="clear" w:color="auto" w:fill="auto"/>
            <w:vAlign w:val="bottom"/>
          </w:tcPr>
          <w:p w14:paraId="5F07EF0D" w14:textId="77777777" w:rsidR="00BC52A2" w:rsidRPr="00BC52A2" w:rsidRDefault="00BC52A2" w:rsidP="00BC52A2">
            <w:pPr>
              <w:keepNext/>
              <w:suppressAutoHyphens w:val="0"/>
              <w:spacing w:before="40" w:after="40" w:line="220" w:lineRule="exact"/>
              <w:jc w:val="right"/>
              <w:rPr>
                <w:sz w:val="18"/>
              </w:rPr>
            </w:pPr>
            <w:r w:rsidRPr="00BC52A2">
              <w:rPr>
                <w:sz w:val="18"/>
                <w:lang w:val="fr-FR"/>
              </w:rPr>
              <w:t>142 000</w:t>
            </w:r>
          </w:p>
        </w:tc>
      </w:tr>
      <w:tr w:rsidR="00BC52A2" w:rsidRPr="00BC52A2" w14:paraId="36FE8549" w14:textId="77777777" w:rsidTr="008C673D">
        <w:tc>
          <w:tcPr>
            <w:tcW w:w="5823" w:type="dxa"/>
            <w:shd w:val="clear" w:color="auto" w:fill="auto"/>
          </w:tcPr>
          <w:p w14:paraId="6DE50D0C" w14:textId="77777777" w:rsidR="00BC52A2" w:rsidRPr="00BC52A2" w:rsidRDefault="00BC52A2" w:rsidP="00BC52A2">
            <w:pPr>
              <w:keepNext/>
              <w:suppressAutoHyphens w:val="0"/>
              <w:spacing w:before="40" w:after="40" w:line="220" w:lineRule="exact"/>
              <w:rPr>
                <w:sz w:val="18"/>
                <w:lang w:val="fr-FR"/>
              </w:rPr>
            </w:pPr>
            <w:r w:rsidRPr="00BC52A2">
              <w:rPr>
                <w:sz w:val="18"/>
                <w:lang w:val="fr-FR"/>
              </w:rPr>
              <w:t>VII.</w:t>
            </w:r>
            <w:r w:rsidRPr="00BC52A2">
              <w:rPr>
                <w:sz w:val="18"/>
                <w:lang w:val="fr-FR"/>
              </w:rPr>
              <w:tab/>
              <w:t>Mécanisme d</w:t>
            </w:r>
            <w:r w:rsidR="00457C42">
              <w:rPr>
                <w:sz w:val="18"/>
                <w:lang w:val="fr-FR"/>
              </w:rPr>
              <w:t>’</w:t>
            </w:r>
            <w:r w:rsidRPr="00BC52A2">
              <w:rPr>
                <w:sz w:val="18"/>
                <w:lang w:val="fr-FR"/>
              </w:rPr>
              <w:t>établissement de rapports</w:t>
            </w:r>
          </w:p>
        </w:tc>
        <w:tc>
          <w:tcPr>
            <w:tcW w:w="1548" w:type="dxa"/>
            <w:shd w:val="clear" w:color="auto" w:fill="auto"/>
            <w:vAlign w:val="bottom"/>
          </w:tcPr>
          <w:p w14:paraId="07327D53" w14:textId="77777777" w:rsidR="00BC52A2" w:rsidRPr="00BC52A2" w:rsidRDefault="008C673D" w:rsidP="00BC52A2">
            <w:pPr>
              <w:keepNext/>
              <w:suppressAutoHyphens w:val="0"/>
              <w:spacing w:before="40" w:after="40" w:line="220" w:lineRule="exact"/>
              <w:jc w:val="right"/>
              <w:rPr>
                <w:sz w:val="18"/>
              </w:rPr>
            </w:pPr>
            <w:r>
              <w:rPr>
                <w:sz w:val="18"/>
              </w:rPr>
              <w:t>−</w:t>
            </w:r>
          </w:p>
        </w:tc>
      </w:tr>
      <w:tr w:rsidR="00BC52A2" w:rsidRPr="00BC52A2" w14:paraId="78800EDF" w14:textId="77777777" w:rsidTr="008C673D">
        <w:tc>
          <w:tcPr>
            <w:tcW w:w="5823" w:type="dxa"/>
            <w:shd w:val="clear" w:color="auto" w:fill="auto"/>
          </w:tcPr>
          <w:p w14:paraId="5D4C1AD5" w14:textId="77777777" w:rsidR="00BC52A2" w:rsidRPr="00BC52A2" w:rsidRDefault="00BC52A2" w:rsidP="00BC52A2">
            <w:pPr>
              <w:keepNext/>
              <w:suppressAutoHyphens w:val="0"/>
              <w:spacing w:before="40" w:after="40" w:line="220" w:lineRule="exact"/>
              <w:rPr>
                <w:sz w:val="18"/>
                <w:lang w:val="fr-FR"/>
              </w:rPr>
            </w:pPr>
            <w:r w:rsidRPr="00BC52A2">
              <w:rPr>
                <w:sz w:val="18"/>
                <w:lang w:val="fr-FR"/>
              </w:rPr>
              <w:t>VIII.</w:t>
            </w:r>
            <w:r w:rsidRPr="00BC52A2">
              <w:rPr>
                <w:sz w:val="18"/>
                <w:lang w:val="fr-FR"/>
              </w:rPr>
              <w:tab/>
              <w:t>Sensibilisation et promotion de la Convention</w:t>
            </w:r>
          </w:p>
        </w:tc>
        <w:tc>
          <w:tcPr>
            <w:tcW w:w="1548" w:type="dxa"/>
            <w:shd w:val="clear" w:color="auto" w:fill="auto"/>
            <w:vAlign w:val="bottom"/>
          </w:tcPr>
          <w:p w14:paraId="4BAE4B00" w14:textId="77777777" w:rsidR="00BC52A2" w:rsidRPr="00BC52A2" w:rsidRDefault="00BC52A2" w:rsidP="00BC52A2">
            <w:pPr>
              <w:keepNext/>
              <w:suppressAutoHyphens w:val="0"/>
              <w:spacing w:before="40" w:after="40" w:line="220" w:lineRule="exact"/>
              <w:jc w:val="right"/>
              <w:rPr>
                <w:sz w:val="18"/>
              </w:rPr>
            </w:pPr>
            <w:r w:rsidRPr="00BC52A2">
              <w:rPr>
                <w:sz w:val="18"/>
                <w:lang w:val="fr-FR"/>
              </w:rPr>
              <w:t>72 000</w:t>
            </w:r>
          </w:p>
        </w:tc>
      </w:tr>
      <w:tr w:rsidR="00BC52A2" w:rsidRPr="00BC52A2" w14:paraId="1AA7E4B4" w14:textId="77777777" w:rsidTr="008C673D">
        <w:tc>
          <w:tcPr>
            <w:tcW w:w="5823" w:type="dxa"/>
            <w:shd w:val="clear" w:color="auto" w:fill="auto"/>
          </w:tcPr>
          <w:p w14:paraId="63C772FA" w14:textId="77777777" w:rsidR="00BC52A2" w:rsidRPr="00BC52A2" w:rsidRDefault="00BC52A2" w:rsidP="00BC52A2">
            <w:pPr>
              <w:keepNext/>
              <w:suppressAutoHyphens w:val="0"/>
              <w:spacing w:before="40" w:after="40" w:line="220" w:lineRule="exact"/>
              <w:ind w:left="567" w:hanging="567"/>
              <w:rPr>
                <w:sz w:val="18"/>
                <w:lang w:val="fr-FR"/>
              </w:rPr>
            </w:pPr>
            <w:r w:rsidRPr="00BC52A2">
              <w:rPr>
                <w:sz w:val="18"/>
                <w:lang w:val="fr-FR"/>
              </w:rPr>
              <w:t>IX.</w:t>
            </w:r>
            <w:r w:rsidRPr="00BC52A2">
              <w:rPr>
                <w:sz w:val="18"/>
                <w:lang w:val="fr-FR"/>
              </w:rPr>
              <w:tab/>
              <w:t>Promotion des Lignes directrices d</w:t>
            </w:r>
            <w:r w:rsidR="00457C42">
              <w:rPr>
                <w:sz w:val="18"/>
                <w:lang w:val="fr-FR"/>
              </w:rPr>
              <w:t>’</w:t>
            </w:r>
            <w:r w:rsidRPr="00BC52A2">
              <w:rPr>
                <w:sz w:val="18"/>
                <w:lang w:val="fr-FR"/>
              </w:rPr>
              <w:t>Almaty et d</w:t>
            </w:r>
            <w:r w:rsidR="00457C42">
              <w:rPr>
                <w:sz w:val="18"/>
                <w:lang w:val="fr-FR"/>
              </w:rPr>
              <w:t>’</w:t>
            </w:r>
            <w:r w:rsidRPr="00BC52A2">
              <w:rPr>
                <w:sz w:val="18"/>
                <w:lang w:val="fr-FR"/>
              </w:rPr>
              <w:t>autres formes d</w:t>
            </w:r>
            <w:r w:rsidR="00457C42">
              <w:rPr>
                <w:sz w:val="18"/>
                <w:lang w:val="fr-FR"/>
              </w:rPr>
              <w:t>’</w:t>
            </w:r>
            <w:r w:rsidRPr="00BC52A2">
              <w:rPr>
                <w:sz w:val="18"/>
                <w:lang w:val="fr-FR"/>
              </w:rPr>
              <w:t>interaction avec les organismes et processus internationaux concernés</w:t>
            </w:r>
          </w:p>
        </w:tc>
        <w:tc>
          <w:tcPr>
            <w:tcW w:w="1548" w:type="dxa"/>
            <w:shd w:val="clear" w:color="auto" w:fill="auto"/>
            <w:vAlign w:val="bottom"/>
          </w:tcPr>
          <w:p w14:paraId="7592C54C" w14:textId="77777777" w:rsidR="00BC52A2" w:rsidRPr="00BC52A2" w:rsidRDefault="00BC52A2" w:rsidP="00BC52A2">
            <w:pPr>
              <w:keepNext/>
              <w:suppressAutoHyphens w:val="0"/>
              <w:spacing w:before="40" w:after="40" w:line="220" w:lineRule="exact"/>
              <w:jc w:val="right"/>
              <w:rPr>
                <w:sz w:val="18"/>
              </w:rPr>
            </w:pPr>
            <w:r w:rsidRPr="00BC52A2">
              <w:rPr>
                <w:sz w:val="18"/>
                <w:lang w:val="fr-FR"/>
              </w:rPr>
              <w:t>62 100</w:t>
            </w:r>
          </w:p>
        </w:tc>
      </w:tr>
      <w:tr w:rsidR="00BC52A2" w:rsidRPr="00BC52A2" w14:paraId="55102811" w14:textId="77777777" w:rsidTr="008C673D">
        <w:tc>
          <w:tcPr>
            <w:tcW w:w="5823" w:type="dxa"/>
            <w:shd w:val="clear" w:color="auto" w:fill="auto"/>
          </w:tcPr>
          <w:p w14:paraId="35FD9D0A" w14:textId="77777777" w:rsidR="00BC52A2" w:rsidRPr="00BC52A2" w:rsidRDefault="00BC52A2" w:rsidP="00BC52A2">
            <w:pPr>
              <w:keepNext/>
              <w:suppressAutoHyphens w:val="0"/>
              <w:spacing w:before="40" w:after="40" w:line="220" w:lineRule="exact"/>
              <w:ind w:left="567" w:hanging="567"/>
              <w:rPr>
                <w:sz w:val="18"/>
                <w:lang w:val="fr-FR"/>
              </w:rPr>
            </w:pPr>
            <w:r w:rsidRPr="00BC52A2">
              <w:rPr>
                <w:sz w:val="18"/>
                <w:lang w:val="fr-FR"/>
              </w:rPr>
              <w:t>X.</w:t>
            </w:r>
            <w:r w:rsidRPr="00BC52A2">
              <w:rPr>
                <w:sz w:val="18"/>
                <w:lang w:val="fr-FR"/>
              </w:rPr>
              <w:tab/>
              <w:t xml:space="preserve">Coordination et supervision des activités intersessions, </w:t>
            </w:r>
            <w:r w:rsidR="0050281E">
              <w:rPr>
                <w:sz w:val="18"/>
                <w:lang w:val="fr-FR"/>
              </w:rPr>
              <w:t>y compris</w:t>
            </w:r>
            <w:r w:rsidRPr="00BC52A2">
              <w:rPr>
                <w:sz w:val="18"/>
                <w:lang w:val="fr-FR"/>
              </w:rPr>
              <w:t xml:space="preserve"> les préparatifs de la huitième session ordinaire de la Réunion des Parties</w:t>
            </w:r>
          </w:p>
        </w:tc>
        <w:tc>
          <w:tcPr>
            <w:tcW w:w="1548" w:type="dxa"/>
            <w:shd w:val="clear" w:color="auto" w:fill="auto"/>
            <w:vAlign w:val="bottom"/>
          </w:tcPr>
          <w:p w14:paraId="5D7E65B1" w14:textId="77777777" w:rsidR="00BC52A2" w:rsidRPr="00BC52A2" w:rsidRDefault="008C673D" w:rsidP="00BC52A2">
            <w:pPr>
              <w:keepNext/>
              <w:suppressAutoHyphens w:val="0"/>
              <w:spacing w:before="40" w:after="40" w:line="220" w:lineRule="exact"/>
              <w:jc w:val="right"/>
              <w:rPr>
                <w:sz w:val="18"/>
              </w:rPr>
            </w:pPr>
            <w:r>
              <w:rPr>
                <w:sz w:val="18"/>
                <w:lang w:val="fr-FR"/>
              </w:rPr>
              <w:t>−</w:t>
            </w:r>
          </w:p>
        </w:tc>
      </w:tr>
      <w:tr w:rsidR="00BC52A2" w:rsidRPr="00BC52A2" w14:paraId="4EC58F59" w14:textId="77777777" w:rsidTr="008C673D">
        <w:tc>
          <w:tcPr>
            <w:tcW w:w="5823" w:type="dxa"/>
            <w:shd w:val="clear" w:color="auto" w:fill="auto"/>
          </w:tcPr>
          <w:p w14:paraId="67DDFC2D" w14:textId="77777777" w:rsidR="00BC52A2" w:rsidRPr="00BC52A2" w:rsidRDefault="00BC52A2" w:rsidP="00BC52A2">
            <w:pPr>
              <w:keepNext/>
              <w:suppressAutoHyphens w:val="0"/>
              <w:spacing w:before="40" w:after="40" w:line="220" w:lineRule="exact"/>
              <w:rPr>
                <w:sz w:val="18"/>
                <w:lang w:val="fr-FR"/>
              </w:rPr>
            </w:pPr>
            <w:r w:rsidRPr="00BC52A2">
              <w:rPr>
                <w:sz w:val="18"/>
                <w:lang w:val="fr-FR"/>
              </w:rPr>
              <w:t>XI.</w:t>
            </w:r>
            <w:r w:rsidRPr="00BC52A2">
              <w:rPr>
                <w:sz w:val="18"/>
                <w:lang w:val="fr-FR"/>
              </w:rPr>
              <w:tab/>
              <w:t>Huitième session ordinaire de la Réunion des Parties</w:t>
            </w:r>
          </w:p>
        </w:tc>
        <w:tc>
          <w:tcPr>
            <w:tcW w:w="1548" w:type="dxa"/>
            <w:shd w:val="clear" w:color="auto" w:fill="auto"/>
            <w:vAlign w:val="bottom"/>
          </w:tcPr>
          <w:p w14:paraId="4A2028AF" w14:textId="77777777" w:rsidR="00BC52A2" w:rsidRPr="00BC52A2" w:rsidRDefault="008C673D" w:rsidP="00BC52A2">
            <w:pPr>
              <w:keepNext/>
              <w:suppressAutoHyphens w:val="0"/>
              <w:spacing w:before="40" w:after="40" w:line="220" w:lineRule="exact"/>
              <w:jc w:val="right"/>
              <w:rPr>
                <w:sz w:val="18"/>
              </w:rPr>
            </w:pPr>
            <w:r>
              <w:rPr>
                <w:sz w:val="18"/>
              </w:rPr>
              <w:t>−</w:t>
            </w:r>
          </w:p>
        </w:tc>
      </w:tr>
      <w:tr w:rsidR="00BC52A2" w:rsidRPr="00BC52A2" w14:paraId="3ED3A407" w14:textId="77777777" w:rsidTr="008C673D">
        <w:tc>
          <w:tcPr>
            <w:tcW w:w="5823" w:type="dxa"/>
            <w:tcBorders>
              <w:bottom w:val="single" w:sz="4" w:space="0" w:color="auto"/>
            </w:tcBorders>
            <w:shd w:val="clear" w:color="auto" w:fill="auto"/>
          </w:tcPr>
          <w:p w14:paraId="0C193801" w14:textId="77777777" w:rsidR="00BC52A2" w:rsidRPr="00BC52A2" w:rsidRDefault="00BC52A2" w:rsidP="00BC52A2">
            <w:pPr>
              <w:keepNext/>
              <w:suppressAutoHyphens w:val="0"/>
              <w:spacing w:before="40" w:after="40" w:line="220" w:lineRule="exact"/>
              <w:rPr>
                <w:sz w:val="18"/>
              </w:rPr>
            </w:pPr>
            <w:r w:rsidRPr="00BC52A2">
              <w:rPr>
                <w:sz w:val="18"/>
                <w:lang w:val="fr-FR"/>
              </w:rPr>
              <w:t>XII.</w:t>
            </w:r>
            <w:r w:rsidRPr="00BC52A2">
              <w:rPr>
                <w:sz w:val="18"/>
                <w:lang w:val="fr-FR"/>
              </w:rPr>
              <w:tab/>
              <w:t>Soutien horizontal</w:t>
            </w:r>
          </w:p>
        </w:tc>
        <w:tc>
          <w:tcPr>
            <w:tcW w:w="1548" w:type="dxa"/>
            <w:tcBorders>
              <w:bottom w:val="single" w:sz="4" w:space="0" w:color="auto"/>
            </w:tcBorders>
            <w:shd w:val="clear" w:color="auto" w:fill="auto"/>
            <w:vAlign w:val="bottom"/>
          </w:tcPr>
          <w:p w14:paraId="3E863CB4" w14:textId="77777777" w:rsidR="00BC52A2" w:rsidRPr="00BC52A2" w:rsidRDefault="00BC52A2" w:rsidP="00BC52A2">
            <w:pPr>
              <w:keepNext/>
              <w:suppressAutoHyphens w:val="0"/>
              <w:spacing w:before="40" w:after="40" w:line="220" w:lineRule="exact"/>
              <w:jc w:val="right"/>
              <w:rPr>
                <w:sz w:val="18"/>
              </w:rPr>
            </w:pPr>
            <w:r w:rsidRPr="00BC52A2">
              <w:rPr>
                <w:sz w:val="18"/>
                <w:lang w:val="fr-FR"/>
              </w:rPr>
              <w:t>30 800</w:t>
            </w:r>
          </w:p>
        </w:tc>
      </w:tr>
      <w:tr w:rsidR="00BC52A2" w:rsidRPr="00BC52A2" w14:paraId="396A7CBB" w14:textId="77777777" w:rsidTr="008C673D">
        <w:tc>
          <w:tcPr>
            <w:tcW w:w="5823" w:type="dxa"/>
            <w:tcBorders>
              <w:top w:val="single" w:sz="4" w:space="0" w:color="auto"/>
              <w:bottom w:val="single" w:sz="12" w:space="0" w:color="auto"/>
            </w:tcBorders>
            <w:shd w:val="clear" w:color="auto" w:fill="auto"/>
          </w:tcPr>
          <w:p w14:paraId="584863D4" w14:textId="77777777" w:rsidR="00BC52A2" w:rsidRPr="00BC52A2" w:rsidRDefault="00BC52A2" w:rsidP="00BC52A2">
            <w:pPr>
              <w:keepNext/>
              <w:suppressAutoHyphens w:val="0"/>
              <w:spacing w:before="80" w:after="80" w:line="220" w:lineRule="exact"/>
              <w:ind w:left="283"/>
              <w:rPr>
                <w:b/>
                <w:sz w:val="18"/>
                <w:lang w:val="fr-FR"/>
              </w:rPr>
            </w:pPr>
            <w:r w:rsidRPr="00BC52A2">
              <w:rPr>
                <w:b/>
                <w:bCs/>
                <w:sz w:val="18"/>
                <w:lang w:val="fr-FR"/>
              </w:rPr>
              <w:t xml:space="preserve">Total </w:t>
            </w:r>
            <w:r w:rsidRPr="00BC52A2">
              <w:rPr>
                <w:b/>
                <w:sz w:val="18"/>
                <w:lang w:val="fr-FR"/>
              </w:rPr>
              <w:t>(</w:t>
            </w:r>
            <w:r w:rsidR="0050281E">
              <w:rPr>
                <w:b/>
                <w:sz w:val="18"/>
                <w:lang w:val="fr-FR"/>
              </w:rPr>
              <w:t>y compris</w:t>
            </w:r>
            <w:r w:rsidRPr="00BC52A2">
              <w:rPr>
                <w:b/>
                <w:sz w:val="18"/>
                <w:lang w:val="fr-FR"/>
              </w:rPr>
              <w:t xml:space="preserve"> 13 % de dépenses d</w:t>
            </w:r>
            <w:r w:rsidR="00457C42">
              <w:rPr>
                <w:b/>
                <w:sz w:val="18"/>
                <w:lang w:val="fr-FR"/>
              </w:rPr>
              <w:t>’</w:t>
            </w:r>
            <w:r w:rsidRPr="00BC52A2">
              <w:rPr>
                <w:b/>
                <w:sz w:val="18"/>
                <w:lang w:val="fr-FR"/>
              </w:rPr>
              <w:t>appui au programme)</w:t>
            </w:r>
          </w:p>
        </w:tc>
        <w:tc>
          <w:tcPr>
            <w:tcW w:w="1548" w:type="dxa"/>
            <w:tcBorders>
              <w:top w:val="single" w:sz="4" w:space="0" w:color="auto"/>
              <w:bottom w:val="single" w:sz="12" w:space="0" w:color="auto"/>
            </w:tcBorders>
            <w:shd w:val="clear" w:color="auto" w:fill="auto"/>
            <w:vAlign w:val="bottom"/>
          </w:tcPr>
          <w:p w14:paraId="6C2A9A33" w14:textId="77777777" w:rsidR="00BC52A2" w:rsidRPr="00BC52A2" w:rsidRDefault="00BC52A2" w:rsidP="00BC52A2">
            <w:pPr>
              <w:keepNext/>
              <w:suppressAutoHyphens w:val="0"/>
              <w:spacing w:before="80" w:after="80" w:line="220" w:lineRule="exact"/>
              <w:jc w:val="right"/>
              <w:rPr>
                <w:b/>
                <w:sz w:val="18"/>
              </w:rPr>
            </w:pPr>
            <w:r w:rsidRPr="00BC52A2">
              <w:rPr>
                <w:b/>
                <w:bCs/>
                <w:sz w:val="18"/>
                <w:lang w:val="fr-FR"/>
              </w:rPr>
              <w:t>586 357</w:t>
            </w:r>
          </w:p>
        </w:tc>
      </w:tr>
    </w:tbl>
    <w:p w14:paraId="453FE27B" w14:textId="77777777" w:rsidR="00B54901" w:rsidRPr="00B54901" w:rsidRDefault="00B54901" w:rsidP="00B54901">
      <w:pPr>
        <w:pStyle w:val="SingleTxtG"/>
        <w:spacing w:before="120"/>
        <w:rPr>
          <w:lang w:val="fr-FR"/>
        </w:rPr>
      </w:pPr>
      <w:r w:rsidRPr="00B54901">
        <w:rPr>
          <w:lang w:val="fr-FR"/>
        </w:rPr>
        <w:t>14.</w:t>
      </w:r>
      <w:r w:rsidRPr="00B54901">
        <w:rPr>
          <w:lang w:val="fr-FR"/>
        </w:rPr>
        <w:tab/>
        <w:t>Pour les autres domaines d</w:t>
      </w:r>
      <w:r w:rsidR="00457C42">
        <w:rPr>
          <w:lang w:val="fr-FR"/>
        </w:rPr>
        <w:t>’</w:t>
      </w:r>
      <w:r w:rsidRPr="00B54901">
        <w:rPr>
          <w:lang w:val="fr-FR"/>
        </w:rPr>
        <w:t>activité, la répartition des coûts reste approximativement la même que dans le programme de travail actuel. Pour certains domaines, le</w:t>
      </w:r>
      <w:r w:rsidR="00C53881">
        <w:rPr>
          <w:lang w:val="fr-FR"/>
        </w:rPr>
        <w:t xml:space="preserve"> </w:t>
      </w:r>
      <w:r w:rsidRPr="00B54901">
        <w:rPr>
          <w:lang w:val="fr-FR"/>
        </w:rPr>
        <w:t>temps de travail du personnel a été redistribué</w:t>
      </w:r>
      <w:r w:rsidR="00C53881">
        <w:rPr>
          <w:lang w:val="fr-FR"/>
        </w:rPr>
        <w:t xml:space="preserve"> </w:t>
      </w:r>
      <w:r w:rsidRPr="00B54901">
        <w:rPr>
          <w:lang w:val="fr-FR"/>
        </w:rPr>
        <w:t>compte tenu des besoins actuels, ce qui a entraîné une légère baisse des coûts afférents à ces domaines. Les coûts indiqués aux annexes</w:t>
      </w:r>
      <w:r w:rsidR="00BA6247">
        <w:rPr>
          <w:lang w:val="fr-FR"/>
        </w:rPr>
        <w:t> </w:t>
      </w:r>
      <w:r w:rsidRPr="00B54901">
        <w:rPr>
          <w:lang w:val="fr-FR"/>
        </w:rPr>
        <w:t>I et II ci</w:t>
      </w:r>
      <w:r>
        <w:rPr>
          <w:lang w:val="fr-FR"/>
        </w:rPr>
        <w:noBreakHyphen/>
      </w:r>
      <w:r w:rsidRPr="00B54901">
        <w:rPr>
          <w:lang w:val="fr-FR"/>
        </w:rPr>
        <w:t>après ont été calculés en conséquence. Étant donné que l</w:t>
      </w:r>
      <w:r w:rsidR="00457C42">
        <w:rPr>
          <w:lang w:val="fr-FR"/>
        </w:rPr>
        <w:t>’</w:t>
      </w:r>
      <w:r w:rsidRPr="00B54901">
        <w:rPr>
          <w:lang w:val="fr-FR"/>
        </w:rPr>
        <w:t>Italie a proposé de financer un poste d</w:t>
      </w:r>
      <w:r w:rsidR="00457C42">
        <w:rPr>
          <w:lang w:val="fr-FR"/>
        </w:rPr>
        <w:t>’</w:t>
      </w:r>
      <w:r w:rsidRPr="00B54901">
        <w:rPr>
          <w:lang w:val="fr-FR"/>
        </w:rPr>
        <w:t>administrateur auxiliaire à partir d</w:t>
      </w:r>
      <w:r w:rsidR="00457C42">
        <w:rPr>
          <w:lang w:val="fr-FR"/>
        </w:rPr>
        <w:t>’</w:t>
      </w:r>
      <w:r w:rsidRPr="00B54901">
        <w:rPr>
          <w:lang w:val="fr-FR"/>
        </w:rPr>
        <w:t>octobre ou de novembre 2020, le montant total pourrait être réduit de 120</w:t>
      </w:r>
      <w:r>
        <w:rPr>
          <w:lang w:val="fr-FR"/>
        </w:rPr>
        <w:t> </w:t>
      </w:r>
      <w:r w:rsidRPr="00B54901">
        <w:rPr>
          <w:lang w:val="fr-FR"/>
        </w:rPr>
        <w:t>000</w:t>
      </w:r>
      <w:r>
        <w:rPr>
          <w:lang w:val="fr-FR"/>
        </w:rPr>
        <w:t> </w:t>
      </w:r>
      <w:r w:rsidRPr="00B54901">
        <w:rPr>
          <w:lang w:val="fr-FR"/>
        </w:rPr>
        <w:t>dollars (soit le salaire annuel d</w:t>
      </w:r>
      <w:r w:rsidR="00457C42">
        <w:rPr>
          <w:lang w:val="fr-FR"/>
        </w:rPr>
        <w:t>’</w:t>
      </w:r>
      <w:r w:rsidRPr="00B54901">
        <w:rPr>
          <w:lang w:val="fr-FR"/>
        </w:rPr>
        <w:t>un fonctionnaire de classe P</w:t>
      </w:r>
      <w:r>
        <w:rPr>
          <w:lang w:val="fr-FR"/>
        </w:rPr>
        <w:noBreakHyphen/>
      </w:r>
      <w:r w:rsidRPr="00B54901">
        <w:rPr>
          <w:lang w:val="fr-FR"/>
        </w:rPr>
        <w:t>2 pour l</w:t>
      </w:r>
      <w:r w:rsidR="00457C42">
        <w:rPr>
          <w:lang w:val="fr-FR"/>
        </w:rPr>
        <w:t>’</w:t>
      </w:r>
      <w:r w:rsidRPr="00B54901">
        <w:rPr>
          <w:lang w:val="fr-FR"/>
        </w:rPr>
        <w:t>année</w:t>
      </w:r>
      <w:r>
        <w:rPr>
          <w:lang w:val="fr-FR"/>
        </w:rPr>
        <w:t xml:space="preserve"> </w:t>
      </w:r>
      <w:r w:rsidRPr="00B54901">
        <w:rPr>
          <w:lang w:val="fr-FR"/>
        </w:rPr>
        <w:t>2022, les salaires des administrateurs auxiliaires étant généralement pris en charge par les États membres pendant deux ans). En outre, s</w:t>
      </w:r>
      <w:r w:rsidR="00457C42">
        <w:rPr>
          <w:lang w:val="fr-FR"/>
        </w:rPr>
        <w:t>’</w:t>
      </w:r>
      <w:r w:rsidRPr="00B54901">
        <w:rPr>
          <w:lang w:val="fr-FR"/>
        </w:rPr>
        <w:t>il n</w:t>
      </w:r>
      <w:r w:rsidR="00457C42">
        <w:rPr>
          <w:lang w:val="fr-FR"/>
        </w:rPr>
        <w:t>’</w:t>
      </w:r>
      <w:r w:rsidRPr="00B54901">
        <w:rPr>
          <w:lang w:val="fr-FR"/>
        </w:rPr>
        <w:t>est pas créé de nouveau mécanisme visant à traiter les cas relevant du paragraphe 8 de l</w:t>
      </w:r>
      <w:r w:rsidR="00457C42">
        <w:rPr>
          <w:lang w:val="fr-FR"/>
        </w:rPr>
        <w:t>’</w:t>
      </w:r>
      <w:r w:rsidRPr="00B54901">
        <w:rPr>
          <w:lang w:val="fr-FR"/>
        </w:rPr>
        <w:t>article 3 de la Convention, les frais relatifs aux services de consultants et les frais de voyage pour le domaine d</w:t>
      </w:r>
      <w:r w:rsidR="00457C42">
        <w:rPr>
          <w:lang w:val="fr-FR"/>
        </w:rPr>
        <w:t>’</w:t>
      </w:r>
      <w:r w:rsidRPr="00B54901">
        <w:rPr>
          <w:lang w:val="fr-FR"/>
        </w:rPr>
        <w:t>activité relatif au mécanisme d</w:t>
      </w:r>
      <w:r w:rsidR="00457C42">
        <w:rPr>
          <w:lang w:val="fr-FR"/>
        </w:rPr>
        <w:t>’</w:t>
      </w:r>
      <w:r w:rsidRPr="00B54901">
        <w:rPr>
          <w:lang w:val="fr-FR"/>
        </w:rPr>
        <w:t>examen du respect des dispositions peuvent être réduits de 29</w:t>
      </w:r>
      <w:r>
        <w:rPr>
          <w:lang w:val="fr-FR"/>
        </w:rPr>
        <w:t> </w:t>
      </w:r>
      <w:r w:rsidRPr="00B54901">
        <w:rPr>
          <w:lang w:val="fr-FR"/>
        </w:rPr>
        <w:t>000</w:t>
      </w:r>
      <w:r>
        <w:rPr>
          <w:lang w:val="fr-FR"/>
        </w:rPr>
        <w:t> </w:t>
      </w:r>
      <w:r w:rsidRPr="00B54901">
        <w:rPr>
          <w:lang w:val="fr-FR"/>
        </w:rPr>
        <w:t>dollars. Les effectifs demandés au titre de ce domaine d</w:t>
      </w:r>
      <w:r w:rsidR="00457C42">
        <w:rPr>
          <w:lang w:val="fr-FR"/>
        </w:rPr>
        <w:t>’</w:t>
      </w:r>
      <w:r w:rsidRPr="00B54901">
        <w:rPr>
          <w:lang w:val="fr-FR"/>
        </w:rPr>
        <w:t>activité resteront toutefois inchangés, car ils seront nécessaires pour faire face à l</w:t>
      </w:r>
      <w:r w:rsidR="00457C42">
        <w:rPr>
          <w:lang w:val="fr-FR"/>
        </w:rPr>
        <w:t>’</w:t>
      </w:r>
      <w:r w:rsidRPr="00B54901">
        <w:rPr>
          <w:lang w:val="fr-FR"/>
        </w:rPr>
        <w:t>accroissement de la charge de travail.</w:t>
      </w:r>
    </w:p>
    <w:p w14:paraId="3EE06CA3" w14:textId="77777777" w:rsidR="00B54901" w:rsidRPr="00B54901" w:rsidRDefault="00B54901" w:rsidP="00B54901">
      <w:pPr>
        <w:pStyle w:val="SingleTxtG"/>
        <w:rPr>
          <w:lang w:val="fr-FR"/>
        </w:rPr>
      </w:pPr>
      <w:r w:rsidRPr="00B54901">
        <w:rPr>
          <w:lang w:val="fr-FR"/>
        </w:rPr>
        <w:t>15.</w:t>
      </w:r>
      <w:r w:rsidRPr="00B54901">
        <w:rPr>
          <w:lang w:val="fr-FR"/>
        </w:rPr>
        <w:tab/>
        <w:t>Les Parties souhaiteront peut-être réfléchir à différents moyens de dégager les fonds nécessaires pour couvrir l</w:t>
      </w:r>
      <w:r w:rsidR="00457C42">
        <w:rPr>
          <w:lang w:val="fr-FR"/>
        </w:rPr>
        <w:t>’</w:t>
      </w:r>
      <w:r w:rsidRPr="00B54901">
        <w:rPr>
          <w:lang w:val="fr-FR"/>
        </w:rPr>
        <w:t>augmentation des coûts. Elles pourraient accroître le montant de la contribution ordinaire qu</w:t>
      </w:r>
      <w:r w:rsidR="00457C42">
        <w:rPr>
          <w:lang w:val="fr-FR"/>
        </w:rPr>
        <w:t>’</w:t>
      </w:r>
      <w:r w:rsidRPr="00B54901">
        <w:rPr>
          <w:lang w:val="fr-FR"/>
        </w:rPr>
        <w:t xml:space="preserve">elles versent au titre de la Convention. Elles pourraient aussi verser de nouvelles contributions pluriannuelles </w:t>
      </w:r>
      <w:proofErr w:type="spellStart"/>
      <w:r w:rsidRPr="00B54901">
        <w:rPr>
          <w:lang w:val="fr-FR"/>
        </w:rPr>
        <w:t>préaffectées</w:t>
      </w:r>
      <w:proofErr w:type="spellEnd"/>
      <w:r w:rsidRPr="00B54901">
        <w:rPr>
          <w:lang w:val="fr-FR"/>
        </w:rPr>
        <w:t xml:space="preserve"> (au minimum sur deux ans, compte tenu du temps nécessaire au recrutement du personnel),</w:t>
      </w:r>
      <w:r w:rsidR="00C53881">
        <w:rPr>
          <w:lang w:val="fr-FR"/>
        </w:rPr>
        <w:t xml:space="preserve"> </w:t>
      </w:r>
      <w:r w:rsidRPr="00B54901">
        <w:rPr>
          <w:lang w:val="fr-FR"/>
        </w:rPr>
        <w:t>idéalement sur toute la période couverte par le programme de travail, en particulier pour les domaines relatifs au</w:t>
      </w:r>
      <w:r w:rsidR="00C53881">
        <w:rPr>
          <w:lang w:val="fr-FR"/>
        </w:rPr>
        <w:t xml:space="preserve"> </w:t>
      </w:r>
      <w:r w:rsidRPr="00B54901">
        <w:rPr>
          <w:lang w:val="fr-FR"/>
        </w:rPr>
        <w:t>renforcement des capacités, à la</w:t>
      </w:r>
      <w:r w:rsidR="00C53881">
        <w:rPr>
          <w:lang w:val="fr-FR"/>
        </w:rPr>
        <w:t xml:space="preserve"> </w:t>
      </w:r>
      <w:r w:rsidRPr="00B54901">
        <w:rPr>
          <w:lang w:val="fr-FR"/>
        </w:rPr>
        <w:t>sensibilisation, à</w:t>
      </w:r>
      <w:r w:rsidR="00C53881">
        <w:rPr>
          <w:lang w:val="fr-FR"/>
        </w:rPr>
        <w:t xml:space="preserve"> </w:t>
      </w:r>
      <w:r w:rsidRPr="00B54901">
        <w:rPr>
          <w:lang w:val="fr-FR"/>
        </w:rPr>
        <w:t>la promotion de la Convention et à la</w:t>
      </w:r>
      <w:r w:rsidR="00C53881">
        <w:rPr>
          <w:lang w:val="fr-FR"/>
        </w:rPr>
        <w:t xml:space="preserve"> </w:t>
      </w:r>
      <w:r w:rsidRPr="00B54901">
        <w:rPr>
          <w:lang w:val="fr-FR"/>
        </w:rPr>
        <w:t>promotion des Lignes directrices d</w:t>
      </w:r>
      <w:r w:rsidR="00457C42">
        <w:rPr>
          <w:lang w:val="fr-FR"/>
        </w:rPr>
        <w:t>’</w:t>
      </w:r>
      <w:r w:rsidRPr="00B54901">
        <w:rPr>
          <w:lang w:val="fr-FR"/>
        </w:rPr>
        <w:t xml:space="preserve">Almaty. </w:t>
      </w:r>
      <w:r w:rsidR="00881CD5">
        <w:rPr>
          <w:lang w:val="fr-FR"/>
        </w:rPr>
        <w:t>À</w:t>
      </w:r>
      <w:r w:rsidRPr="00B54901">
        <w:rPr>
          <w:lang w:val="fr-FR"/>
        </w:rPr>
        <w:t xml:space="preserve"> cet égard, les questions relatives aux droits de l</w:t>
      </w:r>
      <w:r w:rsidR="00457C42">
        <w:rPr>
          <w:lang w:val="fr-FR"/>
        </w:rPr>
        <w:t>’</w:t>
      </w:r>
      <w:r w:rsidRPr="00B54901">
        <w:rPr>
          <w:lang w:val="fr-FR"/>
        </w:rPr>
        <w:t>homme feront partie des sujets essentiels, liés aux</w:t>
      </w:r>
      <w:r w:rsidR="00C53881">
        <w:rPr>
          <w:lang w:val="fr-FR"/>
        </w:rPr>
        <w:t xml:space="preserve"> </w:t>
      </w:r>
      <w:r w:rsidRPr="00B54901">
        <w:rPr>
          <w:lang w:val="fr-FR"/>
        </w:rPr>
        <w:t>activités de promotion des droits de l</w:t>
      </w:r>
      <w:r w:rsidR="00457C42">
        <w:rPr>
          <w:lang w:val="fr-FR"/>
        </w:rPr>
        <w:t>’</w:t>
      </w:r>
      <w:r w:rsidRPr="00B54901">
        <w:rPr>
          <w:lang w:val="fr-FR"/>
        </w:rPr>
        <w:t>homme et de l</w:t>
      </w:r>
      <w:r w:rsidR="00457C42">
        <w:rPr>
          <w:lang w:val="fr-FR"/>
        </w:rPr>
        <w:t>’</w:t>
      </w:r>
      <w:r w:rsidRPr="00B54901">
        <w:rPr>
          <w:lang w:val="fr-FR"/>
        </w:rPr>
        <w:t>environnement. Étant donné que les activités cibleraient également des pays non membres de la CEE (en particulier dans la région</w:t>
      </w:r>
      <w:r w:rsidR="00C53881">
        <w:rPr>
          <w:lang w:val="fr-FR"/>
        </w:rPr>
        <w:t xml:space="preserve"> </w:t>
      </w:r>
      <w:r w:rsidRPr="00B54901">
        <w:rPr>
          <w:lang w:val="fr-FR"/>
        </w:rPr>
        <w:t>de la Méditerranée, en Afrique et en Asie), des fonds supplémentaires pourraient être alloués</w:t>
      </w:r>
      <w:r w:rsidR="00C53881">
        <w:rPr>
          <w:lang w:val="fr-FR"/>
        </w:rPr>
        <w:t xml:space="preserve"> </w:t>
      </w:r>
      <w:r w:rsidRPr="00B54901">
        <w:rPr>
          <w:lang w:val="fr-FR"/>
        </w:rPr>
        <w:t>non seulement par les ministères de l</w:t>
      </w:r>
      <w:r w:rsidR="00457C42">
        <w:rPr>
          <w:lang w:val="fr-FR"/>
        </w:rPr>
        <w:t>’</w:t>
      </w:r>
      <w:r w:rsidRPr="00B54901">
        <w:rPr>
          <w:lang w:val="fr-FR"/>
        </w:rPr>
        <w:t>environnement, mais aussi par les ministères et autres organismes chargés des affaires étrangères et des questions de développement. Les Parties pourraient aussi recenser les domaines d</w:t>
      </w:r>
      <w:r w:rsidR="00457C42">
        <w:rPr>
          <w:lang w:val="fr-FR"/>
        </w:rPr>
        <w:t>’</w:t>
      </w:r>
      <w:r w:rsidRPr="00B54901">
        <w:rPr>
          <w:lang w:val="fr-FR"/>
        </w:rPr>
        <w:t>activité qui correspondent à</w:t>
      </w:r>
      <w:r w:rsidR="00C53881">
        <w:rPr>
          <w:lang w:val="fr-FR"/>
        </w:rPr>
        <w:t xml:space="preserve"> </w:t>
      </w:r>
      <w:r w:rsidRPr="00B54901">
        <w:rPr>
          <w:lang w:val="fr-FR"/>
        </w:rPr>
        <w:t>leurs priorités et jouer dans ces domaines un rôle de chef de file (individuellement ou</w:t>
      </w:r>
      <w:r w:rsidR="00C53881">
        <w:rPr>
          <w:lang w:val="fr-FR"/>
        </w:rPr>
        <w:t xml:space="preserve"> </w:t>
      </w:r>
      <w:r w:rsidRPr="00B54901">
        <w:rPr>
          <w:lang w:val="fr-FR"/>
        </w:rPr>
        <w:t>collectivement). Les domaines au titre desquels des ressources supplémentaires sont demandées pourraient éventuellement être regroupés en deux catégories : « droits de l</w:t>
      </w:r>
      <w:r w:rsidR="00457C42">
        <w:rPr>
          <w:lang w:val="fr-FR"/>
        </w:rPr>
        <w:t>’</w:t>
      </w:r>
      <w:r w:rsidRPr="00B54901">
        <w:rPr>
          <w:lang w:val="fr-FR"/>
        </w:rPr>
        <w:t>homme et environnement » (domaines V et VI) et « diffusion d</w:t>
      </w:r>
      <w:r w:rsidR="00457C42">
        <w:rPr>
          <w:lang w:val="fr-FR"/>
        </w:rPr>
        <w:t>’</w:t>
      </w:r>
      <w:r w:rsidRPr="00B54901">
        <w:rPr>
          <w:lang w:val="fr-FR"/>
        </w:rPr>
        <w:t>informations au niveau mondial et promotion de la démocratie dans la prise de décision internationale en matière d</w:t>
      </w:r>
      <w:r w:rsidR="00457C42">
        <w:rPr>
          <w:lang w:val="fr-FR"/>
        </w:rPr>
        <w:t>’</w:t>
      </w:r>
      <w:r w:rsidRPr="00B54901">
        <w:rPr>
          <w:lang w:val="fr-FR"/>
        </w:rPr>
        <w:t>environnement » (domaines VIII et IX).</w:t>
      </w:r>
    </w:p>
    <w:p w14:paraId="42B48EE5" w14:textId="77777777" w:rsidR="00B54901" w:rsidRPr="00B54901" w:rsidRDefault="00B54901" w:rsidP="00B54901">
      <w:pPr>
        <w:pStyle w:val="SingleTxtG"/>
        <w:rPr>
          <w:lang w:val="fr-FR"/>
        </w:rPr>
      </w:pPr>
      <w:r w:rsidRPr="00B54901">
        <w:rPr>
          <w:lang w:val="fr-FR"/>
        </w:rPr>
        <w:lastRenderedPageBreak/>
        <w:t>16.</w:t>
      </w:r>
      <w:r w:rsidRPr="00B54901">
        <w:rPr>
          <w:lang w:val="fr-FR"/>
        </w:rPr>
        <w:tab/>
        <w:t>Les ajouts apportés au texte de l</w:t>
      </w:r>
      <w:r w:rsidR="00457C42">
        <w:rPr>
          <w:lang w:val="fr-FR"/>
        </w:rPr>
        <w:t>’</w:t>
      </w:r>
      <w:r w:rsidRPr="00B54901">
        <w:rPr>
          <w:lang w:val="fr-FR"/>
        </w:rPr>
        <w:t>annexe</w:t>
      </w:r>
      <w:r w:rsidR="00881CD5">
        <w:rPr>
          <w:lang w:val="fr-FR"/>
        </w:rPr>
        <w:t> </w:t>
      </w:r>
      <w:r w:rsidRPr="00B54901">
        <w:rPr>
          <w:lang w:val="fr-FR"/>
        </w:rPr>
        <w:t>I ci-après par rapport au texte de l</w:t>
      </w:r>
      <w:r w:rsidR="00457C42">
        <w:rPr>
          <w:lang w:val="fr-FR"/>
        </w:rPr>
        <w:t>’</w:t>
      </w:r>
      <w:r w:rsidRPr="00B54901">
        <w:rPr>
          <w:lang w:val="fr-FR"/>
        </w:rPr>
        <w:t>annexe</w:t>
      </w:r>
      <w:r w:rsidR="00881CD5">
        <w:rPr>
          <w:lang w:val="fr-FR"/>
        </w:rPr>
        <w:t> </w:t>
      </w:r>
      <w:r w:rsidRPr="00B54901">
        <w:rPr>
          <w:lang w:val="fr-FR"/>
        </w:rPr>
        <w:t>I du programme de travail actuel figurent en suivi des modifications dans un document d</w:t>
      </w:r>
      <w:r w:rsidR="00457C42">
        <w:rPr>
          <w:lang w:val="fr-FR"/>
        </w:rPr>
        <w:t>’</w:t>
      </w:r>
      <w:r w:rsidRPr="00B54901">
        <w:rPr>
          <w:lang w:val="fr-FR"/>
        </w:rPr>
        <w:t>accompagnement (AC/WGP-24/Inf.11).</w:t>
      </w:r>
    </w:p>
    <w:p w14:paraId="23DAAD54" w14:textId="77777777" w:rsidR="006869C0" w:rsidRDefault="00B54901" w:rsidP="00B54901">
      <w:pPr>
        <w:pStyle w:val="SingleTxtG"/>
        <w:rPr>
          <w:lang w:val="fr-FR"/>
        </w:rPr>
      </w:pPr>
      <w:r w:rsidRPr="00B54901">
        <w:rPr>
          <w:lang w:val="fr-FR"/>
        </w:rPr>
        <w:t>17.</w:t>
      </w:r>
      <w:r w:rsidRPr="00B54901">
        <w:rPr>
          <w:lang w:val="fr-FR"/>
        </w:rPr>
        <w:tab/>
        <w:t>Les coûts sont répartis entre « coûts opérationnels » et « autres coûts » pour chaque domaine d</w:t>
      </w:r>
      <w:r w:rsidR="00457C42">
        <w:rPr>
          <w:lang w:val="fr-FR"/>
        </w:rPr>
        <w:t>’</w:t>
      </w:r>
      <w:r w:rsidRPr="00B54901">
        <w:rPr>
          <w:lang w:val="fr-FR"/>
        </w:rPr>
        <w:t>activité. Les coûts opérationnels, par opposition aux autres coûts, correspondent aux ressources minimales à prévoir pour que les tâches prescrites dans les différents domaines d</w:t>
      </w:r>
      <w:r w:rsidR="00457C42">
        <w:rPr>
          <w:lang w:val="fr-FR"/>
        </w:rPr>
        <w:t>’</w:t>
      </w:r>
      <w:r w:rsidRPr="00B54901">
        <w:rPr>
          <w:lang w:val="fr-FR"/>
        </w:rPr>
        <w:t>activité soient effectivement accomplies d</w:t>
      </w:r>
      <w:r w:rsidR="00457C42">
        <w:rPr>
          <w:lang w:val="fr-FR"/>
        </w:rPr>
        <w:t>’</w:t>
      </w:r>
      <w:r w:rsidRPr="00B54901">
        <w:rPr>
          <w:lang w:val="fr-FR"/>
        </w:rPr>
        <w:t>une manière équilibrée. La même approche a été suivie dans le programme de travail actuel de la Convention et dans celui du</w:t>
      </w:r>
      <w:r w:rsidR="00C53881">
        <w:rPr>
          <w:lang w:val="fr-FR"/>
        </w:rPr>
        <w:t xml:space="preserve"> </w:t>
      </w:r>
      <w:r w:rsidRPr="00B54901">
        <w:rPr>
          <w:lang w:val="fr-FR"/>
        </w:rPr>
        <w:t>Protocole sur les registres des rejets et transferts de polluants</w:t>
      </w:r>
      <w:r w:rsidR="00290C44">
        <w:rPr>
          <w:lang w:val="fr-FR"/>
        </w:rPr>
        <w:t>.</w:t>
      </w:r>
    </w:p>
    <w:p w14:paraId="17382398" w14:textId="77777777" w:rsidR="00290C44" w:rsidRDefault="00290C44" w:rsidP="00B54901">
      <w:pPr>
        <w:pStyle w:val="SingleTxtG"/>
        <w:rPr>
          <w:lang w:val="fr-FR"/>
        </w:rPr>
        <w:sectPr w:rsidR="00290C44" w:rsidSect="004C03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FBA3AE9" w14:textId="77777777" w:rsidR="006869C0" w:rsidRPr="006869C0" w:rsidRDefault="006869C0" w:rsidP="006869C0">
      <w:pPr>
        <w:pStyle w:val="HChG"/>
      </w:pPr>
      <w:r w:rsidRPr="00FA790F">
        <w:rPr>
          <w:lang w:val="fr-FR"/>
        </w:rPr>
        <w:lastRenderedPageBreak/>
        <w:t>Annexe I</w:t>
      </w:r>
    </w:p>
    <w:p w14:paraId="0672DB6F" w14:textId="77777777" w:rsidR="00BC52A2" w:rsidRDefault="006869C0" w:rsidP="006869C0">
      <w:pPr>
        <w:pStyle w:val="HChG"/>
        <w:rPr>
          <w:lang w:val="fr-FR"/>
        </w:rPr>
      </w:pPr>
      <w:r w:rsidRPr="00FA790F">
        <w:rPr>
          <w:lang w:val="fr-FR"/>
        </w:rPr>
        <w:tab/>
      </w:r>
      <w:r w:rsidRPr="00FA790F">
        <w:rPr>
          <w:lang w:val="fr-FR"/>
        </w:rPr>
        <w:tab/>
        <w:t>Projet de programme de travail pour 2022-2025</w:t>
      </w:r>
    </w:p>
    <w:tbl>
      <w:tblPr>
        <w:tblW w:w="13776" w:type="dxa"/>
        <w:tblInd w:w="283" w:type="dxa"/>
        <w:tblLayout w:type="fixed"/>
        <w:tblCellMar>
          <w:left w:w="0" w:type="dxa"/>
          <w:right w:w="0" w:type="dxa"/>
        </w:tblCellMar>
        <w:tblLook w:val="01E0" w:firstRow="1" w:lastRow="1" w:firstColumn="1" w:lastColumn="1" w:noHBand="0" w:noVBand="0"/>
      </w:tblPr>
      <w:tblGrid>
        <w:gridCol w:w="1691"/>
        <w:gridCol w:w="3696"/>
        <w:gridCol w:w="2127"/>
        <w:gridCol w:w="5067"/>
        <w:gridCol w:w="1195"/>
      </w:tblGrid>
      <w:tr w:rsidR="006869C0" w:rsidRPr="006869C0" w14:paraId="186094D4" w14:textId="77777777" w:rsidTr="00776DC4">
        <w:trPr>
          <w:tblHeader/>
        </w:trPr>
        <w:tc>
          <w:tcPr>
            <w:tcW w:w="1691" w:type="dxa"/>
            <w:tcBorders>
              <w:top w:val="single" w:sz="4" w:space="0" w:color="auto"/>
              <w:bottom w:val="single" w:sz="12" w:space="0" w:color="auto"/>
            </w:tcBorders>
            <w:shd w:val="clear" w:color="auto" w:fill="auto"/>
            <w:vAlign w:val="bottom"/>
          </w:tcPr>
          <w:p w14:paraId="7F58DC2E" w14:textId="77777777" w:rsidR="006869C0" w:rsidRPr="006869C0" w:rsidRDefault="006869C0" w:rsidP="006869C0">
            <w:pPr>
              <w:suppressAutoHyphens w:val="0"/>
              <w:spacing w:before="80" w:after="80" w:line="200" w:lineRule="exact"/>
              <w:ind w:right="113"/>
              <w:rPr>
                <w:i/>
                <w:sz w:val="16"/>
              </w:rPr>
            </w:pPr>
            <w:r w:rsidRPr="006869C0">
              <w:rPr>
                <w:i/>
                <w:sz w:val="16"/>
                <w:lang w:val="fr-FR"/>
              </w:rPr>
              <w:t>Domaine d</w:t>
            </w:r>
            <w:r w:rsidR="00457C42">
              <w:rPr>
                <w:i/>
                <w:sz w:val="16"/>
                <w:lang w:val="fr-FR"/>
              </w:rPr>
              <w:t>’</w:t>
            </w:r>
            <w:r w:rsidRPr="006869C0">
              <w:rPr>
                <w:i/>
                <w:sz w:val="16"/>
                <w:lang w:val="fr-FR"/>
              </w:rPr>
              <w:t>activité</w:t>
            </w:r>
          </w:p>
        </w:tc>
        <w:tc>
          <w:tcPr>
            <w:tcW w:w="3696" w:type="dxa"/>
            <w:tcBorders>
              <w:top w:val="single" w:sz="4" w:space="0" w:color="auto"/>
              <w:bottom w:val="single" w:sz="12" w:space="0" w:color="auto"/>
            </w:tcBorders>
            <w:shd w:val="clear" w:color="auto" w:fill="auto"/>
            <w:vAlign w:val="bottom"/>
          </w:tcPr>
          <w:p w14:paraId="0F03CD05" w14:textId="77777777" w:rsidR="006869C0" w:rsidRPr="006869C0" w:rsidRDefault="006869C0" w:rsidP="006869C0">
            <w:pPr>
              <w:suppressAutoHyphens w:val="0"/>
              <w:spacing w:before="80" w:after="80" w:line="200" w:lineRule="exact"/>
              <w:ind w:right="113"/>
              <w:rPr>
                <w:i/>
                <w:sz w:val="16"/>
              </w:rPr>
            </w:pPr>
            <w:r w:rsidRPr="006869C0">
              <w:rPr>
                <w:i/>
                <w:sz w:val="16"/>
                <w:lang w:val="fr-FR"/>
              </w:rPr>
              <w:t>Objectifs et réalisations escomptées</w:t>
            </w:r>
          </w:p>
        </w:tc>
        <w:tc>
          <w:tcPr>
            <w:tcW w:w="2127" w:type="dxa"/>
            <w:tcBorders>
              <w:top w:val="single" w:sz="4" w:space="0" w:color="auto"/>
              <w:bottom w:val="single" w:sz="12" w:space="0" w:color="auto"/>
            </w:tcBorders>
            <w:shd w:val="clear" w:color="auto" w:fill="auto"/>
            <w:vAlign w:val="bottom"/>
          </w:tcPr>
          <w:p w14:paraId="1FDCF97B" w14:textId="77777777" w:rsidR="006869C0" w:rsidRPr="006869C0" w:rsidRDefault="006869C0" w:rsidP="006869C0">
            <w:pPr>
              <w:suppressAutoHyphens w:val="0"/>
              <w:spacing w:before="80" w:after="80" w:line="200" w:lineRule="exact"/>
              <w:ind w:right="113"/>
              <w:rPr>
                <w:i/>
                <w:sz w:val="16"/>
                <w:lang w:val="fr-FR"/>
              </w:rPr>
            </w:pPr>
            <w:r w:rsidRPr="006869C0">
              <w:rPr>
                <w:i/>
                <w:sz w:val="16"/>
                <w:lang w:val="fr-FR"/>
              </w:rPr>
              <w:t>Pays, organe ou organisme chef de file</w:t>
            </w:r>
          </w:p>
        </w:tc>
        <w:tc>
          <w:tcPr>
            <w:tcW w:w="5067" w:type="dxa"/>
            <w:tcBorders>
              <w:top w:val="single" w:sz="4" w:space="0" w:color="auto"/>
              <w:bottom w:val="single" w:sz="12" w:space="0" w:color="auto"/>
            </w:tcBorders>
            <w:shd w:val="clear" w:color="auto" w:fill="auto"/>
            <w:vAlign w:val="bottom"/>
          </w:tcPr>
          <w:p w14:paraId="7B5BB427" w14:textId="77777777" w:rsidR="006869C0" w:rsidRPr="006869C0" w:rsidRDefault="006869C0" w:rsidP="00C53881">
            <w:pPr>
              <w:suppressAutoHyphens w:val="0"/>
              <w:spacing w:before="80" w:after="80" w:line="200" w:lineRule="exact"/>
              <w:rPr>
                <w:i/>
                <w:sz w:val="16"/>
              </w:rPr>
            </w:pPr>
            <w:r w:rsidRPr="006869C0">
              <w:rPr>
                <w:i/>
                <w:sz w:val="16"/>
                <w:lang w:val="fr-FR"/>
              </w:rPr>
              <w:t>Méthode de travail</w:t>
            </w:r>
          </w:p>
        </w:tc>
        <w:tc>
          <w:tcPr>
            <w:tcW w:w="1195" w:type="dxa"/>
            <w:tcBorders>
              <w:top w:val="single" w:sz="4" w:space="0" w:color="auto"/>
              <w:bottom w:val="single" w:sz="12" w:space="0" w:color="auto"/>
            </w:tcBorders>
            <w:shd w:val="clear" w:color="auto" w:fill="auto"/>
            <w:vAlign w:val="bottom"/>
          </w:tcPr>
          <w:p w14:paraId="081B3F85" w14:textId="77777777" w:rsidR="006869C0" w:rsidRPr="006869C0" w:rsidRDefault="006869C0" w:rsidP="00457C42">
            <w:pPr>
              <w:suppressAutoHyphens w:val="0"/>
              <w:spacing w:before="80" w:after="80" w:line="200" w:lineRule="exact"/>
              <w:jc w:val="right"/>
              <w:rPr>
                <w:bCs/>
                <w:i/>
                <w:sz w:val="16"/>
                <w:lang w:val="fr-FR"/>
              </w:rPr>
            </w:pPr>
            <w:r w:rsidRPr="00BA6247">
              <w:rPr>
                <w:i/>
                <w:spacing w:val="-2"/>
                <w:sz w:val="16"/>
                <w:lang w:val="fr-FR"/>
              </w:rPr>
              <w:t>Moyenne</w:t>
            </w:r>
            <w:r w:rsidR="00BA6247" w:rsidRPr="00BA6247">
              <w:rPr>
                <w:i/>
                <w:spacing w:val="-2"/>
                <w:sz w:val="16"/>
                <w:lang w:val="fr-FR"/>
              </w:rPr>
              <w:t xml:space="preserve"> </w:t>
            </w:r>
            <w:r w:rsidRPr="00BA6247">
              <w:rPr>
                <w:i/>
                <w:spacing w:val="-2"/>
                <w:sz w:val="16"/>
                <w:lang w:val="fr-FR"/>
              </w:rPr>
              <w:t xml:space="preserve">des </w:t>
            </w:r>
            <w:r w:rsidRPr="00BA6247">
              <w:rPr>
                <w:i/>
                <w:spacing w:val="-3"/>
                <w:sz w:val="16"/>
                <w:lang w:val="fr-FR"/>
              </w:rPr>
              <w:t>dépense</w:t>
            </w:r>
            <w:r w:rsidR="00BA6247">
              <w:rPr>
                <w:i/>
                <w:spacing w:val="-3"/>
                <w:sz w:val="16"/>
                <w:lang w:val="fr-FR"/>
              </w:rPr>
              <w:t>s</w:t>
            </w:r>
            <w:r w:rsidRPr="00BA6247">
              <w:rPr>
                <w:i/>
                <w:spacing w:val="-3"/>
                <w:sz w:val="16"/>
                <w:lang w:val="fr-FR"/>
              </w:rPr>
              <w:t xml:space="preserve"> annuelles</w:t>
            </w:r>
            <w:r w:rsidR="00457C42">
              <w:rPr>
                <w:i/>
                <w:sz w:val="16"/>
                <w:lang w:val="fr-FR"/>
              </w:rPr>
              <w:br/>
            </w:r>
            <w:r w:rsidRPr="006869C0">
              <w:rPr>
                <w:i/>
                <w:sz w:val="16"/>
                <w:lang w:val="fr-FR"/>
              </w:rPr>
              <w:t xml:space="preserve">Total partiel </w:t>
            </w:r>
            <w:r w:rsidR="00457C42">
              <w:rPr>
                <w:i/>
                <w:sz w:val="16"/>
                <w:lang w:val="fr-FR"/>
              </w:rPr>
              <w:br/>
            </w:r>
            <w:r w:rsidRPr="006869C0">
              <w:rPr>
                <w:i/>
                <w:sz w:val="16"/>
                <w:lang w:val="fr-FR"/>
              </w:rPr>
              <w:t>(</w:t>
            </w:r>
            <w:r w:rsidR="00457C42">
              <w:rPr>
                <w:i/>
                <w:sz w:val="16"/>
                <w:lang w:val="fr-FR"/>
              </w:rPr>
              <w:t xml:space="preserve">en </w:t>
            </w:r>
            <w:r w:rsidRPr="006869C0">
              <w:rPr>
                <w:i/>
                <w:sz w:val="16"/>
                <w:lang w:val="fr-FR"/>
              </w:rPr>
              <w:t>dollars É.-U.)</w:t>
            </w:r>
            <w:r w:rsidRPr="00457C42">
              <w:rPr>
                <w:sz w:val="16"/>
                <w:szCs w:val="16"/>
                <w:vertAlign w:val="superscript"/>
                <w:lang w:val="fr-FR"/>
              </w:rPr>
              <w:t>a</w:t>
            </w:r>
          </w:p>
        </w:tc>
      </w:tr>
      <w:tr w:rsidR="006869C0" w:rsidRPr="006869C0" w14:paraId="7A8444D9" w14:textId="77777777" w:rsidTr="00776DC4">
        <w:trPr>
          <w:trHeight w:hRule="exact" w:val="113"/>
          <w:tblHeader/>
        </w:trPr>
        <w:tc>
          <w:tcPr>
            <w:tcW w:w="1691" w:type="dxa"/>
            <w:tcBorders>
              <w:top w:val="single" w:sz="12" w:space="0" w:color="auto"/>
            </w:tcBorders>
            <w:shd w:val="clear" w:color="auto" w:fill="auto"/>
          </w:tcPr>
          <w:p w14:paraId="4C3A55BE" w14:textId="77777777" w:rsidR="006869C0" w:rsidRPr="006869C0" w:rsidRDefault="006869C0" w:rsidP="006869C0">
            <w:pPr>
              <w:suppressAutoHyphens w:val="0"/>
              <w:spacing w:before="40" w:after="120"/>
              <w:ind w:right="113"/>
              <w:rPr>
                <w:lang w:val="fr-FR"/>
              </w:rPr>
            </w:pPr>
          </w:p>
        </w:tc>
        <w:tc>
          <w:tcPr>
            <w:tcW w:w="3696" w:type="dxa"/>
            <w:tcBorders>
              <w:top w:val="single" w:sz="12" w:space="0" w:color="auto"/>
            </w:tcBorders>
            <w:shd w:val="clear" w:color="auto" w:fill="auto"/>
          </w:tcPr>
          <w:p w14:paraId="74F833DC" w14:textId="77777777" w:rsidR="006869C0" w:rsidRPr="006869C0" w:rsidRDefault="006869C0" w:rsidP="006869C0">
            <w:pPr>
              <w:suppressAutoHyphens w:val="0"/>
              <w:spacing w:before="40" w:after="120"/>
              <w:ind w:right="113"/>
              <w:rPr>
                <w:lang w:val="fr-FR"/>
              </w:rPr>
            </w:pPr>
          </w:p>
        </w:tc>
        <w:tc>
          <w:tcPr>
            <w:tcW w:w="2127" w:type="dxa"/>
            <w:tcBorders>
              <w:top w:val="single" w:sz="12" w:space="0" w:color="auto"/>
            </w:tcBorders>
            <w:shd w:val="clear" w:color="auto" w:fill="auto"/>
          </w:tcPr>
          <w:p w14:paraId="70EA76F4" w14:textId="77777777" w:rsidR="006869C0" w:rsidRPr="006869C0" w:rsidRDefault="006869C0" w:rsidP="006869C0">
            <w:pPr>
              <w:suppressAutoHyphens w:val="0"/>
              <w:spacing w:before="40" w:after="120"/>
              <w:ind w:right="113"/>
              <w:rPr>
                <w:lang w:val="fr-FR"/>
              </w:rPr>
            </w:pPr>
          </w:p>
        </w:tc>
        <w:tc>
          <w:tcPr>
            <w:tcW w:w="5067" w:type="dxa"/>
            <w:tcBorders>
              <w:top w:val="single" w:sz="12" w:space="0" w:color="auto"/>
            </w:tcBorders>
            <w:shd w:val="clear" w:color="auto" w:fill="auto"/>
          </w:tcPr>
          <w:p w14:paraId="6DE26E8A" w14:textId="77777777" w:rsidR="006869C0" w:rsidRPr="006869C0" w:rsidRDefault="006869C0" w:rsidP="00C53881">
            <w:pPr>
              <w:suppressAutoHyphens w:val="0"/>
              <w:spacing w:before="40" w:after="120"/>
              <w:rPr>
                <w:lang w:val="fr-FR"/>
              </w:rPr>
            </w:pPr>
          </w:p>
        </w:tc>
        <w:tc>
          <w:tcPr>
            <w:tcW w:w="1195" w:type="dxa"/>
            <w:tcBorders>
              <w:top w:val="single" w:sz="12" w:space="0" w:color="auto"/>
            </w:tcBorders>
            <w:shd w:val="clear" w:color="auto" w:fill="auto"/>
          </w:tcPr>
          <w:p w14:paraId="22B7A6BC" w14:textId="77777777" w:rsidR="006869C0" w:rsidRPr="006869C0" w:rsidRDefault="006869C0" w:rsidP="00457C42">
            <w:pPr>
              <w:suppressAutoHyphens w:val="0"/>
              <w:spacing w:before="40" w:after="120"/>
              <w:jc w:val="right"/>
              <w:rPr>
                <w:lang w:val="fr-FR"/>
              </w:rPr>
            </w:pPr>
          </w:p>
        </w:tc>
      </w:tr>
      <w:tr w:rsidR="006869C0" w:rsidRPr="006869C0" w14:paraId="3A061EC3" w14:textId="77777777" w:rsidTr="00776DC4">
        <w:tc>
          <w:tcPr>
            <w:tcW w:w="1691" w:type="dxa"/>
            <w:shd w:val="clear" w:color="auto" w:fill="auto"/>
          </w:tcPr>
          <w:p w14:paraId="3F522EC5" w14:textId="77777777" w:rsidR="006869C0" w:rsidRPr="006869C0" w:rsidRDefault="006869C0" w:rsidP="006869C0">
            <w:pPr>
              <w:suppressAutoHyphens w:val="0"/>
              <w:spacing w:before="40" w:after="120"/>
              <w:ind w:right="113"/>
              <w:rPr>
                <w:b/>
              </w:rPr>
            </w:pPr>
            <w:r w:rsidRPr="006869C0">
              <w:rPr>
                <w:b/>
                <w:bCs/>
                <w:lang w:val="fr-FR"/>
              </w:rPr>
              <w:t>Questions de fond</w:t>
            </w:r>
          </w:p>
        </w:tc>
        <w:tc>
          <w:tcPr>
            <w:tcW w:w="3696" w:type="dxa"/>
            <w:shd w:val="clear" w:color="auto" w:fill="auto"/>
          </w:tcPr>
          <w:p w14:paraId="4ED911CF" w14:textId="77777777" w:rsidR="006869C0" w:rsidRPr="006869C0" w:rsidRDefault="006869C0" w:rsidP="006869C0">
            <w:pPr>
              <w:suppressAutoHyphens w:val="0"/>
              <w:spacing w:before="40" w:after="120"/>
              <w:ind w:right="113"/>
            </w:pPr>
          </w:p>
        </w:tc>
        <w:tc>
          <w:tcPr>
            <w:tcW w:w="2127" w:type="dxa"/>
            <w:shd w:val="clear" w:color="auto" w:fill="auto"/>
          </w:tcPr>
          <w:p w14:paraId="788D0EA8" w14:textId="77777777" w:rsidR="006869C0" w:rsidRPr="006869C0" w:rsidRDefault="006869C0" w:rsidP="006869C0">
            <w:pPr>
              <w:suppressAutoHyphens w:val="0"/>
              <w:spacing w:before="40" w:after="120"/>
              <w:ind w:right="113"/>
            </w:pPr>
          </w:p>
        </w:tc>
        <w:tc>
          <w:tcPr>
            <w:tcW w:w="5067" w:type="dxa"/>
            <w:shd w:val="clear" w:color="auto" w:fill="auto"/>
          </w:tcPr>
          <w:p w14:paraId="567848C7" w14:textId="77777777" w:rsidR="006869C0" w:rsidRPr="006869C0" w:rsidRDefault="006869C0" w:rsidP="00C53881">
            <w:pPr>
              <w:suppressAutoHyphens w:val="0"/>
              <w:spacing w:before="40" w:after="120"/>
            </w:pPr>
          </w:p>
        </w:tc>
        <w:tc>
          <w:tcPr>
            <w:tcW w:w="1195" w:type="dxa"/>
            <w:shd w:val="clear" w:color="auto" w:fill="auto"/>
          </w:tcPr>
          <w:p w14:paraId="5F8CDCF9" w14:textId="77777777" w:rsidR="006869C0" w:rsidRPr="006869C0" w:rsidRDefault="006869C0" w:rsidP="00457C42">
            <w:pPr>
              <w:suppressAutoHyphens w:val="0"/>
              <w:spacing w:before="40" w:after="120"/>
              <w:jc w:val="right"/>
            </w:pPr>
          </w:p>
        </w:tc>
      </w:tr>
      <w:tr w:rsidR="006869C0" w:rsidRPr="006869C0" w14:paraId="003053C1" w14:textId="77777777" w:rsidTr="00776DC4">
        <w:tc>
          <w:tcPr>
            <w:tcW w:w="1691" w:type="dxa"/>
            <w:shd w:val="clear" w:color="auto" w:fill="auto"/>
          </w:tcPr>
          <w:p w14:paraId="17D704AC" w14:textId="77777777" w:rsidR="006869C0" w:rsidRPr="006869C0" w:rsidRDefault="006869C0" w:rsidP="00457C42">
            <w:pPr>
              <w:suppressAutoHyphens w:val="0"/>
              <w:spacing w:before="40" w:after="120"/>
              <w:ind w:right="113"/>
              <w:rPr>
                <w:lang w:val="fr-FR"/>
              </w:rPr>
            </w:pPr>
            <w:bookmarkStart w:id="5" w:name="_Hlk31021238"/>
            <w:r w:rsidRPr="006869C0">
              <w:rPr>
                <w:lang w:val="fr-FR"/>
              </w:rPr>
              <w:t>I. Accès à l</w:t>
            </w:r>
            <w:r w:rsidR="00457C42">
              <w:rPr>
                <w:lang w:val="fr-FR"/>
              </w:rPr>
              <w:t>’</w:t>
            </w:r>
            <w:r w:rsidRPr="006869C0">
              <w:rPr>
                <w:lang w:val="fr-FR"/>
              </w:rPr>
              <w:t xml:space="preserve">information, </w:t>
            </w:r>
            <w:r w:rsidR="0050281E">
              <w:rPr>
                <w:lang w:val="fr-FR"/>
              </w:rPr>
              <w:t>y compris</w:t>
            </w:r>
            <w:r w:rsidRPr="006869C0">
              <w:rPr>
                <w:lang w:val="fr-FR"/>
              </w:rPr>
              <w:t xml:space="preserve"> les outils d</w:t>
            </w:r>
            <w:r w:rsidR="00457C42">
              <w:rPr>
                <w:lang w:val="fr-FR"/>
              </w:rPr>
              <w:t>’</w:t>
            </w:r>
            <w:r w:rsidRPr="006869C0">
              <w:rPr>
                <w:lang w:val="fr-FR"/>
              </w:rPr>
              <w:t>information électroniques</w:t>
            </w:r>
          </w:p>
        </w:tc>
        <w:tc>
          <w:tcPr>
            <w:tcW w:w="3696" w:type="dxa"/>
            <w:shd w:val="clear" w:color="auto" w:fill="auto"/>
          </w:tcPr>
          <w:p w14:paraId="2EDAE831" w14:textId="77777777" w:rsidR="006869C0" w:rsidRPr="006869C0" w:rsidRDefault="006869C0" w:rsidP="00E2585D">
            <w:pPr>
              <w:suppressAutoHyphens w:val="0"/>
              <w:spacing w:before="40" w:after="120"/>
              <w:ind w:right="113"/>
              <w:rPr>
                <w:lang w:val="fr-FR"/>
              </w:rPr>
            </w:pPr>
            <w:r w:rsidRPr="006869C0">
              <w:rPr>
                <w:lang w:val="fr-FR"/>
              </w:rPr>
              <w:t>Les activités seront exécutées conformément à la décision VII/... relative à</w:t>
            </w:r>
            <w:r w:rsidR="000D732D">
              <w:rPr>
                <w:lang w:val="fr-FR"/>
              </w:rPr>
              <w:t> </w:t>
            </w:r>
            <w:r w:rsidRPr="006869C0">
              <w:rPr>
                <w:lang w:val="fr-FR"/>
              </w:rPr>
              <w:t>la promotion d</w:t>
            </w:r>
            <w:r w:rsidR="00457C42">
              <w:rPr>
                <w:lang w:val="fr-FR"/>
              </w:rPr>
              <w:t>’</w:t>
            </w:r>
            <w:r w:rsidRPr="006869C0">
              <w:rPr>
                <w:lang w:val="fr-FR"/>
              </w:rPr>
              <w:t>un accès effectif à l</w:t>
            </w:r>
            <w:r w:rsidR="00457C42">
              <w:rPr>
                <w:lang w:val="fr-FR"/>
              </w:rPr>
              <w:t>’</w:t>
            </w:r>
            <w:r w:rsidRPr="006869C0">
              <w:rPr>
                <w:lang w:val="fr-FR"/>
              </w:rPr>
              <w:t>information.</w:t>
            </w:r>
            <w:r w:rsidR="00E2585D">
              <w:rPr>
                <w:lang w:val="fr-FR"/>
              </w:rPr>
              <w:br/>
            </w:r>
            <w:r w:rsidRPr="006869C0">
              <w:rPr>
                <w:lang w:val="fr-FR"/>
              </w:rPr>
              <w:t>(Elles contribuent principalement à la réalisation des ODD 3, 11, 12 et 17 et de la</w:t>
            </w:r>
            <w:r w:rsidR="000D732D">
              <w:rPr>
                <w:lang w:val="fr-FR"/>
              </w:rPr>
              <w:t> </w:t>
            </w:r>
            <w:r w:rsidRPr="006869C0">
              <w:rPr>
                <w:lang w:val="fr-FR"/>
              </w:rPr>
              <w:t>cible 16.10)</w:t>
            </w:r>
          </w:p>
        </w:tc>
        <w:tc>
          <w:tcPr>
            <w:tcW w:w="2127" w:type="dxa"/>
            <w:shd w:val="clear" w:color="auto" w:fill="auto"/>
          </w:tcPr>
          <w:p w14:paraId="1F0A7200" w14:textId="77777777" w:rsidR="006869C0" w:rsidRPr="006869C0" w:rsidRDefault="006869C0" w:rsidP="006869C0">
            <w:pPr>
              <w:suppressAutoHyphens w:val="0"/>
              <w:spacing w:before="40" w:after="120"/>
              <w:ind w:right="113"/>
              <w:rPr>
                <w:lang w:val="fr-FR"/>
              </w:rPr>
            </w:pPr>
            <w:r w:rsidRPr="006869C0">
              <w:rPr>
                <w:lang w:val="fr-FR"/>
              </w:rPr>
              <w:t>L</w:t>
            </w:r>
            <w:r w:rsidR="00457C42">
              <w:rPr>
                <w:lang w:val="fr-FR"/>
              </w:rPr>
              <w:t>’</w:t>
            </w:r>
            <w:r w:rsidRPr="006869C0">
              <w:rPr>
                <w:lang w:val="fr-FR"/>
              </w:rPr>
              <w:t>Équipe spéciale de l</w:t>
            </w:r>
            <w:r w:rsidR="00457C42">
              <w:rPr>
                <w:lang w:val="fr-FR"/>
              </w:rPr>
              <w:t>’</w:t>
            </w:r>
            <w:r w:rsidRPr="006869C0">
              <w:rPr>
                <w:lang w:val="fr-FR"/>
              </w:rPr>
              <w:t>accès à</w:t>
            </w:r>
            <w:r w:rsidR="00C53881">
              <w:rPr>
                <w:lang w:val="fr-FR"/>
              </w:rPr>
              <w:t> </w:t>
            </w:r>
            <w:r w:rsidRPr="006869C0">
              <w:rPr>
                <w:lang w:val="fr-FR"/>
              </w:rPr>
              <w:t>l</w:t>
            </w:r>
            <w:r w:rsidR="00457C42">
              <w:rPr>
                <w:lang w:val="fr-FR"/>
              </w:rPr>
              <w:t>’</w:t>
            </w:r>
            <w:r w:rsidRPr="006869C0">
              <w:rPr>
                <w:lang w:val="fr-FR"/>
              </w:rPr>
              <w:t>information</w:t>
            </w:r>
          </w:p>
          <w:p w14:paraId="6EC42770" w14:textId="77777777" w:rsidR="006869C0" w:rsidRPr="006869C0" w:rsidRDefault="006869C0" w:rsidP="006869C0">
            <w:pPr>
              <w:suppressAutoHyphens w:val="0"/>
              <w:spacing w:before="40" w:after="120"/>
              <w:ind w:right="113"/>
              <w:rPr>
                <w:lang w:val="fr-FR"/>
              </w:rPr>
            </w:pPr>
            <w:r w:rsidRPr="006869C0">
              <w:rPr>
                <w:lang w:val="fr-FR"/>
              </w:rPr>
              <w:t>Séance thématique dans le cadre des</w:t>
            </w:r>
            <w:r w:rsidR="00C53881">
              <w:rPr>
                <w:lang w:val="fr-FR"/>
              </w:rPr>
              <w:t xml:space="preserve"> </w:t>
            </w:r>
            <w:r w:rsidRPr="006869C0">
              <w:rPr>
                <w:lang w:val="fr-FR"/>
              </w:rPr>
              <w:t>réunions du Groupe de travail des Parties</w:t>
            </w:r>
          </w:p>
          <w:p w14:paraId="7629F1CA" w14:textId="77777777" w:rsidR="006869C0" w:rsidRPr="006869C0" w:rsidRDefault="006869C0" w:rsidP="006869C0">
            <w:pPr>
              <w:suppressAutoHyphens w:val="0"/>
              <w:spacing w:before="40" w:after="120"/>
              <w:ind w:right="113"/>
              <w:rPr>
                <w:lang w:val="fr-FR"/>
              </w:rPr>
            </w:pPr>
            <w:r w:rsidRPr="006869C0">
              <w:rPr>
                <w:lang w:val="fr-FR"/>
              </w:rPr>
              <w:t>Le secrétariat, qui fera appel si</w:t>
            </w:r>
            <w:r w:rsidR="00C53881">
              <w:rPr>
                <w:lang w:val="fr-FR"/>
              </w:rPr>
              <w:t> </w:t>
            </w:r>
            <w:r w:rsidRPr="006869C0">
              <w:rPr>
                <w:lang w:val="fr-FR"/>
              </w:rPr>
              <w:t>nécessaire à du personnel d</w:t>
            </w:r>
            <w:r w:rsidR="00457C42">
              <w:rPr>
                <w:lang w:val="fr-FR"/>
              </w:rPr>
              <w:t>’</w:t>
            </w:r>
            <w:r w:rsidRPr="006869C0">
              <w:rPr>
                <w:lang w:val="fr-FR"/>
              </w:rPr>
              <w:t>appui technique</w:t>
            </w:r>
          </w:p>
        </w:tc>
        <w:tc>
          <w:tcPr>
            <w:tcW w:w="5067" w:type="dxa"/>
            <w:shd w:val="clear" w:color="auto" w:fill="auto"/>
          </w:tcPr>
          <w:p w14:paraId="422DC732" w14:textId="77777777" w:rsidR="006869C0" w:rsidRPr="006869C0" w:rsidRDefault="006869C0" w:rsidP="00C53881">
            <w:pPr>
              <w:suppressAutoHyphens w:val="0"/>
              <w:spacing w:before="40" w:after="120"/>
              <w:rPr>
                <w:lang w:val="fr-FR"/>
              </w:rPr>
            </w:pPr>
            <w:r w:rsidRPr="006869C0">
              <w:rPr>
                <w:lang w:val="fr-FR"/>
              </w:rPr>
              <w:t>Réunions de l</w:t>
            </w:r>
            <w:r w:rsidR="00457C42">
              <w:rPr>
                <w:lang w:val="fr-FR"/>
              </w:rPr>
              <w:t>’</w:t>
            </w:r>
            <w:r w:rsidRPr="006869C0">
              <w:rPr>
                <w:lang w:val="fr-FR"/>
              </w:rPr>
              <w:t>Équipe spéciale et ateliers ; enquête(s) ; participation à d</w:t>
            </w:r>
            <w:r w:rsidR="00457C42">
              <w:rPr>
                <w:lang w:val="fr-FR"/>
              </w:rPr>
              <w:t>’</w:t>
            </w:r>
            <w:r w:rsidRPr="006869C0">
              <w:rPr>
                <w:lang w:val="fr-FR"/>
              </w:rPr>
              <w:t>autres initiatives régionales pertinentes, s</w:t>
            </w:r>
            <w:r w:rsidR="00457C42">
              <w:rPr>
                <w:lang w:val="fr-FR"/>
              </w:rPr>
              <w:t>’</w:t>
            </w:r>
            <w:r w:rsidRPr="006869C0">
              <w:rPr>
                <w:lang w:val="fr-FR"/>
              </w:rPr>
              <w:t>il</w:t>
            </w:r>
            <w:r w:rsidR="00306E2C">
              <w:rPr>
                <w:lang w:val="fr-FR"/>
              </w:rPr>
              <w:t> </w:t>
            </w:r>
            <w:r w:rsidRPr="006869C0">
              <w:rPr>
                <w:lang w:val="fr-FR"/>
              </w:rPr>
              <w:t>y</w:t>
            </w:r>
            <w:r w:rsidR="00306E2C">
              <w:rPr>
                <w:lang w:val="fr-FR"/>
              </w:rPr>
              <w:t> </w:t>
            </w:r>
            <w:r w:rsidRPr="006869C0">
              <w:rPr>
                <w:lang w:val="fr-FR"/>
              </w:rPr>
              <w:t>a lieu, dans le cadre d</w:t>
            </w:r>
            <w:r w:rsidR="00457C42">
              <w:rPr>
                <w:lang w:val="fr-FR"/>
              </w:rPr>
              <w:t>’</w:t>
            </w:r>
            <w:r w:rsidRPr="006869C0">
              <w:rPr>
                <w:lang w:val="fr-FR"/>
              </w:rPr>
              <w:t>approches s</w:t>
            </w:r>
            <w:r w:rsidR="00457C42">
              <w:rPr>
                <w:lang w:val="fr-FR"/>
              </w:rPr>
              <w:t>’</w:t>
            </w:r>
            <w:r w:rsidRPr="006869C0">
              <w:rPr>
                <w:lang w:val="fr-FR"/>
              </w:rPr>
              <w:t>appuyant sur des partenariats par secteur ; projets pilotes et activités de</w:t>
            </w:r>
            <w:r w:rsidR="00B4239D">
              <w:rPr>
                <w:lang w:val="fr-FR"/>
              </w:rPr>
              <w:t xml:space="preserve"> </w:t>
            </w:r>
            <w:r w:rsidRPr="006869C0">
              <w:rPr>
                <w:lang w:val="fr-FR"/>
              </w:rPr>
              <w:t>renforcement des capacités aux niveaux sous-régional et national, qui devraient être</w:t>
            </w:r>
            <w:r w:rsidR="00C53881">
              <w:rPr>
                <w:lang w:val="fr-FR"/>
              </w:rPr>
              <w:t xml:space="preserve"> </w:t>
            </w:r>
            <w:r w:rsidRPr="006869C0">
              <w:rPr>
                <w:lang w:val="fr-FR"/>
              </w:rPr>
              <w:t>financés par les partenaires.</w:t>
            </w:r>
          </w:p>
          <w:p w14:paraId="713FA9E5" w14:textId="77777777" w:rsidR="006869C0" w:rsidRPr="006869C0" w:rsidRDefault="006869C0" w:rsidP="00C53881">
            <w:pPr>
              <w:suppressAutoHyphens w:val="0"/>
              <w:spacing w:before="40" w:after="120"/>
              <w:rPr>
                <w:lang w:val="fr-FR"/>
              </w:rPr>
            </w:pPr>
            <w:r w:rsidRPr="006869C0">
              <w:rPr>
                <w:lang w:val="fr-FR"/>
              </w:rPr>
              <w:t>Gestion centrale du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proofErr w:type="spellStart"/>
            <w:r w:rsidRPr="006869C0">
              <w:rPr>
                <w:lang w:val="fr-FR"/>
              </w:rPr>
              <w:t>Aarhus</w:t>
            </w:r>
            <w:r w:rsidRPr="00C53881">
              <w:rPr>
                <w:i/>
                <w:sz w:val="18"/>
                <w:szCs w:val="18"/>
                <w:vertAlign w:val="superscript"/>
                <w:lang w:val="fr-FR"/>
              </w:rPr>
              <w:t>b</w:t>
            </w:r>
            <w:proofErr w:type="spellEnd"/>
            <w:r w:rsidRPr="006869C0">
              <w:rPr>
                <w:lang w:val="fr-FR"/>
              </w:rPr>
              <w:t xml:space="preserve"> et promotion sur les réseaux sociaux en ligne ; activités</w:t>
            </w:r>
            <w:r w:rsidR="00C53881">
              <w:rPr>
                <w:lang w:val="fr-FR"/>
              </w:rPr>
              <w:t xml:space="preserve"> </w:t>
            </w:r>
            <w:r w:rsidRPr="006869C0">
              <w:rPr>
                <w:lang w:val="fr-FR"/>
              </w:rPr>
              <w:t>de conseils et de coordination à l</w:t>
            </w:r>
            <w:r w:rsidR="00457C42">
              <w:rPr>
                <w:lang w:val="fr-FR"/>
              </w:rPr>
              <w:t>’</w:t>
            </w:r>
            <w:r w:rsidRPr="006869C0">
              <w:rPr>
                <w:lang w:val="fr-FR"/>
              </w:rPr>
              <w:t>intention des antennes</w:t>
            </w:r>
            <w:r w:rsidR="00C53881">
              <w:rPr>
                <w:lang w:val="fr-FR"/>
              </w:rPr>
              <w:t xml:space="preserve"> </w:t>
            </w:r>
            <w:r w:rsidRPr="006869C0">
              <w:rPr>
                <w:lang w:val="fr-FR"/>
              </w:rPr>
              <w:t>d</w:t>
            </w:r>
            <w:r w:rsidR="00457C42">
              <w:rPr>
                <w:lang w:val="fr-FR"/>
              </w:rPr>
              <w:t>’</w:t>
            </w:r>
            <w:r w:rsidRPr="006869C0">
              <w:rPr>
                <w:lang w:val="fr-FR"/>
              </w:rPr>
              <w:t>information nationales du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Aarhus</w:t>
            </w:r>
            <w:r w:rsidR="00C53881">
              <w:rPr>
                <w:lang w:val="fr-FR"/>
              </w:rPr>
              <w:t xml:space="preserve"> </w:t>
            </w:r>
            <w:r w:rsidRPr="006869C0">
              <w:rPr>
                <w:lang w:val="fr-FR"/>
              </w:rPr>
              <w:t>et coordination; échange d</w:t>
            </w:r>
            <w:r w:rsidR="00457C42">
              <w:rPr>
                <w:lang w:val="fr-FR"/>
              </w:rPr>
              <w:t>’</w:t>
            </w:r>
            <w:r w:rsidRPr="006869C0">
              <w:rPr>
                <w:lang w:val="fr-FR"/>
              </w:rPr>
              <w:t>informations et promotion des outils électroniques par la tenue à jour des bases de données en ligne sur la jurisprudence, les bonnes pratiques et les rapports nationaux d</w:t>
            </w:r>
            <w:r w:rsidR="00457C42">
              <w:rPr>
                <w:lang w:val="fr-FR"/>
              </w:rPr>
              <w:t>’</w:t>
            </w:r>
            <w:r w:rsidRPr="006869C0">
              <w:rPr>
                <w:lang w:val="fr-FR"/>
              </w:rPr>
              <w:t>exécution, et</w:t>
            </w:r>
            <w:r w:rsidR="00C53881">
              <w:rPr>
                <w:lang w:val="fr-FR"/>
              </w:rPr>
              <w:t xml:space="preserve"> </w:t>
            </w:r>
            <w:r w:rsidRPr="006869C0">
              <w:rPr>
                <w:lang w:val="fr-FR"/>
              </w:rPr>
              <w:t>par la publication en ligne des études de cas sur : a)</w:t>
            </w:r>
            <w:r w:rsidR="00C53881">
              <w:rPr>
                <w:lang w:val="fr-FR"/>
              </w:rPr>
              <w:t> </w:t>
            </w:r>
            <w:r w:rsidRPr="006869C0">
              <w:rPr>
                <w:lang w:val="fr-FR"/>
              </w:rPr>
              <w:t>les outils d</w:t>
            </w:r>
            <w:r w:rsidR="00457C42">
              <w:rPr>
                <w:lang w:val="fr-FR"/>
              </w:rPr>
              <w:t>’</w:t>
            </w:r>
            <w:r w:rsidRPr="006869C0">
              <w:rPr>
                <w:lang w:val="fr-FR"/>
              </w:rPr>
              <w:t>information électroniques ; b)</w:t>
            </w:r>
            <w:r w:rsidR="00C53881">
              <w:rPr>
                <w:lang w:val="fr-FR"/>
              </w:rPr>
              <w:t> </w:t>
            </w:r>
            <w:r w:rsidRPr="006869C0">
              <w:rPr>
                <w:lang w:val="fr-FR"/>
              </w:rPr>
              <w:t>la</w:t>
            </w:r>
            <w:r w:rsidR="00C53881">
              <w:rPr>
                <w:lang w:val="fr-FR"/>
              </w:rPr>
              <w:t> </w:t>
            </w:r>
            <w:r w:rsidRPr="006869C0">
              <w:rPr>
                <w:lang w:val="fr-FR"/>
              </w:rPr>
              <w:t>participation du public au niveau national ; c)</w:t>
            </w:r>
            <w:r w:rsidR="00C53881">
              <w:rPr>
                <w:lang w:val="fr-FR"/>
              </w:rPr>
              <w:t> </w:t>
            </w:r>
            <w:r w:rsidRPr="006869C0">
              <w:rPr>
                <w:lang w:val="fr-FR"/>
              </w:rPr>
              <w:t>la</w:t>
            </w:r>
            <w:r w:rsidR="00C53881">
              <w:rPr>
                <w:lang w:val="fr-FR"/>
              </w:rPr>
              <w:t> </w:t>
            </w:r>
            <w:r w:rsidRPr="006869C0">
              <w:rPr>
                <w:lang w:val="fr-FR"/>
              </w:rPr>
              <w:t>participation du public aux travaux des instances internationales.</w:t>
            </w:r>
          </w:p>
        </w:tc>
        <w:tc>
          <w:tcPr>
            <w:tcW w:w="1195" w:type="dxa"/>
            <w:shd w:val="clear" w:color="auto" w:fill="auto"/>
          </w:tcPr>
          <w:p w14:paraId="3265A323" w14:textId="77777777" w:rsidR="006869C0" w:rsidRPr="006869C0" w:rsidRDefault="006869C0" w:rsidP="00173211">
            <w:pPr>
              <w:suppressAutoHyphens w:val="0"/>
              <w:spacing w:before="40" w:after="120"/>
              <w:jc w:val="right"/>
            </w:pPr>
            <w:r w:rsidRPr="006869C0">
              <w:rPr>
                <w:lang w:val="fr-FR"/>
              </w:rPr>
              <w:t>79</w:t>
            </w:r>
            <w:r w:rsidR="00173211">
              <w:rPr>
                <w:lang w:val="fr-FR"/>
              </w:rPr>
              <w:t> </w:t>
            </w:r>
            <w:r w:rsidRPr="006869C0">
              <w:rPr>
                <w:lang w:val="fr-FR"/>
              </w:rPr>
              <w:t>900</w:t>
            </w:r>
            <w:r w:rsidR="00173211">
              <w:rPr>
                <w:lang w:val="fr-FR"/>
              </w:rPr>
              <w:br/>
            </w:r>
            <w:r w:rsidRPr="006869C0">
              <w:rPr>
                <w:lang w:val="fr-FR"/>
              </w:rPr>
              <w:t>(6 500)</w:t>
            </w:r>
          </w:p>
        </w:tc>
      </w:tr>
      <w:tr w:rsidR="006869C0" w:rsidRPr="006869C0" w14:paraId="5030554A" w14:textId="77777777" w:rsidTr="00776DC4">
        <w:tc>
          <w:tcPr>
            <w:tcW w:w="1691" w:type="dxa"/>
            <w:shd w:val="clear" w:color="auto" w:fill="auto"/>
          </w:tcPr>
          <w:p w14:paraId="5909C504" w14:textId="77777777" w:rsidR="006869C0" w:rsidRPr="006869C0" w:rsidRDefault="006869C0" w:rsidP="00C53881">
            <w:pPr>
              <w:suppressAutoHyphens w:val="0"/>
              <w:spacing w:before="40" w:after="120"/>
              <w:ind w:right="113"/>
            </w:pPr>
            <w:r w:rsidRPr="006869C0">
              <w:rPr>
                <w:lang w:val="fr-FR"/>
              </w:rPr>
              <w:t>II. Participation du</w:t>
            </w:r>
            <w:r w:rsidR="00C53881">
              <w:rPr>
                <w:lang w:val="fr-FR"/>
              </w:rPr>
              <w:t> </w:t>
            </w:r>
            <w:r w:rsidRPr="006869C0">
              <w:rPr>
                <w:lang w:val="fr-FR"/>
              </w:rPr>
              <w:t>public</w:t>
            </w:r>
          </w:p>
        </w:tc>
        <w:tc>
          <w:tcPr>
            <w:tcW w:w="3696" w:type="dxa"/>
            <w:shd w:val="clear" w:color="auto" w:fill="auto"/>
          </w:tcPr>
          <w:p w14:paraId="66D8033E" w14:textId="77777777" w:rsidR="006869C0" w:rsidRPr="006869C0" w:rsidRDefault="006869C0" w:rsidP="00E2585D">
            <w:pPr>
              <w:suppressAutoHyphens w:val="0"/>
              <w:spacing w:before="40" w:after="120"/>
              <w:ind w:right="113"/>
              <w:rPr>
                <w:lang w:val="fr-FR"/>
              </w:rPr>
            </w:pPr>
            <w:r w:rsidRPr="006869C0">
              <w:rPr>
                <w:lang w:val="fr-FR"/>
              </w:rPr>
              <w:t>Les activités seront exécutées conformément à la décision VII/... relative à</w:t>
            </w:r>
            <w:r w:rsidR="000D732D">
              <w:rPr>
                <w:lang w:val="fr-FR"/>
              </w:rPr>
              <w:t> </w:t>
            </w:r>
            <w:r w:rsidRPr="006869C0">
              <w:rPr>
                <w:lang w:val="fr-FR"/>
              </w:rPr>
              <w:t>la promotion de la participation effective du public au processus décisionnel.</w:t>
            </w:r>
            <w:r w:rsidR="00E2585D">
              <w:rPr>
                <w:lang w:val="fr-FR"/>
              </w:rPr>
              <w:br/>
            </w:r>
            <w:r w:rsidRPr="006869C0">
              <w:rPr>
                <w:lang w:val="fr-FR"/>
              </w:rPr>
              <w:t>(Elles contribuent principalement à la réalisation des ODD 3, 6, 7, 8, 9, 11, 12, 13, 14 et 15, et</w:t>
            </w:r>
            <w:r w:rsidR="00B4239D">
              <w:rPr>
                <w:lang w:val="fr-FR"/>
              </w:rPr>
              <w:t xml:space="preserve"> </w:t>
            </w:r>
            <w:r w:rsidRPr="006869C0">
              <w:rPr>
                <w:lang w:val="fr-FR"/>
              </w:rPr>
              <w:t>de la cible 16.7)</w:t>
            </w:r>
          </w:p>
        </w:tc>
        <w:tc>
          <w:tcPr>
            <w:tcW w:w="2127" w:type="dxa"/>
            <w:shd w:val="clear" w:color="auto" w:fill="auto"/>
          </w:tcPr>
          <w:p w14:paraId="0801531E" w14:textId="77777777" w:rsidR="006869C0" w:rsidRPr="00522A78" w:rsidRDefault="006869C0" w:rsidP="00306E2C">
            <w:pPr>
              <w:suppressAutoHyphens w:val="0"/>
              <w:spacing w:before="40" w:after="100"/>
              <w:ind w:right="113"/>
              <w:rPr>
                <w:lang w:val="fr-FR"/>
              </w:rPr>
            </w:pPr>
            <w:r w:rsidRPr="00522A78">
              <w:rPr>
                <w:lang w:val="fr-FR"/>
              </w:rPr>
              <w:t>L</w:t>
            </w:r>
            <w:r w:rsidR="00457C42" w:rsidRPr="00522A78">
              <w:rPr>
                <w:lang w:val="fr-FR"/>
              </w:rPr>
              <w:t>’</w:t>
            </w:r>
            <w:r w:rsidRPr="00522A78">
              <w:rPr>
                <w:lang w:val="fr-FR"/>
              </w:rPr>
              <w:t>Équipe spéciale de la participation du public au processus décisionnel</w:t>
            </w:r>
          </w:p>
          <w:p w14:paraId="35DE6776" w14:textId="77777777" w:rsidR="006869C0" w:rsidRPr="00522A78" w:rsidRDefault="006869C0" w:rsidP="006869C0">
            <w:pPr>
              <w:suppressAutoHyphens w:val="0"/>
              <w:spacing w:before="40" w:after="120"/>
              <w:ind w:right="113"/>
              <w:rPr>
                <w:lang w:val="fr-FR"/>
              </w:rPr>
            </w:pPr>
            <w:r w:rsidRPr="00522A78">
              <w:rPr>
                <w:lang w:val="fr-FR"/>
              </w:rPr>
              <w:t>Séance thématique dans le cadre des</w:t>
            </w:r>
            <w:r w:rsidR="00C53881" w:rsidRPr="00522A78">
              <w:rPr>
                <w:lang w:val="fr-FR"/>
              </w:rPr>
              <w:t xml:space="preserve"> </w:t>
            </w:r>
            <w:r w:rsidRPr="00522A78">
              <w:rPr>
                <w:lang w:val="fr-FR"/>
              </w:rPr>
              <w:t>réunions du Groupe de travail des Parties</w:t>
            </w:r>
          </w:p>
          <w:p w14:paraId="3033F13C" w14:textId="77777777" w:rsidR="006869C0" w:rsidRPr="00522A78" w:rsidRDefault="006869C0" w:rsidP="006869C0">
            <w:pPr>
              <w:suppressAutoHyphens w:val="0"/>
              <w:spacing w:before="40" w:after="120"/>
              <w:ind w:right="113"/>
              <w:rPr>
                <w:lang w:val="fr-FR"/>
              </w:rPr>
            </w:pPr>
            <w:r w:rsidRPr="00522A78">
              <w:rPr>
                <w:lang w:val="fr-FR"/>
              </w:rPr>
              <w:lastRenderedPageBreak/>
              <w:t>Le secrétariat, qui fera appel si nécessaire à des services d</w:t>
            </w:r>
            <w:r w:rsidR="00457C42" w:rsidRPr="00522A78">
              <w:rPr>
                <w:lang w:val="fr-FR"/>
              </w:rPr>
              <w:t>’</w:t>
            </w:r>
            <w:r w:rsidRPr="00522A78">
              <w:rPr>
                <w:lang w:val="fr-FR"/>
              </w:rPr>
              <w:t>experts</w:t>
            </w:r>
          </w:p>
        </w:tc>
        <w:tc>
          <w:tcPr>
            <w:tcW w:w="5067" w:type="dxa"/>
            <w:shd w:val="clear" w:color="auto" w:fill="auto"/>
          </w:tcPr>
          <w:p w14:paraId="53BA5CB1" w14:textId="77777777" w:rsidR="006869C0" w:rsidRPr="006869C0" w:rsidRDefault="006869C0" w:rsidP="00C53881">
            <w:pPr>
              <w:suppressAutoHyphens w:val="0"/>
              <w:spacing w:before="40" w:after="120"/>
              <w:rPr>
                <w:lang w:val="fr-FR"/>
              </w:rPr>
            </w:pPr>
            <w:r w:rsidRPr="006869C0">
              <w:rPr>
                <w:lang w:val="fr-FR"/>
              </w:rPr>
              <w:lastRenderedPageBreak/>
              <w:t>Réunions de l</w:t>
            </w:r>
            <w:r w:rsidR="00457C42">
              <w:rPr>
                <w:lang w:val="fr-FR"/>
              </w:rPr>
              <w:t>’</w:t>
            </w:r>
            <w:r w:rsidRPr="006869C0">
              <w:rPr>
                <w:lang w:val="fr-FR"/>
              </w:rPr>
              <w:t>Équipe spéciale ; ateliers ; recours au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Aarhus, utilisation de sa base de données sur les bonnes pratiques et recensement d</w:t>
            </w:r>
            <w:r w:rsidR="00457C42">
              <w:rPr>
                <w:lang w:val="fr-FR"/>
              </w:rPr>
              <w:t>’</w:t>
            </w:r>
            <w:r w:rsidRPr="006869C0">
              <w:rPr>
                <w:lang w:val="fr-FR"/>
              </w:rPr>
              <w:t>études de cas pour</w:t>
            </w:r>
            <w:r w:rsidR="00C53881">
              <w:rPr>
                <w:lang w:val="fr-FR"/>
              </w:rPr>
              <w:t xml:space="preserve"> </w:t>
            </w:r>
            <w:r w:rsidRPr="006869C0">
              <w:rPr>
                <w:lang w:val="fr-FR"/>
              </w:rPr>
              <w:t>faciliter l</w:t>
            </w:r>
            <w:r w:rsidR="00457C42">
              <w:rPr>
                <w:lang w:val="fr-FR"/>
              </w:rPr>
              <w:t>’</w:t>
            </w:r>
            <w:r w:rsidRPr="006869C0">
              <w:rPr>
                <w:lang w:val="fr-FR"/>
              </w:rPr>
              <w:t>échange d</w:t>
            </w:r>
            <w:r w:rsidR="00457C42">
              <w:rPr>
                <w:lang w:val="fr-FR"/>
              </w:rPr>
              <w:t>’</w:t>
            </w:r>
            <w:r w:rsidRPr="006869C0">
              <w:rPr>
                <w:lang w:val="fr-FR"/>
              </w:rPr>
              <w:t>informations sur les bonnes pratiques ; étude des synergies et des</w:t>
            </w:r>
            <w:r w:rsidR="00173211">
              <w:rPr>
                <w:lang w:val="fr-FR"/>
              </w:rPr>
              <w:t xml:space="preserve"> </w:t>
            </w:r>
            <w:r w:rsidRPr="006869C0">
              <w:rPr>
                <w:lang w:val="fr-FR"/>
              </w:rPr>
              <w:t>possibilités de coopération avec</w:t>
            </w:r>
            <w:r w:rsidR="00C53881">
              <w:rPr>
                <w:lang w:val="fr-FR"/>
              </w:rPr>
              <w:t xml:space="preserve"> </w:t>
            </w:r>
            <w:r w:rsidRPr="006869C0">
              <w:rPr>
                <w:lang w:val="fr-FR"/>
              </w:rPr>
              <w:t>les organes concernés créés en vertu d</w:t>
            </w:r>
            <w:r w:rsidR="00457C42">
              <w:rPr>
                <w:lang w:val="fr-FR"/>
              </w:rPr>
              <w:t>’</w:t>
            </w:r>
            <w:r w:rsidRPr="006869C0">
              <w:rPr>
                <w:lang w:val="fr-FR"/>
              </w:rPr>
              <w:t>autres accords multilatéraux relatifs à l</w:t>
            </w:r>
            <w:r w:rsidR="00457C42">
              <w:rPr>
                <w:lang w:val="fr-FR"/>
              </w:rPr>
              <w:t>’</w:t>
            </w:r>
            <w:r w:rsidRPr="006869C0">
              <w:rPr>
                <w:lang w:val="fr-FR"/>
              </w:rPr>
              <w:t>environnement et les organisations partenaires.</w:t>
            </w:r>
          </w:p>
          <w:p w14:paraId="2F82E099" w14:textId="77777777" w:rsidR="006869C0" w:rsidRPr="006869C0" w:rsidRDefault="006869C0" w:rsidP="00C53881">
            <w:pPr>
              <w:suppressAutoHyphens w:val="0"/>
              <w:spacing w:before="40" w:after="120"/>
              <w:rPr>
                <w:lang w:val="fr-FR"/>
              </w:rPr>
            </w:pPr>
            <w:r w:rsidRPr="006869C0">
              <w:rPr>
                <w:lang w:val="fr-FR"/>
              </w:rPr>
              <w:lastRenderedPageBreak/>
              <w:t>Participation à d</w:t>
            </w:r>
            <w:r w:rsidR="00457C42">
              <w:rPr>
                <w:lang w:val="fr-FR"/>
              </w:rPr>
              <w:t>’</w:t>
            </w:r>
            <w:r w:rsidRPr="006869C0">
              <w:rPr>
                <w:lang w:val="fr-FR"/>
              </w:rPr>
              <w:t>autres initiatives régionales pertinentes en tant que de besoin ; projets pilotes et activités de renforcement des capacités aux niveaux sous</w:t>
            </w:r>
            <w:r w:rsidR="00C53881">
              <w:rPr>
                <w:lang w:val="fr-FR"/>
              </w:rPr>
              <w:noBreakHyphen/>
            </w:r>
            <w:r w:rsidRPr="006869C0">
              <w:rPr>
                <w:lang w:val="fr-FR"/>
              </w:rPr>
              <w:t>régional et national, qui devraient être financés par</w:t>
            </w:r>
            <w:r w:rsidR="00C53881">
              <w:rPr>
                <w:lang w:val="fr-FR"/>
              </w:rPr>
              <w:t> </w:t>
            </w:r>
            <w:r w:rsidRPr="006869C0">
              <w:rPr>
                <w:lang w:val="fr-FR"/>
              </w:rPr>
              <w:t>les partenaires.</w:t>
            </w:r>
          </w:p>
        </w:tc>
        <w:tc>
          <w:tcPr>
            <w:tcW w:w="1195" w:type="dxa"/>
            <w:shd w:val="clear" w:color="auto" w:fill="auto"/>
          </w:tcPr>
          <w:p w14:paraId="4AEF0F72" w14:textId="77777777" w:rsidR="006869C0" w:rsidRPr="006869C0" w:rsidRDefault="006869C0" w:rsidP="007664D7">
            <w:pPr>
              <w:suppressAutoHyphens w:val="0"/>
              <w:spacing w:before="40" w:after="120"/>
              <w:jc w:val="right"/>
            </w:pPr>
            <w:r w:rsidRPr="006869C0">
              <w:rPr>
                <w:lang w:val="fr-FR"/>
              </w:rPr>
              <w:lastRenderedPageBreak/>
              <w:t>82</w:t>
            </w:r>
            <w:r w:rsidR="007664D7">
              <w:rPr>
                <w:lang w:val="fr-FR"/>
              </w:rPr>
              <w:t> </w:t>
            </w:r>
            <w:r w:rsidRPr="006869C0">
              <w:rPr>
                <w:lang w:val="fr-FR"/>
              </w:rPr>
              <w:t>900</w:t>
            </w:r>
            <w:r w:rsidR="007664D7">
              <w:rPr>
                <w:lang w:val="fr-FR"/>
              </w:rPr>
              <w:br/>
            </w:r>
            <w:r w:rsidRPr="006869C0">
              <w:rPr>
                <w:lang w:val="fr-FR"/>
              </w:rPr>
              <w:t>(8 500)</w:t>
            </w:r>
          </w:p>
        </w:tc>
      </w:tr>
      <w:tr w:rsidR="006869C0" w:rsidRPr="006869C0" w14:paraId="287EE41C" w14:textId="77777777" w:rsidTr="00776DC4">
        <w:tc>
          <w:tcPr>
            <w:tcW w:w="1691" w:type="dxa"/>
            <w:shd w:val="clear" w:color="auto" w:fill="auto"/>
          </w:tcPr>
          <w:p w14:paraId="6944DFA8" w14:textId="77777777" w:rsidR="006869C0" w:rsidRPr="004C5CB3" w:rsidRDefault="006869C0" w:rsidP="007664D7">
            <w:pPr>
              <w:suppressAutoHyphens w:val="0"/>
              <w:spacing w:before="40" w:after="120"/>
              <w:ind w:right="113"/>
            </w:pPr>
            <w:r w:rsidRPr="004C5CB3">
              <w:rPr>
                <w:lang w:val="fr-FR"/>
              </w:rPr>
              <w:t>III. Accès à</w:t>
            </w:r>
            <w:r w:rsidR="00306E2C">
              <w:rPr>
                <w:lang w:val="fr-FR"/>
              </w:rPr>
              <w:t> </w:t>
            </w:r>
            <w:r w:rsidRPr="004C5CB3">
              <w:rPr>
                <w:lang w:val="fr-FR"/>
              </w:rPr>
              <w:t>la</w:t>
            </w:r>
            <w:r w:rsidR="00306E2C">
              <w:rPr>
                <w:lang w:val="fr-FR"/>
              </w:rPr>
              <w:t> </w:t>
            </w:r>
            <w:r w:rsidRPr="004C5CB3">
              <w:rPr>
                <w:lang w:val="fr-FR"/>
              </w:rPr>
              <w:t>justice</w:t>
            </w:r>
          </w:p>
        </w:tc>
        <w:tc>
          <w:tcPr>
            <w:tcW w:w="3696" w:type="dxa"/>
            <w:shd w:val="clear" w:color="auto" w:fill="auto"/>
          </w:tcPr>
          <w:p w14:paraId="12451FD4" w14:textId="77777777" w:rsidR="006869C0" w:rsidRPr="004C5CB3" w:rsidRDefault="006869C0" w:rsidP="00E2585D">
            <w:pPr>
              <w:suppressAutoHyphens w:val="0"/>
              <w:spacing w:before="40" w:after="120"/>
              <w:ind w:right="113"/>
              <w:rPr>
                <w:lang w:val="fr-FR"/>
              </w:rPr>
            </w:pPr>
            <w:r w:rsidRPr="004C5CB3">
              <w:rPr>
                <w:lang w:val="fr-FR"/>
              </w:rPr>
              <w:t>Les activités seront exécutées conformément à la décision VII/... relative à</w:t>
            </w:r>
            <w:r w:rsidR="000D732D">
              <w:rPr>
                <w:lang w:val="fr-FR"/>
              </w:rPr>
              <w:t> </w:t>
            </w:r>
            <w:r w:rsidRPr="004C5CB3">
              <w:rPr>
                <w:lang w:val="fr-FR"/>
              </w:rPr>
              <w:t>la promotion d</w:t>
            </w:r>
            <w:r w:rsidR="00457C42" w:rsidRPr="004C5CB3">
              <w:rPr>
                <w:lang w:val="fr-FR"/>
              </w:rPr>
              <w:t>’</w:t>
            </w:r>
            <w:r w:rsidRPr="004C5CB3">
              <w:rPr>
                <w:lang w:val="fr-FR"/>
              </w:rPr>
              <w:t>un accès effectif à la justice.</w:t>
            </w:r>
            <w:r w:rsidR="00E2585D">
              <w:rPr>
                <w:lang w:val="fr-FR"/>
              </w:rPr>
              <w:br/>
            </w:r>
            <w:r w:rsidRPr="004C5CB3">
              <w:rPr>
                <w:lang w:val="fr-FR"/>
              </w:rPr>
              <w:t>(Elles contribuent principalement à la réalisation de la cible 16.3 des ODD)</w:t>
            </w:r>
          </w:p>
        </w:tc>
        <w:tc>
          <w:tcPr>
            <w:tcW w:w="2127" w:type="dxa"/>
            <w:shd w:val="clear" w:color="auto" w:fill="auto"/>
          </w:tcPr>
          <w:p w14:paraId="00E2BBCC" w14:textId="77777777" w:rsidR="006869C0" w:rsidRPr="006869C0" w:rsidRDefault="006869C0" w:rsidP="006869C0">
            <w:pPr>
              <w:suppressAutoHyphens w:val="0"/>
              <w:spacing w:before="40" w:after="120"/>
              <w:ind w:right="113"/>
              <w:rPr>
                <w:lang w:val="fr-FR"/>
              </w:rPr>
            </w:pPr>
            <w:r w:rsidRPr="006869C0">
              <w:rPr>
                <w:lang w:val="fr-FR"/>
              </w:rPr>
              <w:t>L</w:t>
            </w:r>
            <w:r w:rsidR="00457C42">
              <w:rPr>
                <w:lang w:val="fr-FR"/>
              </w:rPr>
              <w:t>’</w:t>
            </w:r>
            <w:r w:rsidRPr="006869C0">
              <w:rPr>
                <w:lang w:val="fr-FR"/>
              </w:rPr>
              <w:t>Équipe spéciale de l</w:t>
            </w:r>
            <w:r w:rsidR="00457C42">
              <w:rPr>
                <w:lang w:val="fr-FR"/>
              </w:rPr>
              <w:t>’</w:t>
            </w:r>
            <w:r w:rsidRPr="006869C0">
              <w:rPr>
                <w:lang w:val="fr-FR"/>
              </w:rPr>
              <w:t>accès à</w:t>
            </w:r>
            <w:r w:rsidR="007664D7">
              <w:rPr>
                <w:lang w:val="fr-FR"/>
              </w:rPr>
              <w:t> </w:t>
            </w:r>
            <w:r w:rsidRPr="006869C0">
              <w:rPr>
                <w:lang w:val="fr-FR"/>
              </w:rPr>
              <w:t>la justice</w:t>
            </w:r>
          </w:p>
          <w:p w14:paraId="154B21EE" w14:textId="77777777" w:rsidR="006869C0" w:rsidRPr="006869C0" w:rsidRDefault="006869C0" w:rsidP="006869C0">
            <w:pPr>
              <w:suppressAutoHyphens w:val="0"/>
              <w:spacing w:before="40" w:after="120"/>
              <w:ind w:right="113"/>
              <w:rPr>
                <w:lang w:val="fr-FR"/>
              </w:rPr>
            </w:pPr>
            <w:r w:rsidRPr="006869C0">
              <w:rPr>
                <w:lang w:val="fr-FR"/>
              </w:rPr>
              <w:t>Séance thématique dans le cadre des réunions du Groupe de travail des Parties</w:t>
            </w:r>
          </w:p>
          <w:p w14:paraId="7E61705D" w14:textId="77777777" w:rsidR="006869C0" w:rsidRPr="006869C0" w:rsidRDefault="006869C0" w:rsidP="006869C0">
            <w:pPr>
              <w:suppressAutoHyphens w:val="0"/>
              <w:spacing w:before="40" w:after="120"/>
              <w:ind w:right="113"/>
              <w:rPr>
                <w:lang w:val="fr-FR"/>
              </w:rPr>
            </w:pPr>
            <w:r w:rsidRPr="006869C0">
              <w:rPr>
                <w:lang w:val="fr-FR"/>
              </w:rPr>
              <w:t>Le secrétariat, qui fera appel si nécessaire à des services d</w:t>
            </w:r>
            <w:r w:rsidR="00457C42">
              <w:rPr>
                <w:lang w:val="fr-FR"/>
              </w:rPr>
              <w:t>’</w:t>
            </w:r>
            <w:r w:rsidRPr="006869C0">
              <w:rPr>
                <w:lang w:val="fr-FR"/>
              </w:rPr>
              <w:t>experts</w:t>
            </w:r>
          </w:p>
        </w:tc>
        <w:tc>
          <w:tcPr>
            <w:tcW w:w="5067" w:type="dxa"/>
            <w:shd w:val="clear" w:color="auto" w:fill="auto"/>
          </w:tcPr>
          <w:p w14:paraId="7B20A15F" w14:textId="77777777" w:rsidR="006869C0" w:rsidRPr="006869C0" w:rsidRDefault="006869C0" w:rsidP="00C53881">
            <w:pPr>
              <w:suppressAutoHyphens w:val="0"/>
              <w:spacing w:before="40" w:after="120"/>
              <w:rPr>
                <w:lang w:val="fr-FR"/>
              </w:rPr>
            </w:pPr>
            <w:r w:rsidRPr="006869C0">
              <w:rPr>
                <w:lang w:val="fr-FR"/>
              </w:rPr>
              <w:t>Réunions de l</w:t>
            </w:r>
            <w:r w:rsidR="00457C42">
              <w:rPr>
                <w:lang w:val="fr-FR"/>
              </w:rPr>
              <w:t>’</w:t>
            </w:r>
            <w:r w:rsidRPr="006869C0">
              <w:rPr>
                <w:lang w:val="fr-FR"/>
              </w:rPr>
              <w:t>Équipe spéciale, si possible immédiatement avant ou après d</w:t>
            </w:r>
            <w:r w:rsidR="00457C42">
              <w:rPr>
                <w:lang w:val="fr-FR"/>
              </w:rPr>
              <w:t>’</w:t>
            </w:r>
            <w:r w:rsidRPr="006869C0">
              <w:rPr>
                <w:lang w:val="fr-FR"/>
              </w:rPr>
              <w:t>autres activités pertinentes, à organiser en liaison avec les organisations partenaires actives dans le domaine de l</w:t>
            </w:r>
            <w:r w:rsidR="00457C42">
              <w:rPr>
                <w:lang w:val="fr-FR"/>
              </w:rPr>
              <w:t>’</w:t>
            </w:r>
            <w:r w:rsidRPr="006869C0">
              <w:rPr>
                <w:lang w:val="fr-FR"/>
              </w:rPr>
              <w:t>accès à la justice et, le cas échéant, par la définition d</w:t>
            </w:r>
            <w:r w:rsidR="00457C42">
              <w:rPr>
                <w:lang w:val="fr-FR"/>
              </w:rPr>
              <w:t>’</w:t>
            </w:r>
            <w:r w:rsidRPr="006869C0">
              <w:rPr>
                <w:lang w:val="fr-FR"/>
              </w:rPr>
              <w:t>approches s</w:t>
            </w:r>
            <w:r w:rsidR="00457C42">
              <w:rPr>
                <w:lang w:val="fr-FR"/>
              </w:rPr>
              <w:t>’</w:t>
            </w:r>
            <w:r w:rsidRPr="006869C0">
              <w:rPr>
                <w:lang w:val="fr-FR"/>
              </w:rPr>
              <w:t>appuyant sur des partenariats par secteur.</w:t>
            </w:r>
          </w:p>
          <w:p w14:paraId="2DDBAC3A" w14:textId="77777777" w:rsidR="006869C0" w:rsidRPr="006869C0" w:rsidRDefault="006869C0" w:rsidP="00C53881">
            <w:pPr>
              <w:suppressAutoHyphens w:val="0"/>
              <w:spacing w:before="40" w:after="120"/>
              <w:rPr>
                <w:lang w:val="fr-FR"/>
              </w:rPr>
            </w:pPr>
            <w:bookmarkStart w:id="6" w:name="_Hlk35877507"/>
            <w:r w:rsidRPr="006869C0">
              <w:rPr>
                <w:lang w:val="fr-FR"/>
              </w:rPr>
              <w:t>Renforcement du réseau d</w:t>
            </w:r>
            <w:r w:rsidR="00457C42">
              <w:rPr>
                <w:lang w:val="fr-FR"/>
              </w:rPr>
              <w:t>’</w:t>
            </w:r>
            <w:r w:rsidRPr="006869C0">
              <w:rPr>
                <w:lang w:val="fr-FR"/>
              </w:rPr>
              <w:t>institutions</w:t>
            </w:r>
            <w:r w:rsidR="00C53881">
              <w:rPr>
                <w:lang w:val="fr-FR"/>
              </w:rPr>
              <w:t xml:space="preserve"> </w:t>
            </w:r>
            <w:r w:rsidRPr="006869C0">
              <w:rPr>
                <w:lang w:val="fr-FR"/>
              </w:rPr>
              <w:t>judiciaires, d</w:t>
            </w:r>
            <w:r w:rsidR="00457C42">
              <w:rPr>
                <w:lang w:val="fr-FR"/>
              </w:rPr>
              <w:t>’</w:t>
            </w:r>
            <w:r w:rsidRPr="006869C0">
              <w:rPr>
                <w:lang w:val="fr-FR"/>
              </w:rPr>
              <w:t>établissements de formation judiciaire et d</w:t>
            </w:r>
            <w:r w:rsidR="00457C42">
              <w:rPr>
                <w:lang w:val="fr-FR"/>
              </w:rPr>
              <w:t>’</w:t>
            </w:r>
            <w:r w:rsidRPr="006869C0">
              <w:rPr>
                <w:lang w:val="fr-FR"/>
              </w:rPr>
              <w:t>autres organes d</w:t>
            </w:r>
            <w:r w:rsidR="00457C42">
              <w:rPr>
                <w:lang w:val="fr-FR"/>
              </w:rPr>
              <w:t>’</w:t>
            </w:r>
            <w:r w:rsidRPr="006869C0">
              <w:rPr>
                <w:lang w:val="fr-FR"/>
              </w:rPr>
              <w:t xml:space="preserve">examen dans la région </w:t>
            </w:r>
            <w:proofErr w:type="spellStart"/>
            <w:r w:rsidRPr="006869C0">
              <w:rPr>
                <w:lang w:val="fr-FR"/>
              </w:rPr>
              <w:t>paneuropéenne</w:t>
            </w:r>
            <w:proofErr w:type="spellEnd"/>
            <w:r w:rsidRPr="006869C0">
              <w:rPr>
                <w:lang w:val="fr-FR"/>
              </w:rPr>
              <w:t xml:space="preserve"> et renforcement de la coopération avec les réseaux existants de juges et autres spécialistes du droit, ainsi qu</w:t>
            </w:r>
            <w:r w:rsidR="00457C42">
              <w:rPr>
                <w:lang w:val="fr-FR"/>
              </w:rPr>
              <w:t>’</w:t>
            </w:r>
            <w:r w:rsidRPr="006869C0">
              <w:rPr>
                <w:lang w:val="fr-FR"/>
              </w:rPr>
              <w:t>avec d</w:t>
            </w:r>
            <w:r w:rsidR="00457C42">
              <w:rPr>
                <w:lang w:val="fr-FR"/>
              </w:rPr>
              <w:t>’</w:t>
            </w:r>
            <w:r w:rsidRPr="006869C0">
              <w:rPr>
                <w:lang w:val="fr-FR"/>
              </w:rPr>
              <w:t>autres instances internationales ; recours au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Aarhus, utilisation de</w:t>
            </w:r>
            <w:r w:rsidR="00C53881">
              <w:rPr>
                <w:lang w:val="fr-FR"/>
              </w:rPr>
              <w:t xml:space="preserve"> </w:t>
            </w:r>
            <w:r w:rsidRPr="006869C0">
              <w:rPr>
                <w:lang w:val="fr-FR"/>
              </w:rPr>
              <w:t>ses bases de données sur la jurisprudence et les bonnes pratiques, pour faciliter l</w:t>
            </w:r>
            <w:r w:rsidR="00457C42">
              <w:rPr>
                <w:lang w:val="fr-FR"/>
              </w:rPr>
              <w:t>’</w:t>
            </w:r>
            <w:r w:rsidRPr="006869C0">
              <w:rPr>
                <w:lang w:val="fr-FR"/>
              </w:rPr>
              <w:t>échange d</w:t>
            </w:r>
            <w:r w:rsidR="00457C42">
              <w:rPr>
                <w:lang w:val="fr-FR"/>
              </w:rPr>
              <w:t>’</w:t>
            </w:r>
            <w:r w:rsidRPr="006869C0">
              <w:rPr>
                <w:lang w:val="fr-FR"/>
              </w:rPr>
              <w:t>informations sur les bonnes pratiques ; échange d</w:t>
            </w:r>
            <w:r w:rsidR="00457C42">
              <w:rPr>
                <w:lang w:val="fr-FR"/>
              </w:rPr>
              <w:t>’</w:t>
            </w:r>
            <w:r w:rsidRPr="006869C0">
              <w:rPr>
                <w:lang w:val="fr-FR"/>
              </w:rPr>
              <w:t>informations et appui au renforcement des capacités.</w:t>
            </w:r>
            <w:bookmarkEnd w:id="6"/>
          </w:p>
        </w:tc>
        <w:tc>
          <w:tcPr>
            <w:tcW w:w="1195" w:type="dxa"/>
            <w:shd w:val="clear" w:color="auto" w:fill="auto"/>
          </w:tcPr>
          <w:p w14:paraId="5F6B0A81" w14:textId="77777777" w:rsidR="006869C0" w:rsidRPr="006869C0" w:rsidRDefault="006869C0" w:rsidP="007664D7">
            <w:pPr>
              <w:suppressAutoHyphens w:val="0"/>
              <w:spacing w:before="40" w:after="120"/>
              <w:jc w:val="right"/>
            </w:pPr>
            <w:r w:rsidRPr="006869C0">
              <w:rPr>
                <w:lang w:val="fr-FR"/>
              </w:rPr>
              <w:t>107</w:t>
            </w:r>
            <w:r w:rsidR="007664D7">
              <w:rPr>
                <w:lang w:val="fr-FR"/>
              </w:rPr>
              <w:t> </w:t>
            </w:r>
            <w:r w:rsidRPr="006869C0">
              <w:rPr>
                <w:lang w:val="fr-FR"/>
              </w:rPr>
              <w:t>100</w:t>
            </w:r>
            <w:r w:rsidR="007664D7">
              <w:rPr>
                <w:lang w:val="fr-FR"/>
              </w:rPr>
              <w:br/>
            </w:r>
            <w:r w:rsidRPr="006869C0">
              <w:rPr>
                <w:lang w:val="fr-FR"/>
              </w:rPr>
              <w:t>(10 500)</w:t>
            </w:r>
          </w:p>
        </w:tc>
      </w:tr>
      <w:tr w:rsidR="00C53881" w:rsidRPr="006869C0" w14:paraId="0D4FD193" w14:textId="77777777" w:rsidTr="00776DC4">
        <w:trPr>
          <w:cantSplit/>
        </w:trPr>
        <w:tc>
          <w:tcPr>
            <w:tcW w:w="1691" w:type="dxa"/>
            <w:shd w:val="clear" w:color="auto" w:fill="auto"/>
          </w:tcPr>
          <w:p w14:paraId="2701D992" w14:textId="77777777" w:rsidR="00C53881" w:rsidRPr="006869C0" w:rsidRDefault="00C53881" w:rsidP="006869C0">
            <w:pPr>
              <w:suppressAutoHyphens w:val="0"/>
              <w:spacing w:before="40" w:after="120"/>
              <w:ind w:right="113"/>
              <w:rPr>
                <w:lang w:val="fr-FR"/>
              </w:rPr>
            </w:pPr>
          </w:p>
        </w:tc>
        <w:tc>
          <w:tcPr>
            <w:tcW w:w="3696" w:type="dxa"/>
            <w:shd w:val="clear" w:color="auto" w:fill="auto"/>
          </w:tcPr>
          <w:p w14:paraId="0D046FE3" w14:textId="77777777" w:rsidR="00C53881" w:rsidRPr="006869C0" w:rsidRDefault="00C53881" w:rsidP="006869C0">
            <w:pPr>
              <w:suppressAutoHyphens w:val="0"/>
              <w:spacing w:before="40" w:after="120"/>
              <w:ind w:right="113"/>
              <w:rPr>
                <w:lang w:val="fr-FR"/>
              </w:rPr>
            </w:pPr>
          </w:p>
        </w:tc>
        <w:tc>
          <w:tcPr>
            <w:tcW w:w="2127" w:type="dxa"/>
            <w:shd w:val="clear" w:color="auto" w:fill="auto"/>
          </w:tcPr>
          <w:p w14:paraId="7E4513A1" w14:textId="77777777" w:rsidR="00C53881" w:rsidRPr="006869C0" w:rsidRDefault="00C53881" w:rsidP="006869C0">
            <w:pPr>
              <w:suppressAutoHyphens w:val="0"/>
              <w:spacing w:before="40" w:after="120"/>
              <w:ind w:right="113"/>
              <w:rPr>
                <w:lang w:val="fr-FR"/>
              </w:rPr>
            </w:pPr>
          </w:p>
        </w:tc>
        <w:tc>
          <w:tcPr>
            <w:tcW w:w="5067" w:type="dxa"/>
            <w:shd w:val="clear" w:color="auto" w:fill="auto"/>
          </w:tcPr>
          <w:p w14:paraId="3B0F0239" w14:textId="77777777" w:rsidR="00C53881" w:rsidRPr="006869C0" w:rsidRDefault="00C53881" w:rsidP="00C53881">
            <w:pPr>
              <w:suppressAutoHyphens w:val="0"/>
              <w:spacing w:before="40" w:after="120"/>
              <w:rPr>
                <w:lang w:val="fr-FR"/>
              </w:rPr>
            </w:pPr>
            <w:r w:rsidRPr="006869C0">
              <w:rPr>
                <w:lang w:val="fr-FR"/>
              </w:rPr>
              <w:t>Élaboration de documents d</w:t>
            </w:r>
            <w:r>
              <w:rPr>
                <w:lang w:val="fr-FR"/>
              </w:rPr>
              <w:t>’</w:t>
            </w:r>
            <w:r w:rsidRPr="006869C0">
              <w:rPr>
                <w:lang w:val="fr-FR"/>
              </w:rPr>
              <w:t>analyse et de matériels de</w:t>
            </w:r>
            <w:r>
              <w:rPr>
                <w:lang w:val="fr-FR"/>
              </w:rPr>
              <w:t> </w:t>
            </w:r>
            <w:r w:rsidRPr="006869C0">
              <w:rPr>
                <w:lang w:val="fr-FR"/>
              </w:rPr>
              <w:t>formation.</w:t>
            </w:r>
          </w:p>
        </w:tc>
        <w:tc>
          <w:tcPr>
            <w:tcW w:w="1195" w:type="dxa"/>
            <w:shd w:val="clear" w:color="auto" w:fill="auto"/>
          </w:tcPr>
          <w:p w14:paraId="49D50C90" w14:textId="77777777" w:rsidR="00C53881" w:rsidRPr="006869C0" w:rsidRDefault="00C53881" w:rsidP="00457C42">
            <w:pPr>
              <w:suppressAutoHyphens w:val="0"/>
              <w:spacing w:before="40" w:after="120"/>
              <w:jc w:val="right"/>
              <w:rPr>
                <w:lang w:val="fr-FR"/>
              </w:rPr>
            </w:pPr>
          </w:p>
        </w:tc>
      </w:tr>
      <w:tr w:rsidR="00C53881" w:rsidRPr="006869C0" w14:paraId="6E6D2F3C" w14:textId="77777777" w:rsidTr="00776DC4">
        <w:tc>
          <w:tcPr>
            <w:tcW w:w="1691" w:type="dxa"/>
            <w:shd w:val="clear" w:color="auto" w:fill="auto"/>
          </w:tcPr>
          <w:p w14:paraId="4A279F09" w14:textId="77777777" w:rsidR="00C53881" w:rsidRPr="006869C0" w:rsidRDefault="00C53881" w:rsidP="006869C0">
            <w:pPr>
              <w:suppressAutoHyphens w:val="0"/>
              <w:spacing w:before="40" w:after="120"/>
              <w:ind w:right="113"/>
              <w:rPr>
                <w:lang w:val="fr-FR"/>
              </w:rPr>
            </w:pPr>
          </w:p>
        </w:tc>
        <w:tc>
          <w:tcPr>
            <w:tcW w:w="3696" w:type="dxa"/>
            <w:shd w:val="clear" w:color="auto" w:fill="auto"/>
          </w:tcPr>
          <w:p w14:paraId="6D0D03AB" w14:textId="77777777" w:rsidR="00C53881" w:rsidRPr="006869C0" w:rsidRDefault="00C53881" w:rsidP="006869C0">
            <w:pPr>
              <w:suppressAutoHyphens w:val="0"/>
              <w:spacing w:before="40" w:after="120"/>
              <w:ind w:right="113"/>
              <w:rPr>
                <w:lang w:val="fr-FR"/>
              </w:rPr>
            </w:pPr>
          </w:p>
        </w:tc>
        <w:tc>
          <w:tcPr>
            <w:tcW w:w="2127" w:type="dxa"/>
            <w:shd w:val="clear" w:color="auto" w:fill="auto"/>
          </w:tcPr>
          <w:p w14:paraId="2752AA70" w14:textId="77777777" w:rsidR="00C53881" w:rsidRPr="006869C0" w:rsidRDefault="00C53881" w:rsidP="006869C0">
            <w:pPr>
              <w:suppressAutoHyphens w:val="0"/>
              <w:spacing w:before="40" w:after="120"/>
              <w:ind w:right="113"/>
              <w:rPr>
                <w:lang w:val="fr-FR"/>
              </w:rPr>
            </w:pPr>
          </w:p>
        </w:tc>
        <w:tc>
          <w:tcPr>
            <w:tcW w:w="5067" w:type="dxa"/>
            <w:shd w:val="clear" w:color="auto" w:fill="auto"/>
          </w:tcPr>
          <w:p w14:paraId="29615325" w14:textId="77777777" w:rsidR="00C53881" w:rsidRPr="006869C0" w:rsidRDefault="00C53881" w:rsidP="00C53881">
            <w:pPr>
              <w:suppressAutoHyphens w:val="0"/>
              <w:spacing w:before="40" w:after="120"/>
              <w:rPr>
                <w:lang w:val="fr-FR"/>
              </w:rPr>
            </w:pPr>
            <w:r w:rsidRPr="006869C0">
              <w:rPr>
                <w:lang w:val="fr-FR"/>
              </w:rPr>
              <w:t>Projets pilotes et activités de renforcement des capacités aux niveaux sous-régional et national, qui devraient être</w:t>
            </w:r>
            <w:r>
              <w:rPr>
                <w:lang w:val="fr-FR"/>
              </w:rPr>
              <w:t xml:space="preserve"> </w:t>
            </w:r>
            <w:r w:rsidRPr="006869C0">
              <w:rPr>
                <w:lang w:val="fr-FR"/>
              </w:rPr>
              <w:t>financés par les partenaires.</w:t>
            </w:r>
          </w:p>
        </w:tc>
        <w:tc>
          <w:tcPr>
            <w:tcW w:w="1195" w:type="dxa"/>
            <w:shd w:val="clear" w:color="auto" w:fill="auto"/>
          </w:tcPr>
          <w:p w14:paraId="15BF7EB9" w14:textId="77777777" w:rsidR="00C53881" w:rsidRPr="006869C0" w:rsidRDefault="00C53881" w:rsidP="00457C42">
            <w:pPr>
              <w:suppressAutoHyphens w:val="0"/>
              <w:spacing w:before="40" w:after="120"/>
              <w:jc w:val="right"/>
              <w:rPr>
                <w:lang w:val="fr-FR"/>
              </w:rPr>
            </w:pPr>
          </w:p>
        </w:tc>
      </w:tr>
      <w:tr w:rsidR="006869C0" w:rsidRPr="006869C0" w14:paraId="03D91BAC" w14:textId="77777777" w:rsidTr="00776DC4">
        <w:tc>
          <w:tcPr>
            <w:tcW w:w="1691" w:type="dxa"/>
            <w:shd w:val="clear" w:color="auto" w:fill="auto"/>
          </w:tcPr>
          <w:p w14:paraId="6DB9FB31" w14:textId="77777777" w:rsidR="006869C0" w:rsidRPr="00B704D9" w:rsidRDefault="006869C0" w:rsidP="00EA7F6B">
            <w:pPr>
              <w:suppressAutoHyphens w:val="0"/>
              <w:spacing w:before="40" w:after="120"/>
              <w:ind w:right="113"/>
              <w:rPr>
                <w:lang w:val="fr-FR"/>
              </w:rPr>
            </w:pPr>
            <w:r w:rsidRPr="00B704D9">
              <w:rPr>
                <w:lang w:val="fr-FR"/>
              </w:rPr>
              <w:t>IV. Organismes génétiquement modifiés (OGM)</w:t>
            </w:r>
          </w:p>
        </w:tc>
        <w:tc>
          <w:tcPr>
            <w:tcW w:w="3696" w:type="dxa"/>
            <w:shd w:val="clear" w:color="auto" w:fill="auto"/>
          </w:tcPr>
          <w:p w14:paraId="12E6844F" w14:textId="77777777" w:rsidR="006869C0" w:rsidRPr="00B704D9" w:rsidRDefault="006869C0" w:rsidP="00E2585D">
            <w:pPr>
              <w:suppressAutoHyphens w:val="0"/>
              <w:spacing w:before="40" w:after="120"/>
              <w:ind w:right="113"/>
              <w:rPr>
                <w:lang w:val="fr-FR"/>
              </w:rPr>
            </w:pPr>
            <w:r w:rsidRPr="00B704D9">
              <w:rPr>
                <w:lang w:val="fr-FR"/>
              </w:rPr>
              <w:t>Appuyer la mise en œuvre de la décision II/1 (amendement relatif aux OGM) et des dispositions pertinentes de la Convention dans ce domaine, ainsi que l</w:t>
            </w:r>
            <w:r w:rsidR="00457C42" w:rsidRPr="00B704D9">
              <w:rPr>
                <w:lang w:val="fr-FR"/>
              </w:rPr>
              <w:t>’</w:t>
            </w:r>
            <w:r w:rsidRPr="00B704D9">
              <w:rPr>
                <w:lang w:val="fr-FR"/>
              </w:rPr>
              <w:t>application des Principes directeurs relatifs à l</w:t>
            </w:r>
            <w:r w:rsidR="00457C42" w:rsidRPr="00B704D9">
              <w:rPr>
                <w:lang w:val="fr-FR"/>
              </w:rPr>
              <w:t>’</w:t>
            </w:r>
            <w:r w:rsidRPr="00B704D9">
              <w:rPr>
                <w:lang w:val="fr-FR"/>
              </w:rPr>
              <w:t>accès à</w:t>
            </w:r>
            <w:r w:rsidR="007F3B7C">
              <w:rPr>
                <w:lang w:val="fr-FR"/>
              </w:rPr>
              <w:t xml:space="preserve"> </w:t>
            </w:r>
            <w:r w:rsidRPr="00B704D9">
              <w:rPr>
                <w:lang w:val="fr-FR"/>
              </w:rPr>
              <w:t>l</w:t>
            </w:r>
            <w:r w:rsidR="00457C42" w:rsidRPr="00B704D9">
              <w:rPr>
                <w:lang w:val="fr-FR"/>
              </w:rPr>
              <w:t>’</w:t>
            </w:r>
            <w:r w:rsidRPr="00B704D9">
              <w:rPr>
                <w:lang w:val="fr-FR"/>
              </w:rPr>
              <w:t>information, la participation du public et l</w:t>
            </w:r>
            <w:r w:rsidR="00457C42" w:rsidRPr="00B704D9">
              <w:rPr>
                <w:lang w:val="fr-FR"/>
              </w:rPr>
              <w:t>’</w:t>
            </w:r>
            <w:r w:rsidRPr="00B704D9">
              <w:rPr>
                <w:lang w:val="fr-FR"/>
              </w:rPr>
              <w:t xml:space="preserve">accès à la justice en ce qui </w:t>
            </w:r>
            <w:r w:rsidRPr="00B704D9">
              <w:rPr>
                <w:lang w:val="fr-FR"/>
              </w:rPr>
              <w:lastRenderedPageBreak/>
              <w:t>concerne les organismes génétiquement modifiés (MP.PP/2003/3), notamment en favorisant l</w:t>
            </w:r>
            <w:r w:rsidR="00457C42" w:rsidRPr="00B704D9">
              <w:rPr>
                <w:lang w:val="fr-FR"/>
              </w:rPr>
              <w:t>’</w:t>
            </w:r>
            <w:r w:rsidRPr="00B704D9">
              <w:rPr>
                <w:lang w:val="fr-FR"/>
              </w:rPr>
              <w:t>échange d</w:t>
            </w:r>
            <w:r w:rsidR="00457C42" w:rsidRPr="00B704D9">
              <w:rPr>
                <w:lang w:val="fr-FR"/>
              </w:rPr>
              <w:t>’</w:t>
            </w:r>
            <w:r w:rsidRPr="00B704D9">
              <w:rPr>
                <w:lang w:val="fr-FR"/>
              </w:rPr>
              <w:t>informations sur les difficultés communes et les principaux obstacles concernant application de ces principes, ainsi que sur les</w:t>
            </w:r>
            <w:r w:rsidR="00EA7F6B" w:rsidRPr="00B704D9">
              <w:rPr>
                <w:lang w:val="fr-FR"/>
              </w:rPr>
              <w:t xml:space="preserve"> </w:t>
            </w:r>
            <w:r w:rsidRPr="00B704D9">
              <w:rPr>
                <w:lang w:val="fr-FR"/>
              </w:rPr>
              <w:t>bonnes pratiques permettant d</w:t>
            </w:r>
            <w:r w:rsidR="00457C42" w:rsidRPr="00B704D9">
              <w:rPr>
                <w:lang w:val="fr-FR"/>
              </w:rPr>
              <w:t>’</w:t>
            </w:r>
            <w:r w:rsidRPr="00B704D9">
              <w:rPr>
                <w:lang w:val="fr-FR"/>
              </w:rPr>
              <w:t>y remédier</w:t>
            </w:r>
            <w:r w:rsidR="00E2585D">
              <w:rPr>
                <w:lang w:val="fr-FR"/>
              </w:rPr>
              <w:br/>
            </w:r>
            <w:r w:rsidRPr="00B704D9">
              <w:rPr>
                <w:lang w:val="fr-FR"/>
              </w:rPr>
              <w:t>(Ces activités contribuent principalement à</w:t>
            </w:r>
            <w:r w:rsidR="000D732D">
              <w:rPr>
                <w:lang w:val="fr-FR"/>
              </w:rPr>
              <w:t> </w:t>
            </w:r>
            <w:r w:rsidRPr="00B704D9">
              <w:rPr>
                <w:lang w:val="fr-FR"/>
              </w:rPr>
              <w:t>la réalisation des ODD 15 et 16)</w:t>
            </w:r>
          </w:p>
        </w:tc>
        <w:tc>
          <w:tcPr>
            <w:tcW w:w="2127" w:type="dxa"/>
            <w:shd w:val="clear" w:color="auto" w:fill="auto"/>
          </w:tcPr>
          <w:p w14:paraId="306E87C4" w14:textId="77777777" w:rsidR="006869C0" w:rsidRPr="006869C0" w:rsidRDefault="006869C0" w:rsidP="00776DC4">
            <w:pPr>
              <w:suppressAutoHyphens w:val="0"/>
              <w:spacing w:before="40" w:after="120"/>
              <w:ind w:right="113"/>
              <w:rPr>
                <w:lang w:val="fr-FR"/>
              </w:rPr>
            </w:pPr>
            <w:r w:rsidRPr="006869C0">
              <w:rPr>
                <w:lang w:val="fr-FR"/>
              </w:rPr>
              <w:lastRenderedPageBreak/>
              <w:t>Le secrétariat, en étroite coopération avec d</w:t>
            </w:r>
            <w:r w:rsidR="00457C42">
              <w:rPr>
                <w:lang w:val="fr-FR"/>
              </w:rPr>
              <w:t>’</w:t>
            </w:r>
            <w:r w:rsidRPr="006869C0">
              <w:rPr>
                <w:lang w:val="fr-FR"/>
              </w:rPr>
              <w:t>autres parties prenantes</w:t>
            </w:r>
          </w:p>
          <w:p w14:paraId="1B5B4578" w14:textId="77777777" w:rsidR="006869C0" w:rsidRPr="006869C0" w:rsidRDefault="006869C0" w:rsidP="006869C0">
            <w:pPr>
              <w:suppressAutoHyphens w:val="0"/>
              <w:spacing w:before="40" w:after="120"/>
              <w:ind w:right="113"/>
              <w:rPr>
                <w:lang w:val="fr-FR"/>
              </w:rPr>
            </w:pPr>
            <w:r w:rsidRPr="006869C0">
              <w:rPr>
                <w:lang w:val="fr-FR"/>
              </w:rPr>
              <w:t>Séance thématique dans le cadre des</w:t>
            </w:r>
            <w:r w:rsidR="00C53881">
              <w:rPr>
                <w:lang w:val="fr-FR"/>
              </w:rPr>
              <w:t xml:space="preserve"> </w:t>
            </w:r>
            <w:r w:rsidRPr="006869C0">
              <w:rPr>
                <w:lang w:val="fr-FR"/>
              </w:rPr>
              <w:t xml:space="preserve">réunions du </w:t>
            </w:r>
            <w:r w:rsidRPr="006869C0">
              <w:rPr>
                <w:lang w:val="fr-FR"/>
              </w:rPr>
              <w:lastRenderedPageBreak/>
              <w:t>Groupe de travail des Parties</w:t>
            </w:r>
          </w:p>
        </w:tc>
        <w:tc>
          <w:tcPr>
            <w:tcW w:w="5067" w:type="dxa"/>
            <w:shd w:val="clear" w:color="auto" w:fill="auto"/>
          </w:tcPr>
          <w:p w14:paraId="1784C937" w14:textId="77777777" w:rsidR="006869C0" w:rsidRPr="006869C0" w:rsidRDefault="006869C0" w:rsidP="00C53881">
            <w:pPr>
              <w:suppressAutoHyphens w:val="0"/>
              <w:spacing w:before="40" w:after="120"/>
              <w:rPr>
                <w:lang w:val="fr-FR"/>
              </w:rPr>
            </w:pPr>
            <w:r w:rsidRPr="006869C0">
              <w:rPr>
                <w:lang w:val="fr-FR"/>
              </w:rPr>
              <w:lastRenderedPageBreak/>
              <w:t>Atelier(s) et table(s) ronde(s) ; enquête(s) ; appui consultatif aux</w:t>
            </w:r>
            <w:r w:rsidR="007F3B7C">
              <w:rPr>
                <w:lang w:val="fr-FR"/>
              </w:rPr>
              <w:t xml:space="preserve"> </w:t>
            </w:r>
            <w:r w:rsidRPr="006869C0">
              <w:rPr>
                <w:lang w:val="fr-FR"/>
              </w:rPr>
              <w:t>organes pertinents créés en vertu du Protocole de Cartagena sur la prévention des risques biotechnologiques relatif à la Convention sur la diversité biologique, et coopération avec ces organes ; appui consultatif aux pays qui en font la demande ; recours au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 xml:space="preserve">Aarhus et utilisation de sa base de données </w:t>
            </w:r>
            <w:r w:rsidRPr="006869C0">
              <w:rPr>
                <w:lang w:val="fr-FR"/>
              </w:rPr>
              <w:lastRenderedPageBreak/>
              <w:t>sur les bonnes pratiques pour</w:t>
            </w:r>
            <w:r w:rsidR="00C53881">
              <w:rPr>
                <w:lang w:val="fr-FR"/>
              </w:rPr>
              <w:t xml:space="preserve"> </w:t>
            </w:r>
            <w:r w:rsidRPr="006869C0">
              <w:rPr>
                <w:lang w:val="fr-FR"/>
              </w:rPr>
              <w:t>faciliter l</w:t>
            </w:r>
            <w:r w:rsidR="00457C42">
              <w:rPr>
                <w:lang w:val="fr-FR"/>
              </w:rPr>
              <w:t>’</w:t>
            </w:r>
            <w:r w:rsidRPr="006869C0">
              <w:rPr>
                <w:lang w:val="fr-FR"/>
              </w:rPr>
              <w:t>échange d</w:t>
            </w:r>
            <w:r w:rsidR="00457C42">
              <w:rPr>
                <w:lang w:val="fr-FR"/>
              </w:rPr>
              <w:t>’</w:t>
            </w:r>
            <w:r w:rsidRPr="006869C0">
              <w:rPr>
                <w:lang w:val="fr-FR"/>
              </w:rPr>
              <w:t>informations en la matière.</w:t>
            </w:r>
          </w:p>
        </w:tc>
        <w:tc>
          <w:tcPr>
            <w:tcW w:w="1195" w:type="dxa"/>
            <w:shd w:val="clear" w:color="auto" w:fill="auto"/>
          </w:tcPr>
          <w:p w14:paraId="5C27F46F" w14:textId="77777777" w:rsidR="006869C0" w:rsidRPr="006869C0" w:rsidRDefault="006869C0" w:rsidP="007664D7">
            <w:pPr>
              <w:suppressAutoHyphens w:val="0"/>
              <w:spacing w:before="40" w:after="120"/>
              <w:jc w:val="right"/>
            </w:pPr>
            <w:r w:rsidRPr="006869C0">
              <w:rPr>
                <w:lang w:val="fr-FR"/>
              </w:rPr>
              <w:lastRenderedPageBreak/>
              <w:t>24</w:t>
            </w:r>
            <w:r w:rsidR="007664D7">
              <w:rPr>
                <w:lang w:val="fr-FR"/>
              </w:rPr>
              <w:t> </w:t>
            </w:r>
            <w:r w:rsidRPr="006869C0">
              <w:rPr>
                <w:lang w:val="fr-FR"/>
              </w:rPr>
              <w:t>500</w:t>
            </w:r>
            <w:r w:rsidR="007664D7">
              <w:rPr>
                <w:lang w:val="fr-FR"/>
              </w:rPr>
              <w:br/>
            </w:r>
            <w:r w:rsidRPr="006869C0">
              <w:rPr>
                <w:lang w:val="fr-FR"/>
              </w:rPr>
              <w:t>(2 000)</w:t>
            </w:r>
          </w:p>
        </w:tc>
      </w:tr>
      <w:tr w:rsidR="006869C0" w:rsidRPr="006869C0" w14:paraId="6F91E580" w14:textId="77777777" w:rsidTr="00776DC4">
        <w:tc>
          <w:tcPr>
            <w:tcW w:w="5387" w:type="dxa"/>
            <w:gridSpan w:val="2"/>
            <w:shd w:val="clear" w:color="auto" w:fill="auto"/>
          </w:tcPr>
          <w:p w14:paraId="3B0744B1" w14:textId="77777777" w:rsidR="006869C0" w:rsidRPr="006869C0" w:rsidRDefault="006869C0" w:rsidP="006869C0">
            <w:pPr>
              <w:suppressAutoHyphens w:val="0"/>
              <w:spacing w:before="40" w:after="120"/>
              <w:ind w:right="113"/>
            </w:pPr>
            <w:r w:rsidRPr="006869C0">
              <w:rPr>
                <w:b/>
                <w:bCs/>
                <w:lang w:val="fr-FR"/>
              </w:rPr>
              <w:t>Procédures et mécanismes</w:t>
            </w:r>
            <w:r w:rsidRPr="006869C0">
              <w:rPr>
                <w:lang w:val="fr-FR"/>
              </w:rPr>
              <w:t xml:space="preserve"> </w:t>
            </w:r>
          </w:p>
        </w:tc>
        <w:tc>
          <w:tcPr>
            <w:tcW w:w="2127" w:type="dxa"/>
            <w:shd w:val="clear" w:color="auto" w:fill="auto"/>
          </w:tcPr>
          <w:p w14:paraId="20E2FE6A" w14:textId="77777777" w:rsidR="006869C0" w:rsidRPr="006869C0" w:rsidRDefault="006869C0" w:rsidP="006869C0">
            <w:pPr>
              <w:suppressAutoHyphens w:val="0"/>
              <w:spacing w:before="40" w:after="120"/>
              <w:ind w:right="113"/>
            </w:pPr>
          </w:p>
        </w:tc>
        <w:tc>
          <w:tcPr>
            <w:tcW w:w="5067" w:type="dxa"/>
            <w:shd w:val="clear" w:color="auto" w:fill="auto"/>
          </w:tcPr>
          <w:p w14:paraId="3F46E041" w14:textId="77777777" w:rsidR="006869C0" w:rsidRPr="006869C0" w:rsidRDefault="006869C0" w:rsidP="00C53881">
            <w:pPr>
              <w:suppressAutoHyphens w:val="0"/>
              <w:spacing w:before="40" w:after="120"/>
            </w:pPr>
          </w:p>
        </w:tc>
        <w:tc>
          <w:tcPr>
            <w:tcW w:w="1195" w:type="dxa"/>
            <w:shd w:val="clear" w:color="auto" w:fill="auto"/>
          </w:tcPr>
          <w:p w14:paraId="1D15FCD9" w14:textId="77777777" w:rsidR="006869C0" w:rsidRPr="006869C0" w:rsidRDefault="006869C0" w:rsidP="00457C42">
            <w:pPr>
              <w:suppressAutoHyphens w:val="0"/>
              <w:spacing w:before="40" w:after="120"/>
              <w:jc w:val="right"/>
            </w:pPr>
          </w:p>
        </w:tc>
      </w:tr>
      <w:tr w:rsidR="007664D7" w:rsidRPr="006869C0" w14:paraId="778028CD" w14:textId="77777777" w:rsidTr="00776DC4">
        <w:tc>
          <w:tcPr>
            <w:tcW w:w="1691" w:type="dxa"/>
            <w:shd w:val="clear" w:color="auto" w:fill="auto"/>
          </w:tcPr>
          <w:p w14:paraId="4B1E4314" w14:textId="77777777" w:rsidR="007664D7" w:rsidRPr="006869C0" w:rsidRDefault="007664D7" w:rsidP="007664D7">
            <w:pPr>
              <w:suppressAutoHyphens w:val="0"/>
              <w:spacing w:before="40" w:after="120"/>
              <w:ind w:right="113"/>
              <w:rPr>
                <w:lang w:val="fr-FR"/>
              </w:rPr>
            </w:pPr>
            <w:r w:rsidRPr="006869C0">
              <w:rPr>
                <w:lang w:val="fr-FR"/>
              </w:rPr>
              <w:t>V. Mécanisme d</w:t>
            </w:r>
            <w:r>
              <w:rPr>
                <w:lang w:val="fr-FR"/>
              </w:rPr>
              <w:t>’</w:t>
            </w:r>
            <w:r w:rsidRPr="006869C0">
              <w:rPr>
                <w:lang w:val="fr-FR"/>
              </w:rPr>
              <w:t>examen du respect des dispositions</w:t>
            </w:r>
          </w:p>
        </w:tc>
        <w:tc>
          <w:tcPr>
            <w:tcW w:w="3696" w:type="dxa"/>
            <w:shd w:val="clear" w:color="auto" w:fill="auto"/>
          </w:tcPr>
          <w:p w14:paraId="63003F8A" w14:textId="77777777" w:rsidR="007664D7" w:rsidRPr="006869C0" w:rsidRDefault="007664D7" w:rsidP="007664D7">
            <w:pPr>
              <w:suppressAutoHyphens w:val="0"/>
              <w:spacing w:before="40" w:after="120"/>
              <w:ind w:right="113"/>
              <w:rPr>
                <w:lang w:val="fr-FR"/>
              </w:rPr>
            </w:pPr>
          </w:p>
        </w:tc>
        <w:tc>
          <w:tcPr>
            <w:tcW w:w="2127" w:type="dxa"/>
            <w:shd w:val="clear" w:color="auto" w:fill="auto"/>
          </w:tcPr>
          <w:p w14:paraId="1B9272D8" w14:textId="77777777" w:rsidR="007664D7" w:rsidRPr="006869C0" w:rsidRDefault="007664D7" w:rsidP="006869C0">
            <w:pPr>
              <w:suppressAutoHyphens w:val="0"/>
              <w:spacing w:before="40" w:after="120"/>
              <w:ind w:right="113"/>
            </w:pPr>
          </w:p>
        </w:tc>
        <w:tc>
          <w:tcPr>
            <w:tcW w:w="5067" w:type="dxa"/>
            <w:shd w:val="clear" w:color="auto" w:fill="auto"/>
          </w:tcPr>
          <w:p w14:paraId="5C4C768C" w14:textId="77777777" w:rsidR="007664D7" w:rsidRPr="006869C0" w:rsidRDefault="007664D7" w:rsidP="00C53881">
            <w:pPr>
              <w:suppressAutoHyphens w:val="0"/>
              <w:spacing w:before="40" w:after="120"/>
              <w:rPr>
                <w:lang w:val="fr-FR"/>
              </w:rPr>
            </w:pPr>
          </w:p>
        </w:tc>
        <w:tc>
          <w:tcPr>
            <w:tcW w:w="1195" w:type="dxa"/>
            <w:shd w:val="clear" w:color="auto" w:fill="auto"/>
          </w:tcPr>
          <w:p w14:paraId="7C6CCDE5" w14:textId="77777777" w:rsidR="007664D7" w:rsidRPr="006869C0" w:rsidRDefault="007664D7" w:rsidP="007664D7">
            <w:pPr>
              <w:suppressAutoHyphens w:val="0"/>
              <w:spacing w:before="40" w:after="120"/>
              <w:jc w:val="right"/>
            </w:pPr>
            <w:r w:rsidRPr="006869C0">
              <w:rPr>
                <w:lang w:val="fr-FR"/>
              </w:rPr>
              <w:t>554</w:t>
            </w:r>
            <w:r>
              <w:rPr>
                <w:lang w:val="fr-FR"/>
              </w:rPr>
              <w:t> </w:t>
            </w:r>
            <w:r w:rsidRPr="006869C0">
              <w:rPr>
                <w:lang w:val="fr-FR"/>
              </w:rPr>
              <w:t>600</w:t>
            </w:r>
          </w:p>
          <w:p w14:paraId="7523BFC0" w14:textId="77777777" w:rsidR="007664D7" w:rsidRPr="006869C0" w:rsidRDefault="007664D7" w:rsidP="00457C42">
            <w:pPr>
              <w:suppressAutoHyphens w:val="0"/>
              <w:spacing w:before="40" w:after="120"/>
              <w:jc w:val="right"/>
              <w:rPr>
                <w:lang w:val="fr-FR"/>
              </w:rPr>
            </w:pPr>
          </w:p>
        </w:tc>
      </w:tr>
      <w:tr w:rsidR="00EA7F6B" w:rsidRPr="006869C0" w14:paraId="732CF949" w14:textId="77777777" w:rsidTr="00776DC4">
        <w:tc>
          <w:tcPr>
            <w:tcW w:w="1691" w:type="dxa"/>
            <w:shd w:val="clear" w:color="auto" w:fill="auto"/>
          </w:tcPr>
          <w:p w14:paraId="0AAA2AA6" w14:textId="77777777" w:rsidR="00EA7F6B" w:rsidRPr="006869C0" w:rsidRDefault="007664D7" w:rsidP="007664D7">
            <w:pPr>
              <w:suppressAutoHyphens w:val="0"/>
              <w:spacing w:before="40" w:after="120"/>
              <w:ind w:right="113"/>
              <w:rPr>
                <w:lang w:val="fr-FR"/>
              </w:rPr>
            </w:pPr>
            <w:r w:rsidRPr="006869C0">
              <w:rPr>
                <w:lang w:val="fr-FR"/>
              </w:rPr>
              <w:t>V.1 Comité d</w:t>
            </w:r>
            <w:r>
              <w:rPr>
                <w:lang w:val="fr-FR"/>
              </w:rPr>
              <w:t>’</w:t>
            </w:r>
            <w:r w:rsidRPr="006869C0">
              <w:rPr>
                <w:lang w:val="fr-FR"/>
              </w:rPr>
              <w:t>examen du respect des dispositions</w:t>
            </w:r>
          </w:p>
        </w:tc>
        <w:tc>
          <w:tcPr>
            <w:tcW w:w="3696" w:type="dxa"/>
            <w:shd w:val="clear" w:color="auto" w:fill="auto"/>
          </w:tcPr>
          <w:p w14:paraId="3D32E49E" w14:textId="77777777" w:rsidR="007664D7" w:rsidRPr="006869C0" w:rsidRDefault="007664D7" w:rsidP="007664D7">
            <w:pPr>
              <w:suppressAutoHyphens w:val="0"/>
              <w:spacing w:before="40" w:after="120"/>
              <w:ind w:right="113"/>
              <w:rPr>
                <w:lang w:val="fr-FR"/>
              </w:rPr>
            </w:pPr>
            <w:r w:rsidRPr="006869C0">
              <w:rPr>
                <w:lang w:val="fr-FR"/>
              </w:rPr>
              <w:t>Surveiller et faciliter l</w:t>
            </w:r>
            <w:r>
              <w:rPr>
                <w:lang w:val="fr-FR"/>
              </w:rPr>
              <w:t>’</w:t>
            </w:r>
            <w:r w:rsidRPr="006869C0">
              <w:rPr>
                <w:lang w:val="fr-FR"/>
              </w:rPr>
              <w:t>application et le respect de la Convention</w:t>
            </w:r>
          </w:p>
          <w:p w14:paraId="647951B8" w14:textId="77777777" w:rsidR="007664D7" w:rsidRPr="006869C0" w:rsidRDefault="007664D7" w:rsidP="007664D7">
            <w:pPr>
              <w:suppressAutoHyphens w:val="0"/>
              <w:spacing w:before="40" w:after="120"/>
              <w:ind w:right="113"/>
              <w:rPr>
                <w:lang w:val="fr-FR"/>
              </w:rPr>
            </w:pPr>
            <w:r w:rsidRPr="006869C0">
              <w:rPr>
                <w:lang w:val="fr-FR"/>
              </w:rPr>
              <w:t>Renforcer l</w:t>
            </w:r>
            <w:r>
              <w:rPr>
                <w:lang w:val="fr-FR"/>
              </w:rPr>
              <w:t>’</w:t>
            </w:r>
            <w:r w:rsidRPr="006869C0">
              <w:rPr>
                <w:lang w:val="fr-FR"/>
              </w:rPr>
              <w:t>appui fourni à certaines Parties pour les aider à donner suite aux décisions relatives au respect des dispositions</w:t>
            </w:r>
          </w:p>
          <w:p w14:paraId="1D40F542" w14:textId="77777777" w:rsidR="00EA7F6B" w:rsidRPr="006869C0" w:rsidRDefault="007664D7" w:rsidP="007664D7">
            <w:pPr>
              <w:suppressAutoHyphens w:val="0"/>
              <w:spacing w:before="40" w:after="120"/>
              <w:ind w:right="113"/>
              <w:rPr>
                <w:lang w:val="fr-FR"/>
              </w:rPr>
            </w:pPr>
            <w:r w:rsidRPr="006869C0">
              <w:rPr>
                <w:lang w:val="fr-FR"/>
              </w:rPr>
              <w:t>(Ces activités contribuent principalement à</w:t>
            </w:r>
            <w:r w:rsidR="000D732D">
              <w:rPr>
                <w:lang w:val="fr-FR"/>
              </w:rPr>
              <w:t> </w:t>
            </w:r>
            <w:r w:rsidRPr="006869C0">
              <w:rPr>
                <w:lang w:val="fr-FR"/>
              </w:rPr>
              <w:t>la réalisation des cibles 16.6 et 16.10 des</w:t>
            </w:r>
            <w:r w:rsidR="000D732D">
              <w:rPr>
                <w:lang w:val="fr-FR"/>
              </w:rPr>
              <w:t> </w:t>
            </w:r>
            <w:r w:rsidRPr="006869C0">
              <w:rPr>
                <w:lang w:val="fr-FR"/>
              </w:rPr>
              <w:t>ODD et des ODD 3, 6, 7, 8, 9, 11, 12, 13, 14 et</w:t>
            </w:r>
            <w:r w:rsidR="0062069F">
              <w:rPr>
                <w:lang w:val="fr-FR"/>
              </w:rPr>
              <w:t> </w:t>
            </w:r>
            <w:r w:rsidRPr="006869C0">
              <w:rPr>
                <w:lang w:val="fr-FR"/>
              </w:rPr>
              <w:t>15)</w:t>
            </w:r>
          </w:p>
        </w:tc>
        <w:tc>
          <w:tcPr>
            <w:tcW w:w="2127" w:type="dxa"/>
            <w:shd w:val="clear" w:color="auto" w:fill="auto"/>
          </w:tcPr>
          <w:p w14:paraId="600DB0A7" w14:textId="77777777" w:rsidR="007664D7" w:rsidRPr="006869C0" w:rsidRDefault="007664D7" w:rsidP="007664D7">
            <w:pPr>
              <w:suppressAutoHyphens w:val="0"/>
              <w:spacing w:before="40" w:after="120"/>
              <w:ind w:right="113"/>
              <w:rPr>
                <w:lang w:val="fr-FR"/>
              </w:rPr>
            </w:pPr>
            <w:r w:rsidRPr="006869C0">
              <w:rPr>
                <w:lang w:val="fr-FR"/>
              </w:rPr>
              <w:t>Le Comité d</w:t>
            </w:r>
            <w:r>
              <w:rPr>
                <w:lang w:val="fr-FR"/>
              </w:rPr>
              <w:t>’</w:t>
            </w:r>
            <w:r w:rsidRPr="006869C0">
              <w:rPr>
                <w:lang w:val="fr-FR"/>
              </w:rPr>
              <w:t>examen du respect des dispositions</w:t>
            </w:r>
          </w:p>
          <w:p w14:paraId="083EE20B" w14:textId="77777777" w:rsidR="00EA7F6B" w:rsidRPr="006869C0" w:rsidRDefault="007664D7" w:rsidP="007664D7">
            <w:pPr>
              <w:suppressAutoHyphens w:val="0"/>
              <w:spacing w:before="40" w:after="120"/>
              <w:ind w:right="113"/>
              <w:rPr>
                <w:lang w:val="fr-FR"/>
              </w:rPr>
            </w:pPr>
            <w:r w:rsidRPr="006869C0">
              <w:rPr>
                <w:lang w:val="fr-FR"/>
              </w:rPr>
              <w:t>Le secrétariat</w:t>
            </w:r>
          </w:p>
        </w:tc>
        <w:tc>
          <w:tcPr>
            <w:tcW w:w="5067" w:type="dxa"/>
            <w:shd w:val="clear" w:color="auto" w:fill="auto"/>
          </w:tcPr>
          <w:p w14:paraId="6F727EA2" w14:textId="77777777" w:rsidR="007664D7" w:rsidRPr="006869C0" w:rsidRDefault="007664D7" w:rsidP="007664D7">
            <w:pPr>
              <w:suppressAutoHyphens w:val="0"/>
              <w:spacing w:before="40" w:after="120"/>
              <w:rPr>
                <w:lang w:val="fr-FR"/>
              </w:rPr>
            </w:pPr>
            <w:r w:rsidRPr="006869C0">
              <w:rPr>
                <w:lang w:val="fr-FR"/>
              </w:rPr>
              <w:t>Le Comité d</w:t>
            </w:r>
            <w:r>
              <w:rPr>
                <w:lang w:val="fr-FR"/>
              </w:rPr>
              <w:t>’</w:t>
            </w:r>
            <w:r w:rsidRPr="006869C0">
              <w:rPr>
                <w:lang w:val="fr-FR"/>
              </w:rPr>
              <w:t>examen du respect des dispositions examine les demandes soumises, les questions</w:t>
            </w:r>
            <w:r>
              <w:rPr>
                <w:lang w:val="fr-FR"/>
              </w:rPr>
              <w:t xml:space="preserve"> </w:t>
            </w:r>
            <w:r w:rsidRPr="006869C0">
              <w:rPr>
                <w:lang w:val="fr-FR"/>
              </w:rPr>
              <w:t>transmises et les communications présentées au sujet des cas de non-respect éventuel, formule</w:t>
            </w:r>
            <w:r>
              <w:rPr>
                <w:lang w:val="fr-FR"/>
              </w:rPr>
              <w:t xml:space="preserve"> </w:t>
            </w:r>
            <w:r w:rsidRPr="006869C0">
              <w:rPr>
                <w:lang w:val="fr-FR"/>
              </w:rPr>
              <w:t>des conclusions, établit</w:t>
            </w:r>
            <w:r>
              <w:rPr>
                <w:lang w:val="fr-FR"/>
              </w:rPr>
              <w:t xml:space="preserve"> </w:t>
            </w:r>
            <w:r w:rsidRPr="006869C0">
              <w:rPr>
                <w:lang w:val="fr-FR"/>
              </w:rPr>
              <w:t>des rapports et mène des missions d</w:t>
            </w:r>
            <w:r>
              <w:rPr>
                <w:lang w:val="fr-FR"/>
              </w:rPr>
              <w:t>’</w:t>
            </w:r>
            <w:r w:rsidRPr="006869C0">
              <w:rPr>
                <w:lang w:val="fr-FR"/>
              </w:rPr>
              <w:t>enquête.</w:t>
            </w:r>
          </w:p>
          <w:p w14:paraId="1671075D" w14:textId="77777777" w:rsidR="007664D7" w:rsidRPr="006869C0" w:rsidRDefault="007664D7" w:rsidP="007664D7">
            <w:pPr>
              <w:suppressAutoHyphens w:val="0"/>
              <w:spacing w:before="40" w:after="120"/>
              <w:rPr>
                <w:lang w:val="fr-FR"/>
              </w:rPr>
            </w:pPr>
            <w:r w:rsidRPr="006869C0">
              <w:rPr>
                <w:lang w:val="fr-FR"/>
              </w:rPr>
              <w:t>Le Comité étudie les synergies possibles avec d</w:t>
            </w:r>
            <w:r>
              <w:rPr>
                <w:lang w:val="fr-FR"/>
              </w:rPr>
              <w:t>’</w:t>
            </w:r>
            <w:r w:rsidRPr="006869C0">
              <w:rPr>
                <w:lang w:val="fr-FR"/>
              </w:rPr>
              <w:t>autres instances concernées.</w:t>
            </w:r>
          </w:p>
          <w:p w14:paraId="09342DAA" w14:textId="77777777" w:rsidR="007664D7" w:rsidRPr="006869C0" w:rsidRDefault="007664D7" w:rsidP="007664D7">
            <w:pPr>
              <w:suppressAutoHyphens w:val="0"/>
              <w:spacing w:before="40" w:after="120"/>
              <w:rPr>
                <w:lang w:val="fr-FR"/>
              </w:rPr>
            </w:pPr>
            <w:r w:rsidRPr="006869C0">
              <w:rPr>
                <w:lang w:val="fr-FR"/>
              </w:rPr>
              <w:t>Le secrétariat aide le Comité au besoin, notamment en lui apportant une assistance juridique, fait la promotion du mécanisme d</w:t>
            </w:r>
            <w:r>
              <w:rPr>
                <w:lang w:val="fr-FR"/>
              </w:rPr>
              <w:t>’</w:t>
            </w:r>
            <w:r w:rsidRPr="006869C0">
              <w:rPr>
                <w:lang w:val="fr-FR"/>
              </w:rPr>
              <w:t>examen du respect des dispositions et tient à jour la page Web du Comité.</w:t>
            </w:r>
          </w:p>
          <w:p w14:paraId="31C8930C" w14:textId="77777777" w:rsidR="00EA7F6B" w:rsidRPr="006869C0" w:rsidRDefault="007664D7" w:rsidP="007664D7">
            <w:pPr>
              <w:suppressAutoHyphens w:val="0"/>
              <w:spacing w:before="40" w:after="120"/>
              <w:rPr>
                <w:lang w:val="fr-FR"/>
              </w:rPr>
            </w:pPr>
            <w:r w:rsidRPr="006869C0">
              <w:rPr>
                <w:lang w:val="fr-FR"/>
              </w:rPr>
              <w:t>Le secrétariat établit des documents de base sur des questions pertinentes de nature systémique définies grâce aux travaux du Comité d</w:t>
            </w:r>
            <w:r>
              <w:rPr>
                <w:lang w:val="fr-FR"/>
              </w:rPr>
              <w:t>’</w:t>
            </w:r>
            <w:r w:rsidRPr="006869C0">
              <w:rPr>
                <w:lang w:val="fr-FR"/>
              </w:rPr>
              <w:t>examen du respect des dispositions pour alimenter les débats tenus dans le cadre des</w:t>
            </w:r>
            <w:r>
              <w:rPr>
                <w:lang w:val="fr-FR"/>
              </w:rPr>
              <w:t xml:space="preserve"> </w:t>
            </w:r>
            <w:r w:rsidRPr="006869C0">
              <w:rPr>
                <w:lang w:val="fr-FR"/>
              </w:rPr>
              <w:t>réunions des équipes spéciales et des différentes séances thématiques du Groupe de travail des</w:t>
            </w:r>
            <w:r w:rsidR="00A56B7F">
              <w:rPr>
                <w:lang w:val="fr-FR"/>
              </w:rPr>
              <w:t> </w:t>
            </w:r>
            <w:r w:rsidRPr="006869C0">
              <w:rPr>
                <w:lang w:val="fr-FR"/>
              </w:rPr>
              <w:t>Parties.</w:t>
            </w:r>
          </w:p>
        </w:tc>
        <w:tc>
          <w:tcPr>
            <w:tcW w:w="1195" w:type="dxa"/>
            <w:shd w:val="clear" w:color="auto" w:fill="auto"/>
          </w:tcPr>
          <w:p w14:paraId="76BE075A" w14:textId="77777777" w:rsidR="00EA7F6B" w:rsidRPr="006869C0" w:rsidRDefault="00EA7F6B" w:rsidP="00457C42">
            <w:pPr>
              <w:suppressAutoHyphens w:val="0"/>
              <w:spacing w:before="40" w:after="120"/>
              <w:jc w:val="right"/>
              <w:rPr>
                <w:lang w:val="fr-FR"/>
              </w:rPr>
            </w:pPr>
          </w:p>
        </w:tc>
      </w:tr>
      <w:tr w:rsidR="00EA7F6B" w:rsidRPr="006869C0" w14:paraId="614E81A6" w14:textId="77777777" w:rsidTr="00776DC4">
        <w:tc>
          <w:tcPr>
            <w:tcW w:w="1691" w:type="dxa"/>
            <w:shd w:val="clear" w:color="auto" w:fill="auto"/>
          </w:tcPr>
          <w:p w14:paraId="1F644D73" w14:textId="77777777" w:rsidR="00EA7F6B" w:rsidRPr="006869C0" w:rsidRDefault="007664D7" w:rsidP="006869C0">
            <w:pPr>
              <w:suppressAutoHyphens w:val="0"/>
              <w:spacing w:before="40" w:after="120"/>
              <w:ind w:right="113"/>
              <w:rPr>
                <w:lang w:val="fr-FR"/>
              </w:rPr>
            </w:pPr>
            <w:r w:rsidRPr="006869C0">
              <w:rPr>
                <w:lang w:val="fr-FR"/>
              </w:rPr>
              <w:lastRenderedPageBreak/>
              <w:t>V.2 Rapporteur chargé des questions relatives au paragraphe 8 de</w:t>
            </w:r>
            <w:r w:rsidR="000D732D">
              <w:rPr>
                <w:lang w:val="fr-FR"/>
              </w:rPr>
              <w:t> </w:t>
            </w:r>
            <w:r w:rsidRPr="006869C0">
              <w:rPr>
                <w:lang w:val="fr-FR"/>
              </w:rPr>
              <w:t>l</w:t>
            </w:r>
            <w:r>
              <w:rPr>
                <w:lang w:val="fr-FR"/>
              </w:rPr>
              <w:t>’</w:t>
            </w:r>
            <w:r w:rsidRPr="006869C0">
              <w:rPr>
                <w:lang w:val="fr-FR"/>
              </w:rPr>
              <w:t>article 3 de la</w:t>
            </w:r>
            <w:r w:rsidR="000D732D">
              <w:rPr>
                <w:lang w:val="fr-FR"/>
              </w:rPr>
              <w:t> </w:t>
            </w:r>
            <w:r w:rsidRPr="006869C0">
              <w:rPr>
                <w:lang w:val="fr-FR"/>
              </w:rPr>
              <w:t>Convention</w:t>
            </w:r>
          </w:p>
        </w:tc>
        <w:tc>
          <w:tcPr>
            <w:tcW w:w="3696" w:type="dxa"/>
            <w:shd w:val="clear" w:color="auto" w:fill="auto"/>
          </w:tcPr>
          <w:p w14:paraId="65FBE5DA" w14:textId="77777777" w:rsidR="00EA7F6B" w:rsidRPr="006869C0" w:rsidRDefault="007664D7" w:rsidP="00E2585D">
            <w:pPr>
              <w:suppressAutoHyphens w:val="0"/>
              <w:spacing w:before="40" w:after="120"/>
              <w:ind w:right="113"/>
              <w:rPr>
                <w:lang w:val="fr-FR"/>
              </w:rPr>
            </w:pPr>
            <w:r w:rsidRPr="006869C0">
              <w:rPr>
                <w:lang w:val="fr-FR"/>
              </w:rPr>
              <w:t>Les activités seront exécutées conformément à la décision VII/... relative à</w:t>
            </w:r>
            <w:r w:rsidR="000D732D">
              <w:rPr>
                <w:lang w:val="fr-FR"/>
              </w:rPr>
              <w:t> </w:t>
            </w:r>
            <w:r w:rsidRPr="006869C0">
              <w:rPr>
                <w:lang w:val="fr-FR"/>
              </w:rPr>
              <w:t>la sécurité des défenseurs de</w:t>
            </w:r>
            <w:r>
              <w:rPr>
                <w:lang w:val="fr-FR"/>
              </w:rPr>
              <w:t> </w:t>
            </w:r>
            <w:r w:rsidRPr="006869C0">
              <w:rPr>
                <w:lang w:val="fr-FR"/>
              </w:rPr>
              <w:t>l</w:t>
            </w:r>
            <w:r>
              <w:rPr>
                <w:lang w:val="fr-FR"/>
              </w:rPr>
              <w:t>’</w:t>
            </w:r>
            <w:r w:rsidRPr="006869C0">
              <w:rPr>
                <w:lang w:val="fr-FR"/>
              </w:rPr>
              <w:t>environnement</w:t>
            </w:r>
            <w:r w:rsidR="00E2585D">
              <w:rPr>
                <w:lang w:val="fr-FR"/>
              </w:rPr>
              <w:br/>
            </w:r>
            <w:r w:rsidRPr="006869C0">
              <w:rPr>
                <w:lang w:val="fr-FR"/>
              </w:rPr>
              <w:t>(Elles contribuent principalement à la réalisation de la cible 16.10 des ODD)</w:t>
            </w:r>
          </w:p>
        </w:tc>
        <w:tc>
          <w:tcPr>
            <w:tcW w:w="2127" w:type="dxa"/>
            <w:shd w:val="clear" w:color="auto" w:fill="auto"/>
          </w:tcPr>
          <w:p w14:paraId="0BADDB6D" w14:textId="77777777" w:rsidR="007664D7" w:rsidRPr="006869C0" w:rsidRDefault="007664D7" w:rsidP="007664D7">
            <w:pPr>
              <w:suppressAutoHyphens w:val="0"/>
              <w:spacing w:before="40" w:after="120"/>
              <w:ind w:right="113"/>
              <w:rPr>
                <w:lang w:val="fr-FR"/>
              </w:rPr>
            </w:pPr>
            <w:r w:rsidRPr="006869C0">
              <w:rPr>
                <w:lang w:val="fr-FR"/>
              </w:rPr>
              <w:t>Le Rapporteur chargé des</w:t>
            </w:r>
            <w:r w:rsidR="00856DE9">
              <w:rPr>
                <w:lang w:val="fr-FR"/>
              </w:rPr>
              <w:t> </w:t>
            </w:r>
            <w:r w:rsidRPr="006869C0">
              <w:rPr>
                <w:lang w:val="fr-FR"/>
              </w:rPr>
              <w:t>questions relatives au paragraphe 8 de l</w:t>
            </w:r>
            <w:r>
              <w:rPr>
                <w:lang w:val="fr-FR"/>
              </w:rPr>
              <w:t>’</w:t>
            </w:r>
            <w:r w:rsidRPr="006869C0">
              <w:rPr>
                <w:lang w:val="fr-FR"/>
              </w:rPr>
              <w:t>article 3 de la</w:t>
            </w:r>
            <w:r w:rsidR="00856DE9">
              <w:rPr>
                <w:lang w:val="fr-FR"/>
              </w:rPr>
              <w:t> </w:t>
            </w:r>
            <w:r w:rsidRPr="006869C0">
              <w:rPr>
                <w:lang w:val="fr-FR"/>
              </w:rPr>
              <w:t>Convention</w:t>
            </w:r>
          </w:p>
          <w:p w14:paraId="27C7A869" w14:textId="77777777" w:rsidR="00EA7F6B" w:rsidRPr="006869C0" w:rsidRDefault="007664D7" w:rsidP="007664D7">
            <w:pPr>
              <w:suppressAutoHyphens w:val="0"/>
              <w:spacing w:before="40" w:after="120"/>
              <w:ind w:right="113"/>
              <w:rPr>
                <w:lang w:val="fr-FR"/>
              </w:rPr>
            </w:pPr>
            <w:r w:rsidRPr="006869C0">
              <w:rPr>
                <w:lang w:val="fr-FR"/>
              </w:rPr>
              <w:t>Le secrétariat</w:t>
            </w:r>
          </w:p>
        </w:tc>
        <w:tc>
          <w:tcPr>
            <w:tcW w:w="5067" w:type="dxa"/>
            <w:shd w:val="clear" w:color="auto" w:fill="auto"/>
          </w:tcPr>
          <w:p w14:paraId="31948662" w14:textId="77777777" w:rsidR="007664D7" w:rsidRPr="006869C0" w:rsidRDefault="007664D7" w:rsidP="007664D7">
            <w:pPr>
              <w:suppressAutoHyphens w:val="0"/>
              <w:spacing w:before="40" w:after="120"/>
              <w:rPr>
                <w:lang w:val="fr-FR"/>
              </w:rPr>
            </w:pPr>
            <w:r w:rsidRPr="006869C0">
              <w:rPr>
                <w:lang w:val="fr-FR"/>
              </w:rPr>
              <w:t>Le Rapporteur procède à des examens, entreprend des activités de suivi, donne des conseils, mène des missions d</w:t>
            </w:r>
            <w:r>
              <w:rPr>
                <w:lang w:val="fr-FR"/>
              </w:rPr>
              <w:t>’</w:t>
            </w:r>
            <w:r w:rsidRPr="006869C0">
              <w:rPr>
                <w:lang w:val="fr-FR"/>
              </w:rPr>
              <w:t>enquête, prépare des décisions et établit des rapports sur les questions relatives au paragraphe 8 de l</w:t>
            </w:r>
            <w:r>
              <w:rPr>
                <w:lang w:val="fr-FR"/>
              </w:rPr>
              <w:t>’</w:t>
            </w:r>
            <w:r w:rsidRPr="006869C0">
              <w:rPr>
                <w:lang w:val="fr-FR"/>
              </w:rPr>
              <w:t>article 3 de la Convention.</w:t>
            </w:r>
          </w:p>
          <w:p w14:paraId="29F426F5" w14:textId="77777777" w:rsidR="00EA7F6B" w:rsidRPr="006869C0" w:rsidRDefault="007664D7" w:rsidP="007664D7">
            <w:pPr>
              <w:suppressAutoHyphens w:val="0"/>
              <w:spacing w:before="40" w:after="120"/>
              <w:rPr>
                <w:lang w:val="fr-FR"/>
              </w:rPr>
            </w:pPr>
            <w:r w:rsidRPr="006869C0">
              <w:rPr>
                <w:lang w:val="fr-FR"/>
              </w:rPr>
              <w:t>Recours aux ressources de la bibliothèque du Mécanisme d</w:t>
            </w:r>
            <w:r>
              <w:rPr>
                <w:lang w:val="fr-FR"/>
              </w:rPr>
              <w:t>’</w:t>
            </w:r>
            <w:r w:rsidRPr="006869C0">
              <w:rPr>
                <w:lang w:val="fr-FR"/>
              </w:rPr>
              <w:t>échange d</w:t>
            </w:r>
            <w:r>
              <w:rPr>
                <w:lang w:val="fr-FR"/>
              </w:rPr>
              <w:t>’</w:t>
            </w:r>
            <w:r w:rsidRPr="006869C0">
              <w:rPr>
                <w:lang w:val="fr-FR"/>
              </w:rPr>
              <w:t>informations d</w:t>
            </w:r>
            <w:r>
              <w:rPr>
                <w:lang w:val="fr-FR"/>
              </w:rPr>
              <w:t>’</w:t>
            </w:r>
            <w:r w:rsidRPr="006869C0">
              <w:rPr>
                <w:lang w:val="fr-FR"/>
              </w:rPr>
              <w:t>Aarhus sur la protection des défenseurs de l</w:t>
            </w:r>
            <w:r>
              <w:rPr>
                <w:lang w:val="fr-FR"/>
              </w:rPr>
              <w:t>’</w:t>
            </w:r>
            <w:r w:rsidRPr="006869C0">
              <w:rPr>
                <w:lang w:val="fr-FR"/>
              </w:rPr>
              <w:t>environnement ; élaboration de matériels</w:t>
            </w:r>
            <w:r>
              <w:rPr>
                <w:lang w:val="fr-FR"/>
              </w:rPr>
              <w:t xml:space="preserve"> </w:t>
            </w:r>
            <w:r w:rsidRPr="006869C0">
              <w:rPr>
                <w:lang w:val="fr-FR"/>
              </w:rPr>
              <w:t>de formation destinés à différents groupes cibles, tels que les fonctionnaires des administrations publiques, les forces de l</w:t>
            </w:r>
            <w:r>
              <w:rPr>
                <w:lang w:val="fr-FR"/>
              </w:rPr>
              <w:t>’</w:t>
            </w:r>
            <w:r w:rsidRPr="006869C0">
              <w:rPr>
                <w:lang w:val="fr-FR"/>
              </w:rPr>
              <w:t>ordre, les procureurs, les magistrats, les prestataires de services privés de sécurité et les promoteurs.</w:t>
            </w:r>
          </w:p>
        </w:tc>
        <w:tc>
          <w:tcPr>
            <w:tcW w:w="1195" w:type="dxa"/>
            <w:shd w:val="clear" w:color="auto" w:fill="auto"/>
          </w:tcPr>
          <w:p w14:paraId="1687582D" w14:textId="77777777" w:rsidR="00EA7F6B" w:rsidRPr="006869C0" w:rsidRDefault="00EA7F6B" w:rsidP="00457C42">
            <w:pPr>
              <w:suppressAutoHyphens w:val="0"/>
              <w:spacing w:before="40" w:after="120"/>
              <w:jc w:val="right"/>
              <w:rPr>
                <w:lang w:val="fr-FR"/>
              </w:rPr>
            </w:pPr>
          </w:p>
        </w:tc>
      </w:tr>
      <w:tr w:rsidR="006869C0" w:rsidRPr="006869C0" w14:paraId="13A29B48" w14:textId="77777777" w:rsidTr="00776DC4">
        <w:trPr>
          <w:cantSplit/>
        </w:trPr>
        <w:tc>
          <w:tcPr>
            <w:tcW w:w="1691" w:type="dxa"/>
            <w:shd w:val="clear" w:color="auto" w:fill="auto"/>
          </w:tcPr>
          <w:p w14:paraId="1BD0AC33" w14:textId="77777777" w:rsidR="006869C0" w:rsidRPr="006869C0" w:rsidRDefault="006869C0" w:rsidP="006869C0">
            <w:pPr>
              <w:suppressAutoHyphens w:val="0"/>
              <w:spacing w:before="40" w:after="120"/>
              <w:ind w:right="113"/>
            </w:pPr>
            <w:r w:rsidRPr="006869C0">
              <w:rPr>
                <w:lang w:val="fr-FR"/>
              </w:rPr>
              <w:t>VI. Renforcement des capacités</w:t>
            </w:r>
          </w:p>
        </w:tc>
        <w:tc>
          <w:tcPr>
            <w:tcW w:w="3696" w:type="dxa"/>
            <w:shd w:val="clear" w:color="auto" w:fill="auto"/>
          </w:tcPr>
          <w:p w14:paraId="2F6AF3C6" w14:textId="77777777" w:rsidR="006869C0" w:rsidRPr="006869C0" w:rsidRDefault="006869C0" w:rsidP="006869C0">
            <w:pPr>
              <w:suppressAutoHyphens w:val="0"/>
              <w:spacing w:before="40" w:after="120"/>
              <w:ind w:right="113"/>
              <w:rPr>
                <w:lang w:val="fr-FR"/>
              </w:rPr>
            </w:pPr>
            <w:r w:rsidRPr="006869C0">
              <w:rPr>
                <w:lang w:val="fr-FR"/>
              </w:rPr>
              <w:t>Coordination des activités de renforcement des capacités pour aider les pays à donner pleinement effet à la Convention ; application de mesures de renforcement des</w:t>
            </w:r>
            <w:r w:rsidR="000D732D">
              <w:rPr>
                <w:lang w:val="fr-FR"/>
              </w:rPr>
              <w:t> </w:t>
            </w:r>
            <w:r w:rsidRPr="006869C0">
              <w:rPr>
                <w:lang w:val="fr-FR"/>
              </w:rPr>
              <w:t>capacités aux niveaux régional et sous</w:t>
            </w:r>
            <w:r w:rsidR="000D732D">
              <w:rPr>
                <w:lang w:val="fr-FR"/>
              </w:rPr>
              <w:noBreakHyphen/>
            </w:r>
            <w:r w:rsidRPr="006869C0">
              <w:rPr>
                <w:lang w:val="fr-FR"/>
              </w:rPr>
              <w:t>régional</w:t>
            </w:r>
          </w:p>
          <w:p w14:paraId="3516C534" w14:textId="77777777" w:rsidR="006869C0" w:rsidRPr="006869C0" w:rsidRDefault="006869C0" w:rsidP="006869C0">
            <w:pPr>
              <w:suppressAutoHyphens w:val="0"/>
              <w:spacing w:before="40" w:after="120"/>
              <w:ind w:right="113"/>
              <w:rPr>
                <w:lang w:val="fr-FR"/>
              </w:rPr>
            </w:pPr>
            <w:r w:rsidRPr="006869C0">
              <w:rPr>
                <w:lang w:val="fr-FR"/>
              </w:rPr>
              <w:t>Fourniture de conseils aux Parties, en particulier sur l</w:t>
            </w:r>
            <w:r w:rsidR="00457C42">
              <w:rPr>
                <w:lang w:val="fr-FR"/>
              </w:rPr>
              <w:t>’</w:t>
            </w:r>
            <w:r w:rsidRPr="006869C0">
              <w:rPr>
                <w:lang w:val="fr-FR"/>
              </w:rPr>
              <w:t>application des décisions de</w:t>
            </w:r>
            <w:r w:rsidR="000D732D">
              <w:rPr>
                <w:lang w:val="fr-FR"/>
              </w:rPr>
              <w:t> </w:t>
            </w:r>
            <w:r w:rsidRPr="006869C0">
              <w:rPr>
                <w:lang w:val="fr-FR"/>
              </w:rPr>
              <w:t>la Réunion des Parties quant au respect des dispositions</w:t>
            </w:r>
          </w:p>
          <w:p w14:paraId="4598204D" w14:textId="77777777" w:rsidR="006869C0" w:rsidRPr="006869C0" w:rsidRDefault="006869C0" w:rsidP="006869C0">
            <w:pPr>
              <w:suppressAutoHyphens w:val="0"/>
              <w:spacing w:before="40" w:after="120"/>
              <w:ind w:right="113"/>
              <w:rPr>
                <w:lang w:val="fr-FR"/>
              </w:rPr>
            </w:pPr>
            <w:r w:rsidRPr="006869C0">
              <w:rPr>
                <w:lang w:val="fr-FR"/>
              </w:rPr>
              <w:t>(Tous les ODD concernés, principalement l</w:t>
            </w:r>
            <w:r w:rsidR="00457C42">
              <w:rPr>
                <w:lang w:val="fr-FR"/>
              </w:rPr>
              <w:t>’</w:t>
            </w:r>
            <w:r w:rsidRPr="006869C0">
              <w:rPr>
                <w:lang w:val="fr-FR"/>
              </w:rPr>
              <w:t>ODD 16)</w:t>
            </w:r>
          </w:p>
        </w:tc>
        <w:tc>
          <w:tcPr>
            <w:tcW w:w="2127" w:type="dxa"/>
            <w:shd w:val="clear" w:color="auto" w:fill="auto"/>
          </w:tcPr>
          <w:p w14:paraId="781BFD97" w14:textId="77777777" w:rsidR="006869C0" w:rsidRPr="006869C0" w:rsidRDefault="006869C0" w:rsidP="006869C0">
            <w:pPr>
              <w:suppressAutoHyphens w:val="0"/>
              <w:spacing w:before="40" w:after="120"/>
              <w:ind w:right="113"/>
              <w:rPr>
                <w:lang w:val="fr-FR"/>
              </w:rPr>
            </w:pPr>
            <w:r w:rsidRPr="006869C0">
              <w:rPr>
                <w:lang w:val="fr-FR"/>
              </w:rPr>
              <w:t>Le secrétariat, en étroite coopération avec d</w:t>
            </w:r>
            <w:r w:rsidR="00457C42">
              <w:rPr>
                <w:lang w:val="fr-FR"/>
              </w:rPr>
              <w:t>’</w:t>
            </w:r>
            <w:r w:rsidRPr="006869C0">
              <w:rPr>
                <w:lang w:val="fr-FR"/>
              </w:rPr>
              <w:t>autres parties prenantes</w:t>
            </w:r>
          </w:p>
          <w:p w14:paraId="64DC7EF7" w14:textId="77777777" w:rsidR="006869C0" w:rsidRPr="006869C0" w:rsidRDefault="006869C0" w:rsidP="006869C0">
            <w:pPr>
              <w:suppressAutoHyphens w:val="0"/>
              <w:spacing w:before="40" w:after="120"/>
              <w:ind w:right="113"/>
              <w:rPr>
                <w:lang w:val="fr-FR"/>
              </w:rPr>
            </w:pPr>
            <w:r w:rsidRPr="006869C0">
              <w:rPr>
                <w:lang w:val="fr-FR"/>
              </w:rPr>
              <w:t>Le secrétariat, en étroite coopération avec le Comité d</w:t>
            </w:r>
            <w:r w:rsidR="00457C42">
              <w:rPr>
                <w:lang w:val="fr-FR"/>
              </w:rPr>
              <w:t>’</w:t>
            </w:r>
            <w:r w:rsidRPr="006869C0">
              <w:rPr>
                <w:lang w:val="fr-FR"/>
              </w:rPr>
              <w:t>examen du respect des dispositions et d</w:t>
            </w:r>
            <w:r w:rsidR="00457C42">
              <w:rPr>
                <w:lang w:val="fr-FR"/>
              </w:rPr>
              <w:t>’</w:t>
            </w:r>
            <w:r w:rsidRPr="006869C0">
              <w:rPr>
                <w:lang w:val="fr-FR"/>
              </w:rPr>
              <w:t>autres parties prenantes</w:t>
            </w:r>
          </w:p>
        </w:tc>
        <w:tc>
          <w:tcPr>
            <w:tcW w:w="5067" w:type="dxa"/>
            <w:shd w:val="clear" w:color="auto" w:fill="auto"/>
          </w:tcPr>
          <w:p w14:paraId="79FFC655" w14:textId="77777777" w:rsidR="006869C0" w:rsidRPr="006869C0" w:rsidRDefault="006869C0" w:rsidP="00B4239D">
            <w:pPr>
              <w:suppressAutoHyphens w:val="0"/>
              <w:spacing w:before="40" w:after="100"/>
              <w:rPr>
                <w:lang w:val="fr-FR"/>
              </w:rPr>
            </w:pPr>
            <w:r w:rsidRPr="006869C0">
              <w:rPr>
                <w:lang w:val="fr-FR"/>
              </w:rPr>
              <w:t xml:space="preserve">Réunions de coordination </w:t>
            </w:r>
            <w:proofErr w:type="spellStart"/>
            <w:r w:rsidRPr="006869C0">
              <w:rPr>
                <w:lang w:val="fr-FR"/>
              </w:rPr>
              <w:t>interinstitutions</w:t>
            </w:r>
            <w:proofErr w:type="spellEnd"/>
            <w:r w:rsidRPr="006869C0">
              <w:rPr>
                <w:lang w:val="fr-FR"/>
              </w:rPr>
              <w:t> ; publication, sur les pages Web de</w:t>
            </w:r>
            <w:r w:rsidR="00C53881">
              <w:rPr>
                <w:lang w:val="fr-FR"/>
              </w:rPr>
              <w:t xml:space="preserve"> </w:t>
            </w:r>
            <w:r w:rsidRPr="006869C0">
              <w:rPr>
                <w:lang w:val="fr-FR"/>
              </w:rPr>
              <w:t>la Convention, d</w:t>
            </w:r>
            <w:r w:rsidR="00457C42">
              <w:rPr>
                <w:lang w:val="fr-FR"/>
              </w:rPr>
              <w:t>’</w:t>
            </w:r>
            <w:r w:rsidRPr="006869C0">
              <w:rPr>
                <w:lang w:val="fr-FR"/>
              </w:rPr>
              <w:t>informations actualisées sur les activités de renforcement des capacités ; recours au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Aarhus, utilisation de</w:t>
            </w:r>
            <w:r w:rsidR="00C53881">
              <w:rPr>
                <w:lang w:val="fr-FR"/>
              </w:rPr>
              <w:t xml:space="preserve"> </w:t>
            </w:r>
            <w:r w:rsidRPr="006869C0">
              <w:rPr>
                <w:lang w:val="fr-FR"/>
              </w:rPr>
              <w:t>ses bases de données et</w:t>
            </w:r>
            <w:r w:rsidR="00C53881">
              <w:rPr>
                <w:lang w:val="fr-FR"/>
              </w:rPr>
              <w:t xml:space="preserve"> </w:t>
            </w:r>
            <w:r w:rsidRPr="006869C0">
              <w:rPr>
                <w:lang w:val="fr-FR"/>
              </w:rPr>
              <w:t>d</w:t>
            </w:r>
            <w:r w:rsidR="00457C42">
              <w:rPr>
                <w:lang w:val="fr-FR"/>
              </w:rPr>
              <w:t>’</w:t>
            </w:r>
            <w:r w:rsidRPr="006869C0">
              <w:rPr>
                <w:lang w:val="fr-FR"/>
              </w:rPr>
              <w:t>autres outils de renforcement des capacités pour</w:t>
            </w:r>
            <w:r w:rsidR="00C53881">
              <w:rPr>
                <w:lang w:val="fr-FR"/>
              </w:rPr>
              <w:t xml:space="preserve"> </w:t>
            </w:r>
            <w:r w:rsidRPr="006869C0">
              <w:rPr>
                <w:lang w:val="fr-FR"/>
              </w:rPr>
              <w:t>faciliter l</w:t>
            </w:r>
            <w:r w:rsidR="00457C42">
              <w:rPr>
                <w:lang w:val="fr-FR"/>
              </w:rPr>
              <w:t>’</w:t>
            </w:r>
            <w:r w:rsidRPr="006869C0">
              <w:rPr>
                <w:lang w:val="fr-FR"/>
              </w:rPr>
              <w:t>échange d</w:t>
            </w:r>
            <w:r w:rsidR="00457C42">
              <w:rPr>
                <w:lang w:val="fr-FR"/>
              </w:rPr>
              <w:t>’</w:t>
            </w:r>
            <w:r w:rsidRPr="006869C0">
              <w:rPr>
                <w:lang w:val="fr-FR"/>
              </w:rPr>
              <w:t>informations sur les bonnes pratiques ; ateliers de formation et assistance technique faisant l</w:t>
            </w:r>
            <w:r w:rsidR="00457C42">
              <w:rPr>
                <w:lang w:val="fr-FR"/>
              </w:rPr>
              <w:t>’</w:t>
            </w:r>
            <w:r w:rsidRPr="006869C0">
              <w:rPr>
                <w:lang w:val="fr-FR"/>
              </w:rPr>
              <w:t>objet, dans la plupart des cas, d</w:t>
            </w:r>
            <w:r w:rsidR="00457C42">
              <w:rPr>
                <w:lang w:val="fr-FR"/>
              </w:rPr>
              <w:t>’</w:t>
            </w:r>
            <w:r w:rsidRPr="006869C0">
              <w:rPr>
                <w:lang w:val="fr-FR"/>
              </w:rPr>
              <w:t>un financement séparé au titre d</w:t>
            </w:r>
            <w:r w:rsidR="00457C42">
              <w:rPr>
                <w:lang w:val="fr-FR"/>
              </w:rPr>
              <w:t>’</w:t>
            </w:r>
            <w:r w:rsidRPr="006869C0">
              <w:rPr>
                <w:lang w:val="fr-FR"/>
              </w:rPr>
              <w:t>autres domaines d</w:t>
            </w:r>
            <w:r w:rsidR="00457C42">
              <w:rPr>
                <w:lang w:val="fr-FR"/>
              </w:rPr>
              <w:t>’</w:t>
            </w:r>
            <w:r w:rsidRPr="006869C0">
              <w:rPr>
                <w:lang w:val="fr-FR"/>
              </w:rPr>
              <w:t>activité ; activités de renforcement des capacités aux niveaux national et sous</w:t>
            </w:r>
            <w:r w:rsidR="00856DE9">
              <w:rPr>
                <w:lang w:val="fr-FR"/>
              </w:rPr>
              <w:noBreakHyphen/>
            </w:r>
            <w:r w:rsidRPr="006869C0">
              <w:rPr>
                <w:lang w:val="fr-FR"/>
              </w:rPr>
              <w:t>régional, qui devraient être</w:t>
            </w:r>
            <w:r w:rsidR="00C53881">
              <w:rPr>
                <w:lang w:val="fr-FR"/>
              </w:rPr>
              <w:t xml:space="preserve"> </w:t>
            </w:r>
            <w:r w:rsidRPr="006869C0">
              <w:rPr>
                <w:lang w:val="fr-FR"/>
              </w:rPr>
              <w:t>financées par les partenaires.</w:t>
            </w:r>
          </w:p>
          <w:p w14:paraId="6468ADB4" w14:textId="77777777" w:rsidR="006869C0" w:rsidRPr="006869C0" w:rsidRDefault="006869C0" w:rsidP="00B4239D">
            <w:pPr>
              <w:suppressAutoHyphens w:val="0"/>
              <w:spacing w:before="40" w:after="100"/>
              <w:rPr>
                <w:lang w:val="fr-FR"/>
              </w:rPr>
            </w:pPr>
            <w:r w:rsidRPr="006869C0">
              <w:rPr>
                <w:lang w:val="fr-FR"/>
              </w:rPr>
              <w:t>Le secrétariat aide les Parties au besoin.</w:t>
            </w:r>
          </w:p>
        </w:tc>
        <w:tc>
          <w:tcPr>
            <w:tcW w:w="1195" w:type="dxa"/>
            <w:shd w:val="clear" w:color="auto" w:fill="auto"/>
          </w:tcPr>
          <w:p w14:paraId="1EDCB1ED" w14:textId="77777777" w:rsidR="006869C0" w:rsidRPr="006869C0" w:rsidRDefault="006869C0" w:rsidP="00856DE9">
            <w:pPr>
              <w:suppressAutoHyphens w:val="0"/>
              <w:spacing w:before="40" w:after="120"/>
              <w:jc w:val="right"/>
            </w:pPr>
            <w:r w:rsidRPr="006869C0">
              <w:rPr>
                <w:lang w:val="fr-FR"/>
              </w:rPr>
              <w:t>177</w:t>
            </w:r>
            <w:r w:rsidR="00856DE9">
              <w:rPr>
                <w:lang w:val="fr-FR"/>
              </w:rPr>
              <w:t> </w:t>
            </w:r>
            <w:r w:rsidRPr="006869C0">
              <w:rPr>
                <w:lang w:val="fr-FR"/>
              </w:rPr>
              <w:t>000</w:t>
            </w:r>
            <w:r w:rsidR="00856DE9">
              <w:rPr>
                <w:lang w:val="fr-FR"/>
              </w:rPr>
              <w:br/>
            </w:r>
            <w:r w:rsidRPr="006869C0">
              <w:rPr>
                <w:lang w:val="fr-FR"/>
              </w:rPr>
              <w:t>(17 000)</w:t>
            </w:r>
          </w:p>
        </w:tc>
      </w:tr>
      <w:tr w:rsidR="006869C0" w:rsidRPr="006869C0" w14:paraId="0FE85C81" w14:textId="77777777" w:rsidTr="00776DC4">
        <w:tc>
          <w:tcPr>
            <w:tcW w:w="1691" w:type="dxa"/>
            <w:shd w:val="clear" w:color="auto" w:fill="auto"/>
          </w:tcPr>
          <w:p w14:paraId="602BC5E3" w14:textId="77777777" w:rsidR="006869C0" w:rsidRPr="006869C0" w:rsidRDefault="006869C0" w:rsidP="006869C0">
            <w:pPr>
              <w:suppressAutoHyphens w:val="0"/>
              <w:spacing w:before="40" w:after="120"/>
              <w:ind w:right="113"/>
              <w:rPr>
                <w:lang w:val="fr-FR"/>
              </w:rPr>
            </w:pPr>
            <w:r w:rsidRPr="006869C0">
              <w:rPr>
                <w:lang w:val="fr-FR"/>
              </w:rPr>
              <w:t>VII. Mécanisme d</w:t>
            </w:r>
            <w:r w:rsidR="00457C42">
              <w:rPr>
                <w:lang w:val="fr-FR"/>
              </w:rPr>
              <w:t>’</w:t>
            </w:r>
            <w:r w:rsidRPr="006869C0">
              <w:rPr>
                <w:lang w:val="fr-FR"/>
              </w:rPr>
              <w:t>établissement de</w:t>
            </w:r>
            <w:r w:rsidR="00856DE9">
              <w:rPr>
                <w:lang w:val="fr-FR"/>
              </w:rPr>
              <w:t> </w:t>
            </w:r>
            <w:r w:rsidRPr="006869C0">
              <w:rPr>
                <w:lang w:val="fr-FR"/>
              </w:rPr>
              <w:t>rapports</w:t>
            </w:r>
          </w:p>
        </w:tc>
        <w:tc>
          <w:tcPr>
            <w:tcW w:w="3696" w:type="dxa"/>
            <w:shd w:val="clear" w:color="auto" w:fill="auto"/>
          </w:tcPr>
          <w:p w14:paraId="0A53802B" w14:textId="77777777" w:rsidR="006869C0" w:rsidRPr="006869C0" w:rsidRDefault="006869C0" w:rsidP="006869C0">
            <w:pPr>
              <w:suppressAutoHyphens w:val="0"/>
              <w:spacing w:before="40" w:after="120"/>
              <w:ind w:right="113"/>
              <w:rPr>
                <w:lang w:val="fr-FR"/>
              </w:rPr>
            </w:pPr>
            <w:r w:rsidRPr="006869C0">
              <w:rPr>
                <w:lang w:val="fr-FR"/>
              </w:rPr>
              <w:t>Établissement de rapports nationaux d</w:t>
            </w:r>
            <w:r w:rsidR="00457C42">
              <w:rPr>
                <w:lang w:val="fr-FR"/>
              </w:rPr>
              <w:t>’</w:t>
            </w:r>
            <w:r w:rsidRPr="006869C0">
              <w:rPr>
                <w:lang w:val="fr-FR"/>
              </w:rPr>
              <w:t>exécution et d</w:t>
            </w:r>
            <w:r w:rsidR="00457C42">
              <w:rPr>
                <w:lang w:val="fr-FR"/>
              </w:rPr>
              <w:t>’</w:t>
            </w:r>
            <w:r w:rsidRPr="006869C0">
              <w:rPr>
                <w:lang w:val="fr-FR"/>
              </w:rPr>
              <w:t>un rapport de synthèse</w:t>
            </w:r>
          </w:p>
        </w:tc>
        <w:tc>
          <w:tcPr>
            <w:tcW w:w="2127" w:type="dxa"/>
            <w:shd w:val="clear" w:color="auto" w:fill="auto"/>
          </w:tcPr>
          <w:p w14:paraId="406897E9" w14:textId="77777777" w:rsidR="006869C0" w:rsidRPr="006869C0" w:rsidRDefault="006869C0" w:rsidP="0062069F">
            <w:pPr>
              <w:suppressAutoHyphens w:val="0"/>
              <w:spacing w:before="40" w:after="320"/>
              <w:ind w:right="113"/>
              <w:rPr>
                <w:lang w:val="fr-FR"/>
              </w:rPr>
            </w:pPr>
            <w:r w:rsidRPr="006869C0">
              <w:rPr>
                <w:lang w:val="fr-FR"/>
              </w:rPr>
              <w:t>Le secrétariat, qui fera appel si nécessaire à des experts et à du personnel d</w:t>
            </w:r>
            <w:r w:rsidR="00457C42">
              <w:rPr>
                <w:lang w:val="fr-FR"/>
              </w:rPr>
              <w:t>’</w:t>
            </w:r>
            <w:r w:rsidRPr="006869C0">
              <w:rPr>
                <w:lang w:val="fr-FR"/>
              </w:rPr>
              <w:t>appui administratif</w:t>
            </w:r>
          </w:p>
          <w:p w14:paraId="07989885" w14:textId="77777777" w:rsidR="006869C0" w:rsidRPr="006869C0" w:rsidRDefault="006869C0" w:rsidP="006869C0">
            <w:pPr>
              <w:suppressAutoHyphens w:val="0"/>
              <w:spacing w:before="40" w:after="120"/>
              <w:ind w:right="113"/>
              <w:rPr>
                <w:lang w:val="fr-FR"/>
              </w:rPr>
            </w:pPr>
            <w:r w:rsidRPr="006869C0">
              <w:rPr>
                <w:lang w:val="fr-FR"/>
              </w:rPr>
              <w:t>Le Comité d</w:t>
            </w:r>
            <w:r w:rsidR="00457C42">
              <w:rPr>
                <w:lang w:val="fr-FR"/>
              </w:rPr>
              <w:t>’</w:t>
            </w:r>
            <w:r w:rsidRPr="006869C0">
              <w:rPr>
                <w:lang w:val="fr-FR"/>
              </w:rPr>
              <w:t>examen du respect des dispositions</w:t>
            </w:r>
          </w:p>
        </w:tc>
        <w:tc>
          <w:tcPr>
            <w:tcW w:w="5067" w:type="dxa"/>
            <w:shd w:val="clear" w:color="auto" w:fill="auto"/>
          </w:tcPr>
          <w:p w14:paraId="041FD5C0" w14:textId="77777777" w:rsidR="006869C0" w:rsidRPr="006869C0" w:rsidRDefault="006869C0" w:rsidP="00C53881">
            <w:pPr>
              <w:suppressAutoHyphens w:val="0"/>
              <w:spacing w:before="40" w:after="120"/>
              <w:rPr>
                <w:lang w:val="fr-FR"/>
              </w:rPr>
            </w:pPr>
            <w:r w:rsidRPr="006869C0">
              <w:rPr>
                <w:lang w:val="fr-FR"/>
              </w:rPr>
              <w:t>Élaboration du rapport de synthèse et traitement des rapports nationaux d</w:t>
            </w:r>
            <w:r w:rsidR="00457C42">
              <w:rPr>
                <w:lang w:val="fr-FR"/>
              </w:rPr>
              <w:t>’</w:t>
            </w:r>
            <w:r w:rsidRPr="006869C0">
              <w:rPr>
                <w:lang w:val="fr-FR"/>
              </w:rPr>
              <w:t>exécution.</w:t>
            </w:r>
          </w:p>
          <w:p w14:paraId="5457D967" w14:textId="77777777" w:rsidR="006869C0" w:rsidRPr="006869C0" w:rsidRDefault="006869C0" w:rsidP="00B4239D">
            <w:pPr>
              <w:suppressAutoHyphens w:val="0"/>
              <w:spacing w:before="40" w:after="100"/>
              <w:rPr>
                <w:lang w:val="fr-FR"/>
              </w:rPr>
            </w:pPr>
            <w:r w:rsidRPr="006869C0">
              <w:rPr>
                <w:lang w:val="fr-FR"/>
              </w:rPr>
              <w:t>Analyse des rapports et établissement d</w:t>
            </w:r>
            <w:r w:rsidR="00457C42">
              <w:rPr>
                <w:lang w:val="fr-FR"/>
              </w:rPr>
              <w:t>’</w:t>
            </w:r>
            <w:r w:rsidRPr="006869C0">
              <w:rPr>
                <w:lang w:val="fr-FR"/>
              </w:rPr>
              <w:t>un rapport de synthèse.</w:t>
            </w:r>
          </w:p>
          <w:p w14:paraId="493C162A" w14:textId="77777777" w:rsidR="006869C0" w:rsidRPr="006869C0" w:rsidRDefault="006869C0" w:rsidP="00B4239D">
            <w:pPr>
              <w:suppressAutoHyphens w:val="0"/>
              <w:spacing w:before="40" w:after="100"/>
              <w:rPr>
                <w:lang w:val="fr-FR"/>
              </w:rPr>
            </w:pPr>
            <w:r w:rsidRPr="006869C0">
              <w:rPr>
                <w:lang w:val="fr-FR"/>
              </w:rPr>
              <w:t>Utilisation des rapports nationaux d</w:t>
            </w:r>
            <w:r w:rsidR="00457C42">
              <w:rPr>
                <w:lang w:val="fr-FR"/>
              </w:rPr>
              <w:t>’</w:t>
            </w:r>
            <w:r w:rsidRPr="006869C0">
              <w:rPr>
                <w:lang w:val="fr-FR"/>
              </w:rPr>
              <w:t>exécution pour</w:t>
            </w:r>
            <w:r w:rsidR="00C53881">
              <w:rPr>
                <w:lang w:val="fr-FR"/>
              </w:rPr>
              <w:t xml:space="preserve"> </w:t>
            </w:r>
            <w:r w:rsidRPr="006869C0">
              <w:rPr>
                <w:lang w:val="fr-FR"/>
              </w:rPr>
              <w:t>recenser les thèmes qui pourront être traités par les</w:t>
            </w:r>
            <w:r w:rsidR="00C53881">
              <w:rPr>
                <w:lang w:val="fr-FR"/>
              </w:rPr>
              <w:t xml:space="preserve"> </w:t>
            </w:r>
            <w:r w:rsidRPr="006869C0">
              <w:rPr>
                <w:lang w:val="fr-FR"/>
              </w:rPr>
              <w:t>équipes spéciales et d</w:t>
            </w:r>
            <w:r w:rsidR="00457C42">
              <w:rPr>
                <w:lang w:val="fr-FR"/>
              </w:rPr>
              <w:t>’</w:t>
            </w:r>
            <w:r w:rsidRPr="006869C0">
              <w:rPr>
                <w:lang w:val="fr-FR"/>
              </w:rPr>
              <w:t>autres activités.</w:t>
            </w:r>
          </w:p>
        </w:tc>
        <w:tc>
          <w:tcPr>
            <w:tcW w:w="1195" w:type="dxa"/>
            <w:shd w:val="clear" w:color="auto" w:fill="auto"/>
          </w:tcPr>
          <w:p w14:paraId="212B299E" w14:textId="77777777" w:rsidR="006869C0" w:rsidRPr="006869C0" w:rsidRDefault="006869C0" w:rsidP="00457C42">
            <w:pPr>
              <w:suppressAutoHyphens w:val="0"/>
              <w:spacing w:before="40" w:after="120"/>
              <w:jc w:val="right"/>
            </w:pPr>
            <w:r w:rsidRPr="006869C0">
              <w:rPr>
                <w:lang w:val="fr-FR"/>
              </w:rPr>
              <w:t>7 500</w:t>
            </w:r>
          </w:p>
        </w:tc>
      </w:tr>
      <w:tr w:rsidR="006869C0" w:rsidRPr="006869C0" w14:paraId="7198131F" w14:textId="77777777" w:rsidTr="00776DC4">
        <w:tc>
          <w:tcPr>
            <w:tcW w:w="5387" w:type="dxa"/>
            <w:gridSpan w:val="2"/>
            <w:shd w:val="clear" w:color="auto" w:fill="auto"/>
          </w:tcPr>
          <w:p w14:paraId="60318CFD" w14:textId="77777777" w:rsidR="006869C0" w:rsidRPr="006869C0" w:rsidRDefault="006869C0" w:rsidP="00AE3BB6">
            <w:pPr>
              <w:suppressAutoHyphens w:val="0"/>
              <w:spacing w:before="40" w:after="120"/>
              <w:ind w:right="113"/>
              <w:rPr>
                <w:b/>
              </w:rPr>
            </w:pPr>
            <w:r w:rsidRPr="006869C0">
              <w:rPr>
                <w:b/>
                <w:bCs/>
                <w:lang w:val="fr-FR"/>
              </w:rPr>
              <w:lastRenderedPageBreak/>
              <w:t>Sensibilisation et promotion</w:t>
            </w:r>
            <w:bookmarkStart w:id="7" w:name="_GoBack"/>
            <w:bookmarkEnd w:id="7"/>
          </w:p>
        </w:tc>
        <w:tc>
          <w:tcPr>
            <w:tcW w:w="2127" w:type="dxa"/>
            <w:shd w:val="clear" w:color="auto" w:fill="auto"/>
          </w:tcPr>
          <w:p w14:paraId="67FAB4BA" w14:textId="77777777" w:rsidR="006869C0" w:rsidRPr="006869C0" w:rsidRDefault="006869C0" w:rsidP="006869C0">
            <w:pPr>
              <w:suppressAutoHyphens w:val="0"/>
              <w:spacing w:before="40" w:after="120"/>
              <w:ind w:right="113"/>
            </w:pPr>
          </w:p>
        </w:tc>
        <w:tc>
          <w:tcPr>
            <w:tcW w:w="5067" w:type="dxa"/>
            <w:shd w:val="clear" w:color="auto" w:fill="auto"/>
          </w:tcPr>
          <w:p w14:paraId="17F43637" w14:textId="77777777" w:rsidR="006869C0" w:rsidRPr="006869C0" w:rsidRDefault="006869C0" w:rsidP="00C53881">
            <w:pPr>
              <w:suppressAutoHyphens w:val="0"/>
              <w:spacing w:before="40" w:after="120"/>
            </w:pPr>
          </w:p>
        </w:tc>
        <w:tc>
          <w:tcPr>
            <w:tcW w:w="1195" w:type="dxa"/>
            <w:shd w:val="clear" w:color="auto" w:fill="auto"/>
          </w:tcPr>
          <w:p w14:paraId="0ED08C03" w14:textId="77777777" w:rsidR="006869C0" w:rsidRPr="006869C0" w:rsidRDefault="006869C0" w:rsidP="00457C42">
            <w:pPr>
              <w:suppressAutoHyphens w:val="0"/>
              <w:spacing w:before="40" w:after="120"/>
              <w:jc w:val="right"/>
            </w:pPr>
          </w:p>
        </w:tc>
      </w:tr>
      <w:tr w:rsidR="006869C0" w:rsidRPr="006869C0" w14:paraId="6704A40C" w14:textId="77777777" w:rsidTr="00776DC4">
        <w:tc>
          <w:tcPr>
            <w:tcW w:w="1691" w:type="dxa"/>
            <w:shd w:val="clear" w:color="auto" w:fill="auto"/>
          </w:tcPr>
          <w:p w14:paraId="722289C4" w14:textId="77777777" w:rsidR="006869C0" w:rsidRPr="006869C0" w:rsidRDefault="006869C0" w:rsidP="00E2585D">
            <w:pPr>
              <w:suppressAutoHyphens w:val="0"/>
              <w:spacing w:before="40" w:after="120"/>
              <w:ind w:right="113"/>
              <w:rPr>
                <w:bCs/>
                <w:lang w:val="fr-FR"/>
              </w:rPr>
            </w:pPr>
            <w:r w:rsidRPr="006869C0">
              <w:rPr>
                <w:lang w:val="fr-FR"/>
              </w:rPr>
              <w:t>VIII. Sensibilisation et</w:t>
            </w:r>
            <w:r w:rsidR="000D732D">
              <w:rPr>
                <w:lang w:val="fr-FR"/>
              </w:rPr>
              <w:t> </w:t>
            </w:r>
            <w:r w:rsidRPr="006869C0">
              <w:rPr>
                <w:lang w:val="fr-FR"/>
              </w:rPr>
              <w:t>promotion de la</w:t>
            </w:r>
            <w:r w:rsidR="00E2585D">
              <w:rPr>
                <w:lang w:val="fr-FR"/>
              </w:rPr>
              <w:t> </w:t>
            </w:r>
            <w:r w:rsidRPr="006869C0">
              <w:rPr>
                <w:lang w:val="fr-FR"/>
              </w:rPr>
              <w:t xml:space="preserve">Convention, </w:t>
            </w:r>
            <w:r w:rsidR="0050281E">
              <w:rPr>
                <w:lang w:val="fr-FR"/>
              </w:rPr>
              <w:t>y compris</w:t>
            </w:r>
            <w:r w:rsidRPr="006869C0">
              <w:rPr>
                <w:lang w:val="fr-FR"/>
              </w:rPr>
              <w:t xml:space="preserve"> par les moyens suivants :</w:t>
            </w:r>
          </w:p>
          <w:p w14:paraId="320C07A2" w14:textId="77777777" w:rsidR="006869C0" w:rsidRPr="006869C0" w:rsidRDefault="006869C0" w:rsidP="006869C0">
            <w:pPr>
              <w:suppressAutoHyphens w:val="0"/>
              <w:spacing w:before="40" w:after="120"/>
              <w:ind w:right="113"/>
              <w:rPr>
                <w:bCs/>
                <w:lang w:val="fr-FR"/>
              </w:rPr>
            </w:pPr>
            <w:r w:rsidRPr="006869C0">
              <w:rPr>
                <w:lang w:val="fr-FR"/>
              </w:rPr>
              <w:t>VIII.1. Stratégie de</w:t>
            </w:r>
            <w:r w:rsidR="009325B8">
              <w:rPr>
                <w:lang w:val="fr-FR"/>
              </w:rPr>
              <w:t> </w:t>
            </w:r>
            <w:r w:rsidRPr="006869C0">
              <w:rPr>
                <w:lang w:val="fr-FR"/>
              </w:rPr>
              <w:t>communication</w:t>
            </w:r>
          </w:p>
          <w:p w14:paraId="128DAD31" w14:textId="77777777" w:rsidR="006869C0" w:rsidRPr="006869C0" w:rsidRDefault="006869C0" w:rsidP="00E2585D">
            <w:pPr>
              <w:suppressAutoHyphens w:val="0"/>
              <w:spacing w:before="40" w:after="120"/>
              <w:ind w:right="113"/>
              <w:rPr>
                <w:lang w:val="fr-FR"/>
              </w:rPr>
            </w:pPr>
            <w:r w:rsidRPr="006869C0">
              <w:rPr>
                <w:lang w:val="fr-FR"/>
              </w:rPr>
              <w:t>VIII.3. Appui à des États non membres de la CEE en vue de leur adhésion</w:t>
            </w:r>
            <w:r w:rsidR="00C53881">
              <w:rPr>
                <w:lang w:val="fr-FR"/>
              </w:rPr>
              <w:t xml:space="preserve"> </w:t>
            </w:r>
            <w:r w:rsidRPr="006869C0">
              <w:rPr>
                <w:lang w:val="fr-FR"/>
              </w:rPr>
              <w:t>à la Convention</w:t>
            </w:r>
          </w:p>
          <w:p w14:paraId="6039F462" w14:textId="77777777" w:rsidR="006869C0" w:rsidRPr="006869C0" w:rsidRDefault="006869C0" w:rsidP="006869C0">
            <w:pPr>
              <w:suppressAutoHyphens w:val="0"/>
              <w:spacing w:before="40" w:after="120"/>
              <w:ind w:right="113"/>
              <w:rPr>
                <w:lang w:val="fr-FR"/>
              </w:rPr>
            </w:pPr>
            <w:r w:rsidRPr="006869C0">
              <w:rPr>
                <w:lang w:val="fr-FR"/>
              </w:rPr>
              <w:t>VIII.4. Appui aux</w:t>
            </w:r>
            <w:r w:rsidR="00776DC4">
              <w:rPr>
                <w:lang w:val="fr-FR"/>
              </w:rPr>
              <w:t> </w:t>
            </w:r>
            <w:r w:rsidRPr="006869C0">
              <w:rPr>
                <w:lang w:val="fr-FR"/>
              </w:rPr>
              <w:t xml:space="preserve">initiatives régionales et mondiales se rapportant au Principe 10 de la Déclaration de Rio </w:t>
            </w:r>
          </w:p>
        </w:tc>
        <w:tc>
          <w:tcPr>
            <w:tcW w:w="3696" w:type="dxa"/>
            <w:shd w:val="clear" w:color="auto" w:fill="auto"/>
          </w:tcPr>
          <w:p w14:paraId="2A614DA9" w14:textId="77777777" w:rsidR="006869C0" w:rsidRPr="006869C0" w:rsidRDefault="006869C0" w:rsidP="00E2585D">
            <w:pPr>
              <w:suppressAutoHyphens w:val="0"/>
              <w:spacing w:before="40" w:after="120"/>
              <w:ind w:right="113"/>
              <w:rPr>
                <w:lang w:val="fr-FR"/>
              </w:rPr>
            </w:pPr>
            <w:r w:rsidRPr="006869C0">
              <w:rPr>
                <w:lang w:val="fr-FR"/>
              </w:rPr>
              <w:t>Les activités seront centrées sur les aspects suivants :</w:t>
            </w:r>
          </w:p>
          <w:p w14:paraId="71ED221C" w14:textId="77777777" w:rsidR="006869C0" w:rsidRPr="006869C0" w:rsidRDefault="006869C0" w:rsidP="00E2585D">
            <w:pPr>
              <w:suppressAutoHyphens w:val="0"/>
              <w:spacing w:before="40" w:after="120"/>
              <w:ind w:right="113"/>
              <w:rPr>
                <w:lang w:val="fr-FR"/>
              </w:rPr>
            </w:pPr>
            <w:r w:rsidRPr="006869C0">
              <w:rPr>
                <w:lang w:val="fr-FR"/>
              </w:rPr>
              <w:t>a)</w:t>
            </w:r>
            <w:r w:rsidRPr="006869C0">
              <w:rPr>
                <w:lang w:val="fr-FR"/>
              </w:rPr>
              <w:tab/>
              <w:t>Faire connaître la Convention au public dans l</w:t>
            </w:r>
            <w:r w:rsidR="00457C42">
              <w:rPr>
                <w:lang w:val="fr-FR"/>
              </w:rPr>
              <w:t>’</w:t>
            </w:r>
            <w:r w:rsidRPr="006869C0">
              <w:rPr>
                <w:lang w:val="fr-FR"/>
              </w:rPr>
              <w:t>ensemble de la région de la CEE et au-delà ;</w:t>
            </w:r>
          </w:p>
          <w:p w14:paraId="31428495" w14:textId="77777777" w:rsidR="006869C0" w:rsidRPr="006869C0" w:rsidRDefault="006869C0" w:rsidP="00E2585D">
            <w:pPr>
              <w:suppressAutoHyphens w:val="0"/>
              <w:spacing w:before="40" w:after="120"/>
              <w:ind w:right="113"/>
              <w:rPr>
                <w:lang w:val="fr-FR"/>
              </w:rPr>
            </w:pPr>
            <w:r w:rsidRPr="006869C0">
              <w:rPr>
                <w:lang w:val="fr-FR"/>
              </w:rPr>
              <w:t>b)</w:t>
            </w:r>
            <w:r w:rsidRPr="006869C0">
              <w:rPr>
                <w:lang w:val="fr-FR"/>
              </w:rPr>
              <w:tab/>
              <w:t>Accroître le nombre de Parties à la Convention ;</w:t>
            </w:r>
          </w:p>
          <w:p w14:paraId="5FE51E12" w14:textId="77777777" w:rsidR="006869C0" w:rsidRPr="006869C0" w:rsidRDefault="006869C0" w:rsidP="006869C0">
            <w:pPr>
              <w:suppressAutoHyphens w:val="0"/>
              <w:spacing w:before="40" w:after="120"/>
              <w:ind w:right="113"/>
              <w:rPr>
                <w:lang w:val="fr-FR"/>
              </w:rPr>
            </w:pPr>
            <w:r w:rsidRPr="006869C0">
              <w:rPr>
                <w:lang w:val="fr-FR"/>
              </w:rPr>
              <w:t>c)</w:t>
            </w:r>
            <w:r w:rsidRPr="006869C0">
              <w:rPr>
                <w:lang w:val="fr-FR"/>
              </w:rPr>
              <w:tab/>
              <w:t>Appuyer les initiatives régionales et mondiales se rapportant au Principe 10 de la Déclaration de Rio sur l</w:t>
            </w:r>
            <w:r w:rsidR="00457C42">
              <w:rPr>
                <w:lang w:val="fr-FR"/>
              </w:rPr>
              <w:t>’</w:t>
            </w:r>
            <w:r w:rsidRPr="006869C0">
              <w:rPr>
                <w:lang w:val="fr-FR"/>
              </w:rPr>
              <w:t>environnement et le développement</w:t>
            </w:r>
            <w:r w:rsidR="009325B8">
              <w:rPr>
                <w:lang w:val="fr-FR"/>
              </w:rPr>
              <w:t>.</w:t>
            </w:r>
          </w:p>
          <w:p w14:paraId="73BF7F7D" w14:textId="77777777" w:rsidR="006869C0" w:rsidRPr="006869C0" w:rsidRDefault="006869C0" w:rsidP="006869C0">
            <w:pPr>
              <w:suppressAutoHyphens w:val="0"/>
              <w:spacing w:before="40" w:after="120"/>
              <w:ind w:right="113"/>
              <w:rPr>
                <w:lang w:val="fr-FR"/>
              </w:rPr>
            </w:pPr>
            <w:r w:rsidRPr="006869C0">
              <w:rPr>
                <w:lang w:val="fr-FR"/>
              </w:rPr>
              <w:t>Ces activités devraient être entreprises en synergie avec les activités pertinentes du programme de travail relatif au</w:t>
            </w:r>
            <w:r w:rsidR="00C53881">
              <w:rPr>
                <w:lang w:val="fr-FR"/>
              </w:rPr>
              <w:t xml:space="preserve"> </w:t>
            </w:r>
            <w:r w:rsidRPr="006869C0">
              <w:rPr>
                <w:lang w:val="fr-FR"/>
              </w:rPr>
              <w:t>Protocole sur les registres des rejets et transferts de polluants.</w:t>
            </w:r>
          </w:p>
          <w:p w14:paraId="148ACE48" w14:textId="77777777" w:rsidR="006869C0" w:rsidRPr="006869C0" w:rsidRDefault="006869C0" w:rsidP="00E2585D">
            <w:pPr>
              <w:suppressAutoHyphens w:val="0"/>
              <w:spacing w:before="40" w:after="120"/>
              <w:ind w:right="113"/>
              <w:rPr>
                <w:lang w:val="fr-FR"/>
              </w:rPr>
            </w:pPr>
            <w:r w:rsidRPr="006869C0">
              <w:rPr>
                <w:lang w:val="fr-FR"/>
              </w:rPr>
              <w:t>Les activités du domaine VIII seront menées en synergie avec celles du domaine IX.</w:t>
            </w:r>
            <w:r w:rsidR="00E2585D">
              <w:rPr>
                <w:lang w:val="fr-FR"/>
              </w:rPr>
              <w:br/>
            </w:r>
            <w:r w:rsidRPr="006869C0">
              <w:rPr>
                <w:lang w:val="fr-FR"/>
              </w:rPr>
              <w:t>(Elles contribuent principalement à la réalisation des ODD 4, 12, 16 et 17)</w:t>
            </w:r>
          </w:p>
        </w:tc>
        <w:tc>
          <w:tcPr>
            <w:tcW w:w="2127" w:type="dxa"/>
            <w:shd w:val="clear" w:color="auto" w:fill="auto"/>
          </w:tcPr>
          <w:p w14:paraId="2C185AFA" w14:textId="77777777" w:rsidR="006869C0" w:rsidRPr="006869C0" w:rsidRDefault="006869C0" w:rsidP="006869C0">
            <w:pPr>
              <w:suppressAutoHyphens w:val="0"/>
              <w:spacing w:before="40" w:after="120"/>
              <w:ind w:right="113"/>
              <w:rPr>
                <w:lang w:val="fr-FR"/>
              </w:rPr>
            </w:pPr>
            <w:r w:rsidRPr="006869C0">
              <w:rPr>
                <w:lang w:val="fr-FR"/>
              </w:rPr>
              <w:t>Le secrétariat</w:t>
            </w:r>
          </w:p>
          <w:p w14:paraId="3D66F2DA" w14:textId="77777777" w:rsidR="006869C0" w:rsidRPr="006869C0" w:rsidRDefault="006869C0" w:rsidP="006869C0">
            <w:pPr>
              <w:suppressAutoHyphens w:val="0"/>
              <w:spacing w:before="40" w:after="120"/>
              <w:ind w:right="113"/>
              <w:rPr>
                <w:lang w:val="fr-FR"/>
              </w:rPr>
            </w:pPr>
            <w:r w:rsidRPr="006869C0">
              <w:rPr>
                <w:lang w:val="fr-FR"/>
              </w:rPr>
              <w:t>Le Bureau de la Réunion des</w:t>
            </w:r>
            <w:r w:rsidR="007F3B7C">
              <w:rPr>
                <w:lang w:val="fr-FR"/>
              </w:rPr>
              <w:t> </w:t>
            </w:r>
            <w:r w:rsidRPr="006869C0">
              <w:rPr>
                <w:lang w:val="fr-FR"/>
              </w:rPr>
              <w:t>Parties</w:t>
            </w:r>
          </w:p>
          <w:p w14:paraId="317F5A5B" w14:textId="77777777" w:rsidR="006869C0" w:rsidRPr="006869C0" w:rsidRDefault="006869C0" w:rsidP="006869C0">
            <w:pPr>
              <w:suppressAutoHyphens w:val="0"/>
              <w:spacing w:before="40" w:after="120"/>
              <w:ind w:right="113"/>
              <w:rPr>
                <w:lang w:val="fr-FR"/>
              </w:rPr>
            </w:pPr>
            <w:r w:rsidRPr="006869C0">
              <w:rPr>
                <w:lang w:val="fr-FR"/>
              </w:rPr>
              <w:t>Le Groupe de travail des Parties</w:t>
            </w:r>
          </w:p>
        </w:tc>
        <w:tc>
          <w:tcPr>
            <w:tcW w:w="5067" w:type="dxa"/>
            <w:shd w:val="clear" w:color="auto" w:fill="auto"/>
          </w:tcPr>
          <w:p w14:paraId="7DBA21A2" w14:textId="77777777" w:rsidR="006869C0" w:rsidRPr="006869C0" w:rsidRDefault="006869C0" w:rsidP="00B4239D">
            <w:pPr>
              <w:suppressAutoHyphens w:val="0"/>
              <w:spacing w:before="40" w:after="100"/>
              <w:rPr>
                <w:lang w:val="fr-FR"/>
              </w:rPr>
            </w:pPr>
            <w:r w:rsidRPr="006869C0">
              <w:rPr>
                <w:lang w:val="fr-FR"/>
              </w:rPr>
              <w:t>Participation à des manifestations et processus régionaux et internationaux de première importance ; recours à des modalités de coopération bilatérale, régionale et internationale en vue de susciter de l</w:t>
            </w:r>
            <w:r w:rsidR="00457C42">
              <w:rPr>
                <w:lang w:val="fr-FR"/>
              </w:rPr>
              <w:t>’</w:t>
            </w:r>
            <w:r w:rsidRPr="006869C0">
              <w:rPr>
                <w:lang w:val="fr-FR"/>
              </w:rPr>
              <w:t>intérêt pour la Convention (Politique européenne de voisinage, par exemple) ; contribution à des processus internationaux étroitement liés à la Convention, notamment les procédures spéciales du Conseil des droits de l</w:t>
            </w:r>
            <w:r w:rsidR="00457C42">
              <w:rPr>
                <w:lang w:val="fr-FR"/>
              </w:rPr>
              <w:t>’</w:t>
            </w:r>
            <w:r w:rsidRPr="006869C0">
              <w:rPr>
                <w:lang w:val="fr-FR"/>
              </w:rPr>
              <w:t>homme de l</w:t>
            </w:r>
            <w:r w:rsidR="00457C42">
              <w:rPr>
                <w:lang w:val="fr-FR"/>
              </w:rPr>
              <w:t>’</w:t>
            </w:r>
            <w:r w:rsidRPr="006869C0">
              <w:rPr>
                <w:lang w:val="fr-FR"/>
              </w:rPr>
              <w:t>ONU (selon le mandat), le Programme des Nations Unies pour l</w:t>
            </w:r>
            <w:r w:rsidR="00457C42">
              <w:rPr>
                <w:lang w:val="fr-FR"/>
              </w:rPr>
              <w:t>’</w:t>
            </w:r>
            <w:r w:rsidRPr="006869C0">
              <w:rPr>
                <w:lang w:val="fr-FR"/>
              </w:rPr>
              <w:t>environnement, les institutions financières internationales et autres instances internationales concernées.</w:t>
            </w:r>
          </w:p>
          <w:p w14:paraId="68A9361D" w14:textId="77777777" w:rsidR="006869C0" w:rsidRPr="006869C0" w:rsidRDefault="006869C0" w:rsidP="00C53881">
            <w:pPr>
              <w:suppressAutoHyphens w:val="0"/>
              <w:spacing w:before="40" w:after="120"/>
              <w:rPr>
                <w:lang w:val="fr-FR"/>
              </w:rPr>
            </w:pPr>
            <w:r w:rsidRPr="006869C0">
              <w:rPr>
                <w:lang w:val="fr-FR"/>
              </w:rPr>
              <w:t>Offre d</w:t>
            </w:r>
            <w:r w:rsidR="00457C42">
              <w:rPr>
                <w:lang w:val="fr-FR"/>
              </w:rPr>
              <w:t>’</w:t>
            </w:r>
            <w:r w:rsidRPr="006869C0">
              <w:rPr>
                <w:lang w:val="fr-FR"/>
              </w:rPr>
              <w:t>une assistance spécialisée aux initiatives régionales et mondiales se rapportant au principe 10 de la Déclaration de Rio ; appui à des manifestations organisées par d</w:t>
            </w:r>
            <w:r w:rsidR="00457C42">
              <w:rPr>
                <w:lang w:val="fr-FR"/>
              </w:rPr>
              <w:t>’</w:t>
            </w:r>
            <w:r w:rsidRPr="006869C0">
              <w:rPr>
                <w:lang w:val="fr-FR"/>
              </w:rPr>
              <w:t>autres entités ; organisation de missions dans les pays et d</w:t>
            </w:r>
            <w:r w:rsidR="00457C42">
              <w:rPr>
                <w:lang w:val="fr-FR"/>
              </w:rPr>
              <w:t>’</w:t>
            </w:r>
            <w:r w:rsidRPr="006869C0">
              <w:rPr>
                <w:lang w:val="fr-FR"/>
              </w:rPr>
              <w:t>activités d</w:t>
            </w:r>
            <w:r w:rsidR="00457C42">
              <w:rPr>
                <w:lang w:val="fr-FR"/>
              </w:rPr>
              <w:t>’</w:t>
            </w:r>
            <w:r w:rsidRPr="006869C0">
              <w:rPr>
                <w:lang w:val="fr-FR"/>
              </w:rPr>
              <w:t>assistance aux pays à la demande des gouvernements, en privilégiant les États qui ont officiellement indiqué qu</w:t>
            </w:r>
            <w:r w:rsidR="00457C42">
              <w:rPr>
                <w:lang w:val="fr-FR"/>
              </w:rPr>
              <w:t>’</w:t>
            </w:r>
            <w:r w:rsidRPr="006869C0">
              <w:rPr>
                <w:lang w:val="fr-FR"/>
              </w:rPr>
              <w:t>ils souhaitaient devenir Parties à la Convention.</w:t>
            </w:r>
          </w:p>
          <w:p w14:paraId="3E8DF6E3" w14:textId="77777777" w:rsidR="006869C0" w:rsidRPr="006869C0" w:rsidRDefault="006869C0" w:rsidP="00C53881">
            <w:pPr>
              <w:suppressAutoHyphens w:val="0"/>
              <w:spacing w:before="40" w:after="120"/>
              <w:rPr>
                <w:lang w:val="fr-FR"/>
              </w:rPr>
            </w:pPr>
            <w:r w:rsidRPr="006869C0">
              <w:rPr>
                <w:lang w:val="fr-FR"/>
              </w:rPr>
              <w:t>Mise en œuvre de la stratégie de communication ; gestion du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Aarhus et du site Web ; production de brochures, de publications, de bulletins d</w:t>
            </w:r>
            <w:r w:rsidR="00457C42">
              <w:rPr>
                <w:lang w:val="fr-FR"/>
              </w:rPr>
              <w:t>’</w:t>
            </w:r>
            <w:r w:rsidRPr="006869C0">
              <w:rPr>
                <w:lang w:val="fr-FR"/>
              </w:rPr>
              <w:t>information, d</w:t>
            </w:r>
            <w:r w:rsidR="00457C42">
              <w:rPr>
                <w:lang w:val="fr-FR"/>
              </w:rPr>
              <w:t>’</w:t>
            </w:r>
            <w:r w:rsidRPr="006869C0">
              <w:rPr>
                <w:lang w:val="fr-FR"/>
              </w:rPr>
              <w:t>articles et d</w:t>
            </w:r>
            <w:r w:rsidR="00457C42">
              <w:rPr>
                <w:lang w:val="fr-FR"/>
              </w:rPr>
              <w:t>’</w:t>
            </w:r>
            <w:r w:rsidRPr="006869C0">
              <w:rPr>
                <w:lang w:val="fr-FR"/>
              </w:rPr>
              <w:t>autres documents d</w:t>
            </w:r>
            <w:r w:rsidR="00457C42">
              <w:rPr>
                <w:lang w:val="fr-FR"/>
              </w:rPr>
              <w:t>’</w:t>
            </w:r>
            <w:r w:rsidRPr="006869C0">
              <w:rPr>
                <w:lang w:val="fr-FR"/>
              </w:rPr>
              <w:t>information.</w:t>
            </w:r>
          </w:p>
        </w:tc>
        <w:tc>
          <w:tcPr>
            <w:tcW w:w="1195" w:type="dxa"/>
            <w:shd w:val="clear" w:color="auto" w:fill="auto"/>
          </w:tcPr>
          <w:p w14:paraId="67454212" w14:textId="77777777" w:rsidR="006869C0" w:rsidRPr="006869C0" w:rsidRDefault="006869C0" w:rsidP="007F3B7C">
            <w:pPr>
              <w:suppressAutoHyphens w:val="0"/>
              <w:spacing w:before="40" w:after="120"/>
              <w:jc w:val="right"/>
            </w:pPr>
            <w:r w:rsidRPr="006869C0">
              <w:rPr>
                <w:lang w:val="fr-FR"/>
              </w:rPr>
              <w:t>119</w:t>
            </w:r>
            <w:r w:rsidR="007F3B7C">
              <w:rPr>
                <w:lang w:val="fr-FR"/>
              </w:rPr>
              <w:t> </w:t>
            </w:r>
            <w:r w:rsidRPr="006869C0">
              <w:rPr>
                <w:lang w:val="fr-FR"/>
              </w:rPr>
              <w:t>000</w:t>
            </w:r>
            <w:r w:rsidR="007F3B7C">
              <w:rPr>
                <w:lang w:val="fr-FR"/>
              </w:rPr>
              <w:br/>
            </w:r>
            <w:r w:rsidRPr="006869C0">
              <w:rPr>
                <w:lang w:val="fr-FR"/>
              </w:rPr>
              <w:t>(34 500)</w:t>
            </w:r>
          </w:p>
        </w:tc>
      </w:tr>
      <w:tr w:rsidR="006869C0" w:rsidRPr="006869C0" w14:paraId="4B08D64D" w14:textId="77777777" w:rsidTr="00776DC4">
        <w:tc>
          <w:tcPr>
            <w:tcW w:w="1691" w:type="dxa"/>
            <w:shd w:val="clear" w:color="auto" w:fill="auto"/>
          </w:tcPr>
          <w:p w14:paraId="381655B3" w14:textId="77777777" w:rsidR="006869C0" w:rsidRPr="006869C0" w:rsidRDefault="006869C0" w:rsidP="006869C0">
            <w:pPr>
              <w:suppressAutoHyphens w:val="0"/>
              <w:spacing w:before="40" w:after="120"/>
              <w:ind w:right="113"/>
              <w:rPr>
                <w:lang w:val="fr-FR"/>
              </w:rPr>
            </w:pPr>
            <w:bookmarkStart w:id="8" w:name="_Hlk35205848"/>
            <w:r w:rsidRPr="006869C0">
              <w:rPr>
                <w:lang w:val="fr-FR"/>
              </w:rPr>
              <w:t>IX. Promotion des</w:t>
            </w:r>
            <w:r w:rsidR="000D732D">
              <w:rPr>
                <w:lang w:val="fr-FR"/>
              </w:rPr>
              <w:t> </w:t>
            </w:r>
            <w:r w:rsidRPr="006869C0">
              <w:rPr>
                <w:lang w:val="fr-FR"/>
              </w:rPr>
              <w:t>principes de la</w:t>
            </w:r>
            <w:r w:rsidR="000D732D">
              <w:rPr>
                <w:lang w:val="fr-FR"/>
              </w:rPr>
              <w:t> </w:t>
            </w:r>
            <w:r w:rsidRPr="006869C0">
              <w:rPr>
                <w:lang w:val="fr-FR"/>
              </w:rPr>
              <w:t>Convention dans</w:t>
            </w:r>
            <w:r w:rsidR="000D732D">
              <w:rPr>
                <w:lang w:val="fr-FR"/>
              </w:rPr>
              <w:t> </w:t>
            </w:r>
            <w:r w:rsidRPr="006869C0">
              <w:rPr>
                <w:lang w:val="fr-FR"/>
              </w:rPr>
              <w:t>les</w:t>
            </w:r>
            <w:r w:rsidR="00E2585D">
              <w:rPr>
                <w:lang w:val="fr-FR"/>
              </w:rPr>
              <w:t> </w:t>
            </w:r>
            <w:r w:rsidRPr="006869C0">
              <w:rPr>
                <w:lang w:val="fr-FR"/>
              </w:rPr>
              <w:t>instances internationales, des Lignes directrices d</w:t>
            </w:r>
            <w:r w:rsidR="00457C42">
              <w:rPr>
                <w:lang w:val="fr-FR"/>
              </w:rPr>
              <w:t>’</w:t>
            </w:r>
            <w:r w:rsidRPr="006869C0">
              <w:rPr>
                <w:lang w:val="fr-FR"/>
              </w:rPr>
              <w:t>Almaty et d</w:t>
            </w:r>
            <w:r w:rsidR="00457C42">
              <w:rPr>
                <w:lang w:val="fr-FR"/>
              </w:rPr>
              <w:t>’</w:t>
            </w:r>
            <w:r w:rsidRPr="006869C0">
              <w:rPr>
                <w:lang w:val="fr-FR"/>
              </w:rPr>
              <w:t>autres formes d</w:t>
            </w:r>
            <w:r w:rsidR="00457C42">
              <w:rPr>
                <w:lang w:val="fr-FR"/>
              </w:rPr>
              <w:t>’</w:t>
            </w:r>
            <w:r w:rsidRPr="006869C0">
              <w:rPr>
                <w:lang w:val="fr-FR"/>
              </w:rPr>
              <w:t xml:space="preserve">interaction avec les organismes </w:t>
            </w:r>
            <w:r w:rsidRPr="006869C0">
              <w:rPr>
                <w:lang w:val="fr-FR"/>
              </w:rPr>
              <w:lastRenderedPageBreak/>
              <w:t>et</w:t>
            </w:r>
            <w:r w:rsidR="000D732D">
              <w:rPr>
                <w:lang w:val="fr-FR"/>
              </w:rPr>
              <w:t> </w:t>
            </w:r>
            <w:r w:rsidRPr="006869C0">
              <w:rPr>
                <w:lang w:val="fr-FR"/>
              </w:rPr>
              <w:t>processus internationaux concernés</w:t>
            </w:r>
          </w:p>
        </w:tc>
        <w:tc>
          <w:tcPr>
            <w:tcW w:w="3696" w:type="dxa"/>
            <w:shd w:val="clear" w:color="auto" w:fill="auto"/>
          </w:tcPr>
          <w:p w14:paraId="4BE278BC" w14:textId="77777777" w:rsidR="006869C0" w:rsidRPr="006869C0" w:rsidRDefault="006869C0" w:rsidP="00E2585D">
            <w:pPr>
              <w:suppressAutoHyphens w:val="0"/>
              <w:spacing w:before="40" w:after="120"/>
              <w:ind w:right="113"/>
              <w:rPr>
                <w:lang w:val="fr-FR"/>
              </w:rPr>
            </w:pPr>
            <w:r w:rsidRPr="006869C0">
              <w:rPr>
                <w:lang w:val="fr-FR"/>
              </w:rPr>
              <w:lastRenderedPageBreak/>
              <w:t>Les activités seront exécutées conformément à la décision VII/... relative à</w:t>
            </w:r>
            <w:r w:rsidR="000D732D">
              <w:rPr>
                <w:lang w:val="fr-FR"/>
              </w:rPr>
              <w:t> </w:t>
            </w:r>
            <w:r w:rsidRPr="006869C0">
              <w:rPr>
                <w:lang w:val="fr-FR"/>
              </w:rPr>
              <w:t>la promotion de l</w:t>
            </w:r>
            <w:r w:rsidR="00457C42">
              <w:rPr>
                <w:lang w:val="fr-FR"/>
              </w:rPr>
              <w:t>’</w:t>
            </w:r>
            <w:r w:rsidRPr="006869C0">
              <w:rPr>
                <w:lang w:val="fr-FR"/>
              </w:rPr>
              <w:t>application des principes de la Convention dans les instances internationales.</w:t>
            </w:r>
            <w:r w:rsidR="00E2585D">
              <w:rPr>
                <w:lang w:val="fr-FR"/>
              </w:rPr>
              <w:br/>
            </w:r>
            <w:r w:rsidRPr="006869C0">
              <w:rPr>
                <w:lang w:val="fr-FR"/>
              </w:rPr>
              <w:t>(Elles contribuent principalement à la réalisation des cibles 16.7 et 17.14 des</w:t>
            </w:r>
            <w:r w:rsidR="00E2585D">
              <w:rPr>
                <w:lang w:val="fr-FR"/>
              </w:rPr>
              <w:t> </w:t>
            </w:r>
            <w:r w:rsidRPr="006869C0">
              <w:rPr>
                <w:lang w:val="fr-FR"/>
              </w:rPr>
              <w:t>ODD).</w:t>
            </w:r>
          </w:p>
        </w:tc>
        <w:tc>
          <w:tcPr>
            <w:tcW w:w="2127" w:type="dxa"/>
            <w:shd w:val="clear" w:color="auto" w:fill="auto"/>
          </w:tcPr>
          <w:p w14:paraId="4A3EB3CA" w14:textId="77777777" w:rsidR="006869C0" w:rsidRPr="006869C0" w:rsidRDefault="006869C0" w:rsidP="006869C0">
            <w:pPr>
              <w:suppressAutoHyphens w:val="0"/>
              <w:spacing w:before="40" w:after="120"/>
              <w:ind w:right="113"/>
              <w:rPr>
                <w:lang w:val="fr-FR"/>
              </w:rPr>
            </w:pPr>
            <w:r w:rsidRPr="006869C0">
              <w:rPr>
                <w:lang w:val="fr-FR"/>
              </w:rPr>
              <w:t>Le secrétariat, en étroite coopération avec d</w:t>
            </w:r>
            <w:r w:rsidR="00457C42">
              <w:rPr>
                <w:lang w:val="fr-FR"/>
              </w:rPr>
              <w:t>’</w:t>
            </w:r>
            <w:r w:rsidRPr="006869C0">
              <w:rPr>
                <w:lang w:val="fr-FR"/>
              </w:rPr>
              <w:t>autres parties prenantes</w:t>
            </w:r>
          </w:p>
          <w:p w14:paraId="62843102" w14:textId="77777777" w:rsidR="006869C0" w:rsidRPr="006869C0" w:rsidRDefault="006869C0" w:rsidP="006869C0">
            <w:pPr>
              <w:suppressAutoHyphens w:val="0"/>
              <w:spacing w:before="40" w:after="120"/>
              <w:ind w:right="113"/>
              <w:rPr>
                <w:lang w:val="fr-FR"/>
              </w:rPr>
            </w:pPr>
            <w:r w:rsidRPr="006869C0">
              <w:rPr>
                <w:lang w:val="fr-FR"/>
              </w:rPr>
              <w:t>Le Bureau de la Réunion des</w:t>
            </w:r>
            <w:r w:rsidR="00E2585D">
              <w:rPr>
                <w:lang w:val="fr-FR"/>
              </w:rPr>
              <w:t> </w:t>
            </w:r>
            <w:r w:rsidRPr="006869C0">
              <w:rPr>
                <w:lang w:val="fr-FR"/>
              </w:rPr>
              <w:t>Parties</w:t>
            </w:r>
          </w:p>
          <w:p w14:paraId="045917C3" w14:textId="77777777" w:rsidR="006869C0" w:rsidRPr="006869C0" w:rsidRDefault="006869C0" w:rsidP="006869C0">
            <w:pPr>
              <w:suppressAutoHyphens w:val="0"/>
              <w:spacing w:before="40" w:after="120"/>
              <w:ind w:right="113"/>
              <w:rPr>
                <w:lang w:val="fr-FR"/>
              </w:rPr>
            </w:pPr>
            <w:r w:rsidRPr="006869C0">
              <w:rPr>
                <w:lang w:val="fr-FR"/>
              </w:rPr>
              <w:t>Le Groupe de travail des</w:t>
            </w:r>
            <w:r w:rsidR="00776DC4">
              <w:rPr>
                <w:lang w:val="fr-FR"/>
              </w:rPr>
              <w:t> </w:t>
            </w:r>
            <w:r w:rsidRPr="006869C0">
              <w:rPr>
                <w:lang w:val="fr-FR"/>
              </w:rPr>
              <w:t xml:space="preserve">Parties </w:t>
            </w:r>
          </w:p>
        </w:tc>
        <w:tc>
          <w:tcPr>
            <w:tcW w:w="5067" w:type="dxa"/>
            <w:shd w:val="clear" w:color="auto" w:fill="auto"/>
          </w:tcPr>
          <w:p w14:paraId="68F134E2" w14:textId="77777777" w:rsidR="006869C0" w:rsidRPr="006869C0" w:rsidRDefault="006869C0" w:rsidP="00C53881">
            <w:pPr>
              <w:suppressAutoHyphens w:val="0"/>
              <w:spacing w:before="40" w:after="120"/>
              <w:rPr>
                <w:lang w:val="fr-FR"/>
              </w:rPr>
            </w:pPr>
            <w:r w:rsidRPr="006869C0">
              <w:rPr>
                <w:lang w:val="fr-FR"/>
              </w:rPr>
              <w:t>Organisation de séances thématiques dans le cadre</w:t>
            </w:r>
            <w:r w:rsidR="00C53881">
              <w:rPr>
                <w:lang w:val="fr-FR"/>
              </w:rPr>
              <w:t xml:space="preserve"> </w:t>
            </w:r>
            <w:r w:rsidRPr="006869C0">
              <w:rPr>
                <w:lang w:val="fr-FR"/>
              </w:rPr>
              <w:t>des réunions du Groupe de travail des Parties, selon que de besoin, en vue</w:t>
            </w:r>
            <w:r w:rsidR="00C53881">
              <w:rPr>
                <w:lang w:val="fr-FR"/>
              </w:rPr>
              <w:t xml:space="preserve"> </w:t>
            </w:r>
            <w:r w:rsidRPr="006869C0">
              <w:rPr>
                <w:lang w:val="fr-FR"/>
              </w:rPr>
              <w:t>de surveiller les progrès accomplis en matière de promotion de l</w:t>
            </w:r>
            <w:r w:rsidR="00457C42">
              <w:rPr>
                <w:lang w:val="fr-FR"/>
              </w:rPr>
              <w:t>’</w:t>
            </w:r>
            <w:r w:rsidRPr="006869C0">
              <w:rPr>
                <w:lang w:val="fr-FR"/>
              </w:rPr>
              <w:t>application des principes de la Convention dans les instances internationales et de surmonter les difficultés rencontrées dans l</w:t>
            </w:r>
            <w:r w:rsidR="00457C42">
              <w:rPr>
                <w:lang w:val="fr-FR"/>
              </w:rPr>
              <w:t>’</w:t>
            </w:r>
            <w:r w:rsidRPr="006869C0">
              <w:rPr>
                <w:lang w:val="fr-FR"/>
              </w:rPr>
              <w:t>application du paragraphe 7 de l</w:t>
            </w:r>
            <w:r w:rsidR="00457C42">
              <w:rPr>
                <w:lang w:val="fr-FR"/>
              </w:rPr>
              <w:t>’</w:t>
            </w:r>
            <w:r w:rsidRPr="006869C0">
              <w:rPr>
                <w:lang w:val="fr-FR"/>
              </w:rPr>
              <w:t>article 3 de la Convention.</w:t>
            </w:r>
          </w:p>
          <w:p w14:paraId="08869FEA" w14:textId="77777777" w:rsidR="006869C0" w:rsidRPr="006869C0" w:rsidRDefault="006869C0" w:rsidP="00776DC4">
            <w:pPr>
              <w:suppressAutoHyphens w:val="0"/>
              <w:spacing w:before="40" w:after="100"/>
              <w:rPr>
                <w:lang w:val="fr-FR"/>
              </w:rPr>
            </w:pPr>
            <w:r w:rsidRPr="006869C0">
              <w:rPr>
                <w:lang w:val="fr-FR"/>
              </w:rPr>
              <w:t>Enquêtes concernant l</w:t>
            </w:r>
            <w:r w:rsidR="00457C42">
              <w:rPr>
                <w:lang w:val="fr-FR"/>
              </w:rPr>
              <w:t>’</w:t>
            </w:r>
            <w:r w:rsidRPr="006869C0">
              <w:rPr>
                <w:lang w:val="fr-FR"/>
              </w:rPr>
              <w:t>expérience acquise dans l</w:t>
            </w:r>
            <w:r w:rsidR="00457C42">
              <w:rPr>
                <w:lang w:val="fr-FR"/>
              </w:rPr>
              <w:t>’</w:t>
            </w:r>
            <w:r w:rsidRPr="006869C0">
              <w:rPr>
                <w:lang w:val="fr-FR"/>
              </w:rPr>
              <w:t>application du paragraphe 7 de l</w:t>
            </w:r>
            <w:r w:rsidR="00457C42">
              <w:rPr>
                <w:lang w:val="fr-FR"/>
              </w:rPr>
              <w:t>’</w:t>
            </w:r>
            <w:r w:rsidRPr="006869C0">
              <w:rPr>
                <w:lang w:val="fr-FR"/>
              </w:rPr>
              <w:t xml:space="preserve">article 3 de la Convention et des Lignes </w:t>
            </w:r>
            <w:r w:rsidRPr="006869C0">
              <w:rPr>
                <w:lang w:val="fr-FR"/>
              </w:rPr>
              <w:lastRenderedPageBreak/>
              <w:t>directrices d</w:t>
            </w:r>
            <w:r w:rsidR="00457C42">
              <w:rPr>
                <w:lang w:val="fr-FR"/>
              </w:rPr>
              <w:t>’</w:t>
            </w:r>
            <w:r w:rsidRPr="006869C0">
              <w:rPr>
                <w:lang w:val="fr-FR"/>
              </w:rPr>
              <w:t>Almaty ; réseaux en ligne ; fourniture d</w:t>
            </w:r>
            <w:r w:rsidR="00457C42">
              <w:rPr>
                <w:lang w:val="fr-FR"/>
              </w:rPr>
              <w:t>’</w:t>
            </w:r>
            <w:r w:rsidRPr="006869C0">
              <w:rPr>
                <w:lang w:val="fr-FR"/>
              </w:rPr>
              <w:t>une assistance aux fins du renforcement des capacités et</w:t>
            </w:r>
            <w:r w:rsidR="00C53881">
              <w:rPr>
                <w:lang w:val="fr-FR"/>
              </w:rPr>
              <w:t xml:space="preserve"> </w:t>
            </w:r>
            <w:r w:rsidRPr="006869C0">
              <w:rPr>
                <w:lang w:val="fr-FR"/>
              </w:rPr>
              <w:t>de services d</w:t>
            </w:r>
            <w:r w:rsidR="00457C42">
              <w:rPr>
                <w:lang w:val="fr-FR"/>
              </w:rPr>
              <w:t>’</w:t>
            </w:r>
            <w:r w:rsidRPr="006869C0">
              <w:rPr>
                <w:lang w:val="fr-FR"/>
              </w:rPr>
              <w:t>experts aux</w:t>
            </w:r>
            <w:r w:rsidR="00C53881">
              <w:rPr>
                <w:lang w:val="fr-FR"/>
              </w:rPr>
              <w:t xml:space="preserve"> </w:t>
            </w:r>
            <w:r w:rsidRPr="006869C0">
              <w:rPr>
                <w:lang w:val="fr-FR"/>
              </w:rPr>
              <w:t>instances internationales concernées et aux Parties qui en font la demande, recours au Mécanisme d</w:t>
            </w:r>
            <w:r w:rsidR="00457C42">
              <w:rPr>
                <w:lang w:val="fr-FR"/>
              </w:rPr>
              <w:t>’</w:t>
            </w:r>
            <w:r w:rsidRPr="006869C0">
              <w:rPr>
                <w:lang w:val="fr-FR"/>
              </w:rPr>
              <w:t>échange d</w:t>
            </w:r>
            <w:r w:rsidR="00457C42">
              <w:rPr>
                <w:lang w:val="fr-FR"/>
              </w:rPr>
              <w:t>’</w:t>
            </w:r>
            <w:r w:rsidRPr="006869C0">
              <w:rPr>
                <w:lang w:val="fr-FR"/>
              </w:rPr>
              <w:t>informations d</w:t>
            </w:r>
            <w:r w:rsidR="00457C42">
              <w:rPr>
                <w:lang w:val="fr-FR"/>
              </w:rPr>
              <w:t>’</w:t>
            </w:r>
            <w:r w:rsidRPr="006869C0">
              <w:rPr>
                <w:lang w:val="fr-FR"/>
              </w:rPr>
              <w:t>Aarhus, utilisation de sa base de données sur les bonnes pratiques et recensement d</w:t>
            </w:r>
            <w:r w:rsidR="00457C42">
              <w:rPr>
                <w:lang w:val="fr-FR"/>
              </w:rPr>
              <w:t>’</w:t>
            </w:r>
            <w:r w:rsidRPr="006869C0">
              <w:rPr>
                <w:lang w:val="fr-FR"/>
              </w:rPr>
              <w:t>études de cas en vue</w:t>
            </w:r>
            <w:r w:rsidR="00C53881">
              <w:rPr>
                <w:lang w:val="fr-FR"/>
              </w:rPr>
              <w:t xml:space="preserve"> </w:t>
            </w:r>
            <w:r w:rsidRPr="006869C0">
              <w:rPr>
                <w:lang w:val="fr-FR"/>
              </w:rPr>
              <w:t>de faciliter l</w:t>
            </w:r>
            <w:r w:rsidR="00457C42">
              <w:rPr>
                <w:lang w:val="fr-FR"/>
              </w:rPr>
              <w:t>’</w:t>
            </w:r>
            <w:r w:rsidRPr="006869C0">
              <w:rPr>
                <w:lang w:val="fr-FR"/>
              </w:rPr>
              <w:t>échange d</w:t>
            </w:r>
            <w:r w:rsidR="00457C42">
              <w:rPr>
                <w:lang w:val="fr-FR"/>
              </w:rPr>
              <w:t>’</w:t>
            </w:r>
            <w:r w:rsidRPr="006869C0">
              <w:rPr>
                <w:lang w:val="fr-FR"/>
              </w:rPr>
              <w:t>informations sur les bonnes pratiques relatives à</w:t>
            </w:r>
            <w:r w:rsidR="00E2585D">
              <w:rPr>
                <w:lang w:val="fr-FR"/>
              </w:rPr>
              <w:t> </w:t>
            </w:r>
            <w:r w:rsidRPr="006869C0">
              <w:rPr>
                <w:lang w:val="fr-FR"/>
              </w:rPr>
              <w:t>la</w:t>
            </w:r>
            <w:r w:rsidR="00E2585D">
              <w:rPr>
                <w:lang w:val="fr-FR"/>
              </w:rPr>
              <w:t> </w:t>
            </w:r>
            <w:r w:rsidRPr="006869C0">
              <w:rPr>
                <w:lang w:val="fr-FR"/>
              </w:rPr>
              <w:t>mise en place de mécanismes efficaces de participation du public aux travaux des instances internationales ; coopération avec les signataires de l</w:t>
            </w:r>
            <w:r w:rsidR="00457C42">
              <w:rPr>
                <w:lang w:val="fr-FR"/>
              </w:rPr>
              <w:t>’</w:t>
            </w:r>
            <w:r w:rsidRPr="006869C0">
              <w:rPr>
                <w:lang w:val="fr-FR"/>
              </w:rPr>
              <w:t>Accord d</w:t>
            </w:r>
            <w:r w:rsidR="00457C42">
              <w:rPr>
                <w:lang w:val="fr-FR"/>
              </w:rPr>
              <w:t>’</w:t>
            </w:r>
            <w:proofErr w:type="spellStart"/>
            <w:r w:rsidRPr="006869C0">
              <w:rPr>
                <w:lang w:val="fr-FR"/>
              </w:rPr>
              <w:t>Escazú</w:t>
            </w:r>
            <w:proofErr w:type="spellEnd"/>
            <w:r w:rsidRPr="006869C0">
              <w:rPr>
                <w:lang w:val="fr-FR"/>
              </w:rPr>
              <w:t xml:space="preserve"> et les futures Parties à</w:t>
            </w:r>
            <w:r w:rsidR="00C53881">
              <w:rPr>
                <w:lang w:val="fr-FR"/>
              </w:rPr>
              <w:t xml:space="preserve"> </w:t>
            </w:r>
            <w:r w:rsidRPr="006869C0">
              <w:rPr>
                <w:lang w:val="fr-FR"/>
              </w:rPr>
              <w:t>l</w:t>
            </w:r>
            <w:r w:rsidR="00457C42">
              <w:rPr>
                <w:lang w:val="fr-FR"/>
              </w:rPr>
              <w:t>’</w:t>
            </w:r>
            <w:proofErr w:type="spellStart"/>
            <w:r w:rsidRPr="006869C0">
              <w:rPr>
                <w:lang w:val="fr-FR"/>
              </w:rPr>
              <w:t>Accord</w:t>
            </w:r>
            <w:r w:rsidRPr="00E2585D">
              <w:rPr>
                <w:i/>
                <w:sz w:val="18"/>
                <w:szCs w:val="18"/>
                <w:vertAlign w:val="superscript"/>
                <w:lang w:val="fr-FR"/>
              </w:rPr>
              <w:t>c</w:t>
            </w:r>
            <w:proofErr w:type="spellEnd"/>
            <w:r w:rsidRPr="006869C0">
              <w:rPr>
                <w:lang w:val="fr-FR"/>
              </w:rPr>
              <w:t>, ainsi qu</w:t>
            </w:r>
            <w:r w:rsidR="00457C42">
              <w:rPr>
                <w:lang w:val="fr-FR"/>
              </w:rPr>
              <w:t>’</w:t>
            </w:r>
            <w:r w:rsidRPr="006869C0">
              <w:rPr>
                <w:lang w:val="fr-FR"/>
              </w:rPr>
              <w:t>avec le secrétariat de cette instance et les</w:t>
            </w:r>
            <w:r w:rsidR="00C53881">
              <w:rPr>
                <w:lang w:val="fr-FR"/>
              </w:rPr>
              <w:t xml:space="preserve"> </w:t>
            </w:r>
            <w:r w:rsidRPr="006869C0">
              <w:rPr>
                <w:lang w:val="fr-FR"/>
              </w:rPr>
              <w:t>parties prenantes ; activités conjointes avec les autres instruments et processus multilatéraux ; actions</w:t>
            </w:r>
            <w:r w:rsidR="00C53881">
              <w:rPr>
                <w:lang w:val="fr-FR"/>
              </w:rPr>
              <w:t xml:space="preserve"> </w:t>
            </w:r>
            <w:r w:rsidRPr="006869C0">
              <w:rPr>
                <w:lang w:val="fr-FR"/>
              </w:rPr>
              <w:t>concrètes menées par les Parties aux niveaux national et international dans le but de promouvoir les principes de la Convention dans les instances internationales, ainsi que les Lignes directrices d</w:t>
            </w:r>
            <w:r w:rsidR="00457C42">
              <w:rPr>
                <w:lang w:val="fr-FR"/>
              </w:rPr>
              <w:t>’</w:t>
            </w:r>
            <w:r w:rsidRPr="006869C0">
              <w:rPr>
                <w:lang w:val="fr-FR"/>
              </w:rPr>
              <w:t>Almaty.</w:t>
            </w:r>
          </w:p>
        </w:tc>
        <w:tc>
          <w:tcPr>
            <w:tcW w:w="1195" w:type="dxa"/>
            <w:shd w:val="clear" w:color="auto" w:fill="auto"/>
          </w:tcPr>
          <w:p w14:paraId="2FB1975F" w14:textId="77777777" w:rsidR="006869C0" w:rsidRPr="006869C0" w:rsidRDefault="006869C0" w:rsidP="009325B8">
            <w:pPr>
              <w:suppressAutoHyphens w:val="0"/>
              <w:spacing w:before="40" w:after="120"/>
              <w:jc w:val="right"/>
            </w:pPr>
            <w:r w:rsidRPr="006869C0">
              <w:rPr>
                <w:lang w:val="fr-FR"/>
              </w:rPr>
              <w:lastRenderedPageBreak/>
              <w:t>125</w:t>
            </w:r>
            <w:r w:rsidR="009325B8">
              <w:rPr>
                <w:lang w:val="fr-FR"/>
              </w:rPr>
              <w:t> </w:t>
            </w:r>
            <w:r w:rsidRPr="006869C0">
              <w:rPr>
                <w:lang w:val="fr-FR"/>
              </w:rPr>
              <w:t>000</w:t>
            </w:r>
            <w:r w:rsidR="009325B8">
              <w:rPr>
                <w:lang w:val="fr-FR"/>
              </w:rPr>
              <w:br/>
            </w:r>
            <w:r w:rsidRPr="006869C0">
              <w:rPr>
                <w:lang w:val="fr-FR"/>
              </w:rPr>
              <w:t>(3 000)</w:t>
            </w:r>
          </w:p>
        </w:tc>
      </w:tr>
      <w:bookmarkEnd w:id="8"/>
      <w:tr w:rsidR="006869C0" w:rsidRPr="006869C0" w14:paraId="2CE42C03" w14:textId="77777777" w:rsidTr="00457C42">
        <w:tc>
          <w:tcPr>
            <w:tcW w:w="13776" w:type="dxa"/>
            <w:gridSpan w:val="5"/>
            <w:shd w:val="clear" w:color="auto" w:fill="auto"/>
          </w:tcPr>
          <w:p w14:paraId="2D122A0E" w14:textId="77777777" w:rsidR="006869C0" w:rsidRPr="006869C0" w:rsidRDefault="006869C0" w:rsidP="00776DC4">
            <w:pPr>
              <w:suppressAutoHyphens w:val="0"/>
              <w:spacing w:before="40" w:after="120"/>
              <w:rPr>
                <w:lang w:val="fr-FR"/>
              </w:rPr>
            </w:pPr>
            <w:r w:rsidRPr="006869C0">
              <w:rPr>
                <w:b/>
                <w:bCs/>
                <w:lang w:val="fr-FR"/>
              </w:rPr>
              <w:t>Coordination, soutien horizontal et Réunion des Parties</w:t>
            </w:r>
          </w:p>
        </w:tc>
      </w:tr>
      <w:tr w:rsidR="006869C0" w:rsidRPr="006869C0" w14:paraId="030F21E6" w14:textId="77777777" w:rsidTr="00776DC4">
        <w:tc>
          <w:tcPr>
            <w:tcW w:w="1691" w:type="dxa"/>
            <w:shd w:val="clear" w:color="auto" w:fill="auto"/>
          </w:tcPr>
          <w:p w14:paraId="48792929" w14:textId="77777777" w:rsidR="006869C0" w:rsidRPr="006869C0" w:rsidRDefault="006869C0" w:rsidP="006869C0">
            <w:pPr>
              <w:suppressAutoHyphens w:val="0"/>
              <w:spacing w:before="40" w:after="120"/>
              <w:ind w:right="113"/>
              <w:rPr>
                <w:lang w:val="fr-FR"/>
              </w:rPr>
            </w:pPr>
            <w:r w:rsidRPr="006869C0">
              <w:rPr>
                <w:lang w:val="fr-FR"/>
              </w:rPr>
              <w:t>X. Coordination et</w:t>
            </w:r>
            <w:r w:rsidR="009325B8">
              <w:rPr>
                <w:lang w:val="fr-FR"/>
              </w:rPr>
              <w:t> </w:t>
            </w:r>
            <w:r w:rsidRPr="006869C0">
              <w:rPr>
                <w:lang w:val="fr-FR"/>
              </w:rPr>
              <w:t>supervision des</w:t>
            </w:r>
            <w:r w:rsidR="009325B8">
              <w:rPr>
                <w:lang w:val="fr-FR"/>
              </w:rPr>
              <w:t> </w:t>
            </w:r>
            <w:r w:rsidRPr="006869C0">
              <w:rPr>
                <w:lang w:val="fr-FR"/>
              </w:rPr>
              <w:t>activités intersessions</w:t>
            </w:r>
          </w:p>
        </w:tc>
        <w:tc>
          <w:tcPr>
            <w:tcW w:w="3696" w:type="dxa"/>
            <w:shd w:val="clear" w:color="auto" w:fill="auto"/>
          </w:tcPr>
          <w:p w14:paraId="6B2CDAF7" w14:textId="77777777" w:rsidR="006869C0" w:rsidRPr="006869C0" w:rsidRDefault="006869C0" w:rsidP="00776DC4">
            <w:pPr>
              <w:suppressAutoHyphens w:val="0"/>
              <w:spacing w:before="40" w:after="140"/>
              <w:ind w:right="113"/>
              <w:rPr>
                <w:lang w:val="fr-FR"/>
              </w:rPr>
            </w:pPr>
            <w:r w:rsidRPr="006869C0">
              <w:rPr>
                <w:lang w:val="fr-FR"/>
              </w:rPr>
              <w:t>Coordination et supervision des activités menées au titre de la</w:t>
            </w:r>
            <w:r w:rsidR="000D732D">
              <w:rPr>
                <w:lang w:val="fr-FR"/>
              </w:rPr>
              <w:t xml:space="preserve"> </w:t>
            </w:r>
            <w:r w:rsidRPr="006869C0">
              <w:rPr>
                <w:lang w:val="fr-FR"/>
              </w:rPr>
              <w:t>Convention</w:t>
            </w:r>
          </w:p>
          <w:p w14:paraId="32D9241A" w14:textId="77777777" w:rsidR="006869C0" w:rsidRPr="006869C0" w:rsidRDefault="006869C0" w:rsidP="00776DC4">
            <w:pPr>
              <w:suppressAutoHyphens w:val="0"/>
              <w:spacing w:before="40" w:after="140"/>
              <w:ind w:right="113"/>
              <w:rPr>
                <w:lang w:val="fr-FR"/>
              </w:rPr>
            </w:pPr>
            <w:r w:rsidRPr="006869C0">
              <w:rPr>
                <w:lang w:val="fr-FR"/>
              </w:rPr>
              <w:t>Établissement de documents de fond en vue de la huitième session de la Réunion des Parties (par exemple, formulation</w:t>
            </w:r>
            <w:r w:rsidR="00C53881">
              <w:rPr>
                <w:lang w:val="fr-FR"/>
              </w:rPr>
              <w:t xml:space="preserve"> </w:t>
            </w:r>
            <w:r w:rsidRPr="006869C0">
              <w:rPr>
                <w:lang w:val="fr-FR"/>
              </w:rPr>
              <w:t xml:space="preserve">de décisions, </w:t>
            </w:r>
            <w:r w:rsidR="0050281E">
              <w:rPr>
                <w:lang w:val="fr-FR"/>
              </w:rPr>
              <w:t>y compris</w:t>
            </w:r>
            <w:r w:rsidRPr="006869C0">
              <w:rPr>
                <w:lang w:val="fr-FR"/>
              </w:rPr>
              <w:t xml:space="preserve"> le futur programme de travail, et</w:t>
            </w:r>
            <w:r w:rsidR="00776DC4">
              <w:rPr>
                <w:lang w:val="fr-FR"/>
              </w:rPr>
              <w:t> </w:t>
            </w:r>
            <w:r w:rsidRPr="006869C0">
              <w:rPr>
                <w:lang w:val="fr-FR"/>
              </w:rPr>
              <w:t>examen de la mise en œuvre du programme de travail actuel et du Plan stratégique)</w:t>
            </w:r>
          </w:p>
        </w:tc>
        <w:tc>
          <w:tcPr>
            <w:tcW w:w="2127" w:type="dxa"/>
            <w:shd w:val="clear" w:color="auto" w:fill="auto"/>
          </w:tcPr>
          <w:p w14:paraId="4F4AC25A" w14:textId="77777777" w:rsidR="006869C0" w:rsidRPr="006869C0" w:rsidRDefault="006869C0" w:rsidP="006869C0">
            <w:pPr>
              <w:suppressAutoHyphens w:val="0"/>
              <w:spacing w:before="40" w:after="120"/>
              <w:ind w:right="113"/>
              <w:rPr>
                <w:lang w:val="fr-FR"/>
              </w:rPr>
            </w:pPr>
            <w:r w:rsidRPr="006869C0">
              <w:rPr>
                <w:lang w:val="fr-FR"/>
              </w:rPr>
              <w:t>Le Groupe de travail des</w:t>
            </w:r>
            <w:r w:rsidR="00776DC4">
              <w:rPr>
                <w:lang w:val="fr-FR"/>
              </w:rPr>
              <w:t> </w:t>
            </w:r>
            <w:r w:rsidRPr="006869C0">
              <w:rPr>
                <w:lang w:val="fr-FR"/>
              </w:rPr>
              <w:t>Parties</w:t>
            </w:r>
          </w:p>
          <w:p w14:paraId="020EC66C" w14:textId="77777777" w:rsidR="006869C0" w:rsidRPr="006869C0" w:rsidRDefault="006869C0" w:rsidP="006869C0">
            <w:pPr>
              <w:suppressAutoHyphens w:val="0"/>
              <w:spacing w:before="40" w:after="120"/>
              <w:ind w:right="113"/>
              <w:rPr>
                <w:lang w:val="fr-FR"/>
              </w:rPr>
            </w:pPr>
            <w:r w:rsidRPr="006869C0">
              <w:rPr>
                <w:lang w:val="fr-FR"/>
              </w:rPr>
              <w:t>Le Bureau de la Réunion des</w:t>
            </w:r>
            <w:r w:rsidR="00306E2C">
              <w:rPr>
                <w:lang w:val="fr-FR"/>
              </w:rPr>
              <w:t> </w:t>
            </w:r>
            <w:r w:rsidRPr="006869C0">
              <w:rPr>
                <w:lang w:val="fr-FR"/>
              </w:rPr>
              <w:t>Parties</w:t>
            </w:r>
          </w:p>
        </w:tc>
        <w:tc>
          <w:tcPr>
            <w:tcW w:w="5067" w:type="dxa"/>
            <w:shd w:val="clear" w:color="auto" w:fill="auto"/>
          </w:tcPr>
          <w:p w14:paraId="0BDEDAE7" w14:textId="77777777" w:rsidR="006869C0" w:rsidRPr="006869C0" w:rsidRDefault="006869C0" w:rsidP="00C53881">
            <w:pPr>
              <w:suppressAutoHyphens w:val="0"/>
              <w:spacing w:before="40" w:after="120"/>
              <w:rPr>
                <w:lang w:val="fr-FR"/>
              </w:rPr>
            </w:pPr>
            <w:r w:rsidRPr="006869C0">
              <w:rPr>
                <w:lang w:val="fr-FR"/>
              </w:rPr>
              <w:t>Réunions du Groupe de travail, réunions du Bureau et consultations par voie électronique entre les membres du</w:t>
            </w:r>
            <w:r w:rsidR="00B4239D">
              <w:rPr>
                <w:lang w:val="fr-FR"/>
              </w:rPr>
              <w:t> </w:t>
            </w:r>
            <w:r w:rsidRPr="006869C0">
              <w:rPr>
                <w:lang w:val="fr-FR"/>
              </w:rPr>
              <w:t>Bureau</w:t>
            </w:r>
          </w:p>
        </w:tc>
        <w:tc>
          <w:tcPr>
            <w:tcW w:w="1195" w:type="dxa"/>
            <w:shd w:val="clear" w:color="auto" w:fill="auto"/>
          </w:tcPr>
          <w:p w14:paraId="7F809633" w14:textId="77777777" w:rsidR="006869C0" w:rsidRPr="006869C0" w:rsidRDefault="006869C0" w:rsidP="00457C42">
            <w:pPr>
              <w:suppressAutoHyphens w:val="0"/>
              <w:spacing w:before="40" w:after="120"/>
              <w:jc w:val="right"/>
            </w:pPr>
            <w:r w:rsidRPr="006869C0">
              <w:rPr>
                <w:lang w:val="fr-FR"/>
              </w:rPr>
              <w:t>100 700</w:t>
            </w:r>
          </w:p>
        </w:tc>
      </w:tr>
      <w:tr w:rsidR="006869C0" w:rsidRPr="006869C0" w14:paraId="47DC2DF7" w14:textId="77777777" w:rsidTr="00776DC4">
        <w:tc>
          <w:tcPr>
            <w:tcW w:w="1691" w:type="dxa"/>
            <w:shd w:val="clear" w:color="auto" w:fill="auto"/>
          </w:tcPr>
          <w:p w14:paraId="7694372A" w14:textId="77777777" w:rsidR="006869C0" w:rsidRPr="006869C0" w:rsidRDefault="006869C0" w:rsidP="006869C0">
            <w:pPr>
              <w:suppressAutoHyphens w:val="0"/>
              <w:spacing w:before="40" w:after="120"/>
              <w:ind w:right="113"/>
              <w:rPr>
                <w:lang w:val="fr-FR"/>
              </w:rPr>
            </w:pPr>
            <w:r w:rsidRPr="006869C0">
              <w:rPr>
                <w:lang w:val="fr-FR"/>
              </w:rPr>
              <w:t>XI. Huitième session ordinaire de la Réunion des</w:t>
            </w:r>
            <w:r w:rsidR="000D732D">
              <w:rPr>
                <w:lang w:val="fr-FR"/>
              </w:rPr>
              <w:t> </w:t>
            </w:r>
            <w:r w:rsidRPr="006869C0">
              <w:rPr>
                <w:lang w:val="fr-FR"/>
              </w:rPr>
              <w:t>Parties</w:t>
            </w:r>
          </w:p>
        </w:tc>
        <w:tc>
          <w:tcPr>
            <w:tcW w:w="3696" w:type="dxa"/>
            <w:shd w:val="clear" w:color="auto" w:fill="auto"/>
          </w:tcPr>
          <w:p w14:paraId="2F153275" w14:textId="77777777" w:rsidR="006869C0" w:rsidRPr="006869C0" w:rsidRDefault="006869C0" w:rsidP="006869C0">
            <w:pPr>
              <w:suppressAutoHyphens w:val="0"/>
              <w:spacing w:before="40" w:after="120"/>
              <w:ind w:right="113"/>
              <w:rPr>
                <w:lang w:val="fr-FR"/>
              </w:rPr>
            </w:pPr>
            <w:r w:rsidRPr="006869C0">
              <w:rPr>
                <w:lang w:val="fr-FR"/>
              </w:rPr>
              <w:t>Voir l</w:t>
            </w:r>
            <w:r w:rsidR="00457C42">
              <w:rPr>
                <w:lang w:val="fr-FR"/>
              </w:rPr>
              <w:t>’</w:t>
            </w:r>
            <w:r w:rsidRPr="006869C0">
              <w:rPr>
                <w:lang w:val="fr-FR"/>
              </w:rPr>
              <w:t>article 10 de la Convention</w:t>
            </w:r>
          </w:p>
        </w:tc>
        <w:tc>
          <w:tcPr>
            <w:tcW w:w="2127" w:type="dxa"/>
            <w:shd w:val="clear" w:color="auto" w:fill="auto"/>
          </w:tcPr>
          <w:p w14:paraId="5B3D8825" w14:textId="77777777" w:rsidR="006869C0" w:rsidRPr="006869C0" w:rsidRDefault="006869C0" w:rsidP="006869C0">
            <w:pPr>
              <w:suppressAutoHyphens w:val="0"/>
              <w:spacing w:before="40" w:after="120"/>
              <w:ind w:right="113"/>
            </w:pPr>
            <w:r w:rsidRPr="006869C0">
              <w:rPr>
                <w:lang w:val="fr-FR"/>
              </w:rPr>
              <w:t>La Réunion des Parties</w:t>
            </w:r>
          </w:p>
        </w:tc>
        <w:tc>
          <w:tcPr>
            <w:tcW w:w="5067" w:type="dxa"/>
            <w:shd w:val="clear" w:color="auto" w:fill="auto"/>
          </w:tcPr>
          <w:p w14:paraId="629CE4E2" w14:textId="77777777" w:rsidR="006869C0" w:rsidRPr="006869C0" w:rsidRDefault="006869C0" w:rsidP="00C53881">
            <w:pPr>
              <w:suppressAutoHyphens w:val="0"/>
              <w:spacing w:before="40" w:after="120"/>
              <w:rPr>
                <w:lang w:val="fr-FR"/>
              </w:rPr>
            </w:pPr>
            <w:r w:rsidRPr="006869C0">
              <w:rPr>
                <w:lang w:val="fr-FR"/>
              </w:rPr>
              <w:t>Session de la Réunion des Parties</w:t>
            </w:r>
          </w:p>
        </w:tc>
        <w:tc>
          <w:tcPr>
            <w:tcW w:w="1195" w:type="dxa"/>
            <w:shd w:val="clear" w:color="auto" w:fill="auto"/>
          </w:tcPr>
          <w:p w14:paraId="38058C17" w14:textId="77777777" w:rsidR="006869C0" w:rsidRPr="006869C0" w:rsidRDefault="006869C0" w:rsidP="00776DC4">
            <w:pPr>
              <w:suppressAutoHyphens w:val="0"/>
              <w:spacing w:before="40" w:after="120"/>
              <w:jc w:val="right"/>
              <w:rPr>
                <w:vertAlign w:val="superscript"/>
              </w:rPr>
            </w:pPr>
            <w:r w:rsidRPr="006869C0">
              <w:rPr>
                <w:lang w:val="fr-FR"/>
              </w:rPr>
              <w:t>15 000</w:t>
            </w:r>
            <w:r w:rsidRPr="00306E2C">
              <w:rPr>
                <w:i/>
                <w:sz w:val="18"/>
                <w:szCs w:val="18"/>
                <w:vertAlign w:val="superscript"/>
                <w:lang w:val="fr-FR"/>
              </w:rPr>
              <w:t>d</w:t>
            </w:r>
          </w:p>
        </w:tc>
      </w:tr>
      <w:tr w:rsidR="006869C0" w:rsidRPr="006869C0" w14:paraId="3E79CAEA" w14:textId="77777777" w:rsidTr="00776DC4">
        <w:trPr>
          <w:cantSplit/>
        </w:trPr>
        <w:tc>
          <w:tcPr>
            <w:tcW w:w="1691" w:type="dxa"/>
            <w:tcBorders>
              <w:bottom w:val="single" w:sz="4" w:space="0" w:color="auto"/>
            </w:tcBorders>
            <w:shd w:val="clear" w:color="auto" w:fill="auto"/>
          </w:tcPr>
          <w:p w14:paraId="64DC2DE0" w14:textId="77777777" w:rsidR="006869C0" w:rsidRPr="006869C0" w:rsidRDefault="006869C0" w:rsidP="0050281E">
            <w:pPr>
              <w:keepNext/>
              <w:keepLines/>
              <w:suppressAutoHyphens w:val="0"/>
              <w:spacing w:before="40" w:after="120"/>
              <w:ind w:right="113"/>
            </w:pPr>
            <w:r w:rsidRPr="006869C0">
              <w:rPr>
                <w:lang w:val="fr-FR"/>
              </w:rPr>
              <w:lastRenderedPageBreak/>
              <w:t>XII. Soutien horizontal</w:t>
            </w:r>
          </w:p>
        </w:tc>
        <w:tc>
          <w:tcPr>
            <w:tcW w:w="3696" w:type="dxa"/>
            <w:tcBorders>
              <w:bottom w:val="single" w:sz="4" w:space="0" w:color="auto"/>
            </w:tcBorders>
            <w:shd w:val="clear" w:color="auto" w:fill="auto"/>
          </w:tcPr>
          <w:p w14:paraId="6DD8DFB6" w14:textId="77777777" w:rsidR="006869C0" w:rsidRPr="006869C0" w:rsidRDefault="006869C0" w:rsidP="0050281E">
            <w:pPr>
              <w:keepNext/>
              <w:keepLines/>
              <w:suppressAutoHyphens w:val="0"/>
              <w:spacing w:before="40" w:after="120"/>
              <w:ind w:right="113"/>
              <w:rPr>
                <w:lang w:val="fr-FR"/>
              </w:rPr>
            </w:pPr>
            <w:r w:rsidRPr="006869C0">
              <w:rPr>
                <w:lang w:val="fr-FR"/>
              </w:rPr>
              <w:t>Soutien global couvrant plusieurs domaines d</w:t>
            </w:r>
            <w:r w:rsidR="00457C42">
              <w:rPr>
                <w:lang w:val="fr-FR"/>
              </w:rPr>
              <w:t>’</w:t>
            </w:r>
            <w:r w:rsidRPr="006869C0">
              <w:rPr>
                <w:lang w:val="fr-FR"/>
              </w:rPr>
              <w:t>activité du programme de</w:t>
            </w:r>
            <w:r w:rsidR="00776DC4">
              <w:rPr>
                <w:lang w:val="fr-FR"/>
              </w:rPr>
              <w:t xml:space="preserve"> </w:t>
            </w:r>
            <w:r w:rsidRPr="006869C0">
              <w:rPr>
                <w:lang w:val="fr-FR"/>
              </w:rPr>
              <w:t>travail</w:t>
            </w:r>
          </w:p>
        </w:tc>
        <w:tc>
          <w:tcPr>
            <w:tcW w:w="2127" w:type="dxa"/>
            <w:tcBorders>
              <w:bottom w:val="single" w:sz="4" w:space="0" w:color="auto"/>
            </w:tcBorders>
            <w:shd w:val="clear" w:color="auto" w:fill="auto"/>
          </w:tcPr>
          <w:p w14:paraId="340B3431" w14:textId="77777777" w:rsidR="006869C0" w:rsidRPr="006869C0" w:rsidRDefault="006869C0" w:rsidP="0050281E">
            <w:pPr>
              <w:keepNext/>
              <w:keepLines/>
              <w:suppressAutoHyphens w:val="0"/>
              <w:spacing w:before="40" w:after="120"/>
              <w:ind w:right="113"/>
            </w:pPr>
            <w:r w:rsidRPr="006869C0">
              <w:rPr>
                <w:lang w:val="fr-FR"/>
              </w:rPr>
              <w:t>Le secrétariat</w:t>
            </w:r>
          </w:p>
        </w:tc>
        <w:tc>
          <w:tcPr>
            <w:tcW w:w="5067" w:type="dxa"/>
            <w:tcBorders>
              <w:bottom w:val="single" w:sz="4" w:space="0" w:color="auto"/>
            </w:tcBorders>
            <w:shd w:val="clear" w:color="auto" w:fill="auto"/>
          </w:tcPr>
          <w:p w14:paraId="2CDE0502" w14:textId="77777777" w:rsidR="006869C0" w:rsidRPr="006869C0" w:rsidRDefault="006869C0" w:rsidP="0050281E">
            <w:pPr>
              <w:keepNext/>
              <w:keepLines/>
              <w:suppressAutoHyphens w:val="0"/>
              <w:spacing w:before="40" w:after="120"/>
              <w:rPr>
                <w:lang w:val="fr-FR"/>
              </w:rPr>
            </w:pPr>
            <w:r w:rsidRPr="006869C0">
              <w:rPr>
                <w:lang w:val="fr-FR"/>
              </w:rPr>
              <w:t>Services de</w:t>
            </w:r>
            <w:r w:rsidR="00C53881">
              <w:rPr>
                <w:lang w:val="fr-FR"/>
              </w:rPr>
              <w:t xml:space="preserve"> </w:t>
            </w:r>
            <w:r w:rsidRPr="006869C0">
              <w:rPr>
                <w:lang w:val="fr-FR"/>
              </w:rPr>
              <w:t xml:space="preserve">secrétariat, formation du personnel </w:t>
            </w:r>
            <w:proofErr w:type="spellStart"/>
            <w:r w:rsidRPr="006869C0">
              <w:rPr>
                <w:lang w:val="fr-FR"/>
              </w:rPr>
              <w:t>etmatériel</w:t>
            </w:r>
            <w:proofErr w:type="spellEnd"/>
          </w:p>
        </w:tc>
        <w:tc>
          <w:tcPr>
            <w:tcW w:w="1195" w:type="dxa"/>
            <w:tcBorders>
              <w:bottom w:val="single" w:sz="4" w:space="0" w:color="auto"/>
            </w:tcBorders>
            <w:shd w:val="clear" w:color="auto" w:fill="auto"/>
          </w:tcPr>
          <w:p w14:paraId="5C72E2F5" w14:textId="77777777" w:rsidR="006869C0" w:rsidRPr="006869C0" w:rsidRDefault="006869C0" w:rsidP="0050281E">
            <w:pPr>
              <w:keepNext/>
              <w:keepLines/>
              <w:suppressAutoHyphens w:val="0"/>
              <w:spacing w:before="40" w:after="120"/>
              <w:jc w:val="right"/>
            </w:pPr>
            <w:r w:rsidRPr="006869C0">
              <w:rPr>
                <w:lang w:val="fr-FR"/>
              </w:rPr>
              <w:t>108 000</w:t>
            </w:r>
          </w:p>
        </w:tc>
      </w:tr>
      <w:bookmarkEnd w:id="5"/>
      <w:tr w:rsidR="006869C0" w:rsidRPr="009325B8" w14:paraId="0FA4689B" w14:textId="77777777" w:rsidTr="0050281E">
        <w:trPr>
          <w:cantSplit/>
        </w:trPr>
        <w:tc>
          <w:tcPr>
            <w:tcW w:w="12581" w:type="dxa"/>
            <w:gridSpan w:val="4"/>
            <w:tcBorders>
              <w:top w:val="single" w:sz="4" w:space="0" w:color="auto"/>
              <w:bottom w:val="single" w:sz="12" w:space="0" w:color="auto"/>
            </w:tcBorders>
            <w:shd w:val="clear" w:color="auto" w:fill="auto"/>
          </w:tcPr>
          <w:p w14:paraId="616A3ACA" w14:textId="77777777" w:rsidR="006869C0" w:rsidRPr="009325B8" w:rsidRDefault="006869C0" w:rsidP="0050281E">
            <w:pPr>
              <w:keepNext/>
              <w:keepLines/>
              <w:suppressAutoHyphens w:val="0"/>
              <w:spacing w:before="80" w:after="80"/>
              <w:ind w:left="283"/>
              <w:rPr>
                <w:b/>
                <w:lang w:val="fr-FR"/>
              </w:rPr>
            </w:pPr>
            <w:r w:rsidRPr="009325B8">
              <w:rPr>
                <w:b/>
                <w:bCs/>
                <w:lang w:val="fr-FR"/>
              </w:rPr>
              <w:t>Total (</w:t>
            </w:r>
            <w:r w:rsidR="0050281E">
              <w:rPr>
                <w:b/>
                <w:bCs/>
                <w:lang w:val="fr-FR"/>
              </w:rPr>
              <w:t>y compris</w:t>
            </w:r>
            <w:r w:rsidRPr="009325B8">
              <w:rPr>
                <w:b/>
                <w:bCs/>
                <w:lang w:val="fr-FR"/>
              </w:rPr>
              <w:t xml:space="preserve"> les coûts liés à l</w:t>
            </w:r>
            <w:r w:rsidR="00457C42" w:rsidRPr="009325B8">
              <w:rPr>
                <w:b/>
                <w:bCs/>
                <w:lang w:val="fr-FR"/>
              </w:rPr>
              <w:t>’</w:t>
            </w:r>
            <w:r w:rsidRPr="009325B8">
              <w:rPr>
                <w:b/>
                <w:bCs/>
                <w:lang w:val="fr-FR"/>
              </w:rPr>
              <w:t>ensemble des domaines d</w:t>
            </w:r>
            <w:r w:rsidR="00457C42" w:rsidRPr="009325B8">
              <w:rPr>
                <w:b/>
                <w:bCs/>
                <w:lang w:val="fr-FR"/>
              </w:rPr>
              <w:t>’</w:t>
            </w:r>
            <w:r w:rsidRPr="009325B8">
              <w:rPr>
                <w:b/>
                <w:bCs/>
                <w:lang w:val="fr-FR"/>
              </w:rPr>
              <w:t>activité et 13 % de dépenses d</w:t>
            </w:r>
            <w:r w:rsidR="00457C42" w:rsidRPr="009325B8">
              <w:rPr>
                <w:b/>
                <w:bCs/>
                <w:lang w:val="fr-FR"/>
              </w:rPr>
              <w:t>’</w:t>
            </w:r>
            <w:r w:rsidRPr="009325B8">
              <w:rPr>
                <w:b/>
                <w:bCs/>
                <w:lang w:val="fr-FR"/>
              </w:rPr>
              <w:t>appui au programme)</w:t>
            </w:r>
          </w:p>
        </w:tc>
        <w:tc>
          <w:tcPr>
            <w:tcW w:w="1195" w:type="dxa"/>
            <w:tcBorders>
              <w:top w:val="single" w:sz="4" w:space="0" w:color="auto"/>
              <w:bottom w:val="single" w:sz="12" w:space="0" w:color="auto"/>
            </w:tcBorders>
            <w:shd w:val="clear" w:color="auto" w:fill="auto"/>
          </w:tcPr>
          <w:p w14:paraId="435E31AC" w14:textId="77777777" w:rsidR="006869C0" w:rsidRPr="009325B8" w:rsidRDefault="006869C0" w:rsidP="0050281E">
            <w:pPr>
              <w:keepNext/>
              <w:keepLines/>
              <w:suppressAutoHyphens w:val="0"/>
              <w:spacing w:before="80" w:after="80"/>
              <w:jc w:val="right"/>
              <w:rPr>
                <w:bCs/>
              </w:rPr>
            </w:pPr>
            <w:r w:rsidRPr="009325B8">
              <w:rPr>
                <w:b/>
                <w:bCs/>
                <w:lang w:val="fr-FR"/>
              </w:rPr>
              <w:t>1 696</w:t>
            </w:r>
            <w:r w:rsidR="0050281E">
              <w:rPr>
                <w:b/>
                <w:bCs/>
                <w:lang w:val="fr-FR"/>
              </w:rPr>
              <w:t> </w:t>
            </w:r>
            <w:r w:rsidRPr="009325B8">
              <w:rPr>
                <w:b/>
                <w:bCs/>
                <w:lang w:val="fr-FR"/>
              </w:rPr>
              <w:t>356</w:t>
            </w:r>
            <w:r w:rsidR="0050281E">
              <w:rPr>
                <w:b/>
                <w:bCs/>
                <w:lang w:val="fr-FR"/>
              </w:rPr>
              <w:br/>
            </w:r>
            <w:r w:rsidRPr="00306E2C">
              <w:rPr>
                <w:b/>
                <w:bCs/>
                <w:lang w:val="fr-FR"/>
              </w:rPr>
              <w:t>(92 660)</w:t>
            </w:r>
          </w:p>
        </w:tc>
      </w:tr>
    </w:tbl>
    <w:p w14:paraId="314DC2F9" w14:textId="77777777" w:rsidR="0050281E" w:rsidRPr="0050281E" w:rsidRDefault="0050281E" w:rsidP="0050281E">
      <w:pPr>
        <w:suppressAutoHyphens w:val="0"/>
        <w:spacing w:before="120"/>
        <w:ind w:left="284" w:firstLine="170"/>
        <w:rPr>
          <w:i/>
          <w:sz w:val="18"/>
          <w:szCs w:val="18"/>
          <w:lang w:val="fr-FR"/>
        </w:rPr>
      </w:pPr>
      <w:r w:rsidRPr="0050281E">
        <w:rPr>
          <w:i/>
          <w:iCs/>
          <w:sz w:val="18"/>
          <w:szCs w:val="18"/>
          <w:lang w:val="fr-FR"/>
        </w:rPr>
        <w:t>Abréviations</w:t>
      </w:r>
      <w:r w:rsidRPr="0050281E">
        <w:rPr>
          <w:sz w:val="18"/>
          <w:szCs w:val="18"/>
          <w:lang w:val="fr-FR"/>
        </w:rPr>
        <w:t> : OGM = organisme génétiquement modifié ; ODD = objectif de développement durable.</w:t>
      </w:r>
    </w:p>
    <w:p w14:paraId="0F3D9AEF" w14:textId="77777777" w:rsidR="0050281E" w:rsidRPr="0050281E" w:rsidRDefault="0050281E" w:rsidP="0050281E">
      <w:pPr>
        <w:suppressAutoHyphens w:val="0"/>
        <w:ind w:left="284" w:firstLine="170"/>
        <w:rPr>
          <w:sz w:val="18"/>
          <w:szCs w:val="18"/>
          <w:lang w:val="fr-FR"/>
        </w:rPr>
      </w:pPr>
      <w:r w:rsidRPr="0050281E">
        <w:rPr>
          <w:i/>
          <w:iCs/>
          <w:sz w:val="18"/>
          <w:szCs w:val="18"/>
          <w:vertAlign w:val="superscript"/>
          <w:lang w:val="fr-FR"/>
        </w:rPr>
        <w:t>a</w:t>
      </w:r>
      <w:r w:rsidRPr="0050281E">
        <w:rPr>
          <w:sz w:val="18"/>
          <w:szCs w:val="18"/>
          <w:lang w:val="fr-FR"/>
        </w:rPr>
        <w:t xml:space="preserve"> </w:t>
      </w:r>
      <w:r>
        <w:rPr>
          <w:sz w:val="18"/>
          <w:szCs w:val="18"/>
          <w:lang w:val="fr-FR"/>
        </w:rPr>
        <w:t xml:space="preserve"> </w:t>
      </w:r>
      <w:r w:rsidRPr="0050281E">
        <w:rPr>
          <w:sz w:val="18"/>
          <w:szCs w:val="18"/>
          <w:lang w:val="fr-FR"/>
        </w:rPr>
        <w:t>Les prévisions de dépenses incluent les coûts opérationnels et les autres coûts présentés dans l’annexe II. Les chiffres entre parenthèses correspondent aux « autres coûts ».</w:t>
      </w:r>
    </w:p>
    <w:p w14:paraId="496D7972" w14:textId="11BF5E1D" w:rsidR="0050281E" w:rsidRPr="0050281E" w:rsidRDefault="0050281E" w:rsidP="0050281E">
      <w:pPr>
        <w:suppressAutoHyphens w:val="0"/>
        <w:ind w:left="284" w:firstLine="170"/>
        <w:rPr>
          <w:sz w:val="18"/>
          <w:szCs w:val="18"/>
          <w:lang w:val="fr-FR"/>
        </w:rPr>
      </w:pPr>
      <w:r w:rsidRPr="0050281E">
        <w:rPr>
          <w:i/>
          <w:iCs/>
          <w:sz w:val="18"/>
          <w:szCs w:val="18"/>
          <w:vertAlign w:val="superscript"/>
          <w:lang w:val="fr-FR"/>
        </w:rPr>
        <w:t>b</w:t>
      </w:r>
      <w:r w:rsidRPr="0050281E">
        <w:rPr>
          <w:sz w:val="18"/>
          <w:szCs w:val="18"/>
          <w:lang w:val="fr-FR"/>
        </w:rPr>
        <w:t xml:space="preserve"> </w:t>
      </w:r>
      <w:r>
        <w:rPr>
          <w:sz w:val="18"/>
          <w:szCs w:val="18"/>
          <w:lang w:val="fr-FR"/>
        </w:rPr>
        <w:t xml:space="preserve"> </w:t>
      </w:r>
      <w:r w:rsidRPr="0050281E">
        <w:rPr>
          <w:sz w:val="18"/>
          <w:szCs w:val="18"/>
          <w:lang w:val="fr-FR"/>
        </w:rPr>
        <w:t xml:space="preserve">Mécanisme d’échange d’informations d’Aarhus pour la démocratie environnementale. Le site Web du Mécanisme peut être consulté à l’adresse suivante : </w:t>
      </w:r>
      <w:hyperlink r:id="rId13" w:history="1">
        <w:r w:rsidRPr="0050281E">
          <w:rPr>
            <w:rStyle w:val="Lienhypertexte"/>
            <w:sz w:val="18"/>
            <w:szCs w:val="18"/>
            <w:lang w:val="fr-FR"/>
          </w:rPr>
          <w:t>https://aarhusclearinghouse.unece.org/</w:t>
        </w:r>
      </w:hyperlink>
      <w:r w:rsidRPr="0050281E">
        <w:rPr>
          <w:sz w:val="18"/>
          <w:szCs w:val="18"/>
          <w:lang w:val="fr-FR"/>
        </w:rPr>
        <w:t>.</w:t>
      </w:r>
    </w:p>
    <w:p w14:paraId="07D8F437" w14:textId="77777777" w:rsidR="0050281E" w:rsidRPr="0050281E" w:rsidRDefault="0050281E" w:rsidP="0050281E">
      <w:pPr>
        <w:suppressAutoHyphens w:val="0"/>
        <w:ind w:left="284" w:firstLine="170"/>
        <w:rPr>
          <w:sz w:val="18"/>
          <w:szCs w:val="18"/>
          <w:lang w:val="fr-FR"/>
        </w:rPr>
      </w:pPr>
      <w:r w:rsidRPr="0050281E">
        <w:rPr>
          <w:i/>
          <w:iCs/>
          <w:sz w:val="18"/>
          <w:szCs w:val="18"/>
          <w:vertAlign w:val="superscript"/>
          <w:lang w:val="fr-FR"/>
        </w:rPr>
        <w:t>c</w:t>
      </w:r>
      <w:r w:rsidRPr="0050281E">
        <w:rPr>
          <w:sz w:val="18"/>
          <w:szCs w:val="18"/>
          <w:lang w:val="fr-FR"/>
        </w:rPr>
        <w:t xml:space="preserve"> </w:t>
      </w:r>
      <w:r>
        <w:rPr>
          <w:sz w:val="18"/>
          <w:szCs w:val="18"/>
          <w:lang w:val="fr-FR"/>
        </w:rPr>
        <w:t xml:space="preserve"> </w:t>
      </w:r>
      <w:r w:rsidRPr="0050281E">
        <w:rPr>
          <w:sz w:val="18"/>
          <w:szCs w:val="18"/>
          <w:lang w:val="fr-FR"/>
        </w:rPr>
        <w:t>Accord régional sur l’accès à l’information, la participation publique et l’accès à la justice à propos des questions environnementales en Amérique latine et dans les Caraïbes.</w:t>
      </w:r>
    </w:p>
    <w:p w14:paraId="291DA7BE" w14:textId="77777777" w:rsidR="0050281E" w:rsidRDefault="0050281E" w:rsidP="0050281E">
      <w:pPr>
        <w:pStyle w:val="SingleTxtG"/>
        <w:ind w:left="284" w:firstLine="170"/>
        <w:rPr>
          <w:lang w:val="fr-FR"/>
        </w:rPr>
      </w:pPr>
      <w:r w:rsidRPr="0050281E">
        <w:rPr>
          <w:i/>
          <w:iCs/>
          <w:sz w:val="18"/>
          <w:szCs w:val="18"/>
          <w:vertAlign w:val="superscript"/>
          <w:lang w:val="fr-FR"/>
        </w:rPr>
        <w:t>d</w:t>
      </w:r>
      <w:r w:rsidRPr="0050281E">
        <w:rPr>
          <w:sz w:val="18"/>
          <w:szCs w:val="18"/>
          <w:lang w:val="fr-FR"/>
        </w:rPr>
        <w:t xml:space="preserve"> </w:t>
      </w:r>
      <w:r>
        <w:rPr>
          <w:sz w:val="18"/>
          <w:szCs w:val="18"/>
          <w:lang w:val="fr-FR"/>
        </w:rPr>
        <w:t xml:space="preserve"> </w:t>
      </w:r>
      <w:r w:rsidRPr="0050281E">
        <w:rPr>
          <w:sz w:val="18"/>
          <w:szCs w:val="18"/>
          <w:lang w:val="fr-FR"/>
        </w:rPr>
        <w:t>Les frais de voyage et les indemnités journalières de subsistance pour les participants qui y ont droit  sont comptabilisés au titre du domaine d’activité X</w:t>
      </w:r>
      <w:r>
        <w:rPr>
          <w:sz w:val="18"/>
          <w:szCs w:val="18"/>
          <w:lang w:val="fr-FR"/>
        </w:rPr>
        <w:t>.</w:t>
      </w:r>
    </w:p>
    <w:p w14:paraId="71B8DB9E" w14:textId="77777777" w:rsidR="008C179D" w:rsidRPr="008C179D" w:rsidRDefault="008C179D" w:rsidP="008C179D">
      <w:pPr>
        <w:pStyle w:val="HChG"/>
      </w:pPr>
      <w:r>
        <w:rPr>
          <w:lang w:val="fr-FR"/>
        </w:rPr>
        <w:br w:type="page"/>
      </w:r>
      <w:r w:rsidRPr="00B13570">
        <w:rPr>
          <w:lang w:val="fr-FR"/>
        </w:rPr>
        <w:lastRenderedPageBreak/>
        <w:t>Annexe II</w:t>
      </w:r>
    </w:p>
    <w:p w14:paraId="5BCE340F" w14:textId="77777777" w:rsidR="006869C0" w:rsidRDefault="008C179D" w:rsidP="008C179D">
      <w:pPr>
        <w:pStyle w:val="HChG"/>
        <w:rPr>
          <w:lang w:val="fr-FR"/>
        </w:rPr>
      </w:pPr>
      <w:r w:rsidRPr="00FA790F">
        <w:rPr>
          <w:lang w:val="fr-FR"/>
        </w:rPr>
        <w:tab/>
      </w:r>
      <w:r w:rsidRPr="00FA790F">
        <w:rPr>
          <w:lang w:val="fr-FR"/>
        </w:rPr>
        <w:tab/>
        <w:t>Coûts estimatifs des activités prévues dans les domaines d</w:t>
      </w:r>
      <w:r w:rsidR="00457C42">
        <w:rPr>
          <w:lang w:val="fr-FR"/>
        </w:rPr>
        <w:t>’</w:t>
      </w:r>
      <w:r w:rsidRPr="00FA790F">
        <w:rPr>
          <w:lang w:val="fr-FR"/>
        </w:rPr>
        <w:t xml:space="preserve">activité du programme de travail </w:t>
      </w:r>
      <w:r>
        <w:rPr>
          <w:lang w:val="fr-FR"/>
        </w:rPr>
        <w:br/>
      </w:r>
      <w:r w:rsidRPr="00FA790F">
        <w:rPr>
          <w:lang w:val="fr-FR"/>
        </w:rPr>
        <w:t>pour 2022-2025</w:t>
      </w:r>
    </w:p>
    <w:tbl>
      <w:tblPr>
        <w:tblStyle w:val="Grilledutableau"/>
        <w:tblW w:w="13778"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179"/>
        <w:gridCol w:w="1260"/>
        <w:gridCol w:w="789"/>
        <w:gridCol w:w="1244"/>
        <w:gridCol w:w="787"/>
        <w:gridCol w:w="1244"/>
        <w:gridCol w:w="787"/>
        <w:gridCol w:w="1244"/>
        <w:gridCol w:w="787"/>
        <w:gridCol w:w="1344"/>
        <w:gridCol w:w="837"/>
      </w:tblGrid>
      <w:tr w:rsidR="008C179D" w:rsidRPr="008C179D" w14:paraId="6E02268F" w14:textId="77777777" w:rsidTr="005D5497">
        <w:trPr>
          <w:tblHeader/>
        </w:trPr>
        <w:tc>
          <w:tcPr>
            <w:tcW w:w="1276" w:type="dxa"/>
            <w:vMerge w:val="restart"/>
            <w:tcBorders>
              <w:top w:val="single" w:sz="4" w:space="0" w:color="auto"/>
              <w:bottom w:val="single" w:sz="12" w:space="0" w:color="auto"/>
            </w:tcBorders>
            <w:shd w:val="clear" w:color="auto" w:fill="auto"/>
            <w:vAlign w:val="bottom"/>
          </w:tcPr>
          <w:p w14:paraId="10B00070" w14:textId="77777777" w:rsidR="008C179D" w:rsidRPr="008C179D" w:rsidRDefault="008C179D" w:rsidP="00970356">
            <w:pPr>
              <w:suppressAutoHyphens w:val="0"/>
              <w:spacing w:before="80" w:after="80" w:line="200" w:lineRule="exact"/>
              <w:rPr>
                <w:i/>
                <w:sz w:val="16"/>
              </w:rPr>
            </w:pPr>
            <w:r w:rsidRPr="008C179D">
              <w:rPr>
                <w:i/>
                <w:sz w:val="16"/>
                <w:lang w:val="fr-FR"/>
              </w:rPr>
              <w:t>Domaine d</w:t>
            </w:r>
            <w:r w:rsidR="00457C42">
              <w:rPr>
                <w:i/>
                <w:sz w:val="16"/>
                <w:lang w:val="fr-FR"/>
              </w:rPr>
              <w:t>’</w:t>
            </w:r>
            <w:r w:rsidRPr="008C179D">
              <w:rPr>
                <w:i/>
                <w:sz w:val="16"/>
                <w:lang w:val="fr-FR"/>
              </w:rPr>
              <w:t>activité</w:t>
            </w:r>
          </w:p>
        </w:tc>
        <w:tc>
          <w:tcPr>
            <w:tcW w:w="2179" w:type="dxa"/>
            <w:vMerge w:val="restart"/>
            <w:tcBorders>
              <w:top w:val="single" w:sz="4" w:space="0" w:color="auto"/>
              <w:bottom w:val="single" w:sz="12" w:space="0" w:color="auto"/>
            </w:tcBorders>
            <w:shd w:val="clear" w:color="auto" w:fill="auto"/>
            <w:vAlign w:val="bottom"/>
          </w:tcPr>
          <w:p w14:paraId="4B0D8C1F" w14:textId="77777777" w:rsidR="008C179D" w:rsidRPr="008C179D" w:rsidRDefault="008C179D" w:rsidP="000439D2">
            <w:pPr>
              <w:suppressAutoHyphens w:val="0"/>
              <w:spacing w:before="80" w:after="80" w:line="200" w:lineRule="exact"/>
              <w:ind w:left="57"/>
              <w:rPr>
                <w:i/>
                <w:sz w:val="16"/>
              </w:rPr>
            </w:pPr>
            <w:r w:rsidRPr="008C179D">
              <w:rPr>
                <w:i/>
                <w:sz w:val="16"/>
                <w:lang w:val="fr-FR"/>
              </w:rPr>
              <w:t>Description des dépenses</w:t>
            </w:r>
          </w:p>
        </w:tc>
        <w:tc>
          <w:tcPr>
            <w:tcW w:w="10323" w:type="dxa"/>
            <w:gridSpan w:val="10"/>
            <w:tcBorders>
              <w:top w:val="single" w:sz="4" w:space="0" w:color="auto"/>
              <w:bottom w:val="single" w:sz="12" w:space="0" w:color="auto"/>
            </w:tcBorders>
            <w:shd w:val="clear" w:color="auto" w:fill="auto"/>
            <w:vAlign w:val="bottom"/>
          </w:tcPr>
          <w:p w14:paraId="61C56D62" w14:textId="77777777" w:rsidR="008C179D" w:rsidRPr="008C179D" w:rsidRDefault="008C179D" w:rsidP="00970356">
            <w:pPr>
              <w:suppressAutoHyphens w:val="0"/>
              <w:spacing w:before="80" w:after="80" w:line="200" w:lineRule="exact"/>
              <w:jc w:val="center"/>
              <w:rPr>
                <w:i/>
                <w:sz w:val="16"/>
                <w:lang w:val="fr-FR"/>
              </w:rPr>
            </w:pPr>
            <w:r w:rsidRPr="008C179D">
              <w:rPr>
                <w:i/>
                <w:sz w:val="16"/>
                <w:lang w:val="fr-FR"/>
              </w:rPr>
              <w:t>Coûts estimatifs moyens en dollars des États-Unis (par an)</w:t>
            </w:r>
            <w:r w:rsidRPr="00970356">
              <w:rPr>
                <w:sz w:val="16"/>
                <w:vertAlign w:val="superscript"/>
                <w:lang w:val="fr-FR"/>
              </w:rPr>
              <w:t>a</w:t>
            </w:r>
          </w:p>
        </w:tc>
      </w:tr>
      <w:tr w:rsidR="0050281E" w:rsidRPr="008C179D" w14:paraId="49C7C465" w14:textId="77777777" w:rsidTr="005D5497">
        <w:trPr>
          <w:tblHeader/>
        </w:trPr>
        <w:tc>
          <w:tcPr>
            <w:tcW w:w="1276" w:type="dxa"/>
            <w:vMerge/>
            <w:tcBorders>
              <w:top w:val="single" w:sz="12" w:space="0" w:color="auto"/>
            </w:tcBorders>
            <w:shd w:val="clear" w:color="auto" w:fill="auto"/>
            <w:vAlign w:val="bottom"/>
            <w:hideMark/>
          </w:tcPr>
          <w:p w14:paraId="638E339C" w14:textId="77777777" w:rsidR="0050281E" w:rsidRPr="008C179D" w:rsidRDefault="0050281E" w:rsidP="00970356">
            <w:pPr>
              <w:suppressAutoHyphens w:val="0"/>
              <w:spacing w:before="80" w:after="80" w:line="200" w:lineRule="exact"/>
              <w:rPr>
                <w:sz w:val="18"/>
                <w:lang w:val="fr-FR"/>
              </w:rPr>
            </w:pPr>
          </w:p>
        </w:tc>
        <w:tc>
          <w:tcPr>
            <w:tcW w:w="2179" w:type="dxa"/>
            <w:vMerge/>
            <w:tcBorders>
              <w:top w:val="single" w:sz="12" w:space="0" w:color="auto"/>
            </w:tcBorders>
            <w:shd w:val="clear" w:color="auto" w:fill="auto"/>
            <w:vAlign w:val="bottom"/>
            <w:hideMark/>
          </w:tcPr>
          <w:p w14:paraId="615EC4A8" w14:textId="77777777" w:rsidR="0050281E" w:rsidRPr="008C179D" w:rsidRDefault="0050281E" w:rsidP="000439D2">
            <w:pPr>
              <w:suppressAutoHyphens w:val="0"/>
              <w:spacing w:before="80" w:after="80" w:line="200" w:lineRule="exact"/>
              <w:ind w:left="57"/>
              <w:rPr>
                <w:sz w:val="18"/>
                <w:lang w:val="fr-FR"/>
              </w:rPr>
            </w:pPr>
          </w:p>
        </w:tc>
        <w:tc>
          <w:tcPr>
            <w:tcW w:w="2049" w:type="dxa"/>
            <w:gridSpan w:val="2"/>
            <w:tcBorders>
              <w:top w:val="single" w:sz="12" w:space="0" w:color="auto"/>
              <w:bottom w:val="single" w:sz="4" w:space="0" w:color="auto"/>
              <w:right w:val="single" w:sz="24" w:space="0" w:color="FFFFFF" w:themeColor="background1"/>
            </w:tcBorders>
            <w:shd w:val="clear" w:color="auto" w:fill="auto"/>
            <w:vAlign w:val="bottom"/>
            <w:hideMark/>
          </w:tcPr>
          <w:p w14:paraId="0BAB4AD5" w14:textId="77777777" w:rsidR="0050281E" w:rsidRPr="0082255A" w:rsidRDefault="0050281E" w:rsidP="00970356">
            <w:pPr>
              <w:suppressAutoHyphens w:val="0"/>
              <w:spacing w:before="80" w:after="80" w:line="200" w:lineRule="exact"/>
              <w:jc w:val="center"/>
              <w:rPr>
                <w:i/>
                <w:sz w:val="16"/>
                <w:szCs w:val="16"/>
              </w:rPr>
            </w:pPr>
            <w:r w:rsidRPr="0082255A">
              <w:rPr>
                <w:i/>
                <w:sz w:val="16"/>
                <w:szCs w:val="16"/>
                <w:lang w:val="fr-FR"/>
              </w:rPr>
              <w:t>2022</w:t>
            </w:r>
          </w:p>
        </w:tc>
        <w:tc>
          <w:tcPr>
            <w:tcW w:w="203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5629323" w14:textId="77777777" w:rsidR="0050281E" w:rsidRPr="0082255A" w:rsidRDefault="0050281E" w:rsidP="00970356">
            <w:pPr>
              <w:suppressAutoHyphens w:val="0"/>
              <w:spacing w:before="80" w:after="80" w:line="200" w:lineRule="exact"/>
              <w:jc w:val="center"/>
              <w:rPr>
                <w:i/>
                <w:sz w:val="16"/>
                <w:szCs w:val="16"/>
              </w:rPr>
            </w:pPr>
            <w:r w:rsidRPr="0082255A">
              <w:rPr>
                <w:i/>
                <w:sz w:val="16"/>
                <w:szCs w:val="16"/>
                <w:lang w:val="fr-FR"/>
              </w:rPr>
              <w:t>2023</w:t>
            </w:r>
          </w:p>
        </w:tc>
        <w:tc>
          <w:tcPr>
            <w:tcW w:w="203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1B383AC" w14:textId="77777777" w:rsidR="0050281E" w:rsidRPr="0082255A" w:rsidRDefault="0050281E" w:rsidP="00970356">
            <w:pPr>
              <w:suppressAutoHyphens w:val="0"/>
              <w:spacing w:before="80" w:after="80" w:line="200" w:lineRule="exact"/>
              <w:jc w:val="center"/>
              <w:rPr>
                <w:i/>
                <w:sz w:val="16"/>
                <w:szCs w:val="16"/>
              </w:rPr>
            </w:pPr>
            <w:r w:rsidRPr="0082255A">
              <w:rPr>
                <w:i/>
                <w:sz w:val="16"/>
                <w:szCs w:val="16"/>
                <w:lang w:val="fr-FR"/>
              </w:rPr>
              <w:t>2024</w:t>
            </w:r>
          </w:p>
        </w:tc>
        <w:tc>
          <w:tcPr>
            <w:tcW w:w="203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ECF5526" w14:textId="77777777" w:rsidR="0050281E" w:rsidRPr="0082255A" w:rsidRDefault="0050281E" w:rsidP="00970356">
            <w:pPr>
              <w:suppressAutoHyphens w:val="0"/>
              <w:spacing w:before="80" w:after="80" w:line="200" w:lineRule="exact"/>
              <w:jc w:val="center"/>
              <w:rPr>
                <w:i/>
                <w:sz w:val="16"/>
                <w:szCs w:val="16"/>
              </w:rPr>
            </w:pPr>
            <w:r w:rsidRPr="0082255A">
              <w:rPr>
                <w:i/>
                <w:sz w:val="16"/>
                <w:szCs w:val="16"/>
                <w:lang w:val="fr-FR"/>
              </w:rPr>
              <w:t>2025</w:t>
            </w:r>
          </w:p>
        </w:tc>
        <w:tc>
          <w:tcPr>
            <w:tcW w:w="2181" w:type="dxa"/>
            <w:gridSpan w:val="2"/>
            <w:tcBorders>
              <w:top w:val="single" w:sz="12" w:space="0" w:color="auto"/>
              <w:left w:val="single" w:sz="24" w:space="0" w:color="FFFFFF" w:themeColor="background1"/>
              <w:bottom w:val="single" w:sz="4" w:space="0" w:color="auto"/>
            </w:tcBorders>
            <w:shd w:val="clear" w:color="auto" w:fill="auto"/>
            <w:noWrap/>
            <w:vAlign w:val="bottom"/>
            <w:hideMark/>
          </w:tcPr>
          <w:p w14:paraId="4302496D" w14:textId="77777777" w:rsidR="0050281E" w:rsidRPr="0082255A" w:rsidRDefault="0050281E" w:rsidP="00970356">
            <w:pPr>
              <w:suppressAutoHyphens w:val="0"/>
              <w:spacing w:before="80" w:after="80" w:line="200" w:lineRule="exact"/>
              <w:jc w:val="center"/>
              <w:rPr>
                <w:i/>
                <w:sz w:val="16"/>
                <w:szCs w:val="16"/>
              </w:rPr>
            </w:pPr>
            <w:r w:rsidRPr="0082255A">
              <w:rPr>
                <w:i/>
                <w:sz w:val="16"/>
                <w:szCs w:val="16"/>
                <w:lang w:val="fr-FR"/>
              </w:rPr>
              <w:t>2022-2025</w:t>
            </w:r>
            <w:r w:rsidR="00970356" w:rsidRPr="0082255A">
              <w:rPr>
                <w:i/>
                <w:sz w:val="16"/>
                <w:szCs w:val="16"/>
                <w:lang w:val="fr-FR"/>
              </w:rPr>
              <w:br/>
            </w:r>
            <w:r w:rsidRPr="0082255A">
              <w:rPr>
                <w:i/>
                <w:sz w:val="16"/>
                <w:szCs w:val="16"/>
                <w:lang w:val="fr-FR"/>
              </w:rPr>
              <w:t>Moyenne annuelle</w:t>
            </w:r>
          </w:p>
        </w:tc>
      </w:tr>
      <w:tr w:rsidR="008C179D" w:rsidRPr="008C179D" w14:paraId="64338A14" w14:textId="77777777" w:rsidTr="005D5497">
        <w:trPr>
          <w:tblHeader/>
        </w:trPr>
        <w:tc>
          <w:tcPr>
            <w:tcW w:w="1276" w:type="dxa"/>
            <w:vMerge/>
            <w:tcBorders>
              <w:bottom w:val="single" w:sz="12" w:space="0" w:color="auto"/>
            </w:tcBorders>
            <w:shd w:val="clear" w:color="auto" w:fill="auto"/>
            <w:vAlign w:val="bottom"/>
            <w:hideMark/>
          </w:tcPr>
          <w:p w14:paraId="0FC642D1" w14:textId="77777777" w:rsidR="008C179D" w:rsidRPr="008C179D" w:rsidRDefault="008C179D" w:rsidP="00970356">
            <w:pPr>
              <w:suppressAutoHyphens w:val="0"/>
              <w:spacing w:before="80" w:after="80" w:line="200" w:lineRule="exact"/>
              <w:rPr>
                <w:sz w:val="18"/>
              </w:rPr>
            </w:pPr>
          </w:p>
        </w:tc>
        <w:tc>
          <w:tcPr>
            <w:tcW w:w="2179" w:type="dxa"/>
            <w:vMerge/>
            <w:tcBorders>
              <w:bottom w:val="single" w:sz="12" w:space="0" w:color="auto"/>
            </w:tcBorders>
            <w:shd w:val="clear" w:color="auto" w:fill="auto"/>
            <w:vAlign w:val="bottom"/>
            <w:hideMark/>
          </w:tcPr>
          <w:p w14:paraId="43FE0386" w14:textId="77777777" w:rsidR="008C179D" w:rsidRPr="008C179D" w:rsidRDefault="008C179D" w:rsidP="000439D2">
            <w:pPr>
              <w:suppressAutoHyphens w:val="0"/>
              <w:spacing w:before="80" w:after="80" w:line="200" w:lineRule="exact"/>
              <w:ind w:left="57"/>
              <w:rPr>
                <w:sz w:val="18"/>
              </w:rPr>
            </w:pPr>
          </w:p>
        </w:tc>
        <w:tc>
          <w:tcPr>
            <w:tcW w:w="1260" w:type="dxa"/>
            <w:tcBorders>
              <w:top w:val="single" w:sz="4" w:space="0" w:color="auto"/>
              <w:bottom w:val="single" w:sz="12" w:space="0" w:color="auto"/>
            </w:tcBorders>
            <w:shd w:val="clear" w:color="auto" w:fill="auto"/>
            <w:vAlign w:val="bottom"/>
            <w:hideMark/>
          </w:tcPr>
          <w:p w14:paraId="02D9FCFB"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Coûts</w:t>
            </w:r>
            <w:r w:rsidR="005D5497">
              <w:rPr>
                <w:i/>
                <w:sz w:val="16"/>
                <w:szCs w:val="16"/>
                <w:lang w:val="fr-FR"/>
              </w:rPr>
              <w:br/>
            </w:r>
            <w:r w:rsidRPr="00970356">
              <w:rPr>
                <w:i/>
                <w:sz w:val="16"/>
                <w:szCs w:val="16"/>
                <w:lang w:val="fr-FR"/>
              </w:rPr>
              <w:t>opérationnels</w:t>
            </w:r>
          </w:p>
        </w:tc>
        <w:tc>
          <w:tcPr>
            <w:tcW w:w="789" w:type="dxa"/>
            <w:tcBorders>
              <w:top w:val="single" w:sz="4" w:space="0" w:color="auto"/>
              <w:bottom w:val="single" w:sz="12" w:space="0" w:color="auto"/>
              <w:right w:val="single" w:sz="24" w:space="0" w:color="FFFFFF" w:themeColor="background1"/>
            </w:tcBorders>
            <w:shd w:val="clear" w:color="auto" w:fill="auto"/>
            <w:vAlign w:val="bottom"/>
            <w:hideMark/>
          </w:tcPr>
          <w:p w14:paraId="7FCADFBA"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Autres coûts</w:t>
            </w:r>
          </w:p>
        </w:tc>
        <w:tc>
          <w:tcPr>
            <w:tcW w:w="1244" w:type="dxa"/>
            <w:tcBorders>
              <w:top w:val="single" w:sz="4" w:space="0" w:color="auto"/>
              <w:left w:val="single" w:sz="24" w:space="0" w:color="FFFFFF" w:themeColor="background1"/>
              <w:bottom w:val="single" w:sz="12" w:space="0" w:color="auto"/>
            </w:tcBorders>
            <w:shd w:val="clear" w:color="auto" w:fill="auto"/>
            <w:noWrap/>
            <w:vAlign w:val="bottom"/>
            <w:hideMark/>
          </w:tcPr>
          <w:p w14:paraId="24F5EBC5"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Coûts opérationnels</w:t>
            </w:r>
          </w:p>
        </w:tc>
        <w:tc>
          <w:tcPr>
            <w:tcW w:w="787" w:type="dxa"/>
            <w:tcBorders>
              <w:top w:val="single" w:sz="4" w:space="0" w:color="auto"/>
              <w:bottom w:val="single" w:sz="12" w:space="0" w:color="auto"/>
              <w:right w:val="single" w:sz="24" w:space="0" w:color="FFFFFF" w:themeColor="background1"/>
            </w:tcBorders>
            <w:shd w:val="clear" w:color="auto" w:fill="auto"/>
            <w:vAlign w:val="bottom"/>
            <w:hideMark/>
          </w:tcPr>
          <w:p w14:paraId="09629F17"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Autres coûts</w:t>
            </w:r>
          </w:p>
        </w:tc>
        <w:tc>
          <w:tcPr>
            <w:tcW w:w="1244" w:type="dxa"/>
            <w:tcBorders>
              <w:top w:val="single" w:sz="4" w:space="0" w:color="auto"/>
              <w:left w:val="single" w:sz="24" w:space="0" w:color="FFFFFF" w:themeColor="background1"/>
              <w:bottom w:val="single" w:sz="12" w:space="0" w:color="auto"/>
            </w:tcBorders>
            <w:shd w:val="clear" w:color="auto" w:fill="auto"/>
            <w:noWrap/>
            <w:vAlign w:val="bottom"/>
            <w:hideMark/>
          </w:tcPr>
          <w:p w14:paraId="277DE383"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Coûts opérationnels</w:t>
            </w:r>
          </w:p>
        </w:tc>
        <w:tc>
          <w:tcPr>
            <w:tcW w:w="787" w:type="dxa"/>
            <w:tcBorders>
              <w:top w:val="single" w:sz="4" w:space="0" w:color="auto"/>
              <w:bottom w:val="single" w:sz="12" w:space="0" w:color="auto"/>
              <w:right w:val="single" w:sz="24" w:space="0" w:color="FFFFFF" w:themeColor="background1"/>
            </w:tcBorders>
            <w:shd w:val="clear" w:color="auto" w:fill="auto"/>
            <w:vAlign w:val="bottom"/>
            <w:hideMark/>
          </w:tcPr>
          <w:p w14:paraId="238DEE3C"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Autres coûts</w:t>
            </w:r>
          </w:p>
        </w:tc>
        <w:tc>
          <w:tcPr>
            <w:tcW w:w="1244" w:type="dxa"/>
            <w:tcBorders>
              <w:top w:val="single" w:sz="4" w:space="0" w:color="auto"/>
              <w:left w:val="single" w:sz="24" w:space="0" w:color="FFFFFF" w:themeColor="background1"/>
              <w:bottom w:val="single" w:sz="12" w:space="0" w:color="auto"/>
            </w:tcBorders>
            <w:shd w:val="clear" w:color="auto" w:fill="auto"/>
            <w:noWrap/>
            <w:vAlign w:val="bottom"/>
            <w:hideMark/>
          </w:tcPr>
          <w:p w14:paraId="16F93EE1"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Coûts opérationnels</w:t>
            </w:r>
          </w:p>
        </w:tc>
        <w:tc>
          <w:tcPr>
            <w:tcW w:w="787" w:type="dxa"/>
            <w:tcBorders>
              <w:top w:val="single" w:sz="4" w:space="0" w:color="auto"/>
              <w:bottom w:val="single" w:sz="12" w:space="0" w:color="auto"/>
              <w:right w:val="single" w:sz="24" w:space="0" w:color="FFFFFF" w:themeColor="background1"/>
            </w:tcBorders>
            <w:shd w:val="clear" w:color="auto" w:fill="auto"/>
            <w:vAlign w:val="bottom"/>
            <w:hideMark/>
          </w:tcPr>
          <w:p w14:paraId="72EDF15C"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Autres coûts</w:t>
            </w:r>
          </w:p>
        </w:tc>
        <w:tc>
          <w:tcPr>
            <w:tcW w:w="1344" w:type="dxa"/>
            <w:tcBorders>
              <w:top w:val="single" w:sz="4" w:space="0" w:color="auto"/>
              <w:left w:val="single" w:sz="24" w:space="0" w:color="FFFFFF" w:themeColor="background1"/>
              <w:bottom w:val="single" w:sz="12" w:space="0" w:color="auto"/>
            </w:tcBorders>
            <w:shd w:val="clear" w:color="auto" w:fill="auto"/>
            <w:noWrap/>
            <w:vAlign w:val="bottom"/>
            <w:hideMark/>
          </w:tcPr>
          <w:p w14:paraId="2D515C65"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Coûts</w:t>
            </w:r>
            <w:r w:rsidR="004B5468">
              <w:rPr>
                <w:i/>
                <w:sz w:val="16"/>
                <w:szCs w:val="16"/>
                <w:lang w:val="fr-FR"/>
              </w:rPr>
              <w:br/>
            </w:r>
            <w:r w:rsidRPr="00970356">
              <w:rPr>
                <w:i/>
                <w:sz w:val="16"/>
                <w:szCs w:val="16"/>
                <w:lang w:val="fr-FR"/>
              </w:rPr>
              <w:t>opérationnels</w:t>
            </w:r>
          </w:p>
        </w:tc>
        <w:tc>
          <w:tcPr>
            <w:tcW w:w="837" w:type="dxa"/>
            <w:tcBorders>
              <w:top w:val="single" w:sz="4" w:space="0" w:color="auto"/>
              <w:bottom w:val="single" w:sz="12" w:space="0" w:color="auto"/>
            </w:tcBorders>
            <w:shd w:val="clear" w:color="auto" w:fill="auto"/>
            <w:vAlign w:val="bottom"/>
            <w:hideMark/>
          </w:tcPr>
          <w:p w14:paraId="25525FD7" w14:textId="77777777" w:rsidR="008C179D" w:rsidRPr="00970356" w:rsidRDefault="008C179D" w:rsidP="00970356">
            <w:pPr>
              <w:suppressAutoHyphens w:val="0"/>
              <w:spacing w:before="80" w:after="80" w:line="200" w:lineRule="exact"/>
              <w:jc w:val="right"/>
              <w:rPr>
                <w:i/>
                <w:sz w:val="16"/>
                <w:szCs w:val="16"/>
              </w:rPr>
            </w:pPr>
            <w:r w:rsidRPr="00970356">
              <w:rPr>
                <w:i/>
                <w:sz w:val="16"/>
                <w:szCs w:val="16"/>
                <w:lang w:val="fr-FR"/>
              </w:rPr>
              <w:t>Autres</w:t>
            </w:r>
            <w:r w:rsidR="00970356">
              <w:rPr>
                <w:i/>
                <w:sz w:val="16"/>
                <w:szCs w:val="16"/>
                <w:lang w:val="fr-FR"/>
              </w:rPr>
              <w:br/>
            </w:r>
            <w:r w:rsidRPr="00970356">
              <w:rPr>
                <w:i/>
                <w:sz w:val="16"/>
                <w:szCs w:val="16"/>
                <w:lang w:val="fr-FR"/>
              </w:rPr>
              <w:t>coûts</w:t>
            </w:r>
          </w:p>
        </w:tc>
      </w:tr>
      <w:tr w:rsidR="008C179D" w:rsidRPr="008C179D" w14:paraId="18138B8E" w14:textId="77777777" w:rsidTr="00CB304C">
        <w:tc>
          <w:tcPr>
            <w:tcW w:w="1276" w:type="dxa"/>
            <w:shd w:val="clear" w:color="auto" w:fill="auto"/>
            <w:hideMark/>
          </w:tcPr>
          <w:p w14:paraId="28450C57" w14:textId="77777777" w:rsidR="008C179D" w:rsidRPr="008C179D" w:rsidRDefault="008C179D" w:rsidP="008C179D">
            <w:pPr>
              <w:suppressAutoHyphens w:val="0"/>
              <w:spacing w:before="40" w:after="40" w:line="220" w:lineRule="exact"/>
              <w:rPr>
                <w:sz w:val="18"/>
              </w:rPr>
            </w:pPr>
            <w:r w:rsidRPr="008C179D">
              <w:rPr>
                <w:sz w:val="18"/>
                <w:lang w:val="fr-FR"/>
              </w:rPr>
              <w:t>I. Accès à l</w:t>
            </w:r>
            <w:r w:rsidR="00457C42">
              <w:rPr>
                <w:sz w:val="18"/>
                <w:lang w:val="fr-FR"/>
              </w:rPr>
              <w:t>’</w:t>
            </w:r>
            <w:proofErr w:type="spellStart"/>
            <w:r w:rsidRPr="008C179D">
              <w:rPr>
                <w:sz w:val="18"/>
                <w:lang w:val="fr-FR"/>
              </w:rPr>
              <w:t>information</w:t>
            </w:r>
            <w:r w:rsidRPr="002F6AB4">
              <w:rPr>
                <w:i/>
                <w:sz w:val="18"/>
                <w:vertAlign w:val="superscript"/>
                <w:lang w:val="fr-FR"/>
              </w:rPr>
              <w:t>b</w:t>
            </w:r>
            <w:proofErr w:type="spellEnd"/>
          </w:p>
        </w:tc>
        <w:tc>
          <w:tcPr>
            <w:tcW w:w="2179" w:type="dxa"/>
            <w:shd w:val="clear" w:color="auto" w:fill="auto"/>
            <w:vAlign w:val="bottom"/>
            <w:hideMark/>
          </w:tcPr>
          <w:p w14:paraId="7BF72EBB"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w:t>
            </w:r>
            <w:r w:rsidRPr="002F6AB4">
              <w:rPr>
                <w:i/>
                <w:sz w:val="18"/>
                <w:szCs w:val="18"/>
                <w:vertAlign w:val="superscript"/>
                <w:lang w:val="fr-FR"/>
              </w:rPr>
              <w:t>c</w:t>
            </w:r>
            <w:proofErr w:type="spellEnd"/>
            <w:r w:rsidRPr="002F6AB4">
              <w:rPr>
                <w:sz w:val="18"/>
                <w:szCs w:val="18"/>
                <w:lang w:val="fr-FR"/>
              </w:rPr>
              <w:t> </w:t>
            </w:r>
            <w:r w:rsidRPr="008C179D">
              <w:rPr>
                <w:sz w:val="18"/>
                <w:lang w:val="fr-FR"/>
              </w:rPr>
              <w:t>: 1</w:t>
            </w:r>
            <w:r w:rsidR="002F6AB4">
              <w:rPr>
                <w:sz w:val="18"/>
                <w:lang w:val="fr-FR"/>
              </w:rPr>
              <w:t> </w:t>
            </w:r>
            <w:r w:rsidRPr="008C179D">
              <w:rPr>
                <w:sz w:val="18"/>
                <w:lang w:val="fr-FR"/>
              </w:rPr>
              <w:t>fonctionnaire P-3 à 30 % d</w:t>
            </w:r>
            <w:r w:rsidR="00457C42">
              <w:rPr>
                <w:sz w:val="18"/>
                <w:lang w:val="fr-FR"/>
              </w:rPr>
              <w:t>’</w:t>
            </w:r>
            <w:r w:rsidRPr="00522A78">
              <w:rPr>
                <w:sz w:val="18"/>
                <w:lang w:val="fr-FR"/>
              </w:rPr>
              <w:t>EPT</w:t>
            </w:r>
          </w:p>
        </w:tc>
        <w:tc>
          <w:tcPr>
            <w:tcW w:w="1260" w:type="dxa"/>
            <w:shd w:val="clear" w:color="auto" w:fill="auto"/>
            <w:hideMark/>
          </w:tcPr>
          <w:p w14:paraId="54C8C6ED"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9" w:type="dxa"/>
            <w:shd w:val="clear" w:color="auto" w:fill="auto"/>
            <w:hideMark/>
          </w:tcPr>
          <w:p w14:paraId="358449D7"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2F118B7B"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7" w:type="dxa"/>
            <w:shd w:val="clear" w:color="auto" w:fill="auto"/>
            <w:hideMark/>
          </w:tcPr>
          <w:p w14:paraId="4F20C75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378D719C"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7" w:type="dxa"/>
            <w:shd w:val="clear" w:color="auto" w:fill="auto"/>
            <w:hideMark/>
          </w:tcPr>
          <w:p w14:paraId="484C4F4E"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328B30D0"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7" w:type="dxa"/>
            <w:shd w:val="clear" w:color="auto" w:fill="auto"/>
            <w:hideMark/>
          </w:tcPr>
          <w:p w14:paraId="20DC6E5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43828E3F"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r w:rsidRPr="008C179D">
              <w:rPr>
                <w:sz w:val="18"/>
                <w:vertAlign w:val="superscript"/>
                <w:lang w:val="fr-FR"/>
              </w:rPr>
              <w:t>c</w:t>
            </w:r>
          </w:p>
        </w:tc>
        <w:tc>
          <w:tcPr>
            <w:tcW w:w="837" w:type="dxa"/>
            <w:shd w:val="clear" w:color="auto" w:fill="auto"/>
            <w:hideMark/>
          </w:tcPr>
          <w:p w14:paraId="0297E407"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740E9102" w14:textId="77777777" w:rsidTr="00CB304C">
        <w:tc>
          <w:tcPr>
            <w:tcW w:w="1276" w:type="dxa"/>
            <w:shd w:val="clear" w:color="auto" w:fill="auto"/>
            <w:hideMark/>
          </w:tcPr>
          <w:p w14:paraId="40DD841B"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0D21CF29"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(tenue</w:t>
            </w:r>
            <w:r w:rsidR="005D5497">
              <w:rPr>
                <w:sz w:val="18"/>
                <w:lang w:val="fr-FR"/>
              </w:rPr>
              <w:t> </w:t>
            </w:r>
            <w:r w:rsidRPr="008C179D">
              <w:rPr>
                <w:sz w:val="18"/>
                <w:lang w:val="fr-FR"/>
              </w:rPr>
              <w:t>à jour du Mécanisme d</w:t>
            </w:r>
            <w:r w:rsidR="00457C42">
              <w:rPr>
                <w:sz w:val="18"/>
                <w:lang w:val="fr-FR"/>
              </w:rPr>
              <w:t>’</w:t>
            </w:r>
            <w:r w:rsidRPr="008C179D">
              <w:rPr>
                <w:sz w:val="18"/>
                <w:lang w:val="fr-FR"/>
              </w:rPr>
              <w:t>échange d</w:t>
            </w:r>
            <w:r w:rsidR="00457C42">
              <w:rPr>
                <w:sz w:val="18"/>
                <w:lang w:val="fr-FR"/>
              </w:rPr>
              <w:t>’</w:t>
            </w:r>
            <w:r w:rsidRPr="008C179D">
              <w:rPr>
                <w:sz w:val="18"/>
                <w:lang w:val="fr-FR"/>
              </w:rPr>
              <w:t>informations d</w:t>
            </w:r>
            <w:r w:rsidR="00457C42">
              <w:rPr>
                <w:sz w:val="18"/>
                <w:lang w:val="fr-FR"/>
              </w:rPr>
              <w:t>’</w:t>
            </w:r>
            <w:r w:rsidRPr="008C179D">
              <w:rPr>
                <w:sz w:val="18"/>
                <w:lang w:val="fr-FR"/>
              </w:rPr>
              <w:t>Aarhus et de la base de données d</w:t>
            </w:r>
            <w:r w:rsidR="00457C42">
              <w:rPr>
                <w:sz w:val="18"/>
                <w:lang w:val="fr-FR"/>
              </w:rPr>
              <w:t>’</w:t>
            </w:r>
            <w:r w:rsidRPr="008C179D">
              <w:rPr>
                <w:sz w:val="18"/>
                <w:lang w:val="fr-FR"/>
              </w:rPr>
              <w:t>Aarhus sur les</w:t>
            </w:r>
            <w:r w:rsidR="000439D2">
              <w:rPr>
                <w:sz w:val="18"/>
                <w:lang w:val="fr-FR"/>
              </w:rPr>
              <w:t> </w:t>
            </w:r>
            <w:r w:rsidRPr="008C179D">
              <w:rPr>
                <w:sz w:val="18"/>
                <w:lang w:val="fr-FR"/>
              </w:rPr>
              <w:t>bonnes pratiques, par</w:t>
            </w:r>
            <w:r w:rsidR="000439D2">
              <w:rPr>
                <w:sz w:val="18"/>
                <w:lang w:val="fr-FR"/>
              </w:rPr>
              <w:t> </w:t>
            </w:r>
            <w:r w:rsidRPr="008C179D">
              <w:rPr>
                <w:sz w:val="18"/>
                <w:lang w:val="fr-FR"/>
              </w:rPr>
              <w:t>exemple)</w:t>
            </w:r>
          </w:p>
        </w:tc>
        <w:tc>
          <w:tcPr>
            <w:tcW w:w="1260" w:type="dxa"/>
            <w:shd w:val="clear" w:color="auto" w:fill="auto"/>
            <w:hideMark/>
          </w:tcPr>
          <w:p w14:paraId="65151915"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9" w:type="dxa"/>
            <w:shd w:val="clear" w:color="auto" w:fill="auto"/>
            <w:hideMark/>
          </w:tcPr>
          <w:p w14:paraId="75701584"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244" w:type="dxa"/>
            <w:shd w:val="clear" w:color="auto" w:fill="auto"/>
            <w:noWrap/>
            <w:hideMark/>
          </w:tcPr>
          <w:p w14:paraId="67F64F74"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6F53018F"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244" w:type="dxa"/>
            <w:shd w:val="clear" w:color="auto" w:fill="auto"/>
            <w:noWrap/>
            <w:hideMark/>
          </w:tcPr>
          <w:p w14:paraId="5E6FC4C8"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00DD13FD"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244" w:type="dxa"/>
            <w:shd w:val="clear" w:color="auto" w:fill="auto"/>
            <w:noWrap/>
            <w:hideMark/>
          </w:tcPr>
          <w:p w14:paraId="3C547088"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0E6DDDEA"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344" w:type="dxa"/>
            <w:shd w:val="clear" w:color="auto" w:fill="auto"/>
            <w:noWrap/>
            <w:hideMark/>
          </w:tcPr>
          <w:p w14:paraId="27E7040B"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837" w:type="dxa"/>
            <w:shd w:val="clear" w:color="auto" w:fill="auto"/>
            <w:noWrap/>
            <w:hideMark/>
          </w:tcPr>
          <w:p w14:paraId="6492F003"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r>
      <w:tr w:rsidR="008C179D" w:rsidRPr="008C179D" w14:paraId="4870908C" w14:textId="77777777" w:rsidTr="00CB304C">
        <w:tc>
          <w:tcPr>
            <w:tcW w:w="1276" w:type="dxa"/>
            <w:shd w:val="clear" w:color="auto" w:fill="auto"/>
            <w:hideMark/>
          </w:tcPr>
          <w:p w14:paraId="6DDDE579"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74B93496"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pour les</w:t>
            </w:r>
            <w:r w:rsidR="00C53881">
              <w:rPr>
                <w:sz w:val="18"/>
                <w:lang w:val="fr-FR"/>
              </w:rPr>
              <w:t xml:space="preserve"> </w:t>
            </w:r>
            <w:r w:rsidRPr="008C179D">
              <w:rPr>
                <w:sz w:val="18"/>
                <w:lang w:val="fr-FR"/>
              </w:rPr>
              <w:t>participants qui y</w:t>
            </w:r>
            <w:r w:rsidR="000439D2">
              <w:rPr>
                <w:sz w:val="18"/>
                <w:lang w:val="fr-FR"/>
              </w:rPr>
              <w:t> </w:t>
            </w:r>
            <w:r w:rsidRPr="008C179D">
              <w:rPr>
                <w:sz w:val="18"/>
                <w:lang w:val="fr-FR"/>
              </w:rPr>
              <w:t>ont droit (2 réunions)</w:t>
            </w:r>
          </w:p>
        </w:tc>
        <w:tc>
          <w:tcPr>
            <w:tcW w:w="1260" w:type="dxa"/>
            <w:shd w:val="clear" w:color="auto" w:fill="auto"/>
            <w:hideMark/>
          </w:tcPr>
          <w:p w14:paraId="00235269"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9" w:type="dxa"/>
            <w:shd w:val="clear" w:color="auto" w:fill="auto"/>
            <w:hideMark/>
          </w:tcPr>
          <w:p w14:paraId="661D399E"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0A385A70"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7" w:type="dxa"/>
            <w:shd w:val="clear" w:color="auto" w:fill="auto"/>
            <w:hideMark/>
          </w:tcPr>
          <w:p w14:paraId="2EF23C1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1DF87AE1"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7" w:type="dxa"/>
            <w:shd w:val="clear" w:color="auto" w:fill="auto"/>
            <w:hideMark/>
          </w:tcPr>
          <w:p w14:paraId="608EBD8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5F093822"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shd w:val="clear" w:color="auto" w:fill="auto"/>
            <w:hideMark/>
          </w:tcPr>
          <w:p w14:paraId="7FBB5F9E"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5250267C" w14:textId="77777777" w:rsidR="008C179D" w:rsidRPr="008C179D" w:rsidRDefault="008C179D" w:rsidP="00CB304C">
            <w:pPr>
              <w:suppressAutoHyphens w:val="0"/>
              <w:spacing w:before="40" w:after="40" w:line="220" w:lineRule="exact"/>
              <w:jc w:val="right"/>
              <w:rPr>
                <w:sz w:val="18"/>
              </w:rPr>
            </w:pPr>
            <w:r w:rsidRPr="008C179D">
              <w:rPr>
                <w:sz w:val="18"/>
                <w:lang w:val="fr-FR"/>
              </w:rPr>
              <w:t>20 400</w:t>
            </w:r>
          </w:p>
        </w:tc>
        <w:tc>
          <w:tcPr>
            <w:tcW w:w="837" w:type="dxa"/>
            <w:shd w:val="clear" w:color="auto" w:fill="auto"/>
            <w:hideMark/>
          </w:tcPr>
          <w:p w14:paraId="67E14713"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45CB185D" w14:textId="77777777" w:rsidTr="00CB304C">
        <w:tc>
          <w:tcPr>
            <w:tcW w:w="1276" w:type="dxa"/>
            <w:tcBorders>
              <w:bottom w:val="single" w:sz="4" w:space="0" w:color="auto"/>
            </w:tcBorders>
            <w:shd w:val="clear" w:color="auto" w:fill="auto"/>
            <w:hideMark/>
          </w:tcPr>
          <w:p w14:paraId="2166333D"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vAlign w:val="bottom"/>
            <w:hideMark/>
          </w:tcPr>
          <w:p w14:paraId="68C85F9C"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(personnel en mission)</w:t>
            </w:r>
            <w:r w:rsidRPr="0037510F">
              <w:rPr>
                <w:i/>
                <w:sz w:val="18"/>
                <w:vertAlign w:val="superscript"/>
                <w:lang w:val="fr-FR"/>
              </w:rPr>
              <w:t>d</w:t>
            </w:r>
          </w:p>
        </w:tc>
        <w:tc>
          <w:tcPr>
            <w:tcW w:w="1260" w:type="dxa"/>
            <w:tcBorders>
              <w:bottom w:val="single" w:sz="4" w:space="0" w:color="auto"/>
            </w:tcBorders>
            <w:shd w:val="clear" w:color="auto" w:fill="auto"/>
            <w:hideMark/>
          </w:tcPr>
          <w:p w14:paraId="6A08C334"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9" w:type="dxa"/>
            <w:tcBorders>
              <w:bottom w:val="single" w:sz="4" w:space="0" w:color="auto"/>
            </w:tcBorders>
            <w:shd w:val="clear" w:color="auto" w:fill="auto"/>
            <w:hideMark/>
          </w:tcPr>
          <w:p w14:paraId="6D35926E"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3B3F7F6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0E0816A6"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67598B8F"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714BE20F"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072C55F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4AEB53D4"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344" w:type="dxa"/>
            <w:tcBorders>
              <w:bottom w:val="single" w:sz="4" w:space="0" w:color="auto"/>
            </w:tcBorders>
            <w:shd w:val="clear" w:color="auto" w:fill="auto"/>
            <w:noWrap/>
            <w:hideMark/>
          </w:tcPr>
          <w:p w14:paraId="40FBB718"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837" w:type="dxa"/>
            <w:tcBorders>
              <w:bottom w:val="single" w:sz="4" w:space="0" w:color="auto"/>
            </w:tcBorders>
            <w:shd w:val="clear" w:color="auto" w:fill="auto"/>
            <w:hideMark/>
          </w:tcPr>
          <w:p w14:paraId="13ABEDB6"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r>
      <w:tr w:rsidR="008C179D" w:rsidRPr="002F6AB4" w14:paraId="1B6696AD" w14:textId="77777777" w:rsidTr="005D5497">
        <w:tc>
          <w:tcPr>
            <w:tcW w:w="3455" w:type="dxa"/>
            <w:gridSpan w:val="2"/>
            <w:tcBorders>
              <w:top w:val="single" w:sz="4" w:space="0" w:color="auto"/>
              <w:bottom w:val="single" w:sz="4" w:space="0" w:color="auto"/>
            </w:tcBorders>
            <w:shd w:val="clear" w:color="auto" w:fill="auto"/>
            <w:hideMark/>
          </w:tcPr>
          <w:p w14:paraId="1B7278EF" w14:textId="77777777" w:rsidR="008C179D" w:rsidRPr="002F6AB4" w:rsidRDefault="008C179D" w:rsidP="000439D2">
            <w:pPr>
              <w:suppressAutoHyphens w:val="0"/>
              <w:spacing w:before="80" w:after="80" w:line="220" w:lineRule="exact"/>
              <w:ind w:left="284"/>
              <w:rPr>
                <w:b/>
                <w:sz w:val="18"/>
              </w:rPr>
            </w:pPr>
            <w:r w:rsidRPr="002F6AB4">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119637CD"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59 500</w:t>
            </w:r>
          </w:p>
        </w:tc>
        <w:tc>
          <w:tcPr>
            <w:tcW w:w="789" w:type="dxa"/>
            <w:tcBorders>
              <w:top w:val="single" w:sz="4" w:space="0" w:color="auto"/>
              <w:bottom w:val="single" w:sz="4" w:space="0" w:color="auto"/>
            </w:tcBorders>
            <w:shd w:val="clear" w:color="auto" w:fill="auto"/>
            <w:vAlign w:val="bottom"/>
            <w:hideMark/>
          </w:tcPr>
          <w:p w14:paraId="4AE7782E"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6 500</w:t>
            </w:r>
          </w:p>
        </w:tc>
        <w:tc>
          <w:tcPr>
            <w:tcW w:w="1244" w:type="dxa"/>
            <w:tcBorders>
              <w:top w:val="single" w:sz="4" w:space="0" w:color="auto"/>
              <w:bottom w:val="single" w:sz="4" w:space="0" w:color="auto"/>
            </w:tcBorders>
            <w:shd w:val="clear" w:color="auto" w:fill="auto"/>
            <w:vAlign w:val="bottom"/>
            <w:hideMark/>
          </w:tcPr>
          <w:p w14:paraId="2CFA6C35"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100 300</w:t>
            </w:r>
          </w:p>
        </w:tc>
        <w:tc>
          <w:tcPr>
            <w:tcW w:w="787" w:type="dxa"/>
            <w:tcBorders>
              <w:top w:val="single" w:sz="4" w:space="0" w:color="auto"/>
              <w:bottom w:val="single" w:sz="4" w:space="0" w:color="auto"/>
            </w:tcBorders>
            <w:shd w:val="clear" w:color="auto" w:fill="auto"/>
            <w:vAlign w:val="bottom"/>
            <w:hideMark/>
          </w:tcPr>
          <w:p w14:paraId="1E15EB86"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6 500</w:t>
            </w:r>
          </w:p>
        </w:tc>
        <w:tc>
          <w:tcPr>
            <w:tcW w:w="1244" w:type="dxa"/>
            <w:tcBorders>
              <w:top w:val="single" w:sz="4" w:space="0" w:color="auto"/>
              <w:bottom w:val="single" w:sz="4" w:space="0" w:color="auto"/>
            </w:tcBorders>
            <w:shd w:val="clear" w:color="auto" w:fill="auto"/>
            <w:vAlign w:val="bottom"/>
            <w:hideMark/>
          </w:tcPr>
          <w:p w14:paraId="49F924FB"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100 300</w:t>
            </w:r>
          </w:p>
        </w:tc>
        <w:tc>
          <w:tcPr>
            <w:tcW w:w="787" w:type="dxa"/>
            <w:tcBorders>
              <w:top w:val="single" w:sz="4" w:space="0" w:color="auto"/>
              <w:bottom w:val="single" w:sz="4" w:space="0" w:color="auto"/>
            </w:tcBorders>
            <w:shd w:val="clear" w:color="auto" w:fill="auto"/>
            <w:vAlign w:val="bottom"/>
            <w:hideMark/>
          </w:tcPr>
          <w:p w14:paraId="760C9EF3"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6 500</w:t>
            </w:r>
          </w:p>
        </w:tc>
        <w:tc>
          <w:tcPr>
            <w:tcW w:w="1244" w:type="dxa"/>
            <w:tcBorders>
              <w:top w:val="single" w:sz="4" w:space="0" w:color="auto"/>
              <w:bottom w:val="single" w:sz="4" w:space="0" w:color="auto"/>
            </w:tcBorders>
            <w:shd w:val="clear" w:color="auto" w:fill="auto"/>
            <w:vAlign w:val="bottom"/>
            <w:hideMark/>
          </w:tcPr>
          <w:p w14:paraId="5D3AD473"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59 500</w:t>
            </w:r>
          </w:p>
        </w:tc>
        <w:tc>
          <w:tcPr>
            <w:tcW w:w="787" w:type="dxa"/>
            <w:tcBorders>
              <w:top w:val="single" w:sz="4" w:space="0" w:color="auto"/>
              <w:bottom w:val="single" w:sz="4" w:space="0" w:color="auto"/>
            </w:tcBorders>
            <w:shd w:val="clear" w:color="auto" w:fill="auto"/>
            <w:vAlign w:val="bottom"/>
            <w:hideMark/>
          </w:tcPr>
          <w:p w14:paraId="34F52981"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6 500</w:t>
            </w:r>
          </w:p>
        </w:tc>
        <w:tc>
          <w:tcPr>
            <w:tcW w:w="1344" w:type="dxa"/>
            <w:tcBorders>
              <w:top w:val="single" w:sz="4" w:space="0" w:color="auto"/>
              <w:bottom w:val="single" w:sz="4" w:space="0" w:color="auto"/>
            </w:tcBorders>
            <w:shd w:val="clear" w:color="auto" w:fill="auto"/>
            <w:vAlign w:val="bottom"/>
            <w:hideMark/>
          </w:tcPr>
          <w:p w14:paraId="3C45F8A7"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79 900</w:t>
            </w:r>
          </w:p>
        </w:tc>
        <w:tc>
          <w:tcPr>
            <w:tcW w:w="837" w:type="dxa"/>
            <w:tcBorders>
              <w:top w:val="single" w:sz="4" w:space="0" w:color="auto"/>
              <w:bottom w:val="single" w:sz="4" w:space="0" w:color="auto"/>
            </w:tcBorders>
            <w:shd w:val="clear" w:color="auto" w:fill="auto"/>
            <w:vAlign w:val="bottom"/>
            <w:hideMark/>
          </w:tcPr>
          <w:p w14:paraId="636100BF" w14:textId="77777777" w:rsidR="008C179D" w:rsidRPr="002F6AB4" w:rsidRDefault="008C179D" w:rsidP="002F6AB4">
            <w:pPr>
              <w:suppressAutoHyphens w:val="0"/>
              <w:spacing w:before="80" w:after="80" w:line="220" w:lineRule="exact"/>
              <w:jc w:val="right"/>
              <w:rPr>
                <w:b/>
                <w:bCs/>
                <w:sz w:val="18"/>
              </w:rPr>
            </w:pPr>
            <w:r w:rsidRPr="002F6AB4">
              <w:rPr>
                <w:b/>
                <w:bCs/>
                <w:sz w:val="18"/>
                <w:lang w:val="fr-FR"/>
              </w:rPr>
              <w:t>6 500</w:t>
            </w:r>
          </w:p>
        </w:tc>
      </w:tr>
      <w:tr w:rsidR="008C179D" w:rsidRPr="008C179D" w14:paraId="07901FB1" w14:textId="77777777" w:rsidTr="00CB304C">
        <w:tc>
          <w:tcPr>
            <w:tcW w:w="1276" w:type="dxa"/>
            <w:vMerge w:val="restart"/>
            <w:tcBorders>
              <w:top w:val="single" w:sz="4" w:space="0" w:color="auto"/>
            </w:tcBorders>
            <w:shd w:val="clear" w:color="auto" w:fill="auto"/>
            <w:hideMark/>
          </w:tcPr>
          <w:p w14:paraId="49AF24EB" w14:textId="77777777" w:rsidR="008C179D" w:rsidRPr="008C179D" w:rsidRDefault="008C179D" w:rsidP="008C179D">
            <w:pPr>
              <w:suppressAutoHyphens w:val="0"/>
              <w:spacing w:before="40" w:after="40" w:line="220" w:lineRule="exact"/>
              <w:rPr>
                <w:sz w:val="18"/>
              </w:rPr>
            </w:pPr>
            <w:r w:rsidRPr="008C179D">
              <w:rPr>
                <w:sz w:val="18"/>
                <w:lang w:val="fr-FR"/>
              </w:rPr>
              <w:t>II. Participation du</w:t>
            </w:r>
            <w:r w:rsidR="002F6AB4">
              <w:rPr>
                <w:sz w:val="18"/>
                <w:lang w:val="fr-FR"/>
              </w:rPr>
              <w:t> </w:t>
            </w:r>
            <w:r w:rsidRPr="008C179D">
              <w:rPr>
                <w:sz w:val="18"/>
                <w:lang w:val="fr-FR"/>
              </w:rPr>
              <w:t>public</w:t>
            </w:r>
          </w:p>
        </w:tc>
        <w:tc>
          <w:tcPr>
            <w:tcW w:w="2179" w:type="dxa"/>
            <w:tcBorders>
              <w:top w:val="single" w:sz="4" w:space="0" w:color="auto"/>
            </w:tcBorders>
            <w:shd w:val="clear" w:color="auto" w:fill="auto"/>
            <w:vAlign w:val="bottom"/>
            <w:hideMark/>
          </w:tcPr>
          <w:p w14:paraId="5F281C71"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w:t>
            </w:r>
            <w:r w:rsidRPr="0037510F">
              <w:rPr>
                <w:i/>
                <w:sz w:val="18"/>
                <w:vertAlign w:val="superscript"/>
                <w:lang w:val="fr-FR"/>
              </w:rPr>
              <w:t>c</w:t>
            </w:r>
            <w:proofErr w:type="spellEnd"/>
            <w:r w:rsidRPr="008C179D">
              <w:rPr>
                <w:sz w:val="18"/>
                <w:lang w:val="fr-FR"/>
              </w:rPr>
              <w:t> : 1</w:t>
            </w:r>
            <w:r w:rsidR="002F6AB4">
              <w:rPr>
                <w:sz w:val="18"/>
                <w:lang w:val="fr-FR"/>
              </w:rPr>
              <w:t> </w:t>
            </w:r>
            <w:r w:rsidRPr="008C179D">
              <w:rPr>
                <w:sz w:val="18"/>
                <w:lang w:val="fr-FR"/>
              </w:rPr>
              <w:t>fonctionnaire P-3 à 30 %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20D8096C"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9" w:type="dxa"/>
            <w:tcBorders>
              <w:top w:val="single" w:sz="4" w:space="0" w:color="auto"/>
            </w:tcBorders>
            <w:shd w:val="clear" w:color="auto" w:fill="auto"/>
            <w:hideMark/>
          </w:tcPr>
          <w:p w14:paraId="1AEE3D1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40A97DEE"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7" w:type="dxa"/>
            <w:tcBorders>
              <w:top w:val="single" w:sz="4" w:space="0" w:color="auto"/>
            </w:tcBorders>
            <w:shd w:val="clear" w:color="auto" w:fill="auto"/>
            <w:hideMark/>
          </w:tcPr>
          <w:p w14:paraId="4150FB9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5AD17BF1"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7" w:type="dxa"/>
            <w:tcBorders>
              <w:top w:val="single" w:sz="4" w:space="0" w:color="auto"/>
            </w:tcBorders>
            <w:shd w:val="clear" w:color="auto" w:fill="auto"/>
            <w:hideMark/>
          </w:tcPr>
          <w:p w14:paraId="318CB87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7E8CDCD4"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787" w:type="dxa"/>
            <w:tcBorders>
              <w:top w:val="single" w:sz="4" w:space="0" w:color="auto"/>
            </w:tcBorders>
            <w:shd w:val="clear" w:color="auto" w:fill="auto"/>
            <w:hideMark/>
          </w:tcPr>
          <w:p w14:paraId="7D00B509"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1F2E1C92" w14:textId="77777777" w:rsidR="008C179D" w:rsidRPr="008C179D" w:rsidRDefault="008C179D" w:rsidP="00CB304C">
            <w:pPr>
              <w:suppressAutoHyphens w:val="0"/>
              <w:spacing w:before="40" w:after="40" w:line="220" w:lineRule="exact"/>
              <w:jc w:val="right"/>
              <w:rPr>
                <w:sz w:val="18"/>
              </w:rPr>
            </w:pPr>
            <w:r w:rsidRPr="008C179D">
              <w:rPr>
                <w:sz w:val="18"/>
                <w:lang w:val="fr-FR"/>
              </w:rPr>
              <w:t>54 000</w:t>
            </w:r>
          </w:p>
        </w:tc>
        <w:tc>
          <w:tcPr>
            <w:tcW w:w="837" w:type="dxa"/>
            <w:tcBorders>
              <w:top w:val="single" w:sz="4" w:space="0" w:color="auto"/>
            </w:tcBorders>
            <w:shd w:val="clear" w:color="auto" w:fill="auto"/>
            <w:hideMark/>
          </w:tcPr>
          <w:p w14:paraId="470AE215"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33ACA832" w14:textId="77777777" w:rsidTr="00CB304C">
        <w:tc>
          <w:tcPr>
            <w:tcW w:w="1276" w:type="dxa"/>
            <w:vMerge/>
            <w:shd w:val="clear" w:color="auto" w:fill="auto"/>
            <w:hideMark/>
          </w:tcPr>
          <w:p w14:paraId="3F1C7788"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42227905"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(élaboration de la documentation requise, par</w:t>
            </w:r>
            <w:r w:rsidR="002F6AB4">
              <w:rPr>
                <w:sz w:val="18"/>
                <w:lang w:val="fr-FR"/>
              </w:rPr>
              <w:t> </w:t>
            </w:r>
            <w:r w:rsidRPr="008C179D">
              <w:rPr>
                <w:sz w:val="18"/>
                <w:lang w:val="fr-FR"/>
              </w:rPr>
              <w:t>exemple)</w:t>
            </w:r>
          </w:p>
        </w:tc>
        <w:tc>
          <w:tcPr>
            <w:tcW w:w="1260" w:type="dxa"/>
            <w:shd w:val="clear" w:color="auto" w:fill="auto"/>
            <w:hideMark/>
          </w:tcPr>
          <w:p w14:paraId="3F897BC6"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9" w:type="dxa"/>
            <w:shd w:val="clear" w:color="auto" w:fill="auto"/>
            <w:hideMark/>
          </w:tcPr>
          <w:p w14:paraId="185E354C"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244" w:type="dxa"/>
            <w:shd w:val="clear" w:color="auto" w:fill="auto"/>
            <w:noWrap/>
            <w:hideMark/>
          </w:tcPr>
          <w:p w14:paraId="712F5A55"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noWrap/>
            <w:hideMark/>
          </w:tcPr>
          <w:p w14:paraId="40A951C9"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244" w:type="dxa"/>
            <w:shd w:val="clear" w:color="auto" w:fill="auto"/>
            <w:noWrap/>
            <w:hideMark/>
          </w:tcPr>
          <w:p w14:paraId="3AB35CDE"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noWrap/>
            <w:hideMark/>
          </w:tcPr>
          <w:p w14:paraId="0DFE8A1E"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244" w:type="dxa"/>
            <w:shd w:val="clear" w:color="auto" w:fill="auto"/>
            <w:noWrap/>
            <w:hideMark/>
          </w:tcPr>
          <w:p w14:paraId="79054FBA"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noWrap/>
            <w:hideMark/>
          </w:tcPr>
          <w:p w14:paraId="5BD08090"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344" w:type="dxa"/>
            <w:shd w:val="clear" w:color="auto" w:fill="auto"/>
            <w:noWrap/>
            <w:hideMark/>
          </w:tcPr>
          <w:p w14:paraId="68E10707"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837" w:type="dxa"/>
            <w:shd w:val="clear" w:color="auto" w:fill="auto"/>
            <w:noWrap/>
            <w:hideMark/>
          </w:tcPr>
          <w:p w14:paraId="1BD774E8"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r>
      <w:tr w:rsidR="008C179D" w:rsidRPr="008C179D" w14:paraId="5E7C39C3" w14:textId="77777777" w:rsidTr="00CB304C">
        <w:tc>
          <w:tcPr>
            <w:tcW w:w="1276" w:type="dxa"/>
            <w:shd w:val="clear" w:color="auto" w:fill="auto"/>
            <w:hideMark/>
          </w:tcPr>
          <w:p w14:paraId="01BD5DAF"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58BFBC0B"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pour les</w:t>
            </w:r>
            <w:r w:rsidR="00C53881">
              <w:rPr>
                <w:sz w:val="18"/>
                <w:lang w:val="fr-FR"/>
              </w:rPr>
              <w:t xml:space="preserve"> </w:t>
            </w:r>
            <w:r w:rsidRPr="008C179D">
              <w:rPr>
                <w:sz w:val="18"/>
                <w:lang w:val="fr-FR"/>
              </w:rPr>
              <w:t>participants qui y</w:t>
            </w:r>
            <w:r w:rsidR="0082255A">
              <w:rPr>
                <w:sz w:val="18"/>
                <w:lang w:val="fr-FR"/>
              </w:rPr>
              <w:t> </w:t>
            </w:r>
            <w:r w:rsidRPr="008C179D">
              <w:rPr>
                <w:sz w:val="18"/>
                <w:lang w:val="fr-FR"/>
              </w:rPr>
              <w:t>ont droit (2 réunions)</w:t>
            </w:r>
          </w:p>
        </w:tc>
        <w:tc>
          <w:tcPr>
            <w:tcW w:w="1260" w:type="dxa"/>
            <w:shd w:val="clear" w:color="auto" w:fill="auto"/>
            <w:hideMark/>
          </w:tcPr>
          <w:p w14:paraId="4E9DD80D"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9" w:type="dxa"/>
            <w:shd w:val="clear" w:color="auto" w:fill="auto"/>
            <w:hideMark/>
          </w:tcPr>
          <w:p w14:paraId="18764457"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0C287A6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shd w:val="clear" w:color="auto" w:fill="auto"/>
            <w:hideMark/>
          </w:tcPr>
          <w:p w14:paraId="07EB7445"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6ED821CD"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7" w:type="dxa"/>
            <w:shd w:val="clear" w:color="auto" w:fill="auto"/>
            <w:hideMark/>
          </w:tcPr>
          <w:p w14:paraId="7495B227"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2DE06599"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shd w:val="clear" w:color="auto" w:fill="auto"/>
            <w:hideMark/>
          </w:tcPr>
          <w:p w14:paraId="14A679E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51A01652" w14:textId="77777777" w:rsidR="008C179D" w:rsidRPr="008C179D" w:rsidRDefault="008C179D" w:rsidP="00CB304C">
            <w:pPr>
              <w:suppressAutoHyphens w:val="0"/>
              <w:spacing w:before="40" w:after="40" w:line="220" w:lineRule="exact"/>
              <w:jc w:val="right"/>
              <w:rPr>
                <w:sz w:val="18"/>
              </w:rPr>
            </w:pPr>
            <w:r w:rsidRPr="008C179D">
              <w:rPr>
                <w:sz w:val="18"/>
                <w:lang w:val="fr-FR"/>
              </w:rPr>
              <w:t>20 400</w:t>
            </w:r>
          </w:p>
        </w:tc>
        <w:tc>
          <w:tcPr>
            <w:tcW w:w="837" w:type="dxa"/>
            <w:shd w:val="clear" w:color="auto" w:fill="auto"/>
            <w:hideMark/>
          </w:tcPr>
          <w:p w14:paraId="05851B7D"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66898DA8" w14:textId="77777777" w:rsidTr="00CB304C">
        <w:tc>
          <w:tcPr>
            <w:tcW w:w="1276" w:type="dxa"/>
            <w:tcBorders>
              <w:bottom w:val="single" w:sz="4" w:space="0" w:color="auto"/>
            </w:tcBorders>
            <w:shd w:val="clear" w:color="auto" w:fill="auto"/>
            <w:hideMark/>
          </w:tcPr>
          <w:p w14:paraId="5EC0E640"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vAlign w:val="bottom"/>
            <w:hideMark/>
          </w:tcPr>
          <w:p w14:paraId="294DFB1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(personnel en mission)</w:t>
            </w:r>
            <w:r w:rsidRPr="0037510F">
              <w:rPr>
                <w:i/>
                <w:sz w:val="18"/>
                <w:vertAlign w:val="superscript"/>
                <w:lang w:val="fr-FR"/>
              </w:rPr>
              <w:t>d</w:t>
            </w:r>
          </w:p>
        </w:tc>
        <w:tc>
          <w:tcPr>
            <w:tcW w:w="1260" w:type="dxa"/>
            <w:tcBorders>
              <w:bottom w:val="single" w:sz="4" w:space="0" w:color="auto"/>
            </w:tcBorders>
            <w:shd w:val="clear" w:color="auto" w:fill="auto"/>
            <w:hideMark/>
          </w:tcPr>
          <w:p w14:paraId="2FA78DE2"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9" w:type="dxa"/>
            <w:tcBorders>
              <w:bottom w:val="single" w:sz="4" w:space="0" w:color="auto"/>
            </w:tcBorders>
            <w:shd w:val="clear" w:color="auto" w:fill="auto"/>
            <w:hideMark/>
          </w:tcPr>
          <w:p w14:paraId="49FAE4BA"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3925944E"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71B73AEA"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1D5C2742"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735AD961"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7F52463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125D707F"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344" w:type="dxa"/>
            <w:tcBorders>
              <w:bottom w:val="single" w:sz="4" w:space="0" w:color="auto"/>
            </w:tcBorders>
            <w:shd w:val="clear" w:color="auto" w:fill="auto"/>
            <w:noWrap/>
            <w:hideMark/>
          </w:tcPr>
          <w:p w14:paraId="25B185FD"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837" w:type="dxa"/>
            <w:tcBorders>
              <w:bottom w:val="single" w:sz="4" w:space="0" w:color="auto"/>
            </w:tcBorders>
            <w:shd w:val="clear" w:color="auto" w:fill="auto"/>
            <w:hideMark/>
          </w:tcPr>
          <w:p w14:paraId="266E0A30"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r>
      <w:tr w:rsidR="008C179D" w:rsidRPr="005D5497" w14:paraId="0EC5D67A" w14:textId="77777777" w:rsidTr="005D5497">
        <w:tc>
          <w:tcPr>
            <w:tcW w:w="3455" w:type="dxa"/>
            <w:gridSpan w:val="2"/>
            <w:tcBorders>
              <w:top w:val="single" w:sz="4" w:space="0" w:color="auto"/>
              <w:bottom w:val="single" w:sz="4" w:space="0" w:color="auto"/>
            </w:tcBorders>
            <w:shd w:val="clear" w:color="auto" w:fill="auto"/>
            <w:hideMark/>
          </w:tcPr>
          <w:p w14:paraId="460C450A" w14:textId="77777777" w:rsidR="008C179D" w:rsidRPr="005D5497" w:rsidRDefault="008C179D" w:rsidP="0082255A">
            <w:pPr>
              <w:suppressAutoHyphens w:val="0"/>
              <w:spacing w:before="80" w:after="80" w:line="220" w:lineRule="exact"/>
              <w:ind w:left="284"/>
              <w:rPr>
                <w:b/>
                <w:sz w:val="18"/>
              </w:rPr>
            </w:pPr>
            <w:r w:rsidRPr="005D5497">
              <w:rPr>
                <w:b/>
                <w:bCs/>
                <w:sz w:val="18"/>
                <w:lang w:val="fr-FR"/>
              </w:rPr>
              <w:t>Total partiel</w:t>
            </w:r>
            <w:r w:rsidRPr="005D5497">
              <w:rPr>
                <w:b/>
                <w:sz w:val="18"/>
                <w:lang w:val="fr-FR"/>
              </w:rPr>
              <w:t xml:space="preserve"> </w:t>
            </w:r>
          </w:p>
        </w:tc>
        <w:tc>
          <w:tcPr>
            <w:tcW w:w="1260" w:type="dxa"/>
            <w:tcBorders>
              <w:top w:val="single" w:sz="4" w:space="0" w:color="auto"/>
              <w:bottom w:val="single" w:sz="4" w:space="0" w:color="auto"/>
            </w:tcBorders>
            <w:shd w:val="clear" w:color="auto" w:fill="auto"/>
            <w:vAlign w:val="bottom"/>
            <w:hideMark/>
          </w:tcPr>
          <w:p w14:paraId="5FC176C2"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103 300</w:t>
            </w:r>
          </w:p>
        </w:tc>
        <w:tc>
          <w:tcPr>
            <w:tcW w:w="789" w:type="dxa"/>
            <w:tcBorders>
              <w:top w:val="single" w:sz="4" w:space="0" w:color="auto"/>
              <w:bottom w:val="single" w:sz="4" w:space="0" w:color="auto"/>
            </w:tcBorders>
            <w:shd w:val="clear" w:color="auto" w:fill="auto"/>
            <w:vAlign w:val="bottom"/>
            <w:hideMark/>
          </w:tcPr>
          <w:p w14:paraId="1BF5E06C"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8 500</w:t>
            </w:r>
          </w:p>
        </w:tc>
        <w:tc>
          <w:tcPr>
            <w:tcW w:w="1244" w:type="dxa"/>
            <w:tcBorders>
              <w:top w:val="single" w:sz="4" w:space="0" w:color="auto"/>
              <w:bottom w:val="single" w:sz="4" w:space="0" w:color="auto"/>
            </w:tcBorders>
            <w:shd w:val="clear" w:color="auto" w:fill="auto"/>
            <w:vAlign w:val="bottom"/>
            <w:hideMark/>
          </w:tcPr>
          <w:p w14:paraId="42AF50F2"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62 500</w:t>
            </w:r>
          </w:p>
        </w:tc>
        <w:tc>
          <w:tcPr>
            <w:tcW w:w="787" w:type="dxa"/>
            <w:tcBorders>
              <w:top w:val="single" w:sz="4" w:space="0" w:color="auto"/>
              <w:bottom w:val="single" w:sz="4" w:space="0" w:color="auto"/>
            </w:tcBorders>
            <w:shd w:val="clear" w:color="auto" w:fill="auto"/>
            <w:vAlign w:val="bottom"/>
            <w:hideMark/>
          </w:tcPr>
          <w:p w14:paraId="5AC13937"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8 500</w:t>
            </w:r>
          </w:p>
        </w:tc>
        <w:tc>
          <w:tcPr>
            <w:tcW w:w="1244" w:type="dxa"/>
            <w:tcBorders>
              <w:top w:val="single" w:sz="4" w:space="0" w:color="auto"/>
              <w:bottom w:val="single" w:sz="4" w:space="0" w:color="auto"/>
            </w:tcBorders>
            <w:shd w:val="clear" w:color="auto" w:fill="auto"/>
            <w:vAlign w:val="bottom"/>
            <w:hideMark/>
          </w:tcPr>
          <w:p w14:paraId="41BCE300"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103 300</w:t>
            </w:r>
          </w:p>
        </w:tc>
        <w:tc>
          <w:tcPr>
            <w:tcW w:w="787" w:type="dxa"/>
            <w:tcBorders>
              <w:top w:val="single" w:sz="4" w:space="0" w:color="auto"/>
              <w:bottom w:val="single" w:sz="4" w:space="0" w:color="auto"/>
            </w:tcBorders>
            <w:shd w:val="clear" w:color="auto" w:fill="auto"/>
            <w:vAlign w:val="bottom"/>
            <w:hideMark/>
          </w:tcPr>
          <w:p w14:paraId="065D3FAF"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8 500</w:t>
            </w:r>
          </w:p>
        </w:tc>
        <w:tc>
          <w:tcPr>
            <w:tcW w:w="1244" w:type="dxa"/>
            <w:tcBorders>
              <w:top w:val="single" w:sz="4" w:space="0" w:color="auto"/>
              <w:bottom w:val="single" w:sz="4" w:space="0" w:color="auto"/>
            </w:tcBorders>
            <w:shd w:val="clear" w:color="auto" w:fill="auto"/>
            <w:vAlign w:val="bottom"/>
            <w:hideMark/>
          </w:tcPr>
          <w:p w14:paraId="4260D765"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62 500</w:t>
            </w:r>
          </w:p>
        </w:tc>
        <w:tc>
          <w:tcPr>
            <w:tcW w:w="787" w:type="dxa"/>
            <w:tcBorders>
              <w:top w:val="single" w:sz="4" w:space="0" w:color="auto"/>
              <w:bottom w:val="single" w:sz="4" w:space="0" w:color="auto"/>
            </w:tcBorders>
            <w:shd w:val="clear" w:color="auto" w:fill="auto"/>
            <w:vAlign w:val="bottom"/>
            <w:hideMark/>
          </w:tcPr>
          <w:p w14:paraId="183407B9"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8 500</w:t>
            </w:r>
          </w:p>
        </w:tc>
        <w:tc>
          <w:tcPr>
            <w:tcW w:w="1344" w:type="dxa"/>
            <w:tcBorders>
              <w:top w:val="single" w:sz="4" w:space="0" w:color="auto"/>
              <w:bottom w:val="single" w:sz="4" w:space="0" w:color="auto"/>
            </w:tcBorders>
            <w:shd w:val="clear" w:color="auto" w:fill="auto"/>
            <w:vAlign w:val="bottom"/>
            <w:hideMark/>
          </w:tcPr>
          <w:p w14:paraId="1F19095E"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82 900</w:t>
            </w:r>
          </w:p>
        </w:tc>
        <w:tc>
          <w:tcPr>
            <w:tcW w:w="837" w:type="dxa"/>
            <w:tcBorders>
              <w:top w:val="single" w:sz="4" w:space="0" w:color="auto"/>
              <w:bottom w:val="single" w:sz="4" w:space="0" w:color="auto"/>
            </w:tcBorders>
            <w:shd w:val="clear" w:color="auto" w:fill="auto"/>
            <w:vAlign w:val="bottom"/>
            <w:hideMark/>
          </w:tcPr>
          <w:p w14:paraId="1E8927BA" w14:textId="77777777" w:rsidR="008C179D" w:rsidRPr="005D5497" w:rsidRDefault="008C179D" w:rsidP="005D5497">
            <w:pPr>
              <w:suppressAutoHyphens w:val="0"/>
              <w:spacing w:before="80" w:after="80" w:line="220" w:lineRule="exact"/>
              <w:jc w:val="right"/>
              <w:rPr>
                <w:b/>
                <w:bCs/>
                <w:sz w:val="18"/>
              </w:rPr>
            </w:pPr>
            <w:r w:rsidRPr="005D5497">
              <w:rPr>
                <w:b/>
                <w:bCs/>
                <w:sz w:val="18"/>
                <w:lang w:val="fr-FR"/>
              </w:rPr>
              <w:t>8 500</w:t>
            </w:r>
          </w:p>
        </w:tc>
      </w:tr>
      <w:tr w:rsidR="008C179D" w:rsidRPr="008C179D" w14:paraId="5A4EA886" w14:textId="77777777" w:rsidTr="00CB304C">
        <w:tc>
          <w:tcPr>
            <w:tcW w:w="1276" w:type="dxa"/>
            <w:tcBorders>
              <w:top w:val="single" w:sz="4" w:space="0" w:color="auto"/>
            </w:tcBorders>
            <w:shd w:val="clear" w:color="auto" w:fill="auto"/>
            <w:hideMark/>
          </w:tcPr>
          <w:p w14:paraId="56C1B9DF" w14:textId="77777777" w:rsidR="008C179D" w:rsidRPr="008C179D" w:rsidRDefault="008C179D" w:rsidP="008C179D">
            <w:pPr>
              <w:suppressAutoHyphens w:val="0"/>
              <w:spacing w:before="40" w:after="40" w:line="220" w:lineRule="exact"/>
              <w:rPr>
                <w:sz w:val="18"/>
                <w:lang w:val="fr-FR"/>
              </w:rPr>
            </w:pPr>
            <w:r w:rsidRPr="008C179D">
              <w:rPr>
                <w:sz w:val="18"/>
                <w:lang w:val="fr-FR"/>
              </w:rPr>
              <w:t>III. Accès à</w:t>
            </w:r>
            <w:r w:rsidR="005D5497">
              <w:rPr>
                <w:sz w:val="18"/>
                <w:lang w:val="fr-FR"/>
              </w:rPr>
              <w:t> </w:t>
            </w:r>
            <w:r w:rsidRPr="008C179D">
              <w:rPr>
                <w:sz w:val="18"/>
                <w:lang w:val="fr-FR"/>
              </w:rPr>
              <w:t>la</w:t>
            </w:r>
            <w:r w:rsidR="005D5497">
              <w:rPr>
                <w:sz w:val="18"/>
                <w:lang w:val="fr-FR"/>
              </w:rPr>
              <w:t> </w:t>
            </w:r>
            <w:r w:rsidRPr="008C179D">
              <w:rPr>
                <w:sz w:val="18"/>
                <w:lang w:val="fr-FR"/>
              </w:rPr>
              <w:t>justice</w:t>
            </w:r>
          </w:p>
        </w:tc>
        <w:tc>
          <w:tcPr>
            <w:tcW w:w="2179" w:type="dxa"/>
            <w:tcBorders>
              <w:top w:val="single" w:sz="4" w:space="0" w:color="auto"/>
            </w:tcBorders>
            <w:shd w:val="clear" w:color="auto" w:fill="auto"/>
            <w:vAlign w:val="bottom"/>
            <w:hideMark/>
          </w:tcPr>
          <w:p w14:paraId="610478A6"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w:t>
            </w:r>
            <w:r w:rsidRPr="008C179D">
              <w:rPr>
                <w:sz w:val="18"/>
                <w:vertAlign w:val="superscript"/>
                <w:lang w:val="fr-FR"/>
              </w:rPr>
              <w:t>c</w:t>
            </w:r>
            <w:proofErr w:type="spellEnd"/>
            <w:r w:rsidRPr="008C179D">
              <w:rPr>
                <w:sz w:val="18"/>
                <w:lang w:val="fr-FR"/>
              </w:rPr>
              <w:t> : 1</w:t>
            </w:r>
            <w:r w:rsidR="00B04B71">
              <w:rPr>
                <w:sz w:val="18"/>
                <w:lang w:val="fr-FR"/>
              </w:rPr>
              <w:t> </w:t>
            </w:r>
            <w:r w:rsidRPr="008C179D">
              <w:rPr>
                <w:sz w:val="18"/>
                <w:lang w:val="fr-FR"/>
              </w:rPr>
              <w:t>fonctionnaire P-3 à 35 %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039573F1" w14:textId="77777777" w:rsidR="008C179D" w:rsidRPr="008C179D" w:rsidRDefault="008C179D" w:rsidP="00CB304C">
            <w:pPr>
              <w:suppressAutoHyphens w:val="0"/>
              <w:spacing w:before="40" w:after="40" w:line="220" w:lineRule="exact"/>
              <w:jc w:val="right"/>
              <w:rPr>
                <w:sz w:val="18"/>
              </w:rPr>
            </w:pPr>
            <w:r w:rsidRPr="008C179D">
              <w:rPr>
                <w:sz w:val="18"/>
                <w:lang w:val="fr-FR"/>
              </w:rPr>
              <w:t>63 000</w:t>
            </w:r>
          </w:p>
        </w:tc>
        <w:tc>
          <w:tcPr>
            <w:tcW w:w="789" w:type="dxa"/>
            <w:tcBorders>
              <w:top w:val="single" w:sz="4" w:space="0" w:color="auto"/>
            </w:tcBorders>
            <w:shd w:val="clear" w:color="auto" w:fill="auto"/>
            <w:hideMark/>
          </w:tcPr>
          <w:p w14:paraId="178D8CC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2C5EE99D" w14:textId="77777777" w:rsidR="008C179D" w:rsidRPr="008C179D" w:rsidRDefault="008C179D" w:rsidP="00CB304C">
            <w:pPr>
              <w:suppressAutoHyphens w:val="0"/>
              <w:spacing w:before="40" w:after="40" w:line="220" w:lineRule="exact"/>
              <w:jc w:val="right"/>
              <w:rPr>
                <w:sz w:val="18"/>
              </w:rPr>
            </w:pPr>
            <w:r w:rsidRPr="008C179D">
              <w:rPr>
                <w:sz w:val="18"/>
                <w:lang w:val="fr-FR"/>
              </w:rPr>
              <w:t>63 000</w:t>
            </w:r>
          </w:p>
        </w:tc>
        <w:tc>
          <w:tcPr>
            <w:tcW w:w="787" w:type="dxa"/>
            <w:tcBorders>
              <w:top w:val="single" w:sz="4" w:space="0" w:color="auto"/>
            </w:tcBorders>
            <w:shd w:val="clear" w:color="auto" w:fill="auto"/>
            <w:hideMark/>
          </w:tcPr>
          <w:p w14:paraId="503509C5"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1DC4AD53" w14:textId="77777777" w:rsidR="008C179D" w:rsidRPr="008C179D" w:rsidRDefault="008C179D" w:rsidP="00CB304C">
            <w:pPr>
              <w:suppressAutoHyphens w:val="0"/>
              <w:spacing w:before="40" w:after="40" w:line="220" w:lineRule="exact"/>
              <w:jc w:val="right"/>
              <w:rPr>
                <w:sz w:val="18"/>
              </w:rPr>
            </w:pPr>
            <w:r w:rsidRPr="008C179D">
              <w:rPr>
                <w:sz w:val="18"/>
                <w:lang w:val="fr-FR"/>
              </w:rPr>
              <w:t>63 000</w:t>
            </w:r>
          </w:p>
        </w:tc>
        <w:tc>
          <w:tcPr>
            <w:tcW w:w="787" w:type="dxa"/>
            <w:tcBorders>
              <w:top w:val="single" w:sz="4" w:space="0" w:color="auto"/>
            </w:tcBorders>
            <w:shd w:val="clear" w:color="auto" w:fill="auto"/>
            <w:hideMark/>
          </w:tcPr>
          <w:p w14:paraId="1D3A0C1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56EDA385" w14:textId="77777777" w:rsidR="008C179D" w:rsidRPr="008C179D" w:rsidRDefault="008C179D" w:rsidP="00CB304C">
            <w:pPr>
              <w:suppressAutoHyphens w:val="0"/>
              <w:spacing w:before="40" w:after="40" w:line="220" w:lineRule="exact"/>
              <w:jc w:val="right"/>
              <w:rPr>
                <w:sz w:val="18"/>
              </w:rPr>
            </w:pPr>
            <w:r w:rsidRPr="008C179D">
              <w:rPr>
                <w:sz w:val="18"/>
                <w:lang w:val="fr-FR"/>
              </w:rPr>
              <w:t>63 000</w:t>
            </w:r>
          </w:p>
        </w:tc>
        <w:tc>
          <w:tcPr>
            <w:tcW w:w="787" w:type="dxa"/>
            <w:tcBorders>
              <w:top w:val="single" w:sz="4" w:space="0" w:color="auto"/>
            </w:tcBorders>
            <w:shd w:val="clear" w:color="auto" w:fill="auto"/>
            <w:hideMark/>
          </w:tcPr>
          <w:p w14:paraId="75A6F9C2"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21C87C84" w14:textId="77777777" w:rsidR="008C179D" w:rsidRPr="008C179D" w:rsidRDefault="008C179D" w:rsidP="00CB304C">
            <w:pPr>
              <w:suppressAutoHyphens w:val="0"/>
              <w:spacing w:before="40" w:after="40" w:line="220" w:lineRule="exact"/>
              <w:jc w:val="right"/>
              <w:rPr>
                <w:sz w:val="18"/>
              </w:rPr>
            </w:pPr>
            <w:r w:rsidRPr="008C179D">
              <w:rPr>
                <w:sz w:val="18"/>
                <w:lang w:val="fr-FR"/>
              </w:rPr>
              <w:t>63 000</w:t>
            </w:r>
          </w:p>
        </w:tc>
        <w:tc>
          <w:tcPr>
            <w:tcW w:w="837" w:type="dxa"/>
            <w:tcBorders>
              <w:top w:val="single" w:sz="4" w:space="0" w:color="auto"/>
            </w:tcBorders>
            <w:shd w:val="clear" w:color="auto" w:fill="auto"/>
            <w:hideMark/>
          </w:tcPr>
          <w:p w14:paraId="235DA34E"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52173920" w14:textId="77777777" w:rsidTr="00CB304C">
        <w:tc>
          <w:tcPr>
            <w:tcW w:w="1276" w:type="dxa"/>
            <w:shd w:val="clear" w:color="auto" w:fill="auto"/>
            <w:hideMark/>
          </w:tcPr>
          <w:p w14:paraId="16A3F792"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2B5D5C2E"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(élaboration de la documentation requise, par</w:t>
            </w:r>
            <w:r w:rsidR="00B04B71">
              <w:rPr>
                <w:sz w:val="18"/>
                <w:lang w:val="fr-FR"/>
              </w:rPr>
              <w:t> </w:t>
            </w:r>
            <w:r w:rsidRPr="008C179D">
              <w:rPr>
                <w:sz w:val="18"/>
                <w:lang w:val="fr-FR"/>
              </w:rPr>
              <w:t>exemple)</w:t>
            </w:r>
          </w:p>
        </w:tc>
        <w:tc>
          <w:tcPr>
            <w:tcW w:w="1260" w:type="dxa"/>
            <w:shd w:val="clear" w:color="auto" w:fill="auto"/>
            <w:hideMark/>
          </w:tcPr>
          <w:p w14:paraId="37A616C5"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9" w:type="dxa"/>
            <w:shd w:val="clear" w:color="auto" w:fill="auto"/>
            <w:hideMark/>
          </w:tcPr>
          <w:p w14:paraId="79C45709" w14:textId="77777777" w:rsidR="008C179D" w:rsidRPr="008C179D" w:rsidRDefault="008C179D" w:rsidP="00CB304C">
            <w:pPr>
              <w:suppressAutoHyphens w:val="0"/>
              <w:spacing w:before="40" w:after="40" w:line="220" w:lineRule="exact"/>
              <w:jc w:val="right"/>
              <w:rPr>
                <w:sz w:val="18"/>
              </w:rPr>
            </w:pPr>
            <w:r w:rsidRPr="008C179D">
              <w:rPr>
                <w:sz w:val="18"/>
                <w:lang w:val="fr-FR"/>
              </w:rPr>
              <w:t>7 000</w:t>
            </w:r>
          </w:p>
        </w:tc>
        <w:tc>
          <w:tcPr>
            <w:tcW w:w="1244" w:type="dxa"/>
            <w:shd w:val="clear" w:color="auto" w:fill="auto"/>
            <w:noWrap/>
            <w:hideMark/>
          </w:tcPr>
          <w:p w14:paraId="7C4BDB71"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shd w:val="clear" w:color="auto" w:fill="auto"/>
            <w:noWrap/>
            <w:hideMark/>
          </w:tcPr>
          <w:p w14:paraId="052E82E7" w14:textId="77777777" w:rsidR="008C179D" w:rsidRPr="008C179D" w:rsidRDefault="008C179D" w:rsidP="00CB304C">
            <w:pPr>
              <w:suppressAutoHyphens w:val="0"/>
              <w:spacing w:before="40" w:after="40" w:line="220" w:lineRule="exact"/>
              <w:jc w:val="right"/>
              <w:rPr>
                <w:sz w:val="18"/>
              </w:rPr>
            </w:pPr>
            <w:r w:rsidRPr="008C179D">
              <w:rPr>
                <w:sz w:val="18"/>
                <w:lang w:val="fr-FR"/>
              </w:rPr>
              <w:t>7 000</w:t>
            </w:r>
          </w:p>
        </w:tc>
        <w:tc>
          <w:tcPr>
            <w:tcW w:w="1244" w:type="dxa"/>
            <w:shd w:val="clear" w:color="auto" w:fill="auto"/>
            <w:noWrap/>
            <w:hideMark/>
          </w:tcPr>
          <w:p w14:paraId="64608D57"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shd w:val="clear" w:color="auto" w:fill="auto"/>
            <w:noWrap/>
            <w:hideMark/>
          </w:tcPr>
          <w:p w14:paraId="671B3000" w14:textId="77777777" w:rsidR="008C179D" w:rsidRPr="008C179D" w:rsidRDefault="008C179D" w:rsidP="00CB304C">
            <w:pPr>
              <w:suppressAutoHyphens w:val="0"/>
              <w:spacing w:before="40" w:after="40" w:line="220" w:lineRule="exact"/>
              <w:jc w:val="right"/>
              <w:rPr>
                <w:sz w:val="18"/>
              </w:rPr>
            </w:pPr>
            <w:r w:rsidRPr="008C179D">
              <w:rPr>
                <w:sz w:val="18"/>
                <w:lang w:val="fr-FR"/>
              </w:rPr>
              <w:t>7 000</w:t>
            </w:r>
          </w:p>
        </w:tc>
        <w:tc>
          <w:tcPr>
            <w:tcW w:w="1244" w:type="dxa"/>
            <w:shd w:val="clear" w:color="auto" w:fill="auto"/>
            <w:noWrap/>
            <w:hideMark/>
          </w:tcPr>
          <w:p w14:paraId="190D5156"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shd w:val="clear" w:color="auto" w:fill="auto"/>
            <w:noWrap/>
            <w:hideMark/>
          </w:tcPr>
          <w:p w14:paraId="2EF601D9" w14:textId="77777777" w:rsidR="008C179D" w:rsidRPr="008C179D" w:rsidRDefault="008C179D" w:rsidP="00CB304C">
            <w:pPr>
              <w:suppressAutoHyphens w:val="0"/>
              <w:spacing w:before="40" w:after="40" w:line="220" w:lineRule="exact"/>
              <w:jc w:val="right"/>
              <w:rPr>
                <w:sz w:val="18"/>
              </w:rPr>
            </w:pPr>
            <w:r w:rsidRPr="008C179D">
              <w:rPr>
                <w:sz w:val="18"/>
                <w:lang w:val="fr-FR"/>
              </w:rPr>
              <w:t>7 000</w:t>
            </w:r>
          </w:p>
        </w:tc>
        <w:tc>
          <w:tcPr>
            <w:tcW w:w="1344" w:type="dxa"/>
            <w:shd w:val="clear" w:color="auto" w:fill="auto"/>
            <w:noWrap/>
            <w:hideMark/>
          </w:tcPr>
          <w:p w14:paraId="2EB19EC0"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837" w:type="dxa"/>
            <w:shd w:val="clear" w:color="auto" w:fill="auto"/>
            <w:noWrap/>
            <w:hideMark/>
          </w:tcPr>
          <w:p w14:paraId="6F23F913" w14:textId="77777777" w:rsidR="008C179D" w:rsidRPr="008C179D" w:rsidRDefault="008C179D" w:rsidP="00CB304C">
            <w:pPr>
              <w:suppressAutoHyphens w:val="0"/>
              <w:spacing w:before="40" w:after="40" w:line="220" w:lineRule="exact"/>
              <w:jc w:val="right"/>
              <w:rPr>
                <w:sz w:val="18"/>
              </w:rPr>
            </w:pPr>
            <w:r w:rsidRPr="008C179D">
              <w:rPr>
                <w:sz w:val="18"/>
                <w:lang w:val="fr-FR"/>
              </w:rPr>
              <w:t>7 000</w:t>
            </w:r>
          </w:p>
        </w:tc>
      </w:tr>
      <w:tr w:rsidR="008C179D" w:rsidRPr="008C179D" w14:paraId="54998504" w14:textId="77777777" w:rsidTr="00CB304C">
        <w:tc>
          <w:tcPr>
            <w:tcW w:w="1276" w:type="dxa"/>
            <w:shd w:val="clear" w:color="auto" w:fill="auto"/>
            <w:hideMark/>
          </w:tcPr>
          <w:p w14:paraId="5FF757C4"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2EEEDD8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pour les</w:t>
            </w:r>
            <w:r w:rsidR="00C53881">
              <w:rPr>
                <w:sz w:val="18"/>
                <w:lang w:val="fr-FR"/>
              </w:rPr>
              <w:t xml:space="preserve"> </w:t>
            </w:r>
            <w:r w:rsidRPr="008C179D">
              <w:rPr>
                <w:sz w:val="18"/>
                <w:lang w:val="fr-FR"/>
              </w:rPr>
              <w:t>participants qui y</w:t>
            </w:r>
            <w:r w:rsidR="0082255A">
              <w:rPr>
                <w:sz w:val="18"/>
                <w:lang w:val="fr-FR"/>
              </w:rPr>
              <w:t> </w:t>
            </w:r>
            <w:r w:rsidRPr="008C179D">
              <w:rPr>
                <w:sz w:val="18"/>
                <w:lang w:val="fr-FR"/>
              </w:rPr>
              <w:t>ont droit (3 réunions)</w:t>
            </w:r>
          </w:p>
        </w:tc>
        <w:tc>
          <w:tcPr>
            <w:tcW w:w="1260" w:type="dxa"/>
            <w:shd w:val="clear" w:color="auto" w:fill="auto"/>
            <w:hideMark/>
          </w:tcPr>
          <w:p w14:paraId="1CB68B3F"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9" w:type="dxa"/>
            <w:shd w:val="clear" w:color="auto" w:fill="auto"/>
            <w:hideMark/>
          </w:tcPr>
          <w:p w14:paraId="2208B0A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426CC191"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7" w:type="dxa"/>
            <w:shd w:val="clear" w:color="auto" w:fill="auto"/>
            <w:hideMark/>
          </w:tcPr>
          <w:p w14:paraId="614AB08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0963884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shd w:val="clear" w:color="auto" w:fill="auto"/>
            <w:hideMark/>
          </w:tcPr>
          <w:p w14:paraId="4A7100E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6C3DC08A" w14:textId="77777777" w:rsidR="008C179D" w:rsidRPr="008C179D" w:rsidRDefault="008C179D" w:rsidP="00CB304C">
            <w:pPr>
              <w:suppressAutoHyphens w:val="0"/>
              <w:spacing w:before="40" w:after="40" w:line="220" w:lineRule="exact"/>
              <w:jc w:val="right"/>
              <w:rPr>
                <w:sz w:val="18"/>
              </w:rPr>
            </w:pPr>
            <w:r w:rsidRPr="008C179D">
              <w:rPr>
                <w:sz w:val="18"/>
                <w:lang w:val="fr-FR"/>
              </w:rPr>
              <w:t>40 800</w:t>
            </w:r>
          </w:p>
        </w:tc>
        <w:tc>
          <w:tcPr>
            <w:tcW w:w="787" w:type="dxa"/>
            <w:shd w:val="clear" w:color="auto" w:fill="auto"/>
            <w:hideMark/>
          </w:tcPr>
          <w:p w14:paraId="181067A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4865D693" w14:textId="77777777" w:rsidR="008C179D" w:rsidRPr="008C179D" w:rsidRDefault="008C179D" w:rsidP="00CB304C">
            <w:pPr>
              <w:suppressAutoHyphens w:val="0"/>
              <w:spacing w:before="40" w:after="40" w:line="220" w:lineRule="exact"/>
              <w:jc w:val="right"/>
              <w:rPr>
                <w:sz w:val="18"/>
              </w:rPr>
            </w:pPr>
            <w:r w:rsidRPr="008C179D">
              <w:rPr>
                <w:sz w:val="18"/>
                <w:lang w:val="fr-FR"/>
              </w:rPr>
              <w:t>30 600</w:t>
            </w:r>
          </w:p>
        </w:tc>
        <w:tc>
          <w:tcPr>
            <w:tcW w:w="837" w:type="dxa"/>
            <w:shd w:val="clear" w:color="auto" w:fill="auto"/>
            <w:hideMark/>
          </w:tcPr>
          <w:p w14:paraId="05E59BE0"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B04B71" w:rsidRPr="008C179D" w14:paraId="26DE8021" w14:textId="77777777" w:rsidTr="00CB304C">
        <w:tc>
          <w:tcPr>
            <w:tcW w:w="1276" w:type="dxa"/>
            <w:tcBorders>
              <w:bottom w:val="single" w:sz="4" w:space="0" w:color="auto"/>
            </w:tcBorders>
            <w:shd w:val="clear" w:color="auto" w:fill="auto"/>
            <w:hideMark/>
          </w:tcPr>
          <w:p w14:paraId="2090BD7A"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vAlign w:val="bottom"/>
            <w:hideMark/>
          </w:tcPr>
          <w:p w14:paraId="6BC1AEA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(personnel en mission)</w:t>
            </w:r>
            <w:r w:rsidRPr="0037510F">
              <w:rPr>
                <w:i/>
                <w:sz w:val="18"/>
                <w:vertAlign w:val="superscript"/>
                <w:lang w:val="fr-FR"/>
              </w:rPr>
              <w:t>d</w:t>
            </w:r>
          </w:p>
        </w:tc>
        <w:tc>
          <w:tcPr>
            <w:tcW w:w="1260" w:type="dxa"/>
            <w:tcBorders>
              <w:bottom w:val="single" w:sz="4" w:space="0" w:color="auto"/>
            </w:tcBorders>
            <w:shd w:val="clear" w:color="auto" w:fill="auto"/>
            <w:hideMark/>
          </w:tcPr>
          <w:p w14:paraId="005766B7"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9" w:type="dxa"/>
            <w:tcBorders>
              <w:bottom w:val="single" w:sz="4" w:space="0" w:color="auto"/>
            </w:tcBorders>
            <w:shd w:val="clear" w:color="auto" w:fill="auto"/>
            <w:hideMark/>
          </w:tcPr>
          <w:p w14:paraId="340C26C4"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5137EE17"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69B5DC1E"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00CA5D18"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6E620E4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244" w:type="dxa"/>
            <w:tcBorders>
              <w:bottom w:val="single" w:sz="4" w:space="0" w:color="auto"/>
            </w:tcBorders>
            <w:shd w:val="clear" w:color="auto" w:fill="auto"/>
            <w:noWrap/>
            <w:hideMark/>
          </w:tcPr>
          <w:p w14:paraId="42CB7CB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137D18B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1344" w:type="dxa"/>
            <w:tcBorders>
              <w:bottom w:val="single" w:sz="4" w:space="0" w:color="auto"/>
            </w:tcBorders>
            <w:shd w:val="clear" w:color="auto" w:fill="auto"/>
            <w:noWrap/>
            <w:hideMark/>
          </w:tcPr>
          <w:p w14:paraId="412A8F02"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837" w:type="dxa"/>
            <w:tcBorders>
              <w:bottom w:val="single" w:sz="4" w:space="0" w:color="auto"/>
            </w:tcBorders>
            <w:shd w:val="clear" w:color="auto" w:fill="auto"/>
            <w:hideMark/>
          </w:tcPr>
          <w:p w14:paraId="18BD07B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r>
      <w:tr w:rsidR="008C179D" w:rsidRPr="0082255A" w14:paraId="165AB02D" w14:textId="77777777" w:rsidTr="00B04B71">
        <w:tc>
          <w:tcPr>
            <w:tcW w:w="3455" w:type="dxa"/>
            <w:gridSpan w:val="2"/>
            <w:tcBorders>
              <w:top w:val="single" w:sz="4" w:space="0" w:color="auto"/>
              <w:bottom w:val="single" w:sz="4" w:space="0" w:color="auto"/>
            </w:tcBorders>
            <w:shd w:val="clear" w:color="auto" w:fill="auto"/>
            <w:hideMark/>
          </w:tcPr>
          <w:p w14:paraId="40E63ABE" w14:textId="77777777" w:rsidR="008C179D" w:rsidRPr="0082255A" w:rsidRDefault="008C179D" w:rsidP="0082255A">
            <w:pPr>
              <w:suppressAutoHyphens w:val="0"/>
              <w:spacing w:before="80" w:after="80" w:line="200" w:lineRule="exact"/>
              <w:ind w:left="284"/>
              <w:rPr>
                <w:b/>
                <w:bCs/>
                <w:spacing w:val="4"/>
                <w:w w:val="103"/>
                <w:kern w:val="14"/>
                <w:sz w:val="18"/>
                <w:szCs w:val="18"/>
              </w:rPr>
            </w:pPr>
            <w:r w:rsidRPr="0082255A">
              <w:rPr>
                <w:b/>
                <w:bCs/>
                <w:spacing w:val="4"/>
                <w:w w:val="103"/>
                <w:kern w:val="14"/>
                <w:sz w:val="18"/>
                <w:szCs w:val="18"/>
                <w:lang w:val="fr-FR"/>
              </w:rPr>
              <w:t>Total partiel</w:t>
            </w:r>
            <w:r w:rsidRPr="0082255A">
              <w:rPr>
                <w:b/>
                <w:spacing w:val="4"/>
                <w:w w:val="103"/>
                <w:kern w:val="14"/>
                <w:sz w:val="18"/>
                <w:szCs w:val="18"/>
                <w:lang w:val="fr-FR"/>
              </w:rPr>
              <w:t xml:space="preserve"> </w:t>
            </w:r>
          </w:p>
        </w:tc>
        <w:tc>
          <w:tcPr>
            <w:tcW w:w="1260" w:type="dxa"/>
            <w:tcBorders>
              <w:top w:val="single" w:sz="4" w:space="0" w:color="auto"/>
              <w:bottom w:val="single" w:sz="4" w:space="0" w:color="auto"/>
            </w:tcBorders>
            <w:shd w:val="clear" w:color="auto" w:fill="auto"/>
            <w:vAlign w:val="bottom"/>
            <w:hideMark/>
          </w:tcPr>
          <w:p w14:paraId="5B68732C"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117 300</w:t>
            </w:r>
          </w:p>
        </w:tc>
        <w:tc>
          <w:tcPr>
            <w:tcW w:w="789" w:type="dxa"/>
            <w:tcBorders>
              <w:top w:val="single" w:sz="4" w:space="0" w:color="auto"/>
              <w:bottom w:val="single" w:sz="4" w:space="0" w:color="auto"/>
            </w:tcBorders>
            <w:shd w:val="clear" w:color="auto" w:fill="auto"/>
            <w:vAlign w:val="bottom"/>
            <w:hideMark/>
          </w:tcPr>
          <w:p w14:paraId="51174B41"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10 500</w:t>
            </w:r>
          </w:p>
        </w:tc>
        <w:tc>
          <w:tcPr>
            <w:tcW w:w="1244" w:type="dxa"/>
            <w:tcBorders>
              <w:top w:val="single" w:sz="4" w:space="0" w:color="auto"/>
              <w:bottom w:val="single" w:sz="4" w:space="0" w:color="auto"/>
            </w:tcBorders>
            <w:shd w:val="clear" w:color="auto" w:fill="auto"/>
            <w:vAlign w:val="bottom"/>
            <w:hideMark/>
          </w:tcPr>
          <w:p w14:paraId="05AEE884"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117 300</w:t>
            </w:r>
          </w:p>
        </w:tc>
        <w:tc>
          <w:tcPr>
            <w:tcW w:w="787" w:type="dxa"/>
            <w:tcBorders>
              <w:top w:val="single" w:sz="4" w:space="0" w:color="auto"/>
              <w:bottom w:val="single" w:sz="4" w:space="0" w:color="auto"/>
            </w:tcBorders>
            <w:shd w:val="clear" w:color="auto" w:fill="auto"/>
            <w:vAlign w:val="bottom"/>
            <w:hideMark/>
          </w:tcPr>
          <w:p w14:paraId="221AB2A6"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10 500</w:t>
            </w:r>
          </w:p>
        </w:tc>
        <w:tc>
          <w:tcPr>
            <w:tcW w:w="1244" w:type="dxa"/>
            <w:tcBorders>
              <w:top w:val="single" w:sz="4" w:space="0" w:color="auto"/>
              <w:bottom w:val="single" w:sz="4" w:space="0" w:color="auto"/>
            </w:tcBorders>
            <w:shd w:val="clear" w:color="auto" w:fill="auto"/>
            <w:vAlign w:val="bottom"/>
            <w:hideMark/>
          </w:tcPr>
          <w:p w14:paraId="75444199"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76 500</w:t>
            </w:r>
          </w:p>
        </w:tc>
        <w:tc>
          <w:tcPr>
            <w:tcW w:w="787" w:type="dxa"/>
            <w:tcBorders>
              <w:top w:val="single" w:sz="4" w:space="0" w:color="auto"/>
              <w:bottom w:val="single" w:sz="4" w:space="0" w:color="auto"/>
            </w:tcBorders>
            <w:shd w:val="clear" w:color="auto" w:fill="auto"/>
            <w:vAlign w:val="bottom"/>
            <w:hideMark/>
          </w:tcPr>
          <w:p w14:paraId="56958CBB"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10 500</w:t>
            </w:r>
          </w:p>
        </w:tc>
        <w:tc>
          <w:tcPr>
            <w:tcW w:w="1244" w:type="dxa"/>
            <w:tcBorders>
              <w:top w:val="single" w:sz="4" w:space="0" w:color="auto"/>
              <w:bottom w:val="single" w:sz="4" w:space="0" w:color="auto"/>
            </w:tcBorders>
            <w:shd w:val="clear" w:color="auto" w:fill="auto"/>
            <w:vAlign w:val="bottom"/>
            <w:hideMark/>
          </w:tcPr>
          <w:p w14:paraId="4244CF67"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117 300</w:t>
            </w:r>
          </w:p>
        </w:tc>
        <w:tc>
          <w:tcPr>
            <w:tcW w:w="787" w:type="dxa"/>
            <w:tcBorders>
              <w:top w:val="single" w:sz="4" w:space="0" w:color="auto"/>
              <w:bottom w:val="single" w:sz="4" w:space="0" w:color="auto"/>
            </w:tcBorders>
            <w:shd w:val="clear" w:color="auto" w:fill="auto"/>
            <w:vAlign w:val="bottom"/>
            <w:hideMark/>
          </w:tcPr>
          <w:p w14:paraId="64D58AB7"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10 500</w:t>
            </w:r>
          </w:p>
        </w:tc>
        <w:tc>
          <w:tcPr>
            <w:tcW w:w="1344" w:type="dxa"/>
            <w:tcBorders>
              <w:top w:val="single" w:sz="4" w:space="0" w:color="auto"/>
              <w:bottom w:val="single" w:sz="4" w:space="0" w:color="auto"/>
            </w:tcBorders>
            <w:shd w:val="clear" w:color="auto" w:fill="auto"/>
            <w:vAlign w:val="bottom"/>
            <w:hideMark/>
          </w:tcPr>
          <w:p w14:paraId="6F3788B0"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107 100</w:t>
            </w:r>
          </w:p>
        </w:tc>
        <w:tc>
          <w:tcPr>
            <w:tcW w:w="837" w:type="dxa"/>
            <w:tcBorders>
              <w:top w:val="single" w:sz="4" w:space="0" w:color="auto"/>
              <w:bottom w:val="single" w:sz="4" w:space="0" w:color="auto"/>
            </w:tcBorders>
            <w:shd w:val="clear" w:color="auto" w:fill="auto"/>
            <w:vAlign w:val="bottom"/>
            <w:hideMark/>
          </w:tcPr>
          <w:p w14:paraId="4083AB98" w14:textId="77777777" w:rsidR="008C179D" w:rsidRPr="0082255A" w:rsidRDefault="008C179D" w:rsidP="0082255A">
            <w:pPr>
              <w:suppressAutoHyphens w:val="0"/>
              <w:spacing w:before="80" w:after="80" w:line="200" w:lineRule="exact"/>
              <w:jc w:val="right"/>
              <w:rPr>
                <w:b/>
                <w:bCs/>
                <w:spacing w:val="4"/>
                <w:w w:val="103"/>
                <w:kern w:val="14"/>
                <w:sz w:val="18"/>
                <w:szCs w:val="18"/>
              </w:rPr>
            </w:pPr>
            <w:r w:rsidRPr="0082255A">
              <w:rPr>
                <w:b/>
                <w:bCs/>
                <w:spacing w:val="4"/>
                <w:w w:val="103"/>
                <w:kern w:val="14"/>
                <w:sz w:val="18"/>
                <w:szCs w:val="18"/>
                <w:lang w:val="fr-FR"/>
              </w:rPr>
              <w:t>10 500</w:t>
            </w:r>
          </w:p>
        </w:tc>
      </w:tr>
      <w:tr w:rsidR="008C179D" w:rsidRPr="008C179D" w14:paraId="20427087" w14:textId="77777777" w:rsidTr="00CB304C">
        <w:tc>
          <w:tcPr>
            <w:tcW w:w="1276" w:type="dxa"/>
            <w:tcBorders>
              <w:top w:val="single" w:sz="4" w:space="0" w:color="auto"/>
            </w:tcBorders>
            <w:shd w:val="clear" w:color="auto" w:fill="auto"/>
            <w:hideMark/>
          </w:tcPr>
          <w:p w14:paraId="30256C8A" w14:textId="77777777" w:rsidR="008C179D" w:rsidRPr="008C179D" w:rsidRDefault="008C179D" w:rsidP="008C179D">
            <w:pPr>
              <w:suppressAutoHyphens w:val="0"/>
              <w:spacing w:before="40" w:after="40" w:line="220" w:lineRule="exact"/>
              <w:rPr>
                <w:sz w:val="18"/>
              </w:rPr>
            </w:pPr>
            <w:r w:rsidRPr="008C179D">
              <w:rPr>
                <w:sz w:val="18"/>
                <w:lang w:val="fr-FR"/>
              </w:rPr>
              <w:t>IV. OGM</w:t>
            </w:r>
          </w:p>
        </w:tc>
        <w:tc>
          <w:tcPr>
            <w:tcW w:w="2179" w:type="dxa"/>
            <w:tcBorders>
              <w:top w:val="single" w:sz="4" w:space="0" w:color="auto"/>
            </w:tcBorders>
            <w:shd w:val="clear" w:color="auto" w:fill="auto"/>
            <w:vAlign w:val="bottom"/>
            <w:hideMark/>
          </w:tcPr>
          <w:p w14:paraId="26C1BAD5"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w:t>
            </w:r>
            <w:r w:rsidRPr="001E2B88">
              <w:rPr>
                <w:i/>
                <w:sz w:val="18"/>
                <w:vertAlign w:val="superscript"/>
                <w:lang w:val="fr-FR"/>
              </w:rPr>
              <w:t>c</w:t>
            </w:r>
            <w:proofErr w:type="spellEnd"/>
            <w:r w:rsidRPr="008C179D">
              <w:rPr>
                <w:sz w:val="18"/>
                <w:lang w:val="fr-FR"/>
              </w:rPr>
              <w:t> : 1</w:t>
            </w:r>
            <w:r w:rsidR="00B04B71">
              <w:rPr>
                <w:sz w:val="18"/>
                <w:lang w:val="fr-FR"/>
              </w:rPr>
              <w:t> </w:t>
            </w:r>
            <w:r w:rsidRPr="008C179D">
              <w:rPr>
                <w:sz w:val="18"/>
                <w:lang w:val="fr-FR"/>
              </w:rPr>
              <w:t>fonctionnaire P-3 à 5 %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712948E7"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9" w:type="dxa"/>
            <w:tcBorders>
              <w:top w:val="single" w:sz="4" w:space="0" w:color="auto"/>
            </w:tcBorders>
            <w:shd w:val="clear" w:color="auto" w:fill="auto"/>
            <w:hideMark/>
          </w:tcPr>
          <w:p w14:paraId="57DEC9B7"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18ED5ECE"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7" w:type="dxa"/>
            <w:tcBorders>
              <w:top w:val="single" w:sz="4" w:space="0" w:color="auto"/>
            </w:tcBorders>
            <w:shd w:val="clear" w:color="auto" w:fill="auto"/>
            <w:hideMark/>
          </w:tcPr>
          <w:p w14:paraId="655AB8D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6471C5D4"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7" w:type="dxa"/>
            <w:tcBorders>
              <w:top w:val="single" w:sz="4" w:space="0" w:color="auto"/>
            </w:tcBorders>
            <w:shd w:val="clear" w:color="auto" w:fill="auto"/>
            <w:hideMark/>
          </w:tcPr>
          <w:p w14:paraId="7BBF38E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71F78694"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7" w:type="dxa"/>
            <w:tcBorders>
              <w:top w:val="single" w:sz="4" w:space="0" w:color="auto"/>
            </w:tcBorders>
            <w:shd w:val="clear" w:color="auto" w:fill="auto"/>
            <w:hideMark/>
          </w:tcPr>
          <w:p w14:paraId="3FF2DBA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62E20B5B"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837" w:type="dxa"/>
            <w:tcBorders>
              <w:top w:val="single" w:sz="4" w:space="0" w:color="auto"/>
            </w:tcBorders>
            <w:shd w:val="clear" w:color="auto" w:fill="auto"/>
            <w:hideMark/>
          </w:tcPr>
          <w:p w14:paraId="14DA92E7"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235583E4" w14:textId="77777777" w:rsidTr="00CB304C">
        <w:tc>
          <w:tcPr>
            <w:tcW w:w="1276" w:type="dxa"/>
            <w:shd w:val="clear" w:color="auto" w:fill="auto"/>
            <w:hideMark/>
          </w:tcPr>
          <w:p w14:paraId="2FE39EE5"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4A538557"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(élaboration de la documentation requise, par</w:t>
            </w:r>
            <w:r w:rsidR="00B04B71">
              <w:rPr>
                <w:sz w:val="18"/>
                <w:lang w:val="fr-FR"/>
              </w:rPr>
              <w:t> </w:t>
            </w:r>
            <w:r w:rsidRPr="008C179D">
              <w:rPr>
                <w:sz w:val="18"/>
                <w:lang w:val="fr-FR"/>
              </w:rPr>
              <w:t>exemple)</w:t>
            </w:r>
          </w:p>
        </w:tc>
        <w:tc>
          <w:tcPr>
            <w:tcW w:w="1260" w:type="dxa"/>
            <w:shd w:val="clear" w:color="auto" w:fill="auto"/>
            <w:hideMark/>
          </w:tcPr>
          <w:p w14:paraId="012F45C2"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9" w:type="dxa"/>
            <w:shd w:val="clear" w:color="auto" w:fill="auto"/>
            <w:hideMark/>
          </w:tcPr>
          <w:p w14:paraId="0D93CD37"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1244" w:type="dxa"/>
            <w:shd w:val="clear" w:color="auto" w:fill="auto"/>
            <w:noWrap/>
            <w:hideMark/>
          </w:tcPr>
          <w:p w14:paraId="7A34711F"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48E4BC2B"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1244" w:type="dxa"/>
            <w:shd w:val="clear" w:color="auto" w:fill="auto"/>
            <w:noWrap/>
            <w:hideMark/>
          </w:tcPr>
          <w:p w14:paraId="0A139045"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2B9267F5"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1244" w:type="dxa"/>
            <w:shd w:val="clear" w:color="auto" w:fill="auto"/>
            <w:noWrap/>
            <w:hideMark/>
          </w:tcPr>
          <w:p w14:paraId="2AAAE105"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78874D70"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1344" w:type="dxa"/>
            <w:shd w:val="clear" w:color="auto" w:fill="auto"/>
            <w:noWrap/>
            <w:hideMark/>
          </w:tcPr>
          <w:p w14:paraId="79B2AC9B"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837" w:type="dxa"/>
            <w:shd w:val="clear" w:color="auto" w:fill="auto"/>
            <w:hideMark/>
          </w:tcPr>
          <w:p w14:paraId="5694BE4D"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r>
      <w:tr w:rsidR="008C179D" w:rsidRPr="008C179D" w14:paraId="421B5961" w14:textId="77777777" w:rsidTr="00CB304C">
        <w:trPr>
          <w:cantSplit/>
        </w:trPr>
        <w:tc>
          <w:tcPr>
            <w:tcW w:w="1276" w:type="dxa"/>
            <w:shd w:val="clear" w:color="auto" w:fill="auto"/>
            <w:hideMark/>
          </w:tcPr>
          <w:p w14:paraId="22B1753B"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0CEB2324"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pour les</w:t>
            </w:r>
            <w:r w:rsidR="00C53881">
              <w:rPr>
                <w:sz w:val="18"/>
                <w:lang w:val="fr-FR"/>
              </w:rPr>
              <w:t xml:space="preserve"> </w:t>
            </w:r>
            <w:r w:rsidRPr="008C179D">
              <w:rPr>
                <w:sz w:val="18"/>
                <w:lang w:val="fr-FR"/>
              </w:rPr>
              <w:t>participants qui y</w:t>
            </w:r>
            <w:r w:rsidR="0082255A">
              <w:rPr>
                <w:sz w:val="18"/>
                <w:lang w:val="fr-FR"/>
              </w:rPr>
              <w:t> </w:t>
            </w:r>
            <w:r w:rsidRPr="008C179D">
              <w:rPr>
                <w:sz w:val="18"/>
                <w:lang w:val="fr-FR"/>
              </w:rPr>
              <w:t>ont droit (ateliers ou tables rondes, par exemple)</w:t>
            </w:r>
          </w:p>
        </w:tc>
        <w:tc>
          <w:tcPr>
            <w:tcW w:w="1260" w:type="dxa"/>
            <w:shd w:val="clear" w:color="auto" w:fill="auto"/>
            <w:hideMark/>
          </w:tcPr>
          <w:p w14:paraId="33AFD33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9" w:type="dxa"/>
            <w:shd w:val="clear" w:color="auto" w:fill="auto"/>
            <w:hideMark/>
          </w:tcPr>
          <w:p w14:paraId="7B4725E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73869E01" w14:textId="77777777" w:rsidR="008C179D" w:rsidRPr="008C179D" w:rsidRDefault="008C179D" w:rsidP="00CB304C">
            <w:pPr>
              <w:suppressAutoHyphens w:val="0"/>
              <w:spacing w:before="40" w:after="40" w:line="220" w:lineRule="exact"/>
              <w:jc w:val="right"/>
              <w:rPr>
                <w:sz w:val="18"/>
              </w:rPr>
            </w:pPr>
            <w:r w:rsidRPr="008C179D">
              <w:rPr>
                <w:sz w:val="18"/>
                <w:lang w:val="fr-FR"/>
              </w:rPr>
              <w:t>40 000</w:t>
            </w:r>
          </w:p>
        </w:tc>
        <w:tc>
          <w:tcPr>
            <w:tcW w:w="787" w:type="dxa"/>
            <w:shd w:val="clear" w:color="auto" w:fill="auto"/>
            <w:hideMark/>
          </w:tcPr>
          <w:p w14:paraId="0E68937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5CEDDC8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shd w:val="clear" w:color="auto" w:fill="auto"/>
            <w:hideMark/>
          </w:tcPr>
          <w:p w14:paraId="2C31E589"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113F7EF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shd w:val="clear" w:color="auto" w:fill="auto"/>
            <w:hideMark/>
          </w:tcPr>
          <w:p w14:paraId="4BF71E3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624F7601"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837" w:type="dxa"/>
            <w:shd w:val="clear" w:color="auto" w:fill="auto"/>
            <w:hideMark/>
          </w:tcPr>
          <w:p w14:paraId="1D6EE386"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3F349AD1" w14:textId="77777777" w:rsidTr="00CB304C">
        <w:tc>
          <w:tcPr>
            <w:tcW w:w="1276" w:type="dxa"/>
            <w:tcBorders>
              <w:bottom w:val="single" w:sz="4" w:space="0" w:color="auto"/>
            </w:tcBorders>
            <w:shd w:val="clear" w:color="auto" w:fill="auto"/>
            <w:hideMark/>
          </w:tcPr>
          <w:p w14:paraId="2E40C5F1"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vAlign w:val="bottom"/>
            <w:hideMark/>
          </w:tcPr>
          <w:p w14:paraId="05F67104"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(personnel en mission)</w:t>
            </w:r>
            <w:r w:rsidRPr="001E2B88">
              <w:rPr>
                <w:i/>
                <w:sz w:val="18"/>
                <w:vertAlign w:val="superscript"/>
                <w:lang w:val="fr-FR"/>
              </w:rPr>
              <w:t>d</w:t>
            </w:r>
          </w:p>
        </w:tc>
        <w:tc>
          <w:tcPr>
            <w:tcW w:w="1260" w:type="dxa"/>
            <w:tcBorders>
              <w:bottom w:val="single" w:sz="4" w:space="0" w:color="auto"/>
            </w:tcBorders>
            <w:shd w:val="clear" w:color="auto" w:fill="auto"/>
            <w:hideMark/>
          </w:tcPr>
          <w:p w14:paraId="5A5A5E59"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9" w:type="dxa"/>
            <w:tcBorders>
              <w:bottom w:val="single" w:sz="4" w:space="0" w:color="auto"/>
            </w:tcBorders>
            <w:shd w:val="clear" w:color="auto" w:fill="auto"/>
            <w:hideMark/>
          </w:tcPr>
          <w:p w14:paraId="57E2698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23F6464B"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39F3693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4A181EC6"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1A6169D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2625799A"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06B6DA65"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bottom w:val="single" w:sz="4" w:space="0" w:color="auto"/>
            </w:tcBorders>
            <w:shd w:val="clear" w:color="auto" w:fill="auto"/>
            <w:noWrap/>
            <w:hideMark/>
          </w:tcPr>
          <w:p w14:paraId="2FE5192D"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837" w:type="dxa"/>
            <w:tcBorders>
              <w:bottom w:val="single" w:sz="4" w:space="0" w:color="auto"/>
            </w:tcBorders>
            <w:shd w:val="clear" w:color="auto" w:fill="auto"/>
            <w:hideMark/>
          </w:tcPr>
          <w:p w14:paraId="0303ADF1"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2255A" w14:paraId="70397282" w14:textId="77777777" w:rsidTr="00CB304C">
        <w:tc>
          <w:tcPr>
            <w:tcW w:w="3455" w:type="dxa"/>
            <w:gridSpan w:val="2"/>
            <w:tcBorders>
              <w:top w:val="single" w:sz="4" w:space="0" w:color="auto"/>
              <w:bottom w:val="single" w:sz="4" w:space="0" w:color="auto"/>
            </w:tcBorders>
            <w:shd w:val="clear" w:color="auto" w:fill="auto"/>
            <w:hideMark/>
          </w:tcPr>
          <w:p w14:paraId="60241A78" w14:textId="77777777" w:rsidR="008C179D" w:rsidRPr="0082255A" w:rsidRDefault="008C179D" w:rsidP="0082255A">
            <w:pPr>
              <w:suppressAutoHyphens w:val="0"/>
              <w:spacing w:before="80" w:after="80" w:line="220" w:lineRule="exact"/>
              <w:ind w:left="283"/>
              <w:rPr>
                <w:b/>
                <w:bCs/>
                <w:sz w:val="18"/>
              </w:rPr>
            </w:pPr>
            <w:r w:rsidRPr="0082255A">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64185691"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14 500</w:t>
            </w:r>
          </w:p>
        </w:tc>
        <w:tc>
          <w:tcPr>
            <w:tcW w:w="789" w:type="dxa"/>
            <w:tcBorders>
              <w:top w:val="single" w:sz="4" w:space="0" w:color="auto"/>
              <w:bottom w:val="single" w:sz="4" w:space="0" w:color="auto"/>
            </w:tcBorders>
            <w:shd w:val="clear" w:color="auto" w:fill="auto"/>
            <w:vAlign w:val="bottom"/>
            <w:hideMark/>
          </w:tcPr>
          <w:p w14:paraId="14BDE4E0"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2 000</w:t>
            </w:r>
          </w:p>
        </w:tc>
        <w:tc>
          <w:tcPr>
            <w:tcW w:w="1244" w:type="dxa"/>
            <w:tcBorders>
              <w:top w:val="single" w:sz="4" w:space="0" w:color="auto"/>
              <w:bottom w:val="single" w:sz="4" w:space="0" w:color="auto"/>
            </w:tcBorders>
            <w:shd w:val="clear" w:color="auto" w:fill="auto"/>
            <w:vAlign w:val="bottom"/>
            <w:hideMark/>
          </w:tcPr>
          <w:p w14:paraId="540223F0"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54 500</w:t>
            </w:r>
          </w:p>
        </w:tc>
        <w:tc>
          <w:tcPr>
            <w:tcW w:w="787" w:type="dxa"/>
            <w:tcBorders>
              <w:top w:val="single" w:sz="4" w:space="0" w:color="auto"/>
              <w:bottom w:val="single" w:sz="4" w:space="0" w:color="auto"/>
            </w:tcBorders>
            <w:shd w:val="clear" w:color="auto" w:fill="auto"/>
            <w:vAlign w:val="bottom"/>
            <w:hideMark/>
          </w:tcPr>
          <w:p w14:paraId="7129A1B9"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2 000</w:t>
            </w:r>
          </w:p>
        </w:tc>
        <w:tc>
          <w:tcPr>
            <w:tcW w:w="1244" w:type="dxa"/>
            <w:tcBorders>
              <w:top w:val="single" w:sz="4" w:space="0" w:color="auto"/>
              <w:bottom w:val="single" w:sz="4" w:space="0" w:color="auto"/>
            </w:tcBorders>
            <w:shd w:val="clear" w:color="auto" w:fill="auto"/>
            <w:vAlign w:val="bottom"/>
            <w:hideMark/>
          </w:tcPr>
          <w:p w14:paraId="652E39DB"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14 500</w:t>
            </w:r>
          </w:p>
        </w:tc>
        <w:tc>
          <w:tcPr>
            <w:tcW w:w="787" w:type="dxa"/>
            <w:tcBorders>
              <w:top w:val="single" w:sz="4" w:space="0" w:color="auto"/>
              <w:bottom w:val="single" w:sz="4" w:space="0" w:color="auto"/>
            </w:tcBorders>
            <w:shd w:val="clear" w:color="auto" w:fill="auto"/>
            <w:vAlign w:val="bottom"/>
            <w:hideMark/>
          </w:tcPr>
          <w:p w14:paraId="396E65F1"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2 000</w:t>
            </w:r>
          </w:p>
        </w:tc>
        <w:tc>
          <w:tcPr>
            <w:tcW w:w="1244" w:type="dxa"/>
            <w:tcBorders>
              <w:top w:val="single" w:sz="4" w:space="0" w:color="auto"/>
              <w:bottom w:val="single" w:sz="4" w:space="0" w:color="auto"/>
            </w:tcBorders>
            <w:shd w:val="clear" w:color="auto" w:fill="auto"/>
            <w:vAlign w:val="bottom"/>
            <w:hideMark/>
          </w:tcPr>
          <w:p w14:paraId="5B49B128"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14 500</w:t>
            </w:r>
          </w:p>
        </w:tc>
        <w:tc>
          <w:tcPr>
            <w:tcW w:w="787" w:type="dxa"/>
            <w:tcBorders>
              <w:top w:val="single" w:sz="4" w:space="0" w:color="auto"/>
              <w:bottom w:val="single" w:sz="4" w:space="0" w:color="auto"/>
            </w:tcBorders>
            <w:shd w:val="clear" w:color="auto" w:fill="auto"/>
            <w:vAlign w:val="bottom"/>
            <w:hideMark/>
          </w:tcPr>
          <w:p w14:paraId="351E26DF"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2 000</w:t>
            </w:r>
          </w:p>
        </w:tc>
        <w:tc>
          <w:tcPr>
            <w:tcW w:w="1344" w:type="dxa"/>
            <w:tcBorders>
              <w:top w:val="single" w:sz="4" w:space="0" w:color="auto"/>
              <w:bottom w:val="single" w:sz="4" w:space="0" w:color="auto"/>
            </w:tcBorders>
            <w:shd w:val="clear" w:color="auto" w:fill="auto"/>
            <w:vAlign w:val="bottom"/>
            <w:hideMark/>
          </w:tcPr>
          <w:p w14:paraId="60C5FC98"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24 500</w:t>
            </w:r>
          </w:p>
        </w:tc>
        <w:tc>
          <w:tcPr>
            <w:tcW w:w="837" w:type="dxa"/>
            <w:tcBorders>
              <w:top w:val="single" w:sz="4" w:space="0" w:color="auto"/>
              <w:bottom w:val="single" w:sz="4" w:space="0" w:color="auto"/>
            </w:tcBorders>
            <w:shd w:val="clear" w:color="auto" w:fill="auto"/>
            <w:vAlign w:val="bottom"/>
            <w:hideMark/>
          </w:tcPr>
          <w:p w14:paraId="26784D47" w14:textId="77777777" w:rsidR="008C179D" w:rsidRPr="0082255A" w:rsidRDefault="008C179D" w:rsidP="0082255A">
            <w:pPr>
              <w:suppressAutoHyphens w:val="0"/>
              <w:spacing w:before="80" w:after="80" w:line="220" w:lineRule="exact"/>
              <w:jc w:val="right"/>
              <w:rPr>
                <w:b/>
                <w:bCs/>
                <w:sz w:val="18"/>
              </w:rPr>
            </w:pPr>
            <w:r w:rsidRPr="0082255A">
              <w:rPr>
                <w:b/>
                <w:bCs/>
                <w:sz w:val="18"/>
                <w:lang w:val="fr-FR"/>
              </w:rPr>
              <w:t>2 000</w:t>
            </w:r>
          </w:p>
        </w:tc>
      </w:tr>
      <w:tr w:rsidR="008C179D" w:rsidRPr="008C179D" w14:paraId="61F34AE0" w14:textId="77777777" w:rsidTr="00CB304C">
        <w:tc>
          <w:tcPr>
            <w:tcW w:w="1276" w:type="dxa"/>
            <w:tcBorders>
              <w:top w:val="single" w:sz="4" w:space="0" w:color="auto"/>
            </w:tcBorders>
            <w:shd w:val="clear" w:color="auto" w:fill="auto"/>
            <w:hideMark/>
          </w:tcPr>
          <w:p w14:paraId="66EADDA2" w14:textId="77777777" w:rsidR="008C179D" w:rsidRPr="008C179D" w:rsidRDefault="008C179D" w:rsidP="008C179D">
            <w:pPr>
              <w:suppressAutoHyphens w:val="0"/>
              <w:spacing w:before="40" w:after="40" w:line="220" w:lineRule="exact"/>
              <w:rPr>
                <w:sz w:val="18"/>
                <w:lang w:val="fr-FR"/>
              </w:rPr>
            </w:pPr>
            <w:r w:rsidRPr="008C179D">
              <w:rPr>
                <w:sz w:val="18"/>
                <w:lang w:val="fr-FR"/>
              </w:rPr>
              <w:t>V. Mécanisme d</w:t>
            </w:r>
            <w:r w:rsidR="00457C42">
              <w:rPr>
                <w:sz w:val="18"/>
                <w:lang w:val="fr-FR"/>
              </w:rPr>
              <w:t>’</w:t>
            </w:r>
            <w:r w:rsidRPr="008C179D">
              <w:rPr>
                <w:sz w:val="18"/>
                <w:lang w:val="fr-FR"/>
              </w:rPr>
              <w:t>examen du</w:t>
            </w:r>
            <w:r w:rsidR="0082255A">
              <w:rPr>
                <w:sz w:val="18"/>
                <w:lang w:val="fr-FR"/>
              </w:rPr>
              <w:t> </w:t>
            </w:r>
            <w:r w:rsidRPr="008C179D">
              <w:rPr>
                <w:sz w:val="18"/>
                <w:lang w:val="fr-FR"/>
              </w:rPr>
              <w:t>respect des</w:t>
            </w:r>
            <w:r w:rsidR="0082255A">
              <w:rPr>
                <w:sz w:val="18"/>
                <w:lang w:val="fr-FR"/>
              </w:rPr>
              <w:t> </w:t>
            </w:r>
            <w:r w:rsidRPr="008C179D">
              <w:rPr>
                <w:sz w:val="18"/>
                <w:lang w:val="fr-FR"/>
              </w:rPr>
              <w:t>dispositions</w:t>
            </w:r>
          </w:p>
        </w:tc>
        <w:tc>
          <w:tcPr>
            <w:tcW w:w="2179" w:type="dxa"/>
            <w:tcBorders>
              <w:top w:val="single" w:sz="4" w:space="0" w:color="auto"/>
            </w:tcBorders>
            <w:shd w:val="clear" w:color="auto" w:fill="auto"/>
            <w:vAlign w:val="bottom"/>
            <w:hideMark/>
          </w:tcPr>
          <w:p w14:paraId="5B458C28"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Administrateurs</w:t>
            </w:r>
            <w:r w:rsidRPr="001E2B88">
              <w:rPr>
                <w:i/>
                <w:sz w:val="18"/>
                <w:vertAlign w:val="superscript"/>
                <w:lang w:val="fr-FR"/>
              </w:rPr>
              <w:t>c</w:t>
            </w:r>
            <w:proofErr w:type="spellEnd"/>
            <w:r w:rsidRPr="008C179D">
              <w:rPr>
                <w:sz w:val="18"/>
                <w:lang w:val="fr-FR"/>
              </w:rPr>
              <w:t> : 3</w:t>
            </w:r>
            <w:r w:rsidR="001E2B88">
              <w:rPr>
                <w:sz w:val="18"/>
                <w:lang w:val="fr-FR"/>
              </w:rPr>
              <w:t> </w:t>
            </w:r>
            <w:r w:rsidRPr="008C179D">
              <w:rPr>
                <w:sz w:val="18"/>
                <w:lang w:val="fr-FR"/>
              </w:rPr>
              <w:t>fonctionnaires P-3 (à 80 %, 70 % et 55 % d</w:t>
            </w:r>
            <w:r w:rsidR="00457C42">
              <w:rPr>
                <w:sz w:val="18"/>
                <w:lang w:val="fr-FR"/>
              </w:rPr>
              <w:t>’</w:t>
            </w:r>
            <w:r w:rsidRPr="008C179D">
              <w:rPr>
                <w:sz w:val="18"/>
                <w:lang w:val="fr-FR"/>
              </w:rPr>
              <w:t>EPT, respectivement) et 1</w:t>
            </w:r>
            <w:r w:rsidR="001E2B88">
              <w:rPr>
                <w:sz w:val="18"/>
                <w:lang w:val="fr-FR"/>
              </w:rPr>
              <w:t> </w:t>
            </w:r>
            <w:r w:rsidRPr="008C179D">
              <w:rPr>
                <w:sz w:val="18"/>
                <w:lang w:val="fr-FR"/>
              </w:rPr>
              <w:t>fonctionnaire P-2 à 50 %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161EC17C" w14:textId="77777777" w:rsidR="008C179D" w:rsidRPr="008C179D" w:rsidRDefault="008C179D" w:rsidP="00CB304C">
            <w:pPr>
              <w:suppressAutoHyphens w:val="0"/>
              <w:spacing w:before="40" w:after="40" w:line="220" w:lineRule="exact"/>
              <w:jc w:val="right"/>
              <w:rPr>
                <w:sz w:val="18"/>
              </w:rPr>
            </w:pPr>
            <w:r w:rsidRPr="008C179D">
              <w:rPr>
                <w:sz w:val="18"/>
                <w:lang w:val="fr-FR"/>
              </w:rPr>
              <w:t>429 000</w:t>
            </w:r>
          </w:p>
        </w:tc>
        <w:tc>
          <w:tcPr>
            <w:tcW w:w="789" w:type="dxa"/>
            <w:tcBorders>
              <w:top w:val="single" w:sz="4" w:space="0" w:color="auto"/>
            </w:tcBorders>
            <w:shd w:val="clear" w:color="auto" w:fill="auto"/>
            <w:hideMark/>
          </w:tcPr>
          <w:p w14:paraId="34F17B8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2F1DB155" w14:textId="77777777" w:rsidR="008C179D" w:rsidRPr="008C179D" w:rsidRDefault="008C179D" w:rsidP="00CB304C">
            <w:pPr>
              <w:suppressAutoHyphens w:val="0"/>
              <w:spacing w:before="40" w:after="40" w:line="220" w:lineRule="exact"/>
              <w:jc w:val="right"/>
              <w:rPr>
                <w:sz w:val="18"/>
              </w:rPr>
            </w:pPr>
            <w:r w:rsidRPr="008C179D">
              <w:rPr>
                <w:sz w:val="18"/>
                <w:lang w:val="fr-FR"/>
              </w:rPr>
              <w:t>429 000</w:t>
            </w:r>
          </w:p>
        </w:tc>
        <w:tc>
          <w:tcPr>
            <w:tcW w:w="787" w:type="dxa"/>
            <w:tcBorders>
              <w:top w:val="single" w:sz="4" w:space="0" w:color="auto"/>
            </w:tcBorders>
            <w:shd w:val="clear" w:color="auto" w:fill="auto"/>
            <w:hideMark/>
          </w:tcPr>
          <w:p w14:paraId="2128CCF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354B02D5" w14:textId="77777777" w:rsidR="008C179D" w:rsidRPr="008C179D" w:rsidRDefault="008C179D" w:rsidP="00CB304C">
            <w:pPr>
              <w:suppressAutoHyphens w:val="0"/>
              <w:spacing w:before="40" w:after="40" w:line="220" w:lineRule="exact"/>
              <w:jc w:val="right"/>
              <w:rPr>
                <w:sz w:val="18"/>
              </w:rPr>
            </w:pPr>
            <w:r w:rsidRPr="008C179D">
              <w:rPr>
                <w:sz w:val="18"/>
                <w:lang w:val="fr-FR"/>
              </w:rPr>
              <w:t>429 000</w:t>
            </w:r>
          </w:p>
        </w:tc>
        <w:tc>
          <w:tcPr>
            <w:tcW w:w="787" w:type="dxa"/>
            <w:tcBorders>
              <w:top w:val="single" w:sz="4" w:space="0" w:color="auto"/>
            </w:tcBorders>
            <w:shd w:val="clear" w:color="auto" w:fill="auto"/>
            <w:hideMark/>
          </w:tcPr>
          <w:p w14:paraId="19B87195"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53EA308D" w14:textId="77777777" w:rsidR="008C179D" w:rsidRPr="008C179D" w:rsidRDefault="008C179D" w:rsidP="00CB304C">
            <w:pPr>
              <w:suppressAutoHyphens w:val="0"/>
              <w:spacing w:before="40" w:after="40" w:line="220" w:lineRule="exact"/>
              <w:jc w:val="right"/>
              <w:rPr>
                <w:sz w:val="18"/>
              </w:rPr>
            </w:pPr>
            <w:r w:rsidRPr="008C179D">
              <w:rPr>
                <w:sz w:val="18"/>
                <w:lang w:val="fr-FR"/>
              </w:rPr>
              <w:t>429 000</w:t>
            </w:r>
          </w:p>
        </w:tc>
        <w:tc>
          <w:tcPr>
            <w:tcW w:w="787" w:type="dxa"/>
            <w:tcBorders>
              <w:top w:val="single" w:sz="4" w:space="0" w:color="auto"/>
            </w:tcBorders>
            <w:shd w:val="clear" w:color="auto" w:fill="auto"/>
            <w:hideMark/>
          </w:tcPr>
          <w:p w14:paraId="5A557FBE"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1D1272CB" w14:textId="77777777" w:rsidR="008C179D" w:rsidRPr="008C179D" w:rsidRDefault="008C179D" w:rsidP="00CB304C">
            <w:pPr>
              <w:suppressAutoHyphens w:val="0"/>
              <w:spacing w:before="40" w:after="40" w:line="220" w:lineRule="exact"/>
              <w:jc w:val="right"/>
              <w:rPr>
                <w:sz w:val="18"/>
              </w:rPr>
            </w:pPr>
            <w:r w:rsidRPr="008C179D">
              <w:rPr>
                <w:sz w:val="18"/>
                <w:lang w:val="fr-FR"/>
              </w:rPr>
              <w:t>429 000</w:t>
            </w:r>
          </w:p>
        </w:tc>
        <w:tc>
          <w:tcPr>
            <w:tcW w:w="837" w:type="dxa"/>
            <w:tcBorders>
              <w:top w:val="single" w:sz="4" w:space="0" w:color="auto"/>
            </w:tcBorders>
            <w:shd w:val="clear" w:color="auto" w:fill="auto"/>
            <w:hideMark/>
          </w:tcPr>
          <w:p w14:paraId="67CA9642"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24D8F003" w14:textId="77777777" w:rsidTr="00CB304C">
        <w:tc>
          <w:tcPr>
            <w:tcW w:w="1276" w:type="dxa"/>
            <w:shd w:val="clear" w:color="auto" w:fill="auto"/>
            <w:hideMark/>
          </w:tcPr>
          <w:p w14:paraId="4D8C589A"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1C2FF4F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(traduction</w:t>
            </w:r>
            <w:r w:rsidR="00C53881">
              <w:rPr>
                <w:sz w:val="18"/>
                <w:lang w:val="fr-FR"/>
              </w:rPr>
              <w:t xml:space="preserve"> </w:t>
            </w:r>
            <w:r w:rsidRPr="008C179D">
              <w:rPr>
                <w:sz w:val="18"/>
                <w:lang w:val="fr-FR"/>
              </w:rPr>
              <w:t>extérieure</w:t>
            </w:r>
            <w:r w:rsidR="00C53881">
              <w:rPr>
                <w:sz w:val="18"/>
                <w:lang w:val="fr-FR"/>
              </w:rPr>
              <w:t xml:space="preserve"> </w:t>
            </w:r>
            <w:r w:rsidRPr="008C179D">
              <w:rPr>
                <w:sz w:val="18"/>
                <w:lang w:val="fr-FR"/>
              </w:rPr>
              <w:t>et élaboration de la documentation requise, par</w:t>
            </w:r>
            <w:r w:rsidR="001E2B88">
              <w:rPr>
                <w:sz w:val="18"/>
                <w:lang w:val="fr-FR"/>
              </w:rPr>
              <w:t> </w:t>
            </w:r>
            <w:r w:rsidRPr="008C179D">
              <w:rPr>
                <w:sz w:val="18"/>
                <w:lang w:val="fr-FR"/>
              </w:rPr>
              <w:t>exemple)</w:t>
            </w:r>
          </w:p>
        </w:tc>
        <w:tc>
          <w:tcPr>
            <w:tcW w:w="1260" w:type="dxa"/>
            <w:shd w:val="clear" w:color="auto" w:fill="auto"/>
            <w:hideMark/>
          </w:tcPr>
          <w:p w14:paraId="76D6A76F" w14:textId="77777777" w:rsidR="008C179D" w:rsidRPr="008C179D" w:rsidRDefault="008C179D" w:rsidP="00CB304C">
            <w:pPr>
              <w:suppressAutoHyphens w:val="0"/>
              <w:spacing w:before="40" w:after="40" w:line="220" w:lineRule="exact"/>
              <w:jc w:val="right"/>
              <w:rPr>
                <w:sz w:val="18"/>
              </w:rPr>
            </w:pPr>
            <w:r w:rsidRPr="008C179D">
              <w:rPr>
                <w:sz w:val="18"/>
                <w:lang w:val="fr-FR"/>
              </w:rPr>
              <w:t>30 000</w:t>
            </w:r>
          </w:p>
        </w:tc>
        <w:tc>
          <w:tcPr>
            <w:tcW w:w="789" w:type="dxa"/>
            <w:shd w:val="clear" w:color="auto" w:fill="auto"/>
            <w:hideMark/>
          </w:tcPr>
          <w:p w14:paraId="23E2547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3CD059B0" w14:textId="77777777" w:rsidR="008C179D" w:rsidRPr="008C179D" w:rsidRDefault="008C179D" w:rsidP="00CB304C">
            <w:pPr>
              <w:suppressAutoHyphens w:val="0"/>
              <w:spacing w:before="40" w:after="40" w:line="220" w:lineRule="exact"/>
              <w:jc w:val="right"/>
              <w:rPr>
                <w:sz w:val="18"/>
              </w:rPr>
            </w:pPr>
            <w:r w:rsidRPr="008C179D">
              <w:rPr>
                <w:sz w:val="18"/>
                <w:lang w:val="fr-FR"/>
              </w:rPr>
              <w:t>30 000</w:t>
            </w:r>
          </w:p>
        </w:tc>
        <w:tc>
          <w:tcPr>
            <w:tcW w:w="787" w:type="dxa"/>
            <w:shd w:val="clear" w:color="auto" w:fill="auto"/>
            <w:noWrap/>
            <w:hideMark/>
          </w:tcPr>
          <w:p w14:paraId="200D8EB4"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43285A18" w14:textId="77777777" w:rsidR="008C179D" w:rsidRPr="008C179D" w:rsidRDefault="008C179D" w:rsidP="00CB304C">
            <w:pPr>
              <w:suppressAutoHyphens w:val="0"/>
              <w:spacing w:before="40" w:after="40" w:line="220" w:lineRule="exact"/>
              <w:jc w:val="right"/>
              <w:rPr>
                <w:sz w:val="18"/>
              </w:rPr>
            </w:pPr>
            <w:r w:rsidRPr="008C179D">
              <w:rPr>
                <w:sz w:val="18"/>
                <w:lang w:val="fr-FR"/>
              </w:rPr>
              <w:t>30 000</w:t>
            </w:r>
          </w:p>
        </w:tc>
        <w:tc>
          <w:tcPr>
            <w:tcW w:w="787" w:type="dxa"/>
            <w:shd w:val="clear" w:color="auto" w:fill="auto"/>
            <w:noWrap/>
            <w:hideMark/>
          </w:tcPr>
          <w:p w14:paraId="7E15283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0CB52D4A" w14:textId="77777777" w:rsidR="008C179D" w:rsidRPr="008C179D" w:rsidRDefault="008C179D" w:rsidP="00CB304C">
            <w:pPr>
              <w:suppressAutoHyphens w:val="0"/>
              <w:spacing w:before="40" w:after="40" w:line="220" w:lineRule="exact"/>
              <w:jc w:val="right"/>
              <w:rPr>
                <w:sz w:val="18"/>
              </w:rPr>
            </w:pPr>
            <w:r w:rsidRPr="008C179D">
              <w:rPr>
                <w:sz w:val="18"/>
                <w:lang w:val="fr-FR"/>
              </w:rPr>
              <w:t>30 000</w:t>
            </w:r>
          </w:p>
        </w:tc>
        <w:tc>
          <w:tcPr>
            <w:tcW w:w="787" w:type="dxa"/>
            <w:shd w:val="clear" w:color="auto" w:fill="auto"/>
            <w:noWrap/>
            <w:hideMark/>
          </w:tcPr>
          <w:p w14:paraId="1D9718D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48A1E433" w14:textId="77777777" w:rsidR="008C179D" w:rsidRPr="008C179D" w:rsidRDefault="008C179D" w:rsidP="00CB304C">
            <w:pPr>
              <w:suppressAutoHyphens w:val="0"/>
              <w:spacing w:before="40" w:after="40" w:line="220" w:lineRule="exact"/>
              <w:jc w:val="right"/>
              <w:rPr>
                <w:sz w:val="18"/>
              </w:rPr>
            </w:pPr>
            <w:r w:rsidRPr="008C179D">
              <w:rPr>
                <w:sz w:val="18"/>
                <w:lang w:val="fr-FR"/>
              </w:rPr>
              <w:t>30 000</w:t>
            </w:r>
          </w:p>
        </w:tc>
        <w:tc>
          <w:tcPr>
            <w:tcW w:w="837" w:type="dxa"/>
            <w:shd w:val="clear" w:color="auto" w:fill="auto"/>
            <w:noWrap/>
            <w:hideMark/>
          </w:tcPr>
          <w:p w14:paraId="05BC536B"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0E665381" w14:textId="77777777" w:rsidTr="00CB304C">
        <w:tc>
          <w:tcPr>
            <w:tcW w:w="1276" w:type="dxa"/>
            <w:shd w:val="clear" w:color="auto" w:fill="auto"/>
            <w:hideMark/>
          </w:tcPr>
          <w:p w14:paraId="317C6926"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0CDAAA47"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et indemnités journalières de</w:t>
            </w:r>
            <w:r w:rsidR="004E6A92">
              <w:rPr>
                <w:sz w:val="18"/>
                <w:lang w:val="fr-FR"/>
              </w:rPr>
              <w:t> </w:t>
            </w:r>
            <w:r w:rsidRPr="008C179D">
              <w:rPr>
                <w:sz w:val="18"/>
                <w:lang w:val="fr-FR"/>
              </w:rPr>
              <w:t>subsistance pour les</w:t>
            </w:r>
            <w:r w:rsidR="00C53881">
              <w:rPr>
                <w:sz w:val="18"/>
                <w:lang w:val="fr-FR"/>
              </w:rPr>
              <w:t xml:space="preserve"> </w:t>
            </w:r>
            <w:r w:rsidRPr="008C179D">
              <w:rPr>
                <w:sz w:val="18"/>
                <w:lang w:val="fr-FR"/>
              </w:rPr>
              <w:t>membres du Comité et d</w:t>
            </w:r>
            <w:r w:rsidR="00457C42">
              <w:rPr>
                <w:sz w:val="18"/>
                <w:lang w:val="fr-FR"/>
              </w:rPr>
              <w:t>’</w:t>
            </w:r>
            <w:r w:rsidRPr="008C179D">
              <w:rPr>
                <w:sz w:val="18"/>
                <w:lang w:val="fr-FR"/>
              </w:rPr>
              <w:t>autres participants (4</w:t>
            </w:r>
            <w:r w:rsidR="001E2B88">
              <w:rPr>
                <w:sz w:val="18"/>
                <w:lang w:val="fr-FR"/>
              </w:rPr>
              <w:t> </w:t>
            </w:r>
            <w:r w:rsidRPr="008C179D">
              <w:rPr>
                <w:sz w:val="18"/>
                <w:lang w:val="fr-FR"/>
              </w:rPr>
              <w:t xml:space="preserve">réunions du Comité par an) et </w:t>
            </w:r>
            <w:r w:rsidRPr="004E6A92">
              <w:rPr>
                <w:sz w:val="18"/>
                <w:lang w:val="fr-FR"/>
              </w:rPr>
              <w:t xml:space="preserve">frais de voyage et indemnités </w:t>
            </w:r>
            <w:r w:rsidR="004E6A92">
              <w:rPr>
                <w:sz w:val="18"/>
                <w:lang w:val="fr-FR"/>
              </w:rPr>
              <w:t xml:space="preserve">journalières </w:t>
            </w:r>
            <w:r w:rsidRPr="004E6A92">
              <w:rPr>
                <w:sz w:val="18"/>
                <w:lang w:val="fr-FR"/>
              </w:rPr>
              <w:t>de</w:t>
            </w:r>
            <w:r w:rsidR="004E6A92">
              <w:rPr>
                <w:sz w:val="18"/>
                <w:lang w:val="fr-FR"/>
              </w:rPr>
              <w:t> </w:t>
            </w:r>
            <w:r w:rsidRPr="004E6A92">
              <w:rPr>
                <w:sz w:val="18"/>
                <w:lang w:val="fr-FR"/>
              </w:rPr>
              <w:t>subsistance</w:t>
            </w:r>
            <w:r w:rsidRPr="008C179D">
              <w:rPr>
                <w:sz w:val="18"/>
                <w:lang w:val="fr-FR"/>
              </w:rPr>
              <w:t xml:space="preserve"> pour le</w:t>
            </w:r>
            <w:r w:rsidR="004E6A92">
              <w:rPr>
                <w:sz w:val="18"/>
                <w:lang w:val="fr-FR"/>
              </w:rPr>
              <w:t> </w:t>
            </w:r>
            <w:r w:rsidRPr="008C179D">
              <w:rPr>
                <w:sz w:val="18"/>
                <w:lang w:val="fr-FR"/>
              </w:rPr>
              <w:t>Rapporteur</w:t>
            </w:r>
          </w:p>
        </w:tc>
        <w:tc>
          <w:tcPr>
            <w:tcW w:w="1260" w:type="dxa"/>
            <w:shd w:val="clear" w:color="auto" w:fill="auto"/>
            <w:hideMark/>
          </w:tcPr>
          <w:p w14:paraId="3BC3269B" w14:textId="77777777" w:rsidR="008C179D" w:rsidRPr="008C179D" w:rsidRDefault="008C179D" w:rsidP="00CB304C">
            <w:pPr>
              <w:suppressAutoHyphens w:val="0"/>
              <w:spacing w:before="40" w:after="40" w:line="220" w:lineRule="exact"/>
              <w:jc w:val="right"/>
              <w:rPr>
                <w:sz w:val="18"/>
              </w:rPr>
            </w:pPr>
            <w:r w:rsidRPr="008C179D">
              <w:rPr>
                <w:sz w:val="18"/>
                <w:lang w:val="fr-FR"/>
              </w:rPr>
              <w:t>103 800</w:t>
            </w:r>
          </w:p>
        </w:tc>
        <w:tc>
          <w:tcPr>
            <w:tcW w:w="789" w:type="dxa"/>
            <w:shd w:val="clear" w:color="auto" w:fill="auto"/>
            <w:hideMark/>
          </w:tcPr>
          <w:p w14:paraId="48ACE6B8"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2C1BF597" w14:textId="77777777" w:rsidR="008C179D" w:rsidRPr="008C179D" w:rsidRDefault="008C179D" w:rsidP="00CB304C">
            <w:pPr>
              <w:suppressAutoHyphens w:val="0"/>
              <w:spacing w:before="40" w:after="40" w:line="220" w:lineRule="exact"/>
              <w:jc w:val="right"/>
              <w:rPr>
                <w:sz w:val="18"/>
              </w:rPr>
            </w:pPr>
            <w:r w:rsidRPr="008C179D">
              <w:rPr>
                <w:sz w:val="18"/>
                <w:lang w:val="fr-FR"/>
              </w:rPr>
              <w:t>103 800</w:t>
            </w:r>
          </w:p>
        </w:tc>
        <w:tc>
          <w:tcPr>
            <w:tcW w:w="787" w:type="dxa"/>
            <w:shd w:val="clear" w:color="auto" w:fill="auto"/>
            <w:hideMark/>
          </w:tcPr>
          <w:p w14:paraId="47A9660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48BC72B6" w14:textId="77777777" w:rsidR="008C179D" w:rsidRPr="008C179D" w:rsidRDefault="008C179D" w:rsidP="00CB304C">
            <w:pPr>
              <w:suppressAutoHyphens w:val="0"/>
              <w:spacing w:before="40" w:after="40" w:line="220" w:lineRule="exact"/>
              <w:jc w:val="right"/>
              <w:rPr>
                <w:sz w:val="18"/>
              </w:rPr>
            </w:pPr>
            <w:r w:rsidRPr="008C179D">
              <w:rPr>
                <w:sz w:val="18"/>
                <w:lang w:val="fr-FR"/>
              </w:rPr>
              <w:t>103 800</w:t>
            </w:r>
          </w:p>
        </w:tc>
        <w:tc>
          <w:tcPr>
            <w:tcW w:w="787" w:type="dxa"/>
            <w:shd w:val="clear" w:color="auto" w:fill="auto"/>
            <w:hideMark/>
          </w:tcPr>
          <w:p w14:paraId="00898B3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37AF2B7A" w14:textId="77777777" w:rsidR="008C179D" w:rsidRPr="008C179D" w:rsidRDefault="008C179D" w:rsidP="00CB304C">
            <w:pPr>
              <w:suppressAutoHyphens w:val="0"/>
              <w:spacing w:before="40" w:after="40" w:line="220" w:lineRule="exact"/>
              <w:jc w:val="right"/>
              <w:rPr>
                <w:sz w:val="18"/>
              </w:rPr>
            </w:pPr>
            <w:r w:rsidRPr="008C179D">
              <w:rPr>
                <w:sz w:val="18"/>
                <w:lang w:val="fr-FR"/>
              </w:rPr>
              <w:t>103 800</w:t>
            </w:r>
          </w:p>
        </w:tc>
        <w:tc>
          <w:tcPr>
            <w:tcW w:w="787" w:type="dxa"/>
            <w:shd w:val="clear" w:color="auto" w:fill="auto"/>
            <w:hideMark/>
          </w:tcPr>
          <w:p w14:paraId="5623C76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35A4B44C" w14:textId="77777777" w:rsidR="008C179D" w:rsidRPr="008C179D" w:rsidRDefault="008C179D" w:rsidP="00CB304C">
            <w:pPr>
              <w:suppressAutoHyphens w:val="0"/>
              <w:spacing w:before="40" w:after="40" w:line="220" w:lineRule="exact"/>
              <w:jc w:val="right"/>
              <w:rPr>
                <w:sz w:val="18"/>
              </w:rPr>
            </w:pPr>
            <w:r w:rsidRPr="008C179D">
              <w:rPr>
                <w:sz w:val="18"/>
                <w:lang w:val="fr-FR"/>
              </w:rPr>
              <w:t>103 800</w:t>
            </w:r>
          </w:p>
        </w:tc>
        <w:tc>
          <w:tcPr>
            <w:tcW w:w="837" w:type="dxa"/>
            <w:shd w:val="clear" w:color="auto" w:fill="auto"/>
            <w:noWrap/>
            <w:hideMark/>
          </w:tcPr>
          <w:p w14:paraId="0AA59C35"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32CB0D4C" w14:textId="77777777" w:rsidTr="00CB304C">
        <w:trPr>
          <w:cantSplit/>
        </w:trPr>
        <w:tc>
          <w:tcPr>
            <w:tcW w:w="1276" w:type="dxa"/>
            <w:tcBorders>
              <w:bottom w:val="single" w:sz="4" w:space="0" w:color="auto"/>
            </w:tcBorders>
            <w:shd w:val="clear" w:color="auto" w:fill="auto"/>
            <w:hideMark/>
          </w:tcPr>
          <w:p w14:paraId="069E42D3" w14:textId="77777777" w:rsidR="008C179D" w:rsidRPr="008C179D" w:rsidRDefault="008C179D" w:rsidP="0082255A">
            <w:pPr>
              <w:keepNext/>
              <w:keepLines/>
              <w:suppressAutoHyphens w:val="0"/>
              <w:spacing w:before="40" w:after="40" w:line="220" w:lineRule="exact"/>
              <w:rPr>
                <w:sz w:val="18"/>
              </w:rPr>
            </w:pPr>
          </w:p>
        </w:tc>
        <w:tc>
          <w:tcPr>
            <w:tcW w:w="2179" w:type="dxa"/>
            <w:tcBorders>
              <w:bottom w:val="single" w:sz="4" w:space="0" w:color="auto"/>
            </w:tcBorders>
            <w:shd w:val="clear" w:color="auto" w:fill="auto"/>
            <w:vAlign w:val="bottom"/>
            <w:hideMark/>
          </w:tcPr>
          <w:p w14:paraId="00764CA8" w14:textId="77777777" w:rsidR="008C179D" w:rsidRPr="008C179D" w:rsidRDefault="008C179D" w:rsidP="0082255A">
            <w:pPr>
              <w:keepNext/>
              <w:keepLines/>
              <w:suppressAutoHyphens w:val="0"/>
              <w:spacing w:before="40" w:after="40" w:line="220" w:lineRule="exact"/>
              <w:ind w:left="57"/>
              <w:rPr>
                <w:sz w:val="18"/>
                <w:lang w:val="fr-FR"/>
              </w:rPr>
            </w:pPr>
            <w:r w:rsidRPr="008C179D">
              <w:rPr>
                <w:sz w:val="18"/>
                <w:lang w:val="fr-FR"/>
              </w:rPr>
              <w:t>Frais de voyage, indemnités journalières de subsistance (personnel en mission)</w:t>
            </w:r>
            <w:r w:rsidRPr="001E2B88">
              <w:rPr>
                <w:i/>
                <w:sz w:val="18"/>
                <w:vertAlign w:val="superscript"/>
                <w:lang w:val="fr-FR"/>
              </w:rPr>
              <w:t>e</w:t>
            </w:r>
          </w:p>
        </w:tc>
        <w:tc>
          <w:tcPr>
            <w:tcW w:w="1260" w:type="dxa"/>
            <w:tcBorders>
              <w:bottom w:val="single" w:sz="4" w:space="0" w:color="auto"/>
            </w:tcBorders>
            <w:shd w:val="clear" w:color="auto" w:fill="auto"/>
            <w:hideMark/>
          </w:tcPr>
          <w:p w14:paraId="55677EC1"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21 800</w:t>
            </w:r>
          </w:p>
        </w:tc>
        <w:tc>
          <w:tcPr>
            <w:tcW w:w="789" w:type="dxa"/>
            <w:tcBorders>
              <w:bottom w:val="single" w:sz="4" w:space="0" w:color="auto"/>
            </w:tcBorders>
            <w:shd w:val="clear" w:color="auto" w:fill="auto"/>
            <w:hideMark/>
          </w:tcPr>
          <w:p w14:paraId="7E769504"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263FBD21"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21 800</w:t>
            </w:r>
          </w:p>
        </w:tc>
        <w:tc>
          <w:tcPr>
            <w:tcW w:w="787" w:type="dxa"/>
            <w:tcBorders>
              <w:bottom w:val="single" w:sz="4" w:space="0" w:color="auto"/>
            </w:tcBorders>
            <w:shd w:val="clear" w:color="auto" w:fill="auto"/>
            <w:hideMark/>
          </w:tcPr>
          <w:p w14:paraId="76476C6F"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2D17C92C"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21 800</w:t>
            </w:r>
          </w:p>
        </w:tc>
        <w:tc>
          <w:tcPr>
            <w:tcW w:w="787" w:type="dxa"/>
            <w:tcBorders>
              <w:bottom w:val="single" w:sz="4" w:space="0" w:color="auto"/>
            </w:tcBorders>
            <w:shd w:val="clear" w:color="auto" w:fill="auto"/>
            <w:hideMark/>
          </w:tcPr>
          <w:p w14:paraId="048D77BA"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4236CCC6"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21 800</w:t>
            </w:r>
          </w:p>
        </w:tc>
        <w:tc>
          <w:tcPr>
            <w:tcW w:w="787" w:type="dxa"/>
            <w:tcBorders>
              <w:bottom w:val="single" w:sz="4" w:space="0" w:color="auto"/>
            </w:tcBorders>
            <w:shd w:val="clear" w:color="auto" w:fill="auto"/>
            <w:hideMark/>
          </w:tcPr>
          <w:p w14:paraId="4B5A963B"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344" w:type="dxa"/>
            <w:tcBorders>
              <w:bottom w:val="single" w:sz="4" w:space="0" w:color="auto"/>
            </w:tcBorders>
            <w:shd w:val="clear" w:color="auto" w:fill="auto"/>
            <w:noWrap/>
            <w:hideMark/>
          </w:tcPr>
          <w:p w14:paraId="6D422827"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21 800</w:t>
            </w:r>
          </w:p>
        </w:tc>
        <w:tc>
          <w:tcPr>
            <w:tcW w:w="837" w:type="dxa"/>
            <w:tcBorders>
              <w:bottom w:val="single" w:sz="4" w:space="0" w:color="auto"/>
            </w:tcBorders>
            <w:shd w:val="clear" w:color="auto" w:fill="auto"/>
            <w:hideMark/>
          </w:tcPr>
          <w:p w14:paraId="1E0B4E64"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r>
      <w:tr w:rsidR="008C179D" w:rsidRPr="001E2B88" w14:paraId="50E1A594" w14:textId="77777777" w:rsidTr="001E2B88">
        <w:tc>
          <w:tcPr>
            <w:tcW w:w="3455" w:type="dxa"/>
            <w:gridSpan w:val="2"/>
            <w:tcBorders>
              <w:top w:val="single" w:sz="4" w:space="0" w:color="auto"/>
              <w:bottom w:val="single" w:sz="4" w:space="0" w:color="auto"/>
            </w:tcBorders>
            <w:shd w:val="clear" w:color="auto" w:fill="auto"/>
            <w:hideMark/>
          </w:tcPr>
          <w:p w14:paraId="32C9F494" w14:textId="77777777" w:rsidR="008C179D" w:rsidRPr="00CB304C" w:rsidRDefault="008C179D" w:rsidP="00CB304C">
            <w:pPr>
              <w:suppressAutoHyphens w:val="0"/>
              <w:spacing w:before="80" w:after="60" w:line="220" w:lineRule="exact"/>
              <w:ind w:left="284"/>
              <w:rPr>
                <w:b/>
                <w:bCs/>
                <w:sz w:val="18"/>
              </w:rPr>
            </w:pPr>
            <w:r w:rsidRPr="00CB304C">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08B88EB0" w14:textId="77777777" w:rsidR="008C179D" w:rsidRPr="00CB304C" w:rsidRDefault="008C179D" w:rsidP="001E2B88">
            <w:pPr>
              <w:suppressAutoHyphens w:val="0"/>
              <w:spacing w:before="80" w:after="80" w:line="220" w:lineRule="exact"/>
              <w:jc w:val="right"/>
              <w:rPr>
                <w:b/>
                <w:bCs/>
                <w:sz w:val="18"/>
              </w:rPr>
            </w:pPr>
            <w:r w:rsidRPr="00CB304C">
              <w:rPr>
                <w:b/>
                <w:sz w:val="18"/>
                <w:lang w:val="fr-FR"/>
              </w:rPr>
              <w:t>554 600</w:t>
            </w:r>
          </w:p>
        </w:tc>
        <w:tc>
          <w:tcPr>
            <w:tcW w:w="789" w:type="dxa"/>
            <w:tcBorders>
              <w:top w:val="single" w:sz="4" w:space="0" w:color="auto"/>
              <w:bottom w:val="single" w:sz="4" w:space="0" w:color="auto"/>
            </w:tcBorders>
            <w:shd w:val="clear" w:color="auto" w:fill="auto"/>
            <w:vAlign w:val="bottom"/>
            <w:hideMark/>
          </w:tcPr>
          <w:p w14:paraId="2B469CE7" w14:textId="77777777" w:rsidR="008C179D" w:rsidRPr="00CB304C" w:rsidRDefault="008C673D" w:rsidP="001E2B88">
            <w:pPr>
              <w:suppressAutoHyphens w:val="0"/>
              <w:spacing w:before="80" w:after="80" w:line="220" w:lineRule="exact"/>
              <w:jc w:val="right"/>
              <w:rPr>
                <w:b/>
                <w:sz w:val="18"/>
              </w:rPr>
            </w:pPr>
            <w:r w:rsidRPr="00CB304C">
              <w:rPr>
                <w:b/>
                <w:sz w:val="18"/>
                <w:lang w:val="fr-FR"/>
              </w:rPr>
              <w:t>−</w:t>
            </w:r>
          </w:p>
        </w:tc>
        <w:tc>
          <w:tcPr>
            <w:tcW w:w="1244" w:type="dxa"/>
            <w:tcBorders>
              <w:top w:val="single" w:sz="4" w:space="0" w:color="auto"/>
              <w:bottom w:val="single" w:sz="4" w:space="0" w:color="auto"/>
            </w:tcBorders>
            <w:shd w:val="clear" w:color="auto" w:fill="auto"/>
            <w:vAlign w:val="bottom"/>
            <w:hideMark/>
          </w:tcPr>
          <w:p w14:paraId="4EFE0EC7" w14:textId="77777777" w:rsidR="008C179D" w:rsidRPr="00CB304C" w:rsidRDefault="008C179D" w:rsidP="001E2B88">
            <w:pPr>
              <w:suppressAutoHyphens w:val="0"/>
              <w:spacing w:before="80" w:after="80" w:line="220" w:lineRule="exact"/>
              <w:jc w:val="right"/>
              <w:rPr>
                <w:b/>
                <w:bCs/>
                <w:sz w:val="18"/>
              </w:rPr>
            </w:pPr>
            <w:r w:rsidRPr="00CB304C">
              <w:rPr>
                <w:b/>
                <w:sz w:val="18"/>
                <w:lang w:val="fr-FR"/>
              </w:rPr>
              <w:t>554 600</w:t>
            </w:r>
          </w:p>
        </w:tc>
        <w:tc>
          <w:tcPr>
            <w:tcW w:w="787" w:type="dxa"/>
            <w:tcBorders>
              <w:top w:val="single" w:sz="4" w:space="0" w:color="auto"/>
              <w:bottom w:val="single" w:sz="4" w:space="0" w:color="auto"/>
            </w:tcBorders>
            <w:shd w:val="clear" w:color="auto" w:fill="auto"/>
            <w:vAlign w:val="bottom"/>
            <w:hideMark/>
          </w:tcPr>
          <w:p w14:paraId="0389BF5D" w14:textId="77777777" w:rsidR="008C179D" w:rsidRPr="00CB304C" w:rsidRDefault="008C673D" w:rsidP="001E2B88">
            <w:pPr>
              <w:suppressAutoHyphens w:val="0"/>
              <w:spacing w:before="80" w:after="80" w:line="220" w:lineRule="exact"/>
              <w:jc w:val="right"/>
              <w:rPr>
                <w:b/>
                <w:sz w:val="18"/>
              </w:rPr>
            </w:pPr>
            <w:r w:rsidRPr="00CB304C">
              <w:rPr>
                <w:b/>
                <w:sz w:val="18"/>
                <w:lang w:val="fr-FR"/>
              </w:rPr>
              <w:t>−</w:t>
            </w:r>
          </w:p>
        </w:tc>
        <w:tc>
          <w:tcPr>
            <w:tcW w:w="1244" w:type="dxa"/>
            <w:tcBorders>
              <w:top w:val="single" w:sz="4" w:space="0" w:color="auto"/>
              <w:bottom w:val="single" w:sz="4" w:space="0" w:color="auto"/>
            </w:tcBorders>
            <w:shd w:val="clear" w:color="auto" w:fill="auto"/>
            <w:vAlign w:val="bottom"/>
            <w:hideMark/>
          </w:tcPr>
          <w:p w14:paraId="567F08CF" w14:textId="77777777" w:rsidR="008C179D" w:rsidRPr="00CB304C" w:rsidRDefault="008C179D" w:rsidP="001E2B88">
            <w:pPr>
              <w:suppressAutoHyphens w:val="0"/>
              <w:spacing w:before="80" w:after="80" w:line="220" w:lineRule="exact"/>
              <w:jc w:val="right"/>
              <w:rPr>
                <w:b/>
                <w:bCs/>
                <w:sz w:val="18"/>
              </w:rPr>
            </w:pPr>
            <w:r w:rsidRPr="00CB304C">
              <w:rPr>
                <w:b/>
                <w:sz w:val="18"/>
                <w:lang w:val="fr-FR"/>
              </w:rPr>
              <w:t>554 600</w:t>
            </w:r>
          </w:p>
        </w:tc>
        <w:tc>
          <w:tcPr>
            <w:tcW w:w="787" w:type="dxa"/>
            <w:tcBorders>
              <w:top w:val="single" w:sz="4" w:space="0" w:color="auto"/>
              <w:bottom w:val="single" w:sz="4" w:space="0" w:color="auto"/>
            </w:tcBorders>
            <w:shd w:val="clear" w:color="auto" w:fill="auto"/>
            <w:noWrap/>
            <w:vAlign w:val="bottom"/>
            <w:hideMark/>
          </w:tcPr>
          <w:p w14:paraId="6281C59D" w14:textId="77777777" w:rsidR="008C179D" w:rsidRPr="00CB304C" w:rsidRDefault="008C673D" w:rsidP="001E2B88">
            <w:pPr>
              <w:suppressAutoHyphens w:val="0"/>
              <w:spacing w:before="80" w:after="80" w:line="220" w:lineRule="exact"/>
              <w:jc w:val="right"/>
              <w:rPr>
                <w:b/>
                <w:sz w:val="18"/>
              </w:rPr>
            </w:pPr>
            <w:r w:rsidRPr="00CB304C">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2786FEC3" w14:textId="77777777" w:rsidR="008C179D" w:rsidRPr="00CB304C" w:rsidRDefault="008C179D" w:rsidP="001E2B88">
            <w:pPr>
              <w:suppressAutoHyphens w:val="0"/>
              <w:spacing w:before="80" w:after="80" w:line="220" w:lineRule="exact"/>
              <w:jc w:val="right"/>
              <w:rPr>
                <w:b/>
                <w:bCs/>
                <w:sz w:val="18"/>
              </w:rPr>
            </w:pPr>
            <w:r w:rsidRPr="00CB304C">
              <w:rPr>
                <w:b/>
                <w:sz w:val="18"/>
                <w:lang w:val="fr-FR"/>
              </w:rPr>
              <w:t>554 600</w:t>
            </w:r>
          </w:p>
        </w:tc>
        <w:tc>
          <w:tcPr>
            <w:tcW w:w="787" w:type="dxa"/>
            <w:tcBorders>
              <w:top w:val="single" w:sz="4" w:space="0" w:color="auto"/>
              <w:bottom w:val="single" w:sz="4" w:space="0" w:color="auto"/>
            </w:tcBorders>
            <w:shd w:val="clear" w:color="auto" w:fill="auto"/>
            <w:noWrap/>
            <w:vAlign w:val="bottom"/>
            <w:hideMark/>
          </w:tcPr>
          <w:p w14:paraId="00E859CF" w14:textId="77777777" w:rsidR="008C179D" w:rsidRPr="00CB304C" w:rsidRDefault="008C673D" w:rsidP="001E2B88">
            <w:pPr>
              <w:suppressAutoHyphens w:val="0"/>
              <w:spacing w:before="80" w:after="80" w:line="220" w:lineRule="exact"/>
              <w:jc w:val="right"/>
              <w:rPr>
                <w:b/>
                <w:sz w:val="18"/>
              </w:rPr>
            </w:pPr>
            <w:r w:rsidRPr="00CB304C">
              <w:rPr>
                <w:b/>
                <w:sz w:val="18"/>
                <w:lang w:val="fr-FR"/>
              </w:rPr>
              <w:t>−</w:t>
            </w:r>
          </w:p>
        </w:tc>
        <w:tc>
          <w:tcPr>
            <w:tcW w:w="1344" w:type="dxa"/>
            <w:tcBorders>
              <w:top w:val="single" w:sz="4" w:space="0" w:color="auto"/>
              <w:bottom w:val="single" w:sz="4" w:space="0" w:color="auto"/>
            </w:tcBorders>
            <w:shd w:val="clear" w:color="auto" w:fill="auto"/>
            <w:noWrap/>
            <w:vAlign w:val="bottom"/>
            <w:hideMark/>
          </w:tcPr>
          <w:p w14:paraId="6CC9FAF1" w14:textId="77777777" w:rsidR="008C179D" w:rsidRPr="00CB304C" w:rsidRDefault="008C179D" w:rsidP="001E2B88">
            <w:pPr>
              <w:suppressAutoHyphens w:val="0"/>
              <w:spacing w:before="80" w:after="80" w:line="220" w:lineRule="exact"/>
              <w:jc w:val="right"/>
              <w:rPr>
                <w:b/>
                <w:bCs/>
                <w:sz w:val="18"/>
              </w:rPr>
            </w:pPr>
            <w:r w:rsidRPr="00CB304C">
              <w:rPr>
                <w:b/>
                <w:sz w:val="18"/>
                <w:lang w:val="fr-FR"/>
              </w:rPr>
              <w:t>554 600</w:t>
            </w:r>
          </w:p>
        </w:tc>
        <w:tc>
          <w:tcPr>
            <w:tcW w:w="837" w:type="dxa"/>
            <w:tcBorders>
              <w:top w:val="single" w:sz="4" w:space="0" w:color="auto"/>
              <w:bottom w:val="single" w:sz="4" w:space="0" w:color="auto"/>
            </w:tcBorders>
            <w:shd w:val="clear" w:color="auto" w:fill="auto"/>
            <w:noWrap/>
            <w:vAlign w:val="bottom"/>
            <w:hideMark/>
          </w:tcPr>
          <w:p w14:paraId="1BACD7DB" w14:textId="77777777" w:rsidR="008C179D" w:rsidRPr="00CB304C" w:rsidRDefault="008C673D" w:rsidP="001E2B88">
            <w:pPr>
              <w:suppressAutoHyphens w:val="0"/>
              <w:spacing w:before="80" w:after="80" w:line="220" w:lineRule="exact"/>
              <w:jc w:val="right"/>
              <w:rPr>
                <w:b/>
                <w:sz w:val="18"/>
              </w:rPr>
            </w:pPr>
            <w:r w:rsidRPr="00CB304C">
              <w:rPr>
                <w:b/>
                <w:sz w:val="18"/>
                <w:lang w:val="fr-FR"/>
              </w:rPr>
              <w:t>−</w:t>
            </w:r>
          </w:p>
        </w:tc>
      </w:tr>
      <w:tr w:rsidR="008C179D" w:rsidRPr="008C179D" w14:paraId="3DA1E016" w14:textId="77777777" w:rsidTr="00CB304C">
        <w:tc>
          <w:tcPr>
            <w:tcW w:w="1276" w:type="dxa"/>
            <w:vMerge w:val="restart"/>
            <w:tcBorders>
              <w:top w:val="single" w:sz="4" w:space="0" w:color="auto"/>
            </w:tcBorders>
            <w:shd w:val="clear" w:color="auto" w:fill="auto"/>
            <w:hideMark/>
          </w:tcPr>
          <w:p w14:paraId="7B9A015E" w14:textId="77777777" w:rsidR="008C179D" w:rsidRPr="008C179D" w:rsidRDefault="008C179D" w:rsidP="008C179D">
            <w:pPr>
              <w:suppressAutoHyphens w:val="0"/>
              <w:spacing w:before="40" w:after="40" w:line="220" w:lineRule="exact"/>
              <w:rPr>
                <w:sz w:val="18"/>
              </w:rPr>
            </w:pPr>
            <w:r w:rsidRPr="008C179D">
              <w:rPr>
                <w:sz w:val="18"/>
                <w:lang w:val="fr-FR"/>
              </w:rPr>
              <w:t xml:space="preserve">VI. Renforcement des </w:t>
            </w:r>
            <w:proofErr w:type="spellStart"/>
            <w:r w:rsidRPr="008C179D">
              <w:rPr>
                <w:sz w:val="18"/>
                <w:lang w:val="fr-FR"/>
              </w:rPr>
              <w:t>capacités</w:t>
            </w:r>
            <w:r w:rsidRPr="001E2B88">
              <w:rPr>
                <w:i/>
                <w:sz w:val="18"/>
                <w:vertAlign w:val="superscript"/>
                <w:lang w:val="fr-FR"/>
              </w:rPr>
              <w:t>f</w:t>
            </w:r>
            <w:proofErr w:type="spellEnd"/>
          </w:p>
        </w:tc>
        <w:tc>
          <w:tcPr>
            <w:tcW w:w="2179" w:type="dxa"/>
            <w:tcBorders>
              <w:top w:val="single" w:sz="4" w:space="0" w:color="auto"/>
            </w:tcBorders>
            <w:shd w:val="clear" w:color="auto" w:fill="auto"/>
            <w:vAlign w:val="bottom"/>
            <w:hideMark/>
          </w:tcPr>
          <w:p w14:paraId="5E3374D9"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Administrateurs</w:t>
            </w:r>
            <w:r w:rsidRPr="001E2B88">
              <w:rPr>
                <w:i/>
                <w:sz w:val="18"/>
                <w:vertAlign w:val="superscript"/>
                <w:lang w:val="fr-FR"/>
              </w:rPr>
              <w:t>c</w:t>
            </w:r>
            <w:proofErr w:type="spellEnd"/>
            <w:r w:rsidRPr="008C179D">
              <w:rPr>
                <w:sz w:val="18"/>
                <w:lang w:val="fr-FR"/>
              </w:rPr>
              <w:t> : 1</w:t>
            </w:r>
            <w:r w:rsidR="001E2B88">
              <w:rPr>
                <w:sz w:val="18"/>
                <w:lang w:val="fr-FR"/>
              </w:rPr>
              <w:t> </w:t>
            </w:r>
            <w:r w:rsidRPr="008C179D">
              <w:rPr>
                <w:sz w:val="18"/>
                <w:lang w:val="fr-FR"/>
              </w:rPr>
              <w:t>fonctionnaire P-3 à 20 % d</w:t>
            </w:r>
            <w:r w:rsidR="00457C42">
              <w:rPr>
                <w:sz w:val="18"/>
                <w:lang w:val="fr-FR"/>
              </w:rPr>
              <w:t>’</w:t>
            </w:r>
            <w:r w:rsidRPr="008C179D">
              <w:rPr>
                <w:sz w:val="18"/>
                <w:lang w:val="fr-FR"/>
              </w:rPr>
              <w:t>EPT, 1 fonctionnaire P-3 à</w:t>
            </w:r>
            <w:r w:rsidR="004B5468">
              <w:rPr>
                <w:sz w:val="18"/>
                <w:lang w:val="fr-FR"/>
              </w:rPr>
              <w:t> </w:t>
            </w:r>
            <w:r w:rsidRPr="008C179D">
              <w:rPr>
                <w:sz w:val="18"/>
                <w:lang w:val="fr-FR"/>
              </w:rPr>
              <w:t>40 % d</w:t>
            </w:r>
            <w:r w:rsidR="00457C42">
              <w:rPr>
                <w:sz w:val="18"/>
                <w:lang w:val="fr-FR"/>
              </w:rPr>
              <w:t>’</w:t>
            </w:r>
            <w:r w:rsidRPr="008C179D">
              <w:rPr>
                <w:sz w:val="18"/>
                <w:lang w:val="fr-FR"/>
              </w:rPr>
              <w:t>EPT et 1</w:t>
            </w:r>
            <w:r w:rsidR="00CB304C">
              <w:rPr>
                <w:sz w:val="18"/>
                <w:lang w:val="fr-FR"/>
              </w:rPr>
              <w:t> </w:t>
            </w:r>
            <w:r w:rsidRPr="008C179D">
              <w:rPr>
                <w:sz w:val="18"/>
                <w:lang w:val="fr-FR"/>
              </w:rPr>
              <w:t>fonctionnaire P-2 à 50 %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771692DA" w14:textId="77777777" w:rsidR="008C179D" w:rsidRPr="008C179D" w:rsidRDefault="008C179D" w:rsidP="00CB304C">
            <w:pPr>
              <w:suppressAutoHyphens w:val="0"/>
              <w:spacing w:before="40" w:after="40" w:line="220" w:lineRule="exact"/>
              <w:jc w:val="right"/>
              <w:rPr>
                <w:sz w:val="18"/>
              </w:rPr>
            </w:pPr>
            <w:r w:rsidRPr="008C179D">
              <w:rPr>
                <w:sz w:val="18"/>
                <w:lang w:val="fr-FR"/>
              </w:rPr>
              <w:t>168 000</w:t>
            </w:r>
          </w:p>
        </w:tc>
        <w:tc>
          <w:tcPr>
            <w:tcW w:w="789" w:type="dxa"/>
            <w:tcBorders>
              <w:top w:val="single" w:sz="4" w:space="0" w:color="auto"/>
            </w:tcBorders>
            <w:shd w:val="clear" w:color="auto" w:fill="auto"/>
            <w:hideMark/>
          </w:tcPr>
          <w:p w14:paraId="380CB639"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5AB77A74" w14:textId="77777777" w:rsidR="008C179D" w:rsidRPr="008C179D" w:rsidRDefault="008C179D" w:rsidP="00CB304C">
            <w:pPr>
              <w:suppressAutoHyphens w:val="0"/>
              <w:spacing w:before="40" w:after="40" w:line="220" w:lineRule="exact"/>
              <w:jc w:val="right"/>
              <w:rPr>
                <w:sz w:val="18"/>
              </w:rPr>
            </w:pPr>
            <w:r w:rsidRPr="008C179D">
              <w:rPr>
                <w:sz w:val="18"/>
                <w:lang w:val="fr-FR"/>
              </w:rPr>
              <w:t>168 000</w:t>
            </w:r>
          </w:p>
        </w:tc>
        <w:tc>
          <w:tcPr>
            <w:tcW w:w="787" w:type="dxa"/>
            <w:tcBorders>
              <w:top w:val="single" w:sz="4" w:space="0" w:color="auto"/>
            </w:tcBorders>
            <w:shd w:val="clear" w:color="auto" w:fill="auto"/>
            <w:hideMark/>
          </w:tcPr>
          <w:p w14:paraId="4BE1947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280ABC9B" w14:textId="77777777" w:rsidR="008C179D" w:rsidRPr="008C179D" w:rsidRDefault="008C179D" w:rsidP="00CB304C">
            <w:pPr>
              <w:suppressAutoHyphens w:val="0"/>
              <w:spacing w:before="40" w:after="40" w:line="220" w:lineRule="exact"/>
              <w:jc w:val="right"/>
              <w:rPr>
                <w:sz w:val="18"/>
              </w:rPr>
            </w:pPr>
            <w:r w:rsidRPr="008C179D">
              <w:rPr>
                <w:sz w:val="18"/>
                <w:lang w:val="fr-FR"/>
              </w:rPr>
              <w:t>168 000</w:t>
            </w:r>
          </w:p>
        </w:tc>
        <w:tc>
          <w:tcPr>
            <w:tcW w:w="787" w:type="dxa"/>
            <w:tcBorders>
              <w:top w:val="single" w:sz="4" w:space="0" w:color="auto"/>
            </w:tcBorders>
            <w:shd w:val="clear" w:color="auto" w:fill="auto"/>
            <w:hideMark/>
          </w:tcPr>
          <w:p w14:paraId="3EF2527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71515B24" w14:textId="77777777" w:rsidR="008C179D" w:rsidRPr="008C179D" w:rsidRDefault="008C179D" w:rsidP="00CB304C">
            <w:pPr>
              <w:suppressAutoHyphens w:val="0"/>
              <w:spacing w:before="40" w:after="40" w:line="220" w:lineRule="exact"/>
              <w:jc w:val="right"/>
              <w:rPr>
                <w:sz w:val="18"/>
              </w:rPr>
            </w:pPr>
            <w:r w:rsidRPr="008C179D">
              <w:rPr>
                <w:sz w:val="18"/>
                <w:lang w:val="fr-FR"/>
              </w:rPr>
              <w:t>168 000</w:t>
            </w:r>
          </w:p>
        </w:tc>
        <w:tc>
          <w:tcPr>
            <w:tcW w:w="787" w:type="dxa"/>
            <w:tcBorders>
              <w:top w:val="single" w:sz="4" w:space="0" w:color="auto"/>
            </w:tcBorders>
            <w:shd w:val="clear" w:color="auto" w:fill="auto"/>
            <w:hideMark/>
          </w:tcPr>
          <w:p w14:paraId="592266B8"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17CB7764" w14:textId="77777777" w:rsidR="008C179D" w:rsidRPr="008C179D" w:rsidRDefault="008C179D" w:rsidP="00CB304C">
            <w:pPr>
              <w:suppressAutoHyphens w:val="0"/>
              <w:spacing w:before="40" w:after="40" w:line="220" w:lineRule="exact"/>
              <w:jc w:val="right"/>
              <w:rPr>
                <w:sz w:val="18"/>
              </w:rPr>
            </w:pPr>
            <w:r w:rsidRPr="008C179D">
              <w:rPr>
                <w:sz w:val="18"/>
                <w:lang w:val="fr-FR"/>
              </w:rPr>
              <w:t>168 000</w:t>
            </w:r>
          </w:p>
        </w:tc>
        <w:tc>
          <w:tcPr>
            <w:tcW w:w="837" w:type="dxa"/>
            <w:tcBorders>
              <w:top w:val="single" w:sz="4" w:space="0" w:color="auto"/>
            </w:tcBorders>
            <w:shd w:val="clear" w:color="auto" w:fill="auto"/>
            <w:hideMark/>
          </w:tcPr>
          <w:p w14:paraId="73AFE2EF"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5009BD0D" w14:textId="77777777" w:rsidTr="00CB304C">
        <w:tc>
          <w:tcPr>
            <w:tcW w:w="1276" w:type="dxa"/>
            <w:vMerge/>
            <w:shd w:val="clear" w:color="auto" w:fill="auto"/>
            <w:hideMark/>
          </w:tcPr>
          <w:p w14:paraId="061E902D"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5D8DBC34"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(activités de renforcement des capacités, matériels et études, par exemple)</w:t>
            </w:r>
          </w:p>
        </w:tc>
        <w:tc>
          <w:tcPr>
            <w:tcW w:w="1260" w:type="dxa"/>
            <w:shd w:val="clear" w:color="auto" w:fill="auto"/>
            <w:hideMark/>
          </w:tcPr>
          <w:p w14:paraId="2179F707"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9" w:type="dxa"/>
            <w:shd w:val="clear" w:color="auto" w:fill="auto"/>
            <w:hideMark/>
          </w:tcPr>
          <w:p w14:paraId="5F067CBE"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244" w:type="dxa"/>
            <w:shd w:val="clear" w:color="auto" w:fill="auto"/>
            <w:noWrap/>
            <w:hideMark/>
          </w:tcPr>
          <w:p w14:paraId="16EC5D84"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shd w:val="clear" w:color="auto" w:fill="auto"/>
            <w:noWrap/>
            <w:hideMark/>
          </w:tcPr>
          <w:p w14:paraId="04CC584A"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244" w:type="dxa"/>
            <w:shd w:val="clear" w:color="auto" w:fill="auto"/>
            <w:noWrap/>
            <w:hideMark/>
          </w:tcPr>
          <w:p w14:paraId="2E63BF5D"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shd w:val="clear" w:color="auto" w:fill="auto"/>
            <w:noWrap/>
            <w:hideMark/>
          </w:tcPr>
          <w:p w14:paraId="43B11A44"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244" w:type="dxa"/>
            <w:shd w:val="clear" w:color="auto" w:fill="auto"/>
            <w:noWrap/>
            <w:hideMark/>
          </w:tcPr>
          <w:p w14:paraId="7C49877A"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shd w:val="clear" w:color="auto" w:fill="auto"/>
            <w:noWrap/>
            <w:hideMark/>
          </w:tcPr>
          <w:p w14:paraId="2BDF5F4A"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1344" w:type="dxa"/>
            <w:shd w:val="clear" w:color="auto" w:fill="auto"/>
            <w:noWrap/>
            <w:hideMark/>
          </w:tcPr>
          <w:p w14:paraId="3357590C"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837" w:type="dxa"/>
            <w:shd w:val="clear" w:color="auto" w:fill="auto"/>
            <w:noWrap/>
            <w:hideMark/>
          </w:tcPr>
          <w:p w14:paraId="38FFFFEB"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r>
      <w:tr w:rsidR="008C179D" w:rsidRPr="008C179D" w14:paraId="484F202B" w14:textId="77777777" w:rsidTr="00CB304C">
        <w:tc>
          <w:tcPr>
            <w:tcW w:w="1276" w:type="dxa"/>
            <w:shd w:val="clear" w:color="auto" w:fill="auto"/>
            <w:hideMark/>
          </w:tcPr>
          <w:p w14:paraId="20A67E08"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2E3DB85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pour les</w:t>
            </w:r>
            <w:r w:rsidR="00C53881">
              <w:rPr>
                <w:sz w:val="18"/>
                <w:lang w:val="fr-FR"/>
              </w:rPr>
              <w:t xml:space="preserve"> </w:t>
            </w:r>
            <w:r w:rsidRPr="008C179D">
              <w:rPr>
                <w:sz w:val="18"/>
                <w:lang w:val="fr-FR"/>
              </w:rPr>
              <w:t>experts qui y ont droit (réunion annuelle des partenaires du renforcement des capacités et activités de renforcement des capacités, par exemple)</w:t>
            </w:r>
          </w:p>
        </w:tc>
        <w:tc>
          <w:tcPr>
            <w:tcW w:w="1260" w:type="dxa"/>
            <w:shd w:val="clear" w:color="auto" w:fill="auto"/>
            <w:hideMark/>
          </w:tcPr>
          <w:p w14:paraId="10D6E896"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9" w:type="dxa"/>
            <w:shd w:val="clear" w:color="auto" w:fill="auto"/>
            <w:hideMark/>
          </w:tcPr>
          <w:p w14:paraId="1FA56E54" w14:textId="77777777" w:rsidR="008C179D" w:rsidRPr="008C179D" w:rsidRDefault="008C179D" w:rsidP="00CB304C">
            <w:pPr>
              <w:suppressAutoHyphens w:val="0"/>
              <w:spacing w:before="40" w:after="40" w:line="220" w:lineRule="exact"/>
              <w:jc w:val="right"/>
              <w:rPr>
                <w:sz w:val="18"/>
              </w:rPr>
            </w:pPr>
            <w:r w:rsidRPr="008C179D">
              <w:rPr>
                <w:sz w:val="18"/>
                <w:lang w:val="fr-FR"/>
              </w:rPr>
              <w:t>3 800</w:t>
            </w:r>
          </w:p>
        </w:tc>
        <w:tc>
          <w:tcPr>
            <w:tcW w:w="1244" w:type="dxa"/>
            <w:shd w:val="clear" w:color="auto" w:fill="auto"/>
            <w:noWrap/>
            <w:hideMark/>
          </w:tcPr>
          <w:p w14:paraId="288649F5"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shd w:val="clear" w:color="auto" w:fill="auto"/>
            <w:noWrap/>
            <w:hideMark/>
          </w:tcPr>
          <w:p w14:paraId="42D013BF" w14:textId="77777777" w:rsidR="008C179D" w:rsidRPr="008C179D" w:rsidRDefault="008C179D" w:rsidP="00CB304C">
            <w:pPr>
              <w:suppressAutoHyphens w:val="0"/>
              <w:spacing w:before="40" w:after="40" w:line="220" w:lineRule="exact"/>
              <w:jc w:val="right"/>
              <w:rPr>
                <w:sz w:val="18"/>
              </w:rPr>
            </w:pPr>
            <w:r w:rsidRPr="008C179D">
              <w:rPr>
                <w:sz w:val="18"/>
                <w:lang w:val="fr-FR"/>
              </w:rPr>
              <w:t>3 800</w:t>
            </w:r>
          </w:p>
        </w:tc>
        <w:tc>
          <w:tcPr>
            <w:tcW w:w="1244" w:type="dxa"/>
            <w:shd w:val="clear" w:color="auto" w:fill="auto"/>
            <w:noWrap/>
            <w:hideMark/>
          </w:tcPr>
          <w:p w14:paraId="439254C3"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shd w:val="clear" w:color="auto" w:fill="auto"/>
            <w:noWrap/>
            <w:hideMark/>
          </w:tcPr>
          <w:p w14:paraId="5FCA9687" w14:textId="77777777" w:rsidR="008C179D" w:rsidRPr="008C179D" w:rsidRDefault="008C179D" w:rsidP="00CB304C">
            <w:pPr>
              <w:suppressAutoHyphens w:val="0"/>
              <w:spacing w:before="40" w:after="40" w:line="220" w:lineRule="exact"/>
              <w:jc w:val="right"/>
              <w:rPr>
                <w:sz w:val="18"/>
              </w:rPr>
            </w:pPr>
            <w:r w:rsidRPr="008C179D">
              <w:rPr>
                <w:sz w:val="18"/>
                <w:lang w:val="fr-FR"/>
              </w:rPr>
              <w:t>3 800</w:t>
            </w:r>
          </w:p>
        </w:tc>
        <w:tc>
          <w:tcPr>
            <w:tcW w:w="1244" w:type="dxa"/>
            <w:shd w:val="clear" w:color="auto" w:fill="auto"/>
            <w:noWrap/>
            <w:hideMark/>
          </w:tcPr>
          <w:p w14:paraId="79FDA323"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shd w:val="clear" w:color="auto" w:fill="auto"/>
            <w:noWrap/>
            <w:hideMark/>
          </w:tcPr>
          <w:p w14:paraId="12687DB6" w14:textId="77777777" w:rsidR="008C179D" w:rsidRPr="008C179D" w:rsidRDefault="008C179D" w:rsidP="00CB304C">
            <w:pPr>
              <w:suppressAutoHyphens w:val="0"/>
              <w:spacing w:before="40" w:after="40" w:line="220" w:lineRule="exact"/>
              <w:jc w:val="right"/>
              <w:rPr>
                <w:sz w:val="18"/>
              </w:rPr>
            </w:pPr>
            <w:r w:rsidRPr="008C179D">
              <w:rPr>
                <w:sz w:val="18"/>
                <w:lang w:val="fr-FR"/>
              </w:rPr>
              <w:t>3 800</w:t>
            </w:r>
          </w:p>
        </w:tc>
        <w:tc>
          <w:tcPr>
            <w:tcW w:w="1344" w:type="dxa"/>
            <w:shd w:val="clear" w:color="auto" w:fill="auto"/>
            <w:noWrap/>
            <w:hideMark/>
          </w:tcPr>
          <w:p w14:paraId="4DAB7CAB"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837" w:type="dxa"/>
            <w:shd w:val="clear" w:color="auto" w:fill="auto"/>
            <w:noWrap/>
            <w:hideMark/>
          </w:tcPr>
          <w:p w14:paraId="46DA85E3" w14:textId="77777777" w:rsidR="008C179D" w:rsidRPr="008C179D" w:rsidRDefault="008C179D" w:rsidP="00CB304C">
            <w:pPr>
              <w:suppressAutoHyphens w:val="0"/>
              <w:spacing w:before="40" w:after="40" w:line="220" w:lineRule="exact"/>
              <w:jc w:val="right"/>
              <w:rPr>
                <w:sz w:val="18"/>
              </w:rPr>
            </w:pPr>
            <w:r w:rsidRPr="008C179D">
              <w:rPr>
                <w:sz w:val="18"/>
                <w:lang w:val="fr-FR"/>
              </w:rPr>
              <w:t>3 800</w:t>
            </w:r>
          </w:p>
        </w:tc>
      </w:tr>
      <w:tr w:rsidR="008C179D" w:rsidRPr="008C179D" w14:paraId="162913AC" w14:textId="77777777" w:rsidTr="00CB304C">
        <w:tc>
          <w:tcPr>
            <w:tcW w:w="1276" w:type="dxa"/>
            <w:tcBorders>
              <w:bottom w:val="single" w:sz="4" w:space="0" w:color="auto"/>
            </w:tcBorders>
            <w:shd w:val="clear" w:color="auto" w:fill="auto"/>
            <w:hideMark/>
          </w:tcPr>
          <w:p w14:paraId="1E91EF22" w14:textId="77777777" w:rsidR="008C179D" w:rsidRPr="008C179D" w:rsidRDefault="008C179D" w:rsidP="008C179D">
            <w:pPr>
              <w:suppressAutoHyphens w:val="0"/>
              <w:spacing w:before="40" w:after="40" w:line="220" w:lineRule="exact"/>
              <w:rPr>
                <w:sz w:val="18"/>
              </w:rPr>
            </w:pPr>
          </w:p>
        </w:tc>
        <w:tc>
          <w:tcPr>
            <w:tcW w:w="2179" w:type="dxa"/>
            <w:tcBorders>
              <w:bottom w:val="single" w:sz="4" w:space="0" w:color="auto"/>
            </w:tcBorders>
            <w:shd w:val="clear" w:color="auto" w:fill="auto"/>
            <w:vAlign w:val="bottom"/>
            <w:hideMark/>
          </w:tcPr>
          <w:p w14:paraId="5F8FB933"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indemnités journalières de subsistance (personnel en mission)</w:t>
            </w:r>
            <w:r w:rsidRPr="004B5468">
              <w:rPr>
                <w:i/>
                <w:sz w:val="18"/>
                <w:vertAlign w:val="superscript"/>
                <w:lang w:val="fr-FR"/>
              </w:rPr>
              <w:t>d</w:t>
            </w:r>
          </w:p>
        </w:tc>
        <w:tc>
          <w:tcPr>
            <w:tcW w:w="1260" w:type="dxa"/>
            <w:tcBorders>
              <w:bottom w:val="single" w:sz="4" w:space="0" w:color="auto"/>
            </w:tcBorders>
            <w:shd w:val="clear" w:color="auto" w:fill="auto"/>
            <w:hideMark/>
          </w:tcPr>
          <w:p w14:paraId="27C0CF2B"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9" w:type="dxa"/>
            <w:tcBorders>
              <w:bottom w:val="single" w:sz="4" w:space="0" w:color="auto"/>
            </w:tcBorders>
            <w:shd w:val="clear" w:color="auto" w:fill="auto"/>
            <w:hideMark/>
          </w:tcPr>
          <w:p w14:paraId="2AD85ED8" w14:textId="77777777" w:rsidR="008C179D" w:rsidRPr="008C179D" w:rsidRDefault="008C179D" w:rsidP="00CB304C">
            <w:pPr>
              <w:suppressAutoHyphens w:val="0"/>
              <w:spacing w:before="40" w:after="40" w:line="220" w:lineRule="exact"/>
              <w:jc w:val="right"/>
              <w:rPr>
                <w:sz w:val="18"/>
              </w:rPr>
            </w:pPr>
            <w:r w:rsidRPr="008C179D">
              <w:rPr>
                <w:sz w:val="18"/>
                <w:lang w:val="fr-FR"/>
              </w:rPr>
              <w:t>8 200</w:t>
            </w:r>
          </w:p>
        </w:tc>
        <w:tc>
          <w:tcPr>
            <w:tcW w:w="1244" w:type="dxa"/>
            <w:tcBorders>
              <w:bottom w:val="single" w:sz="4" w:space="0" w:color="auto"/>
            </w:tcBorders>
            <w:shd w:val="clear" w:color="auto" w:fill="auto"/>
            <w:noWrap/>
            <w:hideMark/>
          </w:tcPr>
          <w:p w14:paraId="49BB3D1D"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tcBorders>
              <w:bottom w:val="single" w:sz="4" w:space="0" w:color="auto"/>
            </w:tcBorders>
            <w:shd w:val="clear" w:color="auto" w:fill="auto"/>
            <w:noWrap/>
            <w:hideMark/>
          </w:tcPr>
          <w:p w14:paraId="2F2467AA" w14:textId="77777777" w:rsidR="008C179D" w:rsidRPr="008C179D" w:rsidRDefault="008C179D" w:rsidP="00CB304C">
            <w:pPr>
              <w:suppressAutoHyphens w:val="0"/>
              <w:spacing w:before="40" w:after="40" w:line="220" w:lineRule="exact"/>
              <w:jc w:val="right"/>
              <w:rPr>
                <w:sz w:val="18"/>
              </w:rPr>
            </w:pPr>
            <w:r w:rsidRPr="008C179D">
              <w:rPr>
                <w:sz w:val="18"/>
                <w:lang w:val="fr-FR"/>
              </w:rPr>
              <w:t>8 200</w:t>
            </w:r>
          </w:p>
        </w:tc>
        <w:tc>
          <w:tcPr>
            <w:tcW w:w="1244" w:type="dxa"/>
            <w:tcBorders>
              <w:bottom w:val="single" w:sz="4" w:space="0" w:color="auto"/>
            </w:tcBorders>
            <w:shd w:val="clear" w:color="auto" w:fill="auto"/>
            <w:noWrap/>
            <w:hideMark/>
          </w:tcPr>
          <w:p w14:paraId="22A9AE57"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tcBorders>
              <w:bottom w:val="single" w:sz="4" w:space="0" w:color="auto"/>
            </w:tcBorders>
            <w:shd w:val="clear" w:color="auto" w:fill="auto"/>
            <w:noWrap/>
            <w:hideMark/>
          </w:tcPr>
          <w:p w14:paraId="62920151" w14:textId="77777777" w:rsidR="008C179D" w:rsidRPr="008C179D" w:rsidRDefault="008C179D" w:rsidP="00CB304C">
            <w:pPr>
              <w:suppressAutoHyphens w:val="0"/>
              <w:spacing w:before="40" w:after="40" w:line="220" w:lineRule="exact"/>
              <w:jc w:val="right"/>
              <w:rPr>
                <w:sz w:val="18"/>
              </w:rPr>
            </w:pPr>
            <w:r w:rsidRPr="008C179D">
              <w:rPr>
                <w:sz w:val="18"/>
                <w:lang w:val="fr-FR"/>
              </w:rPr>
              <w:t>8 200</w:t>
            </w:r>
          </w:p>
        </w:tc>
        <w:tc>
          <w:tcPr>
            <w:tcW w:w="1244" w:type="dxa"/>
            <w:tcBorders>
              <w:bottom w:val="single" w:sz="4" w:space="0" w:color="auto"/>
            </w:tcBorders>
            <w:shd w:val="clear" w:color="auto" w:fill="auto"/>
            <w:noWrap/>
            <w:hideMark/>
          </w:tcPr>
          <w:p w14:paraId="164965BB"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787" w:type="dxa"/>
            <w:tcBorders>
              <w:bottom w:val="single" w:sz="4" w:space="0" w:color="auto"/>
            </w:tcBorders>
            <w:shd w:val="clear" w:color="auto" w:fill="auto"/>
            <w:noWrap/>
            <w:hideMark/>
          </w:tcPr>
          <w:p w14:paraId="18D08097" w14:textId="77777777" w:rsidR="008C179D" w:rsidRPr="008C179D" w:rsidRDefault="008C179D" w:rsidP="00CB304C">
            <w:pPr>
              <w:suppressAutoHyphens w:val="0"/>
              <w:spacing w:before="40" w:after="40" w:line="220" w:lineRule="exact"/>
              <w:jc w:val="right"/>
              <w:rPr>
                <w:sz w:val="18"/>
              </w:rPr>
            </w:pPr>
            <w:r w:rsidRPr="008C179D">
              <w:rPr>
                <w:sz w:val="18"/>
                <w:lang w:val="fr-FR"/>
              </w:rPr>
              <w:t>8 200</w:t>
            </w:r>
          </w:p>
        </w:tc>
        <w:tc>
          <w:tcPr>
            <w:tcW w:w="1344" w:type="dxa"/>
            <w:tcBorders>
              <w:bottom w:val="single" w:sz="4" w:space="0" w:color="auto"/>
            </w:tcBorders>
            <w:shd w:val="clear" w:color="auto" w:fill="auto"/>
            <w:noWrap/>
            <w:hideMark/>
          </w:tcPr>
          <w:p w14:paraId="11E1E98A"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837" w:type="dxa"/>
            <w:tcBorders>
              <w:bottom w:val="single" w:sz="4" w:space="0" w:color="auto"/>
            </w:tcBorders>
            <w:shd w:val="clear" w:color="auto" w:fill="auto"/>
            <w:noWrap/>
            <w:hideMark/>
          </w:tcPr>
          <w:p w14:paraId="22C90DF4" w14:textId="77777777" w:rsidR="008C179D" w:rsidRPr="008C179D" w:rsidRDefault="008C179D" w:rsidP="00CB304C">
            <w:pPr>
              <w:suppressAutoHyphens w:val="0"/>
              <w:spacing w:before="40" w:after="40" w:line="220" w:lineRule="exact"/>
              <w:jc w:val="right"/>
              <w:rPr>
                <w:sz w:val="18"/>
              </w:rPr>
            </w:pPr>
            <w:r w:rsidRPr="008C179D">
              <w:rPr>
                <w:sz w:val="18"/>
                <w:lang w:val="fr-FR"/>
              </w:rPr>
              <w:t>8 200</w:t>
            </w:r>
          </w:p>
        </w:tc>
      </w:tr>
      <w:tr w:rsidR="008C179D" w:rsidRPr="004B5468" w14:paraId="18EDAFC9" w14:textId="77777777" w:rsidTr="004B5468">
        <w:tc>
          <w:tcPr>
            <w:tcW w:w="3455" w:type="dxa"/>
            <w:gridSpan w:val="2"/>
            <w:tcBorders>
              <w:top w:val="single" w:sz="4" w:space="0" w:color="auto"/>
              <w:bottom w:val="single" w:sz="4" w:space="0" w:color="auto"/>
            </w:tcBorders>
            <w:shd w:val="clear" w:color="auto" w:fill="auto"/>
            <w:hideMark/>
          </w:tcPr>
          <w:p w14:paraId="40E472A5" w14:textId="77777777" w:rsidR="008C179D" w:rsidRPr="004B5468" w:rsidRDefault="008C179D" w:rsidP="00CB304C">
            <w:pPr>
              <w:suppressAutoHyphens w:val="0"/>
              <w:spacing w:before="80" w:after="80" w:line="220" w:lineRule="exact"/>
              <w:ind w:left="284"/>
              <w:rPr>
                <w:b/>
                <w:sz w:val="18"/>
              </w:rPr>
            </w:pPr>
            <w:r w:rsidRPr="004B5468">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170EF085"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177 000</w:t>
            </w:r>
          </w:p>
        </w:tc>
        <w:tc>
          <w:tcPr>
            <w:tcW w:w="789" w:type="dxa"/>
            <w:tcBorders>
              <w:top w:val="single" w:sz="4" w:space="0" w:color="auto"/>
              <w:bottom w:val="single" w:sz="4" w:space="0" w:color="auto"/>
            </w:tcBorders>
            <w:shd w:val="clear" w:color="auto" w:fill="auto"/>
            <w:vAlign w:val="bottom"/>
            <w:hideMark/>
          </w:tcPr>
          <w:p w14:paraId="332DEA38"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17 000</w:t>
            </w:r>
          </w:p>
        </w:tc>
        <w:tc>
          <w:tcPr>
            <w:tcW w:w="1244" w:type="dxa"/>
            <w:tcBorders>
              <w:top w:val="single" w:sz="4" w:space="0" w:color="auto"/>
              <w:bottom w:val="single" w:sz="4" w:space="0" w:color="auto"/>
            </w:tcBorders>
            <w:shd w:val="clear" w:color="auto" w:fill="auto"/>
            <w:vAlign w:val="bottom"/>
            <w:hideMark/>
          </w:tcPr>
          <w:p w14:paraId="037F4043"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177 000</w:t>
            </w:r>
          </w:p>
        </w:tc>
        <w:tc>
          <w:tcPr>
            <w:tcW w:w="787" w:type="dxa"/>
            <w:tcBorders>
              <w:top w:val="single" w:sz="4" w:space="0" w:color="auto"/>
              <w:bottom w:val="single" w:sz="4" w:space="0" w:color="auto"/>
            </w:tcBorders>
            <w:shd w:val="clear" w:color="auto" w:fill="auto"/>
            <w:vAlign w:val="bottom"/>
            <w:hideMark/>
          </w:tcPr>
          <w:p w14:paraId="43D0FC9E"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17 000</w:t>
            </w:r>
          </w:p>
        </w:tc>
        <w:tc>
          <w:tcPr>
            <w:tcW w:w="1244" w:type="dxa"/>
            <w:tcBorders>
              <w:top w:val="single" w:sz="4" w:space="0" w:color="auto"/>
              <w:bottom w:val="single" w:sz="4" w:space="0" w:color="auto"/>
            </w:tcBorders>
            <w:shd w:val="clear" w:color="auto" w:fill="auto"/>
            <w:vAlign w:val="bottom"/>
            <w:hideMark/>
          </w:tcPr>
          <w:p w14:paraId="43780EAB"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177 000</w:t>
            </w:r>
          </w:p>
        </w:tc>
        <w:tc>
          <w:tcPr>
            <w:tcW w:w="787" w:type="dxa"/>
            <w:tcBorders>
              <w:top w:val="single" w:sz="4" w:space="0" w:color="auto"/>
              <w:bottom w:val="single" w:sz="4" w:space="0" w:color="auto"/>
            </w:tcBorders>
            <w:shd w:val="clear" w:color="auto" w:fill="auto"/>
            <w:vAlign w:val="bottom"/>
            <w:hideMark/>
          </w:tcPr>
          <w:p w14:paraId="6FD784B8"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17 000</w:t>
            </w:r>
          </w:p>
        </w:tc>
        <w:tc>
          <w:tcPr>
            <w:tcW w:w="1244" w:type="dxa"/>
            <w:tcBorders>
              <w:top w:val="single" w:sz="4" w:space="0" w:color="auto"/>
              <w:bottom w:val="single" w:sz="4" w:space="0" w:color="auto"/>
            </w:tcBorders>
            <w:shd w:val="clear" w:color="auto" w:fill="auto"/>
            <w:vAlign w:val="bottom"/>
            <w:hideMark/>
          </w:tcPr>
          <w:p w14:paraId="3A0B7570"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177 000</w:t>
            </w:r>
          </w:p>
        </w:tc>
        <w:tc>
          <w:tcPr>
            <w:tcW w:w="787" w:type="dxa"/>
            <w:tcBorders>
              <w:top w:val="single" w:sz="4" w:space="0" w:color="auto"/>
              <w:bottom w:val="single" w:sz="4" w:space="0" w:color="auto"/>
            </w:tcBorders>
            <w:shd w:val="clear" w:color="auto" w:fill="auto"/>
            <w:vAlign w:val="bottom"/>
            <w:hideMark/>
          </w:tcPr>
          <w:p w14:paraId="64A5276C"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17 000</w:t>
            </w:r>
          </w:p>
        </w:tc>
        <w:tc>
          <w:tcPr>
            <w:tcW w:w="1344" w:type="dxa"/>
            <w:tcBorders>
              <w:top w:val="single" w:sz="4" w:space="0" w:color="auto"/>
              <w:bottom w:val="single" w:sz="4" w:space="0" w:color="auto"/>
            </w:tcBorders>
            <w:shd w:val="clear" w:color="auto" w:fill="auto"/>
            <w:vAlign w:val="bottom"/>
            <w:hideMark/>
          </w:tcPr>
          <w:p w14:paraId="2EE63CFE"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177 000</w:t>
            </w:r>
          </w:p>
        </w:tc>
        <w:tc>
          <w:tcPr>
            <w:tcW w:w="837" w:type="dxa"/>
            <w:tcBorders>
              <w:top w:val="single" w:sz="4" w:space="0" w:color="auto"/>
              <w:bottom w:val="single" w:sz="4" w:space="0" w:color="auto"/>
            </w:tcBorders>
            <w:shd w:val="clear" w:color="auto" w:fill="auto"/>
            <w:noWrap/>
            <w:vAlign w:val="bottom"/>
            <w:hideMark/>
          </w:tcPr>
          <w:p w14:paraId="51BE9F2F"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17 000</w:t>
            </w:r>
          </w:p>
        </w:tc>
      </w:tr>
      <w:tr w:rsidR="008C179D" w:rsidRPr="008C179D" w14:paraId="4CE33E99" w14:textId="77777777" w:rsidTr="00CB304C">
        <w:tc>
          <w:tcPr>
            <w:tcW w:w="1276" w:type="dxa"/>
            <w:tcBorders>
              <w:top w:val="single" w:sz="4" w:space="0" w:color="auto"/>
              <w:bottom w:val="single" w:sz="4" w:space="0" w:color="auto"/>
            </w:tcBorders>
            <w:shd w:val="clear" w:color="auto" w:fill="auto"/>
            <w:hideMark/>
          </w:tcPr>
          <w:p w14:paraId="717D6019" w14:textId="77777777" w:rsidR="008C179D" w:rsidRPr="008C179D" w:rsidRDefault="008C179D" w:rsidP="008C179D">
            <w:pPr>
              <w:suppressAutoHyphens w:val="0"/>
              <w:spacing w:before="40" w:after="40" w:line="220" w:lineRule="exact"/>
              <w:rPr>
                <w:sz w:val="18"/>
                <w:lang w:val="fr-FR"/>
              </w:rPr>
            </w:pPr>
            <w:r w:rsidRPr="008C179D">
              <w:rPr>
                <w:sz w:val="18"/>
                <w:lang w:val="fr-FR"/>
              </w:rPr>
              <w:t>VII. Mécanisme d</w:t>
            </w:r>
            <w:r w:rsidR="00457C42">
              <w:rPr>
                <w:sz w:val="18"/>
                <w:lang w:val="fr-FR"/>
              </w:rPr>
              <w:t>’</w:t>
            </w:r>
            <w:r w:rsidRPr="008C179D">
              <w:rPr>
                <w:sz w:val="18"/>
                <w:lang w:val="fr-FR"/>
              </w:rPr>
              <w:t>établissement de rapports</w:t>
            </w:r>
          </w:p>
        </w:tc>
        <w:tc>
          <w:tcPr>
            <w:tcW w:w="2179" w:type="dxa"/>
            <w:tcBorders>
              <w:top w:val="single" w:sz="4" w:space="0" w:color="auto"/>
              <w:bottom w:val="single" w:sz="4" w:space="0" w:color="auto"/>
            </w:tcBorders>
            <w:shd w:val="clear" w:color="auto" w:fill="auto"/>
            <w:vAlign w:val="bottom"/>
            <w:hideMark/>
          </w:tcPr>
          <w:p w14:paraId="71DC941E"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(traitement des rapports nationaux d</w:t>
            </w:r>
            <w:r w:rsidR="00457C42">
              <w:rPr>
                <w:sz w:val="18"/>
                <w:lang w:val="fr-FR"/>
              </w:rPr>
              <w:t>’</w:t>
            </w:r>
            <w:r w:rsidRPr="008C179D">
              <w:rPr>
                <w:sz w:val="18"/>
                <w:lang w:val="fr-FR"/>
              </w:rPr>
              <w:t>exécution, établissement du rapport de</w:t>
            </w:r>
            <w:r w:rsidR="004B5468">
              <w:rPr>
                <w:sz w:val="18"/>
                <w:lang w:val="fr-FR"/>
              </w:rPr>
              <w:t> </w:t>
            </w:r>
            <w:r w:rsidRPr="008C179D">
              <w:rPr>
                <w:sz w:val="18"/>
                <w:lang w:val="fr-FR"/>
              </w:rPr>
              <w:t>synthèse et traduction)</w:t>
            </w:r>
          </w:p>
        </w:tc>
        <w:tc>
          <w:tcPr>
            <w:tcW w:w="1260" w:type="dxa"/>
            <w:tcBorders>
              <w:top w:val="single" w:sz="4" w:space="0" w:color="auto"/>
              <w:bottom w:val="single" w:sz="4" w:space="0" w:color="auto"/>
            </w:tcBorders>
            <w:shd w:val="clear" w:color="auto" w:fill="auto"/>
            <w:hideMark/>
          </w:tcPr>
          <w:p w14:paraId="362B389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9" w:type="dxa"/>
            <w:tcBorders>
              <w:top w:val="single" w:sz="4" w:space="0" w:color="auto"/>
              <w:bottom w:val="single" w:sz="4" w:space="0" w:color="auto"/>
            </w:tcBorders>
            <w:shd w:val="clear" w:color="auto" w:fill="auto"/>
            <w:hideMark/>
          </w:tcPr>
          <w:p w14:paraId="3327A04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bottom w:val="single" w:sz="4" w:space="0" w:color="auto"/>
            </w:tcBorders>
            <w:shd w:val="clear" w:color="auto" w:fill="auto"/>
            <w:noWrap/>
            <w:hideMark/>
          </w:tcPr>
          <w:p w14:paraId="123D6578"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tcBorders>
              <w:top w:val="single" w:sz="4" w:space="0" w:color="auto"/>
              <w:bottom w:val="single" w:sz="4" w:space="0" w:color="auto"/>
            </w:tcBorders>
            <w:shd w:val="clear" w:color="auto" w:fill="auto"/>
            <w:hideMark/>
          </w:tcPr>
          <w:p w14:paraId="586A689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bottom w:val="single" w:sz="4" w:space="0" w:color="auto"/>
            </w:tcBorders>
            <w:shd w:val="clear" w:color="auto" w:fill="auto"/>
            <w:noWrap/>
            <w:hideMark/>
          </w:tcPr>
          <w:p w14:paraId="053C1579"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top w:val="single" w:sz="4" w:space="0" w:color="auto"/>
              <w:bottom w:val="single" w:sz="4" w:space="0" w:color="auto"/>
            </w:tcBorders>
            <w:shd w:val="clear" w:color="auto" w:fill="auto"/>
            <w:hideMark/>
          </w:tcPr>
          <w:p w14:paraId="6D106C8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bottom w:val="single" w:sz="4" w:space="0" w:color="auto"/>
            </w:tcBorders>
            <w:shd w:val="clear" w:color="auto" w:fill="auto"/>
            <w:noWrap/>
            <w:hideMark/>
          </w:tcPr>
          <w:p w14:paraId="2A20E312" w14:textId="77777777" w:rsidR="008C179D" w:rsidRPr="008C179D" w:rsidRDefault="008C179D" w:rsidP="00CB304C">
            <w:pPr>
              <w:suppressAutoHyphens w:val="0"/>
              <w:spacing w:before="40" w:after="40" w:line="220" w:lineRule="exact"/>
              <w:jc w:val="right"/>
              <w:rPr>
                <w:sz w:val="18"/>
              </w:rPr>
            </w:pPr>
            <w:r w:rsidRPr="008C179D">
              <w:rPr>
                <w:sz w:val="18"/>
                <w:lang w:val="fr-FR"/>
              </w:rPr>
              <w:t>20 000</w:t>
            </w:r>
          </w:p>
        </w:tc>
        <w:tc>
          <w:tcPr>
            <w:tcW w:w="787" w:type="dxa"/>
            <w:tcBorders>
              <w:top w:val="single" w:sz="4" w:space="0" w:color="auto"/>
              <w:bottom w:val="single" w:sz="4" w:space="0" w:color="auto"/>
            </w:tcBorders>
            <w:shd w:val="clear" w:color="auto" w:fill="auto"/>
            <w:hideMark/>
          </w:tcPr>
          <w:p w14:paraId="4AB3E39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bottom w:val="single" w:sz="4" w:space="0" w:color="auto"/>
            </w:tcBorders>
            <w:shd w:val="clear" w:color="auto" w:fill="auto"/>
            <w:noWrap/>
            <w:hideMark/>
          </w:tcPr>
          <w:p w14:paraId="722FA8BE" w14:textId="77777777" w:rsidR="008C179D" w:rsidRPr="008C179D" w:rsidRDefault="008C179D" w:rsidP="00CB304C">
            <w:pPr>
              <w:suppressAutoHyphens w:val="0"/>
              <w:spacing w:before="40" w:after="40" w:line="220" w:lineRule="exact"/>
              <w:jc w:val="right"/>
              <w:rPr>
                <w:sz w:val="18"/>
              </w:rPr>
            </w:pPr>
            <w:r w:rsidRPr="008C179D">
              <w:rPr>
                <w:sz w:val="18"/>
                <w:lang w:val="fr-FR"/>
              </w:rPr>
              <w:t>7 500</w:t>
            </w:r>
          </w:p>
        </w:tc>
        <w:tc>
          <w:tcPr>
            <w:tcW w:w="837" w:type="dxa"/>
            <w:tcBorders>
              <w:top w:val="single" w:sz="4" w:space="0" w:color="auto"/>
              <w:bottom w:val="single" w:sz="4" w:space="0" w:color="auto"/>
            </w:tcBorders>
            <w:shd w:val="clear" w:color="auto" w:fill="auto"/>
            <w:hideMark/>
          </w:tcPr>
          <w:p w14:paraId="29696F65"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4B5468" w14:paraId="4EEEF314" w14:textId="77777777" w:rsidTr="004B5468">
        <w:tc>
          <w:tcPr>
            <w:tcW w:w="3455" w:type="dxa"/>
            <w:gridSpan w:val="2"/>
            <w:tcBorders>
              <w:top w:val="single" w:sz="4" w:space="0" w:color="auto"/>
              <w:bottom w:val="single" w:sz="4" w:space="0" w:color="auto"/>
            </w:tcBorders>
            <w:shd w:val="clear" w:color="auto" w:fill="auto"/>
            <w:hideMark/>
          </w:tcPr>
          <w:p w14:paraId="44E5434E" w14:textId="77777777" w:rsidR="008C179D" w:rsidRPr="004B5468" w:rsidRDefault="008C179D" w:rsidP="000439D2">
            <w:pPr>
              <w:suppressAutoHyphens w:val="0"/>
              <w:spacing w:before="80" w:after="80" w:line="220" w:lineRule="exact"/>
              <w:ind w:left="57"/>
              <w:rPr>
                <w:b/>
                <w:bCs/>
                <w:sz w:val="18"/>
              </w:rPr>
            </w:pPr>
            <w:r w:rsidRPr="004B5468">
              <w:rPr>
                <w:b/>
                <w:bCs/>
                <w:sz w:val="18"/>
                <w:lang w:val="fr-FR"/>
              </w:rPr>
              <w:t>Total partiel</w:t>
            </w:r>
            <w:r w:rsidRPr="004B5468">
              <w:rPr>
                <w:b/>
                <w:sz w:val="18"/>
                <w:lang w:val="fr-FR"/>
              </w:rPr>
              <w:t xml:space="preserve"> </w:t>
            </w:r>
          </w:p>
        </w:tc>
        <w:tc>
          <w:tcPr>
            <w:tcW w:w="1260" w:type="dxa"/>
            <w:tcBorders>
              <w:top w:val="single" w:sz="4" w:space="0" w:color="auto"/>
              <w:bottom w:val="single" w:sz="4" w:space="0" w:color="auto"/>
            </w:tcBorders>
            <w:shd w:val="clear" w:color="auto" w:fill="auto"/>
            <w:vAlign w:val="bottom"/>
            <w:hideMark/>
          </w:tcPr>
          <w:p w14:paraId="2A53EB5E" w14:textId="77777777" w:rsidR="008C179D" w:rsidRPr="004B5468" w:rsidRDefault="008C673D" w:rsidP="004B5468">
            <w:pPr>
              <w:suppressAutoHyphens w:val="0"/>
              <w:spacing w:before="80" w:after="80" w:line="220" w:lineRule="exact"/>
              <w:jc w:val="right"/>
              <w:rPr>
                <w:b/>
                <w:sz w:val="18"/>
              </w:rPr>
            </w:pPr>
            <w:r>
              <w:rPr>
                <w:b/>
                <w:sz w:val="18"/>
                <w:lang w:val="fr-FR"/>
              </w:rPr>
              <w:t>−</w:t>
            </w:r>
          </w:p>
        </w:tc>
        <w:tc>
          <w:tcPr>
            <w:tcW w:w="789" w:type="dxa"/>
            <w:tcBorders>
              <w:top w:val="single" w:sz="4" w:space="0" w:color="auto"/>
              <w:bottom w:val="single" w:sz="4" w:space="0" w:color="auto"/>
            </w:tcBorders>
            <w:shd w:val="clear" w:color="auto" w:fill="auto"/>
            <w:vAlign w:val="bottom"/>
            <w:hideMark/>
          </w:tcPr>
          <w:p w14:paraId="70793B6E" w14:textId="77777777" w:rsidR="008C179D" w:rsidRPr="004B5468" w:rsidRDefault="008C673D" w:rsidP="004B5468">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75E9D355" w14:textId="77777777" w:rsidR="008C179D" w:rsidRPr="004B5468" w:rsidRDefault="008C673D" w:rsidP="004B5468">
            <w:pPr>
              <w:suppressAutoHyphens w:val="0"/>
              <w:spacing w:before="80" w:after="80" w:line="220" w:lineRule="exact"/>
              <w:jc w:val="right"/>
              <w:rPr>
                <w:b/>
                <w:sz w:val="18"/>
              </w:rPr>
            </w:pPr>
            <w:r>
              <w:rPr>
                <w:b/>
                <w:sz w:val="18"/>
                <w:lang w:val="fr-FR"/>
              </w:rPr>
              <w:t>−</w:t>
            </w:r>
          </w:p>
        </w:tc>
        <w:tc>
          <w:tcPr>
            <w:tcW w:w="787" w:type="dxa"/>
            <w:tcBorders>
              <w:top w:val="single" w:sz="4" w:space="0" w:color="auto"/>
              <w:bottom w:val="single" w:sz="4" w:space="0" w:color="auto"/>
            </w:tcBorders>
            <w:shd w:val="clear" w:color="auto" w:fill="auto"/>
            <w:vAlign w:val="bottom"/>
            <w:hideMark/>
          </w:tcPr>
          <w:p w14:paraId="265D6522" w14:textId="77777777" w:rsidR="008C179D" w:rsidRPr="004B5468" w:rsidRDefault="008C673D" w:rsidP="004B5468">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67FD8990"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10 000</w:t>
            </w:r>
          </w:p>
        </w:tc>
        <w:tc>
          <w:tcPr>
            <w:tcW w:w="787" w:type="dxa"/>
            <w:tcBorders>
              <w:top w:val="single" w:sz="4" w:space="0" w:color="auto"/>
              <w:bottom w:val="single" w:sz="4" w:space="0" w:color="auto"/>
            </w:tcBorders>
            <w:shd w:val="clear" w:color="auto" w:fill="auto"/>
            <w:vAlign w:val="bottom"/>
            <w:hideMark/>
          </w:tcPr>
          <w:p w14:paraId="04934CB5" w14:textId="77777777" w:rsidR="008C179D" w:rsidRPr="004B5468" w:rsidRDefault="008C673D" w:rsidP="004B5468">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21F264BE" w14:textId="77777777" w:rsidR="008C179D" w:rsidRPr="004B5468" w:rsidRDefault="008C179D" w:rsidP="004B5468">
            <w:pPr>
              <w:suppressAutoHyphens w:val="0"/>
              <w:spacing w:before="80" w:after="80" w:line="220" w:lineRule="exact"/>
              <w:jc w:val="right"/>
              <w:rPr>
                <w:b/>
                <w:bCs/>
                <w:sz w:val="18"/>
              </w:rPr>
            </w:pPr>
            <w:r w:rsidRPr="004B5468">
              <w:rPr>
                <w:b/>
                <w:bCs/>
                <w:sz w:val="18"/>
                <w:lang w:val="fr-FR"/>
              </w:rPr>
              <w:t>20 000</w:t>
            </w:r>
          </w:p>
        </w:tc>
        <w:tc>
          <w:tcPr>
            <w:tcW w:w="787" w:type="dxa"/>
            <w:tcBorders>
              <w:top w:val="single" w:sz="4" w:space="0" w:color="auto"/>
              <w:bottom w:val="single" w:sz="4" w:space="0" w:color="auto"/>
            </w:tcBorders>
            <w:shd w:val="clear" w:color="auto" w:fill="auto"/>
            <w:vAlign w:val="bottom"/>
            <w:hideMark/>
          </w:tcPr>
          <w:p w14:paraId="6B0F8E35" w14:textId="77777777" w:rsidR="008C179D" w:rsidRPr="004B5468" w:rsidRDefault="008C673D" w:rsidP="004B5468">
            <w:pPr>
              <w:suppressAutoHyphens w:val="0"/>
              <w:spacing w:before="80" w:after="80" w:line="220" w:lineRule="exact"/>
              <w:jc w:val="right"/>
              <w:rPr>
                <w:b/>
                <w:sz w:val="18"/>
              </w:rPr>
            </w:pPr>
            <w:r>
              <w:rPr>
                <w:b/>
                <w:sz w:val="18"/>
                <w:lang w:val="fr-FR"/>
              </w:rPr>
              <w:t>−</w:t>
            </w:r>
          </w:p>
        </w:tc>
        <w:tc>
          <w:tcPr>
            <w:tcW w:w="1344" w:type="dxa"/>
            <w:tcBorders>
              <w:top w:val="single" w:sz="4" w:space="0" w:color="auto"/>
              <w:bottom w:val="single" w:sz="4" w:space="0" w:color="auto"/>
            </w:tcBorders>
            <w:shd w:val="clear" w:color="auto" w:fill="auto"/>
            <w:noWrap/>
            <w:vAlign w:val="bottom"/>
            <w:hideMark/>
          </w:tcPr>
          <w:p w14:paraId="4ECF8881" w14:textId="77777777" w:rsidR="008C179D" w:rsidRPr="004B5468" w:rsidRDefault="008C179D" w:rsidP="004B5468">
            <w:pPr>
              <w:suppressAutoHyphens w:val="0"/>
              <w:spacing w:before="80" w:after="80" w:line="220" w:lineRule="exact"/>
              <w:jc w:val="right"/>
              <w:rPr>
                <w:b/>
                <w:bCs/>
                <w:sz w:val="18"/>
              </w:rPr>
            </w:pPr>
            <w:r w:rsidRPr="004B5468">
              <w:rPr>
                <w:b/>
                <w:sz w:val="18"/>
                <w:lang w:val="fr-FR"/>
              </w:rPr>
              <w:t>7 500</w:t>
            </w:r>
          </w:p>
        </w:tc>
        <w:tc>
          <w:tcPr>
            <w:tcW w:w="837" w:type="dxa"/>
            <w:tcBorders>
              <w:top w:val="single" w:sz="4" w:space="0" w:color="auto"/>
              <w:bottom w:val="single" w:sz="4" w:space="0" w:color="auto"/>
            </w:tcBorders>
            <w:shd w:val="clear" w:color="auto" w:fill="auto"/>
            <w:vAlign w:val="bottom"/>
            <w:hideMark/>
          </w:tcPr>
          <w:p w14:paraId="0AB4A372" w14:textId="77777777" w:rsidR="008C179D" w:rsidRPr="004B5468" w:rsidRDefault="008C673D" w:rsidP="004B5468">
            <w:pPr>
              <w:suppressAutoHyphens w:val="0"/>
              <w:spacing w:before="80" w:after="80" w:line="220" w:lineRule="exact"/>
              <w:jc w:val="right"/>
              <w:rPr>
                <w:b/>
                <w:sz w:val="18"/>
              </w:rPr>
            </w:pPr>
            <w:r>
              <w:rPr>
                <w:b/>
                <w:sz w:val="18"/>
                <w:lang w:val="fr-FR"/>
              </w:rPr>
              <w:t>−</w:t>
            </w:r>
          </w:p>
        </w:tc>
      </w:tr>
      <w:tr w:rsidR="008C179D" w:rsidRPr="008C179D" w14:paraId="037E4C10" w14:textId="77777777" w:rsidTr="00CB304C">
        <w:trPr>
          <w:cantSplit/>
        </w:trPr>
        <w:tc>
          <w:tcPr>
            <w:tcW w:w="1276" w:type="dxa"/>
            <w:vMerge w:val="restart"/>
            <w:tcBorders>
              <w:top w:val="single" w:sz="4" w:space="0" w:color="auto"/>
            </w:tcBorders>
            <w:shd w:val="clear" w:color="auto" w:fill="auto"/>
            <w:hideMark/>
          </w:tcPr>
          <w:p w14:paraId="3FF0159D" w14:textId="77777777" w:rsidR="008C179D" w:rsidRPr="008C179D" w:rsidRDefault="008C179D" w:rsidP="004B5468">
            <w:pPr>
              <w:keepNext/>
              <w:keepLines/>
              <w:suppressAutoHyphens w:val="0"/>
              <w:spacing w:before="40" w:after="40" w:line="220" w:lineRule="exact"/>
              <w:rPr>
                <w:sz w:val="18"/>
                <w:lang w:val="fr-FR"/>
              </w:rPr>
            </w:pPr>
            <w:r w:rsidRPr="008C179D">
              <w:rPr>
                <w:sz w:val="18"/>
                <w:lang w:val="fr-FR"/>
              </w:rPr>
              <w:lastRenderedPageBreak/>
              <w:t>VIII. Sensibilisation et</w:t>
            </w:r>
            <w:r w:rsidR="00480188">
              <w:rPr>
                <w:sz w:val="18"/>
                <w:lang w:val="fr-FR"/>
              </w:rPr>
              <w:t> </w:t>
            </w:r>
            <w:r w:rsidRPr="008C179D">
              <w:rPr>
                <w:sz w:val="18"/>
                <w:lang w:val="fr-FR"/>
              </w:rPr>
              <w:t xml:space="preserve">promotion de la </w:t>
            </w:r>
            <w:proofErr w:type="spellStart"/>
            <w:r w:rsidRPr="008C179D">
              <w:rPr>
                <w:sz w:val="18"/>
                <w:lang w:val="fr-FR"/>
              </w:rPr>
              <w:t>Convention</w:t>
            </w:r>
            <w:r w:rsidRPr="00480188">
              <w:rPr>
                <w:i/>
                <w:sz w:val="18"/>
                <w:vertAlign w:val="superscript"/>
                <w:lang w:val="fr-FR"/>
              </w:rPr>
              <w:t>g</w:t>
            </w:r>
            <w:proofErr w:type="spellEnd"/>
          </w:p>
        </w:tc>
        <w:tc>
          <w:tcPr>
            <w:tcW w:w="2179" w:type="dxa"/>
            <w:tcBorders>
              <w:top w:val="single" w:sz="4" w:space="0" w:color="auto"/>
            </w:tcBorders>
            <w:shd w:val="clear" w:color="auto" w:fill="auto"/>
            <w:vAlign w:val="bottom"/>
            <w:hideMark/>
          </w:tcPr>
          <w:p w14:paraId="787A0F95" w14:textId="77777777" w:rsidR="008C179D" w:rsidRPr="008C179D" w:rsidRDefault="008C179D" w:rsidP="000439D2">
            <w:pPr>
              <w:keepNext/>
              <w:keepLines/>
              <w:suppressAutoHyphens w:val="0"/>
              <w:spacing w:before="40" w:after="40" w:line="220" w:lineRule="exact"/>
              <w:ind w:left="57"/>
              <w:rPr>
                <w:sz w:val="18"/>
                <w:lang w:val="fr-FR"/>
              </w:rPr>
            </w:pPr>
            <w:proofErr w:type="spellStart"/>
            <w:r w:rsidRPr="008C179D">
              <w:rPr>
                <w:sz w:val="18"/>
                <w:lang w:val="fr-FR"/>
              </w:rPr>
              <w:t>Administrateurs</w:t>
            </w:r>
            <w:r w:rsidRPr="00480188">
              <w:rPr>
                <w:i/>
                <w:sz w:val="18"/>
                <w:vertAlign w:val="superscript"/>
                <w:lang w:val="fr-FR"/>
              </w:rPr>
              <w:t>c</w:t>
            </w:r>
            <w:proofErr w:type="spellEnd"/>
            <w:r w:rsidRPr="008C179D">
              <w:rPr>
                <w:sz w:val="18"/>
                <w:lang w:val="fr-FR"/>
              </w:rPr>
              <w:t> : 1</w:t>
            </w:r>
            <w:r w:rsidR="004B5468">
              <w:rPr>
                <w:sz w:val="18"/>
                <w:lang w:val="fr-FR"/>
              </w:rPr>
              <w:t> </w:t>
            </w:r>
            <w:r w:rsidRPr="008C179D">
              <w:rPr>
                <w:sz w:val="18"/>
                <w:lang w:val="fr-FR"/>
              </w:rPr>
              <w:t>fonctionnaire P-3 à 50 % d</w:t>
            </w:r>
            <w:r w:rsidR="00457C42">
              <w:rPr>
                <w:sz w:val="18"/>
                <w:lang w:val="fr-FR"/>
              </w:rPr>
              <w:t>’</w:t>
            </w:r>
            <w:r w:rsidRPr="008C179D">
              <w:rPr>
                <w:sz w:val="18"/>
                <w:lang w:val="fr-FR"/>
              </w:rPr>
              <w:t>EPT et 1 fonctionnaire P-3 à 5 %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7DB4C860"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99 000</w:t>
            </w:r>
          </w:p>
        </w:tc>
        <w:tc>
          <w:tcPr>
            <w:tcW w:w="789" w:type="dxa"/>
            <w:tcBorders>
              <w:top w:val="single" w:sz="4" w:space="0" w:color="auto"/>
            </w:tcBorders>
            <w:shd w:val="clear" w:color="auto" w:fill="auto"/>
            <w:hideMark/>
          </w:tcPr>
          <w:p w14:paraId="1B7817D1"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hideMark/>
          </w:tcPr>
          <w:p w14:paraId="69367A06"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99 000</w:t>
            </w:r>
          </w:p>
        </w:tc>
        <w:tc>
          <w:tcPr>
            <w:tcW w:w="787" w:type="dxa"/>
            <w:tcBorders>
              <w:top w:val="single" w:sz="4" w:space="0" w:color="auto"/>
            </w:tcBorders>
            <w:shd w:val="clear" w:color="auto" w:fill="auto"/>
            <w:hideMark/>
          </w:tcPr>
          <w:p w14:paraId="69F434DC"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hideMark/>
          </w:tcPr>
          <w:p w14:paraId="589CBF5A"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99 000</w:t>
            </w:r>
          </w:p>
        </w:tc>
        <w:tc>
          <w:tcPr>
            <w:tcW w:w="787" w:type="dxa"/>
            <w:tcBorders>
              <w:top w:val="single" w:sz="4" w:space="0" w:color="auto"/>
            </w:tcBorders>
            <w:shd w:val="clear" w:color="auto" w:fill="auto"/>
            <w:hideMark/>
          </w:tcPr>
          <w:p w14:paraId="1065BAF6"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hideMark/>
          </w:tcPr>
          <w:p w14:paraId="29C22BFC"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99 000</w:t>
            </w:r>
          </w:p>
        </w:tc>
        <w:tc>
          <w:tcPr>
            <w:tcW w:w="787" w:type="dxa"/>
            <w:tcBorders>
              <w:top w:val="single" w:sz="4" w:space="0" w:color="auto"/>
            </w:tcBorders>
            <w:shd w:val="clear" w:color="auto" w:fill="auto"/>
            <w:hideMark/>
          </w:tcPr>
          <w:p w14:paraId="191E3A5E"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hideMark/>
          </w:tcPr>
          <w:p w14:paraId="37B1D721"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99 000</w:t>
            </w:r>
          </w:p>
        </w:tc>
        <w:tc>
          <w:tcPr>
            <w:tcW w:w="837" w:type="dxa"/>
            <w:tcBorders>
              <w:top w:val="single" w:sz="4" w:space="0" w:color="auto"/>
            </w:tcBorders>
            <w:shd w:val="clear" w:color="auto" w:fill="auto"/>
            <w:hideMark/>
          </w:tcPr>
          <w:p w14:paraId="3C96E28F"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r>
      <w:tr w:rsidR="008C179D" w:rsidRPr="008C179D" w14:paraId="2E83FF30" w14:textId="77777777" w:rsidTr="00CB304C">
        <w:tc>
          <w:tcPr>
            <w:tcW w:w="1276" w:type="dxa"/>
            <w:vMerge/>
            <w:shd w:val="clear" w:color="auto" w:fill="auto"/>
            <w:hideMark/>
          </w:tcPr>
          <w:p w14:paraId="1F38B990"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5E33822E"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(publications et matériels de</w:t>
            </w:r>
            <w:r w:rsidR="00480188">
              <w:rPr>
                <w:sz w:val="18"/>
                <w:lang w:val="fr-FR"/>
              </w:rPr>
              <w:t> </w:t>
            </w:r>
            <w:r w:rsidRPr="008C179D">
              <w:rPr>
                <w:sz w:val="18"/>
                <w:lang w:val="fr-FR"/>
              </w:rPr>
              <w:t>promotion, par exemple)</w:t>
            </w:r>
          </w:p>
        </w:tc>
        <w:tc>
          <w:tcPr>
            <w:tcW w:w="1260" w:type="dxa"/>
            <w:shd w:val="clear" w:color="auto" w:fill="auto"/>
            <w:hideMark/>
          </w:tcPr>
          <w:p w14:paraId="791619BD"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9" w:type="dxa"/>
            <w:shd w:val="clear" w:color="auto" w:fill="auto"/>
            <w:hideMark/>
          </w:tcPr>
          <w:p w14:paraId="5FE6719A"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1244" w:type="dxa"/>
            <w:shd w:val="clear" w:color="auto" w:fill="auto"/>
            <w:noWrap/>
            <w:hideMark/>
          </w:tcPr>
          <w:p w14:paraId="26A10A39"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hideMark/>
          </w:tcPr>
          <w:p w14:paraId="0B11E80E"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1244" w:type="dxa"/>
            <w:shd w:val="clear" w:color="auto" w:fill="auto"/>
            <w:noWrap/>
            <w:hideMark/>
          </w:tcPr>
          <w:p w14:paraId="49000F2B"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hideMark/>
          </w:tcPr>
          <w:p w14:paraId="2252B34C"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1244" w:type="dxa"/>
            <w:shd w:val="clear" w:color="auto" w:fill="auto"/>
            <w:noWrap/>
            <w:hideMark/>
          </w:tcPr>
          <w:p w14:paraId="59B539CF"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hideMark/>
          </w:tcPr>
          <w:p w14:paraId="187793D1"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1344" w:type="dxa"/>
            <w:shd w:val="clear" w:color="auto" w:fill="auto"/>
            <w:noWrap/>
            <w:hideMark/>
          </w:tcPr>
          <w:p w14:paraId="3E6E75B1"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837" w:type="dxa"/>
            <w:shd w:val="clear" w:color="auto" w:fill="auto"/>
            <w:noWrap/>
            <w:hideMark/>
          </w:tcPr>
          <w:p w14:paraId="2EA5ED0E"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r>
      <w:tr w:rsidR="008C179D" w:rsidRPr="008C179D" w14:paraId="219D2B50" w14:textId="77777777" w:rsidTr="00CB304C">
        <w:tc>
          <w:tcPr>
            <w:tcW w:w="1276" w:type="dxa"/>
            <w:vMerge/>
            <w:shd w:val="clear" w:color="auto" w:fill="auto"/>
            <w:hideMark/>
          </w:tcPr>
          <w:p w14:paraId="18E1AAC2"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2460918C"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et indemnités journalières de subsistance pour les participants</w:t>
            </w:r>
            <w:r w:rsidR="00C53881">
              <w:rPr>
                <w:sz w:val="18"/>
                <w:lang w:val="fr-FR"/>
              </w:rPr>
              <w:t xml:space="preserve"> </w:t>
            </w:r>
            <w:r w:rsidRPr="008C179D">
              <w:rPr>
                <w:sz w:val="18"/>
                <w:lang w:val="fr-FR"/>
              </w:rPr>
              <w:t>à des manifestations et à des missions dans les pays visant à promouvoir la Convention et ses principes ; appui à des États non membres de la CEE en vue de leur adhésion à la Convention ; appui aux initiatives régionales et mondiales se rapportant au Principe 10 de la Déclaration de Rio sur l</w:t>
            </w:r>
            <w:r w:rsidR="00457C42">
              <w:rPr>
                <w:sz w:val="18"/>
                <w:lang w:val="fr-FR"/>
              </w:rPr>
              <w:t>’</w:t>
            </w:r>
            <w:r w:rsidRPr="008C179D">
              <w:rPr>
                <w:sz w:val="18"/>
                <w:lang w:val="fr-FR"/>
              </w:rPr>
              <w:t>environnement et</w:t>
            </w:r>
            <w:r w:rsidR="00C24087">
              <w:rPr>
                <w:sz w:val="18"/>
                <w:lang w:val="fr-FR"/>
              </w:rPr>
              <w:t> </w:t>
            </w:r>
            <w:r w:rsidRPr="008C179D">
              <w:rPr>
                <w:sz w:val="18"/>
                <w:lang w:val="fr-FR"/>
              </w:rPr>
              <w:t>le développement</w:t>
            </w:r>
          </w:p>
        </w:tc>
        <w:tc>
          <w:tcPr>
            <w:tcW w:w="1260" w:type="dxa"/>
            <w:shd w:val="clear" w:color="auto" w:fill="auto"/>
            <w:hideMark/>
          </w:tcPr>
          <w:p w14:paraId="27BC5CC3"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9" w:type="dxa"/>
            <w:shd w:val="clear" w:color="auto" w:fill="auto"/>
            <w:hideMark/>
          </w:tcPr>
          <w:p w14:paraId="003F6176" w14:textId="77777777" w:rsidR="008C179D" w:rsidRPr="008C179D" w:rsidRDefault="008C179D" w:rsidP="00CB304C">
            <w:pPr>
              <w:suppressAutoHyphens w:val="0"/>
              <w:spacing w:before="40" w:after="40" w:line="220" w:lineRule="exact"/>
              <w:jc w:val="right"/>
              <w:rPr>
                <w:sz w:val="18"/>
              </w:rPr>
            </w:pPr>
            <w:r w:rsidRPr="008C179D">
              <w:rPr>
                <w:sz w:val="18"/>
                <w:lang w:val="fr-FR"/>
              </w:rPr>
              <w:t>18 000</w:t>
            </w:r>
          </w:p>
        </w:tc>
        <w:tc>
          <w:tcPr>
            <w:tcW w:w="1244" w:type="dxa"/>
            <w:shd w:val="clear" w:color="auto" w:fill="auto"/>
            <w:noWrap/>
            <w:hideMark/>
          </w:tcPr>
          <w:p w14:paraId="1A8A9D53"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hideMark/>
          </w:tcPr>
          <w:p w14:paraId="52C22822" w14:textId="77777777" w:rsidR="008C179D" w:rsidRPr="008C179D" w:rsidRDefault="008C179D" w:rsidP="00CB304C">
            <w:pPr>
              <w:suppressAutoHyphens w:val="0"/>
              <w:spacing w:before="40" w:after="40" w:line="220" w:lineRule="exact"/>
              <w:jc w:val="right"/>
              <w:rPr>
                <w:sz w:val="18"/>
              </w:rPr>
            </w:pPr>
            <w:r w:rsidRPr="008C179D">
              <w:rPr>
                <w:sz w:val="18"/>
                <w:lang w:val="fr-FR"/>
              </w:rPr>
              <w:t>18 000</w:t>
            </w:r>
          </w:p>
        </w:tc>
        <w:tc>
          <w:tcPr>
            <w:tcW w:w="1244" w:type="dxa"/>
            <w:shd w:val="clear" w:color="auto" w:fill="auto"/>
            <w:noWrap/>
            <w:hideMark/>
          </w:tcPr>
          <w:p w14:paraId="7D8A8449"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hideMark/>
          </w:tcPr>
          <w:p w14:paraId="4601D211" w14:textId="77777777" w:rsidR="008C179D" w:rsidRPr="008C179D" w:rsidRDefault="008C179D" w:rsidP="00CB304C">
            <w:pPr>
              <w:suppressAutoHyphens w:val="0"/>
              <w:spacing w:before="40" w:after="40" w:line="220" w:lineRule="exact"/>
              <w:jc w:val="right"/>
              <w:rPr>
                <w:sz w:val="18"/>
              </w:rPr>
            </w:pPr>
            <w:r w:rsidRPr="008C179D">
              <w:rPr>
                <w:sz w:val="18"/>
                <w:lang w:val="fr-FR"/>
              </w:rPr>
              <w:t>18 000</w:t>
            </w:r>
          </w:p>
        </w:tc>
        <w:tc>
          <w:tcPr>
            <w:tcW w:w="1244" w:type="dxa"/>
            <w:shd w:val="clear" w:color="auto" w:fill="auto"/>
            <w:noWrap/>
            <w:hideMark/>
          </w:tcPr>
          <w:p w14:paraId="4EE49F3B"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hideMark/>
          </w:tcPr>
          <w:p w14:paraId="33BD7818" w14:textId="77777777" w:rsidR="008C179D" w:rsidRPr="008C179D" w:rsidRDefault="008C179D" w:rsidP="00CB304C">
            <w:pPr>
              <w:suppressAutoHyphens w:val="0"/>
              <w:spacing w:before="40" w:after="40" w:line="220" w:lineRule="exact"/>
              <w:jc w:val="right"/>
              <w:rPr>
                <w:sz w:val="18"/>
              </w:rPr>
            </w:pPr>
            <w:r w:rsidRPr="008C179D">
              <w:rPr>
                <w:sz w:val="18"/>
                <w:lang w:val="fr-FR"/>
              </w:rPr>
              <w:t>18 000</w:t>
            </w:r>
          </w:p>
        </w:tc>
        <w:tc>
          <w:tcPr>
            <w:tcW w:w="1344" w:type="dxa"/>
            <w:shd w:val="clear" w:color="auto" w:fill="auto"/>
            <w:noWrap/>
            <w:hideMark/>
          </w:tcPr>
          <w:p w14:paraId="06B50C82"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837" w:type="dxa"/>
            <w:shd w:val="clear" w:color="auto" w:fill="auto"/>
            <w:hideMark/>
          </w:tcPr>
          <w:p w14:paraId="6AAD9E42" w14:textId="77777777" w:rsidR="008C179D" w:rsidRPr="008C179D" w:rsidRDefault="008C179D" w:rsidP="00CB304C">
            <w:pPr>
              <w:suppressAutoHyphens w:val="0"/>
              <w:spacing w:before="40" w:after="40" w:line="220" w:lineRule="exact"/>
              <w:jc w:val="right"/>
              <w:rPr>
                <w:sz w:val="18"/>
              </w:rPr>
            </w:pPr>
            <w:r w:rsidRPr="008C179D">
              <w:rPr>
                <w:sz w:val="18"/>
                <w:lang w:val="fr-FR"/>
              </w:rPr>
              <w:t>18 000</w:t>
            </w:r>
          </w:p>
        </w:tc>
      </w:tr>
      <w:tr w:rsidR="008C179D" w:rsidRPr="008C179D" w14:paraId="37C6D6D9" w14:textId="77777777" w:rsidTr="00CB304C">
        <w:tc>
          <w:tcPr>
            <w:tcW w:w="1276" w:type="dxa"/>
            <w:tcBorders>
              <w:bottom w:val="single" w:sz="4" w:space="0" w:color="auto"/>
            </w:tcBorders>
            <w:shd w:val="clear" w:color="auto" w:fill="auto"/>
            <w:hideMark/>
          </w:tcPr>
          <w:p w14:paraId="25934DAB"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vAlign w:val="bottom"/>
            <w:hideMark/>
          </w:tcPr>
          <w:p w14:paraId="1F17560A"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et indemnités journalières de subsistance (personnel en mission)</w:t>
            </w:r>
            <w:r w:rsidRPr="00480188">
              <w:rPr>
                <w:i/>
                <w:sz w:val="18"/>
                <w:vertAlign w:val="superscript"/>
                <w:lang w:val="fr-FR"/>
              </w:rPr>
              <w:t>d</w:t>
            </w:r>
            <w:r w:rsidRPr="008C179D">
              <w:rPr>
                <w:sz w:val="18"/>
                <w:lang w:val="fr-FR"/>
              </w:rPr>
              <w:t>, et</w:t>
            </w:r>
            <w:r w:rsidR="00CB304C">
              <w:rPr>
                <w:sz w:val="18"/>
                <w:lang w:val="fr-FR"/>
              </w:rPr>
              <w:t xml:space="preserve"> </w:t>
            </w:r>
            <w:r w:rsidRPr="008C179D">
              <w:rPr>
                <w:sz w:val="18"/>
                <w:lang w:val="fr-FR"/>
              </w:rPr>
              <w:t>participation aux manifestations pertinentes lorsqu</w:t>
            </w:r>
            <w:r w:rsidR="00457C42">
              <w:rPr>
                <w:sz w:val="18"/>
                <w:lang w:val="fr-FR"/>
              </w:rPr>
              <w:t>’</w:t>
            </w:r>
            <w:r w:rsidRPr="008C179D">
              <w:rPr>
                <w:sz w:val="18"/>
                <w:lang w:val="fr-FR"/>
              </w:rPr>
              <w:t>aucune autre source de</w:t>
            </w:r>
            <w:r w:rsidR="00480188">
              <w:rPr>
                <w:sz w:val="18"/>
                <w:lang w:val="fr-FR"/>
              </w:rPr>
              <w:t> </w:t>
            </w:r>
            <w:r w:rsidRPr="008C179D">
              <w:rPr>
                <w:sz w:val="18"/>
                <w:lang w:val="fr-FR"/>
              </w:rPr>
              <w:t>financement n</w:t>
            </w:r>
            <w:r w:rsidR="00457C42">
              <w:rPr>
                <w:sz w:val="18"/>
                <w:lang w:val="fr-FR"/>
              </w:rPr>
              <w:t>’</w:t>
            </w:r>
            <w:r w:rsidRPr="008C179D">
              <w:rPr>
                <w:sz w:val="18"/>
                <w:lang w:val="fr-FR"/>
              </w:rPr>
              <w:t>existe</w:t>
            </w:r>
          </w:p>
        </w:tc>
        <w:tc>
          <w:tcPr>
            <w:tcW w:w="1260" w:type="dxa"/>
            <w:tcBorders>
              <w:bottom w:val="single" w:sz="4" w:space="0" w:color="auto"/>
            </w:tcBorders>
            <w:shd w:val="clear" w:color="auto" w:fill="auto"/>
            <w:hideMark/>
          </w:tcPr>
          <w:p w14:paraId="5D4C8AF5"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9" w:type="dxa"/>
            <w:tcBorders>
              <w:bottom w:val="single" w:sz="4" w:space="0" w:color="auto"/>
            </w:tcBorders>
            <w:shd w:val="clear" w:color="auto" w:fill="auto"/>
            <w:hideMark/>
          </w:tcPr>
          <w:p w14:paraId="5C7BC43A" w14:textId="77777777" w:rsidR="008C179D" w:rsidRPr="008C179D" w:rsidRDefault="008C179D" w:rsidP="00CB304C">
            <w:pPr>
              <w:suppressAutoHyphens w:val="0"/>
              <w:spacing w:before="40" w:after="40" w:line="220" w:lineRule="exact"/>
              <w:jc w:val="right"/>
              <w:rPr>
                <w:sz w:val="18"/>
              </w:rPr>
            </w:pPr>
            <w:r w:rsidRPr="008C179D">
              <w:rPr>
                <w:sz w:val="18"/>
                <w:lang w:val="fr-FR"/>
              </w:rPr>
              <w:t>7 500</w:t>
            </w:r>
          </w:p>
        </w:tc>
        <w:tc>
          <w:tcPr>
            <w:tcW w:w="1244" w:type="dxa"/>
            <w:tcBorders>
              <w:bottom w:val="single" w:sz="4" w:space="0" w:color="auto"/>
            </w:tcBorders>
            <w:shd w:val="clear" w:color="auto" w:fill="auto"/>
            <w:noWrap/>
            <w:hideMark/>
          </w:tcPr>
          <w:p w14:paraId="1323BC24"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bottom w:val="single" w:sz="4" w:space="0" w:color="auto"/>
            </w:tcBorders>
            <w:shd w:val="clear" w:color="auto" w:fill="auto"/>
            <w:noWrap/>
            <w:hideMark/>
          </w:tcPr>
          <w:p w14:paraId="5CF5671A" w14:textId="77777777" w:rsidR="008C179D" w:rsidRPr="008C179D" w:rsidRDefault="008C179D" w:rsidP="00CB304C">
            <w:pPr>
              <w:suppressAutoHyphens w:val="0"/>
              <w:spacing w:before="40" w:after="40" w:line="220" w:lineRule="exact"/>
              <w:jc w:val="right"/>
              <w:rPr>
                <w:sz w:val="18"/>
              </w:rPr>
            </w:pPr>
            <w:r w:rsidRPr="008C179D">
              <w:rPr>
                <w:sz w:val="18"/>
                <w:lang w:val="fr-FR"/>
              </w:rPr>
              <w:t>7 500</w:t>
            </w:r>
          </w:p>
        </w:tc>
        <w:tc>
          <w:tcPr>
            <w:tcW w:w="1244" w:type="dxa"/>
            <w:tcBorders>
              <w:bottom w:val="single" w:sz="4" w:space="0" w:color="auto"/>
            </w:tcBorders>
            <w:shd w:val="clear" w:color="auto" w:fill="auto"/>
            <w:noWrap/>
            <w:hideMark/>
          </w:tcPr>
          <w:p w14:paraId="4D8128DC"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bottom w:val="single" w:sz="4" w:space="0" w:color="auto"/>
            </w:tcBorders>
            <w:shd w:val="clear" w:color="auto" w:fill="auto"/>
            <w:noWrap/>
            <w:hideMark/>
          </w:tcPr>
          <w:p w14:paraId="6F0966A5" w14:textId="77777777" w:rsidR="008C179D" w:rsidRPr="008C179D" w:rsidRDefault="008C179D" w:rsidP="00CB304C">
            <w:pPr>
              <w:suppressAutoHyphens w:val="0"/>
              <w:spacing w:before="40" w:after="40" w:line="220" w:lineRule="exact"/>
              <w:jc w:val="right"/>
              <w:rPr>
                <w:sz w:val="18"/>
              </w:rPr>
            </w:pPr>
            <w:r w:rsidRPr="008C179D">
              <w:rPr>
                <w:sz w:val="18"/>
                <w:lang w:val="fr-FR"/>
              </w:rPr>
              <w:t>7 500</w:t>
            </w:r>
          </w:p>
        </w:tc>
        <w:tc>
          <w:tcPr>
            <w:tcW w:w="1244" w:type="dxa"/>
            <w:tcBorders>
              <w:bottom w:val="single" w:sz="4" w:space="0" w:color="auto"/>
            </w:tcBorders>
            <w:shd w:val="clear" w:color="auto" w:fill="auto"/>
            <w:noWrap/>
            <w:hideMark/>
          </w:tcPr>
          <w:p w14:paraId="56B3C944"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bottom w:val="single" w:sz="4" w:space="0" w:color="auto"/>
            </w:tcBorders>
            <w:shd w:val="clear" w:color="auto" w:fill="auto"/>
            <w:noWrap/>
            <w:hideMark/>
          </w:tcPr>
          <w:p w14:paraId="4A3D2353" w14:textId="77777777" w:rsidR="008C179D" w:rsidRPr="008C179D" w:rsidRDefault="008C179D" w:rsidP="00CB304C">
            <w:pPr>
              <w:suppressAutoHyphens w:val="0"/>
              <w:spacing w:before="40" w:after="40" w:line="220" w:lineRule="exact"/>
              <w:jc w:val="right"/>
              <w:rPr>
                <w:sz w:val="18"/>
              </w:rPr>
            </w:pPr>
            <w:r w:rsidRPr="008C179D">
              <w:rPr>
                <w:sz w:val="18"/>
                <w:lang w:val="fr-FR"/>
              </w:rPr>
              <w:t>7 500</w:t>
            </w:r>
          </w:p>
        </w:tc>
        <w:tc>
          <w:tcPr>
            <w:tcW w:w="1344" w:type="dxa"/>
            <w:tcBorders>
              <w:bottom w:val="single" w:sz="4" w:space="0" w:color="auto"/>
            </w:tcBorders>
            <w:shd w:val="clear" w:color="auto" w:fill="auto"/>
            <w:noWrap/>
            <w:hideMark/>
          </w:tcPr>
          <w:p w14:paraId="2680F707"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837" w:type="dxa"/>
            <w:tcBorders>
              <w:bottom w:val="single" w:sz="4" w:space="0" w:color="auto"/>
            </w:tcBorders>
            <w:shd w:val="clear" w:color="auto" w:fill="auto"/>
            <w:noWrap/>
            <w:hideMark/>
          </w:tcPr>
          <w:p w14:paraId="3C919325" w14:textId="77777777" w:rsidR="008C179D" w:rsidRPr="008C179D" w:rsidRDefault="008C179D" w:rsidP="00CB304C">
            <w:pPr>
              <w:suppressAutoHyphens w:val="0"/>
              <w:spacing w:before="40" w:after="40" w:line="220" w:lineRule="exact"/>
              <w:jc w:val="right"/>
              <w:rPr>
                <w:sz w:val="18"/>
              </w:rPr>
            </w:pPr>
            <w:r w:rsidRPr="008C179D">
              <w:rPr>
                <w:sz w:val="18"/>
                <w:lang w:val="fr-FR"/>
              </w:rPr>
              <w:t>7 500</w:t>
            </w:r>
          </w:p>
        </w:tc>
      </w:tr>
      <w:tr w:rsidR="008C179D" w:rsidRPr="00480188" w14:paraId="436798F5" w14:textId="77777777" w:rsidTr="00480188">
        <w:tc>
          <w:tcPr>
            <w:tcW w:w="3455" w:type="dxa"/>
            <w:gridSpan w:val="2"/>
            <w:tcBorders>
              <w:top w:val="single" w:sz="4" w:space="0" w:color="auto"/>
              <w:bottom w:val="single" w:sz="4" w:space="0" w:color="auto"/>
            </w:tcBorders>
            <w:shd w:val="clear" w:color="auto" w:fill="auto"/>
            <w:hideMark/>
          </w:tcPr>
          <w:p w14:paraId="622D0597" w14:textId="77777777" w:rsidR="008C179D" w:rsidRPr="00480188" w:rsidRDefault="008C179D" w:rsidP="00CB304C">
            <w:pPr>
              <w:suppressAutoHyphens w:val="0"/>
              <w:spacing w:before="80" w:after="80" w:line="220" w:lineRule="exact"/>
              <w:ind w:left="284"/>
              <w:rPr>
                <w:b/>
                <w:bCs/>
                <w:sz w:val="18"/>
              </w:rPr>
            </w:pPr>
            <w:r w:rsidRPr="00480188">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743C6BFC"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119 000</w:t>
            </w:r>
          </w:p>
        </w:tc>
        <w:tc>
          <w:tcPr>
            <w:tcW w:w="789" w:type="dxa"/>
            <w:tcBorders>
              <w:top w:val="single" w:sz="4" w:space="0" w:color="auto"/>
              <w:bottom w:val="single" w:sz="4" w:space="0" w:color="auto"/>
            </w:tcBorders>
            <w:shd w:val="clear" w:color="auto" w:fill="auto"/>
            <w:vAlign w:val="bottom"/>
            <w:hideMark/>
          </w:tcPr>
          <w:p w14:paraId="4D07A599"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34 500</w:t>
            </w:r>
          </w:p>
        </w:tc>
        <w:tc>
          <w:tcPr>
            <w:tcW w:w="1244" w:type="dxa"/>
            <w:tcBorders>
              <w:top w:val="single" w:sz="4" w:space="0" w:color="auto"/>
              <w:bottom w:val="single" w:sz="4" w:space="0" w:color="auto"/>
            </w:tcBorders>
            <w:shd w:val="clear" w:color="auto" w:fill="auto"/>
            <w:vAlign w:val="bottom"/>
            <w:hideMark/>
          </w:tcPr>
          <w:p w14:paraId="3968AC95"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119 000</w:t>
            </w:r>
          </w:p>
        </w:tc>
        <w:tc>
          <w:tcPr>
            <w:tcW w:w="787" w:type="dxa"/>
            <w:tcBorders>
              <w:top w:val="single" w:sz="4" w:space="0" w:color="auto"/>
              <w:bottom w:val="single" w:sz="4" w:space="0" w:color="auto"/>
            </w:tcBorders>
            <w:shd w:val="clear" w:color="auto" w:fill="auto"/>
            <w:vAlign w:val="bottom"/>
            <w:hideMark/>
          </w:tcPr>
          <w:p w14:paraId="7FB1AD56"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34 500</w:t>
            </w:r>
          </w:p>
        </w:tc>
        <w:tc>
          <w:tcPr>
            <w:tcW w:w="1244" w:type="dxa"/>
            <w:tcBorders>
              <w:top w:val="single" w:sz="4" w:space="0" w:color="auto"/>
              <w:bottom w:val="single" w:sz="4" w:space="0" w:color="auto"/>
            </w:tcBorders>
            <w:shd w:val="clear" w:color="auto" w:fill="auto"/>
            <w:vAlign w:val="bottom"/>
            <w:hideMark/>
          </w:tcPr>
          <w:p w14:paraId="5E53BAF2"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119 000</w:t>
            </w:r>
          </w:p>
        </w:tc>
        <w:tc>
          <w:tcPr>
            <w:tcW w:w="787" w:type="dxa"/>
            <w:tcBorders>
              <w:top w:val="single" w:sz="4" w:space="0" w:color="auto"/>
              <w:bottom w:val="single" w:sz="4" w:space="0" w:color="auto"/>
            </w:tcBorders>
            <w:shd w:val="clear" w:color="auto" w:fill="auto"/>
            <w:vAlign w:val="bottom"/>
            <w:hideMark/>
          </w:tcPr>
          <w:p w14:paraId="4D37B5BF"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34 500</w:t>
            </w:r>
          </w:p>
        </w:tc>
        <w:tc>
          <w:tcPr>
            <w:tcW w:w="1244" w:type="dxa"/>
            <w:tcBorders>
              <w:top w:val="single" w:sz="4" w:space="0" w:color="auto"/>
              <w:bottom w:val="single" w:sz="4" w:space="0" w:color="auto"/>
            </w:tcBorders>
            <w:shd w:val="clear" w:color="auto" w:fill="auto"/>
            <w:vAlign w:val="bottom"/>
            <w:hideMark/>
          </w:tcPr>
          <w:p w14:paraId="6D444670"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119 000</w:t>
            </w:r>
          </w:p>
        </w:tc>
        <w:tc>
          <w:tcPr>
            <w:tcW w:w="787" w:type="dxa"/>
            <w:tcBorders>
              <w:top w:val="single" w:sz="4" w:space="0" w:color="auto"/>
              <w:bottom w:val="single" w:sz="4" w:space="0" w:color="auto"/>
            </w:tcBorders>
            <w:shd w:val="clear" w:color="auto" w:fill="auto"/>
            <w:vAlign w:val="bottom"/>
            <w:hideMark/>
          </w:tcPr>
          <w:p w14:paraId="6F4F1FA9"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34 500</w:t>
            </w:r>
          </w:p>
        </w:tc>
        <w:tc>
          <w:tcPr>
            <w:tcW w:w="1344" w:type="dxa"/>
            <w:tcBorders>
              <w:top w:val="single" w:sz="4" w:space="0" w:color="auto"/>
              <w:bottom w:val="single" w:sz="4" w:space="0" w:color="auto"/>
            </w:tcBorders>
            <w:shd w:val="clear" w:color="auto" w:fill="auto"/>
            <w:vAlign w:val="bottom"/>
            <w:hideMark/>
          </w:tcPr>
          <w:p w14:paraId="497E82AA"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119 000</w:t>
            </w:r>
          </w:p>
        </w:tc>
        <w:tc>
          <w:tcPr>
            <w:tcW w:w="837" w:type="dxa"/>
            <w:tcBorders>
              <w:top w:val="single" w:sz="4" w:space="0" w:color="auto"/>
              <w:bottom w:val="single" w:sz="4" w:space="0" w:color="auto"/>
            </w:tcBorders>
            <w:shd w:val="clear" w:color="auto" w:fill="auto"/>
            <w:vAlign w:val="bottom"/>
            <w:hideMark/>
          </w:tcPr>
          <w:p w14:paraId="15679FBB" w14:textId="77777777" w:rsidR="008C179D" w:rsidRPr="00480188" w:rsidRDefault="008C179D" w:rsidP="00480188">
            <w:pPr>
              <w:suppressAutoHyphens w:val="0"/>
              <w:spacing w:before="80" w:after="80" w:line="220" w:lineRule="exact"/>
              <w:jc w:val="right"/>
              <w:rPr>
                <w:b/>
                <w:bCs/>
                <w:sz w:val="18"/>
              </w:rPr>
            </w:pPr>
            <w:r w:rsidRPr="00480188">
              <w:rPr>
                <w:b/>
                <w:bCs/>
                <w:sz w:val="18"/>
                <w:lang w:val="fr-FR"/>
              </w:rPr>
              <w:t>34 500</w:t>
            </w:r>
          </w:p>
        </w:tc>
      </w:tr>
      <w:tr w:rsidR="008C179D" w:rsidRPr="008C179D" w14:paraId="3552EAD5" w14:textId="77777777" w:rsidTr="00CB304C">
        <w:trPr>
          <w:cantSplit/>
        </w:trPr>
        <w:tc>
          <w:tcPr>
            <w:tcW w:w="1276" w:type="dxa"/>
            <w:vMerge w:val="restart"/>
            <w:tcBorders>
              <w:top w:val="single" w:sz="4" w:space="0" w:color="auto"/>
            </w:tcBorders>
            <w:shd w:val="clear" w:color="auto" w:fill="auto"/>
            <w:hideMark/>
          </w:tcPr>
          <w:p w14:paraId="7863C88A" w14:textId="77777777" w:rsidR="008C179D" w:rsidRPr="008C179D" w:rsidRDefault="008C179D" w:rsidP="00C24087">
            <w:pPr>
              <w:keepNext/>
              <w:keepLines/>
              <w:suppressAutoHyphens w:val="0"/>
              <w:spacing w:before="40" w:after="40" w:line="220" w:lineRule="exact"/>
              <w:rPr>
                <w:sz w:val="18"/>
                <w:lang w:val="fr-FR"/>
              </w:rPr>
            </w:pPr>
            <w:r w:rsidRPr="008C179D">
              <w:rPr>
                <w:sz w:val="18"/>
                <w:lang w:val="fr-FR"/>
              </w:rPr>
              <w:lastRenderedPageBreak/>
              <w:t>IX. Promotion des principes de</w:t>
            </w:r>
            <w:r w:rsidR="0086540D">
              <w:rPr>
                <w:sz w:val="18"/>
                <w:lang w:val="fr-FR"/>
              </w:rPr>
              <w:t xml:space="preserve"> </w:t>
            </w:r>
            <w:r w:rsidRPr="008C179D">
              <w:rPr>
                <w:sz w:val="18"/>
                <w:lang w:val="fr-FR"/>
              </w:rPr>
              <w:t>la Convention dans les instances internationales, promotion des Lignes directrices d</w:t>
            </w:r>
            <w:r w:rsidR="00457C42">
              <w:rPr>
                <w:sz w:val="18"/>
                <w:lang w:val="fr-FR"/>
              </w:rPr>
              <w:t>’</w:t>
            </w:r>
            <w:r w:rsidRPr="008C179D">
              <w:rPr>
                <w:sz w:val="18"/>
                <w:lang w:val="fr-FR"/>
              </w:rPr>
              <w:t>Almaty et d</w:t>
            </w:r>
            <w:r w:rsidR="00457C42">
              <w:rPr>
                <w:sz w:val="18"/>
                <w:lang w:val="fr-FR"/>
              </w:rPr>
              <w:t>’</w:t>
            </w:r>
            <w:r w:rsidRPr="008C179D">
              <w:rPr>
                <w:sz w:val="18"/>
                <w:lang w:val="fr-FR"/>
              </w:rPr>
              <w:t>autres formes d</w:t>
            </w:r>
            <w:r w:rsidR="00457C42">
              <w:rPr>
                <w:sz w:val="18"/>
                <w:lang w:val="fr-FR"/>
              </w:rPr>
              <w:t>’</w:t>
            </w:r>
            <w:r w:rsidRPr="008C179D">
              <w:rPr>
                <w:sz w:val="18"/>
                <w:lang w:val="fr-FR"/>
              </w:rPr>
              <w:t>interaction avec les organismes et processus internationaux concernés</w:t>
            </w:r>
          </w:p>
        </w:tc>
        <w:tc>
          <w:tcPr>
            <w:tcW w:w="2179" w:type="dxa"/>
            <w:tcBorders>
              <w:top w:val="single" w:sz="4" w:space="0" w:color="auto"/>
            </w:tcBorders>
            <w:shd w:val="clear" w:color="auto" w:fill="auto"/>
            <w:vAlign w:val="bottom"/>
            <w:hideMark/>
          </w:tcPr>
          <w:p w14:paraId="271158A9" w14:textId="77777777" w:rsidR="008C179D" w:rsidRPr="008C179D" w:rsidRDefault="008C179D" w:rsidP="000439D2">
            <w:pPr>
              <w:keepNext/>
              <w:keepLines/>
              <w:suppressAutoHyphens w:val="0"/>
              <w:spacing w:before="40" w:after="40" w:line="220" w:lineRule="exact"/>
              <w:ind w:left="57"/>
              <w:rPr>
                <w:sz w:val="18"/>
                <w:lang w:val="fr-FR"/>
              </w:rPr>
            </w:pPr>
            <w:proofErr w:type="spellStart"/>
            <w:r w:rsidRPr="008C179D">
              <w:rPr>
                <w:sz w:val="18"/>
                <w:lang w:val="fr-FR"/>
              </w:rPr>
              <w:t>Administrateurs</w:t>
            </w:r>
            <w:r w:rsidRPr="00480188">
              <w:rPr>
                <w:i/>
                <w:sz w:val="18"/>
                <w:vertAlign w:val="superscript"/>
                <w:lang w:val="fr-FR"/>
              </w:rPr>
              <w:t>c</w:t>
            </w:r>
            <w:proofErr w:type="spellEnd"/>
            <w:r w:rsidRPr="008C179D">
              <w:rPr>
                <w:sz w:val="18"/>
                <w:lang w:val="fr-FR"/>
              </w:rPr>
              <w:t> : 2</w:t>
            </w:r>
            <w:r w:rsidR="00480188">
              <w:rPr>
                <w:sz w:val="18"/>
                <w:lang w:val="fr-FR"/>
              </w:rPr>
              <w:t> </w:t>
            </w:r>
            <w:r w:rsidRPr="008C179D">
              <w:rPr>
                <w:sz w:val="18"/>
                <w:lang w:val="fr-FR"/>
              </w:rPr>
              <w:t>fonctionnaires P-3, l</w:t>
            </w:r>
            <w:r w:rsidR="00457C42">
              <w:rPr>
                <w:sz w:val="18"/>
                <w:lang w:val="fr-FR"/>
              </w:rPr>
              <w:t>’</w:t>
            </w:r>
            <w:r w:rsidRPr="008C179D">
              <w:rPr>
                <w:sz w:val="18"/>
                <w:lang w:val="fr-FR"/>
              </w:rPr>
              <w:t>un à</w:t>
            </w:r>
            <w:r w:rsidR="00480188">
              <w:rPr>
                <w:sz w:val="18"/>
                <w:lang w:val="fr-FR"/>
              </w:rPr>
              <w:t> </w:t>
            </w:r>
            <w:r w:rsidRPr="008C179D">
              <w:rPr>
                <w:sz w:val="18"/>
                <w:lang w:val="fr-FR"/>
              </w:rPr>
              <w:t>50 % d</w:t>
            </w:r>
            <w:r w:rsidR="00457C42">
              <w:rPr>
                <w:sz w:val="18"/>
                <w:lang w:val="fr-FR"/>
              </w:rPr>
              <w:t>’</w:t>
            </w:r>
            <w:r w:rsidRPr="008C179D">
              <w:rPr>
                <w:sz w:val="18"/>
                <w:lang w:val="fr-FR"/>
              </w:rPr>
              <w:t>EPT et l</w:t>
            </w:r>
            <w:r w:rsidR="00457C42">
              <w:rPr>
                <w:sz w:val="18"/>
                <w:lang w:val="fr-FR"/>
              </w:rPr>
              <w:t>’</w:t>
            </w:r>
            <w:r w:rsidRPr="008C179D">
              <w:rPr>
                <w:sz w:val="18"/>
                <w:lang w:val="fr-FR"/>
              </w:rPr>
              <w:t>autre à</w:t>
            </w:r>
            <w:r w:rsidR="0086540D">
              <w:rPr>
                <w:sz w:val="18"/>
                <w:lang w:val="fr-FR"/>
              </w:rPr>
              <w:t> </w:t>
            </w:r>
            <w:r w:rsidRPr="008C179D">
              <w:rPr>
                <w:sz w:val="18"/>
                <w:lang w:val="fr-FR"/>
              </w:rPr>
              <w:t>10 %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5F830F0E"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108 000</w:t>
            </w:r>
          </w:p>
        </w:tc>
        <w:tc>
          <w:tcPr>
            <w:tcW w:w="789" w:type="dxa"/>
            <w:tcBorders>
              <w:top w:val="single" w:sz="4" w:space="0" w:color="auto"/>
            </w:tcBorders>
            <w:shd w:val="clear" w:color="auto" w:fill="auto"/>
            <w:hideMark/>
          </w:tcPr>
          <w:p w14:paraId="41E566C0"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18A3A55A"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108 000</w:t>
            </w:r>
          </w:p>
        </w:tc>
        <w:tc>
          <w:tcPr>
            <w:tcW w:w="787" w:type="dxa"/>
            <w:tcBorders>
              <w:top w:val="single" w:sz="4" w:space="0" w:color="auto"/>
            </w:tcBorders>
            <w:shd w:val="clear" w:color="auto" w:fill="auto"/>
            <w:hideMark/>
          </w:tcPr>
          <w:p w14:paraId="590B19C0"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19E7D376"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108 000</w:t>
            </w:r>
          </w:p>
        </w:tc>
        <w:tc>
          <w:tcPr>
            <w:tcW w:w="787" w:type="dxa"/>
            <w:tcBorders>
              <w:top w:val="single" w:sz="4" w:space="0" w:color="auto"/>
            </w:tcBorders>
            <w:shd w:val="clear" w:color="auto" w:fill="auto"/>
            <w:hideMark/>
          </w:tcPr>
          <w:p w14:paraId="6DA8213E"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66103D62"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108 000</w:t>
            </w:r>
          </w:p>
        </w:tc>
        <w:tc>
          <w:tcPr>
            <w:tcW w:w="787" w:type="dxa"/>
            <w:tcBorders>
              <w:top w:val="single" w:sz="4" w:space="0" w:color="auto"/>
            </w:tcBorders>
            <w:shd w:val="clear" w:color="auto" w:fill="auto"/>
            <w:hideMark/>
          </w:tcPr>
          <w:p w14:paraId="180FCE2B"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3164FAE0" w14:textId="77777777" w:rsidR="008C179D" w:rsidRPr="008C179D" w:rsidRDefault="008C179D" w:rsidP="00CB304C">
            <w:pPr>
              <w:keepNext/>
              <w:keepLines/>
              <w:suppressAutoHyphens w:val="0"/>
              <w:spacing w:before="40" w:after="40" w:line="220" w:lineRule="exact"/>
              <w:jc w:val="right"/>
              <w:rPr>
                <w:sz w:val="18"/>
              </w:rPr>
            </w:pPr>
            <w:r w:rsidRPr="008C179D">
              <w:rPr>
                <w:sz w:val="18"/>
                <w:lang w:val="fr-FR"/>
              </w:rPr>
              <w:t>108 000</w:t>
            </w:r>
          </w:p>
        </w:tc>
        <w:tc>
          <w:tcPr>
            <w:tcW w:w="837" w:type="dxa"/>
            <w:tcBorders>
              <w:top w:val="single" w:sz="4" w:space="0" w:color="auto"/>
            </w:tcBorders>
            <w:shd w:val="clear" w:color="auto" w:fill="auto"/>
            <w:hideMark/>
          </w:tcPr>
          <w:p w14:paraId="09F92025" w14:textId="77777777" w:rsidR="008C179D" w:rsidRPr="008C179D" w:rsidRDefault="008C673D" w:rsidP="00CB304C">
            <w:pPr>
              <w:keepNext/>
              <w:keepLines/>
              <w:suppressAutoHyphens w:val="0"/>
              <w:spacing w:before="40" w:after="40" w:line="220" w:lineRule="exact"/>
              <w:jc w:val="right"/>
              <w:rPr>
                <w:sz w:val="18"/>
              </w:rPr>
            </w:pPr>
            <w:r>
              <w:rPr>
                <w:sz w:val="18"/>
                <w:lang w:val="fr-FR"/>
              </w:rPr>
              <w:t>−</w:t>
            </w:r>
          </w:p>
        </w:tc>
      </w:tr>
      <w:tr w:rsidR="008C179D" w:rsidRPr="008C179D" w14:paraId="5D3EC553" w14:textId="77777777" w:rsidTr="00CB304C">
        <w:tc>
          <w:tcPr>
            <w:tcW w:w="1276" w:type="dxa"/>
            <w:vMerge/>
            <w:shd w:val="clear" w:color="auto" w:fill="auto"/>
            <w:hideMark/>
          </w:tcPr>
          <w:p w14:paraId="4907BA7B"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4889D700"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Contrats de consultants (études d</w:t>
            </w:r>
            <w:r w:rsidR="00457C42">
              <w:rPr>
                <w:sz w:val="18"/>
                <w:lang w:val="fr-FR"/>
              </w:rPr>
              <w:t>’</w:t>
            </w:r>
            <w:r w:rsidRPr="008C179D">
              <w:rPr>
                <w:sz w:val="18"/>
                <w:lang w:val="fr-FR"/>
              </w:rPr>
              <w:t>experts)</w:t>
            </w:r>
          </w:p>
        </w:tc>
        <w:tc>
          <w:tcPr>
            <w:tcW w:w="1260" w:type="dxa"/>
            <w:shd w:val="clear" w:color="auto" w:fill="auto"/>
            <w:hideMark/>
          </w:tcPr>
          <w:p w14:paraId="6B09FE6D"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9" w:type="dxa"/>
            <w:shd w:val="clear" w:color="auto" w:fill="auto"/>
            <w:hideMark/>
          </w:tcPr>
          <w:p w14:paraId="79729D38"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244" w:type="dxa"/>
            <w:shd w:val="clear" w:color="auto" w:fill="auto"/>
            <w:noWrap/>
            <w:hideMark/>
          </w:tcPr>
          <w:p w14:paraId="3D0676D6"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3C09D592"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244" w:type="dxa"/>
            <w:shd w:val="clear" w:color="auto" w:fill="auto"/>
            <w:noWrap/>
            <w:hideMark/>
          </w:tcPr>
          <w:p w14:paraId="6053161B"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6E84025E"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244" w:type="dxa"/>
            <w:shd w:val="clear" w:color="auto" w:fill="auto"/>
            <w:noWrap/>
            <w:hideMark/>
          </w:tcPr>
          <w:p w14:paraId="595BB3F4"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787" w:type="dxa"/>
            <w:shd w:val="clear" w:color="auto" w:fill="auto"/>
            <w:noWrap/>
            <w:hideMark/>
          </w:tcPr>
          <w:p w14:paraId="2E136F62"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c>
          <w:tcPr>
            <w:tcW w:w="1344" w:type="dxa"/>
            <w:shd w:val="clear" w:color="auto" w:fill="auto"/>
            <w:noWrap/>
            <w:hideMark/>
          </w:tcPr>
          <w:p w14:paraId="3AA4D0FA" w14:textId="77777777" w:rsidR="008C179D" w:rsidRPr="008C179D" w:rsidRDefault="008C179D" w:rsidP="00CB304C">
            <w:pPr>
              <w:suppressAutoHyphens w:val="0"/>
              <w:spacing w:before="40" w:after="40" w:line="220" w:lineRule="exact"/>
              <w:jc w:val="right"/>
              <w:rPr>
                <w:sz w:val="18"/>
              </w:rPr>
            </w:pPr>
            <w:r w:rsidRPr="008C179D">
              <w:rPr>
                <w:sz w:val="18"/>
                <w:lang w:val="fr-FR"/>
              </w:rPr>
              <w:t>2 000</w:t>
            </w:r>
          </w:p>
        </w:tc>
        <w:tc>
          <w:tcPr>
            <w:tcW w:w="837" w:type="dxa"/>
            <w:shd w:val="clear" w:color="auto" w:fill="auto"/>
            <w:noWrap/>
            <w:hideMark/>
          </w:tcPr>
          <w:p w14:paraId="5FF1E082" w14:textId="77777777" w:rsidR="008C179D" w:rsidRPr="008C179D" w:rsidRDefault="008C179D" w:rsidP="00CB304C">
            <w:pPr>
              <w:suppressAutoHyphens w:val="0"/>
              <w:spacing w:before="40" w:after="40" w:line="220" w:lineRule="exact"/>
              <w:jc w:val="right"/>
              <w:rPr>
                <w:sz w:val="18"/>
              </w:rPr>
            </w:pPr>
            <w:r w:rsidRPr="008C179D">
              <w:rPr>
                <w:sz w:val="18"/>
                <w:lang w:val="fr-FR"/>
              </w:rPr>
              <w:t>3 000</w:t>
            </w:r>
          </w:p>
        </w:tc>
      </w:tr>
      <w:tr w:rsidR="008C179D" w:rsidRPr="008C179D" w14:paraId="3139F81C" w14:textId="77777777" w:rsidTr="00CB304C">
        <w:tc>
          <w:tcPr>
            <w:tcW w:w="1276" w:type="dxa"/>
            <w:vMerge/>
            <w:shd w:val="clear" w:color="auto" w:fill="auto"/>
            <w:hideMark/>
          </w:tcPr>
          <w:p w14:paraId="4C24E2C9"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3E1D067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et indemnités journalières de subsistance (experts en mission)</w:t>
            </w:r>
          </w:p>
        </w:tc>
        <w:tc>
          <w:tcPr>
            <w:tcW w:w="1260" w:type="dxa"/>
            <w:shd w:val="clear" w:color="auto" w:fill="auto"/>
            <w:hideMark/>
          </w:tcPr>
          <w:p w14:paraId="7A8F08EE"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9" w:type="dxa"/>
            <w:shd w:val="clear" w:color="auto" w:fill="auto"/>
            <w:hideMark/>
          </w:tcPr>
          <w:p w14:paraId="5C5687A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7E9EC870"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noWrap/>
            <w:hideMark/>
          </w:tcPr>
          <w:p w14:paraId="2C7C686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3BBEDB44"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noWrap/>
            <w:hideMark/>
          </w:tcPr>
          <w:p w14:paraId="23EE85F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1096FCED"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noWrap/>
            <w:hideMark/>
          </w:tcPr>
          <w:p w14:paraId="0B71C48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268E0E65"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837" w:type="dxa"/>
            <w:shd w:val="clear" w:color="auto" w:fill="auto"/>
            <w:noWrap/>
            <w:hideMark/>
          </w:tcPr>
          <w:p w14:paraId="32CB02DF"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7D2E30EA" w14:textId="77777777" w:rsidTr="00CB304C">
        <w:tc>
          <w:tcPr>
            <w:tcW w:w="1276" w:type="dxa"/>
            <w:vMerge/>
            <w:tcBorders>
              <w:bottom w:val="single" w:sz="4" w:space="0" w:color="auto"/>
            </w:tcBorders>
            <w:shd w:val="clear" w:color="auto" w:fill="auto"/>
            <w:hideMark/>
          </w:tcPr>
          <w:p w14:paraId="17F00E82"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hideMark/>
          </w:tcPr>
          <w:p w14:paraId="6F695DE0" w14:textId="77777777" w:rsidR="008C179D" w:rsidRPr="008C179D" w:rsidRDefault="008C179D" w:rsidP="00CB304C">
            <w:pPr>
              <w:suppressAutoHyphens w:val="0"/>
              <w:spacing w:before="40" w:after="40" w:line="220" w:lineRule="exact"/>
              <w:ind w:left="57"/>
              <w:rPr>
                <w:sz w:val="18"/>
                <w:lang w:val="fr-FR"/>
              </w:rPr>
            </w:pPr>
            <w:r w:rsidRPr="008C179D">
              <w:rPr>
                <w:sz w:val="18"/>
                <w:lang w:val="fr-FR"/>
              </w:rPr>
              <w:t>Frais de voyage et indemnités journalières de subsistance (personnel en mission)</w:t>
            </w:r>
            <w:r w:rsidRPr="0086540D">
              <w:rPr>
                <w:i/>
                <w:sz w:val="18"/>
                <w:vertAlign w:val="superscript"/>
                <w:lang w:val="fr-FR"/>
              </w:rPr>
              <w:t>d</w:t>
            </w:r>
          </w:p>
        </w:tc>
        <w:tc>
          <w:tcPr>
            <w:tcW w:w="1260" w:type="dxa"/>
            <w:tcBorders>
              <w:bottom w:val="single" w:sz="4" w:space="0" w:color="auto"/>
            </w:tcBorders>
            <w:shd w:val="clear" w:color="auto" w:fill="auto"/>
            <w:hideMark/>
          </w:tcPr>
          <w:p w14:paraId="3843539C"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9" w:type="dxa"/>
            <w:tcBorders>
              <w:bottom w:val="single" w:sz="4" w:space="0" w:color="auto"/>
            </w:tcBorders>
            <w:shd w:val="clear" w:color="auto" w:fill="auto"/>
            <w:hideMark/>
          </w:tcPr>
          <w:p w14:paraId="09EB5D9E"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257336FD"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bottom w:val="single" w:sz="4" w:space="0" w:color="auto"/>
            </w:tcBorders>
            <w:shd w:val="clear" w:color="auto" w:fill="auto"/>
            <w:noWrap/>
            <w:hideMark/>
          </w:tcPr>
          <w:p w14:paraId="5011516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436D309D"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bottom w:val="single" w:sz="4" w:space="0" w:color="auto"/>
            </w:tcBorders>
            <w:shd w:val="clear" w:color="auto" w:fill="auto"/>
            <w:noWrap/>
            <w:hideMark/>
          </w:tcPr>
          <w:p w14:paraId="4EEEE075"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3D25D826"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787" w:type="dxa"/>
            <w:tcBorders>
              <w:bottom w:val="single" w:sz="4" w:space="0" w:color="auto"/>
            </w:tcBorders>
            <w:shd w:val="clear" w:color="auto" w:fill="auto"/>
            <w:noWrap/>
            <w:hideMark/>
          </w:tcPr>
          <w:p w14:paraId="6FE1F60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bottom w:val="single" w:sz="4" w:space="0" w:color="auto"/>
            </w:tcBorders>
            <w:shd w:val="clear" w:color="auto" w:fill="auto"/>
            <w:noWrap/>
            <w:hideMark/>
          </w:tcPr>
          <w:p w14:paraId="4AA77A26" w14:textId="77777777" w:rsidR="008C179D" w:rsidRPr="008C179D" w:rsidRDefault="008C179D" w:rsidP="00CB304C">
            <w:pPr>
              <w:suppressAutoHyphens w:val="0"/>
              <w:spacing w:before="40" w:after="40" w:line="220" w:lineRule="exact"/>
              <w:jc w:val="right"/>
              <w:rPr>
                <w:sz w:val="18"/>
              </w:rPr>
            </w:pPr>
            <w:r w:rsidRPr="008C179D">
              <w:rPr>
                <w:sz w:val="18"/>
                <w:lang w:val="fr-FR"/>
              </w:rPr>
              <w:t>10 000</w:t>
            </w:r>
          </w:p>
        </w:tc>
        <w:tc>
          <w:tcPr>
            <w:tcW w:w="837" w:type="dxa"/>
            <w:tcBorders>
              <w:bottom w:val="single" w:sz="4" w:space="0" w:color="auto"/>
            </w:tcBorders>
            <w:shd w:val="clear" w:color="auto" w:fill="auto"/>
            <w:noWrap/>
            <w:hideMark/>
          </w:tcPr>
          <w:p w14:paraId="1605F254"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6540D" w14:paraId="3E980CD8" w14:textId="77777777" w:rsidTr="0086540D">
        <w:tc>
          <w:tcPr>
            <w:tcW w:w="3455" w:type="dxa"/>
            <w:gridSpan w:val="2"/>
            <w:tcBorders>
              <w:top w:val="single" w:sz="4" w:space="0" w:color="auto"/>
              <w:bottom w:val="single" w:sz="4" w:space="0" w:color="auto"/>
            </w:tcBorders>
            <w:shd w:val="clear" w:color="auto" w:fill="auto"/>
            <w:hideMark/>
          </w:tcPr>
          <w:p w14:paraId="70178E3F" w14:textId="77777777" w:rsidR="008C179D" w:rsidRPr="0086540D" w:rsidRDefault="008C179D" w:rsidP="00CB304C">
            <w:pPr>
              <w:suppressAutoHyphens w:val="0"/>
              <w:spacing w:before="80" w:after="80" w:line="220" w:lineRule="exact"/>
              <w:ind w:left="284"/>
              <w:rPr>
                <w:b/>
                <w:bCs/>
                <w:sz w:val="18"/>
              </w:rPr>
            </w:pPr>
            <w:r w:rsidRPr="0086540D">
              <w:rPr>
                <w:b/>
                <w:bCs/>
                <w:sz w:val="18"/>
                <w:lang w:val="fr-FR"/>
              </w:rPr>
              <w:t>Total partiel</w:t>
            </w:r>
            <w:r w:rsidRPr="0086540D">
              <w:rPr>
                <w:b/>
                <w:sz w:val="18"/>
                <w:lang w:val="fr-FR"/>
              </w:rPr>
              <w:t xml:space="preserve"> </w:t>
            </w:r>
          </w:p>
        </w:tc>
        <w:tc>
          <w:tcPr>
            <w:tcW w:w="1260" w:type="dxa"/>
            <w:tcBorders>
              <w:top w:val="single" w:sz="4" w:space="0" w:color="auto"/>
              <w:bottom w:val="single" w:sz="4" w:space="0" w:color="auto"/>
            </w:tcBorders>
            <w:shd w:val="clear" w:color="auto" w:fill="auto"/>
            <w:vAlign w:val="bottom"/>
            <w:hideMark/>
          </w:tcPr>
          <w:p w14:paraId="52B8EFDC"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125 000</w:t>
            </w:r>
          </w:p>
        </w:tc>
        <w:tc>
          <w:tcPr>
            <w:tcW w:w="789" w:type="dxa"/>
            <w:tcBorders>
              <w:top w:val="single" w:sz="4" w:space="0" w:color="auto"/>
              <w:bottom w:val="single" w:sz="4" w:space="0" w:color="auto"/>
            </w:tcBorders>
            <w:shd w:val="clear" w:color="auto" w:fill="auto"/>
            <w:vAlign w:val="bottom"/>
            <w:hideMark/>
          </w:tcPr>
          <w:p w14:paraId="1BD6B732"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3 000</w:t>
            </w:r>
          </w:p>
        </w:tc>
        <w:tc>
          <w:tcPr>
            <w:tcW w:w="1244" w:type="dxa"/>
            <w:tcBorders>
              <w:top w:val="single" w:sz="4" w:space="0" w:color="auto"/>
              <w:bottom w:val="single" w:sz="4" w:space="0" w:color="auto"/>
            </w:tcBorders>
            <w:shd w:val="clear" w:color="auto" w:fill="auto"/>
            <w:vAlign w:val="bottom"/>
            <w:hideMark/>
          </w:tcPr>
          <w:p w14:paraId="173EBEB3"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125 000</w:t>
            </w:r>
          </w:p>
        </w:tc>
        <w:tc>
          <w:tcPr>
            <w:tcW w:w="787" w:type="dxa"/>
            <w:tcBorders>
              <w:top w:val="single" w:sz="4" w:space="0" w:color="auto"/>
              <w:bottom w:val="single" w:sz="4" w:space="0" w:color="auto"/>
            </w:tcBorders>
            <w:shd w:val="clear" w:color="auto" w:fill="auto"/>
            <w:vAlign w:val="bottom"/>
            <w:hideMark/>
          </w:tcPr>
          <w:p w14:paraId="5D26A215"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3 000</w:t>
            </w:r>
          </w:p>
        </w:tc>
        <w:tc>
          <w:tcPr>
            <w:tcW w:w="1244" w:type="dxa"/>
            <w:tcBorders>
              <w:top w:val="single" w:sz="4" w:space="0" w:color="auto"/>
              <w:bottom w:val="single" w:sz="4" w:space="0" w:color="auto"/>
            </w:tcBorders>
            <w:shd w:val="clear" w:color="auto" w:fill="auto"/>
            <w:vAlign w:val="bottom"/>
            <w:hideMark/>
          </w:tcPr>
          <w:p w14:paraId="2E24DD4A"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125 000</w:t>
            </w:r>
          </w:p>
        </w:tc>
        <w:tc>
          <w:tcPr>
            <w:tcW w:w="787" w:type="dxa"/>
            <w:tcBorders>
              <w:top w:val="single" w:sz="4" w:space="0" w:color="auto"/>
              <w:bottom w:val="single" w:sz="4" w:space="0" w:color="auto"/>
            </w:tcBorders>
            <w:shd w:val="clear" w:color="auto" w:fill="auto"/>
            <w:vAlign w:val="bottom"/>
            <w:hideMark/>
          </w:tcPr>
          <w:p w14:paraId="574A3BAB"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3 000</w:t>
            </w:r>
          </w:p>
        </w:tc>
        <w:tc>
          <w:tcPr>
            <w:tcW w:w="1244" w:type="dxa"/>
            <w:tcBorders>
              <w:top w:val="single" w:sz="4" w:space="0" w:color="auto"/>
              <w:bottom w:val="single" w:sz="4" w:space="0" w:color="auto"/>
            </w:tcBorders>
            <w:shd w:val="clear" w:color="auto" w:fill="auto"/>
            <w:noWrap/>
            <w:vAlign w:val="bottom"/>
            <w:hideMark/>
          </w:tcPr>
          <w:p w14:paraId="55DFFC84"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125 000</w:t>
            </w:r>
          </w:p>
        </w:tc>
        <w:tc>
          <w:tcPr>
            <w:tcW w:w="787" w:type="dxa"/>
            <w:tcBorders>
              <w:top w:val="single" w:sz="4" w:space="0" w:color="auto"/>
              <w:bottom w:val="single" w:sz="4" w:space="0" w:color="auto"/>
            </w:tcBorders>
            <w:shd w:val="clear" w:color="auto" w:fill="auto"/>
            <w:noWrap/>
            <w:vAlign w:val="bottom"/>
            <w:hideMark/>
          </w:tcPr>
          <w:p w14:paraId="0CE7354A"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3 000</w:t>
            </w:r>
          </w:p>
        </w:tc>
        <w:tc>
          <w:tcPr>
            <w:tcW w:w="1344" w:type="dxa"/>
            <w:tcBorders>
              <w:top w:val="single" w:sz="4" w:space="0" w:color="auto"/>
              <w:bottom w:val="single" w:sz="4" w:space="0" w:color="auto"/>
            </w:tcBorders>
            <w:shd w:val="clear" w:color="auto" w:fill="auto"/>
            <w:noWrap/>
            <w:vAlign w:val="bottom"/>
            <w:hideMark/>
          </w:tcPr>
          <w:p w14:paraId="1CF4097D"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125 000</w:t>
            </w:r>
          </w:p>
        </w:tc>
        <w:tc>
          <w:tcPr>
            <w:tcW w:w="837" w:type="dxa"/>
            <w:tcBorders>
              <w:top w:val="single" w:sz="4" w:space="0" w:color="auto"/>
              <w:bottom w:val="single" w:sz="4" w:space="0" w:color="auto"/>
            </w:tcBorders>
            <w:shd w:val="clear" w:color="auto" w:fill="auto"/>
            <w:noWrap/>
            <w:vAlign w:val="bottom"/>
            <w:hideMark/>
          </w:tcPr>
          <w:p w14:paraId="591CBD53"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3 000</w:t>
            </w:r>
          </w:p>
        </w:tc>
      </w:tr>
      <w:tr w:rsidR="008C179D" w:rsidRPr="008C179D" w14:paraId="2E0B2653" w14:textId="77777777" w:rsidTr="00CB304C">
        <w:tc>
          <w:tcPr>
            <w:tcW w:w="1276" w:type="dxa"/>
            <w:vMerge w:val="restart"/>
            <w:tcBorders>
              <w:top w:val="single" w:sz="4" w:space="0" w:color="auto"/>
            </w:tcBorders>
            <w:shd w:val="clear" w:color="auto" w:fill="auto"/>
            <w:hideMark/>
          </w:tcPr>
          <w:p w14:paraId="6A317F53" w14:textId="77777777" w:rsidR="008C179D" w:rsidRPr="008C179D" w:rsidRDefault="008C179D" w:rsidP="008C179D">
            <w:pPr>
              <w:suppressAutoHyphens w:val="0"/>
              <w:spacing w:before="40" w:after="40" w:line="220" w:lineRule="exact"/>
              <w:rPr>
                <w:sz w:val="18"/>
                <w:lang w:val="fr-FR"/>
              </w:rPr>
            </w:pPr>
            <w:r w:rsidRPr="008C179D">
              <w:rPr>
                <w:sz w:val="18"/>
                <w:lang w:val="fr-FR"/>
              </w:rPr>
              <w:t xml:space="preserve">X. Coordination et supervision des activités intersessions, </w:t>
            </w:r>
            <w:r w:rsidR="0050281E">
              <w:rPr>
                <w:sz w:val="18"/>
                <w:lang w:val="fr-FR"/>
              </w:rPr>
              <w:t>y compris</w:t>
            </w:r>
            <w:r w:rsidRPr="008C179D">
              <w:rPr>
                <w:sz w:val="18"/>
                <w:lang w:val="fr-FR"/>
              </w:rPr>
              <w:t xml:space="preserve"> les préparatifs de la huitième session ordinaire de la Réunion des Parties</w:t>
            </w:r>
          </w:p>
        </w:tc>
        <w:tc>
          <w:tcPr>
            <w:tcW w:w="2179" w:type="dxa"/>
            <w:tcBorders>
              <w:top w:val="single" w:sz="4" w:space="0" w:color="auto"/>
            </w:tcBorders>
            <w:shd w:val="clear" w:color="auto" w:fill="auto"/>
            <w:vAlign w:val="bottom"/>
            <w:hideMark/>
          </w:tcPr>
          <w:p w14:paraId="07EE9096" w14:textId="77777777" w:rsidR="008C179D" w:rsidRPr="008C179D" w:rsidRDefault="008C179D" w:rsidP="000439D2">
            <w:pPr>
              <w:suppressAutoHyphens w:val="0"/>
              <w:spacing w:before="40" w:after="40" w:line="220" w:lineRule="exact"/>
              <w:ind w:left="57"/>
              <w:rPr>
                <w:sz w:val="18"/>
                <w:lang w:val="fr-FR"/>
              </w:rPr>
            </w:pPr>
            <w:proofErr w:type="spellStart"/>
            <w:r w:rsidRPr="008C179D">
              <w:rPr>
                <w:sz w:val="18"/>
                <w:lang w:val="fr-FR"/>
              </w:rPr>
              <w:t>Administrateurs</w:t>
            </w:r>
            <w:r w:rsidRPr="0086540D">
              <w:rPr>
                <w:i/>
                <w:sz w:val="18"/>
                <w:vertAlign w:val="superscript"/>
                <w:lang w:val="fr-FR"/>
              </w:rPr>
              <w:t>h</w:t>
            </w:r>
            <w:proofErr w:type="spellEnd"/>
            <w:r w:rsidRPr="008C179D">
              <w:rPr>
                <w:sz w:val="18"/>
                <w:lang w:val="fr-FR"/>
              </w:rPr>
              <w:t> : 3</w:t>
            </w:r>
            <w:r w:rsidR="0086540D">
              <w:rPr>
                <w:sz w:val="18"/>
                <w:lang w:val="fr-FR"/>
              </w:rPr>
              <w:t> </w:t>
            </w:r>
            <w:r w:rsidRPr="008C179D">
              <w:rPr>
                <w:sz w:val="18"/>
                <w:lang w:val="fr-FR"/>
              </w:rPr>
              <w:t>fonctionnaires P-3, l</w:t>
            </w:r>
            <w:r w:rsidR="00457C42">
              <w:rPr>
                <w:sz w:val="18"/>
                <w:lang w:val="fr-FR"/>
              </w:rPr>
              <w:t>’</w:t>
            </w:r>
            <w:r w:rsidRPr="008C179D">
              <w:rPr>
                <w:sz w:val="18"/>
                <w:lang w:val="fr-FR"/>
              </w:rPr>
              <w:t>un à</w:t>
            </w:r>
            <w:r w:rsidR="0086540D">
              <w:rPr>
                <w:sz w:val="18"/>
                <w:lang w:val="fr-FR"/>
              </w:rPr>
              <w:t> </w:t>
            </w:r>
            <w:r w:rsidRPr="008C179D">
              <w:rPr>
                <w:sz w:val="18"/>
                <w:lang w:val="fr-FR"/>
              </w:rPr>
              <w:t>10 % d</w:t>
            </w:r>
            <w:r w:rsidR="00457C42">
              <w:rPr>
                <w:sz w:val="18"/>
                <w:lang w:val="fr-FR"/>
              </w:rPr>
              <w:t>’</w:t>
            </w:r>
            <w:r w:rsidRPr="008C179D">
              <w:rPr>
                <w:sz w:val="18"/>
                <w:lang w:val="fr-FR"/>
              </w:rPr>
              <w:t>EPT et les deux autres à 5 % d</w:t>
            </w:r>
            <w:r w:rsidR="00457C42">
              <w:rPr>
                <w:sz w:val="18"/>
                <w:lang w:val="fr-FR"/>
              </w:rPr>
              <w:t>’</w:t>
            </w:r>
            <w:r w:rsidRPr="008C179D">
              <w:rPr>
                <w:sz w:val="18"/>
                <w:lang w:val="fr-FR"/>
              </w:rPr>
              <w:t>EPT</w:t>
            </w:r>
          </w:p>
        </w:tc>
        <w:tc>
          <w:tcPr>
            <w:tcW w:w="1260" w:type="dxa"/>
            <w:tcBorders>
              <w:top w:val="single" w:sz="4" w:space="0" w:color="auto"/>
            </w:tcBorders>
            <w:shd w:val="clear" w:color="auto" w:fill="auto"/>
            <w:hideMark/>
          </w:tcPr>
          <w:p w14:paraId="662D8083" w14:textId="77777777" w:rsidR="008C179D" w:rsidRPr="008C179D" w:rsidRDefault="008C179D" w:rsidP="00CB304C">
            <w:pPr>
              <w:suppressAutoHyphens w:val="0"/>
              <w:spacing w:before="40" w:after="40" w:line="220" w:lineRule="exact"/>
              <w:jc w:val="right"/>
              <w:rPr>
                <w:sz w:val="18"/>
              </w:rPr>
            </w:pPr>
            <w:r w:rsidRPr="008C179D">
              <w:rPr>
                <w:sz w:val="18"/>
                <w:lang w:val="fr-FR"/>
              </w:rPr>
              <w:t>36 000</w:t>
            </w:r>
          </w:p>
        </w:tc>
        <w:tc>
          <w:tcPr>
            <w:tcW w:w="789" w:type="dxa"/>
            <w:tcBorders>
              <w:top w:val="single" w:sz="4" w:space="0" w:color="auto"/>
            </w:tcBorders>
            <w:shd w:val="clear" w:color="auto" w:fill="auto"/>
            <w:hideMark/>
          </w:tcPr>
          <w:p w14:paraId="7AA8205E"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1EEE9CE1" w14:textId="77777777" w:rsidR="008C179D" w:rsidRPr="008C179D" w:rsidRDefault="008C179D" w:rsidP="00CB304C">
            <w:pPr>
              <w:suppressAutoHyphens w:val="0"/>
              <w:spacing w:before="40" w:after="40" w:line="220" w:lineRule="exact"/>
              <w:jc w:val="right"/>
              <w:rPr>
                <w:sz w:val="18"/>
              </w:rPr>
            </w:pPr>
            <w:r w:rsidRPr="008C179D">
              <w:rPr>
                <w:sz w:val="18"/>
                <w:lang w:val="fr-FR"/>
              </w:rPr>
              <w:t>36 000</w:t>
            </w:r>
          </w:p>
        </w:tc>
        <w:tc>
          <w:tcPr>
            <w:tcW w:w="787" w:type="dxa"/>
            <w:tcBorders>
              <w:top w:val="single" w:sz="4" w:space="0" w:color="auto"/>
            </w:tcBorders>
            <w:shd w:val="clear" w:color="auto" w:fill="auto"/>
            <w:hideMark/>
          </w:tcPr>
          <w:p w14:paraId="4305186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35866896" w14:textId="77777777" w:rsidR="008C179D" w:rsidRPr="008C179D" w:rsidRDefault="008C179D" w:rsidP="00CB304C">
            <w:pPr>
              <w:suppressAutoHyphens w:val="0"/>
              <w:spacing w:before="40" w:after="40" w:line="220" w:lineRule="exact"/>
              <w:jc w:val="right"/>
              <w:rPr>
                <w:sz w:val="18"/>
              </w:rPr>
            </w:pPr>
            <w:r w:rsidRPr="008C179D">
              <w:rPr>
                <w:sz w:val="18"/>
                <w:lang w:val="fr-FR"/>
              </w:rPr>
              <w:t>36 000</w:t>
            </w:r>
          </w:p>
        </w:tc>
        <w:tc>
          <w:tcPr>
            <w:tcW w:w="787" w:type="dxa"/>
            <w:tcBorders>
              <w:top w:val="single" w:sz="4" w:space="0" w:color="auto"/>
            </w:tcBorders>
            <w:shd w:val="clear" w:color="auto" w:fill="auto"/>
            <w:hideMark/>
          </w:tcPr>
          <w:p w14:paraId="0067005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0A83AAEC" w14:textId="77777777" w:rsidR="008C179D" w:rsidRPr="008C179D" w:rsidRDefault="008C179D" w:rsidP="00CB304C">
            <w:pPr>
              <w:suppressAutoHyphens w:val="0"/>
              <w:spacing w:before="40" w:after="40" w:line="220" w:lineRule="exact"/>
              <w:jc w:val="right"/>
              <w:rPr>
                <w:sz w:val="18"/>
              </w:rPr>
            </w:pPr>
            <w:r w:rsidRPr="008C179D">
              <w:rPr>
                <w:sz w:val="18"/>
                <w:lang w:val="fr-FR"/>
              </w:rPr>
              <w:t>36 000</w:t>
            </w:r>
          </w:p>
        </w:tc>
        <w:tc>
          <w:tcPr>
            <w:tcW w:w="787" w:type="dxa"/>
            <w:tcBorders>
              <w:top w:val="single" w:sz="4" w:space="0" w:color="auto"/>
            </w:tcBorders>
            <w:shd w:val="clear" w:color="auto" w:fill="auto"/>
            <w:hideMark/>
          </w:tcPr>
          <w:p w14:paraId="7840D98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6AE513CD" w14:textId="77777777" w:rsidR="008C179D" w:rsidRPr="008C179D" w:rsidRDefault="008C179D" w:rsidP="00CB304C">
            <w:pPr>
              <w:suppressAutoHyphens w:val="0"/>
              <w:spacing w:before="40" w:after="40" w:line="220" w:lineRule="exact"/>
              <w:jc w:val="right"/>
              <w:rPr>
                <w:sz w:val="18"/>
              </w:rPr>
            </w:pPr>
            <w:r w:rsidRPr="008C179D">
              <w:rPr>
                <w:sz w:val="18"/>
                <w:lang w:val="fr-FR"/>
              </w:rPr>
              <w:t>36 000</w:t>
            </w:r>
          </w:p>
        </w:tc>
        <w:tc>
          <w:tcPr>
            <w:tcW w:w="837" w:type="dxa"/>
            <w:tcBorders>
              <w:top w:val="single" w:sz="4" w:space="0" w:color="auto"/>
            </w:tcBorders>
            <w:shd w:val="clear" w:color="auto" w:fill="auto"/>
            <w:hideMark/>
          </w:tcPr>
          <w:p w14:paraId="71358A65"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4045D40C" w14:textId="77777777" w:rsidTr="00CB304C">
        <w:tc>
          <w:tcPr>
            <w:tcW w:w="1276" w:type="dxa"/>
            <w:vMerge/>
            <w:shd w:val="clear" w:color="auto" w:fill="auto"/>
            <w:hideMark/>
          </w:tcPr>
          <w:p w14:paraId="7CCA0BB3"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6E2FD227"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w:t>
            </w:r>
            <w:r w:rsidR="00C53881">
              <w:rPr>
                <w:sz w:val="18"/>
                <w:lang w:val="fr-FR"/>
              </w:rPr>
              <w:t xml:space="preserve"> </w:t>
            </w:r>
            <w:r w:rsidRPr="008C179D">
              <w:rPr>
                <w:sz w:val="18"/>
                <w:lang w:val="fr-FR"/>
              </w:rPr>
              <w:t>indemnités journalières de subsistance pour les</w:t>
            </w:r>
            <w:r w:rsidR="00C53881">
              <w:rPr>
                <w:sz w:val="18"/>
                <w:lang w:val="fr-FR"/>
              </w:rPr>
              <w:t xml:space="preserve"> </w:t>
            </w:r>
            <w:r w:rsidRPr="008C179D">
              <w:rPr>
                <w:sz w:val="18"/>
                <w:lang w:val="fr-FR"/>
              </w:rPr>
              <w:t>participants qui y</w:t>
            </w:r>
            <w:r w:rsidR="00CB304C">
              <w:rPr>
                <w:sz w:val="18"/>
                <w:lang w:val="fr-FR"/>
              </w:rPr>
              <w:t> </w:t>
            </w:r>
            <w:r w:rsidRPr="008C179D">
              <w:rPr>
                <w:sz w:val="18"/>
                <w:lang w:val="fr-FR"/>
              </w:rPr>
              <w:t>ont droit (réunions du Groupe de travail des Parties, réunions du Bureau et huitième session de la Réunion des Parties)</w:t>
            </w:r>
          </w:p>
        </w:tc>
        <w:tc>
          <w:tcPr>
            <w:tcW w:w="1260" w:type="dxa"/>
            <w:shd w:val="clear" w:color="auto" w:fill="auto"/>
            <w:hideMark/>
          </w:tcPr>
          <w:p w14:paraId="3B9E1363" w14:textId="77777777" w:rsidR="008C179D" w:rsidRPr="008C179D" w:rsidRDefault="008C179D" w:rsidP="00CB304C">
            <w:pPr>
              <w:suppressAutoHyphens w:val="0"/>
              <w:spacing w:before="40" w:after="40" w:line="220" w:lineRule="exact"/>
              <w:jc w:val="right"/>
              <w:rPr>
                <w:sz w:val="18"/>
              </w:rPr>
            </w:pPr>
            <w:r w:rsidRPr="008C179D">
              <w:rPr>
                <w:sz w:val="18"/>
                <w:lang w:val="fr-FR"/>
              </w:rPr>
              <w:t>47 600</w:t>
            </w:r>
          </w:p>
        </w:tc>
        <w:tc>
          <w:tcPr>
            <w:tcW w:w="789" w:type="dxa"/>
            <w:shd w:val="clear" w:color="auto" w:fill="auto"/>
            <w:hideMark/>
          </w:tcPr>
          <w:p w14:paraId="3A5A822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3D3ED234" w14:textId="77777777" w:rsidR="008C179D" w:rsidRPr="008C179D" w:rsidRDefault="008C179D" w:rsidP="00CB304C">
            <w:pPr>
              <w:suppressAutoHyphens w:val="0"/>
              <w:spacing w:before="40" w:after="40" w:line="220" w:lineRule="exact"/>
              <w:jc w:val="right"/>
              <w:rPr>
                <w:sz w:val="18"/>
              </w:rPr>
            </w:pPr>
            <w:r w:rsidRPr="008C179D">
              <w:rPr>
                <w:sz w:val="18"/>
                <w:lang w:val="fr-FR"/>
              </w:rPr>
              <w:t>47 600</w:t>
            </w:r>
          </w:p>
        </w:tc>
        <w:tc>
          <w:tcPr>
            <w:tcW w:w="787" w:type="dxa"/>
            <w:shd w:val="clear" w:color="auto" w:fill="auto"/>
            <w:hideMark/>
          </w:tcPr>
          <w:p w14:paraId="2E12E0C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2546A5A9" w14:textId="77777777" w:rsidR="008C179D" w:rsidRPr="008C179D" w:rsidRDefault="008C179D" w:rsidP="00CB304C">
            <w:pPr>
              <w:suppressAutoHyphens w:val="0"/>
              <w:spacing w:before="40" w:after="40" w:line="220" w:lineRule="exact"/>
              <w:jc w:val="right"/>
              <w:rPr>
                <w:sz w:val="18"/>
              </w:rPr>
            </w:pPr>
            <w:r w:rsidRPr="008C179D">
              <w:rPr>
                <w:sz w:val="18"/>
                <w:lang w:val="fr-FR"/>
              </w:rPr>
              <w:t>47 600</w:t>
            </w:r>
          </w:p>
        </w:tc>
        <w:tc>
          <w:tcPr>
            <w:tcW w:w="787" w:type="dxa"/>
            <w:shd w:val="clear" w:color="auto" w:fill="auto"/>
            <w:hideMark/>
          </w:tcPr>
          <w:p w14:paraId="224E1D09"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29BCB78A" w14:textId="77777777" w:rsidR="008C179D" w:rsidRPr="008C179D" w:rsidRDefault="008C179D" w:rsidP="00CB304C">
            <w:pPr>
              <w:suppressAutoHyphens w:val="0"/>
              <w:spacing w:before="40" w:after="40" w:line="220" w:lineRule="exact"/>
              <w:jc w:val="right"/>
              <w:rPr>
                <w:sz w:val="18"/>
              </w:rPr>
            </w:pPr>
            <w:r w:rsidRPr="008C179D">
              <w:rPr>
                <w:sz w:val="18"/>
                <w:lang w:val="fr-FR"/>
              </w:rPr>
              <w:t>102 000</w:t>
            </w:r>
          </w:p>
        </w:tc>
        <w:tc>
          <w:tcPr>
            <w:tcW w:w="787" w:type="dxa"/>
            <w:shd w:val="clear" w:color="auto" w:fill="auto"/>
            <w:hideMark/>
          </w:tcPr>
          <w:p w14:paraId="47D9F7B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1001AF88" w14:textId="77777777" w:rsidR="008C179D" w:rsidRPr="008C179D" w:rsidRDefault="008C179D" w:rsidP="00CB304C">
            <w:pPr>
              <w:suppressAutoHyphens w:val="0"/>
              <w:spacing w:before="40" w:after="40" w:line="220" w:lineRule="exact"/>
              <w:jc w:val="right"/>
              <w:rPr>
                <w:sz w:val="18"/>
              </w:rPr>
            </w:pPr>
            <w:r w:rsidRPr="008C179D">
              <w:rPr>
                <w:sz w:val="18"/>
                <w:lang w:val="fr-FR"/>
              </w:rPr>
              <w:t>61 200</w:t>
            </w:r>
          </w:p>
        </w:tc>
        <w:tc>
          <w:tcPr>
            <w:tcW w:w="837" w:type="dxa"/>
            <w:shd w:val="clear" w:color="auto" w:fill="auto"/>
            <w:hideMark/>
          </w:tcPr>
          <w:p w14:paraId="2BB7ABC8"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709B2626" w14:textId="77777777" w:rsidTr="00CB304C">
        <w:tc>
          <w:tcPr>
            <w:tcW w:w="1276" w:type="dxa"/>
            <w:vMerge/>
            <w:tcBorders>
              <w:bottom w:val="single" w:sz="4" w:space="0" w:color="auto"/>
            </w:tcBorders>
            <w:shd w:val="clear" w:color="auto" w:fill="auto"/>
            <w:hideMark/>
          </w:tcPr>
          <w:p w14:paraId="51E4B9A2" w14:textId="77777777" w:rsidR="008C179D" w:rsidRPr="008C179D" w:rsidRDefault="008C179D" w:rsidP="008C179D">
            <w:pPr>
              <w:suppressAutoHyphens w:val="0"/>
              <w:spacing w:before="40" w:after="40" w:line="220" w:lineRule="exact"/>
              <w:rPr>
                <w:b/>
                <w:bCs/>
                <w:sz w:val="18"/>
              </w:rPr>
            </w:pPr>
          </w:p>
        </w:tc>
        <w:tc>
          <w:tcPr>
            <w:tcW w:w="2179" w:type="dxa"/>
            <w:tcBorders>
              <w:bottom w:val="single" w:sz="4" w:space="0" w:color="auto"/>
            </w:tcBorders>
            <w:shd w:val="clear" w:color="auto" w:fill="auto"/>
            <w:vAlign w:val="bottom"/>
            <w:hideMark/>
          </w:tcPr>
          <w:p w14:paraId="4EB25D8F"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Frais de voyage et indemnités journalières de subsistance (personnel en mission)</w:t>
            </w:r>
            <w:r w:rsidRPr="0086540D">
              <w:rPr>
                <w:i/>
                <w:sz w:val="18"/>
                <w:vertAlign w:val="superscript"/>
                <w:lang w:val="fr-FR"/>
              </w:rPr>
              <w:t>d</w:t>
            </w:r>
          </w:p>
        </w:tc>
        <w:tc>
          <w:tcPr>
            <w:tcW w:w="1260" w:type="dxa"/>
            <w:tcBorders>
              <w:bottom w:val="single" w:sz="4" w:space="0" w:color="auto"/>
            </w:tcBorders>
            <w:shd w:val="clear" w:color="auto" w:fill="auto"/>
            <w:hideMark/>
          </w:tcPr>
          <w:p w14:paraId="2BBC0B65"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9" w:type="dxa"/>
            <w:tcBorders>
              <w:bottom w:val="single" w:sz="4" w:space="0" w:color="auto"/>
            </w:tcBorders>
            <w:shd w:val="clear" w:color="auto" w:fill="auto"/>
            <w:hideMark/>
          </w:tcPr>
          <w:p w14:paraId="680DF05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79CB1558"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7EFED0F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10A2B70C"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4D5506D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51F3A0B9"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787" w:type="dxa"/>
            <w:tcBorders>
              <w:bottom w:val="single" w:sz="4" w:space="0" w:color="auto"/>
            </w:tcBorders>
            <w:shd w:val="clear" w:color="auto" w:fill="auto"/>
            <w:hideMark/>
          </w:tcPr>
          <w:p w14:paraId="0A69AB68"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bottom w:val="single" w:sz="4" w:space="0" w:color="auto"/>
            </w:tcBorders>
            <w:shd w:val="clear" w:color="auto" w:fill="auto"/>
            <w:noWrap/>
            <w:hideMark/>
          </w:tcPr>
          <w:p w14:paraId="12E1723A" w14:textId="77777777" w:rsidR="008C179D" w:rsidRPr="008C179D" w:rsidRDefault="008C179D" w:rsidP="00CB304C">
            <w:pPr>
              <w:suppressAutoHyphens w:val="0"/>
              <w:spacing w:before="40" w:after="40" w:line="220" w:lineRule="exact"/>
              <w:jc w:val="right"/>
              <w:rPr>
                <w:sz w:val="18"/>
              </w:rPr>
            </w:pPr>
            <w:r w:rsidRPr="008C179D">
              <w:rPr>
                <w:sz w:val="18"/>
                <w:lang w:val="fr-FR"/>
              </w:rPr>
              <w:t>3 500</w:t>
            </w:r>
          </w:p>
        </w:tc>
        <w:tc>
          <w:tcPr>
            <w:tcW w:w="837" w:type="dxa"/>
            <w:tcBorders>
              <w:bottom w:val="single" w:sz="4" w:space="0" w:color="auto"/>
            </w:tcBorders>
            <w:shd w:val="clear" w:color="auto" w:fill="auto"/>
            <w:hideMark/>
          </w:tcPr>
          <w:p w14:paraId="6DE7CC72"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6540D" w14:paraId="1A1436F1" w14:textId="77777777" w:rsidTr="0086540D">
        <w:tc>
          <w:tcPr>
            <w:tcW w:w="3455" w:type="dxa"/>
            <w:gridSpan w:val="2"/>
            <w:tcBorders>
              <w:top w:val="single" w:sz="4" w:space="0" w:color="auto"/>
              <w:bottom w:val="single" w:sz="4" w:space="0" w:color="auto"/>
            </w:tcBorders>
            <w:shd w:val="clear" w:color="auto" w:fill="auto"/>
            <w:hideMark/>
          </w:tcPr>
          <w:p w14:paraId="0B138003" w14:textId="77777777" w:rsidR="008C179D" w:rsidRPr="0086540D" w:rsidRDefault="008C179D" w:rsidP="00CB304C">
            <w:pPr>
              <w:suppressAutoHyphens w:val="0"/>
              <w:spacing w:before="80" w:after="80" w:line="220" w:lineRule="exact"/>
              <w:ind w:left="284"/>
              <w:rPr>
                <w:b/>
                <w:bCs/>
                <w:sz w:val="18"/>
              </w:rPr>
            </w:pPr>
            <w:r w:rsidRPr="0086540D">
              <w:rPr>
                <w:b/>
                <w:bCs/>
                <w:sz w:val="18"/>
                <w:lang w:val="fr-FR"/>
              </w:rPr>
              <w:lastRenderedPageBreak/>
              <w:t>Total partiel</w:t>
            </w:r>
          </w:p>
        </w:tc>
        <w:tc>
          <w:tcPr>
            <w:tcW w:w="1260" w:type="dxa"/>
            <w:tcBorders>
              <w:top w:val="single" w:sz="4" w:space="0" w:color="auto"/>
              <w:bottom w:val="single" w:sz="4" w:space="0" w:color="auto"/>
            </w:tcBorders>
            <w:shd w:val="clear" w:color="auto" w:fill="auto"/>
            <w:noWrap/>
            <w:vAlign w:val="bottom"/>
            <w:hideMark/>
          </w:tcPr>
          <w:p w14:paraId="06229E7A"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87 100</w:t>
            </w:r>
          </w:p>
        </w:tc>
        <w:tc>
          <w:tcPr>
            <w:tcW w:w="789" w:type="dxa"/>
            <w:tcBorders>
              <w:top w:val="single" w:sz="4" w:space="0" w:color="auto"/>
              <w:bottom w:val="single" w:sz="4" w:space="0" w:color="auto"/>
            </w:tcBorders>
            <w:shd w:val="clear" w:color="auto" w:fill="auto"/>
            <w:vAlign w:val="bottom"/>
            <w:hideMark/>
          </w:tcPr>
          <w:p w14:paraId="79266850"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517CB587"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87 100</w:t>
            </w:r>
          </w:p>
        </w:tc>
        <w:tc>
          <w:tcPr>
            <w:tcW w:w="787" w:type="dxa"/>
            <w:tcBorders>
              <w:top w:val="single" w:sz="4" w:space="0" w:color="auto"/>
              <w:bottom w:val="single" w:sz="4" w:space="0" w:color="auto"/>
            </w:tcBorders>
            <w:shd w:val="clear" w:color="auto" w:fill="auto"/>
            <w:vAlign w:val="bottom"/>
            <w:hideMark/>
          </w:tcPr>
          <w:p w14:paraId="384CEE9C"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7A6AA618"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87 100</w:t>
            </w:r>
          </w:p>
        </w:tc>
        <w:tc>
          <w:tcPr>
            <w:tcW w:w="787" w:type="dxa"/>
            <w:tcBorders>
              <w:top w:val="single" w:sz="4" w:space="0" w:color="auto"/>
              <w:bottom w:val="single" w:sz="4" w:space="0" w:color="auto"/>
            </w:tcBorders>
            <w:shd w:val="clear" w:color="auto" w:fill="auto"/>
            <w:vAlign w:val="bottom"/>
            <w:hideMark/>
          </w:tcPr>
          <w:p w14:paraId="6872D53C"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186B5C01"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141 500</w:t>
            </w:r>
          </w:p>
        </w:tc>
        <w:tc>
          <w:tcPr>
            <w:tcW w:w="787" w:type="dxa"/>
            <w:tcBorders>
              <w:top w:val="single" w:sz="4" w:space="0" w:color="auto"/>
              <w:bottom w:val="single" w:sz="4" w:space="0" w:color="auto"/>
            </w:tcBorders>
            <w:shd w:val="clear" w:color="auto" w:fill="auto"/>
            <w:vAlign w:val="bottom"/>
            <w:hideMark/>
          </w:tcPr>
          <w:p w14:paraId="69B559D8"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344" w:type="dxa"/>
            <w:tcBorders>
              <w:top w:val="single" w:sz="4" w:space="0" w:color="auto"/>
              <w:bottom w:val="single" w:sz="4" w:space="0" w:color="auto"/>
            </w:tcBorders>
            <w:shd w:val="clear" w:color="auto" w:fill="auto"/>
            <w:noWrap/>
            <w:vAlign w:val="bottom"/>
            <w:hideMark/>
          </w:tcPr>
          <w:p w14:paraId="6D44983F" w14:textId="77777777" w:rsidR="008C179D" w:rsidRPr="0086540D" w:rsidRDefault="008C179D" w:rsidP="0086540D">
            <w:pPr>
              <w:suppressAutoHyphens w:val="0"/>
              <w:spacing w:before="80" w:after="80" w:line="220" w:lineRule="exact"/>
              <w:jc w:val="right"/>
              <w:rPr>
                <w:b/>
                <w:bCs/>
                <w:sz w:val="18"/>
              </w:rPr>
            </w:pPr>
            <w:r w:rsidRPr="0086540D">
              <w:rPr>
                <w:b/>
                <w:sz w:val="18"/>
                <w:lang w:val="fr-FR"/>
              </w:rPr>
              <w:t>100 700</w:t>
            </w:r>
          </w:p>
        </w:tc>
        <w:tc>
          <w:tcPr>
            <w:tcW w:w="837" w:type="dxa"/>
            <w:tcBorders>
              <w:top w:val="single" w:sz="4" w:space="0" w:color="auto"/>
              <w:bottom w:val="single" w:sz="4" w:space="0" w:color="auto"/>
            </w:tcBorders>
            <w:shd w:val="clear" w:color="auto" w:fill="auto"/>
            <w:vAlign w:val="bottom"/>
            <w:hideMark/>
          </w:tcPr>
          <w:p w14:paraId="7B918E7C" w14:textId="77777777" w:rsidR="008C179D" w:rsidRPr="0086540D" w:rsidRDefault="008C673D" w:rsidP="0086540D">
            <w:pPr>
              <w:suppressAutoHyphens w:val="0"/>
              <w:spacing w:before="80" w:after="80" w:line="220" w:lineRule="exact"/>
              <w:jc w:val="right"/>
              <w:rPr>
                <w:b/>
                <w:sz w:val="18"/>
              </w:rPr>
            </w:pPr>
            <w:r>
              <w:rPr>
                <w:b/>
                <w:sz w:val="18"/>
                <w:lang w:val="fr-FR"/>
              </w:rPr>
              <w:t>−</w:t>
            </w:r>
          </w:p>
        </w:tc>
      </w:tr>
      <w:tr w:rsidR="008C179D" w:rsidRPr="008C179D" w14:paraId="1A0A6A8B" w14:textId="77777777" w:rsidTr="00CB304C">
        <w:tc>
          <w:tcPr>
            <w:tcW w:w="1276" w:type="dxa"/>
            <w:tcBorders>
              <w:top w:val="single" w:sz="4" w:space="0" w:color="auto"/>
              <w:bottom w:val="single" w:sz="4" w:space="0" w:color="auto"/>
            </w:tcBorders>
            <w:shd w:val="clear" w:color="auto" w:fill="auto"/>
            <w:hideMark/>
          </w:tcPr>
          <w:p w14:paraId="148C73D3" w14:textId="77777777" w:rsidR="008C179D" w:rsidRPr="008C179D" w:rsidRDefault="008C179D" w:rsidP="008C179D">
            <w:pPr>
              <w:suppressAutoHyphens w:val="0"/>
              <w:spacing w:before="40" w:after="40" w:line="220" w:lineRule="exact"/>
              <w:rPr>
                <w:sz w:val="18"/>
                <w:lang w:val="fr-FR"/>
              </w:rPr>
            </w:pPr>
            <w:r w:rsidRPr="008C179D">
              <w:rPr>
                <w:sz w:val="18"/>
                <w:lang w:val="fr-FR"/>
              </w:rPr>
              <w:t>XI. Huitième session ordinaire de la Réunion des Parties</w:t>
            </w:r>
          </w:p>
        </w:tc>
        <w:tc>
          <w:tcPr>
            <w:tcW w:w="2179" w:type="dxa"/>
            <w:tcBorders>
              <w:top w:val="single" w:sz="4" w:space="0" w:color="auto"/>
              <w:bottom w:val="single" w:sz="4" w:space="0" w:color="auto"/>
            </w:tcBorders>
            <w:shd w:val="clear" w:color="auto" w:fill="auto"/>
            <w:hideMark/>
          </w:tcPr>
          <w:p w14:paraId="6B4428F0" w14:textId="77777777" w:rsidR="008C179D" w:rsidRPr="008C179D" w:rsidRDefault="008C179D" w:rsidP="00CB304C">
            <w:pPr>
              <w:suppressAutoHyphens w:val="0"/>
              <w:spacing w:before="40" w:after="40" w:line="220" w:lineRule="exact"/>
              <w:ind w:left="57"/>
              <w:rPr>
                <w:sz w:val="18"/>
                <w:lang w:val="fr-FR"/>
              </w:rPr>
            </w:pPr>
            <w:proofErr w:type="spellStart"/>
            <w:r w:rsidRPr="008C179D">
              <w:rPr>
                <w:sz w:val="18"/>
                <w:lang w:val="fr-FR"/>
              </w:rPr>
              <w:t>Administrateur</w:t>
            </w:r>
            <w:r w:rsidRPr="0086540D">
              <w:rPr>
                <w:i/>
                <w:sz w:val="18"/>
                <w:vertAlign w:val="superscript"/>
                <w:lang w:val="fr-FR"/>
              </w:rPr>
              <w:t>c</w:t>
            </w:r>
            <w:proofErr w:type="spellEnd"/>
            <w:r w:rsidRPr="008C179D">
              <w:rPr>
                <w:sz w:val="18"/>
                <w:lang w:val="fr-FR"/>
              </w:rPr>
              <w:t> : 1</w:t>
            </w:r>
            <w:r w:rsidR="0086540D">
              <w:rPr>
                <w:sz w:val="18"/>
                <w:lang w:val="fr-FR"/>
              </w:rPr>
              <w:t> </w:t>
            </w:r>
            <w:r w:rsidRPr="008C179D">
              <w:rPr>
                <w:sz w:val="18"/>
                <w:lang w:val="fr-FR"/>
              </w:rPr>
              <w:t>fonctionnaire P-2 à 50 % d</w:t>
            </w:r>
            <w:r w:rsidR="00457C42">
              <w:rPr>
                <w:sz w:val="18"/>
                <w:lang w:val="fr-FR"/>
              </w:rPr>
              <w:t>’</w:t>
            </w:r>
            <w:r w:rsidRPr="008C179D">
              <w:rPr>
                <w:sz w:val="18"/>
                <w:lang w:val="fr-FR"/>
              </w:rPr>
              <w:t>EPT</w:t>
            </w:r>
          </w:p>
        </w:tc>
        <w:tc>
          <w:tcPr>
            <w:tcW w:w="1260" w:type="dxa"/>
            <w:tcBorders>
              <w:top w:val="single" w:sz="4" w:space="0" w:color="auto"/>
              <w:bottom w:val="single" w:sz="4" w:space="0" w:color="auto"/>
            </w:tcBorders>
            <w:shd w:val="clear" w:color="auto" w:fill="auto"/>
            <w:hideMark/>
          </w:tcPr>
          <w:p w14:paraId="30E35D6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9" w:type="dxa"/>
            <w:tcBorders>
              <w:top w:val="single" w:sz="4" w:space="0" w:color="auto"/>
              <w:bottom w:val="single" w:sz="4" w:space="0" w:color="auto"/>
            </w:tcBorders>
            <w:shd w:val="clear" w:color="auto" w:fill="auto"/>
            <w:hideMark/>
          </w:tcPr>
          <w:p w14:paraId="1D81EBC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bottom w:val="single" w:sz="4" w:space="0" w:color="auto"/>
            </w:tcBorders>
            <w:shd w:val="clear" w:color="auto" w:fill="auto"/>
            <w:noWrap/>
            <w:hideMark/>
          </w:tcPr>
          <w:p w14:paraId="1C3F7BE7"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tcBorders>
              <w:top w:val="single" w:sz="4" w:space="0" w:color="auto"/>
              <w:bottom w:val="single" w:sz="4" w:space="0" w:color="auto"/>
            </w:tcBorders>
            <w:shd w:val="clear" w:color="auto" w:fill="auto"/>
            <w:hideMark/>
          </w:tcPr>
          <w:p w14:paraId="4A81066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bottom w:val="single" w:sz="4" w:space="0" w:color="auto"/>
            </w:tcBorders>
            <w:shd w:val="clear" w:color="auto" w:fill="auto"/>
            <w:noWrap/>
            <w:hideMark/>
          </w:tcPr>
          <w:p w14:paraId="52DEEA04"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787" w:type="dxa"/>
            <w:tcBorders>
              <w:top w:val="single" w:sz="4" w:space="0" w:color="auto"/>
              <w:bottom w:val="single" w:sz="4" w:space="0" w:color="auto"/>
            </w:tcBorders>
            <w:shd w:val="clear" w:color="auto" w:fill="auto"/>
            <w:hideMark/>
          </w:tcPr>
          <w:p w14:paraId="4CC4846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bottom w:val="single" w:sz="4" w:space="0" w:color="auto"/>
            </w:tcBorders>
            <w:shd w:val="clear" w:color="auto" w:fill="auto"/>
            <w:noWrap/>
            <w:hideMark/>
          </w:tcPr>
          <w:p w14:paraId="2A1935CC" w14:textId="77777777" w:rsidR="008C179D" w:rsidRPr="008C179D" w:rsidRDefault="008C179D" w:rsidP="00CB304C">
            <w:pPr>
              <w:suppressAutoHyphens w:val="0"/>
              <w:spacing w:before="40" w:after="40" w:line="220" w:lineRule="exact"/>
              <w:jc w:val="right"/>
              <w:rPr>
                <w:sz w:val="18"/>
              </w:rPr>
            </w:pPr>
            <w:r w:rsidRPr="008C179D">
              <w:rPr>
                <w:sz w:val="18"/>
                <w:lang w:val="fr-FR"/>
              </w:rPr>
              <w:t>60 000</w:t>
            </w:r>
          </w:p>
        </w:tc>
        <w:tc>
          <w:tcPr>
            <w:tcW w:w="787" w:type="dxa"/>
            <w:tcBorders>
              <w:top w:val="single" w:sz="4" w:space="0" w:color="auto"/>
              <w:bottom w:val="single" w:sz="4" w:space="0" w:color="auto"/>
            </w:tcBorders>
            <w:shd w:val="clear" w:color="auto" w:fill="auto"/>
            <w:hideMark/>
          </w:tcPr>
          <w:p w14:paraId="243191A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bottom w:val="single" w:sz="4" w:space="0" w:color="auto"/>
            </w:tcBorders>
            <w:shd w:val="clear" w:color="auto" w:fill="auto"/>
            <w:noWrap/>
            <w:hideMark/>
          </w:tcPr>
          <w:p w14:paraId="1CAE6707" w14:textId="77777777" w:rsidR="008C179D" w:rsidRPr="008C179D" w:rsidRDefault="008C179D" w:rsidP="00CB304C">
            <w:pPr>
              <w:suppressAutoHyphens w:val="0"/>
              <w:spacing w:before="40" w:after="40" w:line="220" w:lineRule="exact"/>
              <w:jc w:val="right"/>
              <w:rPr>
                <w:sz w:val="18"/>
              </w:rPr>
            </w:pPr>
            <w:r w:rsidRPr="008C179D">
              <w:rPr>
                <w:sz w:val="18"/>
                <w:lang w:val="fr-FR"/>
              </w:rPr>
              <w:t>15 000</w:t>
            </w:r>
            <w:r w:rsidRPr="008C179D">
              <w:rPr>
                <w:sz w:val="18"/>
                <w:vertAlign w:val="superscript"/>
                <w:lang w:val="fr-FR"/>
              </w:rPr>
              <w:t>i</w:t>
            </w:r>
          </w:p>
        </w:tc>
        <w:tc>
          <w:tcPr>
            <w:tcW w:w="837" w:type="dxa"/>
            <w:tcBorders>
              <w:top w:val="single" w:sz="4" w:space="0" w:color="auto"/>
              <w:bottom w:val="single" w:sz="4" w:space="0" w:color="auto"/>
            </w:tcBorders>
            <w:shd w:val="clear" w:color="auto" w:fill="auto"/>
            <w:hideMark/>
          </w:tcPr>
          <w:p w14:paraId="69B32E77"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6540D" w14:paraId="6F858EC4" w14:textId="77777777" w:rsidTr="0086540D">
        <w:tc>
          <w:tcPr>
            <w:tcW w:w="3455" w:type="dxa"/>
            <w:gridSpan w:val="2"/>
            <w:tcBorders>
              <w:top w:val="single" w:sz="4" w:space="0" w:color="auto"/>
              <w:bottom w:val="single" w:sz="4" w:space="0" w:color="auto"/>
            </w:tcBorders>
            <w:shd w:val="clear" w:color="auto" w:fill="auto"/>
            <w:hideMark/>
          </w:tcPr>
          <w:p w14:paraId="1CA60BC6" w14:textId="77777777" w:rsidR="008C179D" w:rsidRPr="0086540D" w:rsidRDefault="008C179D" w:rsidP="00CB304C">
            <w:pPr>
              <w:suppressAutoHyphens w:val="0"/>
              <w:spacing w:before="80" w:after="80" w:line="220" w:lineRule="exact"/>
              <w:ind w:left="284"/>
              <w:rPr>
                <w:b/>
                <w:bCs/>
                <w:sz w:val="18"/>
              </w:rPr>
            </w:pPr>
            <w:r w:rsidRPr="0086540D">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291E6407"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789" w:type="dxa"/>
            <w:tcBorders>
              <w:top w:val="single" w:sz="4" w:space="0" w:color="auto"/>
              <w:bottom w:val="single" w:sz="4" w:space="0" w:color="auto"/>
            </w:tcBorders>
            <w:shd w:val="clear" w:color="auto" w:fill="auto"/>
            <w:vAlign w:val="bottom"/>
            <w:hideMark/>
          </w:tcPr>
          <w:p w14:paraId="0DF023C2"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vAlign w:val="bottom"/>
            <w:hideMark/>
          </w:tcPr>
          <w:p w14:paraId="50987A54"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787" w:type="dxa"/>
            <w:tcBorders>
              <w:top w:val="single" w:sz="4" w:space="0" w:color="auto"/>
              <w:bottom w:val="single" w:sz="4" w:space="0" w:color="auto"/>
            </w:tcBorders>
            <w:shd w:val="clear" w:color="auto" w:fill="auto"/>
            <w:vAlign w:val="bottom"/>
            <w:hideMark/>
          </w:tcPr>
          <w:p w14:paraId="0499D2D8"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vAlign w:val="bottom"/>
            <w:hideMark/>
          </w:tcPr>
          <w:p w14:paraId="1C3A5248"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787" w:type="dxa"/>
            <w:tcBorders>
              <w:top w:val="single" w:sz="4" w:space="0" w:color="auto"/>
              <w:bottom w:val="single" w:sz="4" w:space="0" w:color="auto"/>
            </w:tcBorders>
            <w:shd w:val="clear" w:color="auto" w:fill="auto"/>
            <w:vAlign w:val="bottom"/>
            <w:hideMark/>
          </w:tcPr>
          <w:p w14:paraId="04735546"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244" w:type="dxa"/>
            <w:tcBorders>
              <w:top w:val="single" w:sz="4" w:space="0" w:color="auto"/>
              <w:bottom w:val="single" w:sz="4" w:space="0" w:color="auto"/>
            </w:tcBorders>
            <w:shd w:val="clear" w:color="auto" w:fill="auto"/>
            <w:noWrap/>
            <w:vAlign w:val="bottom"/>
            <w:hideMark/>
          </w:tcPr>
          <w:p w14:paraId="579B0BFC"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60 000</w:t>
            </w:r>
          </w:p>
        </w:tc>
        <w:tc>
          <w:tcPr>
            <w:tcW w:w="787" w:type="dxa"/>
            <w:tcBorders>
              <w:top w:val="single" w:sz="4" w:space="0" w:color="auto"/>
              <w:bottom w:val="single" w:sz="4" w:space="0" w:color="auto"/>
            </w:tcBorders>
            <w:shd w:val="clear" w:color="auto" w:fill="auto"/>
            <w:vAlign w:val="bottom"/>
            <w:hideMark/>
          </w:tcPr>
          <w:p w14:paraId="7227AD2B" w14:textId="77777777" w:rsidR="008C179D" w:rsidRPr="0086540D" w:rsidRDefault="008C673D" w:rsidP="0086540D">
            <w:pPr>
              <w:suppressAutoHyphens w:val="0"/>
              <w:spacing w:before="80" w:after="80" w:line="220" w:lineRule="exact"/>
              <w:jc w:val="right"/>
              <w:rPr>
                <w:b/>
                <w:sz w:val="18"/>
              </w:rPr>
            </w:pPr>
            <w:r>
              <w:rPr>
                <w:b/>
                <w:sz w:val="18"/>
                <w:lang w:val="fr-FR"/>
              </w:rPr>
              <w:t>−</w:t>
            </w:r>
          </w:p>
        </w:tc>
        <w:tc>
          <w:tcPr>
            <w:tcW w:w="1344" w:type="dxa"/>
            <w:tcBorders>
              <w:top w:val="single" w:sz="4" w:space="0" w:color="auto"/>
              <w:bottom w:val="single" w:sz="4" w:space="0" w:color="auto"/>
            </w:tcBorders>
            <w:shd w:val="clear" w:color="auto" w:fill="auto"/>
            <w:noWrap/>
            <w:vAlign w:val="bottom"/>
            <w:hideMark/>
          </w:tcPr>
          <w:p w14:paraId="772B36AA" w14:textId="77777777" w:rsidR="008C179D" w:rsidRPr="0086540D" w:rsidRDefault="008C179D" w:rsidP="0086540D">
            <w:pPr>
              <w:suppressAutoHyphens w:val="0"/>
              <w:spacing w:before="80" w:after="80" w:line="220" w:lineRule="exact"/>
              <w:jc w:val="right"/>
              <w:rPr>
                <w:b/>
                <w:bCs/>
                <w:sz w:val="18"/>
              </w:rPr>
            </w:pPr>
            <w:r w:rsidRPr="0086540D">
              <w:rPr>
                <w:b/>
                <w:bCs/>
                <w:sz w:val="18"/>
                <w:lang w:val="fr-FR"/>
              </w:rPr>
              <w:t>15 000</w:t>
            </w:r>
          </w:p>
        </w:tc>
        <w:tc>
          <w:tcPr>
            <w:tcW w:w="837" w:type="dxa"/>
            <w:tcBorders>
              <w:top w:val="single" w:sz="4" w:space="0" w:color="auto"/>
              <w:bottom w:val="single" w:sz="4" w:space="0" w:color="auto"/>
            </w:tcBorders>
            <w:shd w:val="clear" w:color="auto" w:fill="auto"/>
            <w:vAlign w:val="bottom"/>
            <w:hideMark/>
          </w:tcPr>
          <w:p w14:paraId="4FDD1543" w14:textId="77777777" w:rsidR="008C179D" w:rsidRPr="0086540D" w:rsidRDefault="008C673D" w:rsidP="0086540D">
            <w:pPr>
              <w:suppressAutoHyphens w:val="0"/>
              <w:spacing w:before="80" w:after="80" w:line="220" w:lineRule="exact"/>
              <w:jc w:val="right"/>
              <w:rPr>
                <w:b/>
                <w:sz w:val="18"/>
              </w:rPr>
            </w:pPr>
            <w:r>
              <w:rPr>
                <w:b/>
                <w:sz w:val="18"/>
                <w:lang w:val="fr-FR"/>
              </w:rPr>
              <w:t>−</w:t>
            </w:r>
          </w:p>
        </w:tc>
      </w:tr>
      <w:tr w:rsidR="008C179D" w:rsidRPr="008C179D" w14:paraId="56B6EF55" w14:textId="77777777" w:rsidTr="00CB304C">
        <w:tc>
          <w:tcPr>
            <w:tcW w:w="1276" w:type="dxa"/>
            <w:tcBorders>
              <w:top w:val="single" w:sz="4" w:space="0" w:color="auto"/>
            </w:tcBorders>
            <w:shd w:val="clear" w:color="auto" w:fill="auto"/>
            <w:hideMark/>
          </w:tcPr>
          <w:p w14:paraId="71C2F6D4" w14:textId="77777777" w:rsidR="008C179D" w:rsidRPr="008C179D" w:rsidRDefault="008C179D" w:rsidP="008C179D">
            <w:pPr>
              <w:suppressAutoHyphens w:val="0"/>
              <w:spacing w:before="40" w:after="40" w:line="220" w:lineRule="exact"/>
              <w:rPr>
                <w:sz w:val="18"/>
              </w:rPr>
            </w:pPr>
            <w:r w:rsidRPr="008C179D">
              <w:rPr>
                <w:sz w:val="18"/>
                <w:lang w:val="fr-FR"/>
              </w:rPr>
              <w:t>XII. Soutien horizontal</w:t>
            </w:r>
          </w:p>
        </w:tc>
        <w:tc>
          <w:tcPr>
            <w:tcW w:w="2179" w:type="dxa"/>
            <w:tcBorders>
              <w:top w:val="single" w:sz="4" w:space="0" w:color="auto"/>
            </w:tcBorders>
            <w:shd w:val="clear" w:color="auto" w:fill="auto"/>
            <w:vAlign w:val="bottom"/>
            <w:hideMark/>
          </w:tcPr>
          <w:p w14:paraId="5F840625"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Services de secrétariat : 1</w:t>
            </w:r>
            <w:r w:rsidR="0086540D">
              <w:rPr>
                <w:sz w:val="18"/>
                <w:lang w:val="fr-FR"/>
              </w:rPr>
              <w:t> </w:t>
            </w:r>
            <w:r w:rsidRPr="008C179D">
              <w:rPr>
                <w:sz w:val="18"/>
                <w:lang w:val="fr-FR"/>
              </w:rPr>
              <w:t>fonctionnaire G-5 à 70 % d</w:t>
            </w:r>
            <w:r w:rsidR="00457C42">
              <w:rPr>
                <w:sz w:val="18"/>
                <w:lang w:val="fr-FR"/>
              </w:rPr>
              <w:t>’</w:t>
            </w:r>
            <w:proofErr w:type="spellStart"/>
            <w:r w:rsidRPr="008C179D">
              <w:rPr>
                <w:sz w:val="18"/>
                <w:lang w:val="fr-FR"/>
              </w:rPr>
              <w:t>EPT</w:t>
            </w:r>
            <w:r w:rsidRPr="0086540D">
              <w:rPr>
                <w:i/>
                <w:sz w:val="18"/>
                <w:vertAlign w:val="superscript"/>
                <w:lang w:val="fr-FR"/>
              </w:rPr>
              <w:t>j</w:t>
            </w:r>
            <w:proofErr w:type="spellEnd"/>
          </w:p>
        </w:tc>
        <w:tc>
          <w:tcPr>
            <w:tcW w:w="1260" w:type="dxa"/>
            <w:tcBorders>
              <w:top w:val="single" w:sz="4" w:space="0" w:color="auto"/>
            </w:tcBorders>
            <w:shd w:val="clear" w:color="auto" w:fill="auto"/>
            <w:hideMark/>
          </w:tcPr>
          <w:p w14:paraId="66EC9F44" w14:textId="77777777" w:rsidR="008C179D" w:rsidRPr="008C179D" w:rsidRDefault="008C179D" w:rsidP="00CB304C">
            <w:pPr>
              <w:suppressAutoHyphens w:val="0"/>
              <w:spacing w:before="40" w:after="40" w:line="220" w:lineRule="exact"/>
              <w:jc w:val="right"/>
              <w:rPr>
                <w:sz w:val="18"/>
              </w:rPr>
            </w:pPr>
            <w:r w:rsidRPr="008C179D">
              <w:rPr>
                <w:sz w:val="18"/>
                <w:lang w:val="fr-FR"/>
              </w:rPr>
              <w:t>90 000</w:t>
            </w:r>
          </w:p>
        </w:tc>
        <w:tc>
          <w:tcPr>
            <w:tcW w:w="789" w:type="dxa"/>
            <w:tcBorders>
              <w:top w:val="single" w:sz="4" w:space="0" w:color="auto"/>
            </w:tcBorders>
            <w:shd w:val="clear" w:color="auto" w:fill="auto"/>
            <w:hideMark/>
          </w:tcPr>
          <w:p w14:paraId="1EA6EE2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050A86EA" w14:textId="77777777" w:rsidR="008C179D" w:rsidRPr="008C179D" w:rsidRDefault="008C179D" w:rsidP="00CB304C">
            <w:pPr>
              <w:suppressAutoHyphens w:val="0"/>
              <w:spacing w:before="40" w:after="40" w:line="220" w:lineRule="exact"/>
              <w:jc w:val="right"/>
              <w:rPr>
                <w:sz w:val="18"/>
              </w:rPr>
            </w:pPr>
            <w:r w:rsidRPr="008C179D">
              <w:rPr>
                <w:sz w:val="18"/>
                <w:lang w:val="fr-FR"/>
              </w:rPr>
              <w:t>90 000</w:t>
            </w:r>
          </w:p>
        </w:tc>
        <w:tc>
          <w:tcPr>
            <w:tcW w:w="787" w:type="dxa"/>
            <w:tcBorders>
              <w:top w:val="single" w:sz="4" w:space="0" w:color="auto"/>
            </w:tcBorders>
            <w:shd w:val="clear" w:color="auto" w:fill="auto"/>
            <w:hideMark/>
          </w:tcPr>
          <w:p w14:paraId="7FE67C72"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48411F85" w14:textId="77777777" w:rsidR="008C179D" w:rsidRPr="008C179D" w:rsidRDefault="008C179D" w:rsidP="00CB304C">
            <w:pPr>
              <w:suppressAutoHyphens w:val="0"/>
              <w:spacing w:before="40" w:after="40" w:line="220" w:lineRule="exact"/>
              <w:jc w:val="right"/>
              <w:rPr>
                <w:sz w:val="18"/>
              </w:rPr>
            </w:pPr>
            <w:r w:rsidRPr="008C179D">
              <w:rPr>
                <w:sz w:val="18"/>
                <w:lang w:val="fr-FR"/>
              </w:rPr>
              <w:t>90 000</w:t>
            </w:r>
          </w:p>
        </w:tc>
        <w:tc>
          <w:tcPr>
            <w:tcW w:w="787" w:type="dxa"/>
            <w:tcBorders>
              <w:top w:val="single" w:sz="4" w:space="0" w:color="auto"/>
            </w:tcBorders>
            <w:shd w:val="clear" w:color="auto" w:fill="auto"/>
            <w:hideMark/>
          </w:tcPr>
          <w:p w14:paraId="0562FFC5"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top w:val="single" w:sz="4" w:space="0" w:color="auto"/>
            </w:tcBorders>
            <w:shd w:val="clear" w:color="auto" w:fill="auto"/>
            <w:noWrap/>
            <w:hideMark/>
          </w:tcPr>
          <w:p w14:paraId="41FAE2DC" w14:textId="77777777" w:rsidR="008C179D" w:rsidRPr="008C179D" w:rsidRDefault="008C179D" w:rsidP="00CB304C">
            <w:pPr>
              <w:suppressAutoHyphens w:val="0"/>
              <w:spacing w:before="40" w:after="40" w:line="220" w:lineRule="exact"/>
              <w:jc w:val="right"/>
              <w:rPr>
                <w:sz w:val="18"/>
              </w:rPr>
            </w:pPr>
            <w:r w:rsidRPr="008C179D">
              <w:rPr>
                <w:sz w:val="18"/>
                <w:lang w:val="fr-FR"/>
              </w:rPr>
              <w:t>90 000</w:t>
            </w:r>
          </w:p>
        </w:tc>
        <w:tc>
          <w:tcPr>
            <w:tcW w:w="787" w:type="dxa"/>
            <w:tcBorders>
              <w:top w:val="single" w:sz="4" w:space="0" w:color="auto"/>
            </w:tcBorders>
            <w:shd w:val="clear" w:color="auto" w:fill="auto"/>
            <w:hideMark/>
          </w:tcPr>
          <w:p w14:paraId="50DDF7E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top w:val="single" w:sz="4" w:space="0" w:color="auto"/>
            </w:tcBorders>
            <w:shd w:val="clear" w:color="auto" w:fill="auto"/>
            <w:noWrap/>
            <w:hideMark/>
          </w:tcPr>
          <w:p w14:paraId="6E7C148F" w14:textId="77777777" w:rsidR="008C179D" w:rsidRPr="008C179D" w:rsidRDefault="008C179D" w:rsidP="00CB304C">
            <w:pPr>
              <w:suppressAutoHyphens w:val="0"/>
              <w:spacing w:before="40" w:after="40" w:line="220" w:lineRule="exact"/>
              <w:jc w:val="right"/>
              <w:rPr>
                <w:sz w:val="18"/>
              </w:rPr>
            </w:pPr>
            <w:r w:rsidRPr="008C179D">
              <w:rPr>
                <w:sz w:val="18"/>
                <w:lang w:val="fr-FR"/>
              </w:rPr>
              <w:t>90 000</w:t>
            </w:r>
          </w:p>
        </w:tc>
        <w:tc>
          <w:tcPr>
            <w:tcW w:w="837" w:type="dxa"/>
            <w:tcBorders>
              <w:top w:val="single" w:sz="4" w:space="0" w:color="auto"/>
            </w:tcBorders>
            <w:shd w:val="clear" w:color="auto" w:fill="auto"/>
            <w:hideMark/>
          </w:tcPr>
          <w:p w14:paraId="292DA245"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4E92E710" w14:textId="77777777" w:rsidTr="00CB304C">
        <w:tc>
          <w:tcPr>
            <w:tcW w:w="1276" w:type="dxa"/>
            <w:shd w:val="clear" w:color="auto" w:fill="auto"/>
            <w:hideMark/>
          </w:tcPr>
          <w:p w14:paraId="4308678C"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hideMark/>
          </w:tcPr>
          <w:p w14:paraId="34792D44"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Dépenses d</w:t>
            </w:r>
            <w:r w:rsidR="00457C42">
              <w:rPr>
                <w:sz w:val="18"/>
                <w:lang w:val="fr-FR"/>
              </w:rPr>
              <w:t>’</w:t>
            </w:r>
            <w:r w:rsidRPr="008C179D">
              <w:rPr>
                <w:sz w:val="18"/>
                <w:lang w:val="fr-FR"/>
              </w:rPr>
              <w:t xml:space="preserve">appui </w:t>
            </w:r>
            <w:proofErr w:type="spellStart"/>
            <w:r w:rsidRPr="008C179D">
              <w:rPr>
                <w:sz w:val="18"/>
                <w:lang w:val="fr-FR"/>
              </w:rPr>
              <w:t>technique</w:t>
            </w:r>
            <w:r w:rsidRPr="0086540D">
              <w:rPr>
                <w:i/>
                <w:sz w:val="18"/>
                <w:vertAlign w:val="superscript"/>
                <w:lang w:val="fr-FR"/>
              </w:rPr>
              <w:t>k</w:t>
            </w:r>
            <w:proofErr w:type="spellEnd"/>
            <w:r w:rsidRPr="008C179D">
              <w:rPr>
                <w:sz w:val="18"/>
                <w:lang w:val="fr-FR"/>
              </w:rPr>
              <w:t xml:space="preserve"> (ordinateurs, licences, matériel et services externes d</w:t>
            </w:r>
            <w:r w:rsidR="00457C42">
              <w:rPr>
                <w:sz w:val="18"/>
                <w:lang w:val="fr-FR"/>
              </w:rPr>
              <w:t>’</w:t>
            </w:r>
            <w:r w:rsidRPr="008C179D">
              <w:rPr>
                <w:sz w:val="18"/>
                <w:lang w:val="fr-FR"/>
              </w:rPr>
              <w:t>impression, par exemple)</w:t>
            </w:r>
          </w:p>
        </w:tc>
        <w:tc>
          <w:tcPr>
            <w:tcW w:w="1260" w:type="dxa"/>
            <w:shd w:val="clear" w:color="auto" w:fill="auto"/>
            <w:hideMark/>
          </w:tcPr>
          <w:p w14:paraId="27CA6784"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9" w:type="dxa"/>
            <w:shd w:val="clear" w:color="auto" w:fill="auto"/>
            <w:hideMark/>
          </w:tcPr>
          <w:p w14:paraId="1AF1F651"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4F834037"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7" w:type="dxa"/>
            <w:shd w:val="clear" w:color="auto" w:fill="auto"/>
            <w:hideMark/>
          </w:tcPr>
          <w:p w14:paraId="7943600F"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28C916BD"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7" w:type="dxa"/>
            <w:shd w:val="clear" w:color="auto" w:fill="auto"/>
            <w:hideMark/>
          </w:tcPr>
          <w:p w14:paraId="457A0ABB"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hideMark/>
          </w:tcPr>
          <w:p w14:paraId="75FA7901"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787" w:type="dxa"/>
            <w:shd w:val="clear" w:color="auto" w:fill="auto"/>
            <w:hideMark/>
          </w:tcPr>
          <w:p w14:paraId="250109BC"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hideMark/>
          </w:tcPr>
          <w:p w14:paraId="33DF3A34" w14:textId="77777777" w:rsidR="008C179D" w:rsidRPr="008C179D" w:rsidRDefault="008C179D" w:rsidP="00CB304C">
            <w:pPr>
              <w:suppressAutoHyphens w:val="0"/>
              <w:spacing w:before="40" w:after="40" w:line="220" w:lineRule="exact"/>
              <w:jc w:val="right"/>
              <w:rPr>
                <w:sz w:val="18"/>
              </w:rPr>
            </w:pPr>
            <w:r w:rsidRPr="008C179D">
              <w:rPr>
                <w:sz w:val="18"/>
                <w:lang w:val="fr-FR"/>
              </w:rPr>
              <w:t>9 000</w:t>
            </w:r>
          </w:p>
        </w:tc>
        <w:tc>
          <w:tcPr>
            <w:tcW w:w="837" w:type="dxa"/>
            <w:shd w:val="clear" w:color="auto" w:fill="auto"/>
            <w:hideMark/>
          </w:tcPr>
          <w:p w14:paraId="15C8AC9E"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1CDD248D" w14:textId="77777777" w:rsidTr="00CB304C">
        <w:tc>
          <w:tcPr>
            <w:tcW w:w="1276" w:type="dxa"/>
            <w:shd w:val="clear" w:color="auto" w:fill="auto"/>
          </w:tcPr>
          <w:p w14:paraId="74B73D75" w14:textId="77777777" w:rsidR="008C179D" w:rsidRPr="008C179D" w:rsidRDefault="008C179D" w:rsidP="008C179D">
            <w:pPr>
              <w:suppressAutoHyphens w:val="0"/>
              <w:spacing w:before="40" w:after="40" w:line="220" w:lineRule="exact"/>
              <w:rPr>
                <w:sz w:val="18"/>
              </w:rPr>
            </w:pPr>
          </w:p>
        </w:tc>
        <w:tc>
          <w:tcPr>
            <w:tcW w:w="2179" w:type="dxa"/>
            <w:shd w:val="clear" w:color="auto" w:fill="auto"/>
            <w:vAlign w:val="bottom"/>
          </w:tcPr>
          <w:p w14:paraId="34BD99E1"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Autres dépenses d</w:t>
            </w:r>
            <w:r w:rsidR="00457C42">
              <w:rPr>
                <w:sz w:val="18"/>
                <w:lang w:val="fr-FR"/>
              </w:rPr>
              <w:t>’</w:t>
            </w:r>
            <w:r w:rsidRPr="008C179D">
              <w:rPr>
                <w:sz w:val="18"/>
                <w:lang w:val="fr-FR"/>
              </w:rPr>
              <w:t>appui opérationnel (administration financière, par exemple)</w:t>
            </w:r>
          </w:p>
        </w:tc>
        <w:tc>
          <w:tcPr>
            <w:tcW w:w="1260" w:type="dxa"/>
            <w:shd w:val="clear" w:color="auto" w:fill="auto"/>
          </w:tcPr>
          <w:p w14:paraId="68C527A0"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9" w:type="dxa"/>
            <w:shd w:val="clear" w:color="auto" w:fill="auto"/>
          </w:tcPr>
          <w:p w14:paraId="6E8E0BA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tcPr>
          <w:p w14:paraId="5A60E58C"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tcPr>
          <w:p w14:paraId="5252FF67"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tcPr>
          <w:p w14:paraId="551D0090"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tcPr>
          <w:p w14:paraId="54AB6E9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shd w:val="clear" w:color="auto" w:fill="auto"/>
            <w:noWrap/>
          </w:tcPr>
          <w:p w14:paraId="4FBEDF10"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787" w:type="dxa"/>
            <w:shd w:val="clear" w:color="auto" w:fill="auto"/>
          </w:tcPr>
          <w:p w14:paraId="68804FD6"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shd w:val="clear" w:color="auto" w:fill="auto"/>
            <w:noWrap/>
          </w:tcPr>
          <w:p w14:paraId="1D83BB95" w14:textId="77777777" w:rsidR="008C179D" w:rsidRPr="008C179D" w:rsidRDefault="008C179D" w:rsidP="00CB304C">
            <w:pPr>
              <w:suppressAutoHyphens w:val="0"/>
              <w:spacing w:before="40" w:after="40" w:line="220" w:lineRule="exact"/>
              <w:jc w:val="right"/>
              <w:rPr>
                <w:sz w:val="18"/>
              </w:rPr>
            </w:pPr>
            <w:r w:rsidRPr="008C179D">
              <w:rPr>
                <w:sz w:val="18"/>
                <w:lang w:val="fr-FR"/>
              </w:rPr>
              <w:t>5 000</w:t>
            </w:r>
          </w:p>
        </w:tc>
        <w:tc>
          <w:tcPr>
            <w:tcW w:w="837" w:type="dxa"/>
            <w:shd w:val="clear" w:color="auto" w:fill="auto"/>
          </w:tcPr>
          <w:p w14:paraId="61BFF9C0"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8C179D" w14:paraId="709DEC49" w14:textId="77777777" w:rsidTr="00CB304C">
        <w:tc>
          <w:tcPr>
            <w:tcW w:w="1276" w:type="dxa"/>
            <w:tcBorders>
              <w:bottom w:val="single" w:sz="4" w:space="0" w:color="auto"/>
            </w:tcBorders>
            <w:shd w:val="clear" w:color="auto" w:fill="auto"/>
            <w:hideMark/>
          </w:tcPr>
          <w:p w14:paraId="6ACFFAFB" w14:textId="77777777" w:rsidR="008C179D" w:rsidRPr="008C179D" w:rsidRDefault="008C179D" w:rsidP="008C179D">
            <w:pPr>
              <w:suppressAutoHyphens w:val="0"/>
              <w:spacing w:before="40" w:after="40" w:line="220" w:lineRule="exact"/>
              <w:rPr>
                <w:sz w:val="18"/>
              </w:rPr>
            </w:pPr>
          </w:p>
        </w:tc>
        <w:tc>
          <w:tcPr>
            <w:tcW w:w="2179" w:type="dxa"/>
            <w:tcBorders>
              <w:bottom w:val="single" w:sz="4" w:space="0" w:color="auto"/>
            </w:tcBorders>
            <w:shd w:val="clear" w:color="auto" w:fill="auto"/>
            <w:vAlign w:val="bottom"/>
            <w:hideMark/>
          </w:tcPr>
          <w:p w14:paraId="47DC4D25" w14:textId="77777777" w:rsidR="008C179D" w:rsidRPr="008C179D" w:rsidRDefault="008C179D" w:rsidP="000439D2">
            <w:pPr>
              <w:suppressAutoHyphens w:val="0"/>
              <w:spacing w:before="40" w:after="40" w:line="220" w:lineRule="exact"/>
              <w:ind w:left="57"/>
              <w:rPr>
                <w:sz w:val="18"/>
                <w:lang w:val="fr-FR"/>
              </w:rPr>
            </w:pPr>
            <w:r w:rsidRPr="008C179D">
              <w:rPr>
                <w:sz w:val="18"/>
                <w:lang w:val="fr-FR"/>
              </w:rPr>
              <w:t xml:space="preserve">Formation du </w:t>
            </w:r>
            <w:proofErr w:type="spellStart"/>
            <w:r w:rsidRPr="008C179D">
              <w:rPr>
                <w:sz w:val="18"/>
                <w:lang w:val="fr-FR"/>
              </w:rPr>
              <w:t>personnel</w:t>
            </w:r>
            <w:r w:rsidRPr="0066258C">
              <w:rPr>
                <w:i/>
                <w:sz w:val="18"/>
                <w:vertAlign w:val="superscript"/>
                <w:lang w:val="fr-FR"/>
              </w:rPr>
              <w:t>l</w:t>
            </w:r>
            <w:proofErr w:type="spellEnd"/>
            <w:r w:rsidRPr="008C179D">
              <w:rPr>
                <w:sz w:val="18"/>
                <w:lang w:val="fr-FR"/>
              </w:rPr>
              <w:t xml:space="preserve"> (activités de perfectionnement des compétences)</w:t>
            </w:r>
          </w:p>
        </w:tc>
        <w:tc>
          <w:tcPr>
            <w:tcW w:w="1260" w:type="dxa"/>
            <w:tcBorders>
              <w:bottom w:val="single" w:sz="4" w:space="0" w:color="auto"/>
            </w:tcBorders>
            <w:shd w:val="clear" w:color="auto" w:fill="auto"/>
            <w:hideMark/>
          </w:tcPr>
          <w:p w14:paraId="698855E3" w14:textId="77777777" w:rsidR="008C179D" w:rsidRPr="008C179D" w:rsidRDefault="008C179D" w:rsidP="00CB304C">
            <w:pPr>
              <w:suppressAutoHyphens w:val="0"/>
              <w:spacing w:before="40" w:after="40" w:line="220" w:lineRule="exact"/>
              <w:jc w:val="right"/>
              <w:rPr>
                <w:sz w:val="18"/>
              </w:rPr>
            </w:pPr>
            <w:r w:rsidRPr="008C179D">
              <w:rPr>
                <w:sz w:val="18"/>
                <w:lang w:val="fr-FR"/>
              </w:rPr>
              <w:t>4 000</w:t>
            </w:r>
          </w:p>
        </w:tc>
        <w:tc>
          <w:tcPr>
            <w:tcW w:w="789" w:type="dxa"/>
            <w:tcBorders>
              <w:bottom w:val="single" w:sz="4" w:space="0" w:color="auto"/>
            </w:tcBorders>
            <w:shd w:val="clear" w:color="auto" w:fill="auto"/>
            <w:hideMark/>
          </w:tcPr>
          <w:p w14:paraId="2E53D050"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606B67A6" w14:textId="77777777" w:rsidR="008C179D" w:rsidRPr="008C179D" w:rsidRDefault="008C179D" w:rsidP="00CB304C">
            <w:pPr>
              <w:suppressAutoHyphens w:val="0"/>
              <w:spacing w:before="40" w:after="40" w:line="220" w:lineRule="exact"/>
              <w:jc w:val="right"/>
              <w:rPr>
                <w:sz w:val="18"/>
              </w:rPr>
            </w:pPr>
            <w:r w:rsidRPr="008C179D">
              <w:rPr>
                <w:sz w:val="18"/>
                <w:lang w:val="fr-FR"/>
              </w:rPr>
              <w:t>4 000</w:t>
            </w:r>
          </w:p>
        </w:tc>
        <w:tc>
          <w:tcPr>
            <w:tcW w:w="787" w:type="dxa"/>
            <w:tcBorders>
              <w:bottom w:val="single" w:sz="4" w:space="0" w:color="auto"/>
            </w:tcBorders>
            <w:shd w:val="clear" w:color="auto" w:fill="auto"/>
            <w:hideMark/>
          </w:tcPr>
          <w:p w14:paraId="13743C4D"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6D3A0626" w14:textId="77777777" w:rsidR="008C179D" w:rsidRPr="008C179D" w:rsidRDefault="008C179D" w:rsidP="00CB304C">
            <w:pPr>
              <w:suppressAutoHyphens w:val="0"/>
              <w:spacing w:before="40" w:after="40" w:line="220" w:lineRule="exact"/>
              <w:jc w:val="right"/>
              <w:rPr>
                <w:sz w:val="18"/>
              </w:rPr>
            </w:pPr>
            <w:r w:rsidRPr="008C179D">
              <w:rPr>
                <w:sz w:val="18"/>
                <w:lang w:val="fr-FR"/>
              </w:rPr>
              <w:t>4 000</w:t>
            </w:r>
          </w:p>
        </w:tc>
        <w:tc>
          <w:tcPr>
            <w:tcW w:w="787" w:type="dxa"/>
            <w:tcBorders>
              <w:bottom w:val="single" w:sz="4" w:space="0" w:color="auto"/>
            </w:tcBorders>
            <w:shd w:val="clear" w:color="auto" w:fill="auto"/>
            <w:hideMark/>
          </w:tcPr>
          <w:p w14:paraId="660AD823"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244" w:type="dxa"/>
            <w:tcBorders>
              <w:bottom w:val="single" w:sz="4" w:space="0" w:color="auto"/>
            </w:tcBorders>
            <w:shd w:val="clear" w:color="auto" w:fill="auto"/>
            <w:noWrap/>
            <w:hideMark/>
          </w:tcPr>
          <w:p w14:paraId="4912AC21" w14:textId="77777777" w:rsidR="008C179D" w:rsidRPr="008C179D" w:rsidRDefault="008C179D" w:rsidP="00CB304C">
            <w:pPr>
              <w:suppressAutoHyphens w:val="0"/>
              <w:spacing w:before="40" w:after="40" w:line="220" w:lineRule="exact"/>
              <w:jc w:val="right"/>
              <w:rPr>
                <w:sz w:val="18"/>
              </w:rPr>
            </w:pPr>
            <w:r w:rsidRPr="008C179D">
              <w:rPr>
                <w:sz w:val="18"/>
                <w:lang w:val="fr-FR"/>
              </w:rPr>
              <w:t>4 000</w:t>
            </w:r>
          </w:p>
        </w:tc>
        <w:tc>
          <w:tcPr>
            <w:tcW w:w="787" w:type="dxa"/>
            <w:tcBorders>
              <w:bottom w:val="single" w:sz="4" w:space="0" w:color="auto"/>
            </w:tcBorders>
            <w:shd w:val="clear" w:color="auto" w:fill="auto"/>
            <w:hideMark/>
          </w:tcPr>
          <w:p w14:paraId="6C6239AA" w14:textId="77777777" w:rsidR="008C179D" w:rsidRPr="008C179D" w:rsidRDefault="008C673D" w:rsidP="00CB304C">
            <w:pPr>
              <w:suppressAutoHyphens w:val="0"/>
              <w:spacing w:before="40" w:after="40" w:line="220" w:lineRule="exact"/>
              <w:jc w:val="right"/>
              <w:rPr>
                <w:sz w:val="18"/>
              </w:rPr>
            </w:pPr>
            <w:r>
              <w:rPr>
                <w:sz w:val="18"/>
                <w:lang w:val="fr-FR"/>
              </w:rPr>
              <w:t>−</w:t>
            </w:r>
          </w:p>
        </w:tc>
        <w:tc>
          <w:tcPr>
            <w:tcW w:w="1344" w:type="dxa"/>
            <w:tcBorders>
              <w:bottom w:val="single" w:sz="4" w:space="0" w:color="auto"/>
            </w:tcBorders>
            <w:shd w:val="clear" w:color="auto" w:fill="auto"/>
            <w:noWrap/>
            <w:hideMark/>
          </w:tcPr>
          <w:p w14:paraId="0F4B1A22" w14:textId="77777777" w:rsidR="008C179D" w:rsidRPr="008C179D" w:rsidRDefault="008C179D" w:rsidP="00CB304C">
            <w:pPr>
              <w:suppressAutoHyphens w:val="0"/>
              <w:spacing w:before="40" w:after="40" w:line="220" w:lineRule="exact"/>
              <w:jc w:val="right"/>
              <w:rPr>
                <w:sz w:val="18"/>
              </w:rPr>
            </w:pPr>
            <w:r w:rsidRPr="008C179D">
              <w:rPr>
                <w:sz w:val="18"/>
                <w:lang w:val="fr-FR"/>
              </w:rPr>
              <w:t>4 000</w:t>
            </w:r>
          </w:p>
        </w:tc>
        <w:tc>
          <w:tcPr>
            <w:tcW w:w="837" w:type="dxa"/>
            <w:tcBorders>
              <w:bottom w:val="single" w:sz="4" w:space="0" w:color="auto"/>
            </w:tcBorders>
            <w:shd w:val="clear" w:color="auto" w:fill="auto"/>
            <w:hideMark/>
          </w:tcPr>
          <w:p w14:paraId="4F364911" w14:textId="77777777" w:rsidR="008C179D" w:rsidRPr="008C179D" w:rsidRDefault="008C673D" w:rsidP="00CB304C">
            <w:pPr>
              <w:suppressAutoHyphens w:val="0"/>
              <w:spacing w:before="40" w:after="40" w:line="220" w:lineRule="exact"/>
              <w:jc w:val="right"/>
              <w:rPr>
                <w:sz w:val="18"/>
              </w:rPr>
            </w:pPr>
            <w:r>
              <w:rPr>
                <w:sz w:val="18"/>
                <w:lang w:val="fr-FR"/>
              </w:rPr>
              <w:t>−</w:t>
            </w:r>
          </w:p>
        </w:tc>
      </w:tr>
      <w:tr w:rsidR="008C179D" w:rsidRPr="0066258C" w14:paraId="5FBD9DA2" w14:textId="77777777" w:rsidTr="0066258C">
        <w:tc>
          <w:tcPr>
            <w:tcW w:w="3455" w:type="dxa"/>
            <w:gridSpan w:val="2"/>
            <w:tcBorders>
              <w:top w:val="single" w:sz="4" w:space="0" w:color="auto"/>
              <w:bottom w:val="single" w:sz="4" w:space="0" w:color="auto"/>
            </w:tcBorders>
            <w:shd w:val="clear" w:color="auto" w:fill="auto"/>
            <w:hideMark/>
          </w:tcPr>
          <w:p w14:paraId="757EA7EC" w14:textId="77777777" w:rsidR="008C179D" w:rsidRPr="0066258C" w:rsidRDefault="008C179D" w:rsidP="00CB304C">
            <w:pPr>
              <w:suppressAutoHyphens w:val="0"/>
              <w:spacing w:before="80" w:after="80" w:line="220" w:lineRule="exact"/>
              <w:ind w:left="284"/>
              <w:rPr>
                <w:b/>
                <w:bCs/>
                <w:sz w:val="18"/>
              </w:rPr>
            </w:pPr>
            <w:r w:rsidRPr="0066258C">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16FD0F3C" w14:textId="77777777" w:rsidR="008C179D" w:rsidRPr="0066258C" w:rsidRDefault="008C179D" w:rsidP="0066258C">
            <w:pPr>
              <w:suppressAutoHyphens w:val="0"/>
              <w:spacing w:before="80" w:after="80" w:line="220" w:lineRule="exact"/>
              <w:jc w:val="right"/>
              <w:rPr>
                <w:b/>
                <w:bCs/>
                <w:sz w:val="18"/>
              </w:rPr>
            </w:pPr>
            <w:r w:rsidRPr="0066258C">
              <w:rPr>
                <w:b/>
                <w:bCs/>
                <w:sz w:val="18"/>
                <w:lang w:val="fr-FR"/>
              </w:rPr>
              <w:t>108 000</w:t>
            </w:r>
          </w:p>
        </w:tc>
        <w:tc>
          <w:tcPr>
            <w:tcW w:w="789" w:type="dxa"/>
            <w:tcBorders>
              <w:top w:val="single" w:sz="4" w:space="0" w:color="auto"/>
              <w:bottom w:val="single" w:sz="4" w:space="0" w:color="auto"/>
            </w:tcBorders>
            <w:shd w:val="clear" w:color="auto" w:fill="auto"/>
            <w:vAlign w:val="bottom"/>
            <w:hideMark/>
          </w:tcPr>
          <w:p w14:paraId="053E2613" w14:textId="77777777" w:rsidR="008C179D" w:rsidRPr="0066258C" w:rsidRDefault="008C673D" w:rsidP="0066258C">
            <w:pPr>
              <w:suppressAutoHyphens w:val="0"/>
              <w:spacing w:before="80" w:after="80" w:line="220" w:lineRule="exact"/>
              <w:jc w:val="right"/>
              <w:rPr>
                <w:b/>
                <w:bCs/>
                <w:sz w:val="18"/>
              </w:rPr>
            </w:pPr>
            <w:r>
              <w:rPr>
                <w:b/>
                <w:bCs/>
                <w:sz w:val="18"/>
                <w:lang w:val="fr-FR"/>
              </w:rPr>
              <w:t>−</w:t>
            </w:r>
          </w:p>
        </w:tc>
        <w:tc>
          <w:tcPr>
            <w:tcW w:w="1244" w:type="dxa"/>
            <w:tcBorders>
              <w:top w:val="single" w:sz="4" w:space="0" w:color="auto"/>
              <w:bottom w:val="single" w:sz="4" w:space="0" w:color="auto"/>
            </w:tcBorders>
            <w:shd w:val="clear" w:color="auto" w:fill="auto"/>
            <w:vAlign w:val="bottom"/>
            <w:hideMark/>
          </w:tcPr>
          <w:p w14:paraId="3C476000" w14:textId="77777777" w:rsidR="008C179D" w:rsidRPr="0066258C" w:rsidRDefault="008C179D" w:rsidP="0066258C">
            <w:pPr>
              <w:suppressAutoHyphens w:val="0"/>
              <w:spacing w:before="80" w:after="80" w:line="220" w:lineRule="exact"/>
              <w:jc w:val="right"/>
              <w:rPr>
                <w:b/>
                <w:bCs/>
                <w:sz w:val="18"/>
              </w:rPr>
            </w:pPr>
            <w:r w:rsidRPr="0066258C">
              <w:rPr>
                <w:b/>
                <w:bCs/>
                <w:sz w:val="18"/>
                <w:lang w:val="fr-FR"/>
              </w:rPr>
              <w:t>108 000</w:t>
            </w:r>
          </w:p>
        </w:tc>
        <w:tc>
          <w:tcPr>
            <w:tcW w:w="787" w:type="dxa"/>
            <w:tcBorders>
              <w:top w:val="single" w:sz="4" w:space="0" w:color="auto"/>
              <w:bottom w:val="single" w:sz="4" w:space="0" w:color="auto"/>
            </w:tcBorders>
            <w:shd w:val="clear" w:color="auto" w:fill="auto"/>
            <w:vAlign w:val="bottom"/>
            <w:hideMark/>
          </w:tcPr>
          <w:p w14:paraId="193AA337" w14:textId="77777777" w:rsidR="008C179D" w:rsidRPr="0066258C" w:rsidRDefault="008C673D" w:rsidP="0066258C">
            <w:pPr>
              <w:suppressAutoHyphens w:val="0"/>
              <w:spacing w:before="80" w:after="80" w:line="220" w:lineRule="exact"/>
              <w:jc w:val="right"/>
              <w:rPr>
                <w:b/>
                <w:bCs/>
                <w:sz w:val="18"/>
              </w:rPr>
            </w:pPr>
            <w:r>
              <w:rPr>
                <w:b/>
                <w:bCs/>
                <w:sz w:val="18"/>
                <w:lang w:val="fr-FR"/>
              </w:rPr>
              <w:t>−</w:t>
            </w:r>
          </w:p>
        </w:tc>
        <w:tc>
          <w:tcPr>
            <w:tcW w:w="1244" w:type="dxa"/>
            <w:tcBorders>
              <w:top w:val="single" w:sz="4" w:space="0" w:color="auto"/>
              <w:bottom w:val="single" w:sz="4" w:space="0" w:color="auto"/>
            </w:tcBorders>
            <w:shd w:val="clear" w:color="auto" w:fill="auto"/>
            <w:noWrap/>
            <w:vAlign w:val="bottom"/>
            <w:hideMark/>
          </w:tcPr>
          <w:p w14:paraId="799425D5" w14:textId="77777777" w:rsidR="008C179D" w:rsidRPr="0066258C" w:rsidRDefault="008C179D" w:rsidP="0066258C">
            <w:pPr>
              <w:suppressAutoHyphens w:val="0"/>
              <w:spacing w:before="80" w:after="80" w:line="220" w:lineRule="exact"/>
              <w:jc w:val="right"/>
              <w:rPr>
                <w:b/>
                <w:bCs/>
                <w:sz w:val="18"/>
              </w:rPr>
            </w:pPr>
            <w:r w:rsidRPr="0066258C">
              <w:rPr>
                <w:b/>
                <w:bCs/>
                <w:sz w:val="18"/>
                <w:lang w:val="fr-FR"/>
              </w:rPr>
              <w:t>108 000</w:t>
            </w:r>
          </w:p>
        </w:tc>
        <w:tc>
          <w:tcPr>
            <w:tcW w:w="787" w:type="dxa"/>
            <w:tcBorders>
              <w:top w:val="single" w:sz="4" w:space="0" w:color="auto"/>
              <w:bottom w:val="single" w:sz="4" w:space="0" w:color="auto"/>
            </w:tcBorders>
            <w:shd w:val="clear" w:color="auto" w:fill="auto"/>
            <w:vAlign w:val="bottom"/>
            <w:hideMark/>
          </w:tcPr>
          <w:p w14:paraId="437C46B4" w14:textId="77777777" w:rsidR="008C179D" w:rsidRPr="0066258C" w:rsidRDefault="008C673D" w:rsidP="0066258C">
            <w:pPr>
              <w:suppressAutoHyphens w:val="0"/>
              <w:spacing w:before="80" w:after="80" w:line="220" w:lineRule="exact"/>
              <w:jc w:val="right"/>
              <w:rPr>
                <w:b/>
                <w:bCs/>
                <w:sz w:val="18"/>
              </w:rPr>
            </w:pPr>
            <w:r>
              <w:rPr>
                <w:b/>
                <w:bCs/>
                <w:sz w:val="18"/>
                <w:lang w:val="fr-FR"/>
              </w:rPr>
              <w:t>−</w:t>
            </w:r>
          </w:p>
        </w:tc>
        <w:tc>
          <w:tcPr>
            <w:tcW w:w="1244" w:type="dxa"/>
            <w:tcBorders>
              <w:top w:val="single" w:sz="4" w:space="0" w:color="auto"/>
              <w:bottom w:val="single" w:sz="4" w:space="0" w:color="auto"/>
            </w:tcBorders>
            <w:shd w:val="clear" w:color="auto" w:fill="auto"/>
            <w:noWrap/>
            <w:vAlign w:val="bottom"/>
            <w:hideMark/>
          </w:tcPr>
          <w:p w14:paraId="11B137A4" w14:textId="77777777" w:rsidR="008C179D" w:rsidRPr="0066258C" w:rsidRDefault="008C179D" w:rsidP="0066258C">
            <w:pPr>
              <w:suppressAutoHyphens w:val="0"/>
              <w:spacing w:before="80" w:after="80" w:line="220" w:lineRule="exact"/>
              <w:jc w:val="right"/>
              <w:rPr>
                <w:b/>
                <w:bCs/>
                <w:sz w:val="18"/>
              </w:rPr>
            </w:pPr>
            <w:r w:rsidRPr="0066258C">
              <w:rPr>
                <w:b/>
                <w:bCs/>
                <w:sz w:val="18"/>
                <w:lang w:val="fr-FR"/>
              </w:rPr>
              <w:t>108 000</w:t>
            </w:r>
          </w:p>
        </w:tc>
        <w:tc>
          <w:tcPr>
            <w:tcW w:w="787" w:type="dxa"/>
            <w:tcBorders>
              <w:top w:val="single" w:sz="4" w:space="0" w:color="auto"/>
              <w:bottom w:val="single" w:sz="4" w:space="0" w:color="auto"/>
            </w:tcBorders>
            <w:shd w:val="clear" w:color="auto" w:fill="auto"/>
            <w:vAlign w:val="bottom"/>
            <w:hideMark/>
          </w:tcPr>
          <w:p w14:paraId="56B056A8" w14:textId="77777777" w:rsidR="008C179D" w:rsidRPr="0066258C" w:rsidRDefault="008C673D" w:rsidP="0066258C">
            <w:pPr>
              <w:suppressAutoHyphens w:val="0"/>
              <w:spacing w:before="80" w:after="80" w:line="220" w:lineRule="exact"/>
              <w:jc w:val="right"/>
              <w:rPr>
                <w:b/>
                <w:bCs/>
                <w:sz w:val="18"/>
              </w:rPr>
            </w:pPr>
            <w:r>
              <w:rPr>
                <w:b/>
                <w:bCs/>
                <w:sz w:val="18"/>
                <w:lang w:val="fr-FR"/>
              </w:rPr>
              <w:t>−</w:t>
            </w:r>
          </w:p>
        </w:tc>
        <w:tc>
          <w:tcPr>
            <w:tcW w:w="1344" w:type="dxa"/>
            <w:tcBorders>
              <w:top w:val="single" w:sz="4" w:space="0" w:color="auto"/>
              <w:bottom w:val="single" w:sz="4" w:space="0" w:color="auto"/>
            </w:tcBorders>
            <w:shd w:val="clear" w:color="auto" w:fill="auto"/>
            <w:noWrap/>
            <w:vAlign w:val="bottom"/>
            <w:hideMark/>
          </w:tcPr>
          <w:p w14:paraId="45F96131" w14:textId="77777777" w:rsidR="008C179D" w:rsidRPr="0066258C" w:rsidRDefault="008C179D" w:rsidP="0066258C">
            <w:pPr>
              <w:suppressAutoHyphens w:val="0"/>
              <w:spacing w:before="80" w:after="80" w:line="220" w:lineRule="exact"/>
              <w:jc w:val="right"/>
              <w:rPr>
                <w:b/>
                <w:bCs/>
                <w:sz w:val="18"/>
              </w:rPr>
            </w:pPr>
            <w:r w:rsidRPr="0066258C">
              <w:rPr>
                <w:b/>
                <w:bCs/>
                <w:sz w:val="18"/>
                <w:lang w:val="fr-FR"/>
              </w:rPr>
              <w:t>108 000</w:t>
            </w:r>
          </w:p>
        </w:tc>
        <w:tc>
          <w:tcPr>
            <w:tcW w:w="837" w:type="dxa"/>
            <w:tcBorders>
              <w:top w:val="single" w:sz="4" w:space="0" w:color="auto"/>
              <w:bottom w:val="single" w:sz="4" w:space="0" w:color="auto"/>
            </w:tcBorders>
            <w:shd w:val="clear" w:color="auto" w:fill="auto"/>
            <w:vAlign w:val="bottom"/>
            <w:hideMark/>
          </w:tcPr>
          <w:p w14:paraId="0B127FCD" w14:textId="77777777" w:rsidR="008C179D" w:rsidRPr="0066258C" w:rsidRDefault="008C673D" w:rsidP="0066258C">
            <w:pPr>
              <w:suppressAutoHyphens w:val="0"/>
              <w:spacing w:before="80" w:after="80" w:line="220" w:lineRule="exact"/>
              <w:jc w:val="right"/>
              <w:rPr>
                <w:b/>
                <w:bCs/>
                <w:sz w:val="18"/>
              </w:rPr>
            </w:pPr>
            <w:r>
              <w:rPr>
                <w:b/>
                <w:bCs/>
                <w:sz w:val="18"/>
                <w:lang w:val="fr-FR"/>
              </w:rPr>
              <w:t>−</w:t>
            </w:r>
          </w:p>
        </w:tc>
      </w:tr>
      <w:tr w:rsidR="008C179D" w:rsidRPr="0066258C" w14:paraId="2EFB25FA" w14:textId="77777777" w:rsidTr="0066258C">
        <w:tc>
          <w:tcPr>
            <w:tcW w:w="3455" w:type="dxa"/>
            <w:gridSpan w:val="2"/>
            <w:tcBorders>
              <w:top w:val="single" w:sz="4" w:space="0" w:color="auto"/>
              <w:bottom w:val="single" w:sz="12" w:space="0" w:color="auto"/>
            </w:tcBorders>
            <w:shd w:val="clear" w:color="auto" w:fill="auto"/>
            <w:hideMark/>
          </w:tcPr>
          <w:p w14:paraId="0855389B" w14:textId="77777777" w:rsidR="008C179D" w:rsidRPr="0066258C" w:rsidRDefault="008C179D" w:rsidP="00CB304C">
            <w:pPr>
              <w:suppressAutoHyphens w:val="0"/>
              <w:spacing w:before="80" w:after="80" w:line="220" w:lineRule="exact"/>
              <w:ind w:left="284"/>
              <w:rPr>
                <w:b/>
                <w:sz w:val="18"/>
              </w:rPr>
            </w:pPr>
            <w:r w:rsidRPr="0066258C">
              <w:rPr>
                <w:b/>
                <w:bCs/>
                <w:sz w:val="18"/>
                <w:lang w:val="fr-FR"/>
              </w:rPr>
              <w:t>Total</w:t>
            </w:r>
          </w:p>
        </w:tc>
        <w:tc>
          <w:tcPr>
            <w:tcW w:w="1260" w:type="dxa"/>
            <w:tcBorders>
              <w:top w:val="single" w:sz="4" w:space="0" w:color="auto"/>
              <w:bottom w:val="single" w:sz="12" w:space="0" w:color="auto"/>
            </w:tcBorders>
            <w:shd w:val="clear" w:color="auto" w:fill="auto"/>
            <w:vAlign w:val="bottom"/>
          </w:tcPr>
          <w:p w14:paraId="4869433D" w14:textId="77777777" w:rsidR="008C179D" w:rsidRPr="0066258C" w:rsidRDefault="008C179D" w:rsidP="0066258C">
            <w:pPr>
              <w:suppressAutoHyphens w:val="0"/>
              <w:spacing w:before="80" w:after="80" w:line="220" w:lineRule="exact"/>
              <w:jc w:val="right"/>
              <w:rPr>
                <w:bCs/>
                <w:sz w:val="18"/>
              </w:rPr>
            </w:pPr>
            <w:r w:rsidRPr="0066258C">
              <w:rPr>
                <w:sz w:val="18"/>
                <w:lang w:val="fr-FR"/>
              </w:rPr>
              <w:t>1 465 300</w:t>
            </w:r>
          </w:p>
        </w:tc>
        <w:tc>
          <w:tcPr>
            <w:tcW w:w="789" w:type="dxa"/>
            <w:tcBorders>
              <w:top w:val="single" w:sz="4" w:space="0" w:color="auto"/>
              <w:bottom w:val="single" w:sz="12" w:space="0" w:color="auto"/>
            </w:tcBorders>
            <w:shd w:val="clear" w:color="auto" w:fill="auto"/>
            <w:vAlign w:val="bottom"/>
          </w:tcPr>
          <w:p w14:paraId="09454618" w14:textId="77777777" w:rsidR="008C179D" w:rsidRPr="0066258C" w:rsidRDefault="008C179D" w:rsidP="0066258C">
            <w:pPr>
              <w:suppressAutoHyphens w:val="0"/>
              <w:spacing w:before="80" w:after="80" w:line="220" w:lineRule="exact"/>
              <w:jc w:val="right"/>
              <w:rPr>
                <w:bCs/>
                <w:sz w:val="18"/>
              </w:rPr>
            </w:pPr>
            <w:r w:rsidRPr="0066258C">
              <w:rPr>
                <w:sz w:val="18"/>
                <w:lang w:val="fr-FR"/>
              </w:rPr>
              <w:t>82 000</w:t>
            </w:r>
          </w:p>
        </w:tc>
        <w:tc>
          <w:tcPr>
            <w:tcW w:w="1244" w:type="dxa"/>
            <w:tcBorders>
              <w:top w:val="single" w:sz="4" w:space="0" w:color="auto"/>
              <w:bottom w:val="single" w:sz="12" w:space="0" w:color="auto"/>
            </w:tcBorders>
            <w:shd w:val="clear" w:color="auto" w:fill="auto"/>
            <w:vAlign w:val="bottom"/>
          </w:tcPr>
          <w:p w14:paraId="419EAC68" w14:textId="77777777" w:rsidR="008C179D" w:rsidRPr="0066258C" w:rsidRDefault="008C179D" w:rsidP="0066258C">
            <w:pPr>
              <w:suppressAutoHyphens w:val="0"/>
              <w:spacing w:before="80" w:after="80" w:line="220" w:lineRule="exact"/>
              <w:jc w:val="right"/>
              <w:rPr>
                <w:bCs/>
                <w:sz w:val="18"/>
              </w:rPr>
            </w:pPr>
            <w:r w:rsidRPr="0066258C">
              <w:rPr>
                <w:sz w:val="18"/>
                <w:lang w:val="fr-FR"/>
              </w:rPr>
              <w:t>1 505 300</w:t>
            </w:r>
          </w:p>
        </w:tc>
        <w:tc>
          <w:tcPr>
            <w:tcW w:w="787" w:type="dxa"/>
            <w:tcBorders>
              <w:top w:val="single" w:sz="4" w:space="0" w:color="auto"/>
              <w:bottom w:val="single" w:sz="12" w:space="0" w:color="auto"/>
            </w:tcBorders>
            <w:shd w:val="clear" w:color="auto" w:fill="auto"/>
            <w:vAlign w:val="bottom"/>
          </w:tcPr>
          <w:p w14:paraId="7F48F9A1" w14:textId="77777777" w:rsidR="008C179D" w:rsidRPr="0066258C" w:rsidRDefault="008C179D" w:rsidP="0066258C">
            <w:pPr>
              <w:suppressAutoHyphens w:val="0"/>
              <w:spacing w:before="80" w:after="80" w:line="220" w:lineRule="exact"/>
              <w:jc w:val="right"/>
              <w:rPr>
                <w:bCs/>
                <w:sz w:val="18"/>
              </w:rPr>
            </w:pPr>
            <w:r w:rsidRPr="0066258C">
              <w:rPr>
                <w:sz w:val="18"/>
                <w:lang w:val="fr-FR"/>
              </w:rPr>
              <w:t>82 000</w:t>
            </w:r>
          </w:p>
        </w:tc>
        <w:tc>
          <w:tcPr>
            <w:tcW w:w="1244" w:type="dxa"/>
            <w:tcBorders>
              <w:top w:val="single" w:sz="4" w:space="0" w:color="auto"/>
              <w:bottom w:val="single" w:sz="12" w:space="0" w:color="auto"/>
            </w:tcBorders>
            <w:shd w:val="clear" w:color="auto" w:fill="auto"/>
            <w:vAlign w:val="bottom"/>
          </w:tcPr>
          <w:p w14:paraId="2D9D8C40" w14:textId="77777777" w:rsidR="008C179D" w:rsidRPr="0066258C" w:rsidRDefault="008C179D" w:rsidP="0066258C">
            <w:pPr>
              <w:suppressAutoHyphens w:val="0"/>
              <w:spacing w:before="80" w:after="80" w:line="220" w:lineRule="exact"/>
              <w:jc w:val="right"/>
              <w:rPr>
                <w:bCs/>
                <w:sz w:val="18"/>
              </w:rPr>
            </w:pPr>
            <w:r w:rsidRPr="0066258C">
              <w:rPr>
                <w:sz w:val="18"/>
                <w:lang w:val="fr-FR"/>
              </w:rPr>
              <w:t>1 475 300</w:t>
            </w:r>
          </w:p>
        </w:tc>
        <w:tc>
          <w:tcPr>
            <w:tcW w:w="787" w:type="dxa"/>
            <w:tcBorders>
              <w:top w:val="single" w:sz="4" w:space="0" w:color="auto"/>
              <w:bottom w:val="single" w:sz="12" w:space="0" w:color="auto"/>
            </w:tcBorders>
            <w:shd w:val="clear" w:color="auto" w:fill="auto"/>
            <w:vAlign w:val="bottom"/>
          </w:tcPr>
          <w:p w14:paraId="101A4959" w14:textId="77777777" w:rsidR="008C179D" w:rsidRPr="0066258C" w:rsidRDefault="008C179D" w:rsidP="0066258C">
            <w:pPr>
              <w:suppressAutoHyphens w:val="0"/>
              <w:spacing w:before="80" w:after="80" w:line="220" w:lineRule="exact"/>
              <w:jc w:val="right"/>
              <w:rPr>
                <w:bCs/>
                <w:sz w:val="18"/>
              </w:rPr>
            </w:pPr>
            <w:r w:rsidRPr="0066258C">
              <w:rPr>
                <w:sz w:val="18"/>
                <w:lang w:val="fr-FR"/>
              </w:rPr>
              <w:t>82 200</w:t>
            </w:r>
          </w:p>
        </w:tc>
        <w:tc>
          <w:tcPr>
            <w:tcW w:w="1244" w:type="dxa"/>
            <w:tcBorders>
              <w:top w:val="single" w:sz="4" w:space="0" w:color="auto"/>
              <w:bottom w:val="single" w:sz="12" w:space="0" w:color="auto"/>
            </w:tcBorders>
            <w:shd w:val="clear" w:color="auto" w:fill="auto"/>
            <w:vAlign w:val="bottom"/>
          </w:tcPr>
          <w:p w14:paraId="5B7C837E" w14:textId="77777777" w:rsidR="008C179D" w:rsidRPr="0066258C" w:rsidRDefault="008C179D" w:rsidP="0066258C">
            <w:pPr>
              <w:suppressAutoHyphens w:val="0"/>
              <w:spacing w:before="80" w:after="80" w:line="220" w:lineRule="exact"/>
              <w:jc w:val="right"/>
              <w:rPr>
                <w:bCs/>
                <w:sz w:val="18"/>
              </w:rPr>
            </w:pPr>
            <w:r w:rsidRPr="0066258C">
              <w:rPr>
                <w:sz w:val="18"/>
                <w:lang w:val="fr-FR"/>
              </w:rPr>
              <w:t>1 558 900</w:t>
            </w:r>
          </w:p>
        </w:tc>
        <w:tc>
          <w:tcPr>
            <w:tcW w:w="787" w:type="dxa"/>
            <w:tcBorders>
              <w:top w:val="single" w:sz="4" w:space="0" w:color="auto"/>
              <w:bottom w:val="single" w:sz="12" w:space="0" w:color="auto"/>
            </w:tcBorders>
            <w:shd w:val="clear" w:color="auto" w:fill="auto"/>
            <w:vAlign w:val="bottom"/>
          </w:tcPr>
          <w:p w14:paraId="52CD6066" w14:textId="77777777" w:rsidR="008C179D" w:rsidRPr="0066258C" w:rsidRDefault="008C179D" w:rsidP="0066258C">
            <w:pPr>
              <w:suppressAutoHyphens w:val="0"/>
              <w:spacing w:before="80" w:after="80" w:line="220" w:lineRule="exact"/>
              <w:jc w:val="right"/>
              <w:rPr>
                <w:bCs/>
                <w:sz w:val="18"/>
              </w:rPr>
            </w:pPr>
            <w:r w:rsidRPr="0066258C">
              <w:rPr>
                <w:sz w:val="18"/>
                <w:lang w:val="fr-FR"/>
              </w:rPr>
              <w:t>82 000</w:t>
            </w:r>
          </w:p>
        </w:tc>
        <w:tc>
          <w:tcPr>
            <w:tcW w:w="1344" w:type="dxa"/>
            <w:tcBorders>
              <w:top w:val="single" w:sz="4" w:space="0" w:color="auto"/>
              <w:bottom w:val="single" w:sz="12" w:space="0" w:color="auto"/>
            </w:tcBorders>
            <w:shd w:val="clear" w:color="auto" w:fill="auto"/>
            <w:vAlign w:val="bottom"/>
          </w:tcPr>
          <w:p w14:paraId="2BF80AEA" w14:textId="77777777" w:rsidR="008C179D" w:rsidRPr="0066258C" w:rsidRDefault="008C179D" w:rsidP="0066258C">
            <w:pPr>
              <w:suppressAutoHyphens w:val="0"/>
              <w:spacing w:before="80" w:after="80" w:line="220" w:lineRule="exact"/>
              <w:jc w:val="right"/>
              <w:rPr>
                <w:bCs/>
                <w:sz w:val="18"/>
              </w:rPr>
            </w:pPr>
            <w:r w:rsidRPr="0066258C">
              <w:rPr>
                <w:sz w:val="18"/>
                <w:lang w:val="fr-FR"/>
              </w:rPr>
              <w:t>1 501 200</w:t>
            </w:r>
          </w:p>
        </w:tc>
        <w:tc>
          <w:tcPr>
            <w:tcW w:w="837" w:type="dxa"/>
            <w:tcBorders>
              <w:top w:val="single" w:sz="4" w:space="0" w:color="auto"/>
              <w:bottom w:val="single" w:sz="12" w:space="0" w:color="auto"/>
            </w:tcBorders>
            <w:shd w:val="clear" w:color="auto" w:fill="auto"/>
            <w:vAlign w:val="bottom"/>
          </w:tcPr>
          <w:p w14:paraId="65C76F06" w14:textId="77777777" w:rsidR="008C179D" w:rsidRPr="0066258C" w:rsidRDefault="008C179D" w:rsidP="0066258C">
            <w:pPr>
              <w:suppressAutoHyphens w:val="0"/>
              <w:spacing w:before="80" w:after="80" w:line="220" w:lineRule="exact"/>
              <w:jc w:val="right"/>
              <w:rPr>
                <w:bCs/>
                <w:sz w:val="18"/>
              </w:rPr>
            </w:pPr>
            <w:r w:rsidRPr="0066258C">
              <w:rPr>
                <w:sz w:val="18"/>
                <w:lang w:val="fr-FR"/>
              </w:rPr>
              <w:t>82 000</w:t>
            </w:r>
          </w:p>
        </w:tc>
      </w:tr>
      <w:tr w:rsidR="008C179D" w:rsidRPr="0066258C" w14:paraId="69F276D8" w14:textId="77777777" w:rsidTr="0066258C">
        <w:tc>
          <w:tcPr>
            <w:tcW w:w="3455" w:type="dxa"/>
            <w:gridSpan w:val="2"/>
            <w:tcBorders>
              <w:top w:val="single" w:sz="12" w:space="0" w:color="auto"/>
              <w:bottom w:val="single" w:sz="8" w:space="0" w:color="auto"/>
            </w:tcBorders>
            <w:shd w:val="clear" w:color="auto" w:fill="auto"/>
            <w:hideMark/>
          </w:tcPr>
          <w:p w14:paraId="73ECB7C4" w14:textId="77777777" w:rsidR="008C179D" w:rsidRPr="0066258C" w:rsidRDefault="008C179D" w:rsidP="000439D2">
            <w:pPr>
              <w:suppressAutoHyphens w:val="0"/>
              <w:spacing w:before="80" w:after="80" w:line="220" w:lineRule="exact"/>
              <w:ind w:left="57"/>
              <w:rPr>
                <w:b/>
                <w:sz w:val="18"/>
              </w:rPr>
            </w:pPr>
            <w:r w:rsidRPr="0066258C">
              <w:rPr>
                <w:b/>
                <w:bCs/>
                <w:sz w:val="18"/>
                <w:lang w:val="fr-FR"/>
              </w:rPr>
              <w:t>Dépenses d</w:t>
            </w:r>
            <w:r w:rsidR="00457C42" w:rsidRPr="0066258C">
              <w:rPr>
                <w:b/>
                <w:bCs/>
                <w:sz w:val="18"/>
                <w:lang w:val="fr-FR"/>
              </w:rPr>
              <w:t>’</w:t>
            </w:r>
            <w:r w:rsidRPr="0066258C">
              <w:rPr>
                <w:b/>
                <w:bCs/>
                <w:sz w:val="18"/>
                <w:lang w:val="fr-FR"/>
              </w:rPr>
              <w:t>appui au programme (13 %)</w:t>
            </w:r>
          </w:p>
        </w:tc>
        <w:tc>
          <w:tcPr>
            <w:tcW w:w="1260" w:type="dxa"/>
            <w:tcBorders>
              <w:top w:val="single" w:sz="12" w:space="0" w:color="auto"/>
              <w:bottom w:val="single" w:sz="8" w:space="0" w:color="auto"/>
            </w:tcBorders>
            <w:shd w:val="clear" w:color="auto" w:fill="auto"/>
            <w:vAlign w:val="bottom"/>
          </w:tcPr>
          <w:p w14:paraId="5B52D323" w14:textId="77777777" w:rsidR="008C179D" w:rsidRPr="0066258C" w:rsidRDefault="008C179D" w:rsidP="0066258C">
            <w:pPr>
              <w:suppressAutoHyphens w:val="0"/>
              <w:spacing w:before="80" w:after="80" w:line="220" w:lineRule="exact"/>
              <w:jc w:val="right"/>
              <w:rPr>
                <w:sz w:val="18"/>
              </w:rPr>
            </w:pPr>
            <w:r w:rsidRPr="0066258C">
              <w:rPr>
                <w:sz w:val="18"/>
                <w:lang w:val="fr-FR"/>
              </w:rPr>
              <w:t>190 489</w:t>
            </w:r>
          </w:p>
        </w:tc>
        <w:tc>
          <w:tcPr>
            <w:tcW w:w="789" w:type="dxa"/>
            <w:tcBorders>
              <w:top w:val="single" w:sz="12" w:space="0" w:color="auto"/>
              <w:bottom w:val="single" w:sz="8" w:space="0" w:color="auto"/>
            </w:tcBorders>
            <w:shd w:val="clear" w:color="auto" w:fill="auto"/>
            <w:vAlign w:val="bottom"/>
          </w:tcPr>
          <w:p w14:paraId="137AC627" w14:textId="77777777" w:rsidR="008C179D" w:rsidRPr="0066258C" w:rsidRDefault="008C179D" w:rsidP="0066258C">
            <w:pPr>
              <w:suppressAutoHyphens w:val="0"/>
              <w:spacing w:before="80" w:after="80" w:line="220" w:lineRule="exact"/>
              <w:jc w:val="right"/>
              <w:rPr>
                <w:sz w:val="18"/>
              </w:rPr>
            </w:pPr>
            <w:r w:rsidRPr="0066258C">
              <w:rPr>
                <w:sz w:val="18"/>
                <w:lang w:val="fr-FR"/>
              </w:rPr>
              <w:t>10 660</w:t>
            </w:r>
          </w:p>
        </w:tc>
        <w:tc>
          <w:tcPr>
            <w:tcW w:w="1244" w:type="dxa"/>
            <w:tcBorders>
              <w:top w:val="single" w:sz="12" w:space="0" w:color="auto"/>
              <w:bottom w:val="single" w:sz="8" w:space="0" w:color="auto"/>
            </w:tcBorders>
            <w:shd w:val="clear" w:color="auto" w:fill="auto"/>
            <w:vAlign w:val="bottom"/>
          </w:tcPr>
          <w:p w14:paraId="681070E0" w14:textId="77777777" w:rsidR="008C179D" w:rsidRPr="0066258C" w:rsidRDefault="008C179D" w:rsidP="0066258C">
            <w:pPr>
              <w:suppressAutoHyphens w:val="0"/>
              <w:spacing w:before="80" w:after="80" w:line="220" w:lineRule="exact"/>
              <w:jc w:val="right"/>
              <w:rPr>
                <w:sz w:val="18"/>
              </w:rPr>
            </w:pPr>
            <w:r w:rsidRPr="0066258C">
              <w:rPr>
                <w:sz w:val="18"/>
                <w:lang w:val="fr-FR"/>
              </w:rPr>
              <w:t>195 689</w:t>
            </w:r>
          </w:p>
        </w:tc>
        <w:tc>
          <w:tcPr>
            <w:tcW w:w="787" w:type="dxa"/>
            <w:tcBorders>
              <w:top w:val="single" w:sz="12" w:space="0" w:color="auto"/>
              <w:bottom w:val="single" w:sz="8" w:space="0" w:color="auto"/>
            </w:tcBorders>
            <w:shd w:val="clear" w:color="auto" w:fill="auto"/>
            <w:vAlign w:val="bottom"/>
          </w:tcPr>
          <w:p w14:paraId="59C72FBE" w14:textId="77777777" w:rsidR="008C179D" w:rsidRPr="0066258C" w:rsidRDefault="008C179D" w:rsidP="0066258C">
            <w:pPr>
              <w:suppressAutoHyphens w:val="0"/>
              <w:spacing w:before="80" w:after="80" w:line="220" w:lineRule="exact"/>
              <w:jc w:val="right"/>
              <w:rPr>
                <w:sz w:val="18"/>
              </w:rPr>
            </w:pPr>
            <w:r w:rsidRPr="0066258C">
              <w:rPr>
                <w:sz w:val="18"/>
                <w:lang w:val="fr-FR"/>
              </w:rPr>
              <w:t>10 660</w:t>
            </w:r>
          </w:p>
        </w:tc>
        <w:tc>
          <w:tcPr>
            <w:tcW w:w="1244" w:type="dxa"/>
            <w:tcBorders>
              <w:top w:val="single" w:sz="12" w:space="0" w:color="auto"/>
              <w:bottom w:val="single" w:sz="8" w:space="0" w:color="auto"/>
            </w:tcBorders>
            <w:shd w:val="clear" w:color="auto" w:fill="auto"/>
            <w:vAlign w:val="bottom"/>
          </w:tcPr>
          <w:p w14:paraId="497F7B37" w14:textId="77777777" w:rsidR="008C179D" w:rsidRPr="0066258C" w:rsidRDefault="008C179D" w:rsidP="0066258C">
            <w:pPr>
              <w:suppressAutoHyphens w:val="0"/>
              <w:spacing w:before="80" w:after="80" w:line="220" w:lineRule="exact"/>
              <w:jc w:val="right"/>
              <w:rPr>
                <w:sz w:val="18"/>
              </w:rPr>
            </w:pPr>
            <w:r w:rsidRPr="0066258C">
              <w:rPr>
                <w:sz w:val="18"/>
                <w:lang w:val="fr-FR"/>
              </w:rPr>
              <w:t>191 789</w:t>
            </w:r>
          </w:p>
        </w:tc>
        <w:tc>
          <w:tcPr>
            <w:tcW w:w="787" w:type="dxa"/>
            <w:tcBorders>
              <w:top w:val="single" w:sz="12" w:space="0" w:color="auto"/>
              <w:bottom w:val="single" w:sz="8" w:space="0" w:color="auto"/>
            </w:tcBorders>
            <w:shd w:val="clear" w:color="auto" w:fill="auto"/>
            <w:vAlign w:val="bottom"/>
          </w:tcPr>
          <w:p w14:paraId="3AA6DC1A" w14:textId="77777777" w:rsidR="008C179D" w:rsidRPr="0066258C" w:rsidRDefault="008C179D" w:rsidP="0066258C">
            <w:pPr>
              <w:suppressAutoHyphens w:val="0"/>
              <w:spacing w:before="80" w:after="80" w:line="220" w:lineRule="exact"/>
              <w:jc w:val="right"/>
              <w:rPr>
                <w:sz w:val="18"/>
              </w:rPr>
            </w:pPr>
            <w:r w:rsidRPr="0066258C">
              <w:rPr>
                <w:sz w:val="18"/>
                <w:lang w:val="fr-FR"/>
              </w:rPr>
              <w:t>10 660</w:t>
            </w:r>
          </w:p>
        </w:tc>
        <w:tc>
          <w:tcPr>
            <w:tcW w:w="1244" w:type="dxa"/>
            <w:tcBorders>
              <w:top w:val="single" w:sz="12" w:space="0" w:color="auto"/>
              <w:bottom w:val="single" w:sz="8" w:space="0" w:color="auto"/>
            </w:tcBorders>
            <w:shd w:val="clear" w:color="auto" w:fill="auto"/>
            <w:vAlign w:val="bottom"/>
          </w:tcPr>
          <w:p w14:paraId="2E56933C" w14:textId="77777777" w:rsidR="008C179D" w:rsidRPr="0066258C" w:rsidRDefault="008C179D" w:rsidP="0066258C">
            <w:pPr>
              <w:suppressAutoHyphens w:val="0"/>
              <w:spacing w:before="80" w:after="80" w:line="220" w:lineRule="exact"/>
              <w:jc w:val="right"/>
              <w:rPr>
                <w:sz w:val="18"/>
              </w:rPr>
            </w:pPr>
            <w:r w:rsidRPr="0066258C">
              <w:rPr>
                <w:sz w:val="18"/>
                <w:lang w:val="fr-FR"/>
              </w:rPr>
              <w:t>202 657</w:t>
            </w:r>
          </w:p>
        </w:tc>
        <w:tc>
          <w:tcPr>
            <w:tcW w:w="787" w:type="dxa"/>
            <w:tcBorders>
              <w:top w:val="single" w:sz="12" w:space="0" w:color="auto"/>
              <w:bottom w:val="single" w:sz="8" w:space="0" w:color="auto"/>
            </w:tcBorders>
            <w:shd w:val="clear" w:color="auto" w:fill="auto"/>
            <w:vAlign w:val="bottom"/>
          </w:tcPr>
          <w:p w14:paraId="4A5B2AB4" w14:textId="77777777" w:rsidR="008C179D" w:rsidRPr="0066258C" w:rsidRDefault="008C179D" w:rsidP="0066258C">
            <w:pPr>
              <w:suppressAutoHyphens w:val="0"/>
              <w:spacing w:before="80" w:after="80" w:line="220" w:lineRule="exact"/>
              <w:jc w:val="right"/>
              <w:rPr>
                <w:sz w:val="18"/>
              </w:rPr>
            </w:pPr>
            <w:r w:rsidRPr="0066258C">
              <w:rPr>
                <w:sz w:val="18"/>
                <w:lang w:val="fr-FR"/>
              </w:rPr>
              <w:t>10 660</w:t>
            </w:r>
          </w:p>
        </w:tc>
        <w:tc>
          <w:tcPr>
            <w:tcW w:w="1344" w:type="dxa"/>
            <w:tcBorders>
              <w:top w:val="single" w:sz="12" w:space="0" w:color="auto"/>
              <w:bottom w:val="single" w:sz="8" w:space="0" w:color="auto"/>
            </w:tcBorders>
            <w:shd w:val="clear" w:color="auto" w:fill="auto"/>
            <w:vAlign w:val="bottom"/>
          </w:tcPr>
          <w:p w14:paraId="2682274A" w14:textId="77777777" w:rsidR="008C179D" w:rsidRPr="0066258C" w:rsidRDefault="008C179D" w:rsidP="0066258C">
            <w:pPr>
              <w:suppressAutoHyphens w:val="0"/>
              <w:spacing w:before="80" w:after="80" w:line="220" w:lineRule="exact"/>
              <w:jc w:val="right"/>
              <w:rPr>
                <w:sz w:val="18"/>
              </w:rPr>
            </w:pPr>
            <w:r w:rsidRPr="0066258C">
              <w:rPr>
                <w:sz w:val="18"/>
                <w:lang w:val="fr-FR"/>
              </w:rPr>
              <w:t>195 156</w:t>
            </w:r>
          </w:p>
        </w:tc>
        <w:tc>
          <w:tcPr>
            <w:tcW w:w="837" w:type="dxa"/>
            <w:tcBorders>
              <w:top w:val="single" w:sz="12" w:space="0" w:color="auto"/>
              <w:bottom w:val="single" w:sz="8" w:space="0" w:color="auto"/>
            </w:tcBorders>
            <w:shd w:val="clear" w:color="auto" w:fill="auto"/>
            <w:vAlign w:val="bottom"/>
          </w:tcPr>
          <w:p w14:paraId="6A2A0AF0" w14:textId="77777777" w:rsidR="008C179D" w:rsidRPr="0066258C" w:rsidRDefault="008C179D" w:rsidP="0066258C">
            <w:pPr>
              <w:suppressAutoHyphens w:val="0"/>
              <w:spacing w:before="80" w:after="80" w:line="220" w:lineRule="exact"/>
              <w:jc w:val="right"/>
              <w:rPr>
                <w:sz w:val="18"/>
              </w:rPr>
            </w:pPr>
            <w:r w:rsidRPr="0066258C">
              <w:rPr>
                <w:sz w:val="18"/>
                <w:lang w:val="fr-FR"/>
              </w:rPr>
              <w:t>10 660</w:t>
            </w:r>
          </w:p>
        </w:tc>
      </w:tr>
      <w:tr w:rsidR="008C179D" w:rsidRPr="0066258C" w14:paraId="39999476" w14:textId="77777777" w:rsidTr="0066258C">
        <w:tc>
          <w:tcPr>
            <w:tcW w:w="3455" w:type="dxa"/>
            <w:gridSpan w:val="2"/>
            <w:tcBorders>
              <w:top w:val="single" w:sz="8" w:space="0" w:color="auto"/>
              <w:bottom w:val="single" w:sz="12" w:space="0" w:color="auto"/>
            </w:tcBorders>
            <w:shd w:val="clear" w:color="auto" w:fill="auto"/>
            <w:hideMark/>
          </w:tcPr>
          <w:p w14:paraId="15C63E9F" w14:textId="77777777" w:rsidR="008C179D" w:rsidRPr="0066258C" w:rsidRDefault="008C179D" w:rsidP="005B7485">
            <w:pPr>
              <w:suppressAutoHyphens w:val="0"/>
              <w:spacing w:before="80" w:after="80" w:line="220" w:lineRule="exact"/>
              <w:ind w:left="284"/>
              <w:rPr>
                <w:b/>
                <w:sz w:val="18"/>
              </w:rPr>
            </w:pPr>
            <w:r w:rsidRPr="0066258C">
              <w:rPr>
                <w:b/>
                <w:bCs/>
                <w:sz w:val="18"/>
                <w:lang w:val="fr-FR"/>
              </w:rPr>
              <w:t>Total général</w:t>
            </w:r>
          </w:p>
        </w:tc>
        <w:tc>
          <w:tcPr>
            <w:tcW w:w="1260" w:type="dxa"/>
            <w:tcBorders>
              <w:top w:val="single" w:sz="8" w:space="0" w:color="auto"/>
              <w:bottom w:val="single" w:sz="12" w:space="0" w:color="auto"/>
            </w:tcBorders>
            <w:shd w:val="clear" w:color="auto" w:fill="auto"/>
            <w:vAlign w:val="bottom"/>
          </w:tcPr>
          <w:p w14:paraId="715D20CB"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1 655 789</w:t>
            </w:r>
          </w:p>
        </w:tc>
        <w:tc>
          <w:tcPr>
            <w:tcW w:w="789" w:type="dxa"/>
            <w:tcBorders>
              <w:top w:val="single" w:sz="8" w:space="0" w:color="auto"/>
              <w:bottom w:val="single" w:sz="12" w:space="0" w:color="auto"/>
            </w:tcBorders>
            <w:shd w:val="clear" w:color="auto" w:fill="auto"/>
            <w:vAlign w:val="bottom"/>
          </w:tcPr>
          <w:p w14:paraId="1CBFED15"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92 660</w:t>
            </w:r>
          </w:p>
        </w:tc>
        <w:tc>
          <w:tcPr>
            <w:tcW w:w="1244" w:type="dxa"/>
            <w:tcBorders>
              <w:top w:val="single" w:sz="8" w:space="0" w:color="auto"/>
              <w:bottom w:val="single" w:sz="12" w:space="0" w:color="auto"/>
            </w:tcBorders>
            <w:shd w:val="clear" w:color="auto" w:fill="auto"/>
            <w:vAlign w:val="bottom"/>
          </w:tcPr>
          <w:p w14:paraId="09F6F04F"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1 700 989</w:t>
            </w:r>
          </w:p>
        </w:tc>
        <w:tc>
          <w:tcPr>
            <w:tcW w:w="787" w:type="dxa"/>
            <w:tcBorders>
              <w:top w:val="single" w:sz="8" w:space="0" w:color="auto"/>
              <w:bottom w:val="single" w:sz="12" w:space="0" w:color="auto"/>
            </w:tcBorders>
            <w:shd w:val="clear" w:color="auto" w:fill="auto"/>
            <w:vAlign w:val="bottom"/>
          </w:tcPr>
          <w:p w14:paraId="616DCA95"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92 660</w:t>
            </w:r>
          </w:p>
        </w:tc>
        <w:tc>
          <w:tcPr>
            <w:tcW w:w="1244" w:type="dxa"/>
            <w:tcBorders>
              <w:top w:val="single" w:sz="8" w:space="0" w:color="auto"/>
              <w:bottom w:val="single" w:sz="12" w:space="0" w:color="auto"/>
            </w:tcBorders>
            <w:shd w:val="clear" w:color="auto" w:fill="auto"/>
            <w:vAlign w:val="bottom"/>
          </w:tcPr>
          <w:p w14:paraId="4C01A5B2"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1 667 089</w:t>
            </w:r>
          </w:p>
        </w:tc>
        <w:tc>
          <w:tcPr>
            <w:tcW w:w="787" w:type="dxa"/>
            <w:tcBorders>
              <w:top w:val="single" w:sz="8" w:space="0" w:color="auto"/>
              <w:bottom w:val="single" w:sz="12" w:space="0" w:color="auto"/>
            </w:tcBorders>
            <w:shd w:val="clear" w:color="auto" w:fill="auto"/>
            <w:vAlign w:val="bottom"/>
          </w:tcPr>
          <w:p w14:paraId="763E8942"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92 660</w:t>
            </w:r>
          </w:p>
        </w:tc>
        <w:tc>
          <w:tcPr>
            <w:tcW w:w="1244" w:type="dxa"/>
            <w:tcBorders>
              <w:top w:val="single" w:sz="8" w:space="0" w:color="auto"/>
              <w:bottom w:val="single" w:sz="12" w:space="0" w:color="auto"/>
            </w:tcBorders>
            <w:shd w:val="clear" w:color="auto" w:fill="auto"/>
            <w:vAlign w:val="bottom"/>
          </w:tcPr>
          <w:p w14:paraId="5824A2E2"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1 761 557</w:t>
            </w:r>
          </w:p>
        </w:tc>
        <w:tc>
          <w:tcPr>
            <w:tcW w:w="787" w:type="dxa"/>
            <w:tcBorders>
              <w:top w:val="single" w:sz="8" w:space="0" w:color="auto"/>
              <w:bottom w:val="single" w:sz="12" w:space="0" w:color="auto"/>
            </w:tcBorders>
            <w:shd w:val="clear" w:color="auto" w:fill="auto"/>
            <w:vAlign w:val="bottom"/>
          </w:tcPr>
          <w:p w14:paraId="1089A653"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92 660</w:t>
            </w:r>
          </w:p>
        </w:tc>
        <w:tc>
          <w:tcPr>
            <w:tcW w:w="1344" w:type="dxa"/>
            <w:tcBorders>
              <w:top w:val="single" w:sz="8" w:space="0" w:color="auto"/>
              <w:bottom w:val="single" w:sz="12" w:space="0" w:color="auto"/>
            </w:tcBorders>
            <w:shd w:val="clear" w:color="auto" w:fill="auto"/>
            <w:vAlign w:val="bottom"/>
          </w:tcPr>
          <w:p w14:paraId="0BBE790D"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1 696 356</w:t>
            </w:r>
          </w:p>
        </w:tc>
        <w:tc>
          <w:tcPr>
            <w:tcW w:w="837" w:type="dxa"/>
            <w:tcBorders>
              <w:top w:val="single" w:sz="8" w:space="0" w:color="auto"/>
              <w:bottom w:val="single" w:sz="12" w:space="0" w:color="auto"/>
            </w:tcBorders>
            <w:shd w:val="clear" w:color="auto" w:fill="auto"/>
            <w:vAlign w:val="bottom"/>
          </w:tcPr>
          <w:p w14:paraId="2536925C" w14:textId="77777777" w:rsidR="008C179D" w:rsidRPr="0066258C" w:rsidRDefault="008C179D" w:rsidP="0066258C">
            <w:pPr>
              <w:suppressAutoHyphens w:val="0"/>
              <w:spacing w:before="80" w:after="80" w:line="220" w:lineRule="exact"/>
              <w:jc w:val="right"/>
              <w:rPr>
                <w:b/>
                <w:bCs/>
                <w:sz w:val="18"/>
              </w:rPr>
            </w:pPr>
            <w:r w:rsidRPr="0066258C">
              <w:rPr>
                <w:b/>
                <w:sz w:val="18"/>
                <w:lang w:val="fr-FR"/>
              </w:rPr>
              <w:t>92 660</w:t>
            </w:r>
          </w:p>
        </w:tc>
      </w:tr>
    </w:tbl>
    <w:p w14:paraId="53E13FD1" w14:textId="77777777" w:rsidR="008C179D" w:rsidRPr="008C179D" w:rsidRDefault="008C179D" w:rsidP="002C1595">
      <w:pPr>
        <w:spacing w:before="120"/>
        <w:ind w:left="284" w:right="284" w:firstLine="170"/>
        <w:rPr>
          <w:iCs/>
          <w:sz w:val="18"/>
          <w:szCs w:val="18"/>
          <w:lang w:val="fr-FR"/>
        </w:rPr>
      </w:pPr>
      <w:r w:rsidRPr="008C179D">
        <w:rPr>
          <w:i/>
          <w:iCs/>
          <w:sz w:val="18"/>
          <w:szCs w:val="18"/>
          <w:lang w:val="fr-FR"/>
        </w:rPr>
        <w:t>Abréviations </w:t>
      </w:r>
      <w:r w:rsidRPr="008C179D">
        <w:rPr>
          <w:sz w:val="18"/>
          <w:szCs w:val="18"/>
          <w:lang w:val="fr-FR"/>
        </w:rPr>
        <w:t>: EPT = équivalent plein temps.</w:t>
      </w:r>
    </w:p>
    <w:p w14:paraId="035A23AC"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a</w:t>
      </w:r>
      <w:r w:rsidR="00C53881">
        <w:rPr>
          <w:sz w:val="18"/>
          <w:szCs w:val="18"/>
          <w:lang w:val="fr-FR"/>
        </w:rPr>
        <w:t xml:space="preserve"> </w:t>
      </w:r>
      <w:r w:rsidR="00896008">
        <w:rPr>
          <w:sz w:val="18"/>
          <w:szCs w:val="18"/>
          <w:lang w:val="fr-FR"/>
        </w:rPr>
        <w:t xml:space="preserve"> </w:t>
      </w:r>
      <w:r w:rsidRPr="008C179D">
        <w:rPr>
          <w:sz w:val="18"/>
          <w:szCs w:val="18"/>
          <w:lang w:val="fr-FR"/>
        </w:rPr>
        <w:t>Les coûts estimatifs donnés dans ce tableau correspondent uniquement aux dépenses qui devraient être couvertes par des contributions volontaires versées conformément aux dispositions financières arrêtées au titre de la Convention, qui peuvent prendre la forme de versements au fonds d</w:t>
      </w:r>
      <w:r w:rsidR="00457C42">
        <w:rPr>
          <w:sz w:val="18"/>
          <w:szCs w:val="18"/>
          <w:lang w:val="fr-FR"/>
        </w:rPr>
        <w:t>’</w:t>
      </w:r>
      <w:r w:rsidRPr="008C179D">
        <w:rPr>
          <w:sz w:val="18"/>
          <w:szCs w:val="18"/>
          <w:lang w:val="fr-FR"/>
        </w:rPr>
        <w:t>affectation spéciale ou de contributions en nature. Ils ne comprennent</w:t>
      </w:r>
      <w:r w:rsidR="00C53881">
        <w:rPr>
          <w:sz w:val="18"/>
          <w:szCs w:val="18"/>
          <w:lang w:val="fr-FR"/>
        </w:rPr>
        <w:t xml:space="preserve"> </w:t>
      </w:r>
      <w:r w:rsidRPr="008C179D">
        <w:rPr>
          <w:sz w:val="18"/>
          <w:szCs w:val="18"/>
          <w:lang w:val="fr-FR"/>
        </w:rPr>
        <w:t xml:space="preserve">pas </w:t>
      </w:r>
      <w:r w:rsidRPr="008C179D">
        <w:rPr>
          <w:sz w:val="18"/>
          <w:szCs w:val="18"/>
          <w:lang w:val="fr-FR"/>
        </w:rPr>
        <w:lastRenderedPageBreak/>
        <w:t>les dépenses qui devraient être financées</w:t>
      </w:r>
      <w:r w:rsidR="00C53881">
        <w:rPr>
          <w:sz w:val="18"/>
          <w:szCs w:val="18"/>
          <w:lang w:val="fr-FR"/>
        </w:rPr>
        <w:t xml:space="preserve"> </w:t>
      </w:r>
      <w:r w:rsidRPr="008C179D">
        <w:rPr>
          <w:sz w:val="18"/>
          <w:szCs w:val="18"/>
          <w:lang w:val="fr-FR"/>
        </w:rPr>
        <w:t>sur le budget ordinaire de l</w:t>
      </w:r>
      <w:r w:rsidR="00457C42">
        <w:rPr>
          <w:sz w:val="18"/>
          <w:szCs w:val="18"/>
          <w:lang w:val="fr-FR"/>
        </w:rPr>
        <w:t>’</w:t>
      </w:r>
      <w:r w:rsidRPr="008C179D">
        <w:rPr>
          <w:sz w:val="18"/>
          <w:szCs w:val="18"/>
          <w:lang w:val="fr-FR"/>
        </w:rPr>
        <w:t>ONU ou par d</w:t>
      </w:r>
      <w:r w:rsidR="00457C42">
        <w:rPr>
          <w:sz w:val="18"/>
          <w:szCs w:val="18"/>
          <w:lang w:val="fr-FR"/>
        </w:rPr>
        <w:t>’</w:t>
      </w:r>
      <w:r w:rsidRPr="008C179D">
        <w:rPr>
          <w:sz w:val="18"/>
          <w:szCs w:val="18"/>
          <w:lang w:val="fr-FR"/>
        </w:rPr>
        <w:t>autres sources de financement. Les chiffres sont arrondis. Ils sont susceptibles de changer en fonction des règles administratives de l</w:t>
      </w:r>
      <w:r w:rsidR="00457C42">
        <w:rPr>
          <w:sz w:val="18"/>
          <w:szCs w:val="18"/>
          <w:lang w:val="fr-FR"/>
        </w:rPr>
        <w:t>’</w:t>
      </w:r>
      <w:r w:rsidRPr="008C179D">
        <w:rPr>
          <w:sz w:val="18"/>
          <w:szCs w:val="18"/>
          <w:lang w:val="fr-FR"/>
        </w:rPr>
        <w:t>ONU.</w:t>
      </w:r>
    </w:p>
    <w:p w14:paraId="341742CB"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b</w:t>
      </w:r>
      <w:r w:rsidR="00C53881">
        <w:rPr>
          <w:sz w:val="18"/>
          <w:szCs w:val="18"/>
          <w:lang w:val="fr-FR"/>
        </w:rPr>
        <w:t xml:space="preserve"> </w:t>
      </w:r>
      <w:r w:rsidR="00896008">
        <w:rPr>
          <w:sz w:val="18"/>
          <w:szCs w:val="18"/>
          <w:lang w:val="fr-FR"/>
        </w:rPr>
        <w:t xml:space="preserve"> </w:t>
      </w:r>
      <w:r w:rsidRPr="008C179D">
        <w:rPr>
          <w:sz w:val="18"/>
          <w:szCs w:val="18"/>
          <w:lang w:val="fr-FR"/>
        </w:rPr>
        <w:t>Les experts associés aux travaux de l</w:t>
      </w:r>
      <w:r w:rsidR="00457C42">
        <w:rPr>
          <w:sz w:val="18"/>
          <w:szCs w:val="18"/>
          <w:lang w:val="fr-FR"/>
        </w:rPr>
        <w:t>’</w:t>
      </w:r>
      <w:r w:rsidR="002C1595">
        <w:rPr>
          <w:sz w:val="18"/>
          <w:szCs w:val="18"/>
          <w:lang w:val="fr-FR"/>
        </w:rPr>
        <w:t>Équipe</w:t>
      </w:r>
      <w:r w:rsidRPr="008C179D">
        <w:rPr>
          <w:sz w:val="18"/>
          <w:szCs w:val="18"/>
          <w:lang w:val="fr-FR"/>
        </w:rPr>
        <w:t xml:space="preserve"> spéciale de l</w:t>
      </w:r>
      <w:r w:rsidR="00457C42">
        <w:rPr>
          <w:sz w:val="18"/>
          <w:szCs w:val="18"/>
          <w:lang w:val="fr-FR"/>
        </w:rPr>
        <w:t>’</w:t>
      </w:r>
      <w:r w:rsidRPr="008C179D">
        <w:rPr>
          <w:sz w:val="18"/>
          <w:szCs w:val="18"/>
          <w:lang w:val="fr-FR"/>
        </w:rPr>
        <w:t>accès à l</w:t>
      </w:r>
      <w:r w:rsidR="00457C42">
        <w:rPr>
          <w:sz w:val="18"/>
          <w:szCs w:val="18"/>
          <w:lang w:val="fr-FR"/>
        </w:rPr>
        <w:t>’</w:t>
      </w:r>
      <w:r w:rsidRPr="008C179D">
        <w:rPr>
          <w:sz w:val="18"/>
          <w:szCs w:val="18"/>
          <w:lang w:val="fr-FR"/>
        </w:rPr>
        <w:t>information, de l</w:t>
      </w:r>
      <w:r w:rsidR="00457C42">
        <w:rPr>
          <w:sz w:val="18"/>
          <w:szCs w:val="18"/>
          <w:lang w:val="fr-FR"/>
        </w:rPr>
        <w:t>’</w:t>
      </w:r>
      <w:r w:rsidR="002C1595">
        <w:rPr>
          <w:sz w:val="18"/>
          <w:szCs w:val="18"/>
          <w:lang w:val="fr-FR"/>
        </w:rPr>
        <w:t>Équipe</w:t>
      </w:r>
      <w:r w:rsidRPr="008C179D">
        <w:rPr>
          <w:sz w:val="18"/>
          <w:szCs w:val="18"/>
          <w:lang w:val="fr-FR"/>
        </w:rPr>
        <w:t xml:space="preserve"> spéciale de</w:t>
      </w:r>
      <w:r w:rsidR="00C53881">
        <w:rPr>
          <w:sz w:val="18"/>
          <w:szCs w:val="18"/>
          <w:lang w:val="fr-FR"/>
        </w:rPr>
        <w:t xml:space="preserve"> </w:t>
      </w:r>
      <w:r w:rsidRPr="008C179D">
        <w:rPr>
          <w:sz w:val="18"/>
          <w:szCs w:val="18"/>
          <w:lang w:val="fr-FR"/>
        </w:rPr>
        <w:t>la participation du public au processus décisionnel et de l</w:t>
      </w:r>
      <w:r w:rsidR="00457C42">
        <w:rPr>
          <w:sz w:val="18"/>
          <w:szCs w:val="18"/>
          <w:lang w:val="fr-FR"/>
        </w:rPr>
        <w:t>’</w:t>
      </w:r>
      <w:r w:rsidR="002C1595">
        <w:rPr>
          <w:sz w:val="18"/>
          <w:szCs w:val="18"/>
          <w:lang w:val="fr-FR"/>
        </w:rPr>
        <w:t>Équipe</w:t>
      </w:r>
      <w:r w:rsidRPr="008C179D">
        <w:rPr>
          <w:sz w:val="18"/>
          <w:szCs w:val="18"/>
          <w:lang w:val="fr-FR"/>
        </w:rPr>
        <w:t xml:space="preserve"> spéciale de l</w:t>
      </w:r>
      <w:r w:rsidR="00457C42">
        <w:rPr>
          <w:sz w:val="18"/>
          <w:szCs w:val="18"/>
          <w:lang w:val="fr-FR"/>
        </w:rPr>
        <w:t>’</w:t>
      </w:r>
      <w:r w:rsidRPr="008C179D">
        <w:rPr>
          <w:sz w:val="18"/>
          <w:szCs w:val="18"/>
          <w:lang w:val="fr-FR"/>
        </w:rPr>
        <w:t>accès à la justice seront invités à apporter un appui fonctionnel en formulant des observations sur les documents et en participant à des séances de formation, ateliers, projets pilotes, etc. Les</w:t>
      </w:r>
      <w:r w:rsidR="00345477">
        <w:rPr>
          <w:sz w:val="18"/>
          <w:szCs w:val="18"/>
          <w:lang w:val="fr-FR"/>
        </w:rPr>
        <w:t> </w:t>
      </w:r>
      <w:r w:rsidRPr="008C179D">
        <w:rPr>
          <w:sz w:val="18"/>
          <w:szCs w:val="18"/>
          <w:lang w:val="fr-FR"/>
        </w:rPr>
        <w:t>réunions de l</w:t>
      </w:r>
      <w:r w:rsidR="00457C42">
        <w:rPr>
          <w:sz w:val="18"/>
          <w:szCs w:val="18"/>
          <w:lang w:val="fr-FR"/>
        </w:rPr>
        <w:t>’</w:t>
      </w:r>
      <w:r w:rsidRPr="008C179D">
        <w:rPr>
          <w:sz w:val="18"/>
          <w:szCs w:val="18"/>
          <w:lang w:val="fr-FR"/>
        </w:rPr>
        <w:t>Équipe spéciale seront l</w:t>
      </w:r>
      <w:r w:rsidR="00457C42">
        <w:rPr>
          <w:sz w:val="18"/>
          <w:szCs w:val="18"/>
          <w:lang w:val="fr-FR"/>
        </w:rPr>
        <w:t>’</w:t>
      </w:r>
      <w:r w:rsidRPr="008C179D">
        <w:rPr>
          <w:sz w:val="18"/>
          <w:szCs w:val="18"/>
          <w:lang w:val="fr-FR"/>
        </w:rPr>
        <w:t>occasion de débattre des principaux résultats de ces activités et de recenser les bonnes pratiques et les obstacles à l</w:t>
      </w:r>
      <w:r w:rsidR="00457C42">
        <w:rPr>
          <w:sz w:val="18"/>
          <w:szCs w:val="18"/>
          <w:lang w:val="fr-FR"/>
        </w:rPr>
        <w:t>’</w:t>
      </w:r>
      <w:r w:rsidRPr="008C179D">
        <w:rPr>
          <w:sz w:val="18"/>
          <w:szCs w:val="18"/>
          <w:lang w:val="fr-FR"/>
        </w:rPr>
        <w:t>application.</w:t>
      </w:r>
    </w:p>
    <w:p w14:paraId="7B6A4042"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c</w:t>
      </w:r>
      <w:r w:rsidR="00C53881">
        <w:rPr>
          <w:sz w:val="18"/>
          <w:szCs w:val="18"/>
          <w:lang w:val="fr-FR"/>
        </w:rPr>
        <w:t xml:space="preserve"> </w:t>
      </w:r>
      <w:r w:rsidR="00896008">
        <w:rPr>
          <w:sz w:val="18"/>
          <w:szCs w:val="18"/>
          <w:lang w:val="fr-FR"/>
        </w:rPr>
        <w:t xml:space="preserve"> </w:t>
      </w:r>
      <w:r w:rsidRPr="008C179D">
        <w:rPr>
          <w:sz w:val="18"/>
          <w:szCs w:val="18"/>
          <w:lang w:val="fr-FR"/>
        </w:rPr>
        <w:t>Les prévisions de dépenses liées aux postes d</w:t>
      </w:r>
      <w:r w:rsidR="00457C42">
        <w:rPr>
          <w:sz w:val="18"/>
          <w:szCs w:val="18"/>
          <w:lang w:val="fr-FR"/>
        </w:rPr>
        <w:t>’</w:t>
      </w:r>
      <w:r w:rsidRPr="008C179D">
        <w:rPr>
          <w:sz w:val="18"/>
          <w:szCs w:val="18"/>
          <w:lang w:val="fr-FR"/>
        </w:rPr>
        <w:t>administrateur sont obtenues en multipliant le temps de travail du personnel dans chaque domaine d</w:t>
      </w:r>
      <w:r w:rsidR="00457C42">
        <w:rPr>
          <w:sz w:val="18"/>
          <w:szCs w:val="18"/>
          <w:lang w:val="fr-FR"/>
        </w:rPr>
        <w:t>’</w:t>
      </w:r>
      <w:r w:rsidRPr="008C179D">
        <w:rPr>
          <w:sz w:val="18"/>
          <w:szCs w:val="18"/>
          <w:lang w:val="fr-FR"/>
        </w:rPr>
        <w:t>activité par la somme des coûts salariaux annuels prévus à la classe indiquée. Ces dépenses sont considérées comme des coûts opérationnels étant donné qu</w:t>
      </w:r>
      <w:r w:rsidR="00457C42">
        <w:rPr>
          <w:sz w:val="18"/>
          <w:szCs w:val="18"/>
          <w:lang w:val="fr-FR"/>
        </w:rPr>
        <w:t>’</w:t>
      </w:r>
      <w:r w:rsidRPr="008C179D">
        <w:rPr>
          <w:sz w:val="18"/>
          <w:szCs w:val="18"/>
          <w:lang w:val="fr-FR"/>
        </w:rPr>
        <w:t>elles sont essentielles à la mise en œuvre efficace et équilibrée de</w:t>
      </w:r>
      <w:r w:rsidR="00345477">
        <w:rPr>
          <w:sz w:val="18"/>
          <w:szCs w:val="18"/>
          <w:lang w:val="fr-FR"/>
        </w:rPr>
        <w:t> </w:t>
      </w:r>
      <w:r w:rsidRPr="008C179D">
        <w:rPr>
          <w:sz w:val="18"/>
          <w:szCs w:val="18"/>
          <w:lang w:val="fr-FR"/>
        </w:rPr>
        <w:t>tous les domaines d</w:t>
      </w:r>
      <w:r w:rsidR="00457C42">
        <w:rPr>
          <w:sz w:val="18"/>
          <w:szCs w:val="18"/>
          <w:lang w:val="fr-FR"/>
        </w:rPr>
        <w:t>’</w:t>
      </w:r>
      <w:r w:rsidRPr="008C179D">
        <w:rPr>
          <w:sz w:val="18"/>
          <w:szCs w:val="18"/>
          <w:lang w:val="fr-FR"/>
        </w:rPr>
        <w:t>activité. En outre, les fonds nécessaires aux contrats du personnel doivent être obtenus au</w:t>
      </w:r>
      <w:r w:rsidR="005B7485">
        <w:rPr>
          <w:sz w:val="18"/>
          <w:szCs w:val="18"/>
          <w:lang w:val="fr-FR"/>
        </w:rPr>
        <w:t xml:space="preserve"> </w:t>
      </w:r>
      <w:r w:rsidRPr="008C179D">
        <w:rPr>
          <w:sz w:val="18"/>
          <w:szCs w:val="18"/>
          <w:lang w:val="fr-FR"/>
        </w:rPr>
        <w:t>moins une année à l</w:t>
      </w:r>
      <w:r w:rsidR="00457C42">
        <w:rPr>
          <w:sz w:val="18"/>
          <w:szCs w:val="18"/>
          <w:lang w:val="fr-FR"/>
        </w:rPr>
        <w:t>’</w:t>
      </w:r>
      <w:r w:rsidRPr="008C179D">
        <w:rPr>
          <w:sz w:val="18"/>
          <w:szCs w:val="18"/>
          <w:lang w:val="fr-FR"/>
        </w:rPr>
        <w:t>avance. Ce poste</w:t>
      </w:r>
      <w:r w:rsidR="00457C42">
        <w:rPr>
          <w:sz w:val="18"/>
          <w:szCs w:val="18"/>
          <w:lang w:val="fr-FR"/>
        </w:rPr>
        <w:t xml:space="preserve"> </w:t>
      </w:r>
      <w:r w:rsidRPr="008C179D">
        <w:rPr>
          <w:sz w:val="18"/>
          <w:szCs w:val="18"/>
          <w:lang w:val="fr-FR"/>
        </w:rPr>
        <w:t>P-2 est indispensable pour apporter l</w:t>
      </w:r>
      <w:r w:rsidR="00457C42">
        <w:rPr>
          <w:sz w:val="18"/>
          <w:szCs w:val="18"/>
          <w:lang w:val="fr-FR"/>
        </w:rPr>
        <w:t>’</w:t>
      </w:r>
      <w:r w:rsidRPr="008C179D">
        <w:rPr>
          <w:sz w:val="18"/>
          <w:szCs w:val="18"/>
          <w:lang w:val="fr-FR"/>
        </w:rPr>
        <w:t>appui nécessaire à la préparation des sessions des Réunions des Parties à la Convention et au Protocole, en particulier en ce qui concerne le débat conjoint de haut niveau, les activités de communication et le processus de participation. Les dépenses de personnel seraient partagées entre la Convention et son protocole (50 % à la charge de la Convention d</w:t>
      </w:r>
      <w:r w:rsidR="00457C42">
        <w:rPr>
          <w:sz w:val="18"/>
          <w:szCs w:val="18"/>
          <w:lang w:val="fr-FR"/>
        </w:rPr>
        <w:t>’</w:t>
      </w:r>
      <w:r w:rsidRPr="008C179D">
        <w:rPr>
          <w:sz w:val="18"/>
          <w:szCs w:val="18"/>
          <w:lang w:val="fr-FR"/>
        </w:rPr>
        <w:t>Aarhus et 50 % à celle du Protocole).</w:t>
      </w:r>
    </w:p>
    <w:p w14:paraId="36300E00"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d</w:t>
      </w:r>
      <w:r w:rsidR="00C53881">
        <w:rPr>
          <w:sz w:val="18"/>
          <w:szCs w:val="18"/>
          <w:lang w:val="fr-FR"/>
        </w:rPr>
        <w:t xml:space="preserve"> </w:t>
      </w:r>
      <w:r w:rsidR="00896008">
        <w:rPr>
          <w:sz w:val="18"/>
          <w:szCs w:val="18"/>
          <w:lang w:val="fr-FR"/>
        </w:rPr>
        <w:t xml:space="preserve"> </w:t>
      </w:r>
      <w:r w:rsidRPr="008C179D">
        <w:rPr>
          <w:sz w:val="18"/>
          <w:szCs w:val="18"/>
          <w:lang w:val="fr-FR"/>
        </w:rPr>
        <w:t>Les coûts opérationnels des missions du personnel correspondent aux frais de voyage des membres du secrétariat chargés d</w:t>
      </w:r>
      <w:r w:rsidR="00457C42">
        <w:rPr>
          <w:sz w:val="18"/>
          <w:szCs w:val="18"/>
          <w:lang w:val="fr-FR"/>
        </w:rPr>
        <w:t>’</w:t>
      </w:r>
      <w:r w:rsidRPr="008C179D">
        <w:rPr>
          <w:sz w:val="18"/>
          <w:szCs w:val="18"/>
          <w:lang w:val="fr-FR"/>
        </w:rPr>
        <w:t>assurer, par exemple, le service des réunions des équipes spéciales qui ne se tiennent pas à Genève et des ateliers/manifestations liés à ce domaine d</w:t>
      </w:r>
      <w:r w:rsidR="00457C42">
        <w:rPr>
          <w:sz w:val="18"/>
          <w:szCs w:val="18"/>
          <w:lang w:val="fr-FR"/>
        </w:rPr>
        <w:t>’</w:t>
      </w:r>
      <w:r w:rsidRPr="008C179D">
        <w:rPr>
          <w:sz w:val="18"/>
          <w:szCs w:val="18"/>
          <w:lang w:val="fr-FR"/>
        </w:rPr>
        <w:t>activité.</w:t>
      </w:r>
    </w:p>
    <w:p w14:paraId="6C95F0BC"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e</w:t>
      </w:r>
      <w:r w:rsidR="00C53881">
        <w:rPr>
          <w:sz w:val="18"/>
          <w:szCs w:val="18"/>
          <w:lang w:val="fr-FR"/>
        </w:rPr>
        <w:t xml:space="preserve"> </w:t>
      </w:r>
      <w:r w:rsidR="00896008">
        <w:rPr>
          <w:sz w:val="18"/>
          <w:szCs w:val="18"/>
          <w:lang w:val="fr-FR"/>
        </w:rPr>
        <w:t xml:space="preserve"> </w:t>
      </w:r>
      <w:r w:rsidRPr="008C179D">
        <w:rPr>
          <w:sz w:val="18"/>
          <w:szCs w:val="18"/>
          <w:lang w:val="fr-FR"/>
        </w:rPr>
        <w:t>Il peut être demandé au secrétariat de mener des missions officielles liées aux travaux du mécanisme d</w:t>
      </w:r>
      <w:r w:rsidR="00457C42">
        <w:rPr>
          <w:sz w:val="18"/>
          <w:szCs w:val="18"/>
          <w:lang w:val="fr-FR"/>
        </w:rPr>
        <w:t>’</w:t>
      </w:r>
      <w:r w:rsidRPr="008C179D">
        <w:rPr>
          <w:sz w:val="18"/>
          <w:szCs w:val="18"/>
          <w:lang w:val="fr-FR"/>
        </w:rPr>
        <w:t>examen du</w:t>
      </w:r>
      <w:r w:rsidR="00C53881">
        <w:rPr>
          <w:sz w:val="18"/>
          <w:szCs w:val="18"/>
          <w:lang w:val="fr-FR"/>
        </w:rPr>
        <w:t xml:space="preserve"> </w:t>
      </w:r>
      <w:r w:rsidRPr="008C179D">
        <w:rPr>
          <w:sz w:val="18"/>
          <w:szCs w:val="18"/>
          <w:lang w:val="fr-FR"/>
        </w:rPr>
        <w:t>respect des dispositions. De tels coûts sont donc considérés comme opérationnels.</w:t>
      </w:r>
    </w:p>
    <w:p w14:paraId="4F415B3A"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f</w:t>
      </w:r>
      <w:r w:rsidR="00C53881">
        <w:rPr>
          <w:sz w:val="18"/>
          <w:szCs w:val="18"/>
          <w:lang w:val="fr-FR"/>
        </w:rPr>
        <w:t xml:space="preserve"> </w:t>
      </w:r>
      <w:r w:rsidR="00896008">
        <w:rPr>
          <w:sz w:val="18"/>
          <w:szCs w:val="18"/>
          <w:lang w:val="fr-FR"/>
        </w:rPr>
        <w:t xml:space="preserve"> </w:t>
      </w:r>
      <w:r w:rsidRPr="008C179D">
        <w:rPr>
          <w:sz w:val="18"/>
          <w:szCs w:val="18"/>
          <w:lang w:val="fr-FR"/>
        </w:rPr>
        <w:t>Entrent dans cette catégorie les activités qui contribuent à renforcer les capacités dans des domaines se rapportant à la Convention dans son ensemble. Les activités de renforcement des capacités relatives à un domaine particulier</w:t>
      </w:r>
      <w:r w:rsidR="00C53881">
        <w:rPr>
          <w:sz w:val="18"/>
          <w:szCs w:val="18"/>
          <w:lang w:val="fr-FR"/>
        </w:rPr>
        <w:t xml:space="preserve"> </w:t>
      </w:r>
      <w:r w:rsidRPr="008C179D">
        <w:rPr>
          <w:sz w:val="18"/>
          <w:szCs w:val="18"/>
          <w:lang w:val="fr-FR"/>
        </w:rPr>
        <w:t>visé par la Convention (outils d</w:t>
      </w:r>
      <w:r w:rsidR="00457C42">
        <w:rPr>
          <w:sz w:val="18"/>
          <w:szCs w:val="18"/>
          <w:lang w:val="fr-FR"/>
        </w:rPr>
        <w:t>’</w:t>
      </w:r>
      <w:r w:rsidRPr="008C179D">
        <w:rPr>
          <w:sz w:val="18"/>
          <w:szCs w:val="18"/>
          <w:lang w:val="fr-FR"/>
        </w:rPr>
        <w:t>information électroniques et accès à la justice, par exemple) relèvent de ce domaine. Afin d</w:t>
      </w:r>
      <w:r w:rsidR="00457C42">
        <w:rPr>
          <w:sz w:val="18"/>
          <w:szCs w:val="18"/>
          <w:lang w:val="fr-FR"/>
        </w:rPr>
        <w:t>’</w:t>
      </w:r>
      <w:r w:rsidRPr="008C179D">
        <w:rPr>
          <w:sz w:val="18"/>
          <w:szCs w:val="18"/>
          <w:lang w:val="fr-FR"/>
        </w:rPr>
        <w:t>améliorer l</w:t>
      </w:r>
      <w:r w:rsidR="00457C42">
        <w:rPr>
          <w:sz w:val="18"/>
          <w:szCs w:val="18"/>
          <w:lang w:val="fr-FR"/>
        </w:rPr>
        <w:t>’</w:t>
      </w:r>
      <w:r w:rsidRPr="008C179D">
        <w:rPr>
          <w:sz w:val="18"/>
          <w:szCs w:val="18"/>
          <w:lang w:val="fr-FR"/>
        </w:rPr>
        <w:t>efficacité du renforcement des capacités et les synergies, le secrétariat mène ces activités en collaboration avec tous les principaux acteurs compétents de la région. En outre, il assure le service d</w:t>
      </w:r>
      <w:r w:rsidR="00457C42">
        <w:rPr>
          <w:sz w:val="18"/>
          <w:szCs w:val="18"/>
          <w:lang w:val="fr-FR"/>
        </w:rPr>
        <w:t>’</w:t>
      </w:r>
      <w:r w:rsidRPr="008C179D">
        <w:rPr>
          <w:sz w:val="18"/>
          <w:szCs w:val="18"/>
          <w:lang w:val="fr-FR"/>
        </w:rPr>
        <w:t>un mécanisme de coordination du renforcement des capacités à l</w:t>
      </w:r>
      <w:r w:rsidR="00457C42">
        <w:rPr>
          <w:sz w:val="18"/>
          <w:szCs w:val="18"/>
          <w:lang w:val="fr-FR"/>
        </w:rPr>
        <w:t>’</w:t>
      </w:r>
      <w:r w:rsidRPr="008C179D">
        <w:rPr>
          <w:sz w:val="18"/>
          <w:szCs w:val="18"/>
          <w:lang w:val="fr-FR"/>
        </w:rPr>
        <w:t>échelle régionale visant à garantir que les projets mis en œuvre par des organisations partenaires soient conformes aux décisions de la Réunion des Parties. La</w:t>
      </w:r>
      <w:r w:rsidR="005B7485">
        <w:rPr>
          <w:sz w:val="18"/>
          <w:szCs w:val="18"/>
          <w:lang w:val="fr-FR"/>
        </w:rPr>
        <w:t xml:space="preserve"> </w:t>
      </w:r>
      <w:r w:rsidRPr="008C179D">
        <w:rPr>
          <w:sz w:val="18"/>
          <w:szCs w:val="18"/>
          <w:lang w:val="fr-FR"/>
        </w:rPr>
        <w:t>plupart des frais de voyage et des coûts des services de consultants sont normalement couverts par d</w:t>
      </w:r>
      <w:r w:rsidR="00457C42">
        <w:rPr>
          <w:sz w:val="18"/>
          <w:szCs w:val="18"/>
          <w:lang w:val="fr-FR"/>
        </w:rPr>
        <w:t>’</w:t>
      </w:r>
      <w:r w:rsidRPr="008C179D">
        <w:rPr>
          <w:sz w:val="18"/>
          <w:szCs w:val="18"/>
          <w:lang w:val="fr-FR"/>
        </w:rPr>
        <w:t>autres sources, à savoir des organisations partenaires ou des contributions spécifiques de donateurs. Ces synergies permettent également de réduire considérablement la charge financière, les Parties à la Convention devant verser une contribution modique au regard de l</w:t>
      </w:r>
      <w:r w:rsidR="00457C42">
        <w:rPr>
          <w:sz w:val="18"/>
          <w:szCs w:val="18"/>
          <w:lang w:val="fr-FR"/>
        </w:rPr>
        <w:t>’</w:t>
      </w:r>
      <w:r w:rsidRPr="008C179D">
        <w:rPr>
          <w:sz w:val="18"/>
          <w:szCs w:val="18"/>
          <w:lang w:val="fr-FR"/>
        </w:rPr>
        <w:t>impact final des activités.</w:t>
      </w:r>
    </w:p>
    <w:p w14:paraId="19558E86" w14:textId="77777777" w:rsidR="008C179D" w:rsidRPr="008C179D" w:rsidRDefault="008C179D" w:rsidP="002C1595">
      <w:pPr>
        <w:ind w:left="284" w:right="284" w:firstLine="170"/>
        <w:rPr>
          <w:sz w:val="18"/>
          <w:szCs w:val="18"/>
          <w:lang w:val="fr-FR"/>
        </w:rPr>
      </w:pPr>
      <w:r w:rsidRPr="008C179D">
        <w:rPr>
          <w:i/>
          <w:iCs/>
          <w:sz w:val="18"/>
          <w:szCs w:val="18"/>
          <w:vertAlign w:val="superscript"/>
          <w:lang w:val="fr-FR"/>
        </w:rPr>
        <w:t>g</w:t>
      </w:r>
      <w:r w:rsidR="00C53881">
        <w:rPr>
          <w:sz w:val="18"/>
          <w:szCs w:val="18"/>
          <w:lang w:val="fr-FR"/>
        </w:rPr>
        <w:t xml:space="preserve"> </w:t>
      </w:r>
      <w:r w:rsidR="00896008">
        <w:rPr>
          <w:sz w:val="18"/>
          <w:szCs w:val="18"/>
          <w:lang w:val="fr-FR"/>
        </w:rPr>
        <w:t xml:space="preserve"> </w:t>
      </w:r>
      <w:r w:rsidRPr="008C179D">
        <w:rPr>
          <w:sz w:val="18"/>
          <w:szCs w:val="18"/>
          <w:lang w:val="fr-FR"/>
        </w:rPr>
        <w:t>Au titre de ce domaine d</w:t>
      </w:r>
      <w:r w:rsidR="00457C42">
        <w:rPr>
          <w:sz w:val="18"/>
          <w:szCs w:val="18"/>
          <w:lang w:val="fr-FR"/>
        </w:rPr>
        <w:t>’</w:t>
      </w:r>
      <w:r w:rsidRPr="008C179D">
        <w:rPr>
          <w:sz w:val="18"/>
          <w:szCs w:val="18"/>
          <w:lang w:val="fr-FR"/>
        </w:rPr>
        <w:t>activité, des activités de promotion seront menées dans la région et au-delà. Les participants à ces activités sont en quelque sorte les « ambassadeurs » des Parties. Le secrétariat et les experts de la Convention d</w:t>
      </w:r>
      <w:r w:rsidR="00457C42">
        <w:rPr>
          <w:sz w:val="18"/>
          <w:szCs w:val="18"/>
          <w:lang w:val="fr-FR"/>
        </w:rPr>
        <w:t>’</w:t>
      </w:r>
      <w:r w:rsidRPr="008C179D">
        <w:rPr>
          <w:sz w:val="18"/>
          <w:szCs w:val="18"/>
          <w:lang w:val="fr-FR"/>
        </w:rPr>
        <w:t>Aarhus sont régulièrement invités à participer à des réunions et processus internationaux dans le monde entier et à partager dans ce cadre leurs expériences et leurs connaissances. Dans la</w:t>
      </w:r>
      <w:r w:rsidR="005B7485">
        <w:rPr>
          <w:sz w:val="18"/>
          <w:szCs w:val="18"/>
          <w:lang w:val="fr-FR"/>
        </w:rPr>
        <w:t xml:space="preserve"> </w:t>
      </w:r>
      <w:r w:rsidRPr="008C179D">
        <w:rPr>
          <w:sz w:val="18"/>
          <w:szCs w:val="18"/>
          <w:lang w:val="fr-FR"/>
        </w:rPr>
        <w:t>mesure du possible, la promotion de la Convention s</w:t>
      </w:r>
      <w:r w:rsidR="00457C42">
        <w:rPr>
          <w:sz w:val="18"/>
          <w:szCs w:val="18"/>
          <w:lang w:val="fr-FR"/>
        </w:rPr>
        <w:t>’</w:t>
      </w:r>
      <w:r w:rsidRPr="008C179D">
        <w:rPr>
          <w:sz w:val="18"/>
          <w:szCs w:val="18"/>
          <w:lang w:val="fr-FR"/>
        </w:rPr>
        <w:t>effectue au moyen d</w:t>
      </w:r>
      <w:r w:rsidR="00457C42">
        <w:rPr>
          <w:sz w:val="18"/>
          <w:szCs w:val="18"/>
          <w:lang w:val="fr-FR"/>
        </w:rPr>
        <w:t>’</w:t>
      </w:r>
      <w:r w:rsidRPr="008C179D">
        <w:rPr>
          <w:sz w:val="18"/>
          <w:szCs w:val="18"/>
          <w:lang w:val="fr-FR"/>
        </w:rPr>
        <w:t>outils électroniques. Le secrétariat met tout en œuvre pour que les incidences financières de telles activités soient aussi minimes que possible. En outre, conformément à la pratique établie, certaines publications devraient être financées sur le budget ordinaire de l</w:t>
      </w:r>
      <w:r w:rsidR="00457C42">
        <w:rPr>
          <w:sz w:val="18"/>
          <w:szCs w:val="18"/>
          <w:lang w:val="fr-FR"/>
        </w:rPr>
        <w:t>’</w:t>
      </w:r>
      <w:r w:rsidRPr="008C179D">
        <w:rPr>
          <w:sz w:val="18"/>
          <w:szCs w:val="18"/>
          <w:lang w:val="fr-FR"/>
        </w:rPr>
        <w:t>ONU.</w:t>
      </w:r>
    </w:p>
    <w:p w14:paraId="024964FA" w14:textId="77777777" w:rsidR="008C179D" w:rsidRPr="002C1595" w:rsidRDefault="008C179D" w:rsidP="002C1595">
      <w:pPr>
        <w:ind w:left="284" w:right="284" w:firstLine="170"/>
        <w:rPr>
          <w:sz w:val="18"/>
          <w:szCs w:val="18"/>
          <w:lang w:val="fr-FR"/>
        </w:rPr>
      </w:pPr>
      <w:r w:rsidRPr="002C1595">
        <w:rPr>
          <w:i/>
          <w:sz w:val="18"/>
          <w:szCs w:val="18"/>
          <w:vertAlign w:val="superscript"/>
          <w:lang w:val="fr-FR"/>
        </w:rPr>
        <w:t>h</w:t>
      </w:r>
      <w:r w:rsidR="00C53881">
        <w:rPr>
          <w:sz w:val="18"/>
          <w:szCs w:val="18"/>
          <w:lang w:val="fr-FR"/>
        </w:rPr>
        <w:t xml:space="preserve"> </w:t>
      </w:r>
      <w:r w:rsidR="00896008">
        <w:rPr>
          <w:sz w:val="18"/>
          <w:szCs w:val="18"/>
          <w:lang w:val="fr-FR"/>
        </w:rPr>
        <w:t xml:space="preserve"> </w:t>
      </w:r>
      <w:r w:rsidR="0050281E">
        <w:rPr>
          <w:sz w:val="18"/>
          <w:szCs w:val="18"/>
          <w:lang w:val="fr-FR"/>
        </w:rPr>
        <w:t>Y compris</w:t>
      </w:r>
      <w:r w:rsidRPr="002C1595">
        <w:rPr>
          <w:sz w:val="18"/>
          <w:szCs w:val="18"/>
          <w:lang w:val="fr-FR"/>
        </w:rPr>
        <w:t xml:space="preserve"> les conseils juridiques et les tâches de caractère général. Les prévisions de dépenses liées aux postes d</w:t>
      </w:r>
      <w:r w:rsidR="00457C42">
        <w:rPr>
          <w:sz w:val="18"/>
          <w:szCs w:val="18"/>
          <w:lang w:val="fr-FR"/>
        </w:rPr>
        <w:t>’</w:t>
      </w:r>
      <w:r w:rsidRPr="002C1595">
        <w:rPr>
          <w:sz w:val="18"/>
          <w:szCs w:val="18"/>
          <w:lang w:val="fr-FR"/>
        </w:rPr>
        <w:t>administrateur sont obtenues en multipliant le temps de travail du personnel dans chaque domaine d</w:t>
      </w:r>
      <w:r w:rsidR="00457C42">
        <w:rPr>
          <w:sz w:val="18"/>
          <w:szCs w:val="18"/>
          <w:lang w:val="fr-FR"/>
        </w:rPr>
        <w:t>’</w:t>
      </w:r>
      <w:r w:rsidRPr="002C1595">
        <w:rPr>
          <w:sz w:val="18"/>
          <w:szCs w:val="18"/>
          <w:lang w:val="fr-FR"/>
        </w:rPr>
        <w:t>activité par la somme des coûts salariaux annuels prévus à la classe indiquée. Ces dépenses sont considérées comme des coûts opérationnels étant donné qu</w:t>
      </w:r>
      <w:r w:rsidR="00457C42">
        <w:rPr>
          <w:sz w:val="18"/>
          <w:szCs w:val="18"/>
          <w:lang w:val="fr-FR"/>
        </w:rPr>
        <w:t>’</w:t>
      </w:r>
      <w:r w:rsidRPr="002C1595">
        <w:rPr>
          <w:sz w:val="18"/>
          <w:szCs w:val="18"/>
          <w:lang w:val="fr-FR"/>
        </w:rPr>
        <w:t>elles sont essentielles à la mise en œuvre efficace et équilibrée de tous les domaines d</w:t>
      </w:r>
      <w:r w:rsidR="00457C42">
        <w:rPr>
          <w:sz w:val="18"/>
          <w:szCs w:val="18"/>
          <w:lang w:val="fr-FR"/>
        </w:rPr>
        <w:t>’</w:t>
      </w:r>
      <w:r w:rsidRPr="002C1595">
        <w:rPr>
          <w:sz w:val="18"/>
          <w:szCs w:val="18"/>
          <w:lang w:val="fr-FR"/>
        </w:rPr>
        <w:t>activité. En outre, les fonds nécessaires aux contrats du personnel doivent être obtenus au</w:t>
      </w:r>
      <w:r w:rsidR="00345477">
        <w:rPr>
          <w:sz w:val="18"/>
          <w:szCs w:val="18"/>
          <w:lang w:val="fr-FR"/>
        </w:rPr>
        <w:t xml:space="preserve"> </w:t>
      </w:r>
      <w:r w:rsidRPr="002C1595">
        <w:rPr>
          <w:sz w:val="18"/>
          <w:szCs w:val="18"/>
          <w:lang w:val="fr-FR"/>
        </w:rPr>
        <w:t>moins une</w:t>
      </w:r>
      <w:r w:rsidR="00345477">
        <w:rPr>
          <w:sz w:val="18"/>
          <w:szCs w:val="18"/>
          <w:lang w:val="fr-FR"/>
        </w:rPr>
        <w:t> </w:t>
      </w:r>
      <w:r w:rsidRPr="002C1595">
        <w:rPr>
          <w:sz w:val="18"/>
          <w:szCs w:val="18"/>
          <w:lang w:val="fr-FR"/>
        </w:rPr>
        <w:t>année à l</w:t>
      </w:r>
      <w:r w:rsidR="00457C42">
        <w:rPr>
          <w:sz w:val="18"/>
          <w:szCs w:val="18"/>
          <w:lang w:val="fr-FR"/>
        </w:rPr>
        <w:t>’</w:t>
      </w:r>
      <w:r w:rsidRPr="002C1595">
        <w:rPr>
          <w:sz w:val="18"/>
          <w:szCs w:val="18"/>
          <w:lang w:val="fr-FR"/>
        </w:rPr>
        <w:t>avance.</w:t>
      </w:r>
    </w:p>
    <w:p w14:paraId="54B38A6F" w14:textId="77777777" w:rsidR="008C179D" w:rsidRPr="002C1595" w:rsidRDefault="008C179D" w:rsidP="002C1595">
      <w:pPr>
        <w:ind w:left="284" w:right="284" w:firstLine="170"/>
        <w:rPr>
          <w:sz w:val="18"/>
          <w:szCs w:val="18"/>
          <w:lang w:val="fr-FR"/>
        </w:rPr>
      </w:pPr>
      <w:r w:rsidRPr="002C1595">
        <w:rPr>
          <w:i/>
          <w:sz w:val="18"/>
          <w:szCs w:val="18"/>
          <w:vertAlign w:val="superscript"/>
          <w:lang w:val="fr-FR"/>
        </w:rPr>
        <w:t>i</w:t>
      </w:r>
      <w:r w:rsidR="00C53881">
        <w:rPr>
          <w:sz w:val="18"/>
          <w:szCs w:val="18"/>
          <w:lang w:val="fr-FR"/>
        </w:rPr>
        <w:t xml:space="preserve"> </w:t>
      </w:r>
      <w:r w:rsidR="00896008">
        <w:rPr>
          <w:sz w:val="18"/>
          <w:szCs w:val="18"/>
          <w:lang w:val="fr-FR"/>
        </w:rPr>
        <w:t xml:space="preserve"> </w:t>
      </w:r>
      <w:r w:rsidRPr="002C1595">
        <w:rPr>
          <w:sz w:val="18"/>
          <w:szCs w:val="18"/>
          <w:lang w:val="fr-FR"/>
        </w:rPr>
        <w:t>Les frais de voyage et les indemnités journalières de subsistance pour les participants qui y ont droit sont comptabilisés au titre du domaine d</w:t>
      </w:r>
      <w:r w:rsidR="00457C42">
        <w:rPr>
          <w:sz w:val="18"/>
          <w:szCs w:val="18"/>
          <w:lang w:val="fr-FR"/>
        </w:rPr>
        <w:t>’</w:t>
      </w:r>
      <w:r w:rsidRPr="002C1595">
        <w:rPr>
          <w:sz w:val="18"/>
          <w:szCs w:val="18"/>
          <w:lang w:val="fr-FR"/>
        </w:rPr>
        <w:t>activité X.</w:t>
      </w:r>
    </w:p>
    <w:p w14:paraId="06D2A656" w14:textId="77777777" w:rsidR="008C179D" w:rsidRPr="002C1595" w:rsidRDefault="008C179D" w:rsidP="002C1595">
      <w:pPr>
        <w:ind w:left="284" w:right="284" w:firstLine="170"/>
        <w:rPr>
          <w:sz w:val="18"/>
          <w:szCs w:val="18"/>
          <w:lang w:val="fr-FR"/>
        </w:rPr>
      </w:pPr>
      <w:r w:rsidRPr="002C1595">
        <w:rPr>
          <w:i/>
          <w:sz w:val="18"/>
          <w:szCs w:val="18"/>
          <w:vertAlign w:val="superscript"/>
          <w:lang w:val="fr-FR"/>
        </w:rPr>
        <w:t>j</w:t>
      </w:r>
      <w:r w:rsidR="00C53881">
        <w:rPr>
          <w:sz w:val="18"/>
          <w:szCs w:val="18"/>
          <w:lang w:val="fr-FR"/>
        </w:rPr>
        <w:t xml:space="preserve"> </w:t>
      </w:r>
      <w:r w:rsidR="00896008">
        <w:rPr>
          <w:sz w:val="18"/>
          <w:szCs w:val="18"/>
          <w:lang w:val="fr-FR"/>
        </w:rPr>
        <w:t xml:space="preserve"> </w:t>
      </w:r>
      <w:r w:rsidRPr="002C1595">
        <w:rPr>
          <w:sz w:val="18"/>
          <w:szCs w:val="18"/>
          <w:lang w:val="fr-FR"/>
        </w:rPr>
        <w:t>Depuis le 1</w:t>
      </w:r>
      <w:r w:rsidRPr="002C1595">
        <w:rPr>
          <w:sz w:val="18"/>
          <w:szCs w:val="18"/>
          <w:vertAlign w:val="superscript"/>
          <w:lang w:val="fr-FR"/>
        </w:rPr>
        <w:t>er</w:t>
      </w:r>
      <w:r w:rsidR="002C1595">
        <w:rPr>
          <w:sz w:val="18"/>
          <w:szCs w:val="18"/>
          <w:lang w:val="fr-FR"/>
        </w:rPr>
        <w:t> </w:t>
      </w:r>
      <w:r w:rsidRPr="002C1595">
        <w:rPr>
          <w:sz w:val="18"/>
          <w:szCs w:val="18"/>
          <w:lang w:val="fr-FR"/>
        </w:rPr>
        <w:t>février 2016, le financement d</w:t>
      </w:r>
      <w:r w:rsidR="00457C42">
        <w:rPr>
          <w:sz w:val="18"/>
          <w:szCs w:val="18"/>
          <w:lang w:val="fr-FR"/>
        </w:rPr>
        <w:t>’</w:t>
      </w:r>
      <w:r w:rsidRPr="002C1595">
        <w:rPr>
          <w:sz w:val="18"/>
          <w:szCs w:val="18"/>
          <w:lang w:val="fr-FR"/>
        </w:rPr>
        <w:t>un poste d</w:t>
      </w:r>
      <w:r w:rsidR="00457C42">
        <w:rPr>
          <w:sz w:val="18"/>
          <w:szCs w:val="18"/>
          <w:lang w:val="fr-FR"/>
        </w:rPr>
        <w:t>’</w:t>
      </w:r>
      <w:r w:rsidRPr="002C1595">
        <w:rPr>
          <w:sz w:val="18"/>
          <w:szCs w:val="18"/>
          <w:lang w:val="fr-FR"/>
        </w:rPr>
        <w:t>agent d</w:t>
      </w:r>
      <w:r w:rsidR="00457C42">
        <w:rPr>
          <w:sz w:val="18"/>
          <w:szCs w:val="18"/>
          <w:lang w:val="fr-FR"/>
        </w:rPr>
        <w:t>’</w:t>
      </w:r>
      <w:r w:rsidRPr="002C1595">
        <w:rPr>
          <w:sz w:val="18"/>
          <w:szCs w:val="18"/>
          <w:lang w:val="fr-FR"/>
        </w:rPr>
        <w:t>administration n</w:t>
      </w:r>
      <w:r w:rsidR="00457C42">
        <w:rPr>
          <w:sz w:val="18"/>
          <w:szCs w:val="18"/>
          <w:lang w:val="fr-FR"/>
        </w:rPr>
        <w:t>’</w:t>
      </w:r>
      <w:r w:rsidRPr="002C1595">
        <w:rPr>
          <w:sz w:val="18"/>
          <w:szCs w:val="18"/>
          <w:lang w:val="fr-FR"/>
        </w:rPr>
        <w:t>est plus assuré par le prélèvement de 13 % opéré au titre des dépenses d</w:t>
      </w:r>
      <w:r w:rsidR="00457C42">
        <w:rPr>
          <w:sz w:val="18"/>
          <w:szCs w:val="18"/>
          <w:lang w:val="fr-FR"/>
        </w:rPr>
        <w:t>’</w:t>
      </w:r>
      <w:r w:rsidRPr="002C1595">
        <w:rPr>
          <w:sz w:val="18"/>
          <w:szCs w:val="18"/>
          <w:lang w:val="fr-FR"/>
        </w:rPr>
        <w:t>appui au programme sur les fonds d</w:t>
      </w:r>
      <w:r w:rsidR="00457C42">
        <w:rPr>
          <w:sz w:val="18"/>
          <w:szCs w:val="18"/>
          <w:lang w:val="fr-FR"/>
        </w:rPr>
        <w:t>’</w:t>
      </w:r>
      <w:r w:rsidRPr="002C1595">
        <w:rPr>
          <w:sz w:val="18"/>
          <w:szCs w:val="18"/>
          <w:lang w:val="fr-FR"/>
        </w:rPr>
        <w:t>affectation spéciale de la Division de l</w:t>
      </w:r>
      <w:r w:rsidR="00457C42">
        <w:rPr>
          <w:sz w:val="18"/>
          <w:szCs w:val="18"/>
          <w:lang w:val="fr-FR"/>
        </w:rPr>
        <w:t>’</w:t>
      </w:r>
      <w:r w:rsidRPr="002C1595">
        <w:rPr>
          <w:sz w:val="18"/>
          <w:szCs w:val="18"/>
          <w:lang w:val="fr-FR"/>
        </w:rPr>
        <w:t>environnement de la CEE. Ce poste est indispensable pour que puisse être assuré</w:t>
      </w:r>
      <w:r w:rsidR="00C53881">
        <w:rPr>
          <w:sz w:val="18"/>
          <w:szCs w:val="18"/>
          <w:lang w:val="fr-FR"/>
        </w:rPr>
        <w:t xml:space="preserve"> </w:t>
      </w:r>
      <w:r w:rsidRPr="002C1595">
        <w:rPr>
          <w:sz w:val="18"/>
          <w:szCs w:val="18"/>
          <w:lang w:val="fr-FR"/>
        </w:rPr>
        <w:t>l</w:t>
      </w:r>
      <w:r w:rsidR="00457C42">
        <w:rPr>
          <w:sz w:val="18"/>
          <w:szCs w:val="18"/>
          <w:lang w:val="fr-FR"/>
        </w:rPr>
        <w:t>’</w:t>
      </w:r>
      <w:r w:rsidRPr="002C1595">
        <w:rPr>
          <w:sz w:val="18"/>
          <w:szCs w:val="18"/>
          <w:lang w:val="fr-FR"/>
        </w:rPr>
        <w:t>appui administratif nécessaire aux activités menées au titre</w:t>
      </w:r>
      <w:r w:rsidR="00345477">
        <w:rPr>
          <w:sz w:val="18"/>
          <w:szCs w:val="18"/>
          <w:lang w:val="fr-FR"/>
        </w:rPr>
        <w:t> </w:t>
      </w:r>
      <w:r w:rsidRPr="002C1595">
        <w:rPr>
          <w:sz w:val="18"/>
          <w:szCs w:val="18"/>
          <w:lang w:val="fr-FR"/>
        </w:rPr>
        <w:t>de la Convention d</w:t>
      </w:r>
      <w:r w:rsidR="00457C42">
        <w:rPr>
          <w:sz w:val="18"/>
          <w:szCs w:val="18"/>
          <w:lang w:val="fr-FR"/>
        </w:rPr>
        <w:t>’</w:t>
      </w:r>
      <w:r w:rsidRPr="002C1595">
        <w:rPr>
          <w:sz w:val="18"/>
          <w:szCs w:val="18"/>
          <w:lang w:val="fr-FR"/>
        </w:rPr>
        <w:t xml:space="preserve">Aarhus et de son protocole, </w:t>
      </w:r>
      <w:r w:rsidR="0050281E">
        <w:rPr>
          <w:sz w:val="18"/>
          <w:szCs w:val="18"/>
          <w:lang w:val="fr-FR"/>
        </w:rPr>
        <w:t>y compris</w:t>
      </w:r>
      <w:r w:rsidRPr="002C1595">
        <w:rPr>
          <w:sz w:val="18"/>
          <w:szCs w:val="18"/>
          <w:lang w:val="fr-FR"/>
        </w:rPr>
        <w:t xml:space="preserve"> les</w:t>
      </w:r>
      <w:r w:rsidR="00C53881">
        <w:rPr>
          <w:sz w:val="18"/>
          <w:szCs w:val="18"/>
          <w:lang w:val="fr-FR"/>
        </w:rPr>
        <w:t xml:space="preserve"> </w:t>
      </w:r>
      <w:r w:rsidRPr="002C1595">
        <w:rPr>
          <w:sz w:val="18"/>
          <w:szCs w:val="18"/>
          <w:lang w:val="fr-FR"/>
        </w:rPr>
        <w:t xml:space="preserve">dispositions administratives à prendre en vue de la tenue des réunions des organes directeurs et des organes subsidiaires </w:t>
      </w:r>
      <w:proofErr w:type="spellStart"/>
      <w:r w:rsidRPr="002C1595">
        <w:rPr>
          <w:sz w:val="18"/>
          <w:szCs w:val="18"/>
          <w:lang w:val="fr-FR"/>
        </w:rPr>
        <w:t>desdeux</w:t>
      </w:r>
      <w:proofErr w:type="spellEnd"/>
      <w:r w:rsidRPr="002C1595">
        <w:rPr>
          <w:sz w:val="18"/>
          <w:szCs w:val="18"/>
          <w:lang w:val="fr-FR"/>
        </w:rPr>
        <w:t xml:space="preserve"> instruments. Les dépenses de personnel seraient partagées entre la Convention et son protocole (70 % à la charge de la Convention et 30 % à celle du Protocole). Le passage d</w:t>
      </w:r>
      <w:r w:rsidR="00457C42">
        <w:rPr>
          <w:sz w:val="18"/>
          <w:szCs w:val="18"/>
          <w:lang w:val="fr-FR"/>
        </w:rPr>
        <w:t>’</w:t>
      </w:r>
      <w:r w:rsidRPr="002C1595">
        <w:rPr>
          <w:sz w:val="18"/>
          <w:szCs w:val="18"/>
          <w:lang w:val="fr-FR"/>
        </w:rPr>
        <w:t>un poste G-4 à un poste G-5 s</w:t>
      </w:r>
      <w:r w:rsidR="00457C42">
        <w:rPr>
          <w:sz w:val="18"/>
          <w:szCs w:val="18"/>
          <w:lang w:val="fr-FR"/>
        </w:rPr>
        <w:t>’</w:t>
      </w:r>
      <w:r w:rsidRPr="002C1595">
        <w:rPr>
          <w:sz w:val="18"/>
          <w:szCs w:val="18"/>
          <w:lang w:val="fr-FR"/>
        </w:rPr>
        <w:t>explique par l</w:t>
      </w:r>
      <w:r w:rsidR="00457C42">
        <w:rPr>
          <w:sz w:val="18"/>
          <w:szCs w:val="18"/>
          <w:lang w:val="fr-FR"/>
        </w:rPr>
        <w:t>’</w:t>
      </w:r>
      <w:r w:rsidRPr="002C1595">
        <w:rPr>
          <w:sz w:val="18"/>
          <w:szCs w:val="18"/>
          <w:lang w:val="fr-FR"/>
        </w:rPr>
        <w:t>ancienneté</w:t>
      </w:r>
      <w:r w:rsidR="00C53881">
        <w:rPr>
          <w:sz w:val="18"/>
          <w:szCs w:val="18"/>
          <w:lang w:val="fr-FR"/>
        </w:rPr>
        <w:t xml:space="preserve"> </w:t>
      </w:r>
      <w:r w:rsidRPr="002C1595">
        <w:rPr>
          <w:sz w:val="18"/>
          <w:szCs w:val="18"/>
          <w:lang w:val="fr-FR"/>
        </w:rPr>
        <w:t>du titulaire dans la classe.</w:t>
      </w:r>
    </w:p>
    <w:p w14:paraId="5A43EBD6" w14:textId="77777777" w:rsidR="008C179D" w:rsidRPr="002C1595" w:rsidRDefault="008C179D" w:rsidP="005B7485">
      <w:pPr>
        <w:keepNext/>
        <w:ind w:left="284" w:right="284" w:firstLine="170"/>
        <w:rPr>
          <w:sz w:val="18"/>
          <w:szCs w:val="18"/>
          <w:lang w:val="fr-FR"/>
        </w:rPr>
      </w:pPr>
      <w:r w:rsidRPr="002C1595">
        <w:rPr>
          <w:i/>
          <w:sz w:val="18"/>
          <w:szCs w:val="18"/>
          <w:vertAlign w:val="superscript"/>
          <w:lang w:val="fr-FR"/>
        </w:rPr>
        <w:lastRenderedPageBreak/>
        <w:t>k</w:t>
      </w:r>
      <w:r w:rsidR="00C53881">
        <w:rPr>
          <w:sz w:val="18"/>
          <w:szCs w:val="18"/>
          <w:lang w:val="fr-FR"/>
        </w:rPr>
        <w:t xml:space="preserve"> </w:t>
      </w:r>
      <w:r w:rsidR="00896008">
        <w:rPr>
          <w:sz w:val="18"/>
          <w:szCs w:val="18"/>
          <w:lang w:val="fr-FR"/>
        </w:rPr>
        <w:t xml:space="preserve"> </w:t>
      </w:r>
      <w:r w:rsidRPr="002C1595">
        <w:rPr>
          <w:sz w:val="18"/>
          <w:szCs w:val="18"/>
          <w:lang w:val="fr-FR"/>
        </w:rPr>
        <w:t>Habituellement, l</w:t>
      </w:r>
      <w:r w:rsidR="00457C42">
        <w:rPr>
          <w:sz w:val="18"/>
          <w:szCs w:val="18"/>
          <w:lang w:val="fr-FR"/>
        </w:rPr>
        <w:t>’</w:t>
      </w:r>
      <w:r w:rsidRPr="002C1595">
        <w:rPr>
          <w:sz w:val="18"/>
          <w:szCs w:val="18"/>
          <w:lang w:val="fr-FR"/>
        </w:rPr>
        <w:t>ONU prenait aussi</w:t>
      </w:r>
      <w:r w:rsidR="00C53881">
        <w:rPr>
          <w:sz w:val="18"/>
          <w:szCs w:val="18"/>
          <w:lang w:val="fr-FR"/>
        </w:rPr>
        <w:t xml:space="preserve"> </w:t>
      </w:r>
      <w:r w:rsidRPr="002C1595">
        <w:rPr>
          <w:sz w:val="18"/>
          <w:szCs w:val="18"/>
          <w:lang w:val="fr-FR"/>
        </w:rPr>
        <w:t>en charge les dépenses liées au matériel technique et les autres dépenses d</w:t>
      </w:r>
      <w:r w:rsidR="00457C42">
        <w:rPr>
          <w:sz w:val="18"/>
          <w:szCs w:val="18"/>
          <w:lang w:val="fr-FR"/>
        </w:rPr>
        <w:t>’</w:t>
      </w:r>
      <w:r w:rsidRPr="002C1595">
        <w:rPr>
          <w:sz w:val="18"/>
          <w:szCs w:val="18"/>
          <w:lang w:val="fr-FR"/>
        </w:rPr>
        <w:t>appui opérationnel (administration financière, par exemple) pour les fonctionnaires dont le poste était financé au moyen</w:t>
      </w:r>
      <w:r w:rsidR="00C53881">
        <w:rPr>
          <w:sz w:val="18"/>
          <w:szCs w:val="18"/>
          <w:lang w:val="fr-FR"/>
        </w:rPr>
        <w:t xml:space="preserve"> </w:t>
      </w:r>
      <w:r w:rsidRPr="002C1595">
        <w:rPr>
          <w:sz w:val="18"/>
          <w:szCs w:val="18"/>
          <w:lang w:val="fr-FR"/>
        </w:rPr>
        <w:t>de fonds extrabudgétaires, mais cette pratique a été abandonnée. Ces dépenses sont donc incluses dans les coûts opérationnels du programme de travail.</w:t>
      </w:r>
    </w:p>
    <w:p w14:paraId="7ABB4C3A" w14:textId="77777777" w:rsidR="008C179D" w:rsidRPr="002C1595" w:rsidRDefault="008C179D" w:rsidP="002C1595">
      <w:pPr>
        <w:ind w:left="284" w:right="284" w:firstLine="170"/>
        <w:rPr>
          <w:sz w:val="18"/>
          <w:szCs w:val="18"/>
          <w:lang w:val="fr-FR"/>
        </w:rPr>
      </w:pPr>
      <w:r w:rsidRPr="002C1595">
        <w:rPr>
          <w:i/>
          <w:sz w:val="18"/>
          <w:szCs w:val="18"/>
          <w:vertAlign w:val="superscript"/>
          <w:lang w:val="fr-FR"/>
        </w:rPr>
        <w:t>l</w:t>
      </w:r>
      <w:r w:rsidR="00C53881">
        <w:rPr>
          <w:sz w:val="18"/>
          <w:szCs w:val="18"/>
          <w:lang w:val="fr-FR"/>
        </w:rPr>
        <w:t xml:space="preserve"> </w:t>
      </w:r>
      <w:r w:rsidR="00345477">
        <w:rPr>
          <w:sz w:val="18"/>
          <w:szCs w:val="18"/>
          <w:lang w:val="fr-FR"/>
        </w:rPr>
        <w:t xml:space="preserve"> </w:t>
      </w:r>
      <w:r w:rsidRPr="002C1595">
        <w:rPr>
          <w:sz w:val="18"/>
          <w:szCs w:val="18"/>
          <w:lang w:val="fr-FR"/>
        </w:rPr>
        <w:t>Tous les fonctionnaires de l</w:t>
      </w:r>
      <w:r w:rsidR="00457C42">
        <w:rPr>
          <w:sz w:val="18"/>
          <w:szCs w:val="18"/>
          <w:lang w:val="fr-FR"/>
        </w:rPr>
        <w:t>’</w:t>
      </w:r>
      <w:r w:rsidRPr="002C1595">
        <w:rPr>
          <w:sz w:val="18"/>
          <w:szCs w:val="18"/>
          <w:lang w:val="fr-FR"/>
        </w:rPr>
        <w:t>ONU doivent développer leurs compétences et participer à des activités de formation. La formation continue et l</w:t>
      </w:r>
      <w:r w:rsidR="00457C42">
        <w:rPr>
          <w:sz w:val="18"/>
          <w:szCs w:val="18"/>
          <w:lang w:val="fr-FR"/>
        </w:rPr>
        <w:t>’</w:t>
      </w:r>
      <w:r w:rsidRPr="002C1595">
        <w:rPr>
          <w:sz w:val="18"/>
          <w:szCs w:val="18"/>
          <w:lang w:val="fr-FR"/>
        </w:rPr>
        <w:t>acquisition de nouvelles compétences sont essentielles afin que le personnel maintienne un haut niveau de professionnalisme et s</w:t>
      </w:r>
      <w:r w:rsidR="00457C42">
        <w:rPr>
          <w:sz w:val="18"/>
          <w:szCs w:val="18"/>
          <w:lang w:val="fr-FR"/>
        </w:rPr>
        <w:t>’</w:t>
      </w:r>
      <w:r w:rsidRPr="002C1595">
        <w:rPr>
          <w:sz w:val="18"/>
          <w:szCs w:val="18"/>
          <w:lang w:val="fr-FR"/>
        </w:rPr>
        <w:t>adapte à de nouvelles exigences en matière de compétences. Par conséquent, la formation du personnel est considérée comme relevant des coûts opérationnels.</w:t>
      </w:r>
    </w:p>
    <w:p w14:paraId="7E6844F4" w14:textId="77777777" w:rsidR="008C179D" w:rsidRPr="00FA790F" w:rsidRDefault="008C179D" w:rsidP="008C179D">
      <w:pPr>
        <w:pStyle w:val="HChG"/>
        <w:rPr>
          <w:lang w:val="fr-FR"/>
        </w:rPr>
      </w:pPr>
      <w:r>
        <w:rPr>
          <w:lang w:val="fr-FR"/>
        </w:rPr>
        <w:br w:type="page"/>
      </w:r>
      <w:r w:rsidRPr="00FA790F">
        <w:rPr>
          <w:lang w:val="fr-FR"/>
        </w:rPr>
        <w:lastRenderedPageBreak/>
        <w:t>Annexe III</w:t>
      </w:r>
    </w:p>
    <w:p w14:paraId="012A3676" w14:textId="77777777" w:rsidR="008C179D" w:rsidRDefault="008C179D" w:rsidP="008C179D">
      <w:pPr>
        <w:pStyle w:val="HChG"/>
        <w:rPr>
          <w:b w:val="0"/>
          <w:iCs/>
          <w:lang w:val="fr-FR"/>
        </w:rPr>
      </w:pPr>
      <w:r w:rsidRPr="00FA790F">
        <w:rPr>
          <w:lang w:val="fr-FR"/>
        </w:rPr>
        <w:tab/>
      </w:r>
      <w:r w:rsidRPr="00FA790F">
        <w:rPr>
          <w:lang w:val="fr-FR"/>
        </w:rPr>
        <w:tab/>
        <w:t xml:space="preserve">Exemple de répartition des différentes réunions prévues au titre de la Convention </w:t>
      </w:r>
      <w:r>
        <w:rPr>
          <w:lang w:val="fr-FR"/>
        </w:rPr>
        <w:br/>
      </w:r>
      <w:r w:rsidRPr="00FA790F">
        <w:rPr>
          <w:lang w:val="fr-FR"/>
        </w:rPr>
        <w:t>pour la période</w:t>
      </w:r>
      <w:r>
        <w:rPr>
          <w:lang w:val="fr-FR"/>
        </w:rPr>
        <w:t xml:space="preserve"> </w:t>
      </w:r>
      <w:r w:rsidRPr="00FA790F">
        <w:rPr>
          <w:lang w:val="fr-FR"/>
        </w:rPr>
        <w:t xml:space="preserve">2022-2025 </w:t>
      </w:r>
      <w:r w:rsidRPr="008C179D">
        <w:rPr>
          <w:b w:val="0"/>
          <w:iCs/>
          <w:lang w:val="fr-FR"/>
        </w:rPr>
        <w:t>(</w:t>
      </w:r>
      <w:r w:rsidRPr="008C179D">
        <w:rPr>
          <w:b w:val="0"/>
          <w:i/>
          <w:iCs/>
          <w:lang w:val="fr-FR"/>
        </w:rPr>
        <w:t>identique à la répartition prévue au titre du programme</w:t>
      </w:r>
      <w:r>
        <w:rPr>
          <w:b w:val="0"/>
          <w:i/>
          <w:iCs/>
          <w:lang w:val="fr-FR"/>
        </w:rPr>
        <w:br/>
      </w:r>
      <w:r w:rsidRPr="008C179D">
        <w:rPr>
          <w:b w:val="0"/>
          <w:i/>
          <w:iCs/>
          <w:lang w:val="fr-FR"/>
        </w:rPr>
        <w:t>de travail pour la période</w:t>
      </w:r>
      <w:r>
        <w:rPr>
          <w:b w:val="0"/>
          <w:i/>
          <w:iCs/>
          <w:lang w:val="fr-FR"/>
        </w:rPr>
        <w:t xml:space="preserve"> </w:t>
      </w:r>
      <w:r w:rsidRPr="008C179D">
        <w:rPr>
          <w:b w:val="0"/>
          <w:i/>
          <w:iCs/>
          <w:lang w:val="fr-FR"/>
        </w:rPr>
        <w:t>2018-2021</w:t>
      </w:r>
      <w:r w:rsidRPr="008C179D">
        <w:rPr>
          <w:b w:val="0"/>
          <w:iCs/>
          <w:lang w:val="fr-FR"/>
        </w:rPr>
        <w:t>)</w:t>
      </w: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6"/>
        <w:gridCol w:w="1313"/>
        <w:gridCol w:w="1330"/>
        <w:gridCol w:w="1330"/>
        <w:gridCol w:w="1257"/>
      </w:tblGrid>
      <w:tr w:rsidR="008C179D" w:rsidRPr="008C179D" w14:paraId="768D559C" w14:textId="77777777" w:rsidTr="008C179D">
        <w:trPr>
          <w:tblHeader/>
        </w:trPr>
        <w:tc>
          <w:tcPr>
            <w:tcW w:w="8546" w:type="dxa"/>
            <w:tcBorders>
              <w:top w:val="single" w:sz="4" w:space="0" w:color="auto"/>
              <w:bottom w:val="single" w:sz="12" w:space="0" w:color="auto"/>
            </w:tcBorders>
            <w:shd w:val="clear" w:color="auto" w:fill="auto"/>
            <w:vAlign w:val="bottom"/>
          </w:tcPr>
          <w:p w14:paraId="4B77FD0C" w14:textId="77777777" w:rsidR="008C179D" w:rsidRPr="008C179D" w:rsidRDefault="008C179D" w:rsidP="008C179D">
            <w:pPr>
              <w:suppressAutoHyphens w:val="0"/>
              <w:spacing w:before="80" w:after="80" w:line="200" w:lineRule="exact"/>
              <w:rPr>
                <w:i/>
                <w:sz w:val="16"/>
              </w:rPr>
            </w:pPr>
            <w:r w:rsidRPr="008C179D">
              <w:rPr>
                <w:i/>
                <w:sz w:val="16"/>
                <w:lang w:val="fr-FR"/>
              </w:rPr>
              <w:t>Type de réunion</w:t>
            </w:r>
          </w:p>
        </w:tc>
        <w:tc>
          <w:tcPr>
            <w:tcW w:w="1313" w:type="dxa"/>
            <w:tcBorders>
              <w:top w:val="single" w:sz="4" w:space="0" w:color="auto"/>
              <w:bottom w:val="single" w:sz="12" w:space="0" w:color="auto"/>
            </w:tcBorders>
            <w:shd w:val="clear" w:color="auto" w:fill="auto"/>
            <w:vAlign w:val="bottom"/>
          </w:tcPr>
          <w:p w14:paraId="55338755" w14:textId="77777777" w:rsidR="008C179D" w:rsidRPr="008C179D" w:rsidRDefault="008C179D" w:rsidP="008C179D">
            <w:pPr>
              <w:suppressAutoHyphens w:val="0"/>
              <w:spacing w:before="80" w:after="80" w:line="200" w:lineRule="exact"/>
              <w:jc w:val="right"/>
              <w:rPr>
                <w:i/>
                <w:sz w:val="16"/>
              </w:rPr>
            </w:pPr>
            <w:r w:rsidRPr="008C179D">
              <w:rPr>
                <w:i/>
                <w:sz w:val="16"/>
                <w:lang w:val="fr-FR"/>
              </w:rPr>
              <w:t>2022</w:t>
            </w:r>
          </w:p>
        </w:tc>
        <w:tc>
          <w:tcPr>
            <w:tcW w:w="1330" w:type="dxa"/>
            <w:tcBorders>
              <w:top w:val="single" w:sz="4" w:space="0" w:color="auto"/>
              <w:bottom w:val="single" w:sz="12" w:space="0" w:color="auto"/>
            </w:tcBorders>
            <w:shd w:val="clear" w:color="auto" w:fill="auto"/>
            <w:vAlign w:val="bottom"/>
          </w:tcPr>
          <w:p w14:paraId="34DBA23E" w14:textId="77777777" w:rsidR="008C179D" w:rsidRPr="008C179D" w:rsidRDefault="008C179D" w:rsidP="008C179D">
            <w:pPr>
              <w:suppressAutoHyphens w:val="0"/>
              <w:spacing w:before="80" w:after="80" w:line="200" w:lineRule="exact"/>
              <w:jc w:val="right"/>
              <w:rPr>
                <w:i/>
                <w:sz w:val="16"/>
              </w:rPr>
            </w:pPr>
            <w:r w:rsidRPr="008C179D">
              <w:rPr>
                <w:i/>
                <w:sz w:val="16"/>
                <w:lang w:val="fr-FR"/>
              </w:rPr>
              <w:t>2023</w:t>
            </w:r>
          </w:p>
        </w:tc>
        <w:tc>
          <w:tcPr>
            <w:tcW w:w="1330" w:type="dxa"/>
            <w:tcBorders>
              <w:top w:val="single" w:sz="4" w:space="0" w:color="auto"/>
              <w:bottom w:val="single" w:sz="12" w:space="0" w:color="auto"/>
            </w:tcBorders>
            <w:shd w:val="clear" w:color="auto" w:fill="auto"/>
            <w:vAlign w:val="bottom"/>
          </w:tcPr>
          <w:p w14:paraId="68EC009C" w14:textId="77777777" w:rsidR="008C179D" w:rsidRPr="008C179D" w:rsidRDefault="008C179D" w:rsidP="008C179D">
            <w:pPr>
              <w:suppressAutoHyphens w:val="0"/>
              <w:spacing w:before="80" w:after="80" w:line="200" w:lineRule="exact"/>
              <w:jc w:val="right"/>
              <w:rPr>
                <w:i/>
                <w:sz w:val="16"/>
              </w:rPr>
            </w:pPr>
            <w:r w:rsidRPr="008C179D">
              <w:rPr>
                <w:i/>
                <w:sz w:val="16"/>
                <w:lang w:val="fr-FR"/>
              </w:rPr>
              <w:t>2024</w:t>
            </w:r>
          </w:p>
        </w:tc>
        <w:tc>
          <w:tcPr>
            <w:tcW w:w="1257" w:type="dxa"/>
            <w:tcBorders>
              <w:top w:val="single" w:sz="4" w:space="0" w:color="auto"/>
              <w:bottom w:val="single" w:sz="12" w:space="0" w:color="auto"/>
            </w:tcBorders>
            <w:shd w:val="clear" w:color="auto" w:fill="auto"/>
            <w:vAlign w:val="bottom"/>
          </w:tcPr>
          <w:p w14:paraId="40E04394" w14:textId="77777777" w:rsidR="008C179D" w:rsidRPr="008C179D" w:rsidRDefault="008C179D" w:rsidP="008C179D">
            <w:pPr>
              <w:suppressAutoHyphens w:val="0"/>
              <w:spacing w:before="80" w:after="80" w:line="200" w:lineRule="exact"/>
              <w:jc w:val="right"/>
              <w:rPr>
                <w:i/>
                <w:sz w:val="16"/>
              </w:rPr>
            </w:pPr>
            <w:r w:rsidRPr="008C179D">
              <w:rPr>
                <w:i/>
                <w:sz w:val="16"/>
                <w:lang w:val="fr-FR"/>
              </w:rPr>
              <w:t>2025</w:t>
            </w:r>
          </w:p>
        </w:tc>
      </w:tr>
      <w:tr w:rsidR="008C179D" w:rsidRPr="008C179D" w14:paraId="228DD196" w14:textId="77777777" w:rsidTr="008C179D">
        <w:tc>
          <w:tcPr>
            <w:tcW w:w="8546" w:type="dxa"/>
            <w:shd w:val="clear" w:color="auto" w:fill="auto"/>
          </w:tcPr>
          <w:p w14:paraId="271A4180" w14:textId="77777777" w:rsidR="008C179D" w:rsidRPr="008C179D" w:rsidRDefault="008C179D" w:rsidP="008C179D">
            <w:pPr>
              <w:suppressAutoHyphens w:val="0"/>
              <w:spacing w:before="40" w:after="40" w:line="220" w:lineRule="exact"/>
              <w:rPr>
                <w:sz w:val="18"/>
                <w:lang w:val="fr-FR"/>
              </w:rPr>
            </w:pPr>
            <w:r w:rsidRPr="008C179D">
              <w:rPr>
                <w:sz w:val="18"/>
                <w:lang w:val="fr-FR"/>
              </w:rPr>
              <w:t>Équipe spéciale de l</w:t>
            </w:r>
            <w:r w:rsidR="00457C42">
              <w:rPr>
                <w:sz w:val="18"/>
                <w:lang w:val="fr-FR"/>
              </w:rPr>
              <w:t>’</w:t>
            </w:r>
            <w:r w:rsidRPr="008C179D">
              <w:rPr>
                <w:sz w:val="18"/>
                <w:lang w:val="fr-FR"/>
              </w:rPr>
              <w:t>accès à l</w:t>
            </w:r>
            <w:r w:rsidR="00457C42">
              <w:rPr>
                <w:sz w:val="18"/>
                <w:lang w:val="fr-FR"/>
              </w:rPr>
              <w:t>’</w:t>
            </w:r>
            <w:r w:rsidRPr="008C179D">
              <w:rPr>
                <w:sz w:val="18"/>
                <w:lang w:val="fr-FR"/>
              </w:rPr>
              <w:t>information (AI)</w:t>
            </w:r>
          </w:p>
        </w:tc>
        <w:tc>
          <w:tcPr>
            <w:tcW w:w="1313" w:type="dxa"/>
            <w:shd w:val="clear" w:color="auto" w:fill="auto"/>
            <w:vAlign w:val="bottom"/>
          </w:tcPr>
          <w:p w14:paraId="354FA0D8"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330" w:type="dxa"/>
            <w:shd w:val="clear" w:color="auto" w:fill="auto"/>
            <w:vAlign w:val="bottom"/>
          </w:tcPr>
          <w:p w14:paraId="4ADA5409"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330" w:type="dxa"/>
            <w:shd w:val="clear" w:color="auto" w:fill="auto"/>
            <w:vAlign w:val="bottom"/>
          </w:tcPr>
          <w:p w14:paraId="34D6C7BE"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257" w:type="dxa"/>
            <w:shd w:val="clear" w:color="auto" w:fill="auto"/>
            <w:vAlign w:val="bottom"/>
          </w:tcPr>
          <w:p w14:paraId="2EB9A222" w14:textId="77777777" w:rsidR="008C179D" w:rsidRPr="008C179D" w:rsidRDefault="008C673D" w:rsidP="008C179D">
            <w:pPr>
              <w:suppressAutoHyphens w:val="0"/>
              <w:spacing w:before="40" w:after="40" w:line="220" w:lineRule="exact"/>
              <w:jc w:val="right"/>
              <w:rPr>
                <w:sz w:val="18"/>
              </w:rPr>
            </w:pPr>
            <w:r>
              <w:rPr>
                <w:sz w:val="18"/>
                <w:lang w:val="fr-FR"/>
              </w:rPr>
              <w:t>−</w:t>
            </w:r>
          </w:p>
        </w:tc>
      </w:tr>
      <w:tr w:rsidR="008C179D" w:rsidRPr="008C179D" w14:paraId="00DED44E" w14:textId="77777777" w:rsidTr="008C179D">
        <w:tc>
          <w:tcPr>
            <w:tcW w:w="8546" w:type="dxa"/>
            <w:shd w:val="clear" w:color="auto" w:fill="auto"/>
          </w:tcPr>
          <w:p w14:paraId="35AE3C2A" w14:textId="77777777" w:rsidR="008C179D" w:rsidRPr="008C179D" w:rsidRDefault="008C179D" w:rsidP="008C179D">
            <w:pPr>
              <w:suppressAutoHyphens w:val="0"/>
              <w:spacing w:before="40" w:after="40" w:line="220" w:lineRule="exact"/>
              <w:rPr>
                <w:sz w:val="18"/>
                <w:lang w:val="fr-FR"/>
              </w:rPr>
            </w:pPr>
            <w:r w:rsidRPr="008C179D">
              <w:rPr>
                <w:sz w:val="18"/>
                <w:lang w:val="fr-FR"/>
              </w:rPr>
              <w:t>Équipe spéciale de la participation du public au processus décisionnel (PP)</w:t>
            </w:r>
          </w:p>
        </w:tc>
        <w:tc>
          <w:tcPr>
            <w:tcW w:w="1313" w:type="dxa"/>
            <w:shd w:val="clear" w:color="auto" w:fill="auto"/>
            <w:vAlign w:val="bottom"/>
          </w:tcPr>
          <w:p w14:paraId="7846D479"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330" w:type="dxa"/>
            <w:shd w:val="clear" w:color="auto" w:fill="auto"/>
            <w:vAlign w:val="bottom"/>
          </w:tcPr>
          <w:p w14:paraId="50520F28"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330" w:type="dxa"/>
            <w:shd w:val="clear" w:color="auto" w:fill="auto"/>
            <w:vAlign w:val="bottom"/>
          </w:tcPr>
          <w:p w14:paraId="771C4C44"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257" w:type="dxa"/>
            <w:shd w:val="clear" w:color="auto" w:fill="auto"/>
            <w:vAlign w:val="bottom"/>
          </w:tcPr>
          <w:p w14:paraId="13A6CBA2" w14:textId="77777777" w:rsidR="008C179D" w:rsidRPr="008C179D" w:rsidRDefault="008C673D" w:rsidP="008C179D">
            <w:pPr>
              <w:suppressAutoHyphens w:val="0"/>
              <w:spacing w:before="40" w:after="40" w:line="220" w:lineRule="exact"/>
              <w:jc w:val="right"/>
              <w:rPr>
                <w:sz w:val="18"/>
              </w:rPr>
            </w:pPr>
            <w:r>
              <w:rPr>
                <w:sz w:val="18"/>
                <w:lang w:val="fr-FR"/>
              </w:rPr>
              <w:t>−</w:t>
            </w:r>
          </w:p>
        </w:tc>
      </w:tr>
      <w:tr w:rsidR="008C179D" w:rsidRPr="008C179D" w14:paraId="73749285" w14:textId="77777777" w:rsidTr="008C179D">
        <w:tc>
          <w:tcPr>
            <w:tcW w:w="8546" w:type="dxa"/>
            <w:shd w:val="clear" w:color="auto" w:fill="auto"/>
          </w:tcPr>
          <w:p w14:paraId="7F836EA0" w14:textId="77777777" w:rsidR="008C179D" w:rsidRPr="008C179D" w:rsidRDefault="008C179D" w:rsidP="008C179D">
            <w:pPr>
              <w:suppressAutoHyphens w:val="0"/>
              <w:spacing w:before="40" w:after="40" w:line="220" w:lineRule="exact"/>
              <w:rPr>
                <w:sz w:val="18"/>
                <w:lang w:val="fr-FR"/>
              </w:rPr>
            </w:pPr>
            <w:r w:rsidRPr="008C179D">
              <w:rPr>
                <w:sz w:val="18"/>
                <w:lang w:val="fr-FR"/>
              </w:rPr>
              <w:t>Équipe spéciale de l</w:t>
            </w:r>
            <w:r w:rsidR="00457C42">
              <w:rPr>
                <w:sz w:val="18"/>
                <w:lang w:val="fr-FR"/>
              </w:rPr>
              <w:t>’</w:t>
            </w:r>
            <w:r w:rsidRPr="008C179D">
              <w:rPr>
                <w:sz w:val="18"/>
                <w:lang w:val="fr-FR"/>
              </w:rPr>
              <w:t>accès à la justice (AJ)</w:t>
            </w:r>
          </w:p>
        </w:tc>
        <w:tc>
          <w:tcPr>
            <w:tcW w:w="1313" w:type="dxa"/>
            <w:shd w:val="clear" w:color="auto" w:fill="auto"/>
            <w:vAlign w:val="bottom"/>
          </w:tcPr>
          <w:p w14:paraId="7037FC77"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330" w:type="dxa"/>
            <w:shd w:val="clear" w:color="auto" w:fill="auto"/>
            <w:vAlign w:val="bottom"/>
          </w:tcPr>
          <w:p w14:paraId="2EDD4EDA"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330" w:type="dxa"/>
            <w:shd w:val="clear" w:color="auto" w:fill="auto"/>
            <w:vAlign w:val="bottom"/>
          </w:tcPr>
          <w:p w14:paraId="7B26D124"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257" w:type="dxa"/>
            <w:shd w:val="clear" w:color="auto" w:fill="auto"/>
            <w:vAlign w:val="bottom"/>
          </w:tcPr>
          <w:p w14:paraId="1B324B04"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r>
      <w:tr w:rsidR="008C179D" w:rsidRPr="008C179D" w14:paraId="377CA29A" w14:textId="77777777" w:rsidTr="008C179D">
        <w:tc>
          <w:tcPr>
            <w:tcW w:w="8546" w:type="dxa"/>
            <w:shd w:val="clear" w:color="auto" w:fill="auto"/>
          </w:tcPr>
          <w:p w14:paraId="5A25EFC0" w14:textId="77777777" w:rsidR="008C179D" w:rsidRPr="008C179D" w:rsidRDefault="008C179D" w:rsidP="008C179D">
            <w:pPr>
              <w:suppressAutoHyphens w:val="0"/>
              <w:spacing w:before="40" w:after="40" w:line="220" w:lineRule="exact"/>
              <w:rPr>
                <w:sz w:val="18"/>
                <w:lang w:val="fr-FR"/>
              </w:rPr>
            </w:pPr>
            <w:r w:rsidRPr="008C179D">
              <w:rPr>
                <w:sz w:val="18"/>
                <w:lang w:val="fr-FR"/>
              </w:rPr>
              <w:t>Table ronde sur les OGM (OGM)</w:t>
            </w:r>
          </w:p>
        </w:tc>
        <w:tc>
          <w:tcPr>
            <w:tcW w:w="1313" w:type="dxa"/>
            <w:shd w:val="clear" w:color="auto" w:fill="auto"/>
            <w:vAlign w:val="bottom"/>
          </w:tcPr>
          <w:p w14:paraId="7C6B8744" w14:textId="77777777" w:rsidR="008C179D" w:rsidRPr="008C179D" w:rsidRDefault="008C673D" w:rsidP="008C179D">
            <w:pPr>
              <w:suppressAutoHyphens w:val="0"/>
              <w:spacing w:before="40" w:after="40" w:line="220" w:lineRule="exact"/>
              <w:jc w:val="right"/>
              <w:rPr>
                <w:sz w:val="18"/>
              </w:rPr>
            </w:pPr>
            <w:r>
              <w:rPr>
                <w:sz w:val="18"/>
              </w:rPr>
              <w:t>−</w:t>
            </w:r>
          </w:p>
        </w:tc>
        <w:tc>
          <w:tcPr>
            <w:tcW w:w="1330" w:type="dxa"/>
            <w:shd w:val="clear" w:color="auto" w:fill="auto"/>
            <w:vAlign w:val="bottom"/>
          </w:tcPr>
          <w:p w14:paraId="443138D5"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c>
          <w:tcPr>
            <w:tcW w:w="1330" w:type="dxa"/>
            <w:shd w:val="clear" w:color="auto" w:fill="auto"/>
            <w:vAlign w:val="bottom"/>
          </w:tcPr>
          <w:p w14:paraId="2F5E2A68"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257" w:type="dxa"/>
            <w:shd w:val="clear" w:color="auto" w:fill="auto"/>
            <w:vAlign w:val="bottom"/>
          </w:tcPr>
          <w:p w14:paraId="4A8DA841" w14:textId="77777777" w:rsidR="008C179D" w:rsidRPr="008C179D" w:rsidRDefault="008C673D" w:rsidP="008C179D">
            <w:pPr>
              <w:suppressAutoHyphens w:val="0"/>
              <w:spacing w:before="40" w:after="40" w:line="220" w:lineRule="exact"/>
              <w:jc w:val="right"/>
              <w:rPr>
                <w:sz w:val="18"/>
              </w:rPr>
            </w:pPr>
            <w:r>
              <w:rPr>
                <w:sz w:val="18"/>
                <w:lang w:val="fr-FR"/>
              </w:rPr>
              <w:t>−</w:t>
            </w:r>
          </w:p>
        </w:tc>
      </w:tr>
      <w:tr w:rsidR="008C179D" w:rsidRPr="008C179D" w14:paraId="5138610F" w14:textId="77777777" w:rsidTr="008C179D">
        <w:tc>
          <w:tcPr>
            <w:tcW w:w="8546" w:type="dxa"/>
            <w:shd w:val="clear" w:color="auto" w:fill="auto"/>
          </w:tcPr>
          <w:p w14:paraId="4376B162" w14:textId="77777777" w:rsidR="008C179D" w:rsidRPr="008C179D" w:rsidRDefault="008C179D" w:rsidP="008C179D">
            <w:pPr>
              <w:suppressAutoHyphens w:val="0"/>
              <w:spacing w:before="40" w:after="40" w:line="220" w:lineRule="exact"/>
              <w:rPr>
                <w:sz w:val="18"/>
                <w:lang w:val="fr-FR"/>
              </w:rPr>
            </w:pPr>
            <w:r w:rsidRPr="008C179D">
              <w:rPr>
                <w:sz w:val="18"/>
                <w:lang w:val="fr-FR"/>
              </w:rPr>
              <w:t xml:space="preserve">Séances thématiques du Groupe de travail des Parties </w:t>
            </w:r>
          </w:p>
        </w:tc>
        <w:tc>
          <w:tcPr>
            <w:tcW w:w="1313" w:type="dxa"/>
            <w:shd w:val="clear" w:color="auto" w:fill="auto"/>
            <w:vAlign w:val="bottom"/>
          </w:tcPr>
          <w:p w14:paraId="3B7FC25C" w14:textId="77777777" w:rsidR="008C179D" w:rsidRPr="008C179D" w:rsidRDefault="008C179D" w:rsidP="008C179D">
            <w:pPr>
              <w:suppressAutoHyphens w:val="0"/>
              <w:spacing w:before="40" w:after="40" w:line="220" w:lineRule="exact"/>
              <w:jc w:val="right"/>
              <w:rPr>
                <w:sz w:val="18"/>
              </w:rPr>
            </w:pPr>
            <w:r w:rsidRPr="008C179D">
              <w:rPr>
                <w:sz w:val="18"/>
                <w:lang w:val="fr-FR"/>
              </w:rPr>
              <w:t>AI</w:t>
            </w:r>
          </w:p>
        </w:tc>
        <w:tc>
          <w:tcPr>
            <w:tcW w:w="1330" w:type="dxa"/>
            <w:shd w:val="clear" w:color="auto" w:fill="auto"/>
            <w:vAlign w:val="bottom"/>
          </w:tcPr>
          <w:p w14:paraId="2F502162" w14:textId="77777777" w:rsidR="008C179D" w:rsidRPr="008C179D" w:rsidRDefault="008C179D" w:rsidP="008C179D">
            <w:pPr>
              <w:suppressAutoHyphens w:val="0"/>
              <w:spacing w:before="40" w:after="40" w:line="220" w:lineRule="exact"/>
              <w:jc w:val="right"/>
              <w:rPr>
                <w:sz w:val="18"/>
              </w:rPr>
            </w:pPr>
            <w:r w:rsidRPr="008C179D">
              <w:rPr>
                <w:sz w:val="18"/>
                <w:lang w:val="fr-FR"/>
              </w:rPr>
              <w:t>PP</w:t>
            </w:r>
          </w:p>
        </w:tc>
        <w:tc>
          <w:tcPr>
            <w:tcW w:w="1330" w:type="dxa"/>
            <w:shd w:val="clear" w:color="auto" w:fill="auto"/>
            <w:vAlign w:val="bottom"/>
          </w:tcPr>
          <w:p w14:paraId="301D7DE6" w14:textId="77777777" w:rsidR="008C179D" w:rsidRPr="008C179D" w:rsidRDefault="008C179D" w:rsidP="008C179D">
            <w:pPr>
              <w:suppressAutoHyphens w:val="0"/>
              <w:spacing w:before="40" w:after="40" w:line="220" w:lineRule="exact"/>
              <w:jc w:val="right"/>
              <w:rPr>
                <w:sz w:val="18"/>
              </w:rPr>
            </w:pPr>
            <w:r w:rsidRPr="008C179D">
              <w:rPr>
                <w:sz w:val="18"/>
                <w:lang w:val="fr-FR"/>
              </w:rPr>
              <w:t>AJ</w:t>
            </w:r>
          </w:p>
        </w:tc>
        <w:tc>
          <w:tcPr>
            <w:tcW w:w="1257" w:type="dxa"/>
            <w:shd w:val="clear" w:color="auto" w:fill="auto"/>
            <w:vAlign w:val="bottom"/>
          </w:tcPr>
          <w:p w14:paraId="7673BD76" w14:textId="77777777" w:rsidR="008C179D" w:rsidRPr="008C179D" w:rsidRDefault="008C179D" w:rsidP="008C179D">
            <w:pPr>
              <w:suppressAutoHyphens w:val="0"/>
              <w:spacing w:before="40" w:after="40" w:line="220" w:lineRule="exact"/>
              <w:jc w:val="right"/>
              <w:rPr>
                <w:sz w:val="18"/>
              </w:rPr>
            </w:pPr>
            <w:r w:rsidRPr="008C179D">
              <w:rPr>
                <w:sz w:val="18"/>
                <w:lang w:val="fr-FR"/>
              </w:rPr>
              <w:t>OGM</w:t>
            </w:r>
          </w:p>
        </w:tc>
      </w:tr>
      <w:tr w:rsidR="008C179D" w:rsidRPr="008C179D" w14:paraId="6A3BA1E3" w14:textId="77777777" w:rsidTr="008C179D">
        <w:tc>
          <w:tcPr>
            <w:tcW w:w="8546" w:type="dxa"/>
            <w:tcBorders>
              <w:bottom w:val="single" w:sz="12" w:space="0" w:color="auto"/>
            </w:tcBorders>
            <w:shd w:val="clear" w:color="auto" w:fill="auto"/>
          </w:tcPr>
          <w:p w14:paraId="7AF06CC3" w14:textId="77777777" w:rsidR="008C179D" w:rsidRPr="008C179D" w:rsidRDefault="008C179D" w:rsidP="008C179D">
            <w:pPr>
              <w:suppressAutoHyphens w:val="0"/>
              <w:spacing w:before="40" w:after="40" w:line="220" w:lineRule="exact"/>
              <w:rPr>
                <w:sz w:val="18"/>
              </w:rPr>
            </w:pPr>
            <w:r w:rsidRPr="008C179D">
              <w:rPr>
                <w:sz w:val="18"/>
                <w:lang w:val="fr-FR"/>
              </w:rPr>
              <w:t>Réunion des Parties</w:t>
            </w:r>
          </w:p>
        </w:tc>
        <w:tc>
          <w:tcPr>
            <w:tcW w:w="1313" w:type="dxa"/>
            <w:tcBorders>
              <w:bottom w:val="single" w:sz="12" w:space="0" w:color="auto"/>
            </w:tcBorders>
            <w:shd w:val="clear" w:color="auto" w:fill="auto"/>
            <w:vAlign w:val="bottom"/>
          </w:tcPr>
          <w:p w14:paraId="74897FC1"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330" w:type="dxa"/>
            <w:tcBorders>
              <w:bottom w:val="single" w:sz="12" w:space="0" w:color="auto"/>
            </w:tcBorders>
            <w:shd w:val="clear" w:color="auto" w:fill="auto"/>
            <w:vAlign w:val="bottom"/>
          </w:tcPr>
          <w:p w14:paraId="59F70653"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330" w:type="dxa"/>
            <w:tcBorders>
              <w:bottom w:val="single" w:sz="12" w:space="0" w:color="auto"/>
            </w:tcBorders>
            <w:shd w:val="clear" w:color="auto" w:fill="auto"/>
            <w:vAlign w:val="bottom"/>
          </w:tcPr>
          <w:p w14:paraId="74BA77B0" w14:textId="77777777" w:rsidR="008C179D" w:rsidRPr="008C179D" w:rsidRDefault="008C673D" w:rsidP="008C179D">
            <w:pPr>
              <w:suppressAutoHyphens w:val="0"/>
              <w:spacing w:before="40" w:after="40" w:line="220" w:lineRule="exact"/>
              <w:jc w:val="right"/>
              <w:rPr>
                <w:sz w:val="18"/>
              </w:rPr>
            </w:pPr>
            <w:r>
              <w:rPr>
                <w:sz w:val="18"/>
                <w:lang w:val="fr-FR"/>
              </w:rPr>
              <w:t>−</w:t>
            </w:r>
          </w:p>
        </w:tc>
        <w:tc>
          <w:tcPr>
            <w:tcW w:w="1257" w:type="dxa"/>
            <w:tcBorders>
              <w:bottom w:val="single" w:sz="12" w:space="0" w:color="auto"/>
            </w:tcBorders>
            <w:shd w:val="clear" w:color="auto" w:fill="auto"/>
            <w:vAlign w:val="bottom"/>
          </w:tcPr>
          <w:p w14:paraId="308E9D77" w14:textId="77777777" w:rsidR="008C179D" w:rsidRPr="008C179D" w:rsidRDefault="008C179D" w:rsidP="008C179D">
            <w:pPr>
              <w:suppressAutoHyphens w:val="0"/>
              <w:spacing w:before="40" w:after="40" w:line="220" w:lineRule="exact"/>
              <w:jc w:val="right"/>
              <w:rPr>
                <w:sz w:val="18"/>
              </w:rPr>
            </w:pPr>
            <w:r w:rsidRPr="008C179D">
              <w:rPr>
                <w:sz w:val="18"/>
                <w:lang w:val="fr-FR"/>
              </w:rPr>
              <w:t>x</w:t>
            </w:r>
          </w:p>
        </w:tc>
      </w:tr>
    </w:tbl>
    <w:p w14:paraId="0CBE827F" w14:textId="77777777" w:rsidR="008C179D" w:rsidRPr="008C179D" w:rsidRDefault="008C179D" w:rsidP="005B7485">
      <w:pPr>
        <w:pStyle w:val="SingleTxtG"/>
        <w:spacing w:before="120"/>
        <w:ind w:left="284" w:right="0" w:firstLine="170"/>
        <w:rPr>
          <w:sz w:val="18"/>
          <w:szCs w:val="18"/>
          <w:lang w:val="fr-FR"/>
        </w:rPr>
      </w:pPr>
      <w:r w:rsidRPr="008C179D">
        <w:rPr>
          <w:i/>
          <w:iCs/>
          <w:sz w:val="18"/>
          <w:szCs w:val="18"/>
          <w:lang w:val="fr-FR"/>
        </w:rPr>
        <w:t>Note</w:t>
      </w:r>
      <w:r w:rsidRPr="008C179D">
        <w:rPr>
          <w:sz w:val="18"/>
          <w:szCs w:val="18"/>
          <w:lang w:val="fr-FR"/>
        </w:rPr>
        <w:t> : Les préparatifs de fond de chaque séance thématique du Groupe de travail des Parties sont fondés sur les résultats des travaux de l</w:t>
      </w:r>
      <w:r w:rsidR="00457C42">
        <w:rPr>
          <w:sz w:val="18"/>
          <w:szCs w:val="18"/>
          <w:lang w:val="fr-FR"/>
        </w:rPr>
        <w:t>’</w:t>
      </w:r>
      <w:r w:rsidRPr="008C179D">
        <w:rPr>
          <w:sz w:val="18"/>
          <w:szCs w:val="18"/>
          <w:lang w:val="fr-FR"/>
        </w:rPr>
        <w:t>équipe spéciale concernée et des autres activités</w:t>
      </w:r>
      <w:r w:rsidR="005B7485">
        <w:rPr>
          <w:sz w:val="18"/>
          <w:szCs w:val="18"/>
          <w:lang w:val="fr-FR"/>
        </w:rPr>
        <w:t> </w:t>
      </w:r>
      <w:r w:rsidRPr="008C179D">
        <w:rPr>
          <w:sz w:val="18"/>
          <w:szCs w:val="18"/>
          <w:lang w:val="fr-FR"/>
        </w:rPr>
        <w:t>menées dans les domaines pertinents.</w:t>
      </w:r>
    </w:p>
    <w:p w14:paraId="03A0ED60" w14:textId="77777777" w:rsidR="008C179D" w:rsidRPr="008C179D" w:rsidRDefault="008C179D" w:rsidP="008C179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C179D" w:rsidRPr="008C179D" w:rsidSect="006869C0">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01A8" w14:textId="77777777" w:rsidR="000439D2" w:rsidRDefault="000439D2" w:rsidP="00F95C08">
      <w:pPr>
        <w:spacing w:line="240" w:lineRule="auto"/>
      </w:pPr>
    </w:p>
  </w:endnote>
  <w:endnote w:type="continuationSeparator" w:id="0">
    <w:p w14:paraId="4D42BC7A" w14:textId="77777777" w:rsidR="000439D2" w:rsidRPr="00AC3823" w:rsidRDefault="000439D2" w:rsidP="00AC3823">
      <w:pPr>
        <w:pStyle w:val="Pieddepage"/>
      </w:pPr>
    </w:p>
  </w:endnote>
  <w:endnote w:type="continuationNotice" w:id="1">
    <w:p w14:paraId="484F192B" w14:textId="77777777" w:rsidR="000439D2" w:rsidRDefault="00043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303D" w14:textId="77777777" w:rsidR="000439D2" w:rsidRPr="004C0389" w:rsidRDefault="000439D2" w:rsidP="004C0389">
    <w:pPr>
      <w:pStyle w:val="Pieddepage"/>
      <w:tabs>
        <w:tab w:val="right" w:pos="9638"/>
      </w:tabs>
    </w:pPr>
    <w:r w:rsidRPr="004C0389">
      <w:rPr>
        <w:b/>
        <w:sz w:val="18"/>
      </w:rPr>
      <w:fldChar w:fldCharType="begin"/>
    </w:r>
    <w:r w:rsidRPr="004C0389">
      <w:rPr>
        <w:b/>
        <w:sz w:val="18"/>
      </w:rPr>
      <w:instrText xml:space="preserve"> PAGE  \* MERGEFORMAT </w:instrText>
    </w:r>
    <w:r w:rsidRPr="004C0389">
      <w:rPr>
        <w:b/>
        <w:sz w:val="18"/>
      </w:rPr>
      <w:fldChar w:fldCharType="separate"/>
    </w:r>
    <w:r w:rsidRPr="004C0389">
      <w:rPr>
        <w:b/>
        <w:noProof/>
        <w:sz w:val="18"/>
      </w:rPr>
      <w:t>2</w:t>
    </w:r>
    <w:r w:rsidRPr="004C0389">
      <w:rPr>
        <w:b/>
        <w:sz w:val="18"/>
      </w:rPr>
      <w:fldChar w:fldCharType="end"/>
    </w:r>
    <w:r>
      <w:rPr>
        <w:b/>
        <w:sz w:val="18"/>
      </w:rPr>
      <w:tab/>
    </w:r>
    <w:r>
      <w:t>GE.20-05473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4602" w14:textId="77777777" w:rsidR="000439D2" w:rsidRPr="004C0389" w:rsidRDefault="000439D2" w:rsidP="004C0389">
    <w:pPr>
      <w:pStyle w:val="Pieddepage"/>
      <w:tabs>
        <w:tab w:val="right" w:pos="9638"/>
      </w:tabs>
      <w:rPr>
        <w:b/>
        <w:sz w:val="18"/>
      </w:rPr>
    </w:pPr>
    <w:r>
      <w:t>GE.20-05473</w:t>
    </w:r>
    <w:r>
      <w:tab/>
    </w:r>
    <w:r w:rsidRPr="004C0389">
      <w:rPr>
        <w:b/>
        <w:sz w:val="18"/>
      </w:rPr>
      <w:fldChar w:fldCharType="begin"/>
    </w:r>
    <w:r w:rsidRPr="004C0389">
      <w:rPr>
        <w:b/>
        <w:sz w:val="18"/>
      </w:rPr>
      <w:instrText xml:space="preserve"> PAGE  \* MERGEFORMAT </w:instrText>
    </w:r>
    <w:r w:rsidRPr="004C0389">
      <w:rPr>
        <w:b/>
        <w:sz w:val="18"/>
      </w:rPr>
      <w:fldChar w:fldCharType="separate"/>
    </w:r>
    <w:r w:rsidRPr="004C0389">
      <w:rPr>
        <w:b/>
        <w:noProof/>
        <w:sz w:val="18"/>
      </w:rPr>
      <w:t>3</w:t>
    </w:r>
    <w:r w:rsidRPr="004C03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5FDF" w14:textId="77777777" w:rsidR="000439D2" w:rsidRPr="004C0389" w:rsidRDefault="000439D2" w:rsidP="004C0389">
    <w:pPr>
      <w:pStyle w:val="Pieddepage"/>
      <w:spacing w:before="120"/>
      <w:rPr>
        <w:sz w:val="20"/>
      </w:rPr>
    </w:pPr>
    <w:r>
      <w:rPr>
        <w:sz w:val="20"/>
      </w:rPr>
      <w:t>GE.</w:t>
    </w:r>
    <w:r>
      <w:rPr>
        <w:noProof/>
        <w:lang w:eastAsia="fr-CH"/>
      </w:rPr>
      <w:drawing>
        <wp:anchor distT="0" distB="0" distL="114300" distR="114300" simplePos="0" relativeHeight="251666432" behindDoc="0" locked="0" layoutInCell="1" allowOverlap="0" wp14:anchorId="6B809FB9" wp14:editId="407C6F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20-05473 (F)  280420  </w:t>
    </w:r>
    <w:r w:rsidR="00EC0904">
      <w:rPr>
        <w:sz w:val="20"/>
      </w:rPr>
      <w:t xml:space="preserve">    290420</w:t>
    </w:r>
    <w:r>
      <w:rPr>
        <w:sz w:val="20"/>
      </w:rPr>
      <w:br/>
    </w:r>
    <w:r w:rsidRPr="004C0389">
      <w:rPr>
        <w:rFonts w:ascii="C39T30Lfz" w:hAnsi="C39T30Lfz"/>
        <w:sz w:val="56"/>
      </w:rPr>
      <w:t></w:t>
    </w:r>
    <w:r w:rsidRPr="004C0389">
      <w:rPr>
        <w:rFonts w:ascii="C39T30Lfz" w:hAnsi="C39T30Lfz"/>
        <w:sz w:val="56"/>
      </w:rPr>
      <w:t></w:t>
    </w:r>
    <w:r w:rsidRPr="004C0389">
      <w:rPr>
        <w:rFonts w:ascii="C39T30Lfz" w:hAnsi="C39T30Lfz"/>
        <w:sz w:val="56"/>
      </w:rPr>
      <w:t></w:t>
    </w:r>
    <w:r w:rsidRPr="004C0389">
      <w:rPr>
        <w:rFonts w:ascii="C39T30Lfz" w:hAnsi="C39T30Lfz"/>
        <w:sz w:val="56"/>
      </w:rPr>
      <w:t></w:t>
    </w:r>
    <w:r w:rsidRPr="004C0389">
      <w:rPr>
        <w:rFonts w:ascii="C39T30Lfz" w:hAnsi="C39T30Lfz"/>
        <w:sz w:val="56"/>
      </w:rPr>
      <w:t></w:t>
    </w:r>
    <w:r w:rsidRPr="004C0389">
      <w:rPr>
        <w:rFonts w:ascii="C39T30Lfz" w:hAnsi="C39T30Lfz"/>
        <w:sz w:val="56"/>
      </w:rPr>
      <w:t></w:t>
    </w:r>
    <w:r w:rsidRPr="004C0389">
      <w:rPr>
        <w:rFonts w:ascii="C39T30Lfz" w:hAnsi="C39T30Lfz"/>
        <w:sz w:val="56"/>
      </w:rPr>
      <w:t></w:t>
    </w:r>
    <w:r w:rsidRPr="004C0389">
      <w:rPr>
        <w:rFonts w:ascii="C39T30Lfz" w:hAnsi="C39T30Lfz"/>
        <w:sz w:val="56"/>
      </w:rPr>
      <w:t></w:t>
    </w:r>
    <w:r w:rsidRPr="004C0389">
      <w:rPr>
        <w:rFonts w:ascii="C39T30Lfz" w:hAnsi="C39T30Lfz"/>
        <w:sz w:val="56"/>
      </w:rPr>
      <w:t></w:t>
    </w:r>
    <w:r>
      <w:rPr>
        <w:noProof/>
        <w:sz w:val="20"/>
      </w:rPr>
      <w:drawing>
        <wp:anchor distT="0" distB="0" distL="114300" distR="114300" simplePos="0" relativeHeight="251654144" behindDoc="0" locked="0" layoutInCell="1" allowOverlap="1" wp14:anchorId="00D7CFD4" wp14:editId="724C988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WG.1/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0D88" w14:textId="77777777" w:rsidR="000439D2" w:rsidRPr="006869C0" w:rsidRDefault="000439D2" w:rsidP="006869C0">
    <w:pPr>
      <w:pStyle w:val="Pieddepage"/>
    </w:pPr>
    <w:r>
      <w:rPr>
        <w:noProof/>
      </w:rPr>
      <mc:AlternateContent>
        <mc:Choice Requires="wps">
          <w:drawing>
            <wp:anchor distT="0" distB="0" distL="114300" distR="114300" simplePos="0" relativeHeight="251660288" behindDoc="0" locked="0" layoutInCell="1" allowOverlap="1" wp14:anchorId="6A561ACA" wp14:editId="044EB69E">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B43C2D" w14:textId="77777777" w:rsidR="000439D2" w:rsidRPr="004C0389" w:rsidRDefault="000439D2" w:rsidP="006869C0">
                          <w:pPr>
                            <w:pStyle w:val="Pieddepage"/>
                            <w:tabs>
                              <w:tab w:val="right" w:pos="9638"/>
                            </w:tabs>
                          </w:pPr>
                          <w:r w:rsidRPr="004C0389">
                            <w:rPr>
                              <w:b/>
                              <w:sz w:val="18"/>
                            </w:rPr>
                            <w:fldChar w:fldCharType="begin"/>
                          </w:r>
                          <w:r w:rsidRPr="004C0389">
                            <w:rPr>
                              <w:b/>
                              <w:sz w:val="18"/>
                            </w:rPr>
                            <w:instrText xml:space="preserve"> PAGE  \* MERGEFORMAT </w:instrText>
                          </w:r>
                          <w:r w:rsidRPr="004C0389">
                            <w:rPr>
                              <w:b/>
                              <w:sz w:val="18"/>
                            </w:rPr>
                            <w:fldChar w:fldCharType="separate"/>
                          </w:r>
                          <w:r>
                            <w:rPr>
                              <w:b/>
                              <w:sz w:val="18"/>
                            </w:rPr>
                            <w:t>12</w:t>
                          </w:r>
                          <w:r w:rsidRPr="004C0389">
                            <w:rPr>
                              <w:b/>
                              <w:sz w:val="18"/>
                            </w:rPr>
                            <w:fldChar w:fldCharType="end"/>
                          </w:r>
                          <w:r>
                            <w:rPr>
                              <w:b/>
                              <w:sz w:val="18"/>
                            </w:rPr>
                            <w:tab/>
                          </w:r>
                          <w:r>
                            <w:t>GE.20-05473</w:t>
                          </w:r>
                        </w:p>
                        <w:p w14:paraId="6D7554E6" w14:textId="77777777" w:rsidR="000439D2" w:rsidRDefault="000439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561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0B43C2D" w14:textId="77777777" w:rsidR="000439D2" w:rsidRPr="004C0389" w:rsidRDefault="000439D2" w:rsidP="006869C0">
                    <w:pPr>
                      <w:pStyle w:val="Pieddepage"/>
                      <w:tabs>
                        <w:tab w:val="right" w:pos="9638"/>
                      </w:tabs>
                    </w:pPr>
                    <w:r w:rsidRPr="004C0389">
                      <w:rPr>
                        <w:b/>
                        <w:sz w:val="18"/>
                      </w:rPr>
                      <w:fldChar w:fldCharType="begin"/>
                    </w:r>
                    <w:r w:rsidRPr="004C0389">
                      <w:rPr>
                        <w:b/>
                        <w:sz w:val="18"/>
                      </w:rPr>
                      <w:instrText xml:space="preserve"> PAGE  \* MERGEFORMAT </w:instrText>
                    </w:r>
                    <w:r w:rsidRPr="004C0389">
                      <w:rPr>
                        <w:b/>
                        <w:sz w:val="18"/>
                      </w:rPr>
                      <w:fldChar w:fldCharType="separate"/>
                    </w:r>
                    <w:r>
                      <w:rPr>
                        <w:b/>
                        <w:sz w:val="18"/>
                      </w:rPr>
                      <w:t>12</w:t>
                    </w:r>
                    <w:r w:rsidRPr="004C0389">
                      <w:rPr>
                        <w:b/>
                        <w:sz w:val="18"/>
                      </w:rPr>
                      <w:fldChar w:fldCharType="end"/>
                    </w:r>
                    <w:r>
                      <w:rPr>
                        <w:b/>
                        <w:sz w:val="18"/>
                      </w:rPr>
                      <w:tab/>
                    </w:r>
                    <w:r>
                      <w:t>GE.20-05473</w:t>
                    </w:r>
                  </w:p>
                  <w:p w14:paraId="6D7554E6" w14:textId="77777777" w:rsidR="000439D2" w:rsidRDefault="000439D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1E6E" w14:textId="77777777" w:rsidR="000439D2" w:rsidRPr="006869C0" w:rsidRDefault="000439D2" w:rsidP="006869C0">
    <w:pPr>
      <w:pStyle w:val="Pieddepage"/>
    </w:pPr>
    <w:r>
      <w:rPr>
        <w:noProof/>
      </w:rPr>
      <mc:AlternateContent>
        <mc:Choice Requires="wps">
          <w:drawing>
            <wp:anchor distT="0" distB="0" distL="114300" distR="114300" simplePos="0" relativeHeight="251657216" behindDoc="0" locked="0" layoutInCell="1" allowOverlap="1" wp14:anchorId="5AC0773B" wp14:editId="24AAF63D">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AB4504" w14:textId="77777777" w:rsidR="000439D2" w:rsidRPr="004C0389" w:rsidRDefault="000439D2" w:rsidP="006869C0">
                          <w:pPr>
                            <w:pStyle w:val="Pieddepage"/>
                            <w:tabs>
                              <w:tab w:val="right" w:pos="9638"/>
                            </w:tabs>
                            <w:rPr>
                              <w:b/>
                              <w:sz w:val="18"/>
                            </w:rPr>
                          </w:pPr>
                          <w:r>
                            <w:t>GE.20-05473</w:t>
                          </w:r>
                          <w:r>
                            <w:tab/>
                          </w:r>
                          <w:r w:rsidRPr="004C0389">
                            <w:rPr>
                              <w:b/>
                              <w:sz w:val="18"/>
                            </w:rPr>
                            <w:fldChar w:fldCharType="begin"/>
                          </w:r>
                          <w:r w:rsidRPr="004C0389">
                            <w:rPr>
                              <w:b/>
                              <w:sz w:val="18"/>
                            </w:rPr>
                            <w:instrText xml:space="preserve"> PAGE  \* MERGEFORMAT </w:instrText>
                          </w:r>
                          <w:r w:rsidRPr="004C0389">
                            <w:rPr>
                              <w:b/>
                              <w:sz w:val="18"/>
                            </w:rPr>
                            <w:fldChar w:fldCharType="separate"/>
                          </w:r>
                          <w:r>
                            <w:rPr>
                              <w:b/>
                              <w:sz w:val="18"/>
                            </w:rPr>
                            <w:t>11</w:t>
                          </w:r>
                          <w:r w:rsidRPr="004C0389">
                            <w:rPr>
                              <w:b/>
                              <w:sz w:val="18"/>
                            </w:rPr>
                            <w:fldChar w:fldCharType="end"/>
                          </w:r>
                        </w:p>
                        <w:p w14:paraId="628386EA" w14:textId="77777777" w:rsidR="000439D2" w:rsidRDefault="000439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C0773B"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1AB4504" w14:textId="77777777" w:rsidR="000439D2" w:rsidRPr="004C0389" w:rsidRDefault="000439D2" w:rsidP="006869C0">
                    <w:pPr>
                      <w:pStyle w:val="Pieddepage"/>
                      <w:tabs>
                        <w:tab w:val="right" w:pos="9638"/>
                      </w:tabs>
                      <w:rPr>
                        <w:b/>
                        <w:sz w:val="18"/>
                      </w:rPr>
                    </w:pPr>
                    <w:r>
                      <w:t>GE.20-05473</w:t>
                    </w:r>
                    <w:r>
                      <w:tab/>
                    </w:r>
                    <w:r w:rsidRPr="004C0389">
                      <w:rPr>
                        <w:b/>
                        <w:sz w:val="18"/>
                      </w:rPr>
                      <w:fldChar w:fldCharType="begin"/>
                    </w:r>
                    <w:r w:rsidRPr="004C0389">
                      <w:rPr>
                        <w:b/>
                        <w:sz w:val="18"/>
                      </w:rPr>
                      <w:instrText xml:space="preserve"> PAGE  \* MERGEFORMAT </w:instrText>
                    </w:r>
                    <w:r w:rsidRPr="004C0389">
                      <w:rPr>
                        <w:b/>
                        <w:sz w:val="18"/>
                      </w:rPr>
                      <w:fldChar w:fldCharType="separate"/>
                    </w:r>
                    <w:r>
                      <w:rPr>
                        <w:b/>
                        <w:sz w:val="18"/>
                      </w:rPr>
                      <w:t>11</w:t>
                    </w:r>
                    <w:r w:rsidRPr="004C0389">
                      <w:rPr>
                        <w:b/>
                        <w:sz w:val="18"/>
                      </w:rPr>
                      <w:fldChar w:fldCharType="end"/>
                    </w:r>
                  </w:p>
                  <w:p w14:paraId="628386EA" w14:textId="77777777" w:rsidR="000439D2" w:rsidRDefault="000439D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74A4" w14:textId="77777777" w:rsidR="000439D2" w:rsidRPr="00AC3823" w:rsidRDefault="000439D2" w:rsidP="00AC3823">
      <w:pPr>
        <w:pStyle w:val="Pieddepage"/>
        <w:tabs>
          <w:tab w:val="right" w:pos="2155"/>
        </w:tabs>
        <w:spacing w:after="80" w:line="240" w:lineRule="atLeast"/>
        <w:ind w:left="680"/>
        <w:rPr>
          <w:u w:val="single"/>
        </w:rPr>
      </w:pPr>
      <w:r>
        <w:rPr>
          <w:u w:val="single"/>
        </w:rPr>
        <w:tab/>
      </w:r>
    </w:p>
  </w:footnote>
  <w:footnote w:type="continuationSeparator" w:id="0">
    <w:p w14:paraId="396D07F3" w14:textId="77777777" w:rsidR="000439D2" w:rsidRPr="00AC3823" w:rsidRDefault="000439D2" w:rsidP="00AC3823">
      <w:pPr>
        <w:pStyle w:val="Pieddepage"/>
        <w:tabs>
          <w:tab w:val="right" w:pos="2155"/>
        </w:tabs>
        <w:spacing w:after="80" w:line="240" w:lineRule="atLeast"/>
        <w:ind w:left="680"/>
        <w:rPr>
          <w:u w:val="single"/>
        </w:rPr>
      </w:pPr>
      <w:r>
        <w:rPr>
          <w:u w:val="single"/>
        </w:rPr>
        <w:tab/>
      </w:r>
    </w:p>
  </w:footnote>
  <w:footnote w:type="continuationNotice" w:id="1">
    <w:p w14:paraId="16DDA5B7" w14:textId="77777777" w:rsidR="000439D2" w:rsidRPr="00AC3823" w:rsidRDefault="000439D2">
      <w:pPr>
        <w:spacing w:line="240" w:lineRule="auto"/>
        <w:rPr>
          <w:sz w:val="2"/>
          <w:szCs w:val="2"/>
        </w:rPr>
      </w:pPr>
    </w:p>
  </w:footnote>
  <w:footnote w:id="2">
    <w:p w14:paraId="4DB559E7" w14:textId="758A48A3" w:rsidR="000439D2" w:rsidRPr="00C30712" w:rsidRDefault="000439D2" w:rsidP="00423B43">
      <w:pPr>
        <w:pStyle w:val="Notedebasdepage"/>
        <w:rPr>
          <w:lang w:val="en-US"/>
        </w:rPr>
      </w:pPr>
      <w:r>
        <w:rPr>
          <w:lang w:val="fr-FR"/>
        </w:rPr>
        <w:tab/>
      </w:r>
      <w:r w:rsidRPr="00423B43">
        <w:rPr>
          <w:rStyle w:val="Appelnotedebasdep"/>
        </w:rPr>
        <w:footnoteRef/>
      </w:r>
      <w:r w:rsidRPr="00C30712">
        <w:rPr>
          <w:lang w:val="en-US"/>
        </w:rPr>
        <w:tab/>
      </w:r>
      <w:proofErr w:type="spellStart"/>
      <w:r w:rsidRPr="00C30712">
        <w:rPr>
          <w:lang w:val="en-US"/>
        </w:rPr>
        <w:t>Voir</w:t>
      </w:r>
      <w:proofErr w:type="spellEnd"/>
      <w:r w:rsidRPr="00C30712">
        <w:rPr>
          <w:lang w:val="en-US"/>
        </w:rPr>
        <w:t xml:space="preserve"> </w:t>
      </w:r>
      <w:hyperlink r:id="rId1" w:history="1">
        <w:r w:rsidRPr="00C30712">
          <w:rPr>
            <w:rStyle w:val="Lienhypertexte"/>
            <w:lang w:val="en-US"/>
          </w:rPr>
          <w:t>https://crudeaccountability.org/wp-content/uploads/Report_DangerousWork_compressed_ for_web.pdf</w:t>
        </w:r>
      </w:hyperlink>
      <w:r w:rsidRPr="00C30712">
        <w:rPr>
          <w:lang w:val="en-US"/>
        </w:rPr>
        <w:t>.</w:t>
      </w:r>
    </w:p>
  </w:footnote>
  <w:footnote w:id="3">
    <w:p w14:paraId="4146C14B" w14:textId="551187B4" w:rsidR="000439D2" w:rsidRPr="00C30712" w:rsidRDefault="000439D2" w:rsidP="00423B43">
      <w:pPr>
        <w:pStyle w:val="Notedebasdepage"/>
        <w:rPr>
          <w:lang w:val="en-US"/>
        </w:rPr>
      </w:pPr>
      <w:r w:rsidRPr="00C30712">
        <w:rPr>
          <w:lang w:val="en-US"/>
        </w:rPr>
        <w:tab/>
      </w:r>
      <w:r w:rsidRPr="00423B43">
        <w:rPr>
          <w:rStyle w:val="Appelnotedebasdep"/>
        </w:rPr>
        <w:footnoteRef/>
      </w:r>
      <w:r w:rsidRPr="00C30712">
        <w:rPr>
          <w:lang w:val="en-US"/>
        </w:rPr>
        <w:tab/>
        <w:t xml:space="preserve">Front Line Defenders (Blackrock, </w:t>
      </w:r>
      <w:proofErr w:type="spellStart"/>
      <w:r w:rsidRPr="00C30712">
        <w:rPr>
          <w:lang w:val="en-US"/>
        </w:rPr>
        <w:t>comté</w:t>
      </w:r>
      <w:proofErr w:type="spellEnd"/>
      <w:r w:rsidRPr="00C30712">
        <w:rPr>
          <w:lang w:val="en-US"/>
        </w:rPr>
        <w:t xml:space="preserve"> de Dublin, Front Line, the International Foundation for the Protection of Human Rights Defenders, 2018), disponible à </w:t>
      </w:r>
      <w:proofErr w:type="spellStart"/>
      <w:r w:rsidRPr="00C30712">
        <w:rPr>
          <w:lang w:val="en-US"/>
        </w:rPr>
        <w:t>l’adresse</w:t>
      </w:r>
      <w:proofErr w:type="spellEnd"/>
      <w:r w:rsidRPr="00C30712">
        <w:rPr>
          <w:lang w:val="en-US"/>
        </w:rPr>
        <w:t xml:space="preserve"> </w:t>
      </w:r>
      <w:hyperlink r:id="rId2" w:history="1">
        <w:r w:rsidRPr="00C30712">
          <w:rPr>
            <w:rStyle w:val="Lienhypertexte"/>
            <w:lang w:val="en-US"/>
          </w:rPr>
          <w:t>www.frontlinedefenders.org/</w:t>
        </w:r>
        <w:r>
          <w:rPr>
            <w:rStyle w:val="Lienhypertexte"/>
            <w:lang w:val="en-US"/>
          </w:rPr>
          <w:t xml:space="preserve"> </w:t>
        </w:r>
        <w:r w:rsidRPr="00C30712">
          <w:rPr>
            <w:rStyle w:val="Lienhypertexte"/>
            <w:lang w:val="en-US"/>
          </w:rPr>
          <w:t>sites/default/files/global_analysis_2018.pdf</w:t>
        </w:r>
      </w:hyperlink>
      <w:r w:rsidRPr="00C30712">
        <w:rPr>
          <w:lang w:val="en-US"/>
        </w:rPr>
        <w:t>.</w:t>
      </w:r>
    </w:p>
  </w:footnote>
  <w:footnote w:id="4">
    <w:p w14:paraId="527233EF" w14:textId="1C8FF336" w:rsidR="000439D2" w:rsidRPr="001D5B62" w:rsidRDefault="000439D2" w:rsidP="00423B43">
      <w:pPr>
        <w:pStyle w:val="Notedebasdepage"/>
        <w:rPr>
          <w:lang w:val="fr-FR"/>
        </w:rPr>
      </w:pPr>
      <w:r w:rsidRPr="00C30712">
        <w:rPr>
          <w:lang w:val="en-US"/>
        </w:rPr>
        <w:tab/>
      </w:r>
      <w:r w:rsidRPr="00423B43">
        <w:rPr>
          <w:rStyle w:val="Appelnotedebasdep"/>
        </w:rPr>
        <w:footnoteRef/>
      </w:r>
      <w:r>
        <w:rPr>
          <w:lang w:val="fr-FR"/>
        </w:rPr>
        <w:tab/>
        <w:t xml:space="preserve">Voir </w:t>
      </w:r>
      <w:hyperlink r:id="rId3" w:history="1">
        <w:r w:rsidRPr="00C30712">
          <w:rPr>
            <w:rStyle w:val="Lienhypertexte"/>
            <w:lang w:val="fr-FR"/>
          </w:rPr>
          <w:t>https://ec.europa.eu/info/strategy/priorities-2019-2024/european-green-deal_fr</w:t>
        </w:r>
      </w:hyperlink>
      <w:r>
        <w:rPr>
          <w:lang w:val="fr-FR"/>
        </w:rPr>
        <w:t>.</w:t>
      </w:r>
    </w:p>
  </w:footnote>
  <w:footnote w:id="5">
    <w:p w14:paraId="023F41ED" w14:textId="59722AE5" w:rsidR="000439D2" w:rsidRPr="001D5B62" w:rsidRDefault="000439D2" w:rsidP="00423B43">
      <w:pPr>
        <w:pStyle w:val="Notedebasdepage"/>
        <w:rPr>
          <w:lang w:val="fr-FR"/>
        </w:rPr>
      </w:pPr>
      <w:r>
        <w:rPr>
          <w:lang w:val="fr-FR"/>
        </w:rPr>
        <w:tab/>
      </w:r>
      <w:r w:rsidRPr="00423B43">
        <w:rPr>
          <w:rStyle w:val="Appelnotedebasdep"/>
        </w:rPr>
        <w:footnoteRef/>
      </w:r>
      <w:r>
        <w:rPr>
          <w:lang w:val="fr-FR"/>
        </w:rPr>
        <w:tab/>
        <w:t xml:space="preserve">Voir </w:t>
      </w:r>
      <w:hyperlink r:id="rId4" w:history="1">
        <w:r w:rsidRPr="00C30712">
          <w:rPr>
            <w:rStyle w:val="Lienhypertexte"/>
            <w:lang w:val="fr-FR"/>
          </w:rPr>
          <w:t>www.ohchr.org/FR/hrbodies/upr/pages/UPRMain.aspx</w:t>
        </w:r>
      </w:hyperlink>
      <w:r>
        <w:rPr>
          <w:lang w:val="fr-FR"/>
        </w:rPr>
        <w:t>.</w:t>
      </w:r>
    </w:p>
  </w:footnote>
  <w:footnote w:id="6">
    <w:p w14:paraId="4FD0DC5E" w14:textId="0BE46996" w:rsidR="000439D2" w:rsidRPr="001D5B62" w:rsidRDefault="000439D2" w:rsidP="00423B43">
      <w:pPr>
        <w:pStyle w:val="Notedebasdepage"/>
        <w:rPr>
          <w:lang w:val="fr-FR"/>
        </w:rPr>
      </w:pPr>
      <w:r>
        <w:rPr>
          <w:lang w:val="fr-FR"/>
        </w:rPr>
        <w:tab/>
      </w:r>
      <w:r w:rsidRPr="00423B43">
        <w:rPr>
          <w:rStyle w:val="Appelnotedebasdep"/>
        </w:rPr>
        <w:footnoteRef/>
      </w:r>
      <w:r>
        <w:rPr>
          <w:lang w:val="fr-FR"/>
        </w:rPr>
        <w:tab/>
        <w:t xml:space="preserve">Voir </w:t>
      </w:r>
      <w:hyperlink r:id="rId5" w:history="1">
        <w:r w:rsidRPr="00C30712">
          <w:rPr>
            <w:rStyle w:val="Lienhypertexte"/>
            <w:lang w:val="fr-FR"/>
          </w:rPr>
          <w:t>www.ohchr.org/FR/HRBodies/SP/Pages/Welcomepage.aspx</w:t>
        </w:r>
      </w:hyperlink>
      <w:r>
        <w:rPr>
          <w:lang w:val="fr-FR"/>
        </w:rPr>
        <w:t>.</w:t>
      </w:r>
    </w:p>
  </w:footnote>
  <w:footnote w:id="7">
    <w:p w14:paraId="1AA2CFA1" w14:textId="71C8D741" w:rsidR="000439D2" w:rsidRPr="001D5B62" w:rsidRDefault="000439D2" w:rsidP="00423B43">
      <w:pPr>
        <w:pStyle w:val="Notedebasdepage"/>
        <w:rPr>
          <w:lang w:val="fr-FR"/>
        </w:rPr>
      </w:pPr>
      <w:r>
        <w:rPr>
          <w:lang w:val="fr-FR"/>
        </w:rPr>
        <w:tab/>
      </w:r>
      <w:r w:rsidRPr="00423B43">
        <w:rPr>
          <w:rStyle w:val="Appelnotedebasdep"/>
        </w:rPr>
        <w:footnoteRef/>
      </w:r>
      <w:r>
        <w:rPr>
          <w:lang w:val="fr-FR"/>
        </w:rPr>
        <w:tab/>
        <w:t xml:space="preserve">Voir </w:t>
      </w:r>
      <w:hyperlink r:id="rId6" w:history="1">
        <w:r w:rsidRPr="00C30712">
          <w:rPr>
            <w:rStyle w:val="Lienhypertexte"/>
            <w:lang w:val="fr-FR"/>
          </w:rPr>
          <w:t>https://publicadministration.un.org/fr/ict4d</w:t>
        </w:r>
      </w:hyperlink>
      <w:r>
        <w:rPr>
          <w:lang w:val="fr-FR"/>
        </w:rPr>
        <w:t xml:space="preserve"> ; </w:t>
      </w:r>
      <w:hyperlink r:id="rId7" w:history="1">
        <w:r w:rsidRPr="00C30712">
          <w:rPr>
            <w:rStyle w:val="Lienhypertexte"/>
            <w:lang w:val="fr-FR"/>
          </w:rPr>
          <w:t>www.oecd.org/fr/gov/gouvernement-ouvert</w:t>
        </w:r>
      </w:hyperlink>
      <w:r>
        <w:rPr>
          <w:lang w:val="fr-FR"/>
        </w:rPr>
        <w:t xml:space="preserve">/ ; </w:t>
      </w:r>
      <w:hyperlink r:id="rId8" w:history="1">
        <w:r w:rsidRPr="00C30712">
          <w:rPr>
            <w:rStyle w:val="Lienhypertexte"/>
            <w:lang w:val="fr-FR"/>
          </w:rPr>
          <w:t>www.oecd.org/gov/digital-government/open-government-data.htm</w:t>
        </w:r>
      </w:hyperlink>
      <w:r>
        <w:rPr>
          <w:lang w:val="fr-FR"/>
        </w:rPr>
        <w:t xml:space="preserve"> ; </w:t>
      </w:r>
      <w:hyperlink r:id="rId9" w:history="1">
        <w:r w:rsidRPr="00C30712">
          <w:rPr>
            <w:rStyle w:val="Lienhypertexte"/>
            <w:lang w:val="fr-FR"/>
          </w:rPr>
          <w:t>https://ec.europa.eu/digital-single-market/en/open-data</w:t>
        </w:r>
      </w:hyperlink>
      <w:r>
        <w:rPr>
          <w:lang w:val="fr-FR"/>
        </w:rPr>
        <w:t>.</w:t>
      </w:r>
    </w:p>
  </w:footnote>
  <w:footnote w:id="8">
    <w:p w14:paraId="730416EC" w14:textId="40F6CB37" w:rsidR="000439D2" w:rsidRPr="001D5B62" w:rsidRDefault="000439D2" w:rsidP="00423B43">
      <w:pPr>
        <w:pStyle w:val="Notedebasdepage"/>
        <w:rPr>
          <w:lang w:val="fr-FR"/>
        </w:rPr>
      </w:pPr>
      <w:r>
        <w:rPr>
          <w:lang w:val="fr-FR"/>
        </w:rPr>
        <w:tab/>
      </w:r>
      <w:r w:rsidRPr="00423B43">
        <w:rPr>
          <w:rStyle w:val="Appelnotedebasdep"/>
        </w:rPr>
        <w:footnoteRef/>
      </w:r>
      <w:r>
        <w:rPr>
          <w:lang w:val="fr-FR"/>
        </w:rPr>
        <w:tab/>
        <w:t xml:space="preserve">Voir </w:t>
      </w:r>
      <w:hyperlink r:id="rId10" w:history="1">
        <w:r w:rsidRPr="00BC52A2">
          <w:rPr>
            <w:rStyle w:val="Lienhypertexte"/>
            <w:lang w:val="fr-FR"/>
          </w:rPr>
          <w:t>www.cbd.int/nbsap/</w:t>
        </w:r>
      </w:hyperlink>
      <w:r>
        <w:rPr>
          <w:lang w:val="fr-FR"/>
        </w:rPr>
        <w:t>.</w:t>
      </w:r>
    </w:p>
  </w:footnote>
  <w:footnote w:id="9">
    <w:p w14:paraId="7EF047DA" w14:textId="77777777" w:rsidR="000439D2" w:rsidRPr="001D5B62" w:rsidRDefault="000439D2" w:rsidP="00423B43">
      <w:pPr>
        <w:pStyle w:val="Notedebasdepage"/>
        <w:rPr>
          <w:lang w:val="fr-FR"/>
        </w:rPr>
      </w:pPr>
      <w:r>
        <w:rPr>
          <w:lang w:val="fr-FR"/>
        </w:rPr>
        <w:tab/>
      </w:r>
      <w:r w:rsidRPr="00423B43">
        <w:rPr>
          <w:rStyle w:val="Appelnotedebasdep"/>
        </w:rPr>
        <w:footnoteRef/>
      </w:r>
      <w:r>
        <w:rPr>
          <w:lang w:val="fr-FR"/>
        </w:rPr>
        <w:tab/>
        <w:t>Sous réserve qu’il soit décidé d’établir un nouveau mécanisme chargé de traiter les affaires relevant du paragraphe 8 de l’article 3.</w:t>
      </w:r>
    </w:p>
  </w:footnote>
  <w:footnote w:id="10">
    <w:p w14:paraId="63017A97" w14:textId="77777777" w:rsidR="000439D2" w:rsidRPr="001D5B62" w:rsidRDefault="000439D2" w:rsidP="00423B43">
      <w:pPr>
        <w:pStyle w:val="Notedebasdepage"/>
        <w:rPr>
          <w:lang w:val="fr-FR"/>
        </w:rPr>
      </w:pPr>
      <w:r>
        <w:rPr>
          <w:lang w:val="fr-FR"/>
        </w:rPr>
        <w:tab/>
      </w:r>
      <w:r w:rsidRPr="00423B43">
        <w:rPr>
          <w:rStyle w:val="Appelnotedebasdep"/>
        </w:rPr>
        <w:footnoteRef/>
      </w:r>
      <w:r>
        <w:rPr>
          <w:lang w:val="fr-FR"/>
        </w:rPr>
        <w:tab/>
        <w:t>Les estimations relatives au mécanisme d’examen du respect des dispositions ont été établies sur la base de l’option 3 (Rapporteur sur les défenseurs de l’environnement) présentée dans le projet de note sur un mécanisme de réaction rapide visant à traiter les cas relevant du paragraphe 8 de l’article 3 de la Convention d’Aarhus (voir ECE/MP.PP/WG.1/2020/13 pour plus d’informations).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68D1" w14:textId="1BA98F97" w:rsidR="000439D2" w:rsidRPr="004C0389" w:rsidRDefault="000439D2">
    <w:pPr>
      <w:pStyle w:val="En-tte"/>
    </w:pPr>
    <w:fldSimple w:instr=" TITLE  \* MERGEFORMAT ">
      <w:r w:rsidR="00AE3BB6">
        <w:t>ECE/MP.PP/WG.1/2020/7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40ED" w14:textId="4F268D84" w:rsidR="000439D2" w:rsidRPr="004C0389" w:rsidRDefault="000439D2" w:rsidP="004C0389">
    <w:pPr>
      <w:pStyle w:val="En-tte"/>
      <w:jc w:val="right"/>
    </w:pPr>
    <w:fldSimple w:instr=" TITLE  \* MERGEFORMAT ">
      <w:r w:rsidR="00AE3BB6">
        <w:t>ECE/MP.PP/WG.1/2020/7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D21A" w14:textId="77777777" w:rsidR="000439D2" w:rsidRPr="006869C0" w:rsidRDefault="000439D2" w:rsidP="006869C0">
    <w:r>
      <w:rPr>
        <w:noProof/>
      </w:rPr>
      <mc:AlternateContent>
        <mc:Choice Requires="wps">
          <w:drawing>
            <wp:anchor distT="0" distB="0" distL="114300" distR="114300" simplePos="0" relativeHeight="251659264" behindDoc="0" locked="0" layoutInCell="1" allowOverlap="1" wp14:anchorId="7F84932A" wp14:editId="1C0E9E15">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9E7DAB6" w14:textId="1B3E1B73" w:rsidR="000439D2" w:rsidRPr="004C0389" w:rsidRDefault="000439D2" w:rsidP="006869C0">
                          <w:pPr>
                            <w:pStyle w:val="En-tte"/>
                          </w:pPr>
                          <w:fldSimple w:instr=" TITLE  \* MERGEFORMAT ">
                            <w:r w:rsidR="00AE3BB6">
                              <w:t>ECE/MP.PP/WG.1/2020/7</w:t>
                            </w:r>
                          </w:fldSimple>
                        </w:p>
                        <w:p w14:paraId="6EBE30D6" w14:textId="77777777" w:rsidR="000439D2" w:rsidRDefault="000439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84932A"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19E7DAB6" w14:textId="1B3E1B73" w:rsidR="000439D2" w:rsidRPr="004C0389" w:rsidRDefault="000439D2" w:rsidP="006869C0">
                    <w:pPr>
                      <w:pStyle w:val="En-tte"/>
                    </w:pPr>
                    <w:fldSimple w:instr=" TITLE  \* MERGEFORMAT ">
                      <w:r w:rsidR="00AE3BB6">
                        <w:t>ECE/MP.PP/WG.1/2020/7</w:t>
                      </w:r>
                    </w:fldSimple>
                  </w:p>
                  <w:p w14:paraId="6EBE30D6" w14:textId="77777777" w:rsidR="000439D2" w:rsidRDefault="000439D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9E78" w14:textId="77777777" w:rsidR="000439D2" w:rsidRPr="006869C0" w:rsidRDefault="000439D2" w:rsidP="006869C0">
    <w:r>
      <w:rPr>
        <w:noProof/>
      </w:rPr>
      <mc:AlternateContent>
        <mc:Choice Requires="wps">
          <w:drawing>
            <wp:anchor distT="0" distB="0" distL="114300" distR="114300" simplePos="0" relativeHeight="251656192" behindDoc="0" locked="0" layoutInCell="1" allowOverlap="1" wp14:anchorId="77D34DCA" wp14:editId="005C272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FCF390" w14:textId="4902F6B5" w:rsidR="000439D2" w:rsidRPr="004C0389" w:rsidRDefault="000439D2" w:rsidP="006869C0">
                          <w:pPr>
                            <w:pStyle w:val="En-tte"/>
                            <w:jc w:val="right"/>
                          </w:pPr>
                          <w:fldSimple w:instr=" TITLE  \* MERGEFORMAT ">
                            <w:r w:rsidR="00AE3BB6">
                              <w:t>ECE/MP.PP/WG.1/2020/7</w:t>
                            </w:r>
                          </w:fldSimple>
                        </w:p>
                        <w:p w14:paraId="0718C3C4" w14:textId="77777777" w:rsidR="000439D2" w:rsidRDefault="000439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D34DCA"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54FCF390" w14:textId="4902F6B5" w:rsidR="000439D2" w:rsidRPr="004C0389" w:rsidRDefault="000439D2" w:rsidP="006869C0">
                    <w:pPr>
                      <w:pStyle w:val="En-tte"/>
                      <w:jc w:val="right"/>
                    </w:pPr>
                    <w:fldSimple w:instr=" TITLE  \* MERGEFORMAT ">
                      <w:r w:rsidR="00AE3BB6">
                        <w:t>ECE/MP.PP/WG.1/2020/7</w:t>
                      </w:r>
                    </w:fldSimple>
                  </w:p>
                  <w:p w14:paraId="0718C3C4" w14:textId="77777777" w:rsidR="000439D2" w:rsidRDefault="000439D2"/>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EF7DD0"/>
    <w:multiLevelType w:val="hybridMultilevel"/>
    <w:tmpl w:val="A148EA30"/>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08309B"/>
    <w:multiLevelType w:val="hybridMultilevel"/>
    <w:tmpl w:val="D01AF22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61644C"/>
    <w:multiLevelType w:val="hybridMultilevel"/>
    <w:tmpl w:val="38907044"/>
    <w:lvl w:ilvl="0" w:tplc="8306ED96">
      <w:start w:val="1"/>
      <w:numFmt w:val="upp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37153"/>
    <w:multiLevelType w:val="hybridMultilevel"/>
    <w:tmpl w:val="683A13B8"/>
    <w:lvl w:ilvl="0" w:tplc="760AE4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6"/>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1"/>
  </w:num>
  <w:num w:numId="16">
    <w:abstractNumId w:val="13"/>
  </w:num>
  <w:num w:numId="17">
    <w:abstractNumId w:val="19"/>
  </w:num>
  <w:num w:numId="18">
    <w:abstractNumId w:val="18"/>
  </w:num>
  <w:num w:numId="19">
    <w:abstractNumId w:val="10"/>
  </w:num>
  <w:num w:numId="20">
    <w:abstractNumId w:val="16"/>
  </w:num>
  <w:num w:numId="21">
    <w:abstractNumId w:val="20"/>
  </w:num>
  <w:num w:numId="22">
    <w:abstractNumId w:val="17"/>
  </w:num>
  <w:num w:numId="23">
    <w:abstractNumId w:val="25"/>
  </w:num>
  <w:num w:numId="24">
    <w:abstractNumId w:val="27"/>
  </w:num>
  <w:num w:numId="25">
    <w:abstractNumId w:val="22"/>
  </w:num>
  <w:num w:numId="26">
    <w:abstractNumId w:val="12"/>
  </w:num>
  <w:num w:numId="27">
    <w:abstractNumId w:val="15"/>
  </w:num>
  <w:num w:numId="28">
    <w:abstractNumId w:val="23"/>
  </w:num>
  <w:num w:numId="29">
    <w:abstractNumId w:val="24"/>
  </w:num>
  <w:num w:numId="30">
    <w:abstractNumId w:val="14"/>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50D7"/>
    <w:rsid w:val="00017F94"/>
    <w:rsid w:val="00023842"/>
    <w:rsid w:val="00031189"/>
    <w:rsid w:val="000334F9"/>
    <w:rsid w:val="000439D2"/>
    <w:rsid w:val="0007796D"/>
    <w:rsid w:val="000B7790"/>
    <w:rsid w:val="000C28AF"/>
    <w:rsid w:val="000D732D"/>
    <w:rsid w:val="000E3795"/>
    <w:rsid w:val="00111F2F"/>
    <w:rsid w:val="0014365E"/>
    <w:rsid w:val="00173211"/>
    <w:rsid w:val="00176178"/>
    <w:rsid w:val="001A4C2E"/>
    <w:rsid w:val="001E2B88"/>
    <w:rsid w:val="001F525A"/>
    <w:rsid w:val="00223272"/>
    <w:rsid w:val="0024779E"/>
    <w:rsid w:val="002832AC"/>
    <w:rsid w:val="00290C44"/>
    <w:rsid w:val="002B40F9"/>
    <w:rsid w:val="002C1595"/>
    <w:rsid w:val="002D029F"/>
    <w:rsid w:val="002D22CF"/>
    <w:rsid w:val="002D7C93"/>
    <w:rsid w:val="002F6AB4"/>
    <w:rsid w:val="00306E2C"/>
    <w:rsid w:val="00345477"/>
    <w:rsid w:val="0037510F"/>
    <w:rsid w:val="00420177"/>
    <w:rsid w:val="00423B43"/>
    <w:rsid w:val="00441C3B"/>
    <w:rsid w:val="00446FE5"/>
    <w:rsid w:val="00452396"/>
    <w:rsid w:val="00457C42"/>
    <w:rsid w:val="00480188"/>
    <w:rsid w:val="004B5468"/>
    <w:rsid w:val="004C0389"/>
    <w:rsid w:val="004C18FE"/>
    <w:rsid w:val="004C5CB3"/>
    <w:rsid w:val="004E468C"/>
    <w:rsid w:val="004E6A92"/>
    <w:rsid w:val="0050281E"/>
    <w:rsid w:val="00522A78"/>
    <w:rsid w:val="005505B7"/>
    <w:rsid w:val="00573BE5"/>
    <w:rsid w:val="00586ED3"/>
    <w:rsid w:val="00596AA9"/>
    <w:rsid w:val="005B7485"/>
    <w:rsid w:val="005D5497"/>
    <w:rsid w:val="005D6D16"/>
    <w:rsid w:val="005F26E5"/>
    <w:rsid w:val="0062069F"/>
    <w:rsid w:val="0066258C"/>
    <w:rsid w:val="006869C0"/>
    <w:rsid w:val="006A4572"/>
    <w:rsid w:val="006C0E3B"/>
    <w:rsid w:val="0071601D"/>
    <w:rsid w:val="007664D7"/>
    <w:rsid w:val="00776DC4"/>
    <w:rsid w:val="007A5FC4"/>
    <w:rsid w:val="007A62E6"/>
    <w:rsid w:val="007F3B7C"/>
    <w:rsid w:val="0080684C"/>
    <w:rsid w:val="0082255A"/>
    <w:rsid w:val="008557F6"/>
    <w:rsid w:val="00856DE9"/>
    <w:rsid w:val="0086540D"/>
    <w:rsid w:val="00871C75"/>
    <w:rsid w:val="008776DC"/>
    <w:rsid w:val="00881CD5"/>
    <w:rsid w:val="00896008"/>
    <w:rsid w:val="008C179D"/>
    <w:rsid w:val="008C673D"/>
    <w:rsid w:val="008C69E8"/>
    <w:rsid w:val="008D6B3F"/>
    <w:rsid w:val="0090540F"/>
    <w:rsid w:val="009325B8"/>
    <w:rsid w:val="00970356"/>
    <w:rsid w:val="009705C8"/>
    <w:rsid w:val="009B4FC0"/>
    <w:rsid w:val="009C1CF4"/>
    <w:rsid w:val="00A14420"/>
    <w:rsid w:val="00A30353"/>
    <w:rsid w:val="00A56B7F"/>
    <w:rsid w:val="00AC03EE"/>
    <w:rsid w:val="00AC3823"/>
    <w:rsid w:val="00AE323C"/>
    <w:rsid w:val="00AE3BB6"/>
    <w:rsid w:val="00B00181"/>
    <w:rsid w:val="00B00B0D"/>
    <w:rsid w:val="00B04B71"/>
    <w:rsid w:val="00B10F0D"/>
    <w:rsid w:val="00B4239D"/>
    <w:rsid w:val="00B54901"/>
    <w:rsid w:val="00B704D9"/>
    <w:rsid w:val="00B765F7"/>
    <w:rsid w:val="00BA0CA9"/>
    <w:rsid w:val="00BA6247"/>
    <w:rsid w:val="00BC52A2"/>
    <w:rsid w:val="00C02897"/>
    <w:rsid w:val="00C24087"/>
    <w:rsid w:val="00C30712"/>
    <w:rsid w:val="00C53881"/>
    <w:rsid w:val="00C554CE"/>
    <w:rsid w:val="00CB304C"/>
    <w:rsid w:val="00CE26D2"/>
    <w:rsid w:val="00D3439C"/>
    <w:rsid w:val="00D503D3"/>
    <w:rsid w:val="00DB17BC"/>
    <w:rsid w:val="00DB1831"/>
    <w:rsid w:val="00DD3BFD"/>
    <w:rsid w:val="00DF5712"/>
    <w:rsid w:val="00DF6678"/>
    <w:rsid w:val="00E2585D"/>
    <w:rsid w:val="00E350D7"/>
    <w:rsid w:val="00E96BD6"/>
    <w:rsid w:val="00EA7F6B"/>
    <w:rsid w:val="00EC0904"/>
    <w:rsid w:val="00EE22F9"/>
    <w:rsid w:val="00EF2E22"/>
    <w:rsid w:val="00F1383B"/>
    <w:rsid w:val="00F660DF"/>
    <w:rsid w:val="00F7354D"/>
    <w:rsid w:val="00F95C08"/>
    <w:rsid w:val="00FE36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5043A"/>
  <w15:docId w15:val="{F1B5D975-D15F-486A-994F-AEFE5BE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E22F9"/>
    <w:rPr>
      <w:color w:val="0000FF"/>
      <w:u w:val="none"/>
    </w:rPr>
  </w:style>
  <w:style w:type="character" w:styleId="Lienhypertextesuivivisit">
    <w:name w:val="FollowedHyperlink"/>
    <w:basedOn w:val="Policepardfaut"/>
    <w:uiPriority w:val="99"/>
    <w:unhideWhenUsed/>
    <w:rsid w:val="00EE22F9"/>
    <w:rPr>
      <w:color w:val="0000FF"/>
      <w:u w:val="none"/>
    </w:rPr>
  </w:style>
  <w:style w:type="paragraph" w:styleId="Notedebasdepage">
    <w:name w:val="footnote text"/>
    <w:aliases w:val="5_G,fn,footnote text,Footnotes,Footnote ak"/>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4420"/>
    <w:rPr>
      <w:rFonts w:ascii="Tahoma" w:hAnsi="Tahoma" w:cs="Tahoma"/>
      <w:sz w:val="16"/>
      <w:szCs w:val="16"/>
      <w:lang w:eastAsia="en-US"/>
    </w:rPr>
  </w:style>
  <w:style w:type="character" w:customStyle="1" w:styleId="SingleTxtGChar">
    <w:name w:val="_ Single Txt_G Char"/>
    <w:link w:val="SingleTxtG"/>
    <w:rsid w:val="004C0389"/>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30712"/>
    <w:rPr>
      <w:color w:val="605E5C"/>
      <w:shd w:val="clear" w:color="auto" w:fill="E1DFDD"/>
    </w:rPr>
  </w:style>
  <w:style w:type="character" w:customStyle="1" w:styleId="H1GChar">
    <w:name w:val="_ H_1_G Char"/>
    <w:link w:val="H1G"/>
    <w:rsid w:val="008C179D"/>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8C179D"/>
    <w:pPr>
      <w:kinsoku/>
      <w:overflowPunct/>
      <w:autoSpaceDE/>
      <w:autoSpaceDN/>
      <w:adjustRightInd/>
      <w:snapToGrid/>
      <w:ind w:left="720"/>
      <w:contextualSpacing/>
    </w:pPr>
    <w:rPr>
      <w:rFonts w:eastAsia="Times New Roman"/>
      <w:lang w:val="en-GB"/>
    </w:rPr>
  </w:style>
  <w:style w:type="paragraph" w:styleId="Textebrut">
    <w:name w:val="Plain Text"/>
    <w:basedOn w:val="Normal"/>
    <w:link w:val="TextebrutCar"/>
    <w:semiHidden/>
    <w:rsid w:val="008C179D"/>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8C179D"/>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8C179D"/>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8C179D"/>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8C179D"/>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8C179D"/>
    <w:rPr>
      <w:rFonts w:ascii="Times New Roman" w:hAnsi="Times New Roman" w:cs="Times New Roman"/>
      <w:sz w:val="20"/>
      <w:szCs w:val="20"/>
      <w:lang w:val="en-GB" w:eastAsia="en-US"/>
    </w:rPr>
  </w:style>
  <w:style w:type="paragraph" w:styleId="Normalcentr">
    <w:name w:val="Block Text"/>
    <w:basedOn w:val="Normal"/>
    <w:semiHidden/>
    <w:rsid w:val="008C179D"/>
    <w:pPr>
      <w:kinsoku/>
      <w:overflowPunct/>
      <w:autoSpaceDE/>
      <w:autoSpaceDN/>
      <w:adjustRightInd/>
      <w:snapToGrid/>
      <w:ind w:left="1440" w:right="1440"/>
    </w:pPr>
    <w:rPr>
      <w:rFonts w:eastAsia="Times New Roman"/>
      <w:lang w:val="en-GB"/>
    </w:rPr>
  </w:style>
  <w:style w:type="character" w:styleId="Marquedecommentaire">
    <w:name w:val="annotation reference"/>
    <w:basedOn w:val="Policepardfaut"/>
    <w:semiHidden/>
    <w:rsid w:val="008C179D"/>
    <w:rPr>
      <w:sz w:val="6"/>
    </w:rPr>
  </w:style>
  <w:style w:type="paragraph" w:styleId="Commentaire">
    <w:name w:val="annotation text"/>
    <w:basedOn w:val="Normal"/>
    <w:link w:val="CommentaireCar"/>
    <w:semiHidden/>
    <w:rsid w:val="008C179D"/>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8C179D"/>
    <w:rPr>
      <w:rFonts w:ascii="Times New Roman" w:hAnsi="Times New Roman" w:cs="Times New Roman"/>
      <w:sz w:val="20"/>
      <w:szCs w:val="20"/>
      <w:lang w:val="en-GB" w:eastAsia="en-US"/>
    </w:rPr>
  </w:style>
  <w:style w:type="character" w:styleId="Numrodeligne">
    <w:name w:val="line number"/>
    <w:basedOn w:val="Policepardfaut"/>
    <w:semiHidden/>
    <w:rsid w:val="008C179D"/>
    <w:rPr>
      <w:sz w:val="14"/>
    </w:rPr>
  </w:style>
  <w:style w:type="numbering" w:styleId="111111">
    <w:name w:val="Outline List 2"/>
    <w:basedOn w:val="Aucuneliste"/>
    <w:semiHidden/>
    <w:rsid w:val="008C179D"/>
    <w:pPr>
      <w:numPr>
        <w:numId w:val="29"/>
      </w:numPr>
    </w:pPr>
  </w:style>
  <w:style w:type="numbering" w:styleId="1ai">
    <w:name w:val="Outline List 1"/>
    <w:basedOn w:val="Aucuneliste"/>
    <w:semiHidden/>
    <w:rsid w:val="008C179D"/>
    <w:pPr>
      <w:numPr>
        <w:numId w:val="30"/>
      </w:numPr>
    </w:pPr>
  </w:style>
  <w:style w:type="numbering" w:styleId="ArticleSection">
    <w:name w:val="Outline List 3"/>
    <w:basedOn w:val="Aucuneliste"/>
    <w:semiHidden/>
    <w:rsid w:val="008C179D"/>
    <w:pPr>
      <w:numPr>
        <w:numId w:val="31"/>
      </w:numPr>
    </w:pPr>
  </w:style>
  <w:style w:type="paragraph" w:styleId="Corpsdetexte2">
    <w:name w:val="Body Text 2"/>
    <w:basedOn w:val="Normal"/>
    <w:link w:val="Corpsdetexte2Car"/>
    <w:semiHidden/>
    <w:rsid w:val="008C179D"/>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8C179D"/>
    <w:rPr>
      <w:rFonts w:ascii="Times New Roman" w:hAnsi="Times New Roman" w:cs="Times New Roman"/>
      <w:sz w:val="20"/>
      <w:szCs w:val="20"/>
      <w:lang w:val="en-GB" w:eastAsia="en-US"/>
    </w:rPr>
  </w:style>
  <w:style w:type="paragraph" w:styleId="Corpsdetexte3">
    <w:name w:val="Body Text 3"/>
    <w:basedOn w:val="Normal"/>
    <w:link w:val="Corpsdetexte3Car"/>
    <w:semiHidden/>
    <w:rsid w:val="008C179D"/>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8C179D"/>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8C179D"/>
    <w:pPr>
      <w:spacing w:after="120"/>
      <w:ind w:firstLine="210"/>
    </w:pPr>
  </w:style>
  <w:style w:type="character" w:customStyle="1" w:styleId="Retrait1religneCar">
    <w:name w:val="Retrait 1re ligne Car"/>
    <w:basedOn w:val="CorpsdetexteCar"/>
    <w:link w:val="Retrait1religne"/>
    <w:semiHidden/>
    <w:rsid w:val="008C179D"/>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8C179D"/>
    <w:pPr>
      <w:ind w:firstLine="210"/>
    </w:pPr>
  </w:style>
  <w:style w:type="character" w:customStyle="1" w:styleId="Retraitcorpset1religCar">
    <w:name w:val="Retrait corps et 1re lig. Car"/>
    <w:basedOn w:val="RetraitcorpsdetexteCar"/>
    <w:link w:val="Retraitcorpset1relig"/>
    <w:semiHidden/>
    <w:rsid w:val="008C179D"/>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8C179D"/>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8C179D"/>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8C179D"/>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8C179D"/>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8C179D"/>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8C179D"/>
    <w:rPr>
      <w:rFonts w:ascii="Times New Roman" w:hAnsi="Times New Roman" w:cs="Times New Roman"/>
      <w:sz w:val="20"/>
      <w:szCs w:val="20"/>
      <w:lang w:val="en-GB" w:eastAsia="en-US"/>
    </w:rPr>
  </w:style>
  <w:style w:type="paragraph" w:styleId="Date">
    <w:name w:val="Date"/>
    <w:basedOn w:val="Normal"/>
    <w:next w:val="Normal"/>
    <w:link w:val="DateCar"/>
    <w:semiHidden/>
    <w:rsid w:val="008C179D"/>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8C179D"/>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8C179D"/>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8C179D"/>
    <w:rPr>
      <w:rFonts w:ascii="Times New Roman" w:hAnsi="Times New Roman" w:cs="Times New Roman"/>
      <w:sz w:val="20"/>
      <w:szCs w:val="20"/>
      <w:lang w:val="en-GB" w:eastAsia="en-US"/>
    </w:rPr>
  </w:style>
  <w:style w:type="character" w:styleId="Accentuation">
    <w:name w:val="Emphasis"/>
    <w:basedOn w:val="Policepardfaut"/>
    <w:qFormat/>
    <w:rsid w:val="008C179D"/>
    <w:rPr>
      <w:i/>
      <w:iCs/>
    </w:rPr>
  </w:style>
  <w:style w:type="paragraph" w:styleId="Adresseexpditeur">
    <w:name w:val="envelope return"/>
    <w:basedOn w:val="Normal"/>
    <w:semiHidden/>
    <w:rsid w:val="008C179D"/>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8C179D"/>
  </w:style>
  <w:style w:type="paragraph" w:styleId="AdresseHTML">
    <w:name w:val="HTML Address"/>
    <w:basedOn w:val="Normal"/>
    <w:link w:val="AdresseHTMLCar"/>
    <w:semiHidden/>
    <w:rsid w:val="008C179D"/>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8C179D"/>
    <w:rPr>
      <w:rFonts w:ascii="Times New Roman" w:hAnsi="Times New Roman" w:cs="Times New Roman"/>
      <w:i/>
      <w:iCs/>
      <w:sz w:val="20"/>
      <w:szCs w:val="20"/>
      <w:lang w:val="en-GB" w:eastAsia="en-US"/>
    </w:rPr>
  </w:style>
  <w:style w:type="character" w:styleId="CitationHTML">
    <w:name w:val="HTML Cite"/>
    <w:basedOn w:val="Policepardfaut"/>
    <w:semiHidden/>
    <w:rsid w:val="008C179D"/>
    <w:rPr>
      <w:i/>
      <w:iCs/>
    </w:rPr>
  </w:style>
  <w:style w:type="character" w:styleId="CodeHTML">
    <w:name w:val="HTML Code"/>
    <w:basedOn w:val="Policepardfaut"/>
    <w:semiHidden/>
    <w:rsid w:val="008C179D"/>
    <w:rPr>
      <w:rFonts w:ascii="Courier New" w:hAnsi="Courier New" w:cs="Courier New"/>
      <w:sz w:val="20"/>
      <w:szCs w:val="20"/>
    </w:rPr>
  </w:style>
  <w:style w:type="character" w:styleId="DfinitionHTML">
    <w:name w:val="HTML Definition"/>
    <w:basedOn w:val="Policepardfaut"/>
    <w:semiHidden/>
    <w:rsid w:val="008C179D"/>
    <w:rPr>
      <w:i/>
      <w:iCs/>
    </w:rPr>
  </w:style>
  <w:style w:type="character" w:styleId="ClavierHTML">
    <w:name w:val="HTML Keyboard"/>
    <w:basedOn w:val="Policepardfaut"/>
    <w:semiHidden/>
    <w:rsid w:val="008C179D"/>
    <w:rPr>
      <w:rFonts w:ascii="Courier New" w:hAnsi="Courier New" w:cs="Courier New"/>
      <w:sz w:val="20"/>
      <w:szCs w:val="20"/>
    </w:rPr>
  </w:style>
  <w:style w:type="paragraph" w:styleId="PrformatHTML">
    <w:name w:val="HTML Preformatted"/>
    <w:basedOn w:val="Normal"/>
    <w:link w:val="PrformatHTMLCar"/>
    <w:semiHidden/>
    <w:rsid w:val="008C179D"/>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8C179D"/>
    <w:rPr>
      <w:rFonts w:ascii="Courier New" w:hAnsi="Courier New" w:cs="Courier New"/>
      <w:sz w:val="20"/>
      <w:szCs w:val="20"/>
      <w:lang w:val="en-GB" w:eastAsia="en-US"/>
    </w:rPr>
  </w:style>
  <w:style w:type="character" w:styleId="ExempleHTML">
    <w:name w:val="HTML Sample"/>
    <w:basedOn w:val="Policepardfaut"/>
    <w:semiHidden/>
    <w:rsid w:val="008C179D"/>
    <w:rPr>
      <w:rFonts w:ascii="Courier New" w:hAnsi="Courier New" w:cs="Courier New"/>
    </w:rPr>
  </w:style>
  <w:style w:type="character" w:styleId="MachinecrireHTML">
    <w:name w:val="HTML Typewriter"/>
    <w:basedOn w:val="Policepardfaut"/>
    <w:semiHidden/>
    <w:rsid w:val="008C179D"/>
    <w:rPr>
      <w:rFonts w:ascii="Courier New" w:hAnsi="Courier New" w:cs="Courier New"/>
      <w:sz w:val="20"/>
      <w:szCs w:val="20"/>
    </w:rPr>
  </w:style>
  <w:style w:type="character" w:styleId="VariableHTML">
    <w:name w:val="HTML Variable"/>
    <w:basedOn w:val="Policepardfaut"/>
    <w:semiHidden/>
    <w:rsid w:val="008C179D"/>
    <w:rPr>
      <w:i/>
      <w:iCs/>
    </w:rPr>
  </w:style>
  <w:style w:type="paragraph" w:styleId="Liste">
    <w:name w:val="List"/>
    <w:basedOn w:val="Normal"/>
    <w:semiHidden/>
    <w:rsid w:val="008C179D"/>
    <w:pPr>
      <w:kinsoku/>
      <w:overflowPunct/>
      <w:autoSpaceDE/>
      <w:autoSpaceDN/>
      <w:adjustRightInd/>
      <w:snapToGrid/>
      <w:ind w:left="283" w:hanging="283"/>
    </w:pPr>
    <w:rPr>
      <w:rFonts w:eastAsia="Times New Roman"/>
      <w:lang w:val="en-GB"/>
    </w:rPr>
  </w:style>
  <w:style w:type="paragraph" w:styleId="Liste2">
    <w:name w:val="List 2"/>
    <w:basedOn w:val="Normal"/>
    <w:semiHidden/>
    <w:rsid w:val="008C179D"/>
    <w:pPr>
      <w:kinsoku/>
      <w:overflowPunct/>
      <w:autoSpaceDE/>
      <w:autoSpaceDN/>
      <w:adjustRightInd/>
      <w:snapToGrid/>
      <w:ind w:left="566" w:hanging="283"/>
    </w:pPr>
    <w:rPr>
      <w:rFonts w:eastAsia="Times New Roman"/>
      <w:lang w:val="en-GB"/>
    </w:rPr>
  </w:style>
  <w:style w:type="paragraph" w:styleId="Liste3">
    <w:name w:val="List 3"/>
    <w:basedOn w:val="Normal"/>
    <w:semiHidden/>
    <w:rsid w:val="008C179D"/>
    <w:pPr>
      <w:kinsoku/>
      <w:overflowPunct/>
      <w:autoSpaceDE/>
      <w:autoSpaceDN/>
      <w:adjustRightInd/>
      <w:snapToGrid/>
      <w:ind w:left="849" w:hanging="283"/>
    </w:pPr>
    <w:rPr>
      <w:rFonts w:eastAsia="Times New Roman"/>
      <w:lang w:val="en-GB"/>
    </w:rPr>
  </w:style>
  <w:style w:type="paragraph" w:styleId="Liste4">
    <w:name w:val="List 4"/>
    <w:basedOn w:val="Normal"/>
    <w:semiHidden/>
    <w:rsid w:val="008C179D"/>
    <w:pPr>
      <w:kinsoku/>
      <w:overflowPunct/>
      <w:autoSpaceDE/>
      <w:autoSpaceDN/>
      <w:adjustRightInd/>
      <w:snapToGrid/>
      <w:ind w:left="1132" w:hanging="283"/>
    </w:pPr>
    <w:rPr>
      <w:rFonts w:eastAsia="Times New Roman"/>
      <w:lang w:val="en-GB"/>
    </w:rPr>
  </w:style>
  <w:style w:type="paragraph" w:styleId="Liste5">
    <w:name w:val="List 5"/>
    <w:basedOn w:val="Normal"/>
    <w:semiHidden/>
    <w:rsid w:val="008C179D"/>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8C179D"/>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8C179D"/>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8C179D"/>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8C179D"/>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8C179D"/>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8C179D"/>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8C179D"/>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8C179D"/>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8C179D"/>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8C179D"/>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8C179D"/>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8C179D"/>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8C179D"/>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8C179D"/>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8C179D"/>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8C179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8C179D"/>
    <w:rPr>
      <w:rFonts w:ascii="Arial" w:hAnsi="Arial" w:cs="Arial"/>
      <w:sz w:val="24"/>
      <w:szCs w:val="24"/>
      <w:shd w:val="pct20" w:color="auto" w:fill="auto"/>
      <w:lang w:val="en-GB" w:eastAsia="en-US"/>
    </w:rPr>
  </w:style>
  <w:style w:type="paragraph" w:styleId="NormalWeb">
    <w:name w:val="Normal (Web)"/>
    <w:basedOn w:val="Normal"/>
    <w:semiHidden/>
    <w:rsid w:val="008C179D"/>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8C179D"/>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8C179D"/>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8C179D"/>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8C179D"/>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8C179D"/>
    <w:rPr>
      <w:rFonts w:ascii="Times New Roman" w:hAnsi="Times New Roman" w:cs="Times New Roman"/>
      <w:sz w:val="20"/>
      <w:szCs w:val="20"/>
      <w:lang w:val="en-GB" w:eastAsia="en-US"/>
    </w:rPr>
  </w:style>
  <w:style w:type="paragraph" w:styleId="Signature">
    <w:name w:val="Signature"/>
    <w:basedOn w:val="Normal"/>
    <w:link w:val="SignatureCar"/>
    <w:semiHidden/>
    <w:rsid w:val="008C179D"/>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8C179D"/>
    <w:rPr>
      <w:rFonts w:ascii="Times New Roman" w:hAnsi="Times New Roman" w:cs="Times New Roman"/>
      <w:sz w:val="20"/>
      <w:szCs w:val="20"/>
      <w:lang w:val="en-GB" w:eastAsia="en-US"/>
    </w:rPr>
  </w:style>
  <w:style w:type="character" w:styleId="lev">
    <w:name w:val="Strong"/>
    <w:basedOn w:val="Policepardfaut"/>
    <w:qFormat/>
    <w:rsid w:val="008C179D"/>
    <w:rPr>
      <w:b/>
      <w:bCs/>
    </w:rPr>
  </w:style>
  <w:style w:type="paragraph" w:styleId="Sous-titre">
    <w:name w:val="Subtitle"/>
    <w:basedOn w:val="Normal"/>
    <w:link w:val="Sous-titreCar"/>
    <w:qFormat/>
    <w:rsid w:val="008C179D"/>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8C179D"/>
    <w:rPr>
      <w:rFonts w:ascii="Arial" w:hAnsi="Arial" w:cs="Arial"/>
      <w:sz w:val="24"/>
      <w:szCs w:val="24"/>
      <w:lang w:val="en-GB" w:eastAsia="en-US"/>
    </w:rPr>
  </w:style>
  <w:style w:type="table" w:styleId="Effetsdetableau3D1">
    <w:name w:val="Table 3D effects 1"/>
    <w:basedOn w:val="TableauNormal"/>
    <w:semiHidden/>
    <w:rsid w:val="008C179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C179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C179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C179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C179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C179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C179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C179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C179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C179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C179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C179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C179D"/>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8C179D"/>
    <w:rPr>
      <w:rFonts w:ascii="Arial" w:hAnsi="Arial" w:cs="Arial"/>
      <w:b/>
      <w:bCs/>
      <w:kern w:val="28"/>
      <w:sz w:val="32"/>
      <w:szCs w:val="32"/>
      <w:lang w:val="en-GB" w:eastAsia="en-US"/>
    </w:rPr>
  </w:style>
  <w:style w:type="paragraph" w:styleId="Adressedestinataire">
    <w:name w:val="envelope address"/>
    <w:basedOn w:val="Normal"/>
    <w:semiHidden/>
    <w:rsid w:val="008C179D"/>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font5">
    <w:name w:val="font5"/>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color w:val="000000"/>
      <w:sz w:val="18"/>
      <w:szCs w:val="18"/>
      <w:lang w:val="en-GB" w:eastAsia="en-GB"/>
    </w:rPr>
  </w:style>
  <w:style w:type="paragraph" w:customStyle="1" w:styleId="font6">
    <w:name w:val="font6"/>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color w:val="000000"/>
      <w:lang w:val="en-GB" w:eastAsia="en-GB"/>
    </w:rPr>
  </w:style>
  <w:style w:type="paragraph" w:customStyle="1" w:styleId="font7">
    <w:name w:val="font7"/>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i/>
      <w:iCs/>
      <w:color w:val="000000"/>
      <w:sz w:val="16"/>
      <w:szCs w:val="16"/>
      <w:lang w:val="en-GB" w:eastAsia="en-GB"/>
    </w:rPr>
  </w:style>
  <w:style w:type="paragraph" w:customStyle="1" w:styleId="font8">
    <w:name w:val="font8"/>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i/>
      <w:iCs/>
      <w:color w:val="000000"/>
      <w:sz w:val="18"/>
      <w:szCs w:val="18"/>
      <w:lang w:val="en-GB" w:eastAsia="en-GB"/>
    </w:rPr>
  </w:style>
  <w:style w:type="paragraph" w:customStyle="1" w:styleId="font9">
    <w:name w:val="font9"/>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color w:val="000000"/>
      <w:sz w:val="18"/>
      <w:szCs w:val="18"/>
      <w:lang w:val="en-GB" w:eastAsia="en-GB"/>
    </w:rPr>
  </w:style>
  <w:style w:type="paragraph" w:customStyle="1" w:styleId="font10">
    <w:name w:val="font10"/>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color w:val="000000"/>
      <w:sz w:val="18"/>
      <w:szCs w:val="18"/>
      <w:lang w:val="en-GB" w:eastAsia="en-GB"/>
    </w:rPr>
  </w:style>
  <w:style w:type="paragraph" w:customStyle="1" w:styleId="font11">
    <w:name w:val="font11"/>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sz w:val="18"/>
      <w:szCs w:val="18"/>
      <w:lang w:val="en-GB" w:eastAsia="en-GB"/>
    </w:rPr>
  </w:style>
  <w:style w:type="paragraph" w:customStyle="1" w:styleId="font12">
    <w:name w:val="font12"/>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i/>
      <w:iCs/>
      <w:sz w:val="18"/>
      <w:szCs w:val="18"/>
      <w:lang w:val="en-GB" w:eastAsia="en-GB"/>
    </w:rPr>
  </w:style>
  <w:style w:type="paragraph" w:customStyle="1" w:styleId="xl65">
    <w:name w:val="xl65"/>
    <w:basedOn w:val="Normal"/>
    <w:rsid w:val="008C179D"/>
    <w:pPr>
      <w:suppressAutoHyphens w:val="0"/>
      <w:kinsoku/>
      <w:overflowPunct/>
      <w:autoSpaceDE/>
      <w:autoSpaceDN/>
      <w:adjustRightInd/>
      <w:snapToGrid/>
      <w:spacing w:before="100" w:beforeAutospacing="1" w:after="100" w:afterAutospacing="1" w:line="240" w:lineRule="auto"/>
      <w:jc w:val="right"/>
    </w:pPr>
    <w:rPr>
      <w:rFonts w:eastAsia="Times New Roman"/>
      <w:sz w:val="24"/>
      <w:szCs w:val="24"/>
      <w:lang w:val="en-GB" w:eastAsia="en-GB"/>
    </w:rPr>
  </w:style>
  <w:style w:type="paragraph" w:customStyle="1" w:styleId="xl66">
    <w:name w:val="xl66"/>
    <w:basedOn w:val="Normal"/>
    <w:rsid w:val="008C179D"/>
    <w:pP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67">
    <w:name w:val="xl67"/>
    <w:basedOn w:val="Normal"/>
    <w:rsid w:val="008C179D"/>
    <w:pP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68">
    <w:name w:val="xl68"/>
    <w:basedOn w:val="Normal"/>
    <w:rsid w:val="008C179D"/>
    <w:pP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sz w:val="18"/>
      <w:szCs w:val="18"/>
      <w:lang w:val="en-GB" w:eastAsia="en-GB"/>
    </w:rPr>
  </w:style>
  <w:style w:type="paragraph" w:customStyle="1" w:styleId="xl69">
    <w:name w:val="xl69"/>
    <w:basedOn w:val="Normal"/>
    <w:rsid w:val="008C179D"/>
    <w:pPr>
      <w:suppressAutoHyphens w:val="0"/>
      <w:kinsoku/>
      <w:overflowPunct/>
      <w:autoSpaceDE/>
      <w:autoSpaceDN/>
      <w:adjustRightInd/>
      <w:snapToGrid/>
      <w:spacing w:before="100" w:beforeAutospacing="1" w:after="100" w:afterAutospacing="1" w:line="240" w:lineRule="auto"/>
      <w:textAlignment w:val="center"/>
    </w:pPr>
    <w:rPr>
      <w:rFonts w:eastAsia="Times New Roman"/>
      <w:i/>
      <w:iCs/>
      <w:sz w:val="18"/>
      <w:szCs w:val="18"/>
      <w:lang w:val="en-GB" w:eastAsia="en-GB"/>
    </w:rPr>
  </w:style>
  <w:style w:type="paragraph" w:customStyle="1" w:styleId="xl70">
    <w:name w:val="xl70"/>
    <w:basedOn w:val="Normal"/>
    <w:rsid w:val="008C179D"/>
    <w:pP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i/>
      <w:iCs/>
      <w:sz w:val="18"/>
      <w:szCs w:val="18"/>
      <w:lang w:val="en-GB" w:eastAsia="en-GB"/>
    </w:rPr>
  </w:style>
  <w:style w:type="paragraph" w:customStyle="1" w:styleId="xl71">
    <w:name w:val="xl71"/>
    <w:basedOn w:val="Normal"/>
    <w:rsid w:val="008C179D"/>
    <w:pP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b/>
      <w:bCs/>
      <w:sz w:val="18"/>
      <w:szCs w:val="18"/>
      <w:lang w:val="en-GB" w:eastAsia="en-GB"/>
    </w:rPr>
  </w:style>
  <w:style w:type="paragraph" w:customStyle="1" w:styleId="xl72">
    <w:name w:val="xl72"/>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lang w:val="en-GB" w:eastAsia="en-GB"/>
    </w:rPr>
  </w:style>
  <w:style w:type="paragraph" w:customStyle="1" w:styleId="xl73">
    <w:name w:val="xl73"/>
    <w:basedOn w:val="Normal"/>
    <w:rsid w:val="008C179D"/>
    <w:pP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i/>
      <w:iCs/>
      <w:sz w:val="18"/>
      <w:szCs w:val="18"/>
      <w:lang w:val="en-GB" w:eastAsia="en-GB"/>
    </w:rPr>
  </w:style>
  <w:style w:type="paragraph" w:customStyle="1" w:styleId="xl74">
    <w:name w:val="xl74"/>
    <w:basedOn w:val="Normal"/>
    <w:rsid w:val="008C179D"/>
    <w:pPr>
      <w:suppressAutoHyphens w:val="0"/>
      <w:kinsoku/>
      <w:overflowPunct/>
      <w:autoSpaceDE/>
      <w:autoSpaceDN/>
      <w:adjustRightInd/>
      <w:snapToGrid/>
      <w:spacing w:before="100" w:beforeAutospacing="1" w:after="100" w:afterAutospacing="1" w:line="240" w:lineRule="auto"/>
      <w:textAlignment w:val="center"/>
    </w:pPr>
    <w:rPr>
      <w:rFonts w:eastAsia="Times New Roman"/>
      <w:i/>
      <w:iCs/>
      <w:sz w:val="18"/>
      <w:szCs w:val="18"/>
      <w:lang w:val="en-GB" w:eastAsia="en-GB"/>
    </w:rPr>
  </w:style>
  <w:style w:type="paragraph" w:customStyle="1" w:styleId="xl75">
    <w:name w:val="xl75"/>
    <w:basedOn w:val="Normal"/>
    <w:rsid w:val="008C179D"/>
    <w:pP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b/>
      <w:bCs/>
      <w:sz w:val="18"/>
      <w:szCs w:val="18"/>
      <w:lang w:val="en-GB" w:eastAsia="en-GB"/>
    </w:rPr>
  </w:style>
  <w:style w:type="paragraph" w:customStyle="1" w:styleId="xl77">
    <w:name w:val="xl77"/>
    <w:basedOn w:val="Normal"/>
    <w:rsid w:val="008C179D"/>
    <w:pPr>
      <w:suppressAutoHyphens w:val="0"/>
      <w:kinsoku/>
      <w:overflowPunct/>
      <w:autoSpaceDE/>
      <w:autoSpaceDN/>
      <w:adjustRightInd/>
      <w:snapToGrid/>
      <w:spacing w:before="100" w:beforeAutospacing="1" w:after="100" w:afterAutospacing="1" w:line="240" w:lineRule="auto"/>
      <w:jc w:val="right"/>
    </w:pPr>
    <w:rPr>
      <w:rFonts w:eastAsia="Times New Roman"/>
      <w:sz w:val="24"/>
      <w:szCs w:val="24"/>
      <w:lang w:val="en-GB" w:eastAsia="en-GB"/>
    </w:rPr>
  </w:style>
  <w:style w:type="paragraph" w:customStyle="1" w:styleId="xl78">
    <w:name w:val="xl78"/>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lang w:val="en-GB" w:eastAsia="en-GB"/>
    </w:rPr>
  </w:style>
  <w:style w:type="paragraph" w:customStyle="1" w:styleId="xl79">
    <w:name w:val="xl79"/>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18"/>
      <w:szCs w:val="18"/>
      <w:lang w:val="en-GB" w:eastAsia="en-GB"/>
    </w:rPr>
  </w:style>
  <w:style w:type="paragraph" w:customStyle="1" w:styleId="xl80">
    <w:name w:val="xl80"/>
    <w:basedOn w:val="Normal"/>
    <w:rsid w:val="008C179D"/>
    <w:pPr>
      <w:pBdr>
        <w:top w:val="single" w:sz="8"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16"/>
      <w:szCs w:val="16"/>
      <w:lang w:val="en-GB" w:eastAsia="en-GB"/>
    </w:rPr>
  </w:style>
  <w:style w:type="paragraph" w:customStyle="1" w:styleId="xl81">
    <w:name w:val="xl81"/>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18"/>
      <w:szCs w:val="18"/>
      <w:lang w:val="en-GB" w:eastAsia="en-GB"/>
    </w:rPr>
  </w:style>
  <w:style w:type="paragraph" w:customStyle="1" w:styleId="xl82">
    <w:name w:val="xl82"/>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en-GB" w:eastAsia="en-GB"/>
    </w:rPr>
  </w:style>
  <w:style w:type="paragraph" w:customStyle="1" w:styleId="xl83">
    <w:name w:val="xl83"/>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18"/>
      <w:szCs w:val="18"/>
      <w:lang w:val="en-GB" w:eastAsia="en-GB"/>
    </w:rPr>
  </w:style>
  <w:style w:type="paragraph" w:customStyle="1" w:styleId="xl84">
    <w:name w:val="xl84"/>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18"/>
      <w:szCs w:val="18"/>
      <w:lang w:val="en-GB" w:eastAsia="en-GB"/>
    </w:rPr>
  </w:style>
  <w:style w:type="paragraph" w:customStyle="1" w:styleId="xl85">
    <w:name w:val="xl85"/>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6"/>
      <w:szCs w:val="6"/>
      <w:lang w:val="en-GB" w:eastAsia="en-GB"/>
    </w:rPr>
  </w:style>
  <w:style w:type="paragraph" w:customStyle="1" w:styleId="xl86">
    <w:name w:val="xl86"/>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16"/>
      <w:szCs w:val="16"/>
      <w:lang w:val="en-GB" w:eastAsia="en-GB"/>
    </w:rPr>
  </w:style>
  <w:style w:type="paragraph" w:customStyle="1" w:styleId="xl87">
    <w:name w:val="xl87"/>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16"/>
      <w:szCs w:val="16"/>
      <w:lang w:val="en-GB" w:eastAsia="en-GB"/>
    </w:rPr>
  </w:style>
  <w:style w:type="paragraph" w:customStyle="1" w:styleId="xl88">
    <w:name w:val="xl88"/>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89">
    <w:name w:val="xl89"/>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90">
    <w:name w:val="xl90"/>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91">
    <w:name w:val="xl91"/>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b/>
      <w:bCs/>
      <w:sz w:val="18"/>
      <w:szCs w:val="18"/>
      <w:lang w:val="en-GB" w:eastAsia="en-GB"/>
    </w:rPr>
  </w:style>
  <w:style w:type="paragraph" w:customStyle="1" w:styleId="xl92">
    <w:name w:val="xl92"/>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b/>
      <w:bCs/>
      <w:sz w:val="18"/>
      <w:szCs w:val="18"/>
      <w:lang w:val="en-GB" w:eastAsia="en-GB"/>
    </w:rPr>
  </w:style>
  <w:style w:type="paragraph" w:customStyle="1" w:styleId="xl93">
    <w:name w:val="xl93"/>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lang w:val="en-GB" w:eastAsia="en-GB"/>
    </w:rPr>
  </w:style>
  <w:style w:type="paragraph" w:customStyle="1" w:styleId="xl94">
    <w:name w:val="xl94"/>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b/>
      <w:bCs/>
      <w:sz w:val="18"/>
      <w:szCs w:val="18"/>
      <w:lang w:val="en-GB" w:eastAsia="en-GB"/>
    </w:rPr>
  </w:style>
  <w:style w:type="paragraph" w:customStyle="1" w:styleId="xl95">
    <w:name w:val="xl95"/>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color w:val="000000"/>
      <w:sz w:val="18"/>
      <w:szCs w:val="18"/>
      <w:lang w:val="en-GB" w:eastAsia="en-GB"/>
    </w:rPr>
  </w:style>
  <w:style w:type="paragraph" w:customStyle="1" w:styleId="xl96">
    <w:name w:val="xl96"/>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b/>
      <w:bCs/>
      <w:sz w:val="18"/>
      <w:szCs w:val="18"/>
      <w:lang w:val="en-GB" w:eastAsia="en-GB"/>
    </w:rPr>
  </w:style>
  <w:style w:type="paragraph" w:customStyle="1" w:styleId="xl97">
    <w:name w:val="xl97"/>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i/>
      <w:iCs/>
      <w:sz w:val="18"/>
      <w:szCs w:val="18"/>
      <w:lang w:val="en-GB" w:eastAsia="en-GB"/>
    </w:rPr>
  </w:style>
  <w:style w:type="paragraph" w:customStyle="1" w:styleId="xl98">
    <w:name w:val="xl98"/>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i/>
      <w:iCs/>
      <w:sz w:val="18"/>
      <w:szCs w:val="18"/>
      <w:lang w:val="en-GB" w:eastAsia="en-GB"/>
    </w:rPr>
  </w:style>
  <w:style w:type="paragraph" w:customStyle="1" w:styleId="xl99">
    <w:name w:val="xl99"/>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b/>
      <w:bCs/>
      <w:sz w:val="18"/>
      <w:szCs w:val="18"/>
      <w:lang w:val="en-GB" w:eastAsia="en-GB"/>
    </w:rPr>
  </w:style>
  <w:style w:type="paragraph" w:customStyle="1" w:styleId="xl100">
    <w:name w:val="xl100"/>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right"/>
      <w:textAlignment w:val="top"/>
    </w:pPr>
    <w:rPr>
      <w:rFonts w:eastAsia="Times New Roman"/>
      <w:b/>
      <w:bCs/>
      <w:sz w:val="18"/>
      <w:szCs w:val="18"/>
      <w:lang w:val="en-GB" w:eastAsia="en-GB"/>
    </w:rPr>
  </w:style>
  <w:style w:type="paragraph" w:customStyle="1" w:styleId="xl101">
    <w:name w:val="xl101"/>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sz w:val="18"/>
      <w:szCs w:val="18"/>
      <w:lang w:val="en-GB" w:eastAsia="en-GB"/>
    </w:rPr>
  </w:style>
  <w:style w:type="paragraph" w:customStyle="1" w:styleId="xl102">
    <w:name w:val="xl102"/>
    <w:basedOn w:val="Normal"/>
    <w:rsid w:val="008C179D"/>
    <w:pPr>
      <w:pBdr>
        <w:top w:val="single" w:sz="4" w:space="0" w:color="auto"/>
        <w:bottom w:val="single" w:sz="4" w:space="0" w:color="auto"/>
      </w:pBdr>
      <w:suppressAutoHyphens w:val="0"/>
      <w:kinsoku/>
      <w:overflowPunct/>
      <w:autoSpaceDE/>
      <w:autoSpaceDN/>
      <w:adjustRightInd/>
      <w:snapToGrid/>
      <w:spacing w:before="100" w:beforeAutospacing="1" w:after="100" w:afterAutospacing="1" w:line="240" w:lineRule="auto"/>
      <w:jc w:val="right"/>
      <w:textAlignment w:val="center"/>
    </w:pPr>
    <w:rPr>
      <w:rFonts w:eastAsia="Times New Roman"/>
      <w:b/>
      <w:bCs/>
      <w:color w:val="000000"/>
      <w:sz w:val="18"/>
      <w:szCs w:val="18"/>
      <w:lang w:val="en-GB" w:eastAsia="en-GB"/>
    </w:rPr>
  </w:style>
  <w:style w:type="paragraph" w:customStyle="1" w:styleId="xl103">
    <w:name w:val="xl103"/>
    <w:basedOn w:val="Normal"/>
    <w:rsid w:val="008C179D"/>
    <w:pPr>
      <w:pBdr>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104">
    <w:name w:val="xl104"/>
    <w:basedOn w:val="Normal"/>
    <w:rsid w:val="008C179D"/>
    <w:pPr>
      <w:pBdr>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105">
    <w:name w:val="xl105"/>
    <w:basedOn w:val="Normal"/>
    <w:rsid w:val="008C179D"/>
    <w:pPr>
      <w:suppressAutoHyphens w:val="0"/>
      <w:kinsoku/>
      <w:overflowPunct/>
      <w:autoSpaceDE/>
      <w:autoSpaceDN/>
      <w:adjustRightInd/>
      <w:snapToGrid/>
      <w:spacing w:before="100" w:beforeAutospacing="1" w:after="100" w:afterAutospacing="1" w:line="240" w:lineRule="auto"/>
      <w:jc w:val="right"/>
      <w:textAlignment w:val="top"/>
    </w:pPr>
    <w:rPr>
      <w:rFonts w:eastAsia="Times New Roman"/>
      <w:sz w:val="18"/>
      <w:szCs w:val="18"/>
      <w:lang w:val="en-GB" w:eastAsia="en-GB"/>
    </w:rPr>
  </w:style>
  <w:style w:type="paragraph" w:customStyle="1" w:styleId="xl106">
    <w:name w:val="xl106"/>
    <w:basedOn w:val="Normal"/>
    <w:rsid w:val="008C179D"/>
    <w:pPr>
      <w:suppressAutoHyphens w:val="0"/>
      <w:kinsoku/>
      <w:overflowPunct/>
      <w:autoSpaceDE/>
      <w:autoSpaceDN/>
      <w:adjustRightInd/>
      <w:snapToGrid/>
      <w:spacing w:before="100" w:beforeAutospacing="1" w:after="100" w:afterAutospacing="1" w:line="240" w:lineRule="auto"/>
      <w:jc w:val="right"/>
      <w:textAlignment w:val="top"/>
    </w:pPr>
    <w:rPr>
      <w:rFonts w:eastAsia="Times New Roman"/>
      <w:i/>
      <w:iCs/>
      <w:sz w:val="18"/>
      <w:szCs w:val="18"/>
      <w:lang w:val="en-GB" w:eastAsia="en-GB"/>
    </w:rPr>
  </w:style>
  <w:style w:type="paragraph" w:customStyle="1" w:styleId="xl107">
    <w:name w:val="xl107"/>
    <w:basedOn w:val="Normal"/>
    <w:rsid w:val="008C179D"/>
    <w:pPr>
      <w:suppressAutoHyphens w:val="0"/>
      <w:kinsoku/>
      <w:overflowPunct/>
      <w:autoSpaceDE/>
      <w:autoSpaceDN/>
      <w:adjustRightInd/>
      <w:snapToGrid/>
      <w:spacing w:before="100" w:beforeAutospacing="1" w:after="100" w:afterAutospacing="1" w:line="240" w:lineRule="auto"/>
      <w:jc w:val="right"/>
      <w:textAlignment w:val="top"/>
    </w:pPr>
    <w:rPr>
      <w:rFonts w:eastAsia="Times New Roman"/>
      <w:sz w:val="18"/>
      <w:szCs w:val="18"/>
      <w:lang w:val="en-GB" w:eastAsia="en-GB"/>
    </w:rPr>
  </w:style>
  <w:style w:type="paragraph" w:customStyle="1" w:styleId="xl108">
    <w:name w:val="xl108"/>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18"/>
      <w:szCs w:val="18"/>
      <w:lang w:val="en-GB" w:eastAsia="en-GB"/>
    </w:rPr>
  </w:style>
  <w:style w:type="paragraph" w:customStyle="1" w:styleId="xl109">
    <w:name w:val="xl109"/>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18"/>
      <w:szCs w:val="18"/>
      <w:lang w:val="en-GB" w:eastAsia="en-GB"/>
    </w:rPr>
  </w:style>
  <w:style w:type="paragraph" w:customStyle="1" w:styleId="xl110">
    <w:name w:val="xl110"/>
    <w:basedOn w:val="Normal"/>
    <w:rsid w:val="008C179D"/>
    <w:pPr>
      <w:suppressAutoHyphens w:val="0"/>
      <w:kinsoku/>
      <w:overflowPunct/>
      <w:autoSpaceDE/>
      <w:autoSpaceDN/>
      <w:adjustRightInd/>
      <w:snapToGrid/>
      <w:spacing w:before="100" w:beforeAutospacing="1" w:after="100" w:afterAutospacing="1" w:line="240" w:lineRule="auto"/>
      <w:jc w:val="right"/>
      <w:textAlignment w:val="top"/>
    </w:pPr>
    <w:rPr>
      <w:rFonts w:eastAsia="Times New Roman"/>
      <w:i/>
      <w:iCs/>
      <w:sz w:val="18"/>
      <w:szCs w:val="18"/>
      <w:lang w:val="en-GB" w:eastAsia="en-GB"/>
    </w:rPr>
  </w:style>
  <w:style w:type="paragraph" w:customStyle="1" w:styleId="xl111">
    <w:name w:val="xl111"/>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18"/>
      <w:szCs w:val="18"/>
      <w:lang w:val="en-GB" w:eastAsia="en-GB"/>
    </w:rPr>
  </w:style>
  <w:style w:type="paragraph" w:customStyle="1" w:styleId="xl112">
    <w:name w:val="xl112"/>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18"/>
      <w:szCs w:val="18"/>
      <w:lang w:val="en-GB" w:eastAsia="en-GB"/>
    </w:rPr>
  </w:style>
  <w:style w:type="paragraph" w:customStyle="1" w:styleId="xl113">
    <w:name w:val="xl113"/>
    <w:basedOn w:val="Normal"/>
    <w:rsid w:val="008C179D"/>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en-GB" w:eastAsia="en-GB"/>
    </w:rPr>
  </w:style>
  <w:style w:type="paragraph" w:customStyle="1" w:styleId="xl114">
    <w:name w:val="xl114"/>
    <w:basedOn w:val="Normal"/>
    <w:rsid w:val="008C179D"/>
    <w:pPr>
      <w:suppressAutoHyphens w:val="0"/>
      <w:kinsoku/>
      <w:overflowPunct/>
      <w:autoSpaceDE/>
      <w:autoSpaceDN/>
      <w:adjustRightInd/>
      <w:snapToGrid/>
      <w:spacing w:before="100" w:beforeAutospacing="1" w:after="100" w:afterAutospacing="1" w:line="240" w:lineRule="auto"/>
      <w:jc w:val="right"/>
      <w:textAlignment w:val="top"/>
    </w:pPr>
    <w:rPr>
      <w:rFonts w:eastAsia="Times New Roman"/>
      <w:sz w:val="24"/>
      <w:szCs w:val="24"/>
      <w:lang w:val="en-GB" w:eastAsia="en-GB"/>
    </w:rPr>
  </w:style>
  <w:style w:type="paragraph" w:customStyle="1" w:styleId="xl115">
    <w:name w:val="xl115"/>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i/>
      <w:iCs/>
      <w:sz w:val="18"/>
      <w:szCs w:val="18"/>
      <w:lang w:val="en-GB" w:eastAsia="en-GB"/>
    </w:rPr>
  </w:style>
  <w:style w:type="paragraph" w:customStyle="1" w:styleId="xl116">
    <w:name w:val="xl116"/>
    <w:basedOn w:val="Normal"/>
    <w:rsid w:val="008C179D"/>
    <w:pPr>
      <w:suppressAutoHyphens w:val="0"/>
      <w:kinsoku/>
      <w:overflowPunct/>
      <w:autoSpaceDE/>
      <w:autoSpaceDN/>
      <w:adjustRightInd/>
      <w:snapToGrid/>
      <w:spacing w:before="100" w:beforeAutospacing="1" w:after="100" w:afterAutospacing="1" w:line="240" w:lineRule="auto"/>
      <w:textAlignment w:val="center"/>
    </w:pPr>
    <w:rPr>
      <w:rFonts w:eastAsia="Times New Roman"/>
      <w:i/>
      <w:iCs/>
      <w:sz w:val="18"/>
      <w:szCs w:val="18"/>
      <w:lang w:val="en-GB" w:eastAsia="en-GB"/>
    </w:rPr>
  </w:style>
  <w:style w:type="paragraph" w:customStyle="1" w:styleId="xl117">
    <w:name w:val="xl117"/>
    <w:basedOn w:val="Normal"/>
    <w:rsid w:val="008C179D"/>
    <w:pPr>
      <w:pBdr>
        <w:top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118">
    <w:name w:val="xl118"/>
    <w:basedOn w:val="Normal"/>
    <w:rsid w:val="008C179D"/>
    <w:pPr>
      <w:pBdr>
        <w:bottom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119">
    <w:name w:val="xl119"/>
    <w:basedOn w:val="Normal"/>
    <w:rsid w:val="008C179D"/>
    <w:pPr>
      <w:pBdr>
        <w:top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120">
    <w:name w:val="xl120"/>
    <w:basedOn w:val="Normal"/>
    <w:rsid w:val="008C179D"/>
    <w:pPr>
      <w:pBdr>
        <w:bottom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customStyle="1" w:styleId="xl121">
    <w:name w:val="xl121"/>
    <w:basedOn w:val="Normal"/>
    <w:rsid w:val="008C179D"/>
    <w:pPr>
      <w:suppressAutoHyphens w:val="0"/>
      <w:kinsoku/>
      <w:overflowPunct/>
      <w:autoSpaceDE/>
      <w:autoSpaceDN/>
      <w:adjustRightInd/>
      <w:snapToGrid/>
      <w:spacing w:before="100" w:beforeAutospacing="1" w:after="100" w:afterAutospacing="1" w:line="240" w:lineRule="auto"/>
    </w:pPr>
    <w:rPr>
      <w:rFonts w:eastAsia="Times New Roman"/>
      <w:i/>
      <w:iCs/>
      <w:sz w:val="18"/>
      <w:szCs w:val="18"/>
      <w:lang w:val="en-GB" w:eastAsia="en-GB"/>
    </w:rPr>
  </w:style>
  <w:style w:type="paragraph" w:customStyle="1" w:styleId="xl122">
    <w:name w:val="xl122"/>
    <w:basedOn w:val="Normal"/>
    <w:rsid w:val="008C179D"/>
    <w:pPr>
      <w:suppressAutoHyphens w:val="0"/>
      <w:kinsoku/>
      <w:overflowPunct/>
      <w:autoSpaceDE/>
      <w:autoSpaceDN/>
      <w:adjustRightInd/>
      <w:snapToGrid/>
      <w:spacing w:before="100" w:beforeAutospacing="1" w:after="100" w:afterAutospacing="1" w:line="240" w:lineRule="auto"/>
      <w:textAlignment w:val="center"/>
    </w:pPr>
    <w:rPr>
      <w:rFonts w:eastAsia="Times New Roman"/>
      <w:sz w:val="18"/>
      <w:szCs w:val="18"/>
      <w:lang w:val="en-GB" w:eastAsia="en-GB"/>
    </w:rPr>
  </w:style>
  <w:style w:type="paragraph" w:customStyle="1" w:styleId="xl123">
    <w:name w:val="xl123"/>
    <w:basedOn w:val="Normal"/>
    <w:rsid w:val="008C179D"/>
    <w:pPr>
      <w:pBdr>
        <w:top w:val="single" w:sz="8" w:space="0" w:color="auto"/>
        <w:bottom w:val="single" w:sz="8"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Times New Roman"/>
      <w:i/>
      <w:iCs/>
      <w:sz w:val="16"/>
      <w:szCs w:val="16"/>
      <w:lang w:val="en-GB" w:eastAsia="en-GB"/>
    </w:rPr>
  </w:style>
  <w:style w:type="paragraph" w:styleId="Objetducommentaire">
    <w:name w:val="annotation subject"/>
    <w:basedOn w:val="Commentaire"/>
    <w:next w:val="Commentaire"/>
    <w:link w:val="ObjetducommentaireCar"/>
    <w:rsid w:val="008C179D"/>
    <w:pPr>
      <w:spacing w:line="240" w:lineRule="auto"/>
    </w:pPr>
    <w:rPr>
      <w:b/>
      <w:bCs/>
    </w:rPr>
  </w:style>
  <w:style w:type="character" w:customStyle="1" w:styleId="ObjetducommentaireCar">
    <w:name w:val="Objet du commentaire Car"/>
    <w:basedOn w:val="CommentaireCar"/>
    <w:link w:val="Objetducommentaire"/>
    <w:rsid w:val="008C179D"/>
    <w:rPr>
      <w:rFonts w:ascii="Times New Roman" w:hAnsi="Times New Roman" w:cs="Times New Roman"/>
      <w:b/>
      <w:bCs/>
      <w:sz w:val="20"/>
      <w:szCs w:val="20"/>
      <w:lang w:val="en-GB" w:eastAsia="en-US"/>
    </w:rPr>
  </w:style>
  <w:style w:type="paragraph" w:styleId="Rvision">
    <w:name w:val="Revision"/>
    <w:hidden/>
    <w:uiPriority w:val="99"/>
    <w:semiHidden/>
    <w:rsid w:val="008C179D"/>
    <w:pPr>
      <w:spacing w:after="0" w:line="240" w:lineRule="auto"/>
    </w:pPr>
    <w:rPr>
      <w:rFonts w:ascii="Times New Roman" w:hAnsi="Times New Roman" w:cs="Times New Roman"/>
      <w:sz w:val="20"/>
      <w:szCs w:val="20"/>
      <w:lang w:val="en-GB" w:eastAsia="en-US"/>
    </w:rPr>
  </w:style>
  <w:style w:type="paragraph" w:customStyle="1" w:styleId="Default">
    <w:name w:val="Default"/>
    <w:rsid w:val="008C179D"/>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Mentionnonrsolue1">
    <w:name w:val="Mention non résolue1"/>
    <w:basedOn w:val="Policepardfaut"/>
    <w:uiPriority w:val="99"/>
    <w:semiHidden/>
    <w:unhideWhenUsed/>
    <w:rsid w:val="008C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arhusclearinghouse.une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digital-government/open-government-data.htm" TargetMode="External"/><Relationship Id="rId3" Type="http://schemas.openxmlformats.org/officeDocument/2006/relationships/hyperlink" Target="https://ec.europa.eu/info/strategy/priorities-2019-2024/european-green-deal_fr" TargetMode="External"/><Relationship Id="rId7" Type="http://schemas.openxmlformats.org/officeDocument/2006/relationships/hyperlink" Target="http://www.oecd.org/fr/gov/gouvernement-ouvert/" TargetMode="External"/><Relationship Id="rId2" Type="http://schemas.openxmlformats.org/officeDocument/2006/relationships/hyperlink" Target="https://www.frontlinedefenders.org/sites/default/files/global_analysis_2018.pdf" TargetMode="External"/><Relationship Id="rId1" Type="http://schemas.openxmlformats.org/officeDocument/2006/relationships/hyperlink" Target="https://crudeaccountability.org/wp-content/uploads/Report_DangerousWork_compressed_for_web.pdf" TargetMode="External"/><Relationship Id="rId6" Type="http://schemas.openxmlformats.org/officeDocument/2006/relationships/hyperlink" Target="https://publicadministration.un.org/fr/ict4d" TargetMode="External"/><Relationship Id="rId5" Type="http://schemas.openxmlformats.org/officeDocument/2006/relationships/hyperlink" Target="https://www.ohchr.org/FR/HRBodies/SP/Pages/Welcomepage.aspx" TargetMode="External"/><Relationship Id="rId10" Type="http://schemas.openxmlformats.org/officeDocument/2006/relationships/hyperlink" Target="https://www.cbd.int/nbsap/" TargetMode="External"/><Relationship Id="rId4" Type="http://schemas.openxmlformats.org/officeDocument/2006/relationships/hyperlink" Target="https://www.ohchr.org/FR/hrbodies/upr/pages/UPRMain.aspx" TargetMode="External"/><Relationship Id="rId9" Type="http://schemas.openxmlformats.org/officeDocument/2006/relationships/hyperlink" Target="https://ec.europa.eu/digital-single-market/en/open-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26</Pages>
  <Words>8792</Words>
  <Characters>50121</Characters>
  <Application>Microsoft Office Word</Application>
  <DocSecurity>0</DocSecurity>
  <Lines>417</Lines>
  <Paragraphs>117</Paragraphs>
  <ScaleCrop>false</ScaleCrop>
  <HeadingPairs>
    <vt:vector size="2" baseType="variant">
      <vt:variant>
        <vt:lpstr>Titre</vt:lpstr>
      </vt:variant>
      <vt:variant>
        <vt:i4>1</vt:i4>
      </vt:variant>
    </vt:vector>
  </HeadingPairs>
  <TitlesOfParts>
    <vt:vector size="1" baseType="lpstr">
      <vt:lpstr>ECE/MP.PP/WG.1/2020/7</vt:lpstr>
    </vt:vector>
  </TitlesOfParts>
  <Company>DCM</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ECE/MP.PP/WG.1/2020/7</dc:title>
  <dc:subject/>
  <dc:creator>Corinne ROBERT</dc:creator>
  <cp:keywords/>
  <cp:lastModifiedBy>Corinne Robert</cp:lastModifiedBy>
  <cp:revision>2</cp:revision>
  <cp:lastPrinted>2020-04-29T09:39:00Z</cp:lastPrinted>
  <dcterms:created xsi:type="dcterms:W3CDTF">2020-04-29T09:42:00Z</dcterms:created>
  <dcterms:modified xsi:type="dcterms:W3CDTF">2020-04-29T09:42:00Z</dcterms:modified>
</cp:coreProperties>
</file>