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70322" w14:paraId="10576B1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A27589" w14:textId="77777777" w:rsidR="002D5AAC" w:rsidRDefault="002D5AAC" w:rsidP="007703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83FC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875F15" w14:textId="77777777" w:rsidR="00770322" w:rsidRPr="00770322" w:rsidRDefault="00770322" w:rsidP="00770322">
            <w:pPr>
              <w:jc w:val="right"/>
              <w:rPr>
                <w:lang w:val="en-US"/>
              </w:rPr>
            </w:pPr>
            <w:r w:rsidRPr="00770322">
              <w:rPr>
                <w:sz w:val="40"/>
                <w:lang w:val="en-US"/>
              </w:rPr>
              <w:t>ECE</w:t>
            </w:r>
            <w:r w:rsidRPr="00770322">
              <w:rPr>
                <w:lang w:val="en-US"/>
              </w:rPr>
              <w:t>/MP.EIA/2020/5</w:t>
            </w:r>
            <w:r w:rsidRPr="00770322">
              <w:rPr>
                <w:rFonts w:cs="Times New Roman"/>
                <w:lang w:val="en-US"/>
              </w:rPr>
              <w:t>−</w:t>
            </w:r>
            <w:r w:rsidRPr="00770322">
              <w:rPr>
                <w:sz w:val="40"/>
                <w:lang w:val="en-US"/>
              </w:rPr>
              <w:t>ECE</w:t>
            </w:r>
            <w:r w:rsidRPr="00770322">
              <w:rPr>
                <w:lang w:val="en-US"/>
              </w:rPr>
              <w:t>/MP.EIA/SEA/2020/5</w:t>
            </w:r>
          </w:p>
        </w:tc>
      </w:tr>
      <w:tr w:rsidR="002D5AAC" w:rsidRPr="00770322" w14:paraId="452898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B446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629C2A" wp14:editId="770DB0B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05FF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27C51D" w14:textId="77777777" w:rsidR="002D5AAC" w:rsidRDefault="007703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C1CDCA" w14:textId="77777777" w:rsidR="00770322" w:rsidRDefault="00770322" w:rsidP="007703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September 2020</w:t>
            </w:r>
          </w:p>
          <w:p w14:paraId="1E009993" w14:textId="77777777" w:rsidR="00770322" w:rsidRDefault="00770322" w:rsidP="007703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10520E" w14:textId="77777777" w:rsidR="00770322" w:rsidRPr="008D53B6" w:rsidRDefault="00770322" w:rsidP="007703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75605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FEA8E0" w14:textId="77777777" w:rsidR="00770322" w:rsidRPr="00BD6D8A" w:rsidRDefault="00770322" w:rsidP="00770322">
      <w:pPr>
        <w:spacing w:before="120"/>
        <w:rPr>
          <w:bCs/>
          <w:sz w:val="28"/>
          <w:szCs w:val="28"/>
        </w:rPr>
      </w:pPr>
      <w:r w:rsidRPr="00BD6D8A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BD6D8A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BD6D8A">
        <w:rPr>
          <w:sz w:val="28"/>
          <w:szCs w:val="28"/>
        </w:rPr>
        <w:t>в трансграничном контексте</w:t>
      </w:r>
    </w:p>
    <w:p w14:paraId="1AA17218" w14:textId="77777777" w:rsidR="00770322" w:rsidRPr="00266E75" w:rsidRDefault="00770322" w:rsidP="00770322">
      <w:pPr>
        <w:spacing w:before="120"/>
        <w:rPr>
          <w:bCs/>
          <w:sz w:val="28"/>
          <w:szCs w:val="28"/>
        </w:rPr>
      </w:pPr>
      <w:r>
        <w:rPr>
          <w:b/>
          <w:bCs/>
        </w:rPr>
        <w:t>Восьмая сессия</w:t>
      </w:r>
    </w:p>
    <w:p w14:paraId="3EA2B898" w14:textId="77777777" w:rsidR="00770322" w:rsidRPr="00BD6D8A" w:rsidRDefault="00770322" w:rsidP="00770322">
      <w:pPr>
        <w:spacing w:before="120"/>
        <w:rPr>
          <w:bCs/>
          <w:sz w:val="28"/>
          <w:szCs w:val="28"/>
        </w:rPr>
      </w:pPr>
      <w:r w:rsidRPr="00BD6D8A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BD6D8A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BD6D8A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BD6D8A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BD6D8A">
        <w:rPr>
          <w:sz w:val="28"/>
          <w:szCs w:val="28"/>
        </w:rPr>
        <w:t>по стратегической экологической оценке</w:t>
      </w:r>
    </w:p>
    <w:p w14:paraId="039069B4" w14:textId="77777777" w:rsidR="00770322" w:rsidRPr="00266E75" w:rsidRDefault="00770322" w:rsidP="00770322">
      <w:pPr>
        <w:spacing w:before="120"/>
        <w:rPr>
          <w:b/>
        </w:rPr>
      </w:pPr>
      <w:r>
        <w:rPr>
          <w:b/>
          <w:bCs/>
        </w:rPr>
        <w:t>Четвертая сессия</w:t>
      </w:r>
    </w:p>
    <w:p w14:paraId="5633C0A2" w14:textId="77777777" w:rsidR="00770322" w:rsidRPr="00266E75" w:rsidRDefault="00770322" w:rsidP="00770322">
      <w:pPr>
        <w:spacing w:before="100" w:line="240" w:lineRule="auto"/>
      </w:pPr>
      <w:r>
        <w:t>Вильнюс, 8</w:t>
      </w:r>
      <w:r w:rsidRPr="00770322">
        <w:t>–</w:t>
      </w:r>
      <w:r>
        <w:t>11 декабря 2020 года</w:t>
      </w:r>
    </w:p>
    <w:p w14:paraId="1A71E111" w14:textId="77777777" w:rsidR="00770322" w:rsidRDefault="00770322" w:rsidP="00770322">
      <w:pPr>
        <w:spacing w:line="240" w:lineRule="auto"/>
        <w:rPr>
          <w:b/>
          <w:bCs/>
        </w:rPr>
      </w:pPr>
      <w:r>
        <w:t>Пункты 3 d) и 10 предварительной повестки дня</w:t>
      </w:r>
      <w:r>
        <w:rPr>
          <w:b/>
          <w:bCs/>
        </w:rPr>
        <w:t xml:space="preserve"> </w:t>
      </w:r>
    </w:p>
    <w:p w14:paraId="1DD41754" w14:textId="77777777" w:rsidR="00770322" w:rsidRPr="00266E75" w:rsidRDefault="00770322" w:rsidP="00770322">
      <w:pPr>
        <w:spacing w:line="240" w:lineRule="auto"/>
        <w:rPr>
          <w:b/>
          <w:bCs/>
        </w:rPr>
      </w:pPr>
      <w:r>
        <w:rPr>
          <w:b/>
          <w:bCs/>
        </w:rPr>
        <w:t>Нерешенные вопросы: проект Вильнюсской декларации</w:t>
      </w:r>
    </w:p>
    <w:p w14:paraId="6C8FB64C" w14:textId="77777777" w:rsidR="00770322" w:rsidRPr="00266E75" w:rsidRDefault="00770322" w:rsidP="00770322">
      <w:pPr>
        <w:spacing w:line="240" w:lineRule="auto"/>
        <w:rPr>
          <w:b/>
          <w:bCs/>
        </w:rPr>
      </w:pPr>
      <w:r>
        <w:rPr>
          <w:b/>
          <w:bCs/>
        </w:rPr>
        <w:t>Принятие декларации</w:t>
      </w:r>
    </w:p>
    <w:p w14:paraId="60517812" w14:textId="77777777" w:rsidR="00770322" w:rsidRPr="00266E75" w:rsidRDefault="00770322" w:rsidP="00770322">
      <w:pPr>
        <w:pStyle w:val="HChG"/>
      </w:pPr>
      <w:r>
        <w:tab/>
      </w:r>
      <w:r>
        <w:tab/>
        <w:t>Проект Вильнюсской декларации</w:t>
      </w:r>
      <w:r>
        <w:tab/>
      </w:r>
    </w:p>
    <w:p w14:paraId="30782B1F" w14:textId="77777777" w:rsidR="00770322" w:rsidRPr="00BD6D8A" w:rsidRDefault="00770322" w:rsidP="00770322">
      <w:pPr>
        <w:pStyle w:val="H1G"/>
      </w:pPr>
      <w:r>
        <w:tab/>
      </w:r>
      <w:r>
        <w:tab/>
        <w:t>Предложение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70322" w:rsidRPr="00BD6D8A" w14:paraId="6524F431" w14:textId="77777777" w:rsidTr="00AA4ADB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D1B2346" w14:textId="77777777" w:rsidR="00770322" w:rsidRPr="00BD6D8A" w:rsidRDefault="00770322" w:rsidP="00AA4ADB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D6D8A">
              <w:rPr>
                <w:rFonts w:cs="Times New Roman"/>
              </w:rPr>
              <w:tab/>
            </w:r>
            <w:r w:rsidRPr="00BD6D8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70322" w:rsidRPr="00BD6D8A" w14:paraId="462E6463" w14:textId="77777777" w:rsidTr="00AA4AD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5B8EBBE" w14:textId="77777777" w:rsidR="00770322" w:rsidRPr="00BD6D8A" w:rsidRDefault="00770322" w:rsidP="00AA4ADB">
            <w:pPr>
              <w:pStyle w:val="SingleTxtG"/>
            </w:pPr>
            <w:r>
              <w:tab/>
            </w:r>
            <w:r>
              <w:tab/>
            </w:r>
            <w:r w:rsidRPr="00BD6D8A">
              <w:t xml:space="preserve">Настоящий проект декларации был подготовлен совместным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при поддержке секретариата. Ранее неофициальный вариант проекта декларации был представлен Рабочей группе по оценке воздействия на окружающую среду и стратегической экологической оценке на ее восьмом совещании (Женева, </w:t>
            </w:r>
            <w:r>
              <w:br/>
            </w:r>
            <w:r w:rsidRPr="00BD6D8A">
              <w:t xml:space="preserve">26–28 ноября 2019 года), но не обсуждался (ECE/MP.EIA/WG.2/2019/2, пункт 55). </w:t>
            </w:r>
          </w:p>
          <w:p w14:paraId="3238C01A" w14:textId="77777777" w:rsidR="00770322" w:rsidRPr="00BD6D8A" w:rsidRDefault="00770322" w:rsidP="00AA4ADB">
            <w:pPr>
              <w:pStyle w:val="SingleTxtG"/>
            </w:pPr>
            <w:r>
              <w:tab/>
            </w:r>
            <w:r>
              <w:tab/>
            </w:r>
            <w:r w:rsidRPr="00BD6D8A">
              <w:t>В настоящем проекте декларации отражены поправки, предложенные делегациями на девятом совещании Рабочей группы (Женева, 24</w:t>
            </w:r>
            <w:r w:rsidRPr="00B14DED">
              <w:t>–</w:t>
            </w:r>
            <w:r w:rsidRPr="00BD6D8A">
              <w:t>26 августа 2020</w:t>
            </w:r>
            <w:r>
              <w:rPr>
                <w:lang w:val="en-US"/>
              </w:rPr>
              <w:t> </w:t>
            </w:r>
            <w:r w:rsidRPr="00BD6D8A">
              <w:t>года). Предложения по поправкам, по которым Рабочая группа не пришла к согласию, представлены в квадратных скобках. Кроме того, в проект документа включен новый текст о важности оценки воздействия на здоровье в рамках стратегической экологической оценк</w:t>
            </w:r>
            <w:r>
              <w:t>и</w:t>
            </w:r>
            <w:r w:rsidRPr="00BD6D8A">
              <w:t xml:space="preserve">, предложенный Президиумом. Как было объявлено Председателем Президиума в ходе девятого совещания Рабочей группы, такая дополнительная формулировка будет необходима в связи с решением Рабочей группы отложить рассмотрение и принятие проекта руководства по этой теме и, в </w:t>
            </w:r>
            <w:r w:rsidRPr="00BD6D8A">
              <w:lastRenderedPageBreak/>
              <w:t>частности, с учетом пандемии коронавирусного заболевания (COVID-19). Предложения Президиума также согласуются с заявлением, сделанным представителем Всемирной организации здравоохранения в ходе этого совещания (ECE/MP.EIA/WG.2/2020/2, готовится к выпуску).</w:t>
            </w:r>
          </w:p>
        </w:tc>
      </w:tr>
      <w:tr w:rsidR="00770322" w:rsidRPr="00BD6D8A" w14:paraId="0407E372" w14:textId="77777777" w:rsidTr="00AA4AD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14:paraId="7CCDF39E" w14:textId="77777777" w:rsidR="00770322" w:rsidRPr="00BD6D8A" w:rsidRDefault="00770322" w:rsidP="00AA4ADB">
            <w:pPr>
              <w:pStyle w:val="SingleTxtG"/>
            </w:pPr>
            <w:r>
              <w:lastRenderedPageBreak/>
              <w:tab/>
            </w:r>
            <w:r>
              <w:tab/>
            </w:r>
            <w:r w:rsidRPr="00BD6D8A">
              <w:t>Ожидается, что Совещание Сторон Конвенции и Совещание Сторон Протокола рассмотрят текст проекта декларации и примут решение о его принятии.</w:t>
            </w:r>
          </w:p>
        </w:tc>
      </w:tr>
      <w:tr w:rsidR="00770322" w:rsidRPr="00BD6D8A" w14:paraId="3B985291" w14:textId="77777777" w:rsidTr="00AA4ADB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DAD4762" w14:textId="77777777" w:rsidR="00770322" w:rsidRPr="00BD6D8A" w:rsidRDefault="00770322" w:rsidP="00AA4ADB">
            <w:pPr>
              <w:rPr>
                <w:rFonts w:cs="Times New Roman"/>
              </w:rPr>
            </w:pPr>
          </w:p>
        </w:tc>
      </w:tr>
    </w:tbl>
    <w:p w14:paraId="5DA467F4" w14:textId="77777777" w:rsidR="00770322" w:rsidRDefault="00770322" w:rsidP="00770322">
      <w:pPr>
        <w:suppressAutoHyphens w:val="0"/>
        <w:spacing w:line="240" w:lineRule="auto"/>
      </w:pPr>
    </w:p>
    <w:p w14:paraId="0734EF55" w14:textId="77777777" w:rsidR="00770322" w:rsidRDefault="00770322" w:rsidP="00770322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14CE54BE" w14:textId="77777777" w:rsidR="00770322" w:rsidRPr="00BD6D8A" w:rsidRDefault="00770322" w:rsidP="00770322">
      <w:pPr>
        <w:pStyle w:val="SingleTxtG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 w:rsidRPr="00BD6D8A">
        <w:rPr>
          <w:i/>
          <w:iCs/>
        </w:rPr>
        <w:t xml:space="preserve">Мы, высокопоставленные представители государств </w:t>
      </w:r>
      <w:r>
        <w:rPr>
          <w:i/>
          <w:iCs/>
        </w:rPr>
        <w:t>—</w:t>
      </w:r>
      <w:r w:rsidRPr="00BD6D8A">
        <w:rPr>
          <w:i/>
          <w:iCs/>
        </w:rPr>
        <w:t xml:space="preserve"> членов Европейской экономической комиссии Организации Объединенных Наций (ЕЭК) и Европейского союза, собравшись в Вильнюсе 8−11 декабря 2020 года по случаю восьмой сессии Совещания Сторон Конвенции об оценке воздействия на окружающую среду в трансграничном контексте (Конвенции Эспо) и четвертой сессии Совещания Сторон Конвенции, действующего в качестве Совещания Сторон Протокола по стратегической экологической оценке,</w:t>
      </w:r>
    </w:p>
    <w:p w14:paraId="4A95ADBA" w14:textId="77777777" w:rsidR="00770322" w:rsidRPr="00BD6D8A" w:rsidRDefault="00770322" w:rsidP="00770322">
      <w:pPr>
        <w:pStyle w:val="SingleTxtG"/>
      </w:pPr>
      <w:r w:rsidRPr="00BD6D8A">
        <w:tab/>
      </w:r>
      <w:r w:rsidRPr="00BD6D8A">
        <w:tab/>
      </w:r>
      <w:r w:rsidRPr="00BD6D8A">
        <w:rPr>
          <w:i/>
          <w:iCs/>
        </w:rPr>
        <w:t>отмечая</w:t>
      </w:r>
      <w:r w:rsidRPr="00BD6D8A">
        <w:t xml:space="preserve"> тридцатую годовщину принятия Конвенции Эспо, а также значительное воздействие, которое она в ходе последних десятилетий оказывала на международное экологическое право и состояние окружающей среды,</w:t>
      </w:r>
      <w:bookmarkStart w:id="1" w:name="_Hlk50812909"/>
    </w:p>
    <w:p w14:paraId="6B3694F4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</w:r>
      <w:r w:rsidRPr="00BD6D8A">
        <w:rPr>
          <w:i/>
          <w:iCs/>
        </w:rPr>
        <w:t>отмечая также</w:t>
      </w:r>
      <w:r w:rsidRPr="00BD6D8A">
        <w:t xml:space="preserve"> дополнительное положительное воздействие, оказываемое Протоколом по стратегической экологической оценке с момента его вступления в силу 10 лет назад, в результате распространения действия Конвенции на самые ранние этапы принятия решений в отношении разработки планов и программ и, в соответствующих случаях, политики и законодательства,</w:t>
      </w:r>
    </w:p>
    <w:p w14:paraId="27FD536C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</w:r>
      <w:r w:rsidRPr="00BD6D8A">
        <w:rPr>
          <w:i/>
          <w:iCs/>
        </w:rPr>
        <w:t>признавая</w:t>
      </w:r>
      <w:r w:rsidRPr="00BD6D8A">
        <w:t xml:space="preserve"> важность вклада обоих договоров в совершенствование экологического руководства и повышение транспарентности в области планирования и принятия решений, </w:t>
      </w:r>
    </w:p>
    <w:bookmarkEnd w:id="1"/>
    <w:p w14:paraId="3C761699" w14:textId="77777777" w:rsidR="00770322" w:rsidRPr="00BD6D8A" w:rsidRDefault="00770322" w:rsidP="00770322">
      <w:pPr>
        <w:pStyle w:val="SingleTxtG"/>
      </w:pPr>
      <w:r w:rsidRPr="00BD6D8A">
        <w:tab/>
      </w:r>
      <w:r w:rsidRPr="00BD6D8A">
        <w:tab/>
      </w:r>
      <w:r w:rsidRPr="00BD6D8A">
        <w:rPr>
          <w:i/>
          <w:iCs/>
        </w:rPr>
        <w:t xml:space="preserve">[подчеркивая </w:t>
      </w:r>
      <w:r w:rsidRPr="00BD6D8A">
        <w:t>необходимость обеспечения здорового и «зеленого» восстановления после пандемии коронавирусного заболевания (COVID-19) и</w:t>
      </w:r>
      <w:r>
        <w:t> </w:t>
      </w:r>
      <w:r w:rsidRPr="00BD6D8A">
        <w:t>предотвращения новых пандемий, а также роль, которую Протокол, в частности, может играть в этом отношении путем обеспечения предварительной оценки значительных экологических, в том числе для здоровья населения, последствий планов и программ в консультации с природоохранными органами и органами здравоохранения</w:t>
      </w:r>
      <w:r>
        <w:t>,</w:t>
      </w:r>
      <w:r w:rsidRPr="00BD6D8A">
        <w:t>]</w:t>
      </w:r>
      <w:bookmarkStart w:id="2" w:name="_Hlk50812596"/>
    </w:p>
    <w:bookmarkEnd w:id="2"/>
    <w:p w14:paraId="194DC68C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</w:r>
      <w:r w:rsidRPr="00BD6D8A">
        <w:rPr>
          <w:i/>
          <w:iCs/>
        </w:rPr>
        <w:t>напоминая</w:t>
      </w:r>
      <w:r w:rsidRPr="00BD6D8A">
        <w:t xml:space="preserve"> о целях и принципах Конвенции и Протокола, а также о взятых по ним обязательствах, в частности в отношении: </w:t>
      </w:r>
    </w:p>
    <w:p w14:paraId="57C6AFF7" w14:textId="77777777" w:rsidR="00770322" w:rsidRPr="00BD6D8A" w:rsidRDefault="00770322" w:rsidP="00770322">
      <w:pPr>
        <w:pStyle w:val="SingleTxtG"/>
        <w:rPr>
          <w:iCs/>
        </w:rPr>
      </w:pPr>
      <w:r>
        <w:tab/>
      </w:r>
      <w:r>
        <w:tab/>
      </w:r>
      <w:r w:rsidRPr="00BD6D8A">
        <w:t>a)</w:t>
      </w:r>
      <w:r w:rsidRPr="00BD6D8A">
        <w:tab/>
        <w:t>предотвращения и смягчения последствий значительного негативного воздействия на окружающую среду, в том числе на здоровье населения, которое может возникнуть в результате планируемой экономической деятельности или развития;</w:t>
      </w:r>
    </w:p>
    <w:p w14:paraId="7C597F07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  <w:t>b)</w:t>
      </w:r>
      <w:r w:rsidRPr="00BD6D8A">
        <w:tab/>
        <w:t>обеспечения большей транспарентности и более широкого участия в принятии решений в области планирования в соответствующих секторах экономики на основе консультаций с природоохранными органами и органами здравоохранения, другими заинтересованными сторонами и общественностью на местном, национальном и международном уровнях;</w:t>
      </w:r>
    </w:p>
    <w:p w14:paraId="106B29C1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  <w:t>c)</w:t>
      </w:r>
      <w:r w:rsidRPr="00BD6D8A">
        <w:tab/>
        <w:t>расширения международного сотрудничества в области оценки воздействия на окружающую среду, в частности в трансграничном контексте;</w:t>
      </w:r>
    </w:p>
    <w:p w14:paraId="7A2D8E7A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  <w:t>d)</w:t>
      </w:r>
      <w:r w:rsidRPr="00BD6D8A">
        <w:tab/>
        <w:t>дальнейшего устойчивого развития,</w:t>
      </w:r>
    </w:p>
    <w:p w14:paraId="40BFD575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</w:r>
      <w:r w:rsidRPr="00BD6D8A">
        <w:rPr>
          <w:i/>
          <w:iCs/>
        </w:rPr>
        <w:t>признавая</w:t>
      </w:r>
      <w:r w:rsidRPr="00BD6D8A">
        <w:t xml:space="preserve">, что Конвенция и Протокол также представляют собой эффективные инструменты реализации выгод во всемирном масштабе, содействуя среди прочего достижению Целей в области устойчивого развития и выполнению глобальных обязательств, связанных с климатом и биологическим разнообразием, </w:t>
      </w:r>
    </w:p>
    <w:p w14:paraId="1A6CBC27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</w:r>
      <w:r w:rsidRPr="00BD6D8A">
        <w:rPr>
          <w:i/>
          <w:iCs/>
        </w:rPr>
        <w:t>признавая также</w:t>
      </w:r>
      <w:r w:rsidRPr="00BD6D8A">
        <w:t xml:space="preserve"> потенциал этих договоров в деле содействия «зеленому» росту и развития «зеленой» инфраструктуры, устойчивых и «умных» городов и экономики замкнутого цикла,</w:t>
      </w:r>
    </w:p>
    <w:p w14:paraId="587AE50E" w14:textId="77777777" w:rsidR="00770322" w:rsidRPr="00BD6D8A" w:rsidRDefault="00770322" w:rsidP="00770322">
      <w:pPr>
        <w:pStyle w:val="SingleTxtG"/>
        <w:rPr>
          <w:iCs/>
        </w:rPr>
      </w:pPr>
      <w:r w:rsidRPr="00BD6D8A">
        <w:tab/>
      </w:r>
      <w:r w:rsidRPr="00BD6D8A">
        <w:tab/>
      </w:r>
      <w:r w:rsidRPr="00BD6D8A">
        <w:rPr>
          <w:i/>
          <w:iCs/>
        </w:rPr>
        <w:t>принимая во внимание [с обеспокоенностью]</w:t>
      </w:r>
      <w:r w:rsidRPr="00BD6D8A">
        <w:t xml:space="preserve"> наблюдаемые в течение длительного времени нехватку, непредсказуемость и неравномерность распределения финансирования Сторонами этих двух инструментов, что ставит под угрозу выполнение планов работы и функционирование секретариата, учитывая также будущее присоединение стран, не являющихся государствами </w:t>
      </w:r>
      <w:r>
        <w:t>—</w:t>
      </w:r>
      <w:r w:rsidRPr="00BD6D8A">
        <w:t xml:space="preserve"> членами Европейской экономической комиссии Организации Объединенных Наций,</w:t>
      </w:r>
    </w:p>
    <w:p w14:paraId="7DB22F76" w14:textId="77777777" w:rsidR="00770322" w:rsidRPr="00BD6D8A" w:rsidRDefault="00770322" w:rsidP="00770322">
      <w:pPr>
        <w:pStyle w:val="SingleTxtG"/>
      </w:pPr>
      <w:r>
        <w:lastRenderedPageBreak/>
        <w:tab/>
      </w:r>
      <w:r>
        <w:tab/>
      </w:r>
      <w:r w:rsidRPr="00BD6D8A">
        <w:t>1.</w:t>
      </w:r>
      <w:r w:rsidRPr="00BD6D8A">
        <w:tab/>
        <w:t>подтверждаем нашу твердую приверженность полному осуществлению и соблюдению наших соответствующих обязательств по Конвенции и Протоколу;</w:t>
      </w:r>
    </w:p>
    <w:p w14:paraId="37D3B8DB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2.</w:t>
      </w:r>
      <w:r w:rsidRPr="00BD6D8A">
        <w:tab/>
        <w:t>обязуемся</w:t>
      </w:r>
      <w:r w:rsidRPr="00BD6D8A">
        <w:rPr>
          <w:i/>
          <w:iCs/>
        </w:rPr>
        <w:t xml:space="preserve"> </w:t>
      </w:r>
      <w:r w:rsidRPr="00BD6D8A">
        <w:t xml:space="preserve">активизировать усилия по содействию устойчивому функционированию договоров путем предоставления адекватных ресурсов </w:t>
      </w:r>
      <w:r>
        <w:t>—</w:t>
      </w:r>
      <w:r w:rsidRPr="00BD6D8A">
        <w:t xml:space="preserve"> как людских, так и финансовых;</w:t>
      </w:r>
    </w:p>
    <w:p w14:paraId="50676E1E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3.</w:t>
      </w:r>
      <w:r w:rsidRPr="00BD6D8A">
        <w:tab/>
        <w:t>обязуемся также и далее повышать эффективность осуществления и воздействие обоих договоров, в том числе путем обеспечения их более единообразного толкования и [, при необходимости,] уточнения сферы их применения, а также путем усиления политической поддержки благодаря повышению уровня осведомленности об этих договорах и их преимуществах;</w:t>
      </w:r>
    </w:p>
    <w:p w14:paraId="2AF85675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4.</w:t>
      </w:r>
      <w:r w:rsidRPr="00BD6D8A">
        <w:tab/>
        <w:t xml:space="preserve">берем на себя обязательство активизировать применение Конвенции и Протокола, в том числе, по мере необходимости, путем предоставления руководящих указаний, повышения осведомленности и укрепления потенциала, с тем чтобы в полной мере использовать их потенциал для решения новых и назревающих национальных, региональных и глобальных проблем и достижения целей; </w:t>
      </w:r>
    </w:p>
    <w:p w14:paraId="14198D04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5.</w:t>
      </w:r>
      <w:r w:rsidRPr="00BD6D8A">
        <w:tab/>
        <w:t>призываем все Стороны, которые еще не ратифицировали вторую поправку к Конвенции, сделать это, чтобы обеспечить единообразное применение Конвенции всеми ее Сторонами;</w:t>
      </w:r>
    </w:p>
    <w:p w14:paraId="33438302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6.</w:t>
      </w:r>
      <w:r w:rsidRPr="00BD6D8A">
        <w:tab/>
        <w:t>предлагаем любому государству, которое еще не является участником Конвенции и Протокола, присоединиться к ним с целью усиления воздействия этих договоров в регионе и, в ожидании присоединения, создать достаточный потенциал для их успешного осуществления;</w:t>
      </w:r>
      <w:bookmarkStart w:id="3" w:name="_Hlk23239192"/>
      <w:bookmarkEnd w:id="3"/>
    </w:p>
    <w:p w14:paraId="4005B22D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7.</w:t>
      </w:r>
      <w:r w:rsidRPr="00BD6D8A">
        <w:tab/>
        <w:t xml:space="preserve">призываем также страны из других регионов предпринять шаги по присоединению к этим договорам и/или тиражированию и применению их положений и накопленной на их основе передовой практики; </w:t>
      </w:r>
    </w:p>
    <w:p w14:paraId="35914902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8.</w:t>
      </w:r>
      <w:r w:rsidRPr="00BD6D8A">
        <w:tab/>
        <w:t>подчеркиваем необходимость ускорить вступление в силу первой поправки, с тем чтобы открыть возможность присоединения странам, не являющимся членами ЕЭК ООН, путем получения недостающих ратификационных грамот, и настоятельно призываем соответствующие Стороны как можно скорее ратифицировать первую поправку;</w:t>
      </w:r>
    </w:p>
    <w:p w14:paraId="21AA9158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9.</w:t>
      </w:r>
      <w:r w:rsidRPr="00BD6D8A">
        <w:tab/>
        <w:t>берем на себя обязательство оказывать содействие странам как входящим в регион ЕЭК, так и находящимся за его пределами, в их усилиях, направленных на осуществление Конвенции, а также на осуществление Протокола и присоединение к нему;</w:t>
      </w:r>
    </w:p>
    <w:p w14:paraId="2796989D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10.</w:t>
      </w:r>
      <w:r w:rsidRPr="00BD6D8A">
        <w:tab/>
        <w:t>призываем к укреплению сотрудничества между странами, а также сотрудничества с другими международными договорами, национальными и международными организациями, гражданским обществом, частным сектором и финансовыми учреждениям и к активному участию всех этих субъектов с целью оказания поддержки применению этих договоров во всемирном масштабе;</w:t>
      </w:r>
    </w:p>
    <w:p w14:paraId="576988FD" w14:textId="77777777" w:rsidR="00770322" w:rsidRPr="00BD6D8A" w:rsidRDefault="00770322" w:rsidP="00770322">
      <w:pPr>
        <w:pStyle w:val="SingleTxtG"/>
      </w:pPr>
      <w:bookmarkStart w:id="4" w:name="_Hlk50812712"/>
      <w:r>
        <w:tab/>
      </w:r>
      <w:r>
        <w:tab/>
      </w:r>
      <w:r w:rsidRPr="00BD6D8A">
        <w:t>11.</w:t>
      </w:r>
      <w:r w:rsidRPr="00BD6D8A">
        <w:tab/>
        <w:t>приветствуем долгосрочную стратегию и план действий по осуществлению Конвенции и Протокола</w:t>
      </w:r>
      <w:r w:rsidRPr="00BD6D8A">
        <w:rPr>
          <w:sz w:val="18"/>
          <w:szCs w:val="18"/>
          <w:vertAlign w:val="superscript"/>
        </w:rPr>
        <w:footnoteReference w:id="1"/>
      </w:r>
      <w:r w:rsidRPr="00BD6D8A">
        <w:t>, принятые решением VIII/3</w:t>
      </w:r>
      <w:r>
        <w:t>–</w:t>
      </w:r>
      <w:r w:rsidRPr="00BD6D8A">
        <w:t xml:space="preserve">IV/3, и обязуемся осуществлять долгосрочную стратегию и план действий посредством оперативных мероприятий, изложенных в планах работы; </w:t>
      </w:r>
    </w:p>
    <w:p w14:paraId="06B93678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12.</w:t>
      </w:r>
      <w:r w:rsidRPr="00BD6D8A">
        <w:tab/>
        <w:t>приветствуем также</w:t>
      </w:r>
      <w:r w:rsidRPr="00BD6D8A">
        <w:rPr>
          <w:i/>
          <w:iCs/>
        </w:rPr>
        <w:t xml:space="preserve"> </w:t>
      </w:r>
      <w:r w:rsidRPr="00BD6D8A">
        <w:t>Руководящие указания относительно применимости Конвенции к продлению срока эксплуатации атомных электростанций</w:t>
      </w:r>
      <w:r w:rsidRPr="00BD6D8A">
        <w:rPr>
          <w:sz w:val="18"/>
          <w:szCs w:val="18"/>
          <w:vertAlign w:val="superscript"/>
        </w:rPr>
        <w:footnoteReference w:id="2"/>
      </w:r>
      <w:r w:rsidRPr="00BD6D8A">
        <w:t>, принятые решением VIII/6, которые призваны оказать странам помощь в последовательном применении Конвенции на практике;</w:t>
      </w:r>
      <w:bookmarkStart w:id="5" w:name="_Hlk50812752"/>
      <w:bookmarkEnd w:id="5"/>
    </w:p>
    <w:p w14:paraId="0A6B43EF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[13.</w:t>
      </w:r>
      <w:r w:rsidRPr="00BD6D8A">
        <w:tab/>
        <w:t>приветствуем далее</w:t>
      </w:r>
      <w:r w:rsidRPr="00BD6D8A">
        <w:rPr>
          <w:i/>
          <w:iCs/>
        </w:rPr>
        <w:t xml:space="preserve"> </w:t>
      </w:r>
      <w:r w:rsidRPr="00BD6D8A">
        <w:t xml:space="preserve">проделанную работу по подготовке проекта руководства по оценке воздействия на здоровье в рамках стратегической </w:t>
      </w:r>
      <w:r w:rsidRPr="00BD6D8A">
        <w:lastRenderedPageBreak/>
        <w:t>экологической оценки</w:t>
      </w:r>
      <w:r w:rsidRPr="00BD6D8A">
        <w:rPr>
          <w:sz w:val="18"/>
          <w:szCs w:val="18"/>
          <w:vertAlign w:val="superscript"/>
        </w:rPr>
        <w:footnoteReference w:id="3"/>
      </w:r>
      <w:r w:rsidRPr="00BD6D8A">
        <w:rPr>
          <w:sz w:val="18"/>
          <w:szCs w:val="18"/>
        </w:rPr>
        <w:t xml:space="preserve"> </w:t>
      </w:r>
      <w:r w:rsidRPr="00BD6D8A">
        <w:t>и обязуемся завершить эту работу в приоритетном порядке [в</w:t>
      </w:r>
      <w:r>
        <w:t> </w:t>
      </w:r>
      <w:r w:rsidRPr="00BD6D8A">
        <w:t>2021 году] [в течение следующего межсессионного периода] до официального принятия руководящего документа на следующей сессии Совещания Сторон Протокола;</w:t>
      </w:r>
    </w:p>
    <w:bookmarkEnd w:id="4"/>
    <w:p w14:paraId="5019CCFD" w14:textId="77777777" w:rsidR="00770322" w:rsidRPr="00BD6D8A" w:rsidRDefault="00770322" w:rsidP="00770322">
      <w:pPr>
        <w:pStyle w:val="SingleTxtG"/>
      </w:pPr>
      <w:r>
        <w:tab/>
      </w:r>
      <w:r>
        <w:tab/>
      </w:r>
      <w:r w:rsidRPr="00BD6D8A">
        <w:t>14.</w:t>
      </w:r>
      <w:r w:rsidRPr="00BD6D8A">
        <w:tab/>
        <w:t>благодарим</w:t>
      </w:r>
      <w:r w:rsidRPr="00BD6D8A">
        <w:rPr>
          <w:i/>
          <w:iCs/>
        </w:rPr>
        <w:t xml:space="preserve"> </w:t>
      </w:r>
      <w:r w:rsidRPr="00BD6D8A">
        <w:t>правительство Литвы за проведение соответственно восьмой и четвертой сессий Совещания Сторон Конвенции и Совещания Сторон Протокола в Вильнюсе, а также за оказанное им щедрое гостеприимство.</w:t>
      </w:r>
    </w:p>
    <w:p w14:paraId="08D9E359" w14:textId="77777777" w:rsidR="00770322" w:rsidRPr="00CA709B" w:rsidRDefault="00770322" w:rsidP="007703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39437" w14:textId="77777777" w:rsidR="00770322" w:rsidRDefault="00770322">
      <w:pPr>
        <w:suppressAutoHyphens w:val="0"/>
        <w:spacing w:line="240" w:lineRule="auto"/>
      </w:pPr>
    </w:p>
    <w:p w14:paraId="0089D561" w14:textId="77777777" w:rsidR="00770322" w:rsidRDefault="00770322">
      <w:pPr>
        <w:suppressAutoHyphens w:val="0"/>
        <w:spacing w:line="240" w:lineRule="auto"/>
      </w:pPr>
    </w:p>
    <w:p w14:paraId="42CBA415" w14:textId="77777777" w:rsidR="00E12C5F" w:rsidRPr="008D53B6" w:rsidRDefault="00E12C5F" w:rsidP="00D9145B"/>
    <w:sectPr w:rsidR="00E12C5F" w:rsidRPr="008D53B6" w:rsidSect="007703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897A" w14:textId="77777777" w:rsidR="009B5BB9" w:rsidRPr="00A312BC" w:rsidRDefault="009B5BB9" w:rsidP="00A312BC"/>
  </w:endnote>
  <w:endnote w:type="continuationSeparator" w:id="0">
    <w:p w14:paraId="241776F3" w14:textId="77777777" w:rsidR="009B5BB9" w:rsidRPr="00A312BC" w:rsidRDefault="009B5B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5545" w14:textId="77777777" w:rsidR="00770322" w:rsidRPr="00770322" w:rsidRDefault="00770322">
    <w:pPr>
      <w:pStyle w:val="Footer"/>
    </w:pPr>
    <w:r w:rsidRPr="00770322">
      <w:rPr>
        <w:b/>
        <w:sz w:val="18"/>
      </w:rPr>
      <w:fldChar w:fldCharType="begin"/>
    </w:r>
    <w:r w:rsidRPr="00770322">
      <w:rPr>
        <w:b/>
        <w:sz w:val="18"/>
      </w:rPr>
      <w:instrText xml:space="preserve"> PAGE  \* MERGEFORMAT </w:instrText>
    </w:r>
    <w:r w:rsidRPr="00770322">
      <w:rPr>
        <w:b/>
        <w:sz w:val="18"/>
      </w:rPr>
      <w:fldChar w:fldCharType="separate"/>
    </w:r>
    <w:r w:rsidRPr="00770322">
      <w:rPr>
        <w:b/>
        <w:noProof/>
        <w:sz w:val="18"/>
      </w:rPr>
      <w:t>2</w:t>
    </w:r>
    <w:r w:rsidRPr="00770322">
      <w:rPr>
        <w:b/>
        <w:sz w:val="18"/>
      </w:rPr>
      <w:fldChar w:fldCharType="end"/>
    </w:r>
    <w:r>
      <w:rPr>
        <w:b/>
        <w:sz w:val="18"/>
      </w:rPr>
      <w:tab/>
    </w:r>
    <w:r>
      <w:t>GE.20-12385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C820" w14:textId="77777777" w:rsidR="00770322" w:rsidRPr="00770322" w:rsidRDefault="00770322" w:rsidP="00770322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GE.20-12385</w:t>
    </w:r>
    <w:r>
      <w:tab/>
    </w:r>
    <w:r w:rsidRPr="00770322">
      <w:rPr>
        <w:b/>
        <w:sz w:val="18"/>
      </w:rPr>
      <w:fldChar w:fldCharType="begin"/>
    </w:r>
    <w:r w:rsidRPr="00770322">
      <w:rPr>
        <w:b/>
        <w:sz w:val="18"/>
      </w:rPr>
      <w:instrText xml:space="preserve"> PAGE  \* MERGEFORMAT </w:instrText>
    </w:r>
    <w:r w:rsidRPr="00770322">
      <w:rPr>
        <w:b/>
        <w:sz w:val="18"/>
      </w:rPr>
      <w:fldChar w:fldCharType="separate"/>
    </w:r>
    <w:r w:rsidRPr="00770322">
      <w:rPr>
        <w:b/>
        <w:noProof/>
        <w:sz w:val="18"/>
      </w:rPr>
      <w:t>3</w:t>
    </w:r>
    <w:r w:rsidRPr="007703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0CC2" w14:textId="77777777" w:rsidR="00042B72" w:rsidRPr="00770322" w:rsidRDefault="00770322" w:rsidP="0077032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778CD9" wp14:editId="416346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20-12385  (R)</w:t>
    </w:r>
    <w:r>
      <w:rPr>
        <w:lang w:val="en-US"/>
      </w:rPr>
      <w:t xml:space="preserve">   300920  021020</w:t>
    </w:r>
    <w:r>
      <w:br/>
    </w:r>
    <w:r w:rsidRPr="00770322">
      <w:rPr>
        <w:rFonts w:ascii="C39T30Lfz" w:hAnsi="C39T30Lfz"/>
        <w:kern w:val="14"/>
        <w:sz w:val="56"/>
      </w:rPr>
      <w:t>*2012385*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FEAFEE" wp14:editId="42B0112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26EE" w14:textId="77777777" w:rsidR="009B5BB9" w:rsidRPr="001075E9" w:rsidRDefault="009B5B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32DADE" w14:textId="77777777" w:rsidR="009B5BB9" w:rsidRDefault="009B5B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8F013F" w14:textId="77777777" w:rsidR="00770322" w:rsidRPr="00266E75" w:rsidRDefault="00770322" w:rsidP="00770322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266E75">
        <w:rPr>
          <w:lang w:val="es-ES"/>
        </w:rPr>
        <w:tab/>
        <w:t xml:space="preserve">ECE/MP.EIA/2020/3–ECE/MP.EIA/SEA/2020/3. </w:t>
      </w:r>
    </w:p>
  </w:footnote>
  <w:footnote w:id="2">
    <w:p w14:paraId="442FC64C" w14:textId="77777777" w:rsidR="00770322" w:rsidRPr="00266E75" w:rsidRDefault="00770322" w:rsidP="00770322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266E75">
        <w:rPr>
          <w:lang w:val="es-ES"/>
        </w:rPr>
        <w:tab/>
      </w:r>
      <w:r>
        <w:rPr>
          <w:rStyle w:val="FootnoteReference"/>
        </w:rPr>
        <w:footnoteRef/>
      </w:r>
      <w:r w:rsidRPr="00266E75">
        <w:rPr>
          <w:lang w:val="es-ES"/>
        </w:rPr>
        <w:tab/>
        <w:t xml:space="preserve">ECE/MP.EIA/2020/9. </w:t>
      </w:r>
    </w:p>
  </w:footnote>
  <w:footnote w:id="3">
    <w:p w14:paraId="77D7278D" w14:textId="77777777" w:rsidR="00770322" w:rsidRPr="00266E75" w:rsidRDefault="00770322" w:rsidP="00770322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266E75">
        <w:rPr>
          <w:lang w:val="es-ES"/>
        </w:rPr>
        <w:tab/>
      </w:r>
      <w:r>
        <w:rPr>
          <w:rStyle w:val="FootnoteReference"/>
        </w:rPr>
        <w:footnoteRef/>
      </w:r>
      <w:r w:rsidRPr="00266E75">
        <w:rPr>
          <w:lang w:val="es-ES"/>
        </w:rPr>
        <w:tab/>
        <w:t xml:space="preserve">ECE/MP.EIA/WG.2/2020/7.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3473" w14:textId="23E9E386" w:rsidR="00770322" w:rsidRDefault="009B5B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3331">
      <w:t>ECE/MP.EIA/2020/5</w:t>
    </w:r>
    <w:r>
      <w:fldChar w:fldCharType="end"/>
    </w:r>
    <w:r w:rsidR="00770322">
      <w:br/>
    </w:r>
    <w:r>
      <w:fldChar w:fldCharType="begin"/>
    </w:r>
    <w:r>
      <w:instrText xml:space="preserve"> KEYWORDS  \* MERGEFORMAT </w:instrText>
    </w:r>
    <w:r>
      <w:fldChar w:fldCharType="separate"/>
    </w:r>
    <w:r w:rsidR="00123331">
      <w:t>ECE/MP.EIA/SEA/2020/5</w:t>
    </w:r>
    <w:r>
      <w:fldChar w:fldCharType="end"/>
    </w:r>
  </w:p>
  <w:p w14:paraId="57A2DD98" w14:textId="77777777" w:rsidR="00770322" w:rsidRPr="00770322" w:rsidRDefault="00770322" w:rsidP="00770322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7CD2" w14:textId="1A1786CB" w:rsidR="00770322" w:rsidRDefault="009B5BB9" w:rsidP="007703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3331">
      <w:t>ECE/MP.EIA/2020/5</w:t>
    </w:r>
    <w:r>
      <w:fldChar w:fldCharType="end"/>
    </w:r>
    <w:r w:rsidR="00770322">
      <w:br/>
    </w:r>
    <w:r>
      <w:fldChar w:fldCharType="begin"/>
    </w:r>
    <w:r>
      <w:instrText xml:space="preserve"> KEYWORDS  \* MERGEFORMAT </w:instrText>
    </w:r>
    <w:r>
      <w:fldChar w:fldCharType="separate"/>
    </w:r>
    <w:r w:rsidR="00123331">
      <w:t>ECE/MP.EIA/SEA/2020/5</w:t>
    </w:r>
    <w:r>
      <w:fldChar w:fldCharType="end"/>
    </w:r>
  </w:p>
  <w:p w14:paraId="331C5FDA" w14:textId="77777777" w:rsidR="00770322" w:rsidRPr="00770322" w:rsidRDefault="00770322" w:rsidP="00770322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333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47B4"/>
    <w:rsid w:val="006F35EE"/>
    <w:rsid w:val="007021FF"/>
    <w:rsid w:val="00712895"/>
    <w:rsid w:val="00734ACB"/>
    <w:rsid w:val="00757357"/>
    <w:rsid w:val="00770322"/>
    <w:rsid w:val="00792497"/>
    <w:rsid w:val="007A12E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BB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C474"/>
  <w15:docId w15:val="{90F698AB-0086-4ACD-844C-13A8DEC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7032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7032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ECE/MP.EIA/2020/5</dc:title>
  <dc:creator>Anna BLAGODATSKIKH</dc:creator>
  <cp:keywords>ECE/MP.EIA/SEA/2020/5</cp:keywords>
  <cp:lastModifiedBy>Monika Sbeghen</cp:lastModifiedBy>
  <cp:revision>2</cp:revision>
  <cp:lastPrinted>2020-10-02T07:34:00Z</cp:lastPrinted>
  <dcterms:created xsi:type="dcterms:W3CDTF">2020-10-16T07:57:00Z</dcterms:created>
  <dcterms:modified xsi:type="dcterms:W3CDTF">2020-10-16T07:57:00Z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