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8F7CC2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95BB8D" w14:textId="77777777" w:rsidR="002D5AAC" w:rsidRDefault="002D5AAC" w:rsidP="006C15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749092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7F123D0" w14:textId="77777777" w:rsidR="002D5AAC" w:rsidRDefault="006C1534" w:rsidP="006C1534">
            <w:pPr>
              <w:jc w:val="right"/>
            </w:pPr>
            <w:r w:rsidRPr="006C1534">
              <w:rPr>
                <w:sz w:val="40"/>
              </w:rPr>
              <w:t>ECE</w:t>
            </w:r>
            <w:r>
              <w:t>/MP.EIA/2020/7</w:t>
            </w:r>
          </w:p>
        </w:tc>
      </w:tr>
      <w:tr w:rsidR="002D5AAC" w:rsidRPr="0030008E" w14:paraId="4EC244B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5F31E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BFFF6E" wp14:editId="65B6FF8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0B61C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FB32C31" w14:textId="77777777" w:rsidR="002D5AAC" w:rsidRDefault="006C153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B33B46" w14:textId="77777777" w:rsidR="006C1534" w:rsidRDefault="006C1534" w:rsidP="006C15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September 2020</w:t>
            </w:r>
          </w:p>
          <w:p w14:paraId="31F5E6B7" w14:textId="77777777" w:rsidR="006C1534" w:rsidRDefault="006C1534" w:rsidP="006C15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A0BEBE" w14:textId="77777777" w:rsidR="006C1534" w:rsidRPr="008D53B6" w:rsidRDefault="006C1534" w:rsidP="006C15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D2AAC0" w14:textId="77777777" w:rsidR="006C153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ED36CE" w14:textId="77777777" w:rsidR="006C1534" w:rsidRPr="006C1534" w:rsidRDefault="006C1534" w:rsidP="006C1534">
      <w:pPr>
        <w:spacing w:before="120"/>
        <w:rPr>
          <w:bCs/>
          <w:sz w:val="28"/>
          <w:szCs w:val="28"/>
        </w:rPr>
      </w:pPr>
      <w:r w:rsidRPr="006C1534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6C1534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6C1534">
        <w:rPr>
          <w:sz w:val="28"/>
          <w:szCs w:val="28"/>
        </w:rPr>
        <w:t>в трансграничном контексте</w:t>
      </w:r>
    </w:p>
    <w:p w14:paraId="585C595F" w14:textId="77777777" w:rsidR="006C1534" w:rsidRPr="00C93E12" w:rsidRDefault="006C1534" w:rsidP="006C1534">
      <w:pPr>
        <w:pStyle w:val="H23G"/>
        <w:keepNext w:val="0"/>
        <w:keepLines w:val="0"/>
        <w:spacing w:before="120" w:after="0" w:line="240" w:lineRule="atLeast"/>
        <w:ind w:left="0" w:right="0" w:firstLine="0"/>
      </w:pPr>
      <w:r>
        <w:rPr>
          <w:bCs/>
        </w:rPr>
        <w:t>Четвертая сессия</w:t>
      </w:r>
    </w:p>
    <w:p w14:paraId="69DD77DD" w14:textId="77777777" w:rsidR="006C1534" w:rsidRPr="00C93E12" w:rsidRDefault="006C1534" w:rsidP="006C1534">
      <w:r>
        <w:t>Вильнюс, 8</w:t>
      </w:r>
      <w:r w:rsidRPr="00CA7471">
        <w:t>–</w:t>
      </w:r>
      <w:r>
        <w:t>11 декабря 2020 года</w:t>
      </w:r>
    </w:p>
    <w:p w14:paraId="704C37C4" w14:textId="77777777" w:rsidR="006C1534" w:rsidRPr="00C93E12" w:rsidRDefault="006C1534" w:rsidP="006C1534">
      <w:pPr>
        <w:spacing w:after="120"/>
      </w:pPr>
      <w:r>
        <w:t>Пункты 3 b) и 8 b) предварительной повестки дня</w:t>
      </w:r>
    </w:p>
    <w:p w14:paraId="37045C48" w14:textId="77777777" w:rsidR="006C1534" w:rsidRPr="00C93E12" w:rsidRDefault="006C1534" w:rsidP="006C1534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Нерешенные вопросы: проекты решений </w:t>
      </w:r>
      <w:r>
        <w:rPr>
          <w:b/>
          <w:bCs/>
        </w:rPr>
        <w:br/>
        <w:t>Совещания Сторон Конвенции</w:t>
      </w:r>
    </w:p>
    <w:p w14:paraId="3D54F638" w14:textId="77777777" w:rsidR="00E12C5F" w:rsidRDefault="006C1534" w:rsidP="006C1534">
      <w:r>
        <w:rPr>
          <w:b/>
          <w:bCs/>
        </w:rPr>
        <w:t xml:space="preserve">Принятие решений: решения для принятия </w:t>
      </w:r>
      <w:r>
        <w:rPr>
          <w:b/>
          <w:bCs/>
        </w:rPr>
        <w:br/>
        <w:t>Совещанием Сторон Конвенции</w:t>
      </w:r>
    </w:p>
    <w:p w14:paraId="7F76A7CB" w14:textId="77777777" w:rsidR="006C1534" w:rsidRPr="00C93E12" w:rsidRDefault="006C1534" w:rsidP="006C1534">
      <w:pPr>
        <w:pStyle w:val="HChG"/>
      </w:pPr>
      <w:r>
        <w:tab/>
      </w:r>
      <w:r>
        <w:tab/>
      </w:r>
      <w:r>
        <w:rPr>
          <w:bCs/>
        </w:rPr>
        <w:t>Проекты решений для принятия Совещанием Сторон Конвенции</w:t>
      </w:r>
    </w:p>
    <w:p w14:paraId="061014B4" w14:textId="77777777" w:rsidR="006C1534" w:rsidRDefault="006C1534" w:rsidP="006C1534">
      <w:pPr>
        <w:pStyle w:val="H1G"/>
      </w:pPr>
      <w:r>
        <w:tab/>
      </w:r>
      <w:r>
        <w:tab/>
        <w:t>Предложения Президиума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C1534" w:rsidRPr="006C1534" w14:paraId="6B776FD1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1F6FDE8" w14:textId="77777777" w:rsidR="006C1534" w:rsidRPr="006C1534" w:rsidRDefault="006C1534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C1534">
              <w:rPr>
                <w:rFonts w:cs="Times New Roman"/>
              </w:rPr>
              <w:tab/>
            </w:r>
            <w:r w:rsidRPr="006C153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C1534" w:rsidRPr="006C1534" w14:paraId="21ED880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0098A27" w14:textId="77777777" w:rsidR="006C1534" w:rsidRDefault="006C1534" w:rsidP="006C1534">
            <w:pPr>
              <w:pStyle w:val="SingleTxtG"/>
            </w:pPr>
            <w:r>
              <w:tab/>
            </w:r>
            <w:r>
              <w:tab/>
              <w:t>Настоящий документ содержит два проекта решений, подготовленных Президиумом руководящих органов Конвенции об оценке воздействия на окружающую среду в трансграничном контексте и Протокола по стратегической экологической оценке с учетом любых замечаний, высказанных Рабочей группой по оценке воздействия на окружающую среду и стратегической экологической оценке на ее девятом совещании (Женева, 24</w:t>
            </w:r>
            <w:r w:rsidRPr="006C1534">
              <w:t>–</w:t>
            </w:r>
            <w:r>
              <w:t xml:space="preserve">26 августа 2020 года): проект решения о представлении отчетности и обзоре осуществления Конвенции (VIII/5); и проект решения о применимости Конвенции к продлению срока эксплуатации атомных электростанций (VIII/6). Первый проект решения предусматривает принятие проекта шестого обзора хода осуществления Конвенции (ECE/MP.EIA/2020/8), а второй </w:t>
            </w:r>
            <w:r w:rsidRPr="006C1534">
              <w:t>—</w:t>
            </w:r>
            <w:r>
              <w:t xml:space="preserve"> одобрение проекта руководящих указаний относительно применимости Конвенции к продлению срока эксплуатации атомных электростанций (ECE/MP.EIA/2020/9), которые предусмотрены планом работы по осуществлению Конвенции и Протокола к ней на период 2017</w:t>
            </w:r>
            <w:r w:rsidRPr="006C1534">
              <w:t>–</w:t>
            </w:r>
            <w:r>
              <w:t>2020 годов (ECE/MP.EIA/23/Add.1</w:t>
            </w:r>
            <w:r w:rsidR="00113305" w:rsidRPr="00113305">
              <w:t>–</w:t>
            </w:r>
            <w:r>
              <w:t>ECE/MP.EIA/SEA/7/Add.1, решение VII/3</w:t>
            </w:r>
            <w:r w:rsidR="00113305" w:rsidRPr="00113305">
              <w:t>–</w:t>
            </w:r>
            <w:r>
              <w:t>III/3, приложение I, пункты I.6 и I.9); и ECE/MP.EIA/27/Add.1</w:t>
            </w:r>
            <w:r w:rsidR="00113305" w:rsidRPr="00113305">
              <w:t>–</w:t>
            </w:r>
            <w:r>
              <w:t>ECE/MP.EIA/SEA/11/Add.1, решение IS/2, пункт 6).</w:t>
            </w:r>
          </w:p>
          <w:p w14:paraId="6905E34A" w14:textId="77777777" w:rsidR="006C1534" w:rsidRPr="006C1534" w:rsidRDefault="006C1534" w:rsidP="006C1534">
            <w:pPr>
              <w:pStyle w:val="SingleTxtG"/>
            </w:pPr>
            <w:r>
              <w:tab/>
            </w:r>
            <w:r>
              <w:tab/>
              <w:t>Ожидается, что Совещание Сторон Конвенции рассмотрит текст проектов решений и примет решение об их принятии.</w:t>
            </w:r>
          </w:p>
        </w:tc>
      </w:tr>
      <w:tr w:rsidR="006C1534" w:rsidRPr="006C1534" w14:paraId="6761D900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087DE24" w14:textId="77777777" w:rsidR="006C1534" w:rsidRPr="006C1534" w:rsidRDefault="006C1534" w:rsidP="00850215">
            <w:pPr>
              <w:rPr>
                <w:rFonts w:cs="Times New Roman"/>
              </w:rPr>
            </w:pPr>
          </w:p>
        </w:tc>
      </w:tr>
    </w:tbl>
    <w:p w14:paraId="2FCED19B" w14:textId="77777777" w:rsidR="006C1534" w:rsidRDefault="006C153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C4C03C6" w14:textId="77777777" w:rsidR="006C1534" w:rsidRPr="00C93E12" w:rsidRDefault="006C1534" w:rsidP="006C1534">
      <w:pPr>
        <w:pStyle w:val="HChG"/>
      </w:pPr>
      <w:r>
        <w:rPr>
          <w:bCs/>
        </w:rPr>
        <w:lastRenderedPageBreak/>
        <w:t>Решение VIII/5</w:t>
      </w:r>
    </w:p>
    <w:p w14:paraId="7B397BF2" w14:textId="77777777" w:rsidR="006C1534" w:rsidRPr="00C93E12" w:rsidRDefault="006C1534" w:rsidP="006C1534">
      <w:pPr>
        <w:pStyle w:val="H1G"/>
        <w:rPr>
          <w:rFonts w:eastAsiaTheme="minorHAnsi"/>
        </w:rPr>
      </w:pPr>
      <w:r>
        <w:tab/>
      </w:r>
      <w:r>
        <w:tab/>
      </w:r>
      <w:r>
        <w:rPr>
          <w:bCs/>
        </w:rPr>
        <w:t>Представление отчетности и обзор осуществления Конвенции</w:t>
      </w:r>
    </w:p>
    <w:p w14:paraId="6754FBE2" w14:textId="77777777" w:rsidR="006C1534" w:rsidRPr="00C93E12" w:rsidRDefault="006C1534" w:rsidP="006C1534">
      <w:pPr>
        <w:pStyle w:val="SingleTxtG"/>
        <w:ind w:firstLine="567"/>
      </w:pPr>
      <w:bookmarkStart w:id="0" w:name="ici"/>
      <w:bookmarkEnd w:id="0"/>
      <w:r>
        <w:rPr>
          <w:i/>
          <w:iCs/>
        </w:rPr>
        <w:t>Совещание Сторон Конвенции,</w:t>
      </w:r>
    </w:p>
    <w:p w14:paraId="424FE870" w14:textId="77777777" w:rsidR="006C1534" w:rsidRPr="00C93E12" w:rsidRDefault="006C1534" w:rsidP="006C1534">
      <w:pPr>
        <w:pStyle w:val="SingleTxtG"/>
        <w:ind w:firstLine="567"/>
        <w:rPr>
          <w:rStyle w:val="SingleTxtGChar"/>
        </w:rPr>
      </w:pPr>
      <w:r>
        <w:rPr>
          <w:i/>
          <w:iCs/>
        </w:rPr>
        <w:t>ссылаясь</w:t>
      </w:r>
      <w:r>
        <w:t xml:space="preserve"> на свои решения III/1</w:t>
      </w:r>
      <w:r>
        <w:rPr>
          <w:rStyle w:val="FootnoteReference"/>
        </w:rPr>
        <w:footnoteReference w:id="1"/>
      </w:r>
      <w:r>
        <w:t>, IV/1</w:t>
      </w:r>
      <w:r>
        <w:rPr>
          <w:rStyle w:val="FootnoteReference"/>
        </w:rPr>
        <w:footnoteReference w:id="2"/>
      </w:r>
      <w:r>
        <w:t xml:space="preserve"> и V/3</w:t>
      </w:r>
      <w:r>
        <w:rPr>
          <w:rStyle w:val="FootnoteReference"/>
        </w:rPr>
        <w:footnoteReference w:id="3"/>
      </w:r>
      <w:r>
        <w:t xml:space="preserve"> об обзоре осуществления и решения V/7–I/7</w:t>
      </w:r>
      <w:r>
        <w:rPr>
          <w:rStyle w:val="FootnoteReference"/>
        </w:rPr>
        <w:footnoteReference w:id="4"/>
      </w:r>
      <w:r>
        <w:t>, VI/1</w:t>
      </w:r>
      <w:r>
        <w:rPr>
          <w:rStyle w:val="FootnoteReference"/>
        </w:rPr>
        <w:footnoteReference w:id="5"/>
      </w:r>
      <w:r>
        <w:t xml:space="preserve"> и VII/1</w:t>
      </w:r>
      <w:r>
        <w:rPr>
          <w:rStyle w:val="FootnoteReference"/>
        </w:rPr>
        <w:footnoteReference w:id="6"/>
      </w:r>
      <w:r>
        <w:t xml:space="preserve"> о представлении отчетности и обзоре осуществления,</w:t>
      </w:r>
    </w:p>
    <w:p w14:paraId="0E94FAA4" w14:textId="77777777" w:rsidR="006C1534" w:rsidRPr="00C93E12" w:rsidRDefault="006C1534" w:rsidP="006C1534">
      <w:pPr>
        <w:pStyle w:val="SingleTxtG"/>
        <w:ind w:firstLine="567"/>
        <w:rPr>
          <w:rStyle w:val="SingleTxtGChar"/>
        </w:rPr>
      </w:pPr>
      <w:r>
        <w:rPr>
          <w:i/>
          <w:iCs/>
        </w:rPr>
        <w:t>ссылаясь также</w:t>
      </w:r>
      <w:r>
        <w:t xml:space="preserve"> на статью 14</w:t>
      </w:r>
      <w:r w:rsidR="000F36F1" w:rsidRPr="000F36F1">
        <w:t xml:space="preserve"> </w:t>
      </w:r>
      <w:r w:rsidR="000F36F1">
        <w:rPr>
          <w:lang w:val="en-US"/>
        </w:rPr>
        <w:t>bis</w:t>
      </w:r>
      <w:r>
        <w:t xml:space="preserve"> Конвенции об оценке воздействия на окружающую среду в трансграничном контексте, в которой от Сторон требуется представлять доклады об осуществлении ими Конвенции,</w:t>
      </w:r>
    </w:p>
    <w:p w14:paraId="046012EA" w14:textId="77777777" w:rsidR="006C1534" w:rsidRPr="00C93E12" w:rsidRDefault="006C1534" w:rsidP="006C1534">
      <w:pPr>
        <w:pStyle w:val="SingleTxtG"/>
        <w:ind w:firstLine="567"/>
        <w:rPr>
          <w:rStyle w:val="SingleTxtGChar"/>
        </w:rPr>
      </w:pPr>
      <w:r>
        <w:rPr>
          <w:i/>
          <w:iCs/>
        </w:rPr>
        <w:t>вновь признавая</w:t>
      </w:r>
      <w:r>
        <w:t>, что регулярное представление отчетности каждой Стороной обеспечивает поступление важной информации, которая способствует обзору соблюдения положений Конвенции и тем самым вносит вклад в работу Комитета по осуществлению,</w:t>
      </w:r>
    </w:p>
    <w:p w14:paraId="74C24A5C" w14:textId="77777777" w:rsidR="006C1534" w:rsidRPr="00C93E12" w:rsidRDefault="006C1534" w:rsidP="006C1534">
      <w:pPr>
        <w:pStyle w:val="SingleTxtG"/>
        <w:ind w:firstLine="567"/>
        <w:rPr>
          <w:rStyle w:val="SingleTxtGChar"/>
          <w:iCs/>
        </w:rPr>
      </w:pPr>
      <w:r>
        <w:rPr>
          <w:i/>
          <w:iCs/>
        </w:rPr>
        <w:t>признавая</w:t>
      </w:r>
      <w:r>
        <w:t>, что отчетность Сторон дает полезную информацию другим странам, расположенным как в регионе Европейской экономической комиссии (ЕЭК) Организации Объединенных Наций, так и за его пределами, что содействует их усилиям по осуществлению Конвенции и присоединению к ней,</w:t>
      </w:r>
      <w:bookmarkStart w:id="2" w:name="_Hlk35349677"/>
      <w:bookmarkEnd w:id="2"/>
    </w:p>
    <w:p w14:paraId="5CABA3D5" w14:textId="77777777" w:rsidR="006C1534" w:rsidRPr="00C93E12" w:rsidRDefault="006C1534" w:rsidP="006C1534">
      <w:pPr>
        <w:spacing w:after="120"/>
        <w:ind w:left="1134" w:right="1134" w:firstLine="567"/>
        <w:jc w:val="both"/>
        <w:rPr>
          <w:rStyle w:val="SingleTxtGChar"/>
        </w:rPr>
      </w:pPr>
      <w:r>
        <w:rPr>
          <w:i/>
          <w:iCs/>
        </w:rPr>
        <w:t>проанализировав</w:t>
      </w:r>
      <w:r>
        <w:t xml:space="preserve"> доклады, представленные Сторонами в ответ на вопросник об осуществлении Конвенции,</w:t>
      </w:r>
    </w:p>
    <w:p w14:paraId="3FB8F852" w14:textId="77777777" w:rsidR="006C1534" w:rsidRPr="00C93E12" w:rsidRDefault="006C1534" w:rsidP="006C1534">
      <w:pPr>
        <w:spacing w:after="120"/>
        <w:ind w:left="1134" w:right="1134" w:firstLine="567"/>
        <w:jc w:val="both"/>
        <w:rPr>
          <w:rStyle w:val="SingleTxtGChar"/>
        </w:rPr>
      </w:pPr>
      <w:r>
        <w:rPr>
          <w:i/>
          <w:iCs/>
        </w:rPr>
        <w:t>решительно подчеркивая</w:t>
      </w:r>
      <w:r>
        <w:t xml:space="preserve"> важное значение своевременности и высокого качества национальной отчетности,</w:t>
      </w:r>
    </w:p>
    <w:p w14:paraId="361B48BE" w14:textId="4CFD86C3" w:rsidR="006C1534" w:rsidRPr="00C93E12" w:rsidRDefault="006C1534" w:rsidP="006C1534">
      <w:pPr>
        <w:pStyle w:val="SingleTxtG"/>
        <w:ind w:firstLine="567"/>
      </w:pPr>
      <w:r>
        <w:rPr>
          <w:i/>
          <w:iCs/>
        </w:rPr>
        <w:t>выражая обеспокоенность</w:t>
      </w:r>
      <w:r>
        <w:t xml:space="preserve"> в связи с тем, что на вопросник с опозданием ответили следующие 23 государства-участника, которые являлись Сторонами Конвенции в рассматриваемый период: Азербайджан, Беларусь, Босния и Герцеговина, Германия, Греция, Дания, Ирландия, Испания, Италия, Казахстан, Кипр, Латвия, Лихтенштейн, Люксембург, Нидерланды, Португалия, </w:t>
      </w:r>
      <w:r w:rsidR="0030008E">
        <w:t xml:space="preserve">Северная Македония, </w:t>
      </w:r>
      <w:r>
        <w:t xml:space="preserve">Сербия, Словения, Украина, Финляндия, Франция и Черногория, </w:t>
      </w:r>
    </w:p>
    <w:p w14:paraId="4FC26A87" w14:textId="77777777" w:rsidR="006C1534" w:rsidRPr="00C93E12" w:rsidRDefault="006C1534" w:rsidP="006C1534">
      <w:pPr>
        <w:pStyle w:val="SingleTxtG"/>
        <w:ind w:firstLine="567"/>
      </w:pPr>
      <w:r w:rsidRPr="000F36F1">
        <w:t>[</w:t>
      </w:r>
      <w:r>
        <w:rPr>
          <w:i/>
          <w:iCs/>
        </w:rPr>
        <w:t>отмечая</w:t>
      </w:r>
      <w:r>
        <w:t>, что Европейский союз является Стороной Конвенции, но, будучи региональной организацией экономической интеграции, до сих пор считал нецелесообразным возвращать заполненный вопросник, представляя вместо этого обновленную информацию в отношении соответствующего законодательства Европейского союза,]</w:t>
      </w:r>
    </w:p>
    <w:p w14:paraId="707D9E26" w14:textId="77777777" w:rsidR="006C1534" w:rsidRPr="00C93E12" w:rsidRDefault="006C1534" w:rsidP="006C1534">
      <w:pPr>
        <w:pStyle w:val="SingleTxtG"/>
        <w:ind w:firstLine="567"/>
      </w:pPr>
      <w:r>
        <w:rPr>
          <w:i/>
          <w:iCs/>
        </w:rPr>
        <w:t>выражая удовлетворение</w:t>
      </w:r>
      <w:r>
        <w:t xml:space="preserve"> тем, что Грузия, которая не является Стороной Конвенции, тем не менее, ответила на вопросник,</w:t>
      </w:r>
    </w:p>
    <w:p w14:paraId="1E29013B" w14:textId="77777777" w:rsidR="006C1534" w:rsidRPr="00C93E12" w:rsidRDefault="006C1534" w:rsidP="006C1534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приветствует</w:t>
      </w:r>
      <w:r>
        <w:t xml:space="preserve"> доклады Сторон об осуществлении ими Конвенции в период 2016–2018 годов, которые были размещены на веб-сайте Конвенции;</w:t>
      </w:r>
    </w:p>
    <w:p w14:paraId="2620FDCA" w14:textId="77777777" w:rsidR="006C1534" w:rsidRPr="00C93E12" w:rsidRDefault="006C1534" w:rsidP="006C1534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одобряет</w:t>
      </w:r>
      <w:r>
        <w:t xml:space="preserve"> шестой обзор осуществления Конвенции (ECE/MP.EIA/2020/8) и просит секретариат организовать его опубликование в электронном виде на всех трех официальных языках ЕЭК;</w:t>
      </w:r>
    </w:p>
    <w:p w14:paraId="5AB5018D" w14:textId="77777777" w:rsidR="006C1534" w:rsidRPr="00C93E12" w:rsidRDefault="006C1534" w:rsidP="006C1534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принимает к сведению</w:t>
      </w:r>
      <w:r>
        <w:t xml:space="preserve"> выводы, содержащиеся в шестом обзоре осуществления, в том числе возможные слабые места или недостатки в осуществлении Конвенции Сторонами, перечисленные ниже:</w:t>
      </w:r>
    </w:p>
    <w:p w14:paraId="6D096FE3" w14:textId="77777777" w:rsidR="006C1534" w:rsidRPr="00C93E12" w:rsidRDefault="006C1534" w:rsidP="006C1534">
      <w:pPr>
        <w:pStyle w:val="SingleTxtG"/>
        <w:ind w:firstLine="567"/>
      </w:pPr>
      <w:r>
        <w:t>a)</w:t>
      </w:r>
      <w:r>
        <w:tab/>
        <w:t xml:space="preserve">определения и подходы Сторон к ключевым терминам Конвенции, таким как «воздействие», «трансграничное воздействие» и «значительные изменения», </w:t>
      </w:r>
      <w:bookmarkStart w:id="3" w:name="_GoBack"/>
      <w:bookmarkEnd w:id="3"/>
      <w:r>
        <w:lastRenderedPageBreak/>
        <w:t>различаются, при этом несколько Сторон не определили некоторые из этих терминов в своем национальном законодательстве. Это может стать источником проблем, особенно в случае отсутствия ясности по поводу того, какие планируемые виды деятельности подпадают под действие Конвенции (статьи 1 и 6);</w:t>
      </w:r>
    </w:p>
    <w:p w14:paraId="1E16465C" w14:textId="77777777" w:rsidR="006C1534" w:rsidRPr="00C93E12" w:rsidRDefault="006C1534" w:rsidP="006C1534">
      <w:pPr>
        <w:pStyle w:val="SingleTxtG"/>
        <w:ind w:firstLine="567"/>
      </w:pPr>
      <w:r>
        <w:t>b)</w:t>
      </w:r>
      <w:r>
        <w:tab/>
        <w:t>немногим более 50</w:t>
      </w:r>
      <w:r w:rsidR="000529FC" w:rsidRPr="000529FC">
        <w:t xml:space="preserve"> </w:t>
      </w:r>
      <w:r w:rsidR="000529FC">
        <w:t>процентов</w:t>
      </w:r>
      <w:r>
        <w:t xml:space="preserve"> Сторон приняли обязательные положения о проведении трансграничных консультаций с органами затрагиваемых Сторон в соответствии со статьей 5, при этом девять Сторон не имеют положений в этом отношении в своем внутреннем законодательстве;</w:t>
      </w:r>
    </w:p>
    <w:p w14:paraId="57960AAB" w14:textId="77777777" w:rsidR="006C1534" w:rsidRPr="00C93E12" w:rsidRDefault="006C1534" w:rsidP="006C1534">
      <w:pPr>
        <w:pStyle w:val="SingleTxtG"/>
        <w:ind w:firstLine="567"/>
      </w:pPr>
      <w:r>
        <w:t>c)</w:t>
      </w:r>
      <w:r>
        <w:tab/>
        <w:t>лишь меньшая часть Сторон имеет в своем законодательстве четко сформулированное положение о том, как обеспечивать применение пункта 3 статьи 6, требующего доводить до сведения заинтересованных Сторон дополнительную информацию, которая может повлечь за собой консультации и принятие иного решения до начала работы по тому или иному виду деятельности;</w:t>
      </w:r>
    </w:p>
    <w:p w14:paraId="32241465" w14:textId="77777777" w:rsidR="006C1534" w:rsidRPr="00C93E12" w:rsidRDefault="006C1534" w:rsidP="006C1534">
      <w:pPr>
        <w:pStyle w:val="SingleTxtG"/>
        <w:ind w:firstLine="567"/>
      </w:pPr>
      <w:r>
        <w:t>d)</w:t>
      </w:r>
      <w:r>
        <w:tab/>
        <w:t>накоплен лишь первичный опыт проведения послепроектного анализа в соответствии со статьей 7, при этом 11 Сторон не имеют четко сформулированных положений, обеспечивающих осуществление этой статьи, в своем законодательстве;</w:t>
      </w:r>
    </w:p>
    <w:p w14:paraId="2D2F2B1A" w14:textId="77777777" w:rsidR="006C1534" w:rsidRPr="00EB1D48" w:rsidRDefault="006C1534" w:rsidP="006C1534">
      <w:pPr>
        <w:pStyle w:val="SingleTxtG"/>
        <w:ind w:firstLine="567"/>
      </w:pPr>
      <w:r>
        <w:t>e)</w:t>
      </w:r>
      <w:r>
        <w:tab/>
        <w:t>практика перевода документации для затрагиваемых Сторон не отличается единообразием. Стороны указали на ряд трудностей и проблемных вопросов в связи с такой практикой, в частности в связи с качеством перевода и необходимостью выполнения перевода при должном учете графиков проведения консультаций и участия общественности;</w:t>
      </w:r>
    </w:p>
    <w:p w14:paraId="05955812" w14:textId="77777777" w:rsidR="006C1534" w:rsidRPr="00C93E12" w:rsidRDefault="006C1534" w:rsidP="006C1534">
      <w:pPr>
        <w:pStyle w:val="SingleTxtG"/>
        <w:ind w:firstLine="567"/>
      </w:pPr>
      <w:r>
        <w:t>f)</w:t>
      </w:r>
      <w:r>
        <w:tab/>
        <w:t>менее частое использование руководящих документов, разработанных в целях содействия осуществлению Конвенции. Однако большинство Сторон не видят необходимости в обновлении большинства текущих документов;</w:t>
      </w:r>
    </w:p>
    <w:p w14:paraId="4D6052ED" w14:textId="77777777" w:rsidR="006C1534" w:rsidRPr="00EB1D48" w:rsidRDefault="006C1534" w:rsidP="006C1534">
      <w:pPr>
        <w:pStyle w:val="SingleTxtG"/>
        <w:ind w:firstLine="567"/>
      </w:pPr>
      <w:r>
        <w:t>g)</w:t>
      </w:r>
      <w:r>
        <w:tab/>
        <w:t>может быть полезным заключение двусторонних и многосторонних соглашений или других договоренностей в соответствии со статьей 8, в частности для устранения различий между практикой применения Конвенции Сторонами;</w:t>
      </w:r>
    </w:p>
    <w:p w14:paraId="035A2445" w14:textId="77777777" w:rsidR="006C1534" w:rsidRPr="00C93E12" w:rsidRDefault="006C1534" w:rsidP="006C1534">
      <w:pPr>
        <w:pStyle w:val="SingleTxtG"/>
        <w:ind w:firstLine="567"/>
      </w:pPr>
      <w:r>
        <w:t>h)</w:t>
      </w:r>
      <w:r>
        <w:tab/>
        <w:t>несвоевременное представление отчетности Сторонами осложнило обзор;</w:t>
      </w:r>
    </w:p>
    <w:p w14:paraId="342E1A33" w14:textId="77777777" w:rsidR="006C1534" w:rsidRPr="00C93E12" w:rsidRDefault="006C1534" w:rsidP="006C1534">
      <w:pPr>
        <w:pStyle w:val="SingleTxtG"/>
        <w:ind w:firstLine="567"/>
      </w:pPr>
      <w:r>
        <w:t>i)</w:t>
      </w:r>
      <w:r>
        <w:tab/>
        <w:t>Стороны используют разные меры контроля качества для обеспечения качества документации по оценке воздействия на окружающую среду;</w:t>
      </w:r>
    </w:p>
    <w:p w14:paraId="67AFD3AB" w14:textId="77777777" w:rsidR="006C1534" w:rsidRPr="00C93E12" w:rsidRDefault="006C1534" w:rsidP="006C1534">
      <w:pPr>
        <w:pStyle w:val="SingleTxtG"/>
        <w:ind w:firstLine="567"/>
      </w:pPr>
      <w:r>
        <w:t>j)</w:t>
      </w:r>
      <w:r>
        <w:tab/>
        <w:t>сообщается о большом разнообразии практики и опыта осуществления Конвенции, однако лишь немногие Стороны добровольно делятся информацией о применяемой ими надлежащей практике путем подготовки информационных бюллетеней. Можно было бы рассмотреть вопрос о том, как ЕЭК могла бы содействовать сбору информации о таких видах практики в целях оказания помощи в подготовке материалов для активизации осуществления и практического применения Конвенции;</w:t>
      </w:r>
    </w:p>
    <w:p w14:paraId="5F58295A" w14:textId="77777777" w:rsidR="006C1534" w:rsidRPr="00C93E12" w:rsidRDefault="006C1534" w:rsidP="006C1534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просит</w:t>
      </w:r>
      <w:r>
        <w:t xml:space="preserve"> секретариат обратить внимание Комитета по осуществлению на общие и конкретные вопросы соблюдения, указанные в шестом обзоре осуществления Конвенции, и просит Комитет по осуществлению учитывать их в своей работе;</w:t>
      </w:r>
    </w:p>
    <w:p w14:paraId="5437408E" w14:textId="77777777" w:rsidR="006C1534" w:rsidRPr="00C93E12" w:rsidRDefault="006C1534" w:rsidP="006C1534">
      <w:pPr>
        <w:pStyle w:val="SingleTxtG"/>
        <w:ind w:firstLine="567"/>
        <w:rPr>
          <w:rStyle w:val="SingleTxtGChar"/>
        </w:rPr>
      </w:pPr>
      <w:r>
        <w:t>5.</w:t>
      </w:r>
      <w:r>
        <w:tab/>
      </w:r>
      <w:r>
        <w:rPr>
          <w:i/>
          <w:iCs/>
        </w:rPr>
        <w:t>просит</w:t>
      </w:r>
      <w:r>
        <w:t xml:space="preserve"> Комитет по осуществлению, при необходимости, скорректировать вопросник для следующего раунда представления докладов об осуществлении Конвенции Сторонами в период 2019–2021 годов с учетом предложенных усовершенствований вопросника об осуществлении Конвенции и представить, при необходимости, пересмотренный вариант на рассмотрение Рабочей группы по оценке воздействия на окружающую среду и стратегической экологической оценке и для последующего распространения секретариатом;</w:t>
      </w:r>
      <w:bookmarkStart w:id="4" w:name="_Hlk31813970"/>
      <w:bookmarkEnd w:id="4"/>
    </w:p>
    <w:p w14:paraId="66B45FC6" w14:textId="77777777" w:rsidR="006C1534" w:rsidRPr="00C93E12" w:rsidRDefault="006C1534" w:rsidP="006C1534">
      <w:pPr>
        <w:pStyle w:val="SingleTxtG"/>
        <w:ind w:firstLine="567"/>
      </w:pPr>
      <w:bookmarkStart w:id="5" w:name="_Hlk32336393"/>
      <w:r>
        <w:t>6.</w:t>
      </w:r>
      <w:r>
        <w:tab/>
      </w:r>
      <w:r>
        <w:rPr>
          <w:i/>
          <w:iCs/>
        </w:rPr>
        <w:t>просит также</w:t>
      </w:r>
      <w:r>
        <w:t xml:space="preserve"> Комитет по осуществлению подготовить типовую форму доклада с учетом контекста и компетенций региональных организаций экономической интеграции, включая Европейский союз, с тем чтобы облегчить представление ими докладов в соответствии со статьей 14</w:t>
      </w:r>
      <w:r w:rsidR="000529FC">
        <w:t xml:space="preserve"> </w:t>
      </w:r>
      <w:r w:rsidR="000529FC">
        <w:rPr>
          <w:lang w:val="en-US"/>
        </w:rPr>
        <w:t>bis</w:t>
      </w:r>
      <w:r>
        <w:t xml:space="preserve"> Конвенции;</w:t>
      </w:r>
      <w:bookmarkEnd w:id="5"/>
    </w:p>
    <w:p w14:paraId="30CB271E" w14:textId="77777777" w:rsidR="006C1534" w:rsidRPr="00C93E12" w:rsidRDefault="006C1534" w:rsidP="006C1534">
      <w:pPr>
        <w:pStyle w:val="SingleTxtG"/>
        <w:ind w:firstLine="567"/>
        <w:rPr>
          <w:rStyle w:val="SingleTxtGChar"/>
        </w:rPr>
      </w:pPr>
      <w:r>
        <w:lastRenderedPageBreak/>
        <w:t>7.</w:t>
      </w:r>
      <w:r>
        <w:tab/>
      </w:r>
      <w:r>
        <w:rPr>
          <w:i/>
          <w:iCs/>
        </w:rPr>
        <w:t>постановляет</w:t>
      </w:r>
      <w:r>
        <w:t>, что Стороны заполнят вопросник в качестве доклада об осуществлении ими Конвенции в период 2019–2021 годов;</w:t>
      </w:r>
    </w:p>
    <w:p w14:paraId="7CA86ADC" w14:textId="77777777" w:rsidR="006C1534" w:rsidRPr="00C93E12" w:rsidRDefault="006C1534" w:rsidP="006C1534">
      <w:pPr>
        <w:pStyle w:val="SingleTxtG"/>
        <w:ind w:firstLine="567"/>
        <w:rPr>
          <w:rStyle w:val="SingleTxtGChar"/>
        </w:rPr>
      </w:pPr>
      <w:r>
        <w:t>8.</w:t>
      </w:r>
      <w:r>
        <w:tab/>
      </w:r>
      <w:r>
        <w:rPr>
          <w:i/>
          <w:iCs/>
        </w:rPr>
        <w:t>настоятельно призывает</w:t>
      </w:r>
      <w:r>
        <w:t xml:space="preserve"> Стороны представлять доклады до истечения крайнего срока, который будет согласован Рабочей группой;</w:t>
      </w:r>
    </w:p>
    <w:p w14:paraId="64186644" w14:textId="77777777" w:rsidR="006C1534" w:rsidRPr="00C93E12" w:rsidRDefault="006C1534" w:rsidP="006C1534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>просит</w:t>
      </w:r>
      <w:r>
        <w:t xml:space="preserve"> секретариат размещать на веб-сайте Конвенции национальные доклады на имеющихся языках;</w:t>
      </w:r>
      <w:bookmarkStart w:id="6" w:name="_Hlk31814066"/>
      <w:bookmarkEnd w:id="6"/>
    </w:p>
    <w:p w14:paraId="171831B9" w14:textId="77777777" w:rsidR="006C1534" w:rsidRPr="00C93E12" w:rsidRDefault="006C1534" w:rsidP="006C1534">
      <w:pPr>
        <w:pStyle w:val="SingleTxtG"/>
        <w:ind w:firstLine="567"/>
        <w:rPr>
          <w:rStyle w:val="SingleTxtGChar"/>
        </w:rPr>
      </w:pPr>
      <w:r>
        <w:t>10.</w:t>
      </w:r>
      <w:r>
        <w:tab/>
      </w:r>
      <w:r>
        <w:rPr>
          <w:i/>
          <w:iCs/>
        </w:rPr>
        <w:t>просит также</w:t>
      </w:r>
      <w:r>
        <w:t xml:space="preserve"> секретариат размещать на веб-сайте Конвенции перечни проектов, включенные в ответы на вопросник, если страны не возражают против такой практики;</w:t>
      </w:r>
    </w:p>
    <w:p w14:paraId="163832B8" w14:textId="77777777" w:rsidR="006C1534" w:rsidRPr="00C93E12" w:rsidRDefault="006C1534" w:rsidP="006C1534">
      <w:pPr>
        <w:pStyle w:val="SingleTxtG"/>
        <w:ind w:firstLine="567"/>
        <w:rPr>
          <w:rStyle w:val="SingleTxtGChar"/>
        </w:rPr>
      </w:pPr>
      <w:r>
        <w:t>11.</w:t>
      </w:r>
      <w:r>
        <w:tab/>
      </w:r>
      <w:r>
        <w:rPr>
          <w:i/>
          <w:iCs/>
        </w:rPr>
        <w:t>постановляет</w:t>
      </w:r>
      <w:r>
        <w:t>, что проект седьмого обзора осуществления Конвенции в период 2019–2021 годов, основанный на докладах Сторон, будет представлен на девятой сессии Совещания Сторон Конвенции и что в плане работы будут отражены элементы, необходимые для подготовки этого проекта обзора;</w:t>
      </w:r>
    </w:p>
    <w:p w14:paraId="04FE6C47" w14:textId="77777777" w:rsidR="006C1534" w:rsidRPr="006C1534" w:rsidRDefault="006C1534" w:rsidP="006C1534">
      <w:pPr>
        <w:pStyle w:val="SingleTxtG"/>
      </w:pPr>
      <w:r>
        <w:tab/>
      </w:r>
      <w:r>
        <w:tab/>
        <w:t>12.</w:t>
      </w:r>
      <w:r>
        <w:tab/>
      </w:r>
      <w:r>
        <w:rPr>
          <w:i/>
          <w:iCs/>
        </w:rPr>
        <w:t xml:space="preserve">просит </w:t>
      </w:r>
      <w:r>
        <w:t>секретариат предусмотреть после утверждения седьмого обзора осуществления последующее его опубликование в электронном виде на всех трех официальных языках ЕЭК</w:t>
      </w:r>
      <w:r w:rsidRPr="006C1534">
        <w:t>.</w:t>
      </w:r>
    </w:p>
    <w:p w14:paraId="2F8C9272" w14:textId="77777777" w:rsidR="006C1534" w:rsidRDefault="006C1534" w:rsidP="006C1534">
      <w:pPr>
        <w:pStyle w:val="SingleTxtG"/>
        <w:sectPr w:rsidR="006C1534" w:rsidSect="006C153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3EDAF129" w14:textId="77777777" w:rsidR="006C1534" w:rsidRPr="00C93E12" w:rsidRDefault="006C1534" w:rsidP="006C1534">
      <w:pPr>
        <w:pStyle w:val="HChG"/>
      </w:pPr>
      <w:r>
        <w:rPr>
          <w:bCs/>
        </w:rPr>
        <w:lastRenderedPageBreak/>
        <w:t>Проект решения VIII/6</w:t>
      </w:r>
    </w:p>
    <w:p w14:paraId="70629240" w14:textId="77777777" w:rsidR="006C1534" w:rsidRPr="00C93E12" w:rsidRDefault="006C1534" w:rsidP="006C1534">
      <w:pPr>
        <w:pStyle w:val="H1G"/>
      </w:pPr>
      <w:r>
        <w:tab/>
      </w:r>
      <w:r>
        <w:tab/>
      </w:r>
      <w:r>
        <w:rPr>
          <w:bCs/>
        </w:rPr>
        <w:t>Применимость Конвенции к продлению срока эксплуатации атомных электростанций</w:t>
      </w:r>
      <w:r>
        <w:t xml:space="preserve"> </w:t>
      </w:r>
    </w:p>
    <w:p w14:paraId="109191B8" w14:textId="77777777" w:rsidR="006C1534" w:rsidRPr="00C93E12" w:rsidRDefault="006C1534" w:rsidP="006C1534">
      <w:pPr>
        <w:spacing w:after="120"/>
        <w:ind w:left="1134" w:right="1134" w:firstLine="567"/>
        <w:jc w:val="both"/>
        <w:rPr>
          <w:i/>
          <w:iCs/>
        </w:rPr>
      </w:pPr>
      <w:r>
        <w:rPr>
          <w:i/>
          <w:iCs/>
        </w:rPr>
        <w:t>Совещание Сторон Конвенции,</w:t>
      </w:r>
    </w:p>
    <w:p w14:paraId="3B900C0C" w14:textId="77777777" w:rsidR="006C1534" w:rsidRPr="00C93E12" w:rsidRDefault="006C1534" w:rsidP="006C1534">
      <w:pPr>
        <w:spacing w:after="120"/>
        <w:ind w:left="1134" w:right="1134" w:firstLine="567"/>
        <w:jc w:val="both"/>
      </w:pPr>
      <w:r>
        <w:rPr>
          <w:i/>
          <w:iCs/>
        </w:rPr>
        <w:t>ссылаясь</w:t>
      </w:r>
      <w:r>
        <w:t xml:space="preserve"> на свое решение VII/3</w:t>
      </w:r>
      <w:r w:rsidR="000529FC" w:rsidRPr="000529FC">
        <w:t>–</w:t>
      </w:r>
      <w:r>
        <w:t>III/3</w:t>
      </w:r>
      <w:r>
        <w:rPr>
          <w:rStyle w:val="FootnoteReference"/>
        </w:rPr>
        <w:footnoteReference w:id="7"/>
      </w:r>
      <w:r>
        <w:t xml:space="preserve"> о принятии плана работы, </w:t>
      </w:r>
    </w:p>
    <w:p w14:paraId="202AF7C9" w14:textId="77777777" w:rsidR="006C1534" w:rsidRPr="00C93E12" w:rsidRDefault="006C1534" w:rsidP="006C1534">
      <w:pPr>
        <w:spacing w:after="120"/>
        <w:ind w:left="1134" w:right="1134" w:firstLine="567"/>
        <w:jc w:val="both"/>
      </w:pPr>
      <w:r>
        <w:rPr>
          <w:i/>
          <w:iCs/>
        </w:rPr>
        <w:t>вновь подтверждая</w:t>
      </w:r>
      <w:r>
        <w:t>, что Конвенция об оценке воздействия на окружающую среду в трансграничном контексте является ключевым документом, устанавливающим правила осуществления внутренних мер и международного сотрудничества в целях предотвращения значительного вредного трансграничного воздействия на окружающую среду в результате планируемой деятельности, включая деятельность в области атомной энергетики, а также его уменьшения и контроля над ним,</w:t>
      </w:r>
    </w:p>
    <w:p w14:paraId="2B70A22D" w14:textId="77777777" w:rsidR="006C1534" w:rsidRPr="00C93E12" w:rsidRDefault="006C1534" w:rsidP="006C1534">
      <w:pPr>
        <w:spacing w:after="120"/>
        <w:ind w:left="1134" w:right="1134" w:firstLine="567"/>
        <w:jc w:val="both"/>
      </w:pPr>
      <w:r>
        <w:rPr>
          <w:i/>
          <w:iCs/>
        </w:rPr>
        <w:t>сознавая</w:t>
      </w:r>
      <w:r>
        <w:t xml:space="preserve">, что многие Стороны в настоящее время рассматривают вопрос о продлении срока эксплуатации своих существующих атомных электростанций,  </w:t>
      </w:r>
    </w:p>
    <w:p w14:paraId="1B0A6F1E" w14:textId="77777777" w:rsidR="006C1534" w:rsidRPr="00C93E12" w:rsidRDefault="006C1534" w:rsidP="006C1534">
      <w:pPr>
        <w:spacing w:after="120"/>
        <w:ind w:left="1134" w:right="1134" w:firstLine="567"/>
        <w:jc w:val="both"/>
      </w:pPr>
      <w:r>
        <w:rPr>
          <w:i/>
          <w:iCs/>
        </w:rPr>
        <w:t xml:space="preserve">сознавая также </w:t>
      </w:r>
      <w:r>
        <w:t xml:space="preserve">обеспокоенность общественности в связи с возможными значительными трансграничными [и долгосрочными] негативными экологическими последствиями продления срока эксплуатации существующих атомных электростанций в регионе Европейской экономической комиссии Организации Объединенных Наций и желание общественности участвовать в процессе принятия соответствующих решений, </w:t>
      </w:r>
    </w:p>
    <w:p w14:paraId="7A559269" w14:textId="77777777" w:rsidR="006C1534" w:rsidRPr="00C93E12" w:rsidRDefault="006C1534" w:rsidP="006C1534">
      <w:pPr>
        <w:spacing w:after="120"/>
        <w:ind w:left="1134" w:right="1134" w:firstLine="567"/>
        <w:jc w:val="both"/>
      </w:pPr>
      <w:r>
        <w:rPr>
          <w:i/>
          <w:iCs/>
        </w:rPr>
        <w:t>подтверждая</w:t>
      </w:r>
      <w:r>
        <w:t xml:space="preserve"> первостепенное значение принципа предосторожности, заблаговременного и своевременного уведомления и транспарентного принятия решений на основе широкого участия для эффективного применения Конвенции, </w:t>
      </w:r>
    </w:p>
    <w:p w14:paraId="3FDEAF0B" w14:textId="77777777" w:rsidR="006C1534" w:rsidRPr="00C93E12" w:rsidRDefault="006C1534" w:rsidP="006C1534">
      <w:pPr>
        <w:spacing w:after="120"/>
        <w:ind w:left="1134" w:right="1134" w:firstLine="567"/>
        <w:jc w:val="both"/>
      </w:pPr>
      <w:r>
        <w:rPr>
          <w:i/>
          <w:iCs/>
        </w:rPr>
        <w:t>подтверждая также</w:t>
      </w:r>
      <w:r>
        <w:t xml:space="preserve"> необходимость правовой определенности для эффективного применения Конвенции путем обеспечения ясности принятых в соответствии с ней обязательств и их сферы охвата,</w:t>
      </w:r>
    </w:p>
    <w:p w14:paraId="5CEE1E39" w14:textId="77777777" w:rsidR="006C1534" w:rsidRPr="00C93E12" w:rsidRDefault="006C1534" w:rsidP="006C1534">
      <w:pPr>
        <w:spacing w:after="120"/>
        <w:ind w:left="1134" w:right="1134" w:firstLine="567"/>
        <w:jc w:val="both"/>
      </w:pPr>
      <w:r>
        <w:rPr>
          <w:i/>
          <w:iCs/>
        </w:rPr>
        <w:t>вновь заявляя</w:t>
      </w:r>
      <w:r>
        <w:t xml:space="preserve"> о крайней важности того, чтобы Стороны в полном объеме выполняли свои обязательства, вытекающие из положений Конвенции, и соответственно настоятельно рекомендуя им делать это,</w:t>
      </w:r>
    </w:p>
    <w:p w14:paraId="360A59C2" w14:textId="77777777" w:rsidR="006C1534" w:rsidRPr="00EB1D48" w:rsidRDefault="006C1534" w:rsidP="006C1534">
      <w:pPr>
        <w:spacing w:after="120"/>
        <w:ind w:left="1134" w:right="1134" w:firstLine="567"/>
        <w:jc w:val="both"/>
      </w:pPr>
      <w:r>
        <w:rPr>
          <w:i/>
          <w:iCs/>
        </w:rPr>
        <w:t xml:space="preserve">желая </w:t>
      </w:r>
      <w:r>
        <w:t xml:space="preserve">помочь Сторонам в выполнении их обязательств по Конвенции и содействовать ее эффективному применению в области ядерной энергетики, в частности в отношении продления срока эксплуатации атомных электростанций, </w:t>
      </w:r>
    </w:p>
    <w:p w14:paraId="46223447" w14:textId="77777777" w:rsidR="006C1534" w:rsidRPr="00C93E12" w:rsidRDefault="006C1534" w:rsidP="006C1534">
      <w:pPr>
        <w:spacing w:after="120"/>
        <w:ind w:left="1134" w:right="1134" w:firstLine="567"/>
        <w:jc w:val="both"/>
      </w:pPr>
      <w:r>
        <w:rPr>
          <w:i/>
          <w:iCs/>
        </w:rPr>
        <w:t>желая также</w:t>
      </w:r>
      <w:r>
        <w:t xml:space="preserve"> оказать поддержку работе Комитета по осуществлению в деле оценки соблюдения Сторонами своих обязательств по Конвенции в отношении продления срока эксплуатации атомных электростанций, </w:t>
      </w:r>
    </w:p>
    <w:p w14:paraId="293C689A" w14:textId="77777777" w:rsidR="006C1534" w:rsidRPr="00C93E12" w:rsidRDefault="006C1534" w:rsidP="006C1534">
      <w:pPr>
        <w:spacing w:after="120"/>
        <w:ind w:left="1134" w:right="1134" w:firstLine="567"/>
        <w:jc w:val="both"/>
      </w:pPr>
      <w:r>
        <w:t>1.</w:t>
      </w:r>
      <w:r>
        <w:tab/>
      </w:r>
      <w:r>
        <w:rPr>
          <w:i/>
          <w:iCs/>
        </w:rPr>
        <w:t>приветствует</w:t>
      </w:r>
      <w:r>
        <w:t xml:space="preserve"> разработку проекта руководящих указаний специальной рабочей группой Сторон Конвенции под совместным председательством Германии и Соединенного Королевства Великобритании и Северной Ирландии в составе представителей Австрии, Азербайджана, Армении, Беларуси, Бельгии, Болгарии, Германии, Греции, Европейского союза, Испании, Италии, Канады, Литвы, Люксембурга, Нидерландов, Норвегии, Польши, Португалии, Румынии, Словакии, Словении, Украины, Финляндии, Франции, Хорватии, Чехии и Швейцарии при поддержке секретариата;  </w:t>
      </w:r>
    </w:p>
    <w:p w14:paraId="0D85A980" w14:textId="77777777" w:rsidR="006C1534" w:rsidRPr="00C93E12" w:rsidRDefault="006C1534" w:rsidP="006C1534">
      <w:pPr>
        <w:spacing w:after="120"/>
        <w:ind w:left="1134" w:right="1134" w:firstLine="567"/>
        <w:jc w:val="both"/>
      </w:pPr>
      <w:r>
        <w:t>2.</w:t>
      </w:r>
      <w:r>
        <w:tab/>
      </w:r>
      <w:r>
        <w:rPr>
          <w:i/>
          <w:iCs/>
        </w:rPr>
        <w:t>одобряет</w:t>
      </w:r>
      <w:r>
        <w:t xml:space="preserve"> Руководящие указания относительно применимости Конвенции к продлению срока эксплуатации атомных электростанций (ECE/MP.EIA/2020/9</w:t>
      </w:r>
      <w:r w:rsidR="006966B6" w:rsidRPr="006966B6">
        <w:t>)</w:t>
      </w:r>
      <w:r>
        <w:t>;</w:t>
      </w:r>
    </w:p>
    <w:p w14:paraId="5BC446E6" w14:textId="77777777" w:rsidR="006C1534" w:rsidRPr="00EB1D48" w:rsidRDefault="006C1534" w:rsidP="006C1534">
      <w:pPr>
        <w:spacing w:after="120"/>
        <w:ind w:left="1134" w:right="1134" w:firstLine="567"/>
        <w:jc w:val="both"/>
      </w:pPr>
      <w:r>
        <w:lastRenderedPageBreak/>
        <w:t>3.</w:t>
      </w:r>
      <w:r>
        <w:tab/>
      </w:r>
      <w:r>
        <w:rPr>
          <w:i/>
          <w:iCs/>
        </w:rPr>
        <w:t>рекомендует</w:t>
      </w:r>
      <w:r>
        <w:t xml:space="preserve"> Сторонам принимать во внимание содержание Руководящих указаний при осуществлении Конвенции; </w:t>
      </w:r>
    </w:p>
    <w:p w14:paraId="13E0D6A0" w14:textId="77777777" w:rsidR="006C1534" w:rsidRPr="00C93E12" w:rsidRDefault="006C1534" w:rsidP="006C1534">
      <w:pPr>
        <w:spacing w:after="120"/>
        <w:ind w:left="1134" w:right="1134" w:firstLine="567"/>
        <w:jc w:val="both"/>
      </w:pPr>
      <w:r>
        <w:t>4.</w:t>
      </w:r>
      <w:r>
        <w:tab/>
      </w:r>
      <w:r>
        <w:rPr>
          <w:i/>
          <w:iCs/>
        </w:rPr>
        <w:t>рекомендует также</w:t>
      </w:r>
      <w:r>
        <w:t xml:space="preserve"> Комитету по осуществлению учитывать Руководящие указания при выполнении своих функций;</w:t>
      </w:r>
    </w:p>
    <w:p w14:paraId="33966F46" w14:textId="77777777" w:rsidR="006C1534" w:rsidRDefault="006C1534" w:rsidP="006C1534">
      <w:pPr>
        <w:pStyle w:val="SingleTxtG"/>
      </w:pPr>
      <w:r>
        <w:tab/>
      </w:r>
      <w:r>
        <w:tab/>
        <w:t>5.</w:t>
      </w:r>
      <w:r>
        <w:tab/>
      </w:r>
      <w:r>
        <w:rPr>
          <w:i/>
          <w:iCs/>
        </w:rPr>
        <w:t>призывает</w:t>
      </w:r>
      <w:r>
        <w:t xml:space="preserve"> Стороны обеспечить широкое распространение Руководящих указаний среди компетентных органов и соответствующих заинтересованных сторон.</w:t>
      </w:r>
    </w:p>
    <w:p w14:paraId="2D379E48" w14:textId="77777777" w:rsidR="006C1534" w:rsidRPr="006C1534" w:rsidRDefault="006C1534" w:rsidP="006C153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1534" w:rsidRPr="006C1534" w:rsidSect="006C1534">
      <w:headerReference w:type="even" r:id="rId14"/>
      <w:footerReference w:type="even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722B" w14:textId="77777777" w:rsidR="00903154" w:rsidRPr="00A312BC" w:rsidRDefault="00903154" w:rsidP="00A312BC"/>
  </w:endnote>
  <w:endnote w:type="continuationSeparator" w:id="0">
    <w:p w14:paraId="2AF81629" w14:textId="77777777" w:rsidR="00903154" w:rsidRPr="00A312BC" w:rsidRDefault="0090315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3A1E" w14:textId="77777777" w:rsidR="006C1534" w:rsidRPr="006C1534" w:rsidRDefault="006C1534">
    <w:pPr>
      <w:pStyle w:val="Footer"/>
    </w:pPr>
    <w:r w:rsidRPr="006C1534">
      <w:rPr>
        <w:b/>
        <w:sz w:val="18"/>
      </w:rPr>
      <w:fldChar w:fldCharType="begin"/>
    </w:r>
    <w:r w:rsidRPr="006C1534">
      <w:rPr>
        <w:b/>
        <w:sz w:val="18"/>
      </w:rPr>
      <w:instrText xml:space="preserve"> PAGE  \* MERGEFORMAT </w:instrText>
    </w:r>
    <w:r w:rsidRPr="006C1534">
      <w:rPr>
        <w:b/>
        <w:sz w:val="18"/>
      </w:rPr>
      <w:fldChar w:fldCharType="separate"/>
    </w:r>
    <w:r w:rsidRPr="006C1534">
      <w:rPr>
        <w:b/>
        <w:noProof/>
        <w:sz w:val="18"/>
      </w:rPr>
      <w:t>2</w:t>
    </w:r>
    <w:r w:rsidRPr="006C1534">
      <w:rPr>
        <w:b/>
        <w:sz w:val="18"/>
      </w:rPr>
      <w:fldChar w:fldCharType="end"/>
    </w:r>
    <w:r>
      <w:rPr>
        <w:b/>
        <w:sz w:val="18"/>
      </w:rPr>
      <w:tab/>
    </w:r>
    <w:r>
      <w:t>GE.20-12423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AA5C" w14:textId="77777777" w:rsidR="006C1534" w:rsidRPr="006C1534" w:rsidRDefault="006C1534" w:rsidP="006C1534">
    <w:pPr>
      <w:pStyle w:val="Footer"/>
      <w:tabs>
        <w:tab w:val="clear" w:pos="9639"/>
        <w:tab w:val="right" w:pos="9638"/>
      </w:tabs>
      <w:rPr>
        <w:b/>
        <w:sz w:val="18"/>
      </w:rPr>
    </w:pPr>
    <w:r>
      <w:t>GE.20-12423</w:t>
    </w:r>
    <w:r>
      <w:tab/>
    </w:r>
    <w:r w:rsidRPr="006C1534">
      <w:rPr>
        <w:b/>
        <w:sz w:val="18"/>
      </w:rPr>
      <w:fldChar w:fldCharType="begin"/>
    </w:r>
    <w:r w:rsidRPr="006C1534">
      <w:rPr>
        <w:b/>
        <w:sz w:val="18"/>
      </w:rPr>
      <w:instrText xml:space="preserve"> PAGE  \* MERGEFORMAT </w:instrText>
    </w:r>
    <w:r w:rsidRPr="006C1534">
      <w:rPr>
        <w:b/>
        <w:sz w:val="18"/>
      </w:rPr>
      <w:fldChar w:fldCharType="separate"/>
    </w:r>
    <w:r w:rsidRPr="006C1534">
      <w:rPr>
        <w:b/>
        <w:noProof/>
        <w:sz w:val="18"/>
      </w:rPr>
      <w:t>3</w:t>
    </w:r>
    <w:r w:rsidRPr="006C15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2EA3" w14:textId="77777777" w:rsidR="00042B72" w:rsidRPr="006C1534" w:rsidRDefault="006C1534" w:rsidP="006C153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CCC79C" wp14:editId="071292E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20-12423  (R)</w:t>
    </w:r>
    <w:r>
      <w:rPr>
        <w:lang w:val="en-US"/>
      </w:rPr>
      <w:t xml:space="preserve">  061020  061020</w:t>
    </w:r>
    <w:r>
      <w:br/>
    </w:r>
    <w:r w:rsidRPr="006C1534">
      <w:rPr>
        <w:rFonts w:ascii="C39T30Lfz" w:hAnsi="C39T30Lfz"/>
        <w:kern w:val="14"/>
        <w:sz w:val="56"/>
      </w:rPr>
      <w:t>*2012423*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E9B4D42" wp14:editId="56EFE1E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94C4" w14:textId="77777777" w:rsidR="00113305" w:rsidRPr="006C1534" w:rsidRDefault="00113305">
    <w:pPr>
      <w:pStyle w:val="Footer"/>
    </w:pPr>
    <w:r w:rsidRPr="006C1534">
      <w:rPr>
        <w:b/>
        <w:sz w:val="18"/>
      </w:rPr>
      <w:fldChar w:fldCharType="begin"/>
    </w:r>
    <w:r w:rsidRPr="006C1534">
      <w:rPr>
        <w:b/>
        <w:sz w:val="18"/>
      </w:rPr>
      <w:instrText xml:space="preserve"> PAGE  \* MERGEFORMAT </w:instrText>
    </w:r>
    <w:r w:rsidRPr="006C1534">
      <w:rPr>
        <w:b/>
        <w:sz w:val="18"/>
      </w:rPr>
      <w:fldChar w:fldCharType="separate"/>
    </w:r>
    <w:r w:rsidRPr="006C1534">
      <w:rPr>
        <w:b/>
        <w:noProof/>
        <w:sz w:val="18"/>
      </w:rPr>
      <w:t>2</w:t>
    </w:r>
    <w:r w:rsidRPr="006C1534">
      <w:rPr>
        <w:b/>
        <w:sz w:val="18"/>
      </w:rPr>
      <w:fldChar w:fldCharType="end"/>
    </w:r>
    <w:r>
      <w:rPr>
        <w:b/>
        <w:sz w:val="18"/>
      </w:rPr>
      <w:tab/>
    </w:r>
    <w:r>
      <w:t>GE.20-12423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43CB4" w14:textId="77777777" w:rsidR="006C1534" w:rsidRPr="006C1534" w:rsidRDefault="006C1534" w:rsidP="006C1534">
    <w:pPr>
      <w:pStyle w:val="Footer"/>
    </w:pPr>
    <w:r>
      <w:t>GE.20-12423</w:t>
    </w:r>
    <w:r>
      <w:tab/>
    </w:r>
    <w:r w:rsidRPr="006C1534">
      <w:rPr>
        <w:b/>
        <w:sz w:val="18"/>
      </w:rPr>
      <w:fldChar w:fldCharType="begin"/>
    </w:r>
    <w:r w:rsidRPr="006C1534">
      <w:rPr>
        <w:b/>
        <w:sz w:val="18"/>
      </w:rPr>
      <w:instrText xml:space="preserve"> PAGE  \* MERGEFORMAT </w:instrText>
    </w:r>
    <w:r w:rsidRPr="006C1534">
      <w:rPr>
        <w:b/>
        <w:sz w:val="18"/>
      </w:rPr>
      <w:fldChar w:fldCharType="separate"/>
    </w:r>
    <w:r>
      <w:rPr>
        <w:b/>
        <w:sz w:val="18"/>
      </w:rPr>
      <w:t>3</w:t>
    </w:r>
    <w:r w:rsidRPr="006C153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178FE" w14:textId="77777777" w:rsidR="00903154" w:rsidRPr="001075E9" w:rsidRDefault="0090315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7BA045" w14:textId="77777777" w:rsidR="00903154" w:rsidRDefault="0090315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BA1762" w14:textId="77777777" w:rsidR="006C1534" w:rsidRPr="00C93E12" w:rsidRDefault="006C1534" w:rsidP="006C1534">
      <w:pPr>
        <w:pStyle w:val="FootnoteText"/>
        <w:rPr>
          <w:lang w:val="es-ES"/>
        </w:rPr>
      </w:pPr>
      <w:r>
        <w:tab/>
      </w:r>
      <w:r>
        <w:rPr>
          <w:rStyle w:val="FootnoteReference"/>
        </w:rPr>
        <w:footnoteRef/>
      </w:r>
      <w:r w:rsidRPr="00C93E12">
        <w:rPr>
          <w:lang w:val="es-ES"/>
        </w:rPr>
        <w:t xml:space="preserve"> </w:t>
      </w:r>
      <w:r w:rsidRPr="00C93E12">
        <w:rPr>
          <w:lang w:val="es-ES"/>
        </w:rPr>
        <w:tab/>
      </w:r>
      <w:r>
        <w:t>См</w:t>
      </w:r>
      <w:r w:rsidRPr="00C93E12">
        <w:rPr>
          <w:lang w:val="es-ES"/>
        </w:rPr>
        <w:t>. ECE/MP.EIA/23.Add.3–ECE/MP.EIA/SEA/7.Add.3.</w:t>
      </w:r>
    </w:p>
  </w:footnote>
  <w:footnote w:id="2">
    <w:p w14:paraId="3D1FFAD8" w14:textId="77777777" w:rsidR="006C1534" w:rsidRPr="00C93E12" w:rsidRDefault="006C1534" w:rsidP="006C1534">
      <w:pPr>
        <w:pStyle w:val="FootnoteText"/>
        <w:rPr>
          <w:lang w:val="es-ES"/>
        </w:rPr>
      </w:pPr>
      <w:r w:rsidRPr="00C93E12">
        <w:rPr>
          <w:lang w:val="es-ES"/>
        </w:rPr>
        <w:tab/>
      </w:r>
      <w:r>
        <w:rPr>
          <w:rStyle w:val="FootnoteReference"/>
        </w:rPr>
        <w:footnoteRef/>
      </w:r>
      <w:r w:rsidRPr="00C93E12">
        <w:rPr>
          <w:lang w:val="es-ES"/>
        </w:rPr>
        <w:t xml:space="preserve"> </w:t>
      </w:r>
      <w:r w:rsidRPr="00C93E12">
        <w:rPr>
          <w:lang w:val="es-ES"/>
        </w:rPr>
        <w:tab/>
      </w:r>
      <w:r>
        <w:t>См</w:t>
      </w:r>
      <w:r w:rsidRPr="00C93E12">
        <w:rPr>
          <w:lang w:val="es-ES"/>
        </w:rPr>
        <w:t>. ECE/MP.EIA/10.</w:t>
      </w:r>
      <w:bookmarkStart w:id="1" w:name="_Hlk51598007"/>
      <w:bookmarkEnd w:id="1"/>
    </w:p>
  </w:footnote>
  <w:footnote w:id="3">
    <w:p w14:paraId="0EE70E0F" w14:textId="77777777" w:rsidR="006C1534" w:rsidRPr="00C93E12" w:rsidRDefault="006C1534" w:rsidP="006C1534">
      <w:pPr>
        <w:pStyle w:val="FootnoteText"/>
        <w:rPr>
          <w:lang w:val="es-ES"/>
        </w:rPr>
      </w:pPr>
      <w:r w:rsidRPr="00C93E12">
        <w:rPr>
          <w:lang w:val="es-ES"/>
        </w:rPr>
        <w:tab/>
      </w:r>
      <w:r>
        <w:rPr>
          <w:rStyle w:val="FootnoteReference"/>
        </w:rPr>
        <w:footnoteRef/>
      </w:r>
      <w:r w:rsidRPr="00C93E12">
        <w:rPr>
          <w:lang w:val="es-ES"/>
        </w:rPr>
        <w:t xml:space="preserve"> </w:t>
      </w:r>
      <w:r w:rsidRPr="00C93E12">
        <w:rPr>
          <w:lang w:val="es-ES"/>
        </w:rPr>
        <w:tab/>
      </w:r>
      <w:r>
        <w:t>См</w:t>
      </w:r>
      <w:r w:rsidRPr="00C93E12">
        <w:rPr>
          <w:lang w:val="es-ES"/>
        </w:rPr>
        <w:t>. ECE/MP.EIA/15.</w:t>
      </w:r>
    </w:p>
  </w:footnote>
  <w:footnote w:id="4">
    <w:p w14:paraId="511303E7" w14:textId="77777777" w:rsidR="006C1534" w:rsidRPr="00C93E12" w:rsidRDefault="006C1534" w:rsidP="006C1534">
      <w:pPr>
        <w:pStyle w:val="FootnoteText"/>
        <w:ind w:hanging="567"/>
        <w:rPr>
          <w:lang w:val="es-ES"/>
        </w:rPr>
      </w:pPr>
      <w:r w:rsidRPr="00C93E12">
        <w:rPr>
          <w:lang w:val="es-ES"/>
        </w:rPr>
        <w:tab/>
      </w:r>
      <w:r>
        <w:rPr>
          <w:rStyle w:val="FootnoteReference"/>
        </w:rPr>
        <w:footnoteRef/>
      </w:r>
      <w:r w:rsidRPr="00C93E12">
        <w:rPr>
          <w:lang w:val="es-ES"/>
        </w:rPr>
        <w:t xml:space="preserve"> </w:t>
      </w:r>
      <w:r w:rsidRPr="00C93E12">
        <w:rPr>
          <w:lang w:val="es-ES"/>
        </w:rPr>
        <w:tab/>
      </w:r>
      <w:r>
        <w:t>См</w:t>
      </w:r>
      <w:r w:rsidRPr="00C93E12">
        <w:rPr>
          <w:lang w:val="es-ES"/>
        </w:rPr>
        <w:t>. ECE/MP.EIA/SEA/2.</w:t>
      </w:r>
    </w:p>
  </w:footnote>
  <w:footnote w:id="5">
    <w:p w14:paraId="6189A66F" w14:textId="77777777" w:rsidR="006C1534" w:rsidRPr="00C93E12" w:rsidRDefault="006C1534" w:rsidP="006C1534">
      <w:pPr>
        <w:pStyle w:val="FootnoteText"/>
        <w:rPr>
          <w:lang w:val="es-ES"/>
        </w:rPr>
      </w:pPr>
      <w:r w:rsidRPr="00C93E12">
        <w:rPr>
          <w:lang w:val="es-ES"/>
        </w:rPr>
        <w:tab/>
      </w:r>
      <w:r>
        <w:rPr>
          <w:rStyle w:val="FootnoteReference"/>
        </w:rPr>
        <w:footnoteRef/>
      </w:r>
      <w:r w:rsidRPr="00C93E12">
        <w:rPr>
          <w:lang w:val="es-ES"/>
        </w:rPr>
        <w:t xml:space="preserve"> </w:t>
      </w:r>
      <w:r w:rsidRPr="00C93E12">
        <w:rPr>
          <w:lang w:val="es-ES"/>
        </w:rPr>
        <w:tab/>
      </w:r>
      <w:r>
        <w:t>См</w:t>
      </w:r>
      <w:r w:rsidRPr="00C93E12">
        <w:rPr>
          <w:lang w:val="es-ES"/>
        </w:rPr>
        <w:t>. ECE/MP.EIA/20.Add.1–ECE/MP.EIA/SEA/4.Add.1.</w:t>
      </w:r>
    </w:p>
  </w:footnote>
  <w:footnote w:id="6">
    <w:p w14:paraId="78C2D147" w14:textId="77777777" w:rsidR="006C1534" w:rsidRPr="00C93E12" w:rsidRDefault="006C1534" w:rsidP="006C1534">
      <w:pPr>
        <w:pStyle w:val="FootnoteText"/>
        <w:rPr>
          <w:lang w:val="es-ES"/>
        </w:rPr>
      </w:pPr>
      <w:r w:rsidRPr="00C93E12">
        <w:rPr>
          <w:lang w:val="es-ES"/>
        </w:rPr>
        <w:tab/>
      </w:r>
      <w:r>
        <w:rPr>
          <w:rStyle w:val="FootnoteReference"/>
        </w:rPr>
        <w:footnoteRef/>
      </w:r>
      <w:r w:rsidRPr="00C93E12">
        <w:rPr>
          <w:lang w:val="es-ES"/>
        </w:rPr>
        <w:t xml:space="preserve"> </w:t>
      </w:r>
      <w:r w:rsidRPr="00C93E12">
        <w:rPr>
          <w:lang w:val="es-ES"/>
        </w:rPr>
        <w:tab/>
      </w:r>
      <w:r>
        <w:t>См</w:t>
      </w:r>
      <w:r w:rsidRPr="00C93E12">
        <w:rPr>
          <w:lang w:val="es-ES"/>
        </w:rPr>
        <w:t>. ECE/MP.EIA/23.Add.2–ECE/MP.EIA/SEA/7.Add.2.</w:t>
      </w:r>
    </w:p>
  </w:footnote>
  <w:footnote w:id="7">
    <w:p w14:paraId="64E392A4" w14:textId="77777777" w:rsidR="006C1534" w:rsidRPr="00C93E12" w:rsidRDefault="006C1534" w:rsidP="006C1534">
      <w:pPr>
        <w:pStyle w:val="FootnoteText"/>
        <w:rPr>
          <w:lang w:val="es-ES"/>
        </w:rPr>
      </w:pPr>
      <w:r w:rsidRPr="00C93E12">
        <w:rPr>
          <w:lang w:val="es-ES"/>
        </w:rPr>
        <w:tab/>
      </w:r>
      <w:r w:rsidRPr="00C93E12">
        <w:rPr>
          <w:vertAlign w:val="superscript"/>
          <w:lang w:val="es-ES"/>
        </w:rPr>
        <w:t>1</w:t>
      </w:r>
      <w:r w:rsidRPr="00C93E12">
        <w:rPr>
          <w:lang w:val="es-ES"/>
        </w:rPr>
        <w:tab/>
      </w:r>
      <w:r>
        <w:t>См</w:t>
      </w:r>
      <w:r w:rsidRPr="00C93E12">
        <w:rPr>
          <w:lang w:val="es-ES"/>
        </w:rPr>
        <w:t>. ECE/MP.EIA/23.Add.1–ECE/MP.EIA/SEA/7.Add.1.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34E9" w14:textId="76A248C8" w:rsidR="006C1534" w:rsidRPr="006C1534" w:rsidRDefault="0050377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B5EF7">
      <w:t>ECE/MP.EIA/2020/7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F07F4" w14:textId="0532806F" w:rsidR="006C1534" w:rsidRPr="006C1534" w:rsidRDefault="00503777" w:rsidP="006C153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B5EF7">
      <w:t>ECE/MP.EIA/2020/7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D8EF" w14:textId="2D08061A" w:rsidR="00113305" w:rsidRPr="006C1534" w:rsidRDefault="0050377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B5EF7">
      <w:t>ECE/MP.EIA/2020/7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90EB5" w14:textId="2D1CA862" w:rsidR="006C1534" w:rsidRDefault="00EB5EF7" w:rsidP="006C1534">
    <w:pPr>
      <w:pStyle w:val="Header"/>
      <w:jc w:val="right"/>
    </w:pPr>
    <w:fldSimple w:instr=" TITLE  \* MERGEFORMAT ">
      <w:r>
        <w:t>ECE/MP.EIA/2020/7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54"/>
    <w:rsid w:val="00033EE1"/>
    <w:rsid w:val="00042B72"/>
    <w:rsid w:val="000529FC"/>
    <w:rsid w:val="000558BD"/>
    <w:rsid w:val="000B57E7"/>
    <w:rsid w:val="000B6373"/>
    <w:rsid w:val="000E4E5B"/>
    <w:rsid w:val="000F09DF"/>
    <w:rsid w:val="000F36F1"/>
    <w:rsid w:val="000F61B2"/>
    <w:rsid w:val="001075E9"/>
    <w:rsid w:val="00113305"/>
    <w:rsid w:val="001260D7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008E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3777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66B6"/>
    <w:rsid w:val="006A1ED8"/>
    <w:rsid w:val="006C1534"/>
    <w:rsid w:val="006C2031"/>
    <w:rsid w:val="006D461A"/>
    <w:rsid w:val="006F35EE"/>
    <w:rsid w:val="007021FF"/>
    <w:rsid w:val="00712895"/>
    <w:rsid w:val="00734ACB"/>
    <w:rsid w:val="00757357"/>
    <w:rsid w:val="00792497"/>
    <w:rsid w:val="007F3FA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3154"/>
    <w:rsid w:val="00906890"/>
    <w:rsid w:val="00911BE4"/>
    <w:rsid w:val="00951972"/>
    <w:rsid w:val="009608F3"/>
    <w:rsid w:val="009705D4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7471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5EF7"/>
    <w:rsid w:val="00ED0BDA"/>
    <w:rsid w:val="00EE142A"/>
    <w:rsid w:val="00EF1360"/>
    <w:rsid w:val="00EF3220"/>
    <w:rsid w:val="00F2523A"/>
    <w:rsid w:val="00F26E4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E896EF"/>
  <w15:docId w15:val="{545A188D-64C6-422C-BBA0-D6F60FF1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uiPriority w:val="99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23GChar">
    <w:name w:val="_ H_2/3_G Char"/>
    <w:link w:val="H23G"/>
    <w:rsid w:val="006C1534"/>
    <w:rPr>
      <w:b/>
      <w:lang w:val="ru-RU" w:eastAsia="ru-RU"/>
    </w:rPr>
  </w:style>
  <w:style w:type="character" w:customStyle="1" w:styleId="HChGChar">
    <w:name w:val="_ H _Ch_G Char"/>
    <w:link w:val="HChG"/>
    <w:rsid w:val="006C1534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uiPriority w:val="99"/>
    <w:rsid w:val="006C153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455D8-8407-4A5C-A1EC-B5C670C7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1827</Words>
  <Characters>10415</Characters>
  <Application>Microsoft Office Word</Application>
  <DocSecurity>4</DocSecurity>
  <Lines>86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ECE/MP.EIA/2020/7</vt:lpstr>
      <vt:lpstr>A/</vt:lpstr>
      <vt:lpstr>A/</vt:lpstr>
    </vt:vector>
  </TitlesOfParts>
  <Company>DCM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ECE/MP.EIA/2020/7</dc:title>
  <dc:subject/>
  <dc:creator>Marina KOROTKOVA</dc:creator>
  <cp:keywords/>
  <cp:lastModifiedBy>Elisabeth James</cp:lastModifiedBy>
  <cp:revision>2</cp:revision>
  <cp:lastPrinted>2020-10-06T14:27:00Z</cp:lastPrinted>
  <dcterms:created xsi:type="dcterms:W3CDTF">2020-10-19T07:55:00Z</dcterms:created>
  <dcterms:modified xsi:type="dcterms:W3CDTF">2020-10-19T07:55:00Z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