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D2C62" w14:paraId="2444DE78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925FA70" w14:textId="77777777" w:rsidR="00A14420" w:rsidRPr="00DB58B5" w:rsidRDefault="00A14420" w:rsidP="002749F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059BDD" w14:textId="77777777" w:rsidR="00A14420" w:rsidRPr="00DD2C62" w:rsidRDefault="00A14420" w:rsidP="00DF5712">
            <w:pPr>
              <w:spacing w:after="80" w:line="300" w:lineRule="exact"/>
              <w:rPr>
                <w:sz w:val="28"/>
              </w:rPr>
            </w:pPr>
            <w:r w:rsidRPr="00DD2C62">
              <w:rPr>
                <w:sz w:val="28"/>
              </w:rPr>
              <w:t>Nations</w:t>
            </w:r>
            <w:r w:rsidR="0049107A" w:rsidRPr="00DD2C62">
              <w:rPr>
                <w:sz w:val="28"/>
              </w:rPr>
              <w:t xml:space="preserve"> </w:t>
            </w:r>
            <w:r w:rsidRPr="00DD2C62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394CD2" w14:textId="77777777" w:rsidR="002749FA" w:rsidRPr="00DD2C62" w:rsidRDefault="002749FA" w:rsidP="002749FA">
            <w:pPr>
              <w:jc w:val="right"/>
            </w:pPr>
            <w:r w:rsidRPr="00DD2C62">
              <w:rPr>
                <w:sz w:val="40"/>
              </w:rPr>
              <w:t>ECE</w:t>
            </w:r>
            <w:r w:rsidRPr="00DD2C62">
              <w:t>/MP.EIA/2020/4</w:t>
            </w:r>
            <w:r w:rsidR="00AB7317">
              <w:t>-</w:t>
            </w:r>
            <w:r w:rsidRPr="00DD2C62">
              <w:rPr>
                <w:sz w:val="40"/>
              </w:rPr>
              <w:t>ECE</w:t>
            </w:r>
            <w:r w:rsidRPr="00DD2C62">
              <w:t>/MP.EIA/SEA/2020/4</w:t>
            </w:r>
          </w:p>
        </w:tc>
      </w:tr>
      <w:tr w:rsidR="00A14420" w:rsidRPr="00DD2C62" w14:paraId="29FC479D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1774B2" w14:textId="77777777" w:rsidR="00A14420" w:rsidRPr="00DD2C62" w:rsidRDefault="00A14420" w:rsidP="00DF5712">
            <w:pPr>
              <w:spacing w:before="120"/>
              <w:jc w:val="center"/>
            </w:pPr>
            <w:r w:rsidRPr="00DD2C62">
              <w:rPr>
                <w:noProof/>
                <w:lang w:eastAsia="fr-CH"/>
              </w:rPr>
              <w:drawing>
                <wp:inline distT="0" distB="0" distL="0" distR="0" wp14:anchorId="390ADB5C" wp14:editId="708E30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E46EA2" w14:textId="77777777" w:rsidR="00A14420" w:rsidRPr="00DD2C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D2C62">
              <w:rPr>
                <w:b/>
                <w:sz w:val="40"/>
                <w:szCs w:val="40"/>
              </w:rPr>
              <w:t>Conseil</w:t>
            </w:r>
            <w:r w:rsidR="0049107A" w:rsidRPr="00DD2C62">
              <w:rPr>
                <w:b/>
                <w:sz w:val="40"/>
                <w:szCs w:val="40"/>
              </w:rPr>
              <w:t xml:space="preserve"> </w:t>
            </w:r>
            <w:r w:rsidRPr="00DD2C62">
              <w:rPr>
                <w:b/>
                <w:sz w:val="40"/>
                <w:szCs w:val="40"/>
              </w:rPr>
              <w:t>économique</w:t>
            </w:r>
            <w:r w:rsidR="0049107A" w:rsidRPr="00DD2C62">
              <w:rPr>
                <w:b/>
                <w:sz w:val="40"/>
                <w:szCs w:val="40"/>
              </w:rPr>
              <w:t xml:space="preserve"> </w:t>
            </w:r>
            <w:r w:rsidRPr="00DD2C62">
              <w:rPr>
                <w:b/>
                <w:sz w:val="40"/>
                <w:szCs w:val="40"/>
              </w:rPr>
              <w:t>et</w:t>
            </w:r>
            <w:r w:rsidR="0049107A" w:rsidRPr="00DD2C62">
              <w:rPr>
                <w:b/>
                <w:sz w:val="40"/>
                <w:szCs w:val="40"/>
              </w:rPr>
              <w:t xml:space="preserve"> </w:t>
            </w:r>
            <w:r w:rsidRPr="00DD2C62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752FDF" w14:textId="77777777" w:rsidR="00A14420" w:rsidRPr="00DD2C62" w:rsidRDefault="002749FA" w:rsidP="00DF5712">
            <w:pPr>
              <w:spacing w:before="240"/>
            </w:pPr>
            <w:r w:rsidRPr="00DD2C62">
              <w:t>Distr.</w:t>
            </w:r>
            <w:r w:rsidR="0049107A" w:rsidRPr="00DD2C62">
              <w:t xml:space="preserve"> </w:t>
            </w:r>
            <w:r w:rsidRPr="00DD2C62">
              <w:t>générale</w:t>
            </w:r>
          </w:p>
          <w:p w14:paraId="7BBA3621" w14:textId="77777777" w:rsidR="002749FA" w:rsidRPr="00DD2C62" w:rsidRDefault="002749FA" w:rsidP="002749FA">
            <w:pPr>
              <w:spacing w:line="240" w:lineRule="exact"/>
            </w:pPr>
            <w:r w:rsidRPr="00DD2C62">
              <w:t>24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2020</w:t>
            </w:r>
          </w:p>
          <w:p w14:paraId="31BB9211" w14:textId="77777777" w:rsidR="002749FA" w:rsidRPr="00DD2C62" w:rsidRDefault="002749FA" w:rsidP="002749FA">
            <w:pPr>
              <w:spacing w:line="240" w:lineRule="exact"/>
            </w:pPr>
            <w:r w:rsidRPr="00DD2C62">
              <w:t>Français</w:t>
            </w:r>
          </w:p>
          <w:p w14:paraId="03DF563E" w14:textId="77777777" w:rsidR="002749FA" w:rsidRPr="00DD2C62" w:rsidRDefault="002749FA" w:rsidP="002749FA">
            <w:pPr>
              <w:spacing w:line="240" w:lineRule="exact"/>
            </w:pPr>
            <w:r w:rsidRPr="00DD2C62">
              <w:t>Original</w:t>
            </w:r>
            <w:r w:rsidR="00DD2C62" w:rsidRPr="00DD2C62">
              <w:t> :</w:t>
            </w:r>
            <w:r w:rsidR="0049107A" w:rsidRPr="00DD2C62">
              <w:t xml:space="preserve"> </w:t>
            </w:r>
            <w:r w:rsidRPr="00DD2C62">
              <w:t>anglais</w:t>
            </w:r>
          </w:p>
        </w:tc>
      </w:tr>
    </w:tbl>
    <w:p w14:paraId="4E5429A0" w14:textId="77777777" w:rsidR="00C554CE" w:rsidRPr="00DD2C62" w:rsidRDefault="00C554CE" w:rsidP="00C554CE">
      <w:pPr>
        <w:spacing w:before="120"/>
        <w:rPr>
          <w:b/>
          <w:sz w:val="28"/>
          <w:szCs w:val="28"/>
        </w:rPr>
      </w:pPr>
      <w:r w:rsidRPr="00DD2C62">
        <w:rPr>
          <w:b/>
          <w:sz w:val="28"/>
          <w:szCs w:val="28"/>
        </w:rPr>
        <w:t>Commission</w:t>
      </w:r>
      <w:r w:rsidR="0049107A" w:rsidRPr="00DD2C62">
        <w:rPr>
          <w:b/>
          <w:sz w:val="28"/>
          <w:szCs w:val="28"/>
        </w:rPr>
        <w:t xml:space="preserve"> </w:t>
      </w:r>
      <w:r w:rsidRPr="00DD2C62">
        <w:rPr>
          <w:b/>
          <w:sz w:val="28"/>
          <w:szCs w:val="28"/>
        </w:rPr>
        <w:t>économique</w:t>
      </w:r>
      <w:r w:rsidR="0049107A" w:rsidRPr="00DD2C62">
        <w:rPr>
          <w:b/>
          <w:sz w:val="28"/>
          <w:szCs w:val="28"/>
        </w:rPr>
        <w:t xml:space="preserve"> </w:t>
      </w:r>
      <w:r w:rsidRPr="00DD2C62">
        <w:rPr>
          <w:b/>
          <w:sz w:val="28"/>
          <w:szCs w:val="28"/>
        </w:rPr>
        <w:t>pour</w:t>
      </w:r>
      <w:r w:rsidR="0049107A" w:rsidRPr="00DD2C62">
        <w:rPr>
          <w:b/>
          <w:sz w:val="28"/>
          <w:szCs w:val="28"/>
        </w:rPr>
        <w:t xml:space="preserve"> </w:t>
      </w:r>
      <w:r w:rsidRPr="00DD2C62">
        <w:rPr>
          <w:b/>
          <w:sz w:val="28"/>
          <w:szCs w:val="28"/>
        </w:rPr>
        <w:t>l’Europe</w:t>
      </w:r>
    </w:p>
    <w:p w14:paraId="0DCDC5EE" w14:textId="77777777" w:rsidR="002749FA" w:rsidRPr="00DD2C62" w:rsidRDefault="002749FA" w:rsidP="002749FA">
      <w:pPr>
        <w:spacing w:before="120" w:line="276" w:lineRule="auto"/>
        <w:rPr>
          <w:bCs/>
          <w:sz w:val="28"/>
          <w:szCs w:val="28"/>
        </w:rPr>
      </w:pPr>
      <w:r w:rsidRPr="00DD2C62">
        <w:rPr>
          <w:bCs/>
          <w:sz w:val="28"/>
          <w:szCs w:val="28"/>
        </w:rPr>
        <w:t>Réunion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des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Parties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à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la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Convention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sur</w:t>
      </w:r>
      <w:r w:rsidRPr="00DD2C62">
        <w:rPr>
          <w:bCs/>
          <w:sz w:val="28"/>
          <w:szCs w:val="28"/>
        </w:rPr>
        <w:br/>
        <w:t>l’évaluation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de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l’impact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sur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l’environnement</w:t>
      </w:r>
      <w:r w:rsidRPr="00DD2C62">
        <w:rPr>
          <w:bCs/>
          <w:sz w:val="28"/>
          <w:szCs w:val="28"/>
        </w:rPr>
        <w:br/>
        <w:t>dans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un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contexte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transfrontière</w:t>
      </w:r>
    </w:p>
    <w:p w14:paraId="2A2EF708" w14:textId="77777777" w:rsidR="002749FA" w:rsidRPr="00DD2C62" w:rsidRDefault="002749FA" w:rsidP="002749FA">
      <w:pPr>
        <w:pStyle w:val="H23G"/>
        <w:keepNext w:val="0"/>
        <w:keepLines w:val="0"/>
        <w:spacing w:before="120" w:after="0" w:line="276" w:lineRule="auto"/>
        <w:ind w:left="0" w:right="0" w:firstLine="0"/>
        <w:rPr>
          <w:sz w:val="28"/>
          <w:szCs w:val="28"/>
        </w:rPr>
      </w:pPr>
      <w:r w:rsidRPr="00DD2C62">
        <w:rPr>
          <w:sz w:val="28"/>
          <w:szCs w:val="28"/>
        </w:rPr>
        <w:t>Huitième</w:t>
      </w:r>
      <w:r w:rsidR="0049107A" w:rsidRPr="00DD2C62">
        <w:rPr>
          <w:sz w:val="28"/>
          <w:szCs w:val="28"/>
        </w:rPr>
        <w:t xml:space="preserve"> </w:t>
      </w:r>
      <w:r w:rsidRPr="00DD2C62">
        <w:rPr>
          <w:sz w:val="28"/>
          <w:szCs w:val="28"/>
        </w:rPr>
        <w:t>session</w:t>
      </w:r>
    </w:p>
    <w:p w14:paraId="66C7B0E4" w14:textId="77777777" w:rsidR="002749FA" w:rsidRPr="00DD2C62" w:rsidRDefault="002749FA" w:rsidP="002749FA">
      <w:pPr>
        <w:spacing w:before="120" w:line="276" w:lineRule="auto"/>
        <w:rPr>
          <w:bCs/>
          <w:sz w:val="28"/>
          <w:szCs w:val="28"/>
        </w:rPr>
      </w:pPr>
      <w:r w:rsidRPr="00DD2C62">
        <w:rPr>
          <w:bCs/>
          <w:sz w:val="28"/>
          <w:szCs w:val="28"/>
        </w:rPr>
        <w:t>Réunion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des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Parties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à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la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Convention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sur</w:t>
      </w:r>
      <w:r w:rsidRPr="00DD2C62">
        <w:rPr>
          <w:bCs/>
          <w:sz w:val="28"/>
          <w:szCs w:val="28"/>
        </w:rPr>
        <w:br/>
        <w:t>l’évaluation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de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l’impact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sur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l’environnement</w:t>
      </w:r>
      <w:r w:rsidRPr="00DD2C62">
        <w:rPr>
          <w:bCs/>
          <w:sz w:val="28"/>
          <w:szCs w:val="28"/>
        </w:rPr>
        <w:br/>
        <w:t>dans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un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contexte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transfrontière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agissant</w:t>
      </w:r>
      <w:r w:rsidRPr="00DD2C62">
        <w:rPr>
          <w:bCs/>
          <w:sz w:val="28"/>
          <w:szCs w:val="28"/>
        </w:rPr>
        <w:br/>
        <w:t>comme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réunion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des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Parties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au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Protocole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relatif</w:t>
      </w:r>
      <w:r w:rsidRPr="00DD2C62">
        <w:rPr>
          <w:bCs/>
          <w:sz w:val="28"/>
          <w:szCs w:val="28"/>
        </w:rPr>
        <w:br/>
        <w:t>à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l’évaluation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stratégique</w:t>
      </w:r>
      <w:r w:rsidR="0049107A" w:rsidRPr="00DD2C62">
        <w:rPr>
          <w:bCs/>
          <w:sz w:val="28"/>
          <w:szCs w:val="28"/>
        </w:rPr>
        <w:t xml:space="preserve"> </w:t>
      </w:r>
      <w:r w:rsidRPr="00DD2C62">
        <w:rPr>
          <w:bCs/>
          <w:sz w:val="28"/>
          <w:szCs w:val="28"/>
        </w:rPr>
        <w:t>environnementale</w:t>
      </w:r>
    </w:p>
    <w:p w14:paraId="15DA0381" w14:textId="77777777" w:rsidR="002749FA" w:rsidRPr="00DD2C62" w:rsidRDefault="002749FA" w:rsidP="002C5646">
      <w:pPr>
        <w:spacing w:before="120"/>
        <w:rPr>
          <w:b/>
        </w:rPr>
      </w:pPr>
      <w:r w:rsidRPr="00DD2C62">
        <w:rPr>
          <w:b/>
        </w:rPr>
        <w:t>Quatrième</w:t>
      </w:r>
      <w:r w:rsidR="0049107A" w:rsidRPr="00DD2C62">
        <w:rPr>
          <w:b/>
        </w:rPr>
        <w:t xml:space="preserve"> </w:t>
      </w:r>
      <w:r w:rsidRPr="00DD2C62">
        <w:rPr>
          <w:b/>
        </w:rPr>
        <w:t>session</w:t>
      </w:r>
    </w:p>
    <w:p w14:paraId="67C53C2F" w14:textId="77777777" w:rsidR="002749FA" w:rsidRPr="00DD2C62" w:rsidRDefault="002749FA" w:rsidP="002C5646">
      <w:r w:rsidRPr="00DD2C62">
        <w:t>Vilnius,</w:t>
      </w:r>
      <w:r w:rsidR="0049107A" w:rsidRPr="00DD2C62">
        <w:t xml:space="preserve"> </w:t>
      </w:r>
      <w:r w:rsidRPr="00DD2C62">
        <w:t>8</w:t>
      </w:r>
      <w:r w:rsidR="00AB7317">
        <w:t>-</w:t>
      </w:r>
      <w:r w:rsidRPr="00DD2C62">
        <w:t>11</w:t>
      </w:r>
      <w:r w:rsidR="0049107A" w:rsidRPr="00DD2C62">
        <w:t xml:space="preserve"> </w:t>
      </w:r>
      <w:r w:rsidRPr="00DD2C62">
        <w:t>décembre</w:t>
      </w:r>
      <w:r w:rsidR="0049107A" w:rsidRPr="00DD2C62">
        <w:t xml:space="preserve"> </w:t>
      </w:r>
      <w:r w:rsidRPr="00DD2C62">
        <w:t>2020</w:t>
      </w:r>
    </w:p>
    <w:p w14:paraId="14A2CC7D" w14:textId="77777777" w:rsidR="002749FA" w:rsidRPr="00DD2C62" w:rsidRDefault="002749FA" w:rsidP="002C5646">
      <w:pPr>
        <w:spacing w:after="120"/>
      </w:pPr>
      <w:r w:rsidRPr="00DD2C62">
        <w:t>Points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a)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8</w:t>
      </w:r>
      <w:r w:rsidR="0049107A" w:rsidRPr="00DD2C62">
        <w:t xml:space="preserve"> </w:t>
      </w:r>
      <w:r w:rsidRPr="00DD2C62">
        <w:t>a)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l’ordre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jour</w:t>
      </w:r>
      <w:r w:rsidR="0049107A" w:rsidRPr="00DD2C62">
        <w:t xml:space="preserve"> </w:t>
      </w:r>
      <w:r w:rsidRPr="00DD2C62">
        <w:t>provisoire</w:t>
      </w:r>
    </w:p>
    <w:p w14:paraId="448BA316" w14:textId="77777777" w:rsidR="002749FA" w:rsidRPr="00DD2C62" w:rsidRDefault="002749FA" w:rsidP="002C5646">
      <w:pPr>
        <w:spacing w:after="120"/>
        <w:rPr>
          <w:b/>
          <w:bCs/>
        </w:rPr>
      </w:pPr>
      <w:r w:rsidRPr="00DD2C62">
        <w:rPr>
          <w:b/>
          <w:bCs/>
        </w:rPr>
        <w:t>Respect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dispositions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et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application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br/>
        <w:t>de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la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Convention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et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du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Protocole</w:t>
      </w:r>
    </w:p>
    <w:p w14:paraId="3BFC6E5D" w14:textId="77777777" w:rsidR="002749FA" w:rsidRPr="00DD2C62" w:rsidRDefault="002749FA" w:rsidP="002C5646">
      <w:pPr>
        <w:rPr>
          <w:b/>
          <w:bCs/>
        </w:rPr>
      </w:pPr>
      <w:r w:rsidRPr="00DD2C62">
        <w:rPr>
          <w:b/>
          <w:bCs/>
        </w:rPr>
        <w:t>Adoption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décisions</w:t>
      </w:r>
      <w:r w:rsidR="00DD2C62" w:rsidRPr="00DD2C62">
        <w:rPr>
          <w:b/>
          <w:bCs/>
        </w:rPr>
        <w:t> :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décisions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à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adopter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conjointement</w:t>
      </w:r>
    </w:p>
    <w:p w14:paraId="5E22CAC9" w14:textId="77777777" w:rsidR="002749FA" w:rsidRPr="00DD2C62" w:rsidRDefault="002749FA" w:rsidP="00FA3322">
      <w:pPr>
        <w:pStyle w:val="HChG"/>
      </w:pPr>
      <w:r w:rsidRPr="00DD2C62">
        <w:tab/>
      </w:r>
      <w:r w:rsidRPr="00DD2C62">
        <w:tab/>
        <w:t>Rapport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</w:p>
    <w:p w14:paraId="77CA7B86" w14:textId="77777777" w:rsidR="002749FA" w:rsidRPr="00DD2C62" w:rsidRDefault="002749FA" w:rsidP="00FA3322">
      <w:pPr>
        <w:pStyle w:val="H1G"/>
      </w:pPr>
      <w:r w:rsidRPr="00DD2C62">
        <w:tab/>
      </w:r>
      <w:r w:rsidRPr="00DD2C62">
        <w:tab/>
        <w:t>Note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2C5646" w:rsidRPr="00DD2C62" w14:paraId="2EDAA817" w14:textId="77777777" w:rsidTr="002C5646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2DF1C336" w14:textId="77777777" w:rsidR="002C5646" w:rsidRPr="00DD2C62" w:rsidRDefault="002C5646">
            <w:pPr>
              <w:spacing w:before="240" w:after="120"/>
              <w:ind w:left="255"/>
              <w:rPr>
                <w:i/>
                <w:sz w:val="24"/>
              </w:rPr>
            </w:pPr>
            <w:r w:rsidRPr="00DD2C62">
              <w:rPr>
                <w:i/>
                <w:sz w:val="24"/>
              </w:rPr>
              <w:t>Résumé</w:t>
            </w:r>
          </w:p>
        </w:tc>
      </w:tr>
      <w:tr w:rsidR="002C5646" w:rsidRPr="00DD2C62" w14:paraId="6712A0F8" w14:textId="77777777" w:rsidTr="002C564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56F3A0C" w14:textId="77777777" w:rsidR="002C5646" w:rsidRPr="00DD2C62" w:rsidRDefault="002C5646" w:rsidP="002C5646">
            <w:pPr>
              <w:pStyle w:val="SingleTxtG"/>
              <w:ind w:firstLine="567"/>
            </w:pPr>
            <w:r w:rsidRPr="00DD2C62">
              <w:t xml:space="preserve">Le présent document contient le rapport du Comité d’application de la Convention sur l’évaluation de l’impact sur l’environnement dans un contexte transfrontière (Convention d’Espoo) et de son Protocole relatif à l’évaluation stratégique environnementale sur les activités du Comité depuis la septième session de la Réunion des Parties à la Convention et la troisième session de la Réunion des Parties à la Convention agissant comme réunion des Parties au Protocole (Minsk, 13-16 juin 2017), ainsi que les recommandations qu’il considère appropriées. Il a été établi conformément à la structure et aux fonctions du Comité (ECE/MP.EIA/6, annexe II, appendice, </w:t>
            </w:r>
            <w:r w:rsidR="00DD2C62">
              <w:t>par. </w:t>
            </w:r>
            <w:r w:rsidRPr="00DD2C62">
              <w:t>11), et au plan de travail adopté à la septième session et à la troisième session, respectivement, de la Réunion des Parties à la Convention et de la Réunion des Parties à la Convention agissant comme réunion des Parties au Protocole (voir ECE/MP.EIA/23.Add.1-ECE/MP.EIA/SEA/7.Add.1, décision VII/3</w:t>
            </w:r>
            <w:r w:rsidR="00AB7317">
              <w:t>-</w:t>
            </w:r>
            <w:r w:rsidRPr="00DD2C62">
              <w:t>III/3).</w:t>
            </w:r>
          </w:p>
        </w:tc>
      </w:tr>
      <w:tr w:rsidR="002C5646" w:rsidRPr="00DD2C62" w14:paraId="794D99CF" w14:textId="77777777" w:rsidTr="002C564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0B6364A" w14:textId="77777777" w:rsidR="002C5646" w:rsidRPr="00B376F7" w:rsidRDefault="002C5646" w:rsidP="002C5646">
            <w:pPr>
              <w:pStyle w:val="SingleTxtG"/>
              <w:keepNext/>
              <w:ind w:firstLine="567"/>
              <w:rPr>
                <w:b/>
                <w:bCs/>
                <w:spacing w:val="-1"/>
              </w:rPr>
            </w:pPr>
            <w:r w:rsidRPr="00B376F7">
              <w:rPr>
                <w:b/>
                <w:bCs/>
                <w:spacing w:val="-1"/>
              </w:rPr>
              <w:lastRenderedPageBreak/>
              <w:t>On trouvera de plus amples renseignements sur les délibérations du Comité dans les rapports établis par ce dernier sur les réunions qu’il a tenues pendant la période intersessions 2017</w:t>
            </w:r>
            <w:r w:rsidR="00DD2C62" w:rsidRPr="00B376F7">
              <w:rPr>
                <w:b/>
                <w:bCs/>
                <w:spacing w:val="-1"/>
              </w:rPr>
              <w:t>-</w:t>
            </w:r>
            <w:r w:rsidRPr="00B376F7">
              <w:rPr>
                <w:b/>
                <w:bCs/>
                <w:spacing w:val="-1"/>
              </w:rPr>
              <w:t>2020</w:t>
            </w:r>
            <w:r w:rsidRPr="00B376F7">
              <w:rPr>
                <w:b/>
                <w:bCs/>
                <w:i/>
                <w:iCs/>
                <w:spacing w:val="-1"/>
                <w:vertAlign w:val="superscript"/>
              </w:rPr>
              <w:t>a</w:t>
            </w:r>
            <w:r w:rsidRPr="00B376F7">
              <w:rPr>
                <w:b/>
                <w:bCs/>
                <w:spacing w:val="-1"/>
              </w:rPr>
              <w:t>. Les recommandations du Comité à la Réunion des Parties à la Convention figurant dans le présent rapport ont été adoptées à l’unanimité.</w:t>
            </w:r>
          </w:p>
        </w:tc>
      </w:tr>
      <w:tr w:rsidR="002C5646" w:rsidRPr="00DD2C62" w14:paraId="2FD46919" w14:textId="77777777" w:rsidTr="002C5646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31128DBD" w14:textId="77777777" w:rsidR="002C5646" w:rsidRPr="00DD2C62" w:rsidRDefault="002C5646" w:rsidP="002C5646">
            <w:pPr>
              <w:pStyle w:val="SingleTxtG"/>
              <w:ind w:firstLine="567"/>
            </w:pPr>
            <w:r w:rsidRPr="00DD2C62">
              <w:t xml:space="preserve">Il est attendu de la Réunion des </w:t>
            </w:r>
            <w:r w:rsidRPr="00DD2C62">
              <w:rPr>
                <w:color w:val="000000"/>
              </w:rPr>
              <w:t>Parties à la Convention et de la Réunion des Parties à la Convention agissant comme réunion des Parties au Protocole qu’elles examinent les renseignements fournis</w:t>
            </w:r>
            <w:r w:rsidRPr="00DD2C62">
              <w:t>.</w:t>
            </w:r>
          </w:p>
        </w:tc>
      </w:tr>
      <w:tr w:rsidR="002C5646" w:rsidRPr="00DD2C62" w14:paraId="1A3B992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2D0AAF8" w14:textId="0E256929" w:rsidR="002C5646" w:rsidRPr="00DD2C62" w:rsidRDefault="002C5646" w:rsidP="00DD2C62">
            <w:pPr>
              <w:pStyle w:val="SingleTxtG"/>
              <w:ind w:firstLine="170"/>
              <w:jc w:val="left"/>
            </w:pPr>
            <w:r w:rsidRPr="00DD2C62">
              <w:rPr>
                <w:i/>
                <w:iCs/>
                <w:vertAlign w:val="superscript"/>
              </w:rPr>
              <w:t>a</w:t>
            </w:r>
            <w:r w:rsidR="00DD2C62" w:rsidRPr="00DD2C62">
              <w:t xml:space="preserve">  </w:t>
            </w:r>
            <w:r w:rsidRPr="00DD2C62">
              <w:t>Voir</w:t>
            </w:r>
            <w:r w:rsidRPr="00DD2C62">
              <w:rPr>
                <w:rStyle w:val="Hyperlink"/>
              </w:rPr>
              <w:t xml:space="preserve"> </w:t>
            </w:r>
            <w:hyperlink r:id="rId8" w:history="1">
              <w:r w:rsidRPr="00DD2C62">
                <w:rPr>
                  <w:rStyle w:val="Hyperlink"/>
                </w:rPr>
                <w:t>www.unece.org/environmental-policy/conventions/environmental-assessment/</w:t>
              </w:r>
              <w:r w:rsidR="00DD2C62" w:rsidRPr="00DD2C62">
                <w:rPr>
                  <w:rStyle w:val="Hyperlink"/>
                </w:rPr>
                <w:t xml:space="preserve"> </w:t>
              </w:r>
              <w:r w:rsidRPr="00DD2C62">
                <w:rPr>
                  <w:rStyle w:val="Hyperlink"/>
                </w:rPr>
                <w:t>meetings-and-events.html#/0/0/0/28089/19940</w:t>
              </w:r>
            </w:hyperlink>
            <w:r w:rsidRPr="00DD2C62">
              <w:rPr>
                <w:rStyle w:val="Hyperlink"/>
              </w:rPr>
              <w:t>.</w:t>
            </w:r>
          </w:p>
        </w:tc>
      </w:tr>
      <w:tr w:rsidR="002C5646" w:rsidRPr="00DD2C62" w14:paraId="4FBA24E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B6E40D5" w14:textId="77777777" w:rsidR="002C5646" w:rsidRPr="00DD2C62" w:rsidRDefault="002C5646"/>
        </w:tc>
      </w:tr>
    </w:tbl>
    <w:p w14:paraId="3326F076" w14:textId="77777777" w:rsidR="002749FA" w:rsidRPr="00DD2C62" w:rsidRDefault="002749FA" w:rsidP="0049107A">
      <w:pPr>
        <w:pStyle w:val="HChG"/>
      </w:pPr>
      <w:r w:rsidRPr="00DD2C62">
        <w:br w:type="page"/>
      </w:r>
      <w:r w:rsidRPr="00DD2C62">
        <w:lastRenderedPageBreak/>
        <w:tab/>
        <w:t>I.</w:t>
      </w:r>
      <w:r w:rsidRPr="00DD2C62">
        <w:tab/>
        <w:t>Introduction</w:t>
      </w:r>
    </w:p>
    <w:p w14:paraId="77E3B555" w14:textId="77777777" w:rsidR="002749FA" w:rsidRPr="00DD2C62" w:rsidRDefault="002749FA" w:rsidP="0049107A">
      <w:pPr>
        <w:pStyle w:val="H1G"/>
      </w:pPr>
      <w:r w:rsidRPr="00DD2C62">
        <w:tab/>
        <w:t>A.</w:t>
      </w:r>
      <w:r w:rsidRPr="00DD2C62">
        <w:tab/>
        <w:t>Composition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</w:p>
    <w:p w14:paraId="75B06F3E" w14:textId="77777777" w:rsidR="002749FA" w:rsidRPr="00DD2C62" w:rsidRDefault="002749FA" w:rsidP="0049107A">
      <w:pPr>
        <w:pStyle w:val="SingleTxtG"/>
      </w:pPr>
      <w:r w:rsidRPr="00DD2C62">
        <w:t>1.</w:t>
      </w:r>
      <w:r w:rsidRPr="00DD2C62">
        <w:tab/>
        <w:t>Pendant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2017</w:t>
      </w:r>
      <w:r w:rsidR="00DD2C62" w:rsidRPr="00DD2C62">
        <w:t>-</w:t>
      </w:r>
      <w:r w:rsidRPr="00DD2C62">
        <w:t>2020,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contexte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(Convention</w:t>
      </w:r>
      <w:r w:rsidR="0049107A" w:rsidRPr="00DD2C62">
        <w:t xml:space="preserve"> </w:t>
      </w:r>
      <w:r w:rsidRPr="00DD2C62">
        <w:t>d’Espoo)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relatif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II/4</w:t>
      </w:r>
      <w:r w:rsidR="0049107A" w:rsidRPr="00DD2C62">
        <w:t xml:space="preserve"> </w:t>
      </w:r>
      <w:r w:rsidRPr="00DD2C62">
        <w:t>(MP.EIA/2001/4)</w:t>
      </w:r>
      <w:r w:rsidR="0049107A" w:rsidRPr="00DD2C62">
        <w:t xml:space="preserve"> </w:t>
      </w:r>
      <w:r w:rsidRPr="00DD2C62">
        <w:t>adoptée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6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14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V/6</w:t>
      </w:r>
      <w:r w:rsidR="00DD2C62" w:rsidRPr="00DD2C62">
        <w:t>-</w:t>
      </w:r>
      <w:r w:rsidRPr="00DD2C62">
        <w:t>I/6</w:t>
      </w:r>
      <w:r w:rsidR="0049107A" w:rsidRPr="00DD2C62">
        <w:t xml:space="preserve"> </w:t>
      </w:r>
      <w:r w:rsidRPr="00DD2C62">
        <w:t>(ECE/MP.EIA/SEA/2)</w:t>
      </w:r>
      <w:r w:rsidR="0049107A" w:rsidRPr="00DD2C62">
        <w:t xml:space="preserve"> </w:t>
      </w:r>
      <w:r w:rsidRPr="00DD2C62">
        <w:t>adoptée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cinquième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première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agissant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Protocole)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20</w:t>
      </w:r>
      <w:r w:rsidR="00DD2C62" w:rsidRPr="00DD2C62">
        <w:t>-</w:t>
      </w:r>
      <w:r w:rsidRPr="00DD2C62">
        <w:t>23</w:t>
      </w:r>
      <w:r w:rsidR="00DD2C62" w:rsidRPr="00DD2C62">
        <w:t> </w:t>
      </w:r>
      <w:r w:rsidRPr="00DD2C62">
        <w:t>juin</w:t>
      </w:r>
      <w:r w:rsidR="0049107A" w:rsidRPr="00DD2C62">
        <w:t xml:space="preserve"> </w:t>
      </w:r>
      <w:r w:rsidRPr="00DD2C62">
        <w:t>2011).</w:t>
      </w:r>
    </w:p>
    <w:p w14:paraId="0CA896FC" w14:textId="77777777" w:rsidR="002749FA" w:rsidRPr="00DD2C62" w:rsidRDefault="002749FA" w:rsidP="0049107A">
      <w:pPr>
        <w:pStyle w:val="SingleTxtG"/>
      </w:pPr>
      <w:r w:rsidRPr="00DD2C62">
        <w:t>2.</w:t>
      </w:r>
      <w:r w:rsidRPr="00DD2C62">
        <w:tab/>
        <w:t>Les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qu’ils</w:t>
      </w:r>
      <w:r w:rsidR="0049107A" w:rsidRPr="00DD2C62">
        <w:t xml:space="preserve"> </w:t>
      </w:r>
      <w:r w:rsidRPr="00DD2C62">
        <w:t>représentaient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étaient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suivants</w:t>
      </w:r>
      <w:r w:rsidR="00DD2C62" w:rsidRPr="00DD2C62">
        <w:t> :</w:t>
      </w:r>
      <w:r w:rsidR="0049107A" w:rsidRPr="00DD2C62">
        <w:t xml:space="preserve"> </w:t>
      </w:r>
      <w:r w:rsidR="00DD2C62" w:rsidRPr="00DD2C62">
        <w:t>M</w:t>
      </w:r>
      <w:r w:rsidR="00DD2C62" w:rsidRPr="00DD2C62">
        <w:rPr>
          <w:vertAlign w:val="superscript"/>
        </w:rPr>
        <w:t>me</w:t>
      </w:r>
      <w:r w:rsidR="00DD2C62" w:rsidRPr="00DD2C62">
        <w:t> </w:t>
      </w:r>
      <w:r w:rsidRPr="00DD2C62">
        <w:t>Aysel</w:t>
      </w:r>
      <w:r w:rsidR="0049107A" w:rsidRPr="00DD2C62">
        <w:t xml:space="preserve"> </w:t>
      </w:r>
      <w:r w:rsidRPr="00DD2C62">
        <w:t>Rzayeva</w:t>
      </w:r>
      <w:r w:rsidR="0049107A" w:rsidRPr="00DD2C62">
        <w:t xml:space="preserve"> </w:t>
      </w:r>
      <w:r w:rsidRPr="00DD2C62">
        <w:t>(Azerbaïdjan)</w:t>
      </w:r>
      <w:r w:rsidR="00DD2C62" w:rsidRPr="00DD2C62">
        <w:t> ;</w:t>
      </w:r>
      <w:r w:rsidR="0049107A" w:rsidRPr="00DD2C62">
        <w:t xml:space="preserve"> </w:t>
      </w:r>
      <w:r w:rsidRPr="00DD2C62">
        <w:t>M.</w:t>
      </w:r>
      <w:r w:rsidR="00DD2C62" w:rsidRPr="00DD2C62">
        <w:t> </w:t>
      </w:r>
      <w:r w:rsidRPr="00DD2C62">
        <w:t>Anders</w:t>
      </w:r>
      <w:r w:rsidR="0049107A" w:rsidRPr="00DD2C62">
        <w:t xml:space="preserve"> </w:t>
      </w:r>
      <w:r w:rsidRPr="00DD2C62">
        <w:t>Bengtsson</w:t>
      </w:r>
      <w:r w:rsidR="0049107A" w:rsidRPr="00DD2C62">
        <w:t xml:space="preserve"> </w:t>
      </w:r>
      <w:r w:rsidRPr="00DD2C62">
        <w:t>(Suède)</w:t>
      </w:r>
      <w:r w:rsidR="00DD2C62" w:rsidRPr="00DD2C62">
        <w:t> ;</w:t>
      </w:r>
      <w:r w:rsidR="0049107A" w:rsidRPr="00DD2C62">
        <w:t xml:space="preserve"> </w:t>
      </w:r>
      <w:r w:rsidRPr="00DD2C62">
        <w:t>M.</w:t>
      </w:r>
      <w:r w:rsidR="00DD2C62" w:rsidRPr="00DD2C62">
        <w:t> </w:t>
      </w:r>
      <w:r w:rsidRPr="00DD2C62">
        <w:t>Vladimir</w:t>
      </w:r>
      <w:r w:rsidR="0049107A" w:rsidRPr="00DD2C62">
        <w:t xml:space="preserve"> </w:t>
      </w:r>
      <w:r w:rsidRPr="00DD2C62">
        <w:t>Buchko</w:t>
      </w:r>
      <w:r w:rsidR="0049107A" w:rsidRPr="00DD2C62">
        <w:t xml:space="preserve"> </w:t>
      </w:r>
      <w:r w:rsidRPr="00DD2C62">
        <w:t>(Ukraine)</w:t>
      </w:r>
      <w:r w:rsidR="00DD2C62" w:rsidRPr="00DD2C62">
        <w:t> ;</w:t>
      </w:r>
      <w:r w:rsidR="0049107A" w:rsidRPr="00DD2C62">
        <w:t xml:space="preserve"> </w:t>
      </w:r>
      <w:r w:rsidR="00DD2C62" w:rsidRPr="00DD2C62">
        <w:t>M</w:t>
      </w:r>
      <w:r w:rsidR="00DD2C62" w:rsidRPr="00DD2C62">
        <w:rPr>
          <w:vertAlign w:val="superscript"/>
        </w:rPr>
        <w:t>me</w:t>
      </w:r>
      <w:r w:rsidR="00DD2C62" w:rsidRPr="00DD2C62">
        <w:t> </w:t>
      </w:r>
      <w:r w:rsidRPr="00DD2C62">
        <w:t>Maria</w:t>
      </w:r>
      <w:r w:rsidR="0049107A" w:rsidRPr="00DD2C62">
        <w:t xml:space="preserve"> </w:t>
      </w:r>
      <w:r w:rsidRPr="00DD2C62">
        <w:t>do</w:t>
      </w:r>
      <w:r w:rsidR="0049107A" w:rsidRPr="00DD2C62">
        <w:t xml:space="preserve"> </w:t>
      </w:r>
      <w:r w:rsidRPr="00DD2C62">
        <w:t>Carmo</w:t>
      </w:r>
      <w:r w:rsidR="0049107A" w:rsidRPr="00DD2C62">
        <w:t xml:space="preserve"> </w:t>
      </w:r>
      <w:r w:rsidRPr="00DD2C62">
        <w:t>Figueira</w:t>
      </w:r>
      <w:r w:rsidR="0049107A" w:rsidRPr="00DD2C62">
        <w:t xml:space="preserve"> </w:t>
      </w:r>
      <w:r w:rsidRPr="00DD2C62">
        <w:t>(Portugal)</w:t>
      </w:r>
      <w:r w:rsidR="00DD2C62" w:rsidRPr="00DD2C62">
        <w:t> ;</w:t>
      </w:r>
      <w:r w:rsidR="0049107A" w:rsidRPr="00DD2C62">
        <w:t xml:space="preserve"> </w:t>
      </w:r>
      <w:r w:rsidRPr="00DD2C62">
        <w:t>M.</w:t>
      </w:r>
      <w:r w:rsidR="00DD2C62" w:rsidRPr="00DD2C62">
        <w:t> </w:t>
      </w:r>
      <w:r w:rsidRPr="00DD2C62">
        <w:t>Kaupo</w:t>
      </w:r>
      <w:r w:rsidR="0049107A" w:rsidRPr="00DD2C62">
        <w:t xml:space="preserve"> </w:t>
      </w:r>
      <w:r w:rsidRPr="00DD2C62">
        <w:t>Heinma</w:t>
      </w:r>
      <w:r w:rsidR="0049107A" w:rsidRPr="00DD2C62">
        <w:t xml:space="preserve"> </w:t>
      </w:r>
      <w:r w:rsidRPr="00DD2C62">
        <w:t>(Estonie)</w:t>
      </w:r>
      <w:r w:rsidR="00DD2C62" w:rsidRPr="00DD2C62">
        <w:t> ;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 w:rsidRPr="00DD2C62">
        <w:t> </w:t>
      </w:r>
      <w:r w:rsidRPr="00DD2C62">
        <w:t>Zsuzsanna</w:t>
      </w:r>
      <w:r w:rsidR="0049107A" w:rsidRPr="00DD2C62">
        <w:t xml:space="preserve"> </w:t>
      </w:r>
      <w:r w:rsidRPr="00DD2C62">
        <w:t>Pocsai</w:t>
      </w:r>
      <w:r w:rsidR="0049107A" w:rsidRPr="00DD2C62">
        <w:t xml:space="preserve"> </w:t>
      </w:r>
      <w:r w:rsidRPr="00DD2C62">
        <w:t>(Hongrie)</w:t>
      </w:r>
      <w:r w:rsidR="00DD2C62" w:rsidRPr="00DD2C62">
        <w:t> ;</w:t>
      </w:r>
      <w:r w:rsidR="0049107A" w:rsidRPr="00DD2C62">
        <w:t xml:space="preserve"> </w:t>
      </w:r>
      <w:r w:rsidRPr="00DD2C62">
        <w:t>M.</w:t>
      </w:r>
      <w:r w:rsidR="00DD2C62" w:rsidRPr="00DD2C62">
        <w:t> </w:t>
      </w:r>
      <w:r w:rsidRPr="00DD2C62">
        <w:t>Romas</w:t>
      </w:r>
      <w:r w:rsidR="0049107A" w:rsidRPr="00DD2C62">
        <w:t xml:space="preserve"> </w:t>
      </w:r>
      <w:r w:rsidRPr="00DD2C62">
        <w:t>Švedas</w:t>
      </w:r>
      <w:r w:rsidR="0049107A" w:rsidRPr="00DD2C62">
        <w:t xml:space="preserve"> </w:t>
      </w:r>
      <w:r w:rsidRPr="00DD2C62">
        <w:t>(Lituanie)</w:t>
      </w:r>
      <w:r w:rsidR="00DD2C62" w:rsidRPr="00DD2C62">
        <w:t> ;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 w:rsidRPr="00DD2C62">
        <w:t> </w:t>
      </w:r>
      <w:r w:rsidRPr="00DD2C62">
        <w:t>Nadezhda</w:t>
      </w:r>
      <w:r w:rsidR="0049107A" w:rsidRPr="00DD2C62">
        <w:t xml:space="preserve"> </w:t>
      </w:r>
      <w:r w:rsidRPr="00DD2C62">
        <w:t>Zdanevich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 w:rsidRPr="00DD2C62">
        <w:t> </w:t>
      </w:r>
      <w:r w:rsidRPr="00DD2C62">
        <w:t>Tatiana</w:t>
      </w:r>
      <w:r w:rsidR="0049107A" w:rsidRPr="00DD2C62">
        <w:t xml:space="preserve"> </w:t>
      </w:r>
      <w:r w:rsidRPr="00DD2C62">
        <w:t>Kuhtenkova</w:t>
      </w:r>
      <w:r w:rsidR="0049107A" w:rsidRPr="00DD2C62">
        <w:t xml:space="preserve"> </w:t>
      </w:r>
      <w:r w:rsidRPr="00DD2C62">
        <w:t>(à</w:t>
      </w:r>
      <w:r w:rsidR="0049107A" w:rsidRPr="00DD2C62">
        <w:t xml:space="preserve"> </w:t>
      </w:r>
      <w:r w:rsidRPr="00DD2C62">
        <w:t>partir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quarante-septième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16</w:t>
      </w:r>
      <w:r w:rsidRPr="00DD2C62">
        <w:noBreakHyphen/>
        <w:t>19</w:t>
      </w:r>
      <w:r w:rsidR="00DD2C62" w:rsidRPr="00DD2C62">
        <w:t> </w:t>
      </w:r>
      <w:r w:rsidRPr="00DD2C62">
        <w:t>mars</w:t>
      </w:r>
      <w:r w:rsidR="0049107A" w:rsidRPr="00DD2C62">
        <w:t xml:space="preserve"> </w:t>
      </w:r>
      <w:r w:rsidRPr="00DD2C62">
        <w:t>2020))</w:t>
      </w:r>
      <w:r w:rsidR="0049107A" w:rsidRPr="00DD2C62">
        <w:t xml:space="preserve"> </w:t>
      </w:r>
      <w:r w:rsidRPr="00DD2C62">
        <w:t>(Bélarus).</w:t>
      </w:r>
      <w:r w:rsidR="0049107A" w:rsidRPr="00DD2C62">
        <w:t xml:space="preserve"> </w:t>
      </w:r>
      <w:r w:rsidRPr="00DD2C62">
        <w:t>M.</w:t>
      </w:r>
      <w:r w:rsidR="00DD2C62" w:rsidRPr="00DD2C62">
        <w:t> </w:t>
      </w:r>
      <w:r w:rsidRPr="00DD2C62">
        <w:t>Buchko,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 w:rsidRPr="00DD2C62">
        <w:t> </w:t>
      </w:r>
      <w:r w:rsidRPr="00DD2C62">
        <w:t>Kliut,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 w:rsidRPr="00DD2C62">
        <w:t> </w:t>
      </w:r>
      <w:r w:rsidRPr="00DD2C62">
        <w:t>Pocsai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M.</w:t>
      </w:r>
      <w:r w:rsidR="00DD2C62" w:rsidRPr="00DD2C62">
        <w:t> </w:t>
      </w:r>
      <w:r w:rsidRPr="00DD2C62">
        <w:t>Švedas</w:t>
      </w:r>
      <w:r w:rsidR="0049107A" w:rsidRPr="00DD2C62">
        <w:t xml:space="preserve"> </w:t>
      </w:r>
      <w:r w:rsidRPr="00DD2C62">
        <w:t>s’acquittaient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mandat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leurs</w:t>
      </w:r>
      <w:r w:rsidR="0049107A" w:rsidRPr="00DD2C62">
        <w:t xml:space="preserve"> </w:t>
      </w:r>
      <w:r w:rsidRPr="00DD2C62">
        <w:t>pays,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savoir,</w:t>
      </w:r>
      <w:r w:rsidR="0049107A" w:rsidRPr="00DD2C62">
        <w:t xml:space="preserve"> </w:t>
      </w:r>
      <w:r w:rsidRPr="00DD2C62">
        <w:t>respectivement,</w:t>
      </w:r>
      <w:r w:rsidR="0049107A" w:rsidRPr="00DD2C62">
        <w:t xml:space="preserve"> </w:t>
      </w:r>
      <w:r w:rsidRPr="00DD2C62">
        <w:t>l’Ukraine,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Lituanie,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choisis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désigner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sixième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2</w:t>
      </w:r>
      <w:r w:rsidR="00DD2C62">
        <w:t>-</w:t>
      </w:r>
      <w:r w:rsidRPr="00DD2C62">
        <w:t>5</w:t>
      </w:r>
      <w:r w:rsidR="00DD2C62">
        <w:t> </w:t>
      </w:r>
      <w:r w:rsidRPr="00DD2C62">
        <w:t>juin</w:t>
      </w:r>
      <w:r w:rsidR="0049107A" w:rsidRPr="00DD2C62">
        <w:t xml:space="preserve"> </w:t>
      </w:r>
      <w:r w:rsidRPr="00DD2C62">
        <w:t>2014)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qu’ils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ensuite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élus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tant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(ECE/MP.EIA/20</w:t>
      </w:r>
      <w:r w:rsidR="00DD2C62">
        <w:t>-</w:t>
      </w:r>
      <w:r w:rsidRPr="00DD2C62">
        <w:t>ECE/MP.EIA/SEA/4,</w:t>
      </w:r>
      <w:r w:rsidR="0049107A" w:rsidRPr="00DD2C62">
        <w:t xml:space="preserve"> </w:t>
      </w:r>
      <w:r w:rsidR="00DD2C62">
        <w:t>par. </w:t>
      </w:r>
      <w:r w:rsidRPr="00DD2C62">
        <w:t>67).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>
        <w:t> </w:t>
      </w:r>
      <w:r w:rsidRPr="00DD2C62">
        <w:t>Rzayeva,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Heinma,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>
        <w:t> </w:t>
      </w:r>
      <w:r w:rsidRPr="00DD2C62">
        <w:t>do</w:t>
      </w:r>
      <w:r w:rsidR="0049107A" w:rsidRPr="00DD2C62">
        <w:t xml:space="preserve"> </w:t>
      </w:r>
      <w:r w:rsidRPr="00DD2C62">
        <w:t>Carmo</w:t>
      </w:r>
      <w:r w:rsidR="0049107A" w:rsidRPr="00DD2C62">
        <w:t xml:space="preserve"> </w:t>
      </w:r>
      <w:r w:rsidRPr="00DD2C62">
        <w:t>Figueira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Bengtsson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élus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tant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pays,</w:t>
      </w:r>
      <w:r w:rsidR="0049107A" w:rsidRPr="00DD2C62">
        <w:t xml:space="preserve"> </w:t>
      </w:r>
      <w:r w:rsidRPr="00DD2C62">
        <w:t>respectivement,</w:t>
      </w:r>
      <w:r w:rsidR="0049107A" w:rsidRPr="00DD2C62">
        <w:t xml:space="preserve"> </w:t>
      </w:r>
      <w:r w:rsidRPr="00DD2C62">
        <w:t>l’Azerbaïdjan,</w:t>
      </w:r>
      <w:r w:rsidR="0049107A" w:rsidRPr="00DD2C62">
        <w:t xml:space="preserve"> </w:t>
      </w:r>
      <w:r w:rsidRPr="00DD2C62">
        <w:t>l’Estonie,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Portugal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Suède,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choisis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désigner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(Minsk,</w:t>
      </w:r>
      <w:r w:rsidR="0049107A" w:rsidRPr="00DD2C62">
        <w:t xml:space="preserve"> </w:t>
      </w:r>
      <w:r w:rsidRPr="00DD2C62">
        <w:t>13</w:t>
      </w:r>
      <w:r w:rsidRPr="00DD2C62">
        <w:noBreakHyphen/>
        <w:t>16</w:t>
      </w:r>
      <w:r w:rsidR="00DD2C62">
        <w:t> </w:t>
      </w:r>
      <w:r w:rsidRPr="00DD2C62">
        <w:t>juin</w:t>
      </w:r>
      <w:r w:rsidR="0049107A" w:rsidRPr="00DD2C62">
        <w:t xml:space="preserve"> </w:t>
      </w:r>
      <w:r w:rsidRPr="00DD2C62">
        <w:t>2017)</w:t>
      </w:r>
      <w:r w:rsidR="0049107A" w:rsidRPr="00DD2C62">
        <w:t xml:space="preserve"> </w:t>
      </w:r>
      <w:r w:rsidRPr="00DD2C62">
        <w:t>(ECE/MP.EIA/23</w:t>
      </w:r>
      <w:r w:rsidR="00DD2C62">
        <w:t>-</w:t>
      </w:r>
      <w:r w:rsidRPr="00DD2C62">
        <w:t>ECE/MP.EIA/SEA/7,</w:t>
      </w:r>
      <w:r w:rsidR="0049107A" w:rsidRPr="00DD2C62">
        <w:t xml:space="preserve"> </w:t>
      </w:r>
      <w:r w:rsidR="00DD2C62">
        <w:t>par. </w:t>
      </w:r>
      <w:r w:rsidRPr="00DD2C62">
        <w:t>72).</w:t>
      </w:r>
    </w:p>
    <w:p w14:paraId="3AB505F5" w14:textId="77777777" w:rsidR="002749FA" w:rsidRPr="00DD2C62" w:rsidRDefault="002749FA" w:rsidP="0049107A">
      <w:pPr>
        <w:pStyle w:val="SingleTxtG"/>
        <w:rPr>
          <w:lang w:eastAsia="en-GB"/>
        </w:rPr>
      </w:pPr>
      <w:r w:rsidRPr="00DD2C62">
        <w:t>3.</w:t>
      </w:r>
      <w:r w:rsidRPr="00DD2C62">
        <w:tab/>
        <w:t>Les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élus</w:t>
      </w:r>
      <w:r w:rsidRPr="00DD2C62">
        <w:rPr>
          <w:rStyle w:val="FootnoteReference"/>
        </w:rPr>
        <w:footnoteReference w:id="2"/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qu’ils</w:t>
      </w:r>
      <w:r w:rsidR="0049107A" w:rsidRPr="00DD2C62">
        <w:t xml:space="preserve"> </w:t>
      </w:r>
      <w:r w:rsidRPr="00DD2C62">
        <w:t>représentaient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étaient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suivants</w:t>
      </w:r>
      <w:r w:rsidR="00DD2C62" w:rsidRPr="00DD2C62">
        <w:t> :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Bengtsson</w:t>
      </w:r>
      <w:r w:rsidR="0049107A" w:rsidRPr="00DD2C62">
        <w:t xml:space="preserve"> </w:t>
      </w:r>
      <w:r w:rsidRPr="00DD2C62">
        <w:t>(Suède)</w:t>
      </w:r>
      <w:r w:rsidR="00DD2C62" w:rsidRPr="00DD2C62">
        <w:t> ;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Buchko</w:t>
      </w:r>
      <w:r w:rsidR="0049107A" w:rsidRPr="00DD2C62">
        <w:t xml:space="preserve"> </w:t>
      </w:r>
      <w:r w:rsidRPr="00DD2C62">
        <w:t>(Ukraine)</w:t>
      </w:r>
      <w:r w:rsidR="00DD2C62" w:rsidRPr="00DD2C62">
        <w:t> ;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Libor</w:t>
      </w:r>
      <w:r w:rsidR="0049107A" w:rsidRPr="00DD2C62">
        <w:t xml:space="preserve"> </w:t>
      </w:r>
      <w:r w:rsidRPr="00DD2C62">
        <w:t>Dvorak</w:t>
      </w:r>
      <w:r w:rsidR="0049107A" w:rsidRPr="00DD2C62">
        <w:t xml:space="preserve"> </w:t>
      </w:r>
      <w:r w:rsidRPr="00DD2C62">
        <w:t>(Tchéquie</w:t>
      </w:r>
      <w:r w:rsidR="00DD2C62" w:rsidRPr="00DD2C62">
        <w:t> ;</w:t>
      </w:r>
      <w:r w:rsidR="0049107A" w:rsidRPr="00DD2C62">
        <w:t xml:space="preserve"> </w:t>
      </w:r>
      <w:r w:rsidRPr="00DD2C62">
        <w:t>suppléant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>
        <w:t> </w:t>
      </w:r>
      <w:r w:rsidRPr="00DD2C62">
        <w:t>Kuhtenkova</w:t>
      </w:r>
      <w:r w:rsidR="0049107A" w:rsidRPr="00DD2C62">
        <w:t xml:space="preserve"> </w:t>
      </w:r>
      <w:r w:rsidRPr="00DD2C62">
        <w:t>(Bélarus,</w:t>
      </w:r>
      <w:r w:rsidR="0049107A" w:rsidRPr="00DD2C62">
        <w:t xml:space="preserve"> </w:t>
      </w:r>
      <w:r w:rsidRPr="00DD2C62">
        <w:t>non</w:t>
      </w:r>
      <w:r w:rsidR="0049107A" w:rsidRPr="00DD2C62">
        <w:t xml:space="preserve"> </w:t>
      </w:r>
      <w:r w:rsidRPr="00DD2C62">
        <w:t>Partie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Protocole))</w:t>
      </w:r>
      <w:r w:rsidR="00DD2C62" w:rsidRPr="00DD2C62">
        <w:t> ;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>
        <w:t> </w:t>
      </w:r>
      <w:r w:rsidRPr="00DD2C62">
        <w:t>do</w:t>
      </w:r>
      <w:r w:rsidR="0049107A" w:rsidRPr="00DD2C62">
        <w:t xml:space="preserve"> </w:t>
      </w:r>
      <w:r w:rsidRPr="00DD2C62">
        <w:t>Carmo</w:t>
      </w:r>
      <w:r w:rsidR="0049107A" w:rsidRPr="00DD2C62">
        <w:t xml:space="preserve"> </w:t>
      </w:r>
      <w:r w:rsidRPr="00DD2C62">
        <w:t>Figueira</w:t>
      </w:r>
      <w:r w:rsidR="0049107A" w:rsidRPr="00DD2C62">
        <w:t xml:space="preserve"> </w:t>
      </w:r>
      <w:r w:rsidRPr="00DD2C62">
        <w:t>(Portugal)</w:t>
      </w:r>
      <w:r w:rsidR="00DD2C62" w:rsidRPr="00DD2C62">
        <w:t> ;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Lasse</w:t>
      </w:r>
      <w:r w:rsidR="0049107A" w:rsidRPr="00DD2C62">
        <w:t xml:space="preserve"> </w:t>
      </w:r>
      <w:r w:rsidRPr="00DD2C62">
        <w:t>Tallskog</w:t>
      </w:r>
      <w:r w:rsidR="0049107A" w:rsidRPr="00DD2C62">
        <w:t xml:space="preserve"> </w:t>
      </w:r>
      <w:r w:rsidRPr="00DD2C62">
        <w:t>(Finlande</w:t>
      </w:r>
      <w:r w:rsidR="00DD2C62" w:rsidRPr="00DD2C62">
        <w:t> ;</w:t>
      </w:r>
      <w:r w:rsidR="0049107A" w:rsidRPr="00DD2C62">
        <w:t xml:space="preserve"> </w:t>
      </w:r>
      <w:r w:rsidRPr="00DD2C62">
        <w:t>suppléant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>
        <w:t> </w:t>
      </w:r>
      <w:r w:rsidRPr="00DD2C62">
        <w:t>Rzayeva</w:t>
      </w:r>
      <w:r w:rsidR="0049107A" w:rsidRPr="00DD2C62">
        <w:t xml:space="preserve"> </w:t>
      </w:r>
      <w:r w:rsidRPr="00DD2C62">
        <w:t>(Azerbaïdjan,</w:t>
      </w:r>
      <w:r w:rsidR="0049107A" w:rsidRPr="00DD2C62">
        <w:t xml:space="preserve"> </w:t>
      </w:r>
      <w:r w:rsidRPr="00DD2C62">
        <w:t>non</w:t>
      </w:r>
      <w:r w:rsidR="0049107A" w:rsidRPr="00DD2C62">
        <w:t xml:space="preserve"> </w:t>
      </w:r>
      <w:r w:rsidRPr="00DD2C62">
        <w:t>Partie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Protocole)).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cinq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élus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siéger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côtés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DD2C62" w:rsidRPr="00DD2C62">
        <w:t> :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Heinma</w:t>
      </w:r>
      <w:r w:rsidR="0049107A" w:rsidRPr="00DD2C62">
        <w:t xml:space="preserve"> </w:t>
      </w:r>
      <w:r w:rsidRPr="00DD2C62">
        <w:t>(Estonie),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Švedas</w:t>
      </w:r>
      <w:r w:rsidR="0049107A" w:rsidRPr="00DD2C62">
        <w:t xml:space="preserve"> </w:t>
      </w:r>
      <w:r w:rsidRPr="00DD2C62">
        <w:t>(</w:t>
      </w:r>
      <w:r w:rsidRPr="00DD2C62">
        <w:rPr>
          <w:lang w:eastAsia="en-GB"/>
        </w:rPr>
        <w:t>Lituanie)</w:t>
      </w:r>
      <w:r w:rsidR="0049107A" w:rsidRPr="00DD2C62">
        <w:rPr>
          <w:lang w:eastAsia="en-GB"/>
        </w:rPr>
        <w:t xml:space="preserve"> </w:t>
      </w:r>
      <w:r w:rsidRPr="00DD2C62">
        <w:rPr>
          <w:lang w:eastAsia="en-GB"/>
        </w:rPr>
        <w:t>et</w:t>
      </w:r>
      <w:r w:rsidR="0049107A" w:rsidRPr="00DD2C62">
        <w:rPr>
          <w:lang w:eastAsia="en-GB"/>
        </w:rPr>
        <w:t xml:space="preserve"> </w:t>
      </w:r>
      <w:r w:rsidRPr="00DD2C62">
        <w:rPr>
          <w:lang w:eastAsia="en-GB"/>
        </w:rPr>
        <w:t>M</w:t>
      </w:r>
      <w:r w:rsidRPr="00DD2C62">
        <w:rPr>
          <w:vertAlign w:val="superscript"/>
          <w:lang w:eastAsia="en-GB"/>
        </w:rPr>
        <w:t>me</w:t>
      </w:r>
      <w:r w:rsidR="00DD2C62">
        <w:rPr>
          <w:lang w:eastAsia="en-GB"/>
        </w:rPr>
        <w:t> </w:t>
      </w:r>
      <w:r w:rsidRPr="00DD2C62">
        <w:rPr>
          <w:lang w:eastAsia="en-GB"/>
        </w:rPr>
        <w:t>Pocsai</w:t>
      </w:r>
      <w:r w:rsidR="0049107A" w:rsidRPr="00DD2C62">
        <w:rPr>
          <w:lang w:eastAsia="en-GB"/>
        </w:rPr>
        <w:t xml:space="preserve"> </w:t>
      </w:r>
      <w:r w:rsidRPr="00DD2C62">
        <w:rPr>
          <w:lang w:eastAsia="en-GB"/>
        </w:rPr>
        <w:t>(Hongrie).</w:t>
      </w:r>
    </w:p>
    <w:p w14:paraId="4DB25BA0" w14:textId="77777777" w:rsidR="002749FA" w:rsidRPr="00DD2C62" w:rsidRDefault="002749FA" w:rsidP="0049107A">
      <w:pPr>
        <w:pStyle w:val="SingleTxtG"/>
      </w:pPr>
      <w:r w:rsidRPr="00DD2C62">
        <w:t>4.</w:t>
      </w:r>
      <w:r w:rsidRPr="00DD2C62">
        <w:tab/>
      </w:r>
      <w:bookmarkStart w:id="1" w:name="_Hlk44958824"/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ainsi</w:t>
      </w:r>
      <w:r w:rsidR="0049107A" w:rsidRPr="00DD2C62">
        <w:t xml:space="preserve"> </w:t>
      </w:r>
      <w:r w:rsidRPr="00DD2C62">
        <w:t>qu’au</w:t>
      </w:r>
      <w:r w:rsidR="0049107A" w:rsidRPr="00DD2C62">
        <w:t xml:space="preserve"> </w:t>
      </w:r>
      <w:r w:rsidR="00B376F7" w:rsidRPr="00DD2C62">
        <w:t xml:space="preserve">Règlement </w:t>
      </w:r>
      <w:r w:rsidRPr="00DD2C62">
        <w:t>intérieur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rPr>
          <w:lang w:eastAsia="en-GB"/>
        </w:rPr>
        <w:t>Comité</w:t>
      </w:r>
      <w:r w:rsidRPr="00DD2C62">
        <w:rPr>
          <w:rStyle w:val="FootnoteReference"/>
        </w:rPr>
        <w:footnoteReference w:id="3"/>
      </w:r>
      <w:r w:rsidRPr="00DD2C62">
        <w:t>,</w:t>
      </w:r>
      <w:r w:rsidR="0049107A" w:rsidRPr="00DD2C62">
        <w:t xml:space="preserve"> </w:t>
      </w:r>
      <w:r w:rsidRPr="00DD2C62">
        <w:t>outre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permanents,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suppléants</w:t>
      </w:r>
      <w:r w:rsidR="0049107A" w:rsidRPr="00DD2C62">
        <w:t xml:space="preserve"> </w:t>
      </w:r>
      <w:r w:rsidRPr="00DD2C62">
        <w:t>ci-après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nommés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élues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même</w:t>
      </w:r>
      <w:r w:rsidR="0049107A" w:rsidRPr="00DD2C62">
        <w:t xml:space="preserve"> </w:t>
      </w:r>
      <w:r w:rsidRPr="00DD2C62">
        <w:t>mandat</w:t>
      </w:r>
      <w:bookmarkEnd w:id="1"/>
      <w:r w:rsidR="00DD2C62" w:rsidRPr="00DD2C62">
        <w:t> :</w:t>
      </w:r>
      <w:r w:rsidR="0049107A" w:rsidRPr="00DD2C62">
        <w:t xml:space="preserve"> </w:t>
      </w:r>
      <w:r w:rsidR="006F3F65">
        <w:t>M</w:t>
      </w:r>
      <w:r w:rsidR="006F3F65">
        <w:rPr>
          <w:vertAlign w:val="superscript"/>
        </w:rPr>
        <w:t>me</w:t>
      </w:r>
      <w:r w:rsidR="006F3F65">
        <w:t> </w:t>
      </w:r>
      <w:r w:rsidRPr="00DD2C62">
        <w:t>Leyla</w:t>
      </w:r>
      <w:r w:rsidR="0049107A" w:rsidRPr="00DD2C62">
        <w:t xml:space="preserve"> </w:t>
      </w:r>
      <w:r w:rsidRPr="00DD2C62">
        <w:t>Aliyeva</w:t>
      </w:r>
      <w:r w:rsidR="0049107A" w:rsidRPr="00DD2C62">
        <w:t xml:space="preserve"> </w:t>
      </w:r>
      <w:r w:rsidRPr="00DD2C62">
        <w:t>(à</w:t>
      </w:r>
      <w:r w:rsidR="0049107A" w:rsidRPr="00DD2C62">
        <w:t xml:space="preserve"> </w:t>
      </w:r>
      <w:r w:rsidRPr="00DD2C62">
        <w:t>partir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session)</w:t>
      </w:r>
      <w:r w:rsidR="0049107A" w:rsidRPr="00DD2C62">
        <w:t xml:space="preserve"> </w:t>
      </w:r>
      <w:r w:rsidRPr="00DD2C62">
        <w:t>(Azerbaïdjan)</w:t>
      </w:r>
      <w:r w:rsidR="00DD2C62" w:rsidRPr="00DD2C62">
        <w:t> ;</w:t>
      </w:r>
      <w:r w:rsidR="0049107A" w:rsidRPr="00DD2C62">
        <w:t xml:space="preserve"> </w:t>
      </w:r>
      <w:r w:rsidR="006F3F65">
        <w:t>M</w:t>
      </w:r>
      <w:r w:rsidR="006F3F65">
        <w:rPr>
          <w:vertAlign w:val="superscript"/>
        </w:rPr>
        <w:t>me</w:t>
      </w:r>
      <w:r w:rsidR="006F3F65">
        <w:t> </w:t>
      </w:r>
      <w:r w:rsidRPr="00DD2C62">
        <w:t>Eliska</w:t>
      </w:r>
      <w:r w:rsidR="0049107A" w:rsidRPr="00DD2C62">
        <w:t xml:space="preserve"> </w:t>
      </w:r>
      <w:r w:rsidRPr="00DD2C62">
        <w:t>Dvorska</w:t>
      </w:r>
      <w:r w:rsidR="0049107A" w:rsidRPr="00DD2C62">
        <w:t xml:space="preserve"> </w:t>
      </w:r>
      <w:r w:rsidRPr="00DD2C62">
        <w:t>(Tchéquie)</w:t>
      </w:r>
      <w:r w:rsidR="00DD2C62" w:rsidRPr="00DD2C62">
        <w:t> ;</w:t>
      </w:r>
      <w:r w:rsidR="0049107A" w:rsidRPr="00DD2C62">
        <w:t xml:space="preserve"> </w:t>
      </w:r>
      <w:r w:rsidR="006F3F65">
        <w:t>M</w:t>
      </w:r>
      <w:r w:rsidR="006F3F65">
        <w:rPr>
          <w:vertAlign w:val="superscript"/>
        </w:rPr>
        <w:t>me</w:t>
      </w:r>
      <w:r w:rsidR="006F3F65">
        <w:t> </w:t>
      </w:r>
      <w:r w:rsidRPr="00DD2C62">
        <w:t>Larissa</w:t>
      </w:r>
      <w:r w:rsidR="0049107A" w:rsidRPr="00DD2C62">
        <w:t xml:space="preserve"> </w:t>
      </w:r>
      <w:r w:rsidRPr="00DD2C62">
        <w:t>Lukina</w:t>
      </w:r>
      <w:r w:rsidR="0049107A" w:rsidRPr="00DD2C62">
        <w:t xml:space="preserve"> </w:t>
      </w:r>
      <w:r w:rsidRPr="00DD2C62">
        <w:t>(à</w:t>
      </w:r>
      <w:r w:rsidR="006F3F65">
        <w:t> </w:t>
      </w:r>
      <w:r w:rsidRPr="00DD2C62">
        <w:t>partir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quarante-septième</w:t>
      </w:r>
      <w:r w:rsidR="0049107A" w:rsidRPr="00DD2C62">
        <w:t xml:space="preserve"> </w:t>
      </w:r>
      <w:r w:rsidRPr="00DD2C62">
        <w:t>session)</w:t>
      </w:r>
      <w:r w:rsidR="0049107A" w:rsidRPr="00DD2C62">
        <w:t xml:space="preserve"> </w:t>
      </w:r>
      <w:r w:rsidRPr="00DD2C62">
        <w:t>(Bélarus)</w:t>
      </w:r>
      <w:r w:rsidR="00DD2C62" w:rsidRPr="00DD2C62">
        <w:t> ;</w:t>
      </w:r>
      <w:r w:rsidR="0049107A" w:rsidRPr="00DD2C62">
        <w:t xml:space="preserve"> </w:t>
      </w:r>
      <w:r w:rsidR="006F3F65">
        <w:t>M</w:t>
      </w:r>
      <w:r w:rsidR="006F3F65">
        <w:rPr>
          <w:vertAlign w:val="superscript"/>
        </w:rPr>
        <w:t>me</w:t>
      </w:r>
      <w:r w:rsidR="006F3F65">
        <w:t> </w:t>
      </w:r>
      <w:r w:rsidRPr="00DD2C62">
        <w:t>Christina</w:t>
      </w:r>
      <w:r w:rsidR="0049107A" w:rsidRPr="00DD2C62">
        <w:t xml:space="preserve"> </w:t>
      </w:r>
      <w:r w:rsidRPr="00DD2C62">
        <w:t>Olson</w:t>
      </w:r>
      <w:r w:rsidR="0049107A" w:rsidRPr="00DD2C62">
        <w:t xml:space="preserve"> </w:t>
      </w:r>
      <w:r w:rsidRPr="00DD2C62">
        <w:t>Lundh</w:t>
      </w:r>
      <w:r w:rsidR="0049107A" w:rsidRPr="00DD2C62">
        <w:t xml:space="preserve"> </w:t>
      </w:r>
      <w:r w:rsidRPr="00DD2C62">
        <w:t>(Suède)</w:t>
      </w:r>
      <w:r w:rsidR="00DD2C62" w:rsidRPr="00DD2C62">
        <w:t> ;</w:t>
      </w:r>
      <w:r w:rsidR="0049107A" w:rsidRPr="00DD2C62">
        <w:t xml:space="preserve"> </w:t>
      </w:r>
      <w:r w:rsidR="006F3F65">
        <w:t>M. </w:t>
      </w:r>
      <w:r w:rsidRPr="00DD2C62">
        <w:t>Szabolcs</w:t>
      </w:r>
      <w:r w:rsidR="0049107A" w:rsidRPr="00DD2C62">
        <w:t xml:space="preserve"> </w:t>
      </w:r>
      <w:r w:rsidRPr="00DD2C62">
        <w:t>Péter</w:t>
      </w:r>
      <w:r w:rsidR="0049107A" w:rsidRPr="00DD2C62">
        <w:t xml:space="preserve"> </w:t>
      </w:r>
      <w:r w:rsidRPr="00DD2C62">
        <w:t>Orosz</w:t>
      </w:r>
      <w:r w:rsidR="0049107A" w:rsidRPr="00DD2C62">
        <w:t xml:space="preserve"> </w:t>
      </w:r>
      <w:r w:rsidRPr="00DD2C62">
        <w:t>(Hongrie)</w:t>
      </w:r>
      <w:r w:rsidR="00DD2C62" w:rsidRPr="00DD2C62">
        <w:t> ;</w:t>
      </w:r>
      <w:r w:rsidR="0049107A" w:rsidRPr="00DD2C62">
        <w:t xml:space="preserve"> </w:t>
      </w:r>
      <w:r w:rsidR="006F3F65">
        <w:t>M. </w:t>
      </w:r>
      <w:r w:rsidRPr="00DD2C62">
        <w:t>Rainer</w:t>
      </w:r>
      <w:r w:rsidR="0049107A" w:rsidRPr="00DD2C62">
        <w:t xml:space="preserve"> </w:t>
      </w:r>
      <w:r w:rsidRPr="00DD2C62">
        <w:t>Persidski</w:t>
      </w:r>
      <w:r w:rsidR="0049107A" w:rsidRPr="00DD2C62">
        <w:t xml:space="preserve"> </w:t>
      </w:r>
      <w:r w:rsidRPr="00DD2C62">
        <w:t>(Estonie)</w:t>
      </w:r>
      <w:r w:rsidR="00DD2C62" w:rsidRPr="00DD2C62">
        <w:t> ;</w:t>
      </w:r>
      <w:r w:rsidR="0049107A" w:rsidRPr="00DD2C62">
        <w:t xml:space="preserve"> </w:t>
      </w:r>
      <w:r w:rsidR="006F3F65">
        <w:t>M</w:t>
      </w:r>
      <w:r w:rsidR="006F3F65">
        <w:rPr>
          <w:vertAlign w:val="superscript"/>
        </w:rPr>
        <w:t>me</w:t>
      </w:r>
      <w:r w:rsidR="006F3F65">
        <w:t> </w:t>
      </w:r>
      <w:r w:rsidRPr="00DD2C62">
        <w:t>Maryna</w:t>
      </w:r>
      <w:r w:rsidR="0049107A" w:rsidRPr="00DD2C62">
        <w:t xml:space="preserve"> </w:t>
      </w:r>
      <w:r w:rsidRPr="00DD2C62">
        <w:t>Shymkus</w:t>
      </w:r>
      <w:r w:rsidR="0049107A" w:rsidRPr="00DD2C62">
        <w:t xml:space="preserve"> </w:t>
      </w:r>
      <w:r w:rsidRPr="00DD2C62">
        <w:t>(Ukraine)</w:t>
      </w:r>
      <w:r w:rsidR="00DD2C62" w:rsidRPr="00DD2C62">
        <w:t> ;</w:t>
      </w:r>
      <w:r w:rsidR="0049107A" w:rsidRPr="00DD2C62">
        <w:t xml:space="preserve"> </w:t>
      </w:r>
      <w:r w:rsidR="006F3F65">
        <w:t>M</w:t>
      </w:r>
      <w:r w:rsidR="006F3F65">
        <w:rPr>
          <w:vertAlign w:val="superscript"/>
        </w:rPr>
        <w:t>me</w:t>
      </w:r>
      <w:r w:rsidR="006F3F65">
        <w:t> </w:t>
      </w:r>
      <w:r w:rsidRPr="00DD2C62">
        <w:t>Águeda</w:t>
      </w:r>
      <w:r w:rsidR="0049107A" w:rsidRPr="00DD2C62">
        <w:t xml:space="preserve"> </w:t>
      </w:r>
      <w:r w:rsidRPr="00DD2C62">
        <w:t>Silva</w:t>
      </w:r>
      <w:r w:rsidR="0049107A" w:rsidRPr="00DD2C62">
        <w:t xml:space="preserve"> </w:t>
      </w:r>
      <w:r w:rsidRPr="00DD2C62">
        <w:t>(Portugal)</w:t>
      </w:r>
      <w:r w:rsidR="00DD2C62" w:rsidRPr="00DD2C62">
        <w:t> ;</w:t>
      </w:r>
      <w:r w:rsidR="0049107A" w:rsidRPr="00DD2C62">
        <w:t xml:space="preserve"> </w:t>
      </w:r>
      <w:r w:rsidR="006F3F65">
        <w:t>M. </w:t>
      </w:r>
      <w:r w:rsidRPr="00DD2C62">
        <w:t>Juozas</w:t>
      </w:r>
      <w:r w:rsidR="0049107A" w:rsidRPr="00DD2C62">
        <w:t xml:space="preserve"> </w:t>
      </w:r>
      <w:r w:rsidRPr="00DD2C62">
        <w:t>Steponėnas</w:t>
      </w:r>
      <w:r w:rsidR="0049107A" w:rsidRPr="00DD2C62">
        <w:t xml:space="preserve"> </w:t>
      </w:r>
      <w:r w:rsidRPr="00DD2C62">
        <w:t>(Lituanie)</w:t>
      </w:r>
      <w:r w:rsidR="00DD2C62" w:rsidRPr="00DD2C62">
        <w:t> ;</w:t>
      </w:r>
      <w:r w:rsidR="0049107A" w:rsidRPr="00DD2C62">
        <w:t xml:space="preserve"> </w:t>
      </w:r>
      <w:r w:rsidR="006F3F65">
        <w:t>et M</w:t>
      </w:r>
      <w:r w:rsidR="006F3F65">
        <w:rPr>
          <w:vertAlign w:val="superscript"/>
        </w:rPr>
        <w:t>me</w:t>
      </w:r>
      <w:r w:rsidR="006F3F65">
        <w:t>  </w:t>
      </w:r>
      <w:r w:rsidRPr="00DD2C62">
        <w:t>Charlotta</w:t>
      </w:r>
      <w:r w:rsidR="0049107A" w:rsidRPr="00DD2C62">
        <w:t xml:space="preserve"> </w:t>
      </w:r>
      <w:r w:rsidRPr="00DD2C62">
        <w:t>von</w:t>
      </w:r>
      <w:r w:rsidR="0049107A" w:rsidRPr="00DD2C62">
        <w:t xml:space="preserve"> </w:t>
      </w:r>
      <w:r w:rsidRPr="00DD2C62">
        <w:t>Troil</w:t>
      </w:r>
      <w:r w:rsidR="0049107A" w:rsidRPr="00DD2C62">
        <w:t xml:space="preserve"> </w:t>
      </w:r>
      <w:r w:rsidRPr="00DD2C62">
        <w:t>(Finlande).</w:t>
      </w:r>
    </w:p>
    <w:p w14:paraId="4E71D7E0" w14:textId="77777777" w:rsidR="002749FA" w:rsidRPr="00DD2C62" w:rsidRDefault="002749FA" w:rsidP="0049107A">
      <w:pPr>
        <w:pStyle w:val="SingleTxtG"/>
      </w:pPr>
      <w:r w:rsidRPr="00DD2C62">
        <w:t>5.</w:t>
      </w:r>
      <w:r w:rsidRPr="00DD2C62">
        <w:tab/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trente-neuvième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5</w:t>
      </w:r>
      <w:r w:rsidR="00DD2C62">
        <w:t>-</w:t>
      </w:r>
      <w:r w:rsidRPr="00DD2C62">
        <w:t>7</w:t>
      </w:r>
      <w:r w:rsidR="00DD2C62">
        <w:t> </w:t>
      </w:r>
      <w:r w:rsidRPr="00DD2C62">
        <w:t>septembre</w:t>
      </w:r>
      <w:r w:rsidR="0049107A" w:rsidRPr="00DD2C62">
        <w:t xml:space="preserve"> </w:t>
      </w:r>
      <w:r w:rsidRPr="00DD2C62">
        <w:t>2017),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élu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Švedas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Président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M</w:t>
      </w:r>
      <w:r w:rsidRPr="00DD2C62">
        <w:rPr>
          <w:vertAlign w:val="superscript"/>
        </w:rPr>
        <w:t>me</w:t>
      </w:r>
      <w:r w:rsidR="00DD2C62">
        <w:t> </w:t>
      </w:r>
      <w:r w:rsidRPr="00DD2C62">
        <w:t>do</w:t>
      </w:r>
      <w:r w:rsidR="0049107A" w:rsidRPr="00DD2C62">
        <w:t xml:space="preserve"> </w:t>
      </w:r>
      <w:r w:rsidRPr="00DD2C62">
        <w:t>Carmo</w:t>
      </w:r>
      <w:r w:rsidR="0049107A" w:rsidRPr="00DD2C62">
        <w:t xml:space="preserve"> </w:t>
      </w:r>
      <w:r w:rsidRPr="00DD2C62">
        <w:t>Figueira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première</w:t>
      </w:r>
      <w:r w:rsidR="0049107A" w:rsidRPr="00DD2C62">
        <w:t xml:space="preserve"> </w:t>
      </w:r>
      <w:r w:rsidRPr="00DD2C62">
        <w:t>Vice-Présidente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M.</w:t>
      </w:r>
      <w:r w:rsidR="00DD2C62">
        <w:t> </w:t>
      </w:r>
      <w:r w:rsidRPr="00DD2C62">
        <w:t>Buchko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Vice-Président</w:t>
      </w:r>
      <w:r w:rsidR="0049107A" w:rsidRPr="00DD2C62">
        <w:t xml:space="preserve"> </w:t>
      </w:r>
      <w:r w:rsidRPr="00DD2C62">
        <w:t>(ECE/MP.EIA/IC/2017/4,</w:t>
      </w:r>
      <w:r w:rsidR="0049107A" w:rsidRPr="00DD2C62">
        <w:t xml:space="preserve"> </w:t>
      </w:r>
      <w:r w:rsidR="00DD2C62">
        <w:t>par. </w:t>
      </w:r>
      <w:r w:rsidRPr="00DD2C62">
        <w:t>4).</w:t>
      </w:r>
    </w:p>
    <w:p w14:paraId="0073828C" w14:textId="77777777" w:rsidR="002749FA" w:rsidRPr="00DD2C62" w:rsidRDefault="002749FA" w:rsidP="006F3F65">
      <w:pPr>
        <w:pStyle w:val="SingleTxtG"/>
        <w:keepLines/>
      </w:pPr>
      <w:r w:rsidRPr="00DD2C62">
        <w:lastRenderedPageBreak/>
        <w:t>6.</w:t>
      </w:r>
      <w:r w:rsidRPr="00DD2C62">
        <w:tab/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prise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5</w:t>
      </w:r>
      <w:r w:rsidR="00F54A30">
        <w:t>-</w:t>
      </w:r>
      <w:r w:rsidRPr="00DD2C62">
        <w:t>7</w:t>
      </w:r>
      <w:r w:rsidR="0049107A" w:rsidRPr="00DD2C62">
        <w:t xml:space="preserve"> </w:t>
      </w:r>
      <w:r w:rsidRPr="00DD2C62">
        <w:t>février</w:t>
      </w:r>
      <w:r w:rsidR="0049107A" w:rsidRPr="00DD2C62">
        <w:t xml:space="preserve"> </w:t>
      </w:r>
      <w:r w:rsidRPr="00DD2C62">
        <w:t>2020)</w:t>
      </w:r>
      <w:r w:rsidR="006F3F65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prolonger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2017</w:t>
      </w:r>
      <w:r w:rsidR="00F54A30">
        <w:t>-</w:t>
      </w:r>
      <w:r w:rsidRPr="00DD2C62">
        <w:t>2020</w:t>
      </w:r>
      <w:r w:rsidR="0049107A" w:rsidRPr="00DD2C62">
        <w:t xml:space="preserve"> </w:t>
      </w:r>
      <w:r w:rsidR="006F3F65">
        <w:t>de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ans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demi</w:t>
      </w:r>
      <w:r w:rsidR="0049107A" w:rsidRPr="00DD2C62">
        <w:t xml:space="preserve"> </w:t>
      </w:r>
      <w:r w:rsidRPr="00DD2C62">
        <w:t>(ECE/MP.EIA/27</w:t>
      </w:r>
      <w:r w:rsidR="00F54A30">
        <w:t>-</w:t>
      </w:r>
      <w:r w:rsidRPr="00DD2C62">
        <w:t>ECE/MP.EIA/SEA/1,</w:t>
      </w:r>
      <w:r w:rsidR="0049107A" w:rsidRPr="00DD2C62">
        <w:t xml:space="preserve"> </w:t>
      </w:r>
      <w:r w:rsidR="00DD2C62">
        <w:t>par. </w:t>
      </w:r>
      <w:r w:rsidRPr="00DD2C62">
        <w:t>7),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="00F54A30">
        <w:t>10 s</w:t>
      </w:r>
      <w:r w:rsidRPr="00DD2C62">
        <w:t>essions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lieu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neuf</w:t>
      </w:r>
      <w:r w:rsidR="0049107A" w:rsidRPr="00DD2C62">
        <w:t xml:space="preserve"> </w:t>
      </w:r>
      <w:r w:rsidRPr="00DD2C62">
        <w:t>initialement</w:t>
      </w:r>
      <w:r w:rsidR="0049107A" w:rsidRPr="00DD2C62">
        <w:t xml:space="preserve"> </w:t>
      </w:r>
      <w:r w:rsidRPr="00DD2C62">
        <w:t>prévues</w:t>
      </w:r>
      <w:r w:rsidRPr="00DD2C62">
        <w:rPr>
          <w:rStyle w:val="FootnoteReference"/>
        </w:rPr>
        <w:footnoteReference w:id="4"/>
      </w:r>
      <w:r w:rsidRPr="00DD2C62">
        <w:t>.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fait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pandémie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coronavirus</w:t>
      </w:r>
      <w:r w:rsidR="0049107A" w:rsidRPr="00DD2C62">
        <w:t xml:space="preserve"> </w:t>
      </w:r>
      <w:r w:rsidRPr="00DD2C62">
        <w:t>(COVID-19),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eu</w:t>
      </w:r>
      <w:r w:rsidR="0049107A" w:rsidRPr="00DD2C62">
        <w:t xml:space="preserve"> </w:t>
      </w:r>
      <w:r w:rsidRPr="00DD2C62">
        <w:t>lieu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vidéoconférence,</w:t>
      </w:r>
      <w:r w:rsidR="0049107A" w:rsidRPr="00DD2C62">
        <w:t xml:space="preserve"> </w:t>
      </w:r>
      <w:r w:rsidRPr="00DD2C62">
        <w:t>sans</w:t>
      </w:r>
      <w:r w:rsidR="0049107A" w:rsidRPr="00DD2C62">
        <w:t xml:space="preserve"> </w:t>
      </w:r>
      <w:r w:rsidRPr="00DD2C62">
        <w:t>interprétation.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outre,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avancer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suspens,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réunions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ligne</w:t>
      </w:r>
      <w:r w:rsidR="0049107A" w:rsidRPr="00DD2C62">
        <w:t xml:space="preserve"> </w:t>
      </w:r>
      <w:r w:rsidRPr="00DD2C62">
        <w:t>supplémentaires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journée,</w:t>
      </w:r>
      <w:r w:rsidR="0049107A" w:rsidRPr="00DD2C62">
        <w:t xml:space="preserve"> </w:t>
      </w:r>
      <w:r w:rsidRPr="00DD2C62">
        <w:t>sans</w:t>
      </w:r>
      <w:r w:rsidR="0049107A" w:rsidRPr="00DD2C62">
        <w:t xml:space="preserve"> </w:t>
      </w:r>
      <w:r w:rsidRPr="00DD2C62">
        <w:t>interprétation.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rapports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réunions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ligne</w:t>
      </w:r>
      <w:r w:rsidRPr="00DD2C62">
        <w:rPr>
          <w:rStyle w:val="FootnoteReference"/>
        </w:rPr>
        <w:footnoteReference w:id="5"/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publiés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="006F3F65" w:rsidRPr="00DD2C62">
        <w:t xml:space="preserve">Web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membres</w:t>
      </w:r>
      <w:r w:rsidR="0049107A" w:rsidRPr="00DD2C62">
        <w:t xml:space="preserve"> </w:t>
      </w:r>
      <w:r w:rsidRPr="00DD2C62">
        <w:t>désignés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rPr>
          <w:color w:val="000000"/>
        </w:rPr>
        <w:t>dont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le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Comité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d’application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devait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examiner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si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elles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respectaient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les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dispositions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de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la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Convention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et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du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Protocole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n’étaient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pas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présents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au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moment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où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le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Comité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a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procédé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à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cet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examen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en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séance</w:t>
      </w:r>
      <w:r w:rsidR="0049107A" w:rsidRPr="00DD2C62">
        <w:rPr>
          <w:color w:val="000000"/>
        </w:rPr>
        <w:t xml:space="preserve"> </w:t>
      </w:r>
      <w:r w:rsidRPr="00DD2C62">
        <w:rPr>
          <w:color w:val="000000"/>
        </w:rPr>
        <w:t>privée</w:t>
      </w:r>
      <w:r w:rsidRPr="00DD2C62">
        <w:rPr>
          <w:rStyle w:val="FootnoteReference"/>
        </w:rPr>
        <w:footnoteReference w:id="6"/>
      </w:r>
      <w:r w:rsidRPr="00DD2C62">
        <w:t>.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documents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connexes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examinées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précisé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16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intérieur,</w:t>
      </w:r>
      <w:r w:rsidR="0049107A" w:rsidRPr="00DD2C62">
        <w:t xml:space="preserve"> </w:t>
      </w:r>
      <w:r w:rsidRPr="00DD2C62">
        <w:t>sont</w:t>
      </w:r>
      <w:r w:rsidR="0049107A" w:rsidRPr="00DD2C62">
        <w:t xml:space="preserve"> </w:t>
      </w:r>
      <w:r w:rsidRPr="00DD2C62">
        <w:t>rendus</w:t>
      </w:r>
      <w:r w:rsidR="0049107A" w:rsidRPr="00DD2C62">
        <w:t xml:space="preserve"> </w:t>
      </w:r>
      <w:r w:rsidRPr="00DD2C62">
        <w:t>publics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="006F3F65" w:rsidRPr="00DD2C62">
        <w:t xml:space="preserve">Web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Pr="00DD2C62">
        <w:rPr>
          <w:rStyle w:val="FootnoteReference"/>
        </w:rPr>
        <w:footnoteReference w:id="7"/>
      </w:r>
      <w:r w:rsidRPr="00DD2C62">
        <w:t>.</w:t>
      </w:r>
      <w:r w:rsidR="0049107A" w:rsidRPr="00DD2C62">
        <w:rPr>
          <w:vertAlign w:val="superscript"/>
        </w:rPr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avis</w:t>
      </w:r>
      <w:r w:rsidR="0049107A" w:rsidRPr="00DD2C62">
        <w:t xml:space="preserve"> </w:t>
      </w:r>
      <w:r w:rsidRPr="00DD2C62">
        <w:t>formulés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2017</w:t>
      </w:r>
      <w:r w:rsidRPr="00DD2C62">
        <w:noBreakHyphen/>
        <w:t>2020</w:t>
      </w:r>
      <w:r w:rsidR="0049107A" w:rsidRPr="00DD2C62">
        <w:t xml:space="preserve"> </w:t>
      </w:r>
      <w:r w:rsidRPr="00DD2C62">
        <w:t>figurent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publication</w:t>
      </w:r>
      <w:r w:rsidR="0049107A" w:rsidRPr="00DD2C62">
        <w:t xml:space="preserve"> </w:t>
      </w:r>
      <w:r w:rsidRPr="00DD2C62">
        <w:t>électronique</w:t>
      </w:r>
      <w:r w:rsidR="0049107A" w:rsidRPr="00DD2C62">
        <w:t xml:space="preserve"> </w:t>
      </w:r>
      <w:r w:rsidRPr="00DD2C62">
        <w:t>informelle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avis</w:t>
      </w:r>
      <w:r w:rsidR="0049107A" w:rsidRPr="00DD2C62">
        <w:t xml:space="preserve"> </w:t>
      </w:r>
      <w:r w:rsidRPr="00DD2C62">
        <w:t>émis</w:t>
      </w:r>
      <w:r w:rsidR="0049107A" w:rsidRPr="00DD2C62">
        <w:t xml:space="preserve"> </w:t>
      </w:r>
      <w:r w:rsidRPr="00DD2C62">
        <w:t>entre</w:t>
      </w:r>
      <w:r w:rsidR="0049107A" w:rsidRPr="00DD2C62">
        <w:t xml:space="preserve"> </w:t>
      </w:r>
      <w:r w:rsidRPr="00DD2C62">
        <w:t>2001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établie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révisée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2020</w:t>
      </w:r>
      <w:r w:rsidRPr="00DD2C62">
        <w:rPr>
          <w:rStyle w:val="FootnoteReference"/>
        </w:rPr>
        <w:footnoteReference w:id="8"/>
      </w:r>
      <w:r w:rsidRPr="00DD2C62">
        <w:t>.</w:t>
      </w:r>
    </w:p>
    <w:p w14:paraId="6A63E3FD" w14:textId="77777777" w:rsidR="002749FA" w:rsidRPr="00DD2C62" w:rsidRDefault="002749FA" w:rsidP="0049107A">
      <w:pPr>
        <w:pStyle w:val="H1G"/>
      </w:pPr>
      <w:r w:rsidRPr="00DD2C62">
        <w:tab/>
        <w:t>B.</w:t>
      </w:r>
      <w:r w:rsidRPr="00DD2C62">
        <w:tab/>
        <w:t>Activités</w:t>
      </w:r>
      <w:r w:rsidR="0049107A" w:rsidRPr="00DD2C62">
        <w:t xml:space="preserve"> </w:t>
      </w:r>
      <w:r w:rsidRPr="00DD2C62">
        <w:t>assignées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</w:p>
    <w:p w14:paraId="152E446B" w14:textId="77777777" w:rsidR="002749FA" w:rsidRPr="00DD2C62" w:rsidRDefault="002749FA" w:rsidP="00F54A30">
      <w:pPr>
        <w:pStyle w:val="SingleTxtG"/>
      </w:pPr>
      <w:r w:rsidRPr="00DD2C62">
        <w:t>7.</w:t>
      </w:r>
      <w:r w:rsidRPr="00DD2C62">
        <w:tab/>
        <w:t>Les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suivantes</w:t>
      </w:r>
      <w:r w:rsidR="0049107A" w:rsidRPr="00DD2C62">
        <w:t xml:space="preserve"> </w:t>
      </w:r>
      <w:r w:rsidRPr="00DD2C62">
        <w:t>prises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Réunions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régissent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fonctionnement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exposées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présent</w:t>
      </w:r>
      <w:r w:rsidR="0049107A" w:rsidRPr="00DD2C62">
        <w:t xml:space="preserve"> </w:t>
      </w:r>
      <w:r w:rsidRPr="00DD2C62">
        <w:t>rapport</w:t>
      </w:r>
      <w:r w:rsidR="00DD2C62" w:rsidRPr="00DD2C62">
        <w:t> :</w:t>
      </w:r>
    </w:p>
    <w:p w14:paraId="2B038434" w14:textId="77777777" w:rsidR="002749FA" w:rsidRPr="00DD2C62" w:rsidRDefault="002749FA" w:rsidP="0049107A">
      <w:pPr>
        <w:pStyle w:val="SingleTxtG"/>
        <w:ind w:firstLine="567"/>
      </w:pPr>
      <w:r w:rsidRPr="00DD2C62">
        <w:t>a)</w:t>
      </w:r>
      <w:r w:rsidRPr="00DD2C62">
        <w:tab/>
        <w:t>Créer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chargé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respectent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qu’elles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contractées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aider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remplir</w:t>
      </w:r>
      <w:r w:rsidR="0049107A" w:rsidRPr="00DD2C62">
        <w:t xml:space="preserve"> </w:t>
      </w:r>
      <w:r w:rsidRPr="00DD2C62">
        <w:t>pleinement</w:t>
      </w:r>
      <w:r w:rsidR="0049107A" w:rsidRPr="00DD2C62">
        <w:t xml:space="preserve"> </w:t>
      </w:r>
      <w:r w:rsidRPr="00DD2C62">
        <w:t>leurs</w:t>
      </w:r>
      <w:r w:rsidR="0049107A" w:rsidRPr="00DD2C62">
        <w:t xml:space="preserve"> </w:t>
      </w:r>
      <w:r w:rsidRPr="00DD2C62">
        <w:t>engagements</w:t>
      </w:r>
      <w:r w:rsidR="0049107A" w:rsidRPr="00DD2C62">
        <w:t xml:space="preserve"> </w:t>
      </w:r>
      <w:r w:rsidRPr="00DD2C62">
        <w:t>(ECE/MP.EIA/4,</w:t>
      </w:r>
      <w:r w:rsidR="0049107A" w:rsidRPr="00DD2C62">
        <w:t xml:space="preserve"> </w:t>
      </w:r>
      <w:r w:rsidRPr="00DD2C62">
        <w:t>annexe</w:t>
      </w:r>
      <w:r w:rsidR="0049107A" w:rsidRPr="00DD2C62">
        <w:t xml:space="preserve"> </w:t>
      </w:r>
      <w:r w:rsidRPr="00DD2C62">
        <w:t>IV,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II/4,</w:t>
      </w:r>
      <w:r w:rsidR="0049107A" w:rsidRPr="00DD2C62">
        <w:t xml:space="preserve"> </w:t>
      </w:r>
      <w:r w:rsidR="00DD2C62">
        <w:t>par. </w:t>
      </w:r>
      <w:r w:rsidRPr="00DD2C62">
        <w:t>1)</w:t>
      </w:r>
      <w:r w:rsidR="00DD2C62" w:rsidRPr="00DD2C62">
        <w:t> ;</w:t>
      </w:r>
    </w:p>
    <w:p w14:paraId="40F395BC" w14:textId="77777777" w:rsidR="002749FA" w:rsidRPr="00DD2C62" w:rsidRDefault="002749FA" w:rsidP="0049107A">
      <w:pPr>
        <w:pStyle w:val="SingleTxtG"/>
        <w:ind w:firstLine="567"/>
      </w:pPr>
      <w:r w:rsidRPr="00DD2C62">
        <w:t>b)</w:t>
      </w:r>
      <w:r w:rsidRPr="00DD2C62">
        <w:tab/>
        <w:t>Décider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procédures</w:t>
      </w:r>
      <w:r w:rsidR="0049107A" w:rsidRPr="00DD2C62">
        <w:t xml:space="preserve"> </w:t>
      </w:r>
      <w:r w:rsidRPr="00DD2C62">
        <w:t>d’examen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(ECE/MP.EIA/6,</w:t>
      </w:r>
      <w:r w:rsidR="0049107A" w:rsidRPr="00DD2C62">
        <w:t xml:space="preserve"> </w:t>
      </w:r>
      <w:r w:rsidRPr="00DD2C62">
        <w:t>annexe</w:t>
      </w:r>
      <w:r w:rsidR="0049107A" w:rsidRPr="00DD2C62">
        <w:t xml:space="preserve"> </w:t>
      </w:r>
      <w:r w:rsidRPr="00DD2C62">
        <w:t>II,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III/2,</w:t>
      </w:r>
      <w:r w:rsidR="0049107A" w:rsidRPr="00DD2C62">
        <w:t xml:space="preserve"> </w:t>
      </w:r>
      <w:r w:rsidR="00DD2C62">
        <w:t>par. </w:t>
      </w:r>
      <w:r w:rsidRPr="00DD2C62">
        <w:t>2)</w:t>
      </w:r>
      <w:r w:rsidR="00DD2C62" w:rsidRPr="00DD2C62">
        <w:t> ;</w:t>
      </w:r>
      <w:r w:rsidR="0049107A" w:rsidRPr="00DD2C62">
        <w:t xml:space="preserve"> </w:t>
      </w:r>
      <w:r w:rsidRPr="00DD2C62">
        <w:t>approuver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modifications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adopter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="006F3F65" w:rsidRPr="00DD2C62">
        <w:t xml:space="preserve">Règlement </w:t>
      </w:r>
      <w:r w:rsidRPr="00DD2C62">
        <w:t>intérieur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figurant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annexes</w:t>
      </w:r>
      <w:r w:rsidR="0049107A" w:rsidRPr="00DD2C62">
        <w:t xml:space="preserve"> </w:t>
      </w:r>
      <w:r w:rsidRPr="00DD2C62">
        <w:t>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(ECE/MP.EIA/20.Add.1</w:t>
      </w:r>
      <w:r w:rsidR="00F54A30">
        <w:t>-</w:t>
      </w:r>
      <w:r w:rsidRPr="00DD2C62">
        <w:t>ECE/MP.EIA/</w:t>
      </w:r>
      <w:r w:rsidR="00F54A30">
        <w:t xml:space="preserve"> </w:t>
      </w:r>
      <w:r w:rsidRPr="00DD2C62">
        <w:t>SEA/4.Add.1)</w:t>
      </w:r>
      <w:r w:rsidR="0049107A" w:rsidRPr="00DD2C62">
        <w:t xml:space="preserve"> </w:t>
      </w:r>
      <w:r w:rsidRPr="00DD2C62">
        <w:t>(décision</w:t>
      </w:r>
      <w:r w:rsidR="0049107A" w:rsidRPr="00DD2C62">
        <w:t xml:space="preserve"> </w:t>
      </w:r>
      <w:r w:rsidRPr="00DD2C62">
        <w:t>VI/2,</w:t>
      </w:r>
      <w:r w:rsidR="0049107A" w:rsidRPr="00DD2C62">
        <w:t xml:space="preserve"> </w:t>
      </w:r>
      <w:r w:rsidR="00DD2C62">
        <w:t>par. </w:t>
      </w:r>
      <w:r w:rsidRPr="00DD2C62">
        <w:t>12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13,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ECE/MP.EIA/20/Add.2</w:t>
      </w:r>
      <w:r w:rsidR="00F54A30">
        <w:t>-</w:t>
      </w:r>
      <w:r w:rsidRPr="00DD2C62">
        <w:t>ECE/MP.EIA/SEA/</w:t>
      </w:r>
      <w:r w:rsidR="00F54A30">
        <w:t xml:space="preserve"> </w:t>
      </w:r>
      <w:r w:rsidRPr="00DD2C62">
        <w:t>4/Add.2,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II/2,</w:t>
      </w:r>
      <w:r w:rsidR="0049107A" w:rsidRPr="00DD2C62">
        <w:t xml:space="preserve"> </w:t>
      </w:r>
      <w:r w:rsidR="00DD2C62">
        <w:t>par. </w:t>
      </w:r>
      <w:r w:rsidRPr="00DD2C62">
        <w:t>9)</w:t>
      </w:r>
      <w:r w:rsidR="00DD2C62" w:rsidRPr="00DD2C62">
        <w:t> ;</w:t>
      </w:r>
    </w:p>
    <w:p w14:paraId="5BC414C7" w14:textId="77777777" w:rsidR="002749FA" w:rsidRPr="00DD2C62" w:rsidRDefault="002749FA" w:rsidP="0049107A">
      <w:pPr>
        <w:pStyle w:val="SingleTxtG"/>
        <w:ind w:firstLine="567"/>
      </w:pPr>
      <w:r w:rsidRPr="00DD2C62">
        <w:t>c)</w:t>
      </w:r>
      <w:r w:rsidRPr="00DD2C62">
        <w:tab/>
        <w:t>Étendre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(décision</w:t>
      </w:r>
      <w:r w:rsidR="0049107A" w:rsidRPr="00DD2C62">
        <w:t xml:space="preserve"> </w:t>
      </w:r>
      <w:r w:rsidRPr="00DD2C62">
        <w:t>V/6</w:t>
      </w:r>
      <w:r w:rsidR="00F54A30">
        <w:t>-</w:t>
      </w:r>
      <w:r w:rsidRPr="00DD2C62">
        <w:t>I/6)</w:t>
      </w:r>
      <w:r w:rsidR="00DD2C62" w:rsidRPr="00DD2C62">
        <w:t> ;</w:t>
      </w:r>
    </w:p>
    <w:p w14:paraId="0C5DFB13" w14:textId="77777777" w:rsidR="002749FA" w:rsidRPr="00DD2C62" w:rsidRDefault="002749FA" w:rsidP="0049107A">
      <w:pPr>
        <w:pStyle w:val="SingleTxtG"/>
        <w:ind w:firstLine="567"/>
      </w:pPr>
      <w:r w:rsidRPr="00DD2C62">
        <w:t>d)</w:t>
      </w:r>
      <w:r w:rsidRPr="00DD2C62">
        <w:tab/>
        <w:t>Prier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porter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l’attention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d’ordre</w:t>
      </w:r>
      <w:r w:rsidR="0049107A" w:rsidRPr="00DD2C62">
        <w:t xml:space="preserve"> </w:t>
      </w:r>
      <w:r w:rsidRPr="00DD2C62">
        <w:t>général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spécifique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relevées</w:t>
      </w:r>
      <w:r w:rsidR="0049107A" w:rsidRPr="00DD2C62">
        <w:t xml:space="preserve"> </w:t>
      </w:r>
      <w:r w:rsidRPr="00DD2C62">
        <w:t>lors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cinquième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demander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tenir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(ECE/MP.EIA/23.Add.2</w:t>
      </w:r>
      <w:r w:rsidR="00F54A30">
        <w:t>-</w:t>
      </w:r>
      <w:r w:rsidRPr="00DD2C62">
        <w:t>ECE/MP.EIA/SEA/7.Add.2,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VII/1,</w:t>
      </w:r>
      <w:r w:rsidR="0049107A" w:rsidRPr="00DD2C62">
        <w:t xml:space="preserve"> </w:t>
      </w:r>
      <w:r w:rsidR="00DD2C62">
        <w:t>par. </w:t>
      </w:r>
      <w:r w:rsidRPr="00DD2C62">
        <w:t>4,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ECE/MP.EIA/23.Add.3</w:t>
      </w:r>
      <w:r w:rsidR="00F54A30">
        <w:t>-</w:t>
      </w:r>
      <w:r w:rsidRPr="00DD2C62">
        <w:t>ECE/MP.EIA/SEA/7.Add.3,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III/1,</w:t>
      </w:r>
      <w:r w:rsidR="0049107A" w:rsidRPr="00DD2C62">
        <w:t xml:space="preserve"> </w:t>
      </w:r>
      <w:r w:rsidR="00DD2C62">
        <w:t>par. </w:t>
      </w:r>
      <w:r w:rsidRPr="00DD2C62">
        <w:t>4)</w:t>
      </w:r>
      <w:r w:rsidR="00DD2C62" w:rsidRPr="00DD2C62">
        <w:t> ;</w:t>
      </w:r>
    </w:p>
    <w:p w14:paraId="0C75C725" w14:textId="77777777" w:rsidR="002749FA" w:rsidRPr="00DD2C62" w:rsidRDefault="002749FA" w:rsidP="0049107A">
      <w:pPr>
        <w:pStyle w:val="SingleTxtG"/>
        <w:ind w:firstLine="567"/>
      </w:pPr>
      <w:r w:rsidRPr="00DD2C62">
        <w:t>e)</w:t>
      </w:r>
      <w:r w:rsidRPr="00DD2C62">
        <w:tab/>
        <w:t>Demander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fournir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aide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besoin,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convient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mesure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possible</w:t>
      </w:r>
      <w:r w:rsidR="0049107A" w:rsidRPr="00DD2C62">
        <w:t xml:space="preserve"> </w:t>
      </w:r>
      <w:r w:rsidRPr="00DD2C62">
        <w:t>(ECE/MP.EIA/27/Add.1</w:t>
      </w:r>
      <w:r w:rsidR="00F54A30">
        <w:t>-</w:t>
      </w:r>
      <w:r w:rsidRPr="00DD2C62">
        <w:t>ECE/MP.EIA/SEA/</w:t>
      </w:r>
      <w:r w:rsidR="00F54A30">
        <w:t xml:space="preserve"> </w:t>
      </w:r>
      <w:r w:rsidRPr="00DD2C62">
        <w:t>11/Add.1,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IS/1,</w:t>
      </w:r>
      <w:r w:rsidR="0049107A" w:rsidRPr="00DD2C62">
        <w:t xml:space="preserve"> </w:t>
      </w:r>
      <w:r w:rsidR="00DD2C62">
        <w:t>par. </w:t>
      </w:r>
      <w:r w:rsidRPr="00DD2C62">
        <w:t>6,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ECE/MP.EIA/23.Add.3</w:t>
      </w:r>
      <w:r w:rsidR="00F54A30">
        <w:t>-</w:t>
      </w:r>
      <w:r w:rsidRPr="00DD2C62">
        <w:t>ECE/MP.EIA/SEA/7.Add.3,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III/2,</w:t>
      </w:r>
      <w:r w:rsidR="0049107A" w:rsidRPr="00DD2C62">
        <w:t xml:space="preserve"> </w:t>
      </w:r>
      <w:r w:rsidR="00DD2C62">
        <w:t>par. </w:t>
      </w:r>
      <w:r w:rsidRPr="00DD2C62">
        <w:t>7)</w:t>
      </w:r>
      <w:r w:rsidR="00DD2C62" w:rsidRPr="00DD2C62">
        <w:t> ;</w:t>
      </w:r>
    </w:p>
    <w:p w14:paraId="1D65959C" w14:textId="77777777" w:rsidR="002749FA" w:rsidRPr="00DD2C62" w:rsidRDefault="002749FA" w:rsidP="0049107A">
      <w:pPr>
        <w:pStyle w:val="SingleTxtG"/>
        <w:ind w:firstLine="567"/>
      </w:pPr>
      <w:r w:rsidRPr="00DD2C62">
        <w:t>f)</w:t>
      </w:r>
      <w:r w:rsidRPr="00DD2C62">
        <w:tab/>
        <w:t>Garder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l’étude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étoffer,</w:t>
      </w:r>
      <w:r w:rsidR="0049107A" w:rsidRPr="00DD2C62">
        <w:t xml:space="preserve"> </w:t>
      </w:r>
      <w:r w:rsidRPr="00DD2C62">
        <w:t>s’il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lieu,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lumière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l’expérience</w:t>
      </w:r>
      <w:r w:rsidR="0049107A" w:rsidRPr="00DD2C62">
        <w:t xml:space="preserve"> </w:t>
      </w:r>
      <w:r w:rsidRPr="00DD2C62">
        <w:t>acquise,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demander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formuler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propositions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jugerait</w:t>
      </w:r>
      <w:r w:rsidR="0049107A" w:rsidRPr="00DD2C62">
        <w:t xml:space="preserve"> </w:t>
      </w:r>
      <w:r w:rsidRPr="00DD2C62">
        <w:t>nécessaires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prévision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suivantes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lastRenderedPageBreak/>
        <w:t>Réunions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(ECE/MP.EIA/20.Add.1</w:t>
      </w:r>
      <w:r w:rsidR="00AB7317">
        <w:t>-</w:t>
      </w:r>
      <w:r w:rsidRPr="00DD2C62">
        <w:t>ECE/MP.EIA/SEA/4.Add.1,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VI/2,</w:t>
      </w:r>
      <w:r w:rsidR="0049107A" w:rsidRPr="00DD2C62">
        <w:t xml:space="preserve"> </w:t>
      </w:r>
      <w:r w:rsidR="00DD2C62">
        <w:t>par. </w:t>
      </w:r>
      <w:r w:rsidRPr="00DD2C62">
        <w:t>14,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IS/1,</w:t>
      </w:r>
      <w:r w:rsidR="0049107A" w:rsidRPr="00DD2C62">
        <w:t xml:space="preserve"> </w:t>
      </w:r>
      <w:r w:rsidR="00DD2C62">
        <w:t>par. </w:t>
      </w:r>
      <w:r w:rsidRPr="00DD2C62">
        <w:t>10)</w:t>
      </w:r>
      <w:r w:rsidR="00DD2C62" w:rsidRPr="00DD2C62">
        <w:t> ;</w:t>
      </w:r>
    </w:p>
    <w:p w14:paraId="5D2939DE" w14:textId="77777777" w:rsidR="002749FA" w:rsidRPr="00DD2C62" w:rsidRDefault="002749FA" w:rsidP="0049107A">
      <w:pPr>
        <w:pStyle w:val="SingleTxtG"/>
        <w:ind w:firstLine="567"/>
      </w:pPr>
      <w:r w:rsidRPr="00DD2C62">
        <w:t>g)</w:t>
      </w:r>
      <w:r w:rsidRPr="00DD2C62">
        <w:tab/>
        <w:t>Adopter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plan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portant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allant</w:t>
      </w:r>
      <w:r w:rsidR="0049107A" w:rsidRPr="00DD2C62">
        <w:t xml:space="preserve"> </w:t>
      </w:r>
      <w:r w:rsidRPr="00DD2C62">
        <w:t>jusqu’à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quatrième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(ECE/MP.EIA/23.Add.1</w:t>
      </w:r>
      <w:r w:rsidR="00AB7317">
        <w:t>-</w:t>
      </w:r>
      <w:r w:rsidRPr="00DD2C62">
        <w:t>ECE/MP.EIA/SEA/7.Add.1,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VII/3</w:t>
      </w:r>
      <w:r w:rsidR="00AB7317">
        <w:noBreakHyphen/>
      </w:r>
      <w:r w:rsidRPr="00DD2C62">
        <w:t>III/3),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demander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conséquent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DD2C62" w:rsidRPr="00DD2C62">
        <w:t> :</w:t>
      </w:r>
    </w:p>
    <w:p w14:paraId="119DDC55" w14:textId="77777777" w:rsidR="002749FA" w:rsidRPr="00DD2C62" w:rsidRDefault="002749FA" w:rsidP="0049107A">
      <w:pPr>
        <w:pStyle w:val="SingleTxtG"/>
        <w:ind w:left="1701"/>
      </w:pPr>
      <w:r w:rsidRPr="00DD2C62">
        <w:t>i)</w:t>
      </w:r>
      <w:r w:rsidRPr="00DD2C62">
        <w:tab/>
        <w:t>D’examiner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communications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initiatives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DD2C62" w:rsidRPr="00DD2C62">
        <w:t> ;</w:t>
      </w:r>
    </w:p>
    <w:p w14:paraId="701A64D2" w14:textId="77777777" w:rsidR="002749FA" w:rsidRPr="00DD2C62" w:rsidRDefault="002749FA" w:rsidP="0049107A">
      <w:pPr>
        <w:pStyle w:val="SingleTxtG"/>
        <w:ind w:left="1701"/>
      </w:pPr>
      <w:r w:rsidRPr="00DD2C62">
        <w:t>ii)</w:t>
      </w:r>
      <w:r w:rsidRPr="00DD2C62">
        <w:tab/>
        <w:t>Si</w:t>
      </w:r>
      <w:r w:rsidR="0049107A" w:rsidRPr="00DD2C62">
        <w:t xml:space="preserve"> </w:t>
      </w:r>
      <w:r w:rsidRPr="00DD2C62">
        <w:t>nécessaire,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Pr="00DD2C62">
        <w:t>également</w:t>
      </w:r>
      <w:r w:rsidR="0049107A" w:rsidRPr="00DD2C62">
        <w:t xml:space="preserve"> </w:t>
      </w:r>
      <w:r w:rsidRPr="00DD2C62">
        <w:t>l’alinéa</w:t>
      </w:r>
      <w:r w:rsidR="0049107A" w:rsidRPr="00DD2C62">
        <w:t xml:space="preserve"> </w:t>
      </w:r>
      <w:r w:rsidRPr="00DD2C62">
        <w:t>f)</w:t>
      </w:r>
      <w:r w:rsidR="0049107A" w:rsidRPr="00DD2C62">
        <w:t xml:space="preserve"> </w:t>
      </w:r>
      <w:r w:rsidRPr="00DD2C62">
        <w:t>ci-dessus)</w:t>
      </w:r>
      <w:r w:rsidR="00DD2C62" w:rsidRPr="00DD2C62">
        <w:t> ;</w:t>
      </w:r>
    </w:p>
    <w:p w14:paraId="3F9AB21E" w14:textId="77777777" w:rsidR="002749FA" w:rsidRPr="00DD2C62" w:rsidRDefault="002749FA" w:rsidP="0049107A">
      <w:pPr>
        <w:pStyle w:val="SingleTxtG"/>
        <w:ind w:left="1701"/>
      </w:pPr>
      <w:r w:rsidRPr="00DD2C62">
        <w:t>iii)</w:t>
      </w:r>
      <w:r w:rsidRPr="00DD2C62">
        <w:tab/>
        <w:t>D’examiner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résultats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cinquième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DD2C62" w:rsidRPr="00DD2C62">
        <w:t> ;</w:t>
      </w:r>
    </w:p>
    <w:p w14:paraId="2CAFFD0B" w14:textId="77777777" w:rsidR="002749FA" w:rsidRPr="00DD2C62" w:rsidRDefault="002749FA" w:rsidP="0049107A">
      <w:pPr>
        <w:pStyle w:val="SingleTxtG"/>
        <w:ind w:left="1701"/>
      </w:pPr>
      <w:r w:rsidRPr="00DD2C62">
        <w:t>iv)</w:t>
      </w:r>
      <w:r w:rsidRPr="00DD2C62">
        <w:tab/>
        <w:t>De</w:t>
      </w:r>
      <w:r w:rsidR="0049107A" w:rsidRPr="00DD2C62">
        <w:t xml:space="preserve"> </w:t>
      </w:r>
      <w:r w:rsidRPr="00DD2C62">
        <w:t>superviser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examens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législation,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procédures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pratique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l’assistance</w:t>
      </w:r>
      <w:r w:rsidR="0049107A" w:rsidRPr="00DD2C62">
        <w:t xml:space="preserve"> </w:t>
      </w:r>
      <w:r w:rsidRPr="00DD2C62">
        <w:t>technique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l’élaboration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législation,</w:t>
      </w:r>
      <w:r w:rsidR="0049107A" w:rsidRPr="00DD2C62">
        <w:t xml:space="preserve"> </w:t>
      </w:r>
      <w:r w:rsidRPr="00DD2C62">
        <w:t>afin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renforcer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leurs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initiative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elles-mêmes,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sous</w:t>
      </w:r>
      <w:r w:rsidR="0049107A" w:rsidRPr="00DD2C62">
        <w:t xml:space="preserve"> </w:t>
      </w:r>
      <w:r w:rsidRPr="00DD2C62">
        <w:t>réserve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disponibilité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fonds</w:t>
      </w:r>
      <w:r w:rsidR="00DD2C62" w:rsidRPr="00DD2C62">
        <w:t> ;</w:t>
      </w:r>
    </w:p>
    <w:p w14:paraId="768B6828" w14:textId="77777777" w:rsidR="002749FA" w:rsidRPr="00DD2C62" w:rsidRDefault="002749FA" w:rsidP="0049107A">
      <w:pPr>
        <w:pStyle w:val="SingleTxtG"/>
        <w:ind w:left="1701"/>
      </w:pPr>
      <w:r w:rsidRPr="00DD2C62">
        <w:t>v)</w:t>
      </w:r>
      <w:r w:rsidRPr="00DD2C62">
        <w:tab/>
        <w:t>De</w:t>
      </w:r>
      <w:r w:rsidR="0049107A" w:rsidRPr="00DD2C62">
        <w:t xml:space="preserve"> </w:t>
      </w:r>
      <w:r w:rsidRPr="00DD2C62">
        <w:t>rendre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quatrième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au</w:t>
      </w:r>
      <w:r w:rsidR="00AB7317">
        <w:t> </w:t>
      </w:r>
      <w:r w:rsidRPr="00DD2C62">
        <w:t>Protocole.</w:t>
      </w:r>
    </w:p>
    <w:p w14:paraId="5D27CC94" w14:textId="77777777" w:rsidR="002749FA" w:rsidRPr="00DD2C62" w:rsidRDefault="002749FA" w:rsidP="0049107A">
      <w:pPr>
        <w:pStyle w:val="SingleTxtG"/>
      </w:pPr>
      <w:r w:rsidRPr="00DD2C62">
        <w:t>8.</w:t>
      </w:r>
      <w:r w:rsidRPr="00DD2C62">
        <w:tab/>
        <w:t>En</w:t>
      </w:r>
      <w:r w:rsidR="0049107A" w:rsidRPr="00DD2C62">
        <w:t xml:space="preserve"> </w:t>
      </w:r>
      <w:r w:rsidRPr="00DD2C62">
        <w:t>outre,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adoptée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laquelle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efforts</w:t>
      </w:r>
      <w:r w:rsidR="0049107A" w:rsidRPr="00DD2C62">
        <w:t xml:space="preserve"> </w:t>
      </w:r>
      <w:r w:rsidRPr="00DD2C62">
        <w:t>supplémentaires</w:t>
      </w:r>
      <w:r w:rsidR="0049107A" w:rsidRPr="00DD2C62">
        <w:t xml:space="preserve"> </w:t>
      </w:r>
      <w:r w:rsidRPr="00DD2C62">
        <w:t>étaient</w:t>
      </w:r>
      <w:r w:rsidR="0049107A" w:rsidRPr="00DD2C62">
        <w:t xml:space="preserve"> </w:t>
      </w:r>
      <w:r w:rsidRPr="00DD2C62">
        <w:t>nécessaires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parvenir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consensus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relatif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(ECE/MP.EIA/2017/8),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reçu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mandat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préparer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5</w:t>
      </w:r>
      <w:r w:rsidR="00AB7317">
        <w:t>-</w:t>
      </w:r>
      <w:r w:rsidRPr="00DD2C62">
        <w:t>7</w:t>
      </w:r>
      <w:r w:rsidR="00AB7317">
        <w:t> </w:t>
      </w:r>
      <w:r w:rsidRPr="00DD2C62">
        <w:t>février</w:t>
      </w:r>
      <w:r w:rsidR="0049107A" w:rsidRPr="00DD2C62">
        <w:t xml:space="preserve"> </w:t>
      </w:r>
      <w:r w:rsidRPr="00DD2C62">
        <w:t>2019)</w:t>
      </w:r>
      <w:r w:rsidR="0049107A" w:rsidRPr="00DD2C62">
        <w:t xml:space="preserve"> </w:t>
      </w:r>
      <w:r w:rsidRPr="00DD2C62">
        <w:t>(ECE/MP.EIA/23</w:t>
      </w:r>
      <w:r w:rsidR="00AB7317">
        <w:t>-</w:t>
      </w:r>
      <w:r w:rsidRPr="00DD2C62">
        <w:t>ECE/MP.EIA/SEA/7,</w:t>
      </w:r>
      <w:r w:rsidR="0049107A" w:rsidRPr="00DD2C62">
        <w:t xml:space="preserve"> </w:t>
      </w:r>
      <w:r w:rsidR="00DD2C62">
        <w:t>par. </w:t>
      </w:r>
      <w:r w:rsidRPr="00DD2C62">
        <w:t>27).</w:t>
      </w:r>
    </w:p>
    <w:p w14:paraId="5AE021F4" w14:textId="77777777" w:rsidR="002749FA" w:rsidRPr="00DD2C62" w:rsidRDefault="002749FA" w:rsidP="0049107A">
      <w:pPr>
        <w:pStyle w:val="SingleTxtG"/>
      </w:pPr>
      <w:r w:rsidRPr="00DD2C62">
        <w:t>9.</w:t>
      </w:r>
      <w:r w:rsidRPr="00DD2C62">
        <w:tab/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particulières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adoptées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prié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prendre</w:t>
      </w:r>
      <w:r w:rsidR="0049107A" w:rsidRPr="00DD2C62">
        <w:t xml:space="preserve"> </w:t>
      </w:r>
      <w:r w:rsidRPr="00DD2C62">
        <w:t>diverses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précises,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(décision</w:t>
      </w:r>
      <w:r w:rsidR="0049107A" w:rsidRPr="00DD2C62">
        <w:t xml:space="preserve"> </w:t>
      </w:r>
      <w:r w:rsidRPr="00DD2C62">
        <w:t>IS/1a),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(décision</w:t>
      </w:r>
      <w:r w:rsidR="0049107A" w:rsidRPr="00DD2C62">
        <w:t xml:space="preserve"> </w:t>
      </w:r>
      <w:r w:rsidRPr="00DD2C62">
        <w:t>IS/1c),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(décision</w:t>
      </w:r>
      <w:r w:rsidR="0049107A" w:rsidRPr="00DD2C62">
        <w:t xml:space="preserve"> </w:t>
      </w:r>
      <w:r w:rsidRPr="00DD2C62">
        <w:t>IS/1d),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(décisions</w:t>
      </w:r>
      <w:r w:rsidR="0049107A" w:rsidRPr="00DD2C62">
        <w:t xml:space="preserve"> </w:t>
      </w:r>
      <w:r w:rsidRPr="00DD2C62">
        <w:t>IS/1f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IS/1g)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Pr="00DD2C62">
        <w:t>ECE/MP.EIA/27/Add.1</w:t>
      </w:r>
      <w:r w:rsidR="00AB7317">
        <w:t>-</w:t>
      </w:r>
      <w:r w:rsidRPr="00DD2C62">
        <w:t>ECE/MP.EIA/SEA/11/Add.1).</w:t>
      </w:r>
    </w:p>
    <w:p w14:paraId="638385D3" w14:textId="77777777" w:rsidR="002749FA" w:rsidRPr="00DD2C62" w:rsidRDefault="002749FA" w:rsidP="0049107A">
      <w:pPr>
        <w:pStyle w:val="SingleTxtG"/>
      </w:pPr>
      <w:r w:rsidRPr="00DD2C62">
        <w:t>10.</w:t>
      </w:r>
      <w:r w:rsidRPr="00DD2C62">
        <w:tab/>
        <w:t>En</w:t>
      </w:r>
      <w:r w:rsidR="0049107A" w:rsidRPr="00DD2C62">
        <w:t xml:space="preserve"> </w:t>
      </w:r>
      <w:r w:rsidRPr="00DD2C62">
        <w:t>outre,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nombre</w:t>
      </w:r>
      <w:r w:rsidR="0049107A" w:rsidRPr="00DD2C62">
        <w:t xml:space="preserve"> </w:t>
      </w:r>
      <w:r w:rsidRPr="00DD2C62">
        <w:t>sans</w:t>
      </w:r>
      <w:r w:rsidR="0049107A" w:rsidRPr="00DD2C62">
        <w:t xml:space="preserve"> </w:t>
      </w:r>
      <w:r w:rsidRPr="00DD2C62">
        <w:t>cesse</w:t>
      </w:r>
      <w:r w:rsidR="0049107A" w:rsidRPr="00DD2C62">
        <w:t xml:space="preserve"> </w:t>
      </w:r>
      <w:r w:rsidRPr="00DD2C62">
        <w:t>croissant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cas</w:t>
      </w:r>
      <w:r w:rsidR="0049107A" w:rsidRPr="00DD2C62">
        <w:t xml:space="preserve"> </w:t>
      </w:r>
      <w:r w:rsidRPr="00DD2C62">
        <w:t>exigeant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nucléaires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saisi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nécessité</w:t>
      </w:r>
      <w:r w:rsidR="0049107A" w:rsidRPr="00DD2C62">
        <w:t xml:space="preserve"> </w:t>
      </w:r>
      <w:r w:rsidRPr="00DD2C62">
        <w:t>d’obtenir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orientations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l’applicabilité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</w:t>
      </w:r>
      <w:r w:rsidR="0049107A" w:rsidRPr="00DD2C62">
        <w:t xml:space="preserve"> </w:t>
      </w:r>
      <w:r w:rsidRPr="00DD2C62">
        <w:t>égard,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invité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continuer</w:t>
      </w:r>
      <w:r w:rsidR="00DD2C62" w:rsidRPr="00DD2C62">
        <w:t> :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rassembler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affaires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nucléaires,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contribuer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spécial</w:t>
      </w:r>
      <w:r w:rsidR="0049107A" w:rsidRPr="00DD2C62">
        <w:t xml:space="preserve"> </w:t>
      </w:r>
      <w:r w:rsidRPr="00DD2C62">
        <w:t>établi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conviendra</w:t>
      </w:r>
      <w:r w:rsidR="0049107A" w:rsidRPr="00DD2C62">
        <w:t xml:space="preserve"> </w:t>
      </w:r>
      <w:r w:rsidRPr="00DD2C62">
        <w:t>(décision</w:t>
      </w:r>
      <w:r w:rsidR="0049107A" w:rsidRPr="00DD2C62">
        <w:t xml:space="preserve"> </w:t>
      </w:r>
      <w:r w:rsidRPr="00DD2C62">
        <w:t>IS/2,</w:t>
      </w:r>
      <w:r w:rsidR="0049107A" w:rsidRPr="00DD2C62">
        <w:t xml:space="preserve"> </w:t>
      </w:r>
      <w:r w:rsidR="00DD2C62">
        <w:t>par. </w:t>
      </w:r>
      <w:r w:rsidRPr="00DD2C62">
        <w:t>10).</w:t>
      </w:r>
    </w:p>
    <w:p w14:paraId="47B1D6FA" w14:textId="77777777" w:rsidR="002749FA" w:rsidRPr="00DD2C62" w:rsidRDefault="002749FA" w:rsidP="0049107A">
      <w:pPr>
        <w:pStyle w:val="HChG"/>
      </w:pPr>
      <w:r w:rsidRPr="00DD2C62">
        <w:tab/>
        <w:t>II.</w:t>
      </w:r>
      <w:r w:rsidRPr="00DD2C62">
        <w:tab/>
        <w:t>Révision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IS/1a,</w:t>
      </w:r>
      <w:r w:rsidR="0049107A" w:rsidRPr="00DD2C62">
        <w:t xml:space="preserve"> </w:t>
      </w:r>
      <w:r w:rsidRPr="00DD2C62">
        <w:t>c,</w:t>
      </w:r>
      <w:r w:rsidR="0049107A" w:rsidRPr="00DD2C62">
        <w:t xml:space="preserve"> </w:t>
      </w:r>
      <w:r w:rsidRPr="00DD2C62">
        <w:t>d,</w:t>
      </w:r>
      <w:r w:rsidR="0049107A" w:rsidRPr="00DD2C62">
        <w:t xml:space="preserve"> </w:t>
      </w:r>
      <w:r w:rsidRPr="00DD2C62">
        <w:t>g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f</w:t>
      </w:r>
    </w:p>
    <w:p w14:paraId="0C91212C" w14:textId="77777777" w:rsidR="002749FA" w:rsidRPr="00DD2C62" w:rsidRDefault="002749FA" w:rsidP="0049107A">
      <w:pPr>
        <w:pStyle w:val="SingleTxtG"/>
      </w:pPr>
      <w:r w:rsidRPr="00DD2C62">
        <w:t>11.</w:t>
      </w:r>
      <w:r w:rsidRPr="00DD2C62">
        <w:tab/>
        <w:t>Comme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chargé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(ECE/MP.EIA/23</w:t>
      </w:r>
      <w:r w:rsidR="00AB7317">
        <w:t>-</w:t>
      </w:r>
      <w:r w:rsidRPr="00DD2C62">
        <w:t>ECE/MP.EIA/SEA/7,</w:t>
      </w:r>
      <w:r w:rsidR="0049107A" w:rsidRPr="00DD2C62">
        <w:t xml:space="preserve"> </w:t>
      </w:r>
      <w:r w:rsidR="00DD2C62">
        <w:t>par. </w:t>
      </w:r>
      <w:r w:rsidRPr="00DD2C62">
        <w:t>27),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quarante-deuxième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11</w:t>
      </w:r>
      <w:r w:rsidRPr="00DD2C62">
        <w:noBreakHyphen/>
        <w:t>14</w:t>
      </w:r>
      <w:r w:rsidR="00AB7317">
        <w:t> </w:t>
      </w:r>
      <w:r w:rsidRPr="00DD2C62">
        <w:t>septembre</w:t>
      </w:r>
      <w:r w:rsidR="0049107A" w:rsidRPr="00DD2C62">
        <w:t xml:space="preserve"> </w:t>
      </w:r>
      <w:r w:rsidRPr="00DD2C62">
        <w:t>2018)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quarante-troisième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4</w:t>
      </w:r>
      <w:r w:rsidR="00AB7317">
        <w:t>-</w:t>
      </w:r>
      <w:r w:rsidRPr="00DD2C62">
        <w:t>7</w:t>
      </w:r>
      <w:r w:rsidR="00AB7317">
        <w:t> </w:t>
      </w:r>
      <w:r w:rsidRPr="00DD2C62">
        <w:t>décembre</w:t>
      </w:r>
      <w:r w:rsidR="0049107A" w:rsidRPr="00DD2C62">
        <w:t xml:space="preserve"> </w:t>
      </w:r>
      <w:r w:rsidRPr="00DD2C62">
        <w:t>2018)</w:t>
      </w:r>
      <w:r w:rsidR="0049107A" w:rsidRPr="00DD2C62">
        <w:t xml:space="preserve"> </w:t>
      </w:r>
      <w:r w:rsidRPr="00DD2C62">
        <w:t>sessions,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eu</w:t>
      </w:r>
      <w:r w:rsidR="0049107A" w:rsidRPr="00DD2C62">
        <w:t xml:space="preserve"> </w:t>
      </w:r>
      <w:r w:rsidRPr="00DD2C62">
        <w:t>égard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progrès</w:t>
      </w:r>
      <w:r w:rsidR="0049107A" w:rsidRPr="00DD2C62">
        <w:t xml:space="preserve"> </w:t>
      </w:r>
      <w:r w:rsidRPr="00DD2C62">
        <w:t>réalisés</w:t>
      </w:r>
      <w:r w:rsidR="0049107A" w:rsidRPr="00DD2C62">
        <w:t xml:space="preserve"> </w:t>
      </w:r>
      <w:r w:rsidRPr="00DD2C62">
        <w:t>avant,</w:t>
      </w:r>
      <w:r w:rsidR="0049107A" w:rsidRPr="00DD2C62">
        <w:t xml:space="preserve"> </w:t>
      </w:r>
      <w:r w:rsidRPr="00DD2C62">
        <w:t>pendant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observations</w:t>
      </w:r>
      <w:r w:rsidR="0049107A" w:rsidRPr="00DD2C62">
        <w:t xml:space="preserve"> </w:t>
      </w:r>
      <w:r w:rsidRPr="00DD2C62">
        <w:t>fournies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28</w:t>
      </w:r>
      <w:r w:rsidRPr="00DD2C62">
        <w:noBreakHyphen/>
        <w:t>30</w:t>
      </w:r>
      <w:r w:rsidR="0049107A" w:rsidRPr="00DD2C62">
        <w:t xml:space="preserve"> </w:t>
      </w:r>
      <w:r w:rsidRPr="00DD2C62">
        <w:t>mai</w:t>
      </w:r>
      <w:r w:rsidR="0049107A" w:rsidRPr="00DD2C62">
        <w:t xml:space="preserve"> </w:t>
      </w:r>
      <w:r w:rsidRPr="00DD2C62">
        <w:t>2018)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tous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lastRenderedPageBreak/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jusqu’à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2018.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faciliter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révisé,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présenté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résultats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documents</w:t>
      </w:r>
      <w:r w:rsidR="0049107A" w:rsidRPr="00DD2C62">
        <w:t xml:space="preserve"> </w:t>
      </w:r>
      <w:r w:rsidRPr="00DD2C62">
        <w:t>distincts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résumé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1</w:t>
      </w:r>
      <w:r w:rsidR="0049107A" w:rsidRPr="00DD2C62">
        <w:t xml:space="preserve"> </w:t>
      </w:r>
      <w:r w:rsidRPr="00DD2C62">
        <w:t>ci-dessous.</w:t>
      </w:r>
      <w:r w:rsidR="0049107A" w:rsidRPr="00DD2C62">
        <w:t xml:space="preserve"> </w:t>
      </w:r>
      <w:r w:rsidRPr="00DD2C62">
        <w:t>Afin</w:t>
      </w:r>
      <w:r w:rsidR="0049107A" w:rsidRPr="00DD2C62">
        <w:t xml:space="preserve"> </w:t>
      </w:r>
      <w:r w:rsidRPr="00DD2C62">
        <w:t>d’établir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corrélation</w:t>
      </w:r>
      <w:r w:rsidR="0049107A" w:rsidRPr="00DD2C62">
        <w:t xml:space="preserve"> </w:t>
      </w:r>
      <w:r w:rsidRPr="00DD2C62">
        <w:t>entre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IS/1a)</w:t>
      </w:r>
      <w:r w:rsidR="00FD08E7">
        <w:t xml:space="preserve"> à </w:t>
      </w:r>
      <w:r w:rsidRPr="00DD2C62">
        <w:t>h)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VIII/4</w:t>
      </w:r>
      <w:r w:rsidR="0049107A" w:rsidRPr="00DD2C62">
        <w:t xml:space="preserve"> </w:t>
      </w:r>
      <w:r w:rsidRPr="00DD2C62">
        <w:t>a)</w:t>
      </w:r>
      <w:r w:rsidR="00FD08E7">
        <w:t xml:space="preserve"> à </w:t>
      </w:r>
      <w:r w:rsidRPr="00DD2C62">
        <w:t>e)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1</w:t>
      </w:r>
      <w:r w:rsidR="0049107A" w:rsidRPr="00DD2C62">
        <w:t xml:space="preserve"> </w:t>
      </w:r>
      <w:r w:rsidRPr="00DD2C62">
        <w:t>contient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renvois</w:t>
      </w:r>
      <w:r w:rsidR="0049107A" w:rsidRPr="00DD2C62">
        <w:t xml:space="preserve"> </w:t>
      </w:r>
      <w:r w:rsidRPr="00DD2C62">
        <w:t>correspondants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VI/2.</w:t>
      </w:r>
    </w:p>
    <w:p w14:paraId="36B23B20" w14:textId="77777777" w:rsidR="0049107A" w:rsidRPr="00DD2C62" w:rsidRDefault="002749FA" w:rsidP="0049107A">
      <w:pPr>
        <w:pStyle w:val="Heading1"/>
      </w:pPr>
      <w:r w:rsidRPr="00DD2C62">
        <w:t>Tableau</w:t>
      </w:r>
      <w:r w:rsidR="0049107A" w:rsidRPr="00DD2C62">
        <w:t xml:space="preserve"> </w:t>
      </w:r>
      <w:r w:rsidRPr="00DD2C62">
        <w:t>1</w:t>
      </w:r>
    </w:p>
    <w:p w14:paraId="6E92FF8E" w14:textId="77777777" w:rsidR="002749FA" w:rsidRPr="00DD2C62" w:rsidRDefault="002749FA" w:rsidP="0049107A">
      <w:pPr>
        <w:pStyle w:val="SingleTxtG"/>
        <w:keepNext/>
        <w:rPr>
          <w:b/>
          <w:bCs/>
        </w:rPr>
      </w:pPr>
      <w:r w:rsidRPr="00DD2C62">
        <w:rPr>
          <w:b/>
          <w:bCs/>
        </w:rPr>
        <w:t>Révision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du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projet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de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décision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VII/2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sur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l’examen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dispositions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de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la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Convention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258"/>
        <w:gridCol w:w="2085"/>
        <w:gridCol w:w="1106"/>
        <w:gridCol w:w="1064"/>
        <w:gridCol w:w="880"/>
        <w:gridCol w:w="849"/>
      </w:tblGrid>
      <w:tr w:rsidR="002749FA" w:rsidRPr="00DD2C62" w14:paraId="060739B3" w14:textId="77777777" w:rsidTr="00FD7C42">
        <w:trPr>
          <w:tblHeader/>
        </w:trPr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62EEFD" w14:textId="77777777" w:rsidR="002749FA" w:rsidRPr="00DD2C62" w:rsidRDefault="002749FA" w:rsidP="0049107A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Référence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du</w:t>
            </w:r>
            <w:r w:rsidR="00AB7317">
              <w:rPr>
                <w:i/>
                <w:sz w:val="16"/>
              </w:rPr>
              <w:t> </w:t>
            </w:r>
            <w:r w:rsidRPr="00DD2C62">
              <w:rPr>
                <w:i/>
                <w:sz w:val="16"/>
              </w:rPr>
              <w:t>Comité</w:t>
            </w:r>
            <w:r w:rsidR="0049107A" w:rsidRPr="00DD2C62">
              <w:rPr>
                <w:i/>
                <w:sz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711E4" w14:textId="77777777" w:rsidR="002749FA" w:rsidRPr="00DD2C62" w:rsidRDefault="002749FA" w:rsidP="0049107A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Partie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concernée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F61139" w14:textId="77777777" w:rsidR="002749FA" w:rsidRPr="00DD2C62" w:rsidRDefault="002749FA" w:rsidP="0049107A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Question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FF96CB" w14:textId="77777777" w:rsidR="002749FA" w:rsidRPr="00DD2C62" w:rsidRDefault="002749FA" w:rsidP="0049107A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Décision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VI/2,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paragraphes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8B07A" w14:textId="77777777" w:rsidR="002749FA" w:rsidRPr="00DD2C62" w:rsidRDefault="002749FA" w:rsidP="0049107A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Projet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décision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VII/2,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paragraphes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A72424" w14:textId="77777777" w:rsidR="002749FA" w:rsidRPr="00DD2C62" w:rsidRDefault="002749FA" w:rsidP="0049107A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Décisions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IS/1a)</w:t>
            </w:r>
            <w:r w:rsidR="00FD08E7">
              <w:rPr>
                <w:i/>
                <w:sz w:val="16"/>
              </w:rPr>
              <w:t xml:space="preserve"> à </w:t>
            </w:r>
            <w:r w:rsidRPr="00DD2C62">
              <w:rPr>
                <w:i/>
                <w:sz w:val="16"/>
              </w:rPr>
              <w:t>h)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2619B" w14:textId="77777777" w:rsidR="002749FA" w:rsidRPr="00DD2C62" w:rsidRDefault="002749FA" w:rsidP="00FD7C42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Décisions</w:t>
            </w:r>
            <w:r w:rsidR="00FD08E7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VIII/4a)</w:t>
            </w:r>
            <w:r w:rsidR="00FD08E7">
              <w:rPr>
                <w:i/>
                <w:sz w:val="16"/>
              </w:rPr>
              <w:t xml:space="preserve"> à </w:t>
            </w:r>
            <w:r w:rsidRPr="00DD2C62">
              <w:rPr>
                <w:i/>
                <w:sz w:val="16"/>
              </w:rPr>
              <w:t>e)</w:t>
            </w:r>
          </w:p>
        </w:tc>
      </w:tr>
      <w:tr w:rsidR="0049107A" w:rsidRPr="00DD2C62" w14:paraId="725EBDF8" w14:textId="77777777" w:rsidTr="00FD7C42">
        <w:trPr>
          <w:trHeight w:hRule="exact" w:val="113"/>
          <w:tblHeader/>
        </w:trPr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</w:tcPr>
          <w:p w14:paraId="5E3D38F4" w14:textId="77777777" w:rsidR="0049107A" w:rsidRPr="00DD2C62" w:rsidRDefault="0049107A" w:rsidP="0049107A">
            <w:pPr>
              <w:keepNext/>
              <w:spacing w:before="40" w:after="120"/>
              <w:ind w:right="113"/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14:paraId="6DBED9EE" w14:textId="77777777" w:rsidR="0049107A" w:rsidRPr="00DD2C62" w:rsidRDefault="0049107A" w:rsidP="0049107A">
            <w:pPr>
              <w:keepNext/>
              <w:spacing w:before="40" w:after="120"/>
              <w:ind w:right="113"/>
            </w:pP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</w:tcPr>
          <w:p w14:paraId="4DBB71E0" w14:textId="77777777" w:rsidR="0049107A" w:rsidRPr="00DD2C62" w:rsidRDefault="0049107A" w:rsidP="0049107A">
            <w:pPr>
              <w:keepNext/>
              <w:spacing w:before="40" w:after="120"/>
              <w:ind w:right="113"/>
            </w:pP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</w:tcPr>
          <w:p w14:paraId="2B0C864D" w14:textId="77777777" w:rsidR="0049107A" w:rsidRPr="00DD2C62" w:rsidRDefault="0049107A" w:rsidP="0049107A">
            <w:pPr>
              <w:keepNext/>
              <w:spacing w:before="40" w:after="120"/>
              <w:ind w:right="113"/>
            </w:pP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</w:tcPr>
          <w:p w14:paraId="1A890F57" w14:textId="77777777" w:rsidR="0049107A" w:rsidRPr="00DD2C62" w:rsidRDefault="0049107A" w:rsidP="0049107A">
            <w:pPr>
              <w:keepNext/>
              <w:spacing w:before="40" w:after="120"/>
              <w:ind w:right="113"/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14:paraId="171E4E81" w14:textId="77777777" w:rsidR="0049107A" w:rsidRPr="00DD2C62" w:rsidRDefault="0049107A" w:rsidP="0049107A">
            <w:pPr>
              <w:keepNext/>
              <w:spacing w:before="40" w:after="120"/>
              <w:ind w:right="113"/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</w:tcPr>
          <w:p w14:paraId="00B672CC" w14:textId="77777777" w:rsidR="0049107A" w:rsidRPr="00DD2C62" w:rsidRDefault="0049107A" w:rsidP="00FD7C42">
            <w:pPr>
              <w:keepNext/>
              <w:spacing w:before="40" w:after="120"/>
            </w:pPr>
          </w:p>
        </w:tc>
      </w:tr>
      <w:tr w:rsidR="002749FA" w:rsidRPr="00DD2C62" w14:paraId="450E929A" w14:textId="77777777" w:rsidTr="00FD7C42">
        <w:tc>
          <w:tcPr>
            <w:tcW w:w="1262" w:type="dxa"/>
            <w:shd w:val="clear" w:color="auto" w:fill="auto"/>
          </w:tcPr>
          <w:p w14:paraId="37AAC65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EIA/IC/CI/1</w:t>
            </w:r>
            <w:r w:rsidRPr="00AB7317">
              <w:rPr>
                <w:i/>
                <w:vertAlign w:val="superscript"/>
              </w:rPr>
              <w:t>a</w:t>
            </w:r>
          </w:p>
        </w:tc>
        <w:tc>
          <w:tcPr>
            <w:tcW w:w="1258" w:type="dxa"/>
            <w:shd w:val="clear" w:color="auto" w:fill="auto"/>
          </w:tcPr>
          <w:p w14:paraId="2D879E3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Arménie</w:t>
            </w:r>
            <w:r w:rsidR="0049107A" w:rsidRPr="00DD2C62"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46CCAC8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Absence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législation</w:t>
            </w:r>
            <w:r w:rsidR="0049107A" w:rsidRPr="00DD2C62">
              <w:t xml:space="preserve"> </w:t>
            </w:r>
            <w:r w:rsidRPr="00DD2C62">
              <w:t>nationale</w:t>
            </w:r>
            <w:r w:rsidR="0049107A" w:rsidRPr="00DD2C62">
              <w:t xml:space="preserve"> </w:t>
            </w:r>
            <w:r w:rsidRPr="00DD2C62">
              <w:t>pour</w:t>
            </w:r>
            <w:r w:rsidR="0049107A" w:rsidRPr="00DD2C62">
              <w:t xml:space="preserve"> </w:t>
            </w:r>
            <w:r w:rsidRPr="00DD2C62">
              <w:t>appliquer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Convention.</w:t>
            </w:r>
          </w:p>
        </w:tc>
        <w:tc>
          <w:tcPr>
            <w:tcW w:w="1106" w:type="dxa"/>
            <w:shd w:val="clear" w:color="auto" w:fill="auto"/>
          </w:tcPr>
          <w:p w14:paraId="35043C2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29</w:t>
            </w:r>
            <w:r w:rsidR="00FD08E7">
              <w:t>-</w:t>
            </w:r>
            <w:r w:rsidRPr="00DD2C62">
              <w:t>35</w:t>
            </w:r>
          </w:p>
        </w:tc>
        <w:tc>
          <w:tcPr>
            <w:tcW w:w="1064" w:type="dxa"/>
            <w:shd w:val="clear" w:color="auto" w:fill="auto"/>
          </w:tcPr>
          <w:p w14:paraId="7E85182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38</w:t>
            </w:r>
            <w:r w:rsidR="00AB7317">
              <w:t>-</w:t>
            </w:r>
            <w:r w:rsidRPr="00DD2C62">
              <w:t>44</w:t>
            </w:r>
          </w:p>
        </w:tc>
        <w:tc>
          <w:tcPr>
            <w:tcW w:w="880" w:type="dxa"/>
            <w:shd w:val="clear" w:color="auto" w:fill="auto"/>
          </w:tcPr>
          <w:p w14:paraId="52FBBA60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IS/1a</w:t>
            </w:r>
          </w:p>
        </w:tc>
        <w:tc>
          <w:tcPr>
            <w:tcW w:w="849" w:type="dxa"/>
            <w:shd w:val="clear" w:color="auto" w:fill="auto"/>
          </w:tcPr>
          <w:p w14:paraId="1E29CF9E" w14:textId="77777777" w:rsidR="002749FA" w:rsidRPr="00DD2C62" w:rsidRDefault="002749FA" w:rsidP="00FD7C42">
            <w:pPr>
              <w:spacing w:before="40" w:after="120"/>
            </w:pPr>
            <w:r w:rsidRPr="00DD2C62">
              <w:t>VIII/4a</w:t>
            </w:r>
          </w:p>
        </w:tc>
      </w:tr>
      <w:tr w:rsidR="002749FA" w:rsidRPr="00DD2C62" w14:paraId="13AF81BD" w14:textId="77777777" w:rsidTr="00FD7C42">
        <w:tc>
          <w:tcPr>
            <w:tcW w:w="1262" w:type="dxa"/>
            <w:shd w:val="clear" w:color="auto" w:fill="auto"/>
          </w:tcPr>
          <w:p w14:paraId="5B1AEC3E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EIA/IC/S/3</w:t>
            </w:r>
            <w:r w:rsidRPr="00AB7317">
              <w:rPr>
                <w:i/>
                <w:vertAlign w:val="superscript"/>
              </w:rPr>
              <w:t>b</w:t>
            </w:r>
          </w:p>
        </w:tc>
        <w:tc>
          <w:tcPr>
            <w:tcW w:w="1258" w:type="dxa"/>
            <w:shd w:val="clear" w:color="auto" w:fill="auto"/>
          </w:tcPr>
          <w:p w14:paraId="32E5FF9C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Arménie</w:t>
            </w:r>
          </w:p>
        </w:tc>
        <w:tc>
          <w:tcPr>
            <w:tcW w:w="2085" w:type="dxa"/>
            <w:shd w:val="clear" w:color="auto" w:fill="auto"/>
          </w:tcPr>
          <w:p w14:paraId="3C8BCB8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appliqué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49107A" w:rsidRPr="00DD2C62">
              <w:t xml:space="preserve"> </w:t>
            </w:r>
            <w:r w:rsidRPr="00DD2C62">
              <w:t>concernant</w:t>
            </w:r>
            <w:r w:rsidR="0049107A" w:rsidRPr="00DD2C62">
              <w:t xml:space="preserve"> </w:t>
            </w:r>
            <w:r w:rsidRPr="00DD2C62">
              <w:t>le</w:t>
            </w:r>
            <w:r w:rsidR="0049107A" w:rsidRPr="00DD2C62">
              <w:t xml:space="preserve"> </w:t>
            </w: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d’une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Metsamor.</w:t>
            </w:r>
          </w:p>
        </w:tc>
        <w:tc>
          <w:tcPr>
            <w:tcW w:w="1106" w:type="dxa"/>
            <w:shd w:val="clear" w:color="auto" w:fill="auto"/>
          </w:tcPr>
          <w:p w14:paraId="5A0BDB4C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45</w:t>
            </w:r>
            <w:r w:rsidR="00AB7317">
              <w:t>-</w:t>
            </w:r>
            <w:r w:rsidRPr="00DD2C62">
              <w:t>46</w:t>
            </w:r>
          </w:p>
        </w:tc>
        <w:tc>
          <w:tcPr>
            <w:tcW w:w="1064" w:type="dxa"/>
            <w:shd w:val="clear" w:color="auto" w:fill="auto"/>
          </w:tcPr>
          <w:p w14:paraId="13E8E9F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45</w:t>
            </w:r>
            <w:r w:rsidR="00AB7317">
              <w:t>-</w:t>
            </w:r>
            <w:r w:rsidRPr="00DD2C62">
              <w:t>47</w:t>
            </w:r>
          </w:p>
        </w:tc>
        <w:tc>
          <w:tcPr>
            <w:tcW w:w="880" w:type="dxa"/>
            <w:shd w:val="clear" w:color="auto" w:fill="auto"/>
          </w:tcPr>
          <w:p w14:paraId="6964B67E" w14:textId="77777777" w:rsidR="002749FA" w:rsidRPr="00DD2C62" w:rsidRDefault="002749FA" w:rsidP="00AB7317">
            <w:pPr>
              <w:spacing w:before="40" w:after="120"/>
              <w:ind w:right="113"/>
            </w:pPr>
            <w:r w:rsidRPr="00DD2C62">
              <w:t>IS/1b</w:t>
            </w:r>
          </w:p>
        </w:tc>
        <w:tc>
          <w:tcPr>
            <w:tcW w:w="849" w:type="dxa"/>
            <w:shd w:val="clear" w:color="auto" w:fill="auto"/>
          </w:tcPr>
          <w:p w14:paraId="57B9F316" w14:textId="77777777" w:rsidR="002749FA" w:rsidRPr="00DD2C62" w:rsidRDefault="002749FA" w:rsidP="00FD7C42">
            <w:pPr>
              <w:spacing w:before="40" w:after="120"/>
            </w:pPr>
            <w:r w:rsidRPr="00DD2C62">
              <w:t>-</w:t>
            </w:r>
          </w:p>
        </w:tc>
      </w:tr>
      <w:tr w:rsidR="002749FA" w:rsidRPr="00DD2C62" w14:paraId="6FC3C9DD" w14:textId="77777777" w:rsidTr="00FD7C42">
        <w:tc>
          <w:tcPr>
            <w:tcW w:w="1262" w:type="dxa"/>
            <w:shd w:val="clear" w:color="auto" w:fill="auto"/>
          </w:tcPr>
          <w:p w14:paraId="4F10F4F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EIA/IC/CI/2</w:t>
            </w:r>
          </w:p>
        </w:tc>
        <w:tc>
          <w:tcPr>
            <w:tcW w:w="1258" w:type="dxa"/>
            <w:shd w:val="clear" w:color="auto" w:fill="auto"/>
          </w:tcPr>
          <w:p w14:paraId="5892A89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Azerbaïdjan</w:t>
            </w:r>
          </w:p>
        </w:tc>
        <w:tc>
          <w:tcPr>
            <w:tcW w:w="2085" w:type="dxa"/>
            <w:shd w:val="clear" w:color="auto" w:fill="auto"/>
          </w:tcPr>
          <w:p w14:paraId="0D5B2C5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Absence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législation</w:t>
            </w:r>
            <w:r w:rsidR="0049107A" w:rsidRPr="00DD2C62">
              <w:t xml:space="preserve"> </w:t>
            </w:r>
            <w:r w:rsidRPr="00DD2C62">
              <w:t>nationale</w:t>
            </w:r>
            <w:r w:rsidR="0049107A" w:rsidRPr="00DD2C62">
              <w:t xml:space="preserve"> </w:t>
            </w:r>
            <w:r w:rsidRPr="00DD2C62">
              <w:t>pour</w:t>
            </w:r>
            <w:r w:rsidR="0049107A" w:rsidRPr="00DD2C62">
              <w:t xml:space="preserve"> </w:t>
            </w:r>
            <w:r w:rsidRPr="00DD2C62">
              <w:t>appliquer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Convention.</w:t>
            </w:r>
          </w:p>
        </w:tc>
        <w:tc>
          <w:tcPr>
            <w:tcW w:w="1106" w:type="dxa"/>
            <w:shd w:val="clear" w:color="auto" w:fill="auto"/>
          </w:tcPr>
          <w:p w14:paraId="7DC0938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38</w:t>
            </w:r>
            <w:r w:rsidR="00AB7317">
              <w:t>-</w:t>
            </w:r>
            <w:r w:rsidRPr="00DD2C62">
              <w:t>44</w:t>
            </w:r>
            <w:r w:rsidR="0049107A" w:rsidRPr="00DD2C62"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5FE90D1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48</w:t>
            </w:r>
            <w:r w:rsidR="00AB7317">
              <w:t>-</w:t>
            </w:r>
            <w:r w:rsidRPr="00DD2C62">
              <w:t>53</w:t>
            </w:r>
          </w:p>
        </w:tc>
        <w:tc>
          <w:tcPr>
            <w:tcW w:w="880" w:type="dxa"/>
            <w:shd w:val="clear" w:color="auto" w:fill="auto"/>
          </w:tcPr>
          <w:p w14:paraId="0AA8243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IS/1c</w:t>
            </w:r>
          </w:p>
        </w:tc>
        <w:tc>
          <w:tcPr>
            <w:tcW w:w="849" w:type="dxa"/>
            <w:shd w:val="clear" w:color="auto" w:fill="auto"/>
          </w:tcPr>
          <w:p w14:paraId="6F822B4B" w14:textId="77777777" w:rsidR="002749FA" w:rsidRPr="00DD2C62" w:rsidRDefault="002749FA" w:rsidP="00FD7C42">
            <w:pPr>
              <w:spacing w:before="40" w:after="120"/>
            </w:pPr>
            <w:r w:rsidRPr="00DD2C62">
              <w:t>VIII/4b</w:t>
            </w:r>
          </w:p>
        </w:tc>
      </w:tr>
      <w:tr w:rsidR="002749FA" w:rsidRPr="00DD2C62" w14:paraId="375A401E" w14:textId="77777777" w:rsidTr="00FD7C42">
        <w:tc>
          <w:tcPr>
            <w:tcW w:w="1262" w:type="dxa"/>
            <w:shd w:val="clear" w:color="auto" w:fill="auto"/>
          </w:tcPr>
          <w:p w14:paraId="4524199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EIA/IC/S/4</w:t>
            </w:r>
          </w:p>
        </w:tc>
        <w:tc>
          <w:tcPr>
            <w:tcW w:w="1258" w:type="dxa"/>
            <w:shd w:val="clear" w:color="auto" w:fill="auto"/>
          </w:tcPr>
          <w:p w14:paraId="14F6D53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Bélarus</w:t>
            </w:r>
          </w:p>
        </w:tc>
        <w:tc>
          <w:tcPr>
            <w:tcW w:w="2085" w:type="dxa"/>
            <w:shd w:val="clear" w:color="auto" w:fill="auto"/>
          </w:tcPr>
          <w:p w14:paraId="5C5EF95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correctement</w:t>
            </w:r>
            <w:r w:rsidR="0049107A" w:rsidRPr="00DD2C62">
              <w:t xml:space="preserve"> </w:t>
            </w:r>
            <w:r w:rsidRPr="00DD2C62">
              <w:t>appliqué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49107A" w:rsidRPr="00DD2C62">
              <w:t xml:space="preserve"> </w:t>
            </w:r>
            <w:r w:rsidRPr="00DD2C62">
              <w:t>concernant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d’Ostrovets.</w:t>
            </w:r>
          </w:p>
        </w:tc>
        <w:tc>
          <w:tcPr>
            <w:tcW w:w="1106" w:type="dxa"/>
            <w:shd w:val="clear" w:color="auto" w:fill="auto"/>
          </w:tcPr>
          <w:p w14:paraId="428FA42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48</w:t>
            </w:r>
            <w:r w:rsidR="00AB7317">
              <w:t>-</w:t>
            </w:r>
            <w:r w:rsidRPr="00DD2C62">
              <w:t>64</w:t>
            </w:r>
          </w:p>
        </w:tc>
        <w:tc>
          <w:tcPr>
            <w:tcW w:w="1064" w:type="dxa"/>
            <w:shd w:val="clear" w:color="auto" w:fill="auto"/>
          </w:tcPr>
          <w:p w14:paraId="1B99D63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54</w:t>
            </w:r>
            <w:r w:rsidR="00AB7317">
              <w:t>-</w:t>
            </w:r>
            <w:r w:rsidRPr="00DD2C62">
              <w:t>65</w:t>
            </w:r>
          </w:p>
        </w:tc>
        <w:tc>
          <w:tcPr>
            <w:tcW w:w="880" w:type="dxa"/>
            <w:shd w:val="clear" w:color="auto" w:fill="auto"/>
          </w:tcPr>
          <w:p w14:paraId="77BCF37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IS/1d</w:t>
            </w:r>
          </w:p>
        </w:tc>
        <w:tc>
          <w:tcPr>
            <w:tcW w:w="849" w:type="dxa"/>
            <w:shd w:val="clear" w:color="auto" w:fill="auto"/>
          </w:tcPr>
          <w:p w14:paraId="26D43DF9" w14:textId="77777777" w:rsidR="002749FA" w:rsidRPr="00DD2C62" w:rsidRDefault="002749FA" w:rsidP="00FD7C42">
            <w:pPr>
              <w:spacing w:before="40" w:after="120"/>
            </w:pPr>
            <w:r w:rsidRPr="00DD2C62">
              <w:t>VIII/4c</w:t>
            </w:r>
          </w:p>
        </w:tc>
      </w:tr>
      <w:tr w:rsidR="002749FA" w:rsidRPr="00DD2C62" w14:paraId="40AA5AD9" w14:textId="77777777" w:rsidTr="00FD7C42">
        <w:tc>
          <w:tcPr>
            <w:tcW w:w="1262" w:type="dxa"/>
            <w:shd w:val="clear" w:color="auto" w:fill="auto"/>
          </w:tcPr>
          <w:p w14:paraId="1C5A7D64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EIA/IC/CI/6</w:t>
            </w:r>
          </w:p>
        </w:tc>
        <w:tc>
          <w:tcPr>
            <w:tcW w:w="1258" w:type="dxa"/>
            <w:shd w:val="clear" w:color="auto" w:fill="auto"/>
          </w:tcPr>
          <w:p w14:paraId="56892B8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Serbie</w:t>
            </w:r>
          </w:p>
        </w:tc>
        <w:tc>
          <w:tcPr>
            <w:tcW w:w="2085" w:type="dxa"/>
            <w:shd w:val="clear" w:color="auto" w:fill="auto"/>
          </w:tcPr>
          <w:p w14:paraId="6758082D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appliqué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49107A" w:rsidRPr="00DD2C62">
              <w:t xml:space="preserve"> </w:t>
            </w:r>
            <w:r w:rsidRPr="00DD2C62">
              <w:t>concernant</w:t>
            </w:r>
            <w:r w:rsidR="0049107A" w:rsidRPr="00DD2C62">
              <w:t xml:space="preserve"> </w:t>
            </w:r>
            <w:r w:rsidRPr="00DD2C62">
              <w:t>le</w:t>
            </w:r>
            <w:r w:rsidR="0049107A" w:rsidRPr="00DD2C62">
              <w:t xml:space="preserve"> </w:t>
            </w: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FD08E7">
              <w:t> 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</w:t>
            </w:r>
            <w:r w:rsidR="0049107A" w:rsidRPr="00DD2C62">
              <w:t xml:space="preserve"> </w:t>
            </w:r>
            <w:r w:rsidRPr="00DD2C62">
              <w:t>nouveau</w:t>
            </w:r>
            <w:r w:rsidR="0049107A" w:rsidRPr="00DD2C62">
              <w:t xml:space="preserve"> </w:t>
            </w:r>
            <w:r w:rsidRPr="00DD2C62">
              <w:t>bloc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lignite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Kostolac.</w:t>
            </w:r>
          </w:p>
        </w:tc>
        <w:tc>
          <w:tcPr>
            <w:tcW w:w="1106" w:type="dxa"/>
            <w:shd w:val="clear" w:color="auto" w:fill="auto"/>
          </w:tcPr>
          <w:p w14:paraId="373E854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-</w:t>
            </w:r>
          </w:p>
        </w:tc>
        <w:tc>
          <w:tcPr>
            <w:tcW w:w="1064" w:type="dxa"/>
            <w:shd w:val="clear" w:color="auto" w:fill="auto"/>
          </w:tcPr>
          <w:p w14:paraId="748BFA50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66</w:t>
            </w:r>
            <w:r w:rsidR="00AB7317">
              <w:t>-</w:t>
            </w:r>
            <w:r w:rsidRPr="00DD2C62">
              <w:t>68</w:t>
            </w:r>
          </w:p>
        </w:tc>
        <w:tc>
          <w:tcPr>
            <w:tcW w:w="880" w:type="dxa"/>
            <w:shd w:val="clear" w:color="auto" w:fill="auto"/>
          </w:tcPr>
          <w:p w14:paraId="390EC32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IS/1e</w:t>
            </w:r>
          </w:p>
        </w:tc>
        <w:tc>
          <w:tcPr>
            <w:tcW w:w="849" w:type="dxa"/>
            <w:shd w:val="clear" w:color="auto" w:fill="auto"/>
          </w:tcPr>
          <w:p w14:paraId="06608A68" w14:textId="77777777" w:rsidR="002749FA" w:rsidRPr="00DD2C62" w:rsidRDefault="002749FA" w:rsidP="00FD7C42">
            <w:pPr>
              <w:spacing w:before="40" w:after="120"/>
            </w:pPr>
            <w:r w:rsidRPr="00DD2C62">
              <w:t>-</w:t>
            </w:r>
          </w:p>
        </w:tc>
      </w:tr>
      <w:tr w:rsidR="002749FA" w:rsidRPr="00DD2C62" w14:paraId="54315348" w14:textId="77777777" w:rsidTr="00FD7C42">
        <w:tc>
          <w:tcPr>
            <w:tcW w:w="1262" w:type="dxa"/>
            <w:shd w:val="clear" w:color="auto" w:fill="auto"/>
          </w:tcPr>
          <w:p w14:paraId="626C10F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EIA/IC/S/1</w:t>
            </w:r>
          </w:p>
        </w:tc>
        <w:tc>
          <w:tcPr>
            <w:tcW w:w="1258" w:type="dxa"/>
            <w:shd w:val="clear" w:color="auto" w:fill="auto"/>
          </w:tcPr>
          <w:p w14:paraId="66D3E7A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2085" w:type="dxa"/>
            <w:shd w:val="clear" w:color="auto" w:fill="auto"/>
          </w:tcPr>
          <w:p w14:paraId="6A6A477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Absence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législation</w:t>
            </w:r>
            <w:r w:rsidR="0049107A" w:rsidRPr="00DD2C62">
              <w:t xml:space="preserve"> </w:t>
            </w:r>
            <w:r w:rsidRPr="00DD2C62">
              <w:t>nationale</w:t>
            </w:r>
            <w:r w:rsidR="0049107A" w:rsidRPr="00DD2C62">
              <w:t xml:space="preserve"> </w:t>
            </w:r>
            <w:r w:rsidRPr="00DD2C62">
              <w:t>pour</w:t>
            </w:r>
            <w:r w:rsidR="0049107A" w:rsidRPr="00DD2C62">
              <w:t xml:space="preserve"> </w:t>
            </w:r>
            <w:r w:rsidRPr="00DD2C62">
              <w:t>appliquer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DD2C62" w:rsidRPr="00DD2C62">
              <w:t> ;</w:t>
            </w:r>
            <w:r w:rsidR="0049107A" w:rsidRPr="00DD2C62">
              <w:t xml:space="preserve"> </w:t>
            </w: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appliqué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49107A" w:rsidRPr="00DD2C62">
              <w:t xml:space="preserve"> </w:t>
            </w:r>
            <w:r w:rsidRPr="00DD2C62">
              <w:t>concernant</w:t>
            </w:r>
            <w:r w:rsidR="0049107A" w:rsidRPr="00DD2C62">
              <w:t xml:space="preserve"> </w:t>
            </w:r>
            <w:r w:rsidRPr="00DD2C62">
              <w:t>le</w:t>
            </w:r>
            <w:r w:rsidR="0049107A" w:rsidRPr="00DD2C62">
              <w:t xml:space="preserve"> </w:t>
            </w:r>
            <w:r w:rsidRPr="00DD2C62">
              <w:t>canal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navigation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eaux</w:t>
            </w:r>
            <w:r w:rsidR="0049107A" w:rsidRPr="00DD2C62">
              <w:t xml:space="preserve"> </w:t>
            </w:r>
            <w:r w:rsidRPr="00DD2C62">
              <w:t>profondes</w:t>
            </w:r>
            <w:r w:rsidR="0049107A" w:rsidRPr="00DD2C62">
              <w:t xml:space="preserve"> </w:t>
            </w:r>
            <w:r w:rsidRPr="00DD2C62">
              <w:t>Danube-mer</w:t>
            </w:r>
            <w:r w:rsidR="0049107A" w:rsidRPr="00DD2C62">
              <w:t xml:space="preserve"> </w:t>
            </w:r>
            <w:r w:rsidRPr="00DD2C62">
              <w:t>Noire</w:t>
            </w:r>
            <w:r w:rsidR="0049107A" w:rsidRPr="00DD2C62">
              <w:t xml:space="preserve"> </w:t>
            </w:r>
            <w:r w:rsidRPr="00DD2C62">
              <w:t>dans</w:t>
            </w:r>
            <w:r w:rsidR="0049107A" w:rsidRPr="00DD2C62">
              <w:t xml:space="preserve"> </w:t>
            </w:r>
            <w:r w:rsidRPr="00DD2C62">
              <w:t>le</w:t>
            </w:r>
            <w:r w:rsidR="0049107A" w:rsidRPr="00DD2C62">
              <w:t xml:space="preserve"> </w:t>
            </w:r>
            <w:r w:rsidRPr="00DD2C62">
              <w:t>secteur</w:t>
            </w:r>
            <w:r w:rsidR="0049107A" w:rsidRPr="00DD2C62">
              <w:t xml:space="preserve"> </w:t>
            </w:r>
            <w:r w:rsidRPr="00DD2C62">
              <w:t>ukrainien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delta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Danube</w:t>
            </w:r>
            <w:r w:rsidR="0049107A" w:rsidRPr="00DD2C62">
              <w:t xml:space="preserve"> </w:t>
            </w:r>
            <w:r w:rsidRPr="00DD2C62">
              <w:t>(projet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canal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Bystroe).</w:t>
            </w:r>
          </w:p>
        </w:tc>
        <w:tc>
          <w:tcPr>
            <w:tcW w:w="1106" w:type="dxa"/>
            <w:shd w:val="clear" w:color="auto" w:fill="auto"/>
          </w:tcPr>
          <w:p w14:paraId="0A452FC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15</w:t>
            </w:r>
            <w:r w:rsidR="00AB7317">
              <w:t>-</w:t>
            </w:r>
            <w:r w:rsidRPr="00DD2C62">
              <w:t>28</w:t>
            </w:r>
          </w:p>
        </w:tc>
        <w:tc>
          <w:tcPr>
            <w:tcW w:w="1064" w:type="dxa"/>
            <w:shd w:val="clear" w:color="auto" w:fill="auto"/>
          </w:tcPr>
          <w:p w14:paraId="1B467C9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13</w:t>
            </w:r>
            <w:r w:rsidR="00AB7317">
              <w:t>-</w:t>
            </w:r>
            <w:r w:rsidRPr="00DD2C62">
              <w:t>28</w:t>
            </w:r>
          </w:p>
        </w:tc>
        <w:tc>
          <w:tcPr>
            <w:tcW w:w="880" w:type="dxa"/>
            <w:shd w:val="clear" w:color="auto" w:fill="auto"/>
          </w:tcPr>
          <w:p w14:paraId="7A26BFDD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IS/1f</w:t>
            </w:r>
          </w:p>
        </w:tc>
        <w:tc>
          <w:tcPr>
            <w:tcW w:w="849" w:type="dxa"/>
            <w:shd w:val="clear" w:color="auto" w:fill="auto"/>
          </w:tcPr>
          <w:p w14:paraId="3B9B69A9" w14:textId="77777777" w:rsidR="002749FA" w:rsidRPr="00DD2C62" w:rsidRDefault="002749FA" w:rsidP="00FD7C42">
            <w:pPr>
              <w:spacing w:before="40" w:after="120"/>
            </w:pPr>
            <w:r w:rsidRPr="00DD2C62">
              <w:t>VIII/4d</w:t>
            </w:r>
          </w:p>
        </w:tc>
      </w:tr>
      <w:tr w:rsidR="002749FA" w:rsidRPr="00DD2C62" w14:paraId="2144F3B0" w14:textId="77777777" w:rsidTr="00FD7C42">
        <w:tc>
          <w:tcPr>
            <w:tcW w:w="1262" w:type="dxa"/>
            <w:shd w:val="clear" w:color="auto" w:fill="auto"/>
          </w:tcPr>
          <w:p w14:paraId="0354D7AA" w14:textId="77777777" w:rsidR="002749FA" w:rsidRPr="00DD2C62" w:rsidRDefault="002749FA" w:rsidP="00FD7C42">
            <w:pPr>
              <w:spacing w:before="40" w:after="120"/>
              <w:ind w:right="113"/>
            </w:pPr>
            <w:r w:rsidRPr="00DD2C62">
              <w:t>EIA/IC/CI/4</w:t>
            </w:r>
          </w:p>
        </w:tc>
        <w:tc>
          <w:tcPr>
            <w:tcW w:w="1258" w:type="dxa"/>
            <w:shd w:val="clear" w:color="auto" w:fill="auto"/>
          </w:tcPr>
          <w:p w14:paraId="68E23473" w14:textId="77777777" w:rsidR="002749FA" w:rsidRPr="00DD2C62" w:rsidRDefault="002749FA" w:rsidP="00FD7C42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2085" w:type="dxa"/>
            <w:shd w:val="clear" w:color="auto" w:fill="auto"/>
          </w:tcPr>
          <w:p w14:paraId="4903199D" w14:textId="77777777" w:rsidR="002749FA" w:rsidRPr="00DD2C62" w:rsidRDefault="002749FA" w:rsidP="00FD7C42">
            <w:pPr>
              <w:spacing w:before="40" w:after="120"/>
              <w:ind w:right="113"/>
            </w:pP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appliqué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49107A" w:rsidRPr="00DD2C62">
              <w:t xml:space="preserve"> </w:t>
            </w:r>
            <w:r w:rsidRPr="00DD2C62">
              <w:t>concernant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prolongation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durée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vie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Rivne.</w:t>
            </w:r>
          </w:p>
        </w:tc>
        <w:tc>
          <w:tcPr>
            <w:tcW w:w="1106" w:type="dxa"/>
            <w:shd w:val="clear" w:color="auto" w:fill="auto"/>
          </w:tcPr>
          <w:p w14:paraId="16FA73DB" w14:textId="77777777" w:rsidR="002749FA" w:rsidRPr="00DD2C62" w:rsidRDefault="002749FA" w:rsidP="00FD7C42">
            <w:pPr>
              <w:spacing w:before="40" w:after="120"/>
              <w:ind w:right="113"/>
            </w:pPr>
            <w:r w:rsidRPr="00DD2C62">
              <w:t>68</w:t>
            </w:r>
            <w:r w:rsidR="00AB7317">
              <w:t>-</w:t>
            </w:r>
            <w:r w:rsidRPr="00DD2C62">
              <w:t>71</w:t>
            </w:r>
          </w:p>
        </w:tc>
        <w:tc>
          <w:tcPr>
            <w:tcW w:w="1064" w:type="dxa"/>
            <w:shd w:val="clear" w:color="auto" w:fill="auto"/>
          </w:tcPr>
          <w:p w14:paraId="213B478A" w14:textId="77777777" w:rsidR="002749FA" w:rsidRPr="00DD2C62" w:rsidRDefault="002749FA" w:rsidP="00FD7C42">
            <w:pPr>
              <w:spacing w:before="40" w:after="120"/>
              <w:ind w:right="113"/>
            </w:pPr>
            <w:r w:rsidRPr="00DD2C62">
              <w:t>29</w:t>
            </w:r>
            <w:r w:rsidR="00AB7317">
              <w:t>-</w:t>
            </w:r>
            <w:r w:rsidRPr="00DD2C62">
              <w:t>37</w:t>
            </w:r>
          </w:p>
        </w:tc>
        <w:tc>
          <w:tcPr>
            <w:tcW w:w="880" w:type="dxa"/>
            <w:shd w:val="clear" w:color="auto" w:fill="auto"/>
          </w:tcPr>
          <w:p w14:paraId="7A344EB3" w14:textId="77777777" w:rsidR="002749FA" w:rsidRPr="00DD2C62" w:rsidRDefault="002749FA" w:rsidP="00FD7C42">
            <w:pPr>
              <w:spacing w:before="40" w:after="120"/>
              <w:ind w:right="113"/>
            </w:pPr>
            <w:r w:rsidRPr="00DD2C62">
              <w:t>IS/1g</w:t>
            </w:r>
          </w:p>
        </w:tc>
        <w:tc>
          <w:tcPr>
            <w:tcW w:w="849" w:type="dxa"/>
            <w:shd w:val="clear" w:color="auto" w:fill="auto"/>
          </w:tcPr>
          <w:p w14:paraId="43BC1380" w14:textId="77777777" w:rsidR="002749FA" w:rsidRPr="00DD2C62" w:rsidRDefault="002749FA" w:rsidP="00FD7C42">
            <w:pPr>
              <w:spacing w:before="40" w:after="120"/>
            </w:pPr>
            <w:r w:rsidRPr="00DD2C62">
              <w:t>VIII/4e</w:t>
            </w:r>
          </w:p>
        </w:tc>
      </w:tr>
      <w:tr w:rsidR="002749FA" w:rsidRPr="00DD2C62" w14:paraId="16A0A5BB" w14:textId="77777777" w:rsidTr="00FD7C42">
        <w:trPr>
          <w:cantSplit/>
        </w:trPr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</w:tcPr>
          <w:p w14:paraId="6D4566C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lastRenderedPageBreak/>
              <w:t>EIA/IC/CI/5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14:paraId="1A84B0D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Royaume-Uni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shd w:val="clear" w:color="auto" w:fill="auto"/>
          </w:tcPr>
          <w:p w14:paraId="6F810C2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notifié</w:t>
            </w:r>
            <w:r w:rsidR="0049107A" w:rsidRPr="00DD2C62">
              <w:t xml:space="preserve"> </w:t>
            </w:r>
            <w:r w:rsidRPr="00DD2C62">
              <w:t>les</w:t>
            </w:r>
            <w:r w:rsidR="0049107A" w:rsidRPr="00DD2C62">
              <w:t xml:space="preserve"> </w:t>
            </w:r>
            <w:r w:rsidRPr="00DD2C62">
              <w:t>Parties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Hinkley</w:t>
            </w:r>
            <w:r w:rsidR="0049107A" w:rsidRPr="00DD2C62">
              <w:t xml:space="preserve"> </w:t>
            </w:r>
            <w:r w:rsidRPr="00DD2C62">
              <w:t>Point</w:t>
            </w:r>
            <w:r w:rsidR="0049107A" w:rsidRPr="00DD2C62">
              <w:t xml:space="preserve"> </w:t>
            </w:r>
            <w:r w:rsidRPr="00DD2C62">
              <w:t>C.</w:t>
            </w:r>
            <w:r w:rsidR="0049107A" w:rsidRPr="00DD2C62">
              <w:t xml:space="preserve"> 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14:paraId="44BB60F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-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</w:tcPr>
          <w:p w14:paraId="6384FF2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69</w:t>
            </w:r>
            <w:r w:rsidR="00AB7317">
              <w:t>-</w:t>
            </w:r>
            <w:r w:rsidRPr="00DD2C62">
              <w:t>72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14:paraId="003DB0A6" w14:textId="77777777" w:rsidR="002749FA" w:rsidRPr="00DD2C62" w:rsidRDefault="002749FA" w:rsidP="00AB7317">
            <w:pPr>
              <w:spacing w:before="40" w:after="120"/>
              <w:ind w:right="113"/>
            </w:pPr>
            <w:r w:rsidRPr="00DD2C62">
              <w:t>IS/1h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14:paraId="59AE813B" w14:textId="77777777" w:rsidR="002749FA" w:rsidRPr="00DD2C62" w:rsidRDefault="002749FA" w:rsidP="00FD7C42">
            <w:pPr>
              <w:spacing w:before="40" w:after="120"/>
            </w:pPr>
            <w:r w:rsidRPr="00DD2C62">
              <w:t>-</w:t>
            </w:r>
          </w:p>
        </w:tc>
      </w:tr>
    </w:tbl>
    <w:p w14:paraId="2C02AB03" w14:textId="77777777" w:rsidR="002749FA" w:rsidRPr="00DD2C62" w:rsidRDefault="002749FA" w:rsidP="0049107A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</w:rPr>
      </w:pPr>
      <w:r w:rsidRPr="00DD2C62">
        <w:rPr>
          <w:sz w:val="18"/>
          <w:szCs w:val="18"/>
          <w:vertAlign w:val="superscript"/>
        </w:rPr>
        <w:t>a</w:t>
      </w:r>
      <w:r w:rsidR="0049107A" w:rsidRPr="00DD2C62">
        <w:rPr>
          <w:sz w:val="18"/>
          <w:szCs w:val="18"/>
        </w:rPr>
        <w:t xml:space="preserve"> </w:t>
      </w:r>
      <w:r w:rsidR="00AB7317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Les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cotes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documents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EIA/IC/CI/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suivies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par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un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numéro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correspondent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aux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initiatives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du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Comité.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Pour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plus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de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renseignements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sur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les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communications,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voir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rStyle w:val="Hyperlink"/>
          <w:sz w:val="18"/>
          <w:szCs w:val="18"/>
        </w:rPr>
        <w:t>www.unece.org/environmental-policy/conventions/environmental-assessment/areas-of-work/review-of-compliance/committee-initiative.html</w:t>
      </w:r>
      <w:r w:rsidRPr="00DD2C62">
        <w:rPr>
          <w:sz w:val="18"/>
          <w:szCs w:val="18"/>
        </w:rPr>
        <w:t>.</w:t>
      </w:r>
    </w:p>
    <w:p w14:paraId="7D674EC7" w14:textId="4C3FEF95" w:rsidR="002749FA" w:rsidRPr="00DD2C62" w:rsidRDefault="002749FA" w:rsidP="0049107A">
      <w:pPr>
        <w:pStyle w:val="SingleTxtG"/>
        <w:spacing w:after="240" w:line="220" w:lineRule="atLeast"/>
        <w:ind w:right="0" w:firstLine="170"/>
        <w:jc w:val="left"/>
        <w:rPr>
          <w:sz w:val="18"/>
          <w:szCs w:val="18"/>
        </w:rPr>
      </w:pPr>
      <w:r w:rsidRPr="00DD2C62">
        <w:rPr>
          <w:sz w:val="18"/>
          <w:szCs w:val="18"/>
          <w:vertAlign w:val="superscript"/>
        </w:rPr>
        <w:t>b</w:t>
      </w:r>
      <w:r w:rsidR="0049107A" w:rsidRPr="00DD2C62">
        <w:rPr>
          <w:sz w:val="18"/>
          <w:szCs w:val="18"/>
        </w:rPr>
        <w:t xml:space="preserve"> </w:t>
      </w:r>
      <w:r w:rsidR="00AB7317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Les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cotes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documents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EIA/IC/S/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suivies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par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un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numéro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correspondent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aux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communications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présentées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au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Comité.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Pour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plus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de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renseignements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sur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les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communications,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voir</w:t>
      </w:r>
      <w:r w:rsidR="0049107A" w:rsidRPr="00DD2C62">
        <w:rPr>
          <w:sz w:val="18"/>
          <w:szCs w:val="18"/>
        </w:rPr>
        <w:t xml:space="preserve"> </w:t>
      </w:r>
      <w:hyperlink r:id="rId9" w:history="1">
        <w:r w:rsidRPr="00DD2C62">
          <w:rPr>
            <w:rStyle w:val="Hyperlink"/>
            <w:sz w:val="18"/>
            <w:szCs w:val="18"/>
          </w:rPr>
          <w:t>www.unece.org/env/eia/implementation/</w:t>
        </w:r>
        <w:r w:rsidR="00FD7C42">
          <w:rPr>
            <w:rStyle w:val="Hyperlink"/>
            <w:sz w:val="18"/>
            <w:szCs w:val="18"/>
          </w:rPr>
          <w:t xml:space="preserve"> </w:t>
        </w:r>
        <w:r w:rsidRPr="00DD2C62">
          <w:rPr>
            <w:rStyle w:val="Hyperlink"/>
            <w:sz w:val="18"/>
            <w:szCs w:val="18"/>
          </w:rPr>
          <w:t>implementation_committee_matters.html</w:t>
        </w:r>
      </w:hyperlink>
      <w:r w:rsidRPr="00DD2C62">
        <w:rPr>
          <w:sz w:val="18"/>
          <w:szCs w:val="18"/>
        </w:rPr>
        <w:t>.</w:t>
      </w:r>
    </w:p>
    <w:p w14:paraId="7F462D70" w14:textId="77777777" w:rsidR="002749FA" w:rsidRPr="00DD2C62" w:rsidRDefault="002749FA" w:rsidP="0049107A">
      <w:pPr>
        <w:pStyle w:val="SingleTxtG"/>
      </w:pPr>
      <w:r w:rsidRPr="00DD2C62">
        <w:t>12.</w:t>
      </w:r>
      <w:r w:rsidRPr="00DD2C62">
        <w:tab/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quarante-septième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</w:t>
      </w:r>
      <w:r w:rsidR="0049107A" w:rsidRPr="00DD2C62">
        <w:t xml:space="preserve"> </w:t>
      </w:r>
      <w:r w:rsidRPr="00DD2C62">
        <w:t>(en</w:t>
      </w:r>
      <w:r w:rsidR="0049107A" w:rsidRPr="00DD2C62">
        <w:t xml:space="preserve"> </w:t>
      </w:r>
      <w:r w:rsidRPr="00DD2C62">
        <w:t>ligne),</w:t>
      </w:r>
      <w:r w:rsidR="0049107A" w:rsidRPr="00DD2C62">
        <w:t xml:space="preserve"> </w:t>
      </w:r>
      <w:r w:rsidRPr="00DD2C62">
        <w:t>16</w:t>
      </w:r>
      <w:r w:rsidR="00AB7317">
        <w:t>-</w:t>
      </w:r>
      <w:r w:rsidRPr="00DD2C62">
        <w:t>19</w:t>
      </w:r>
      <w:r w:rsidR="00AB7317">
        <w:t> </w:t>
      </w:r>
      <w:r w:rsidRPr="00DD2C62">
        <w:t>mars</w:t>
      </w:r>
      <w:r w:rsidR="0049107A" w:rsidRPr="00DD2C62">
        <w:t xml:space="preserve"> </w:t>
      </w:r>
      <w:r w:rsidRPr="00DD2C62">
        <w:t>2020),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suivi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IS/1a,</w:t>
      </w:r>
      <w:r w:rsidR="0049107A" w:rsidRPr="00DD2C62">
        <w:t xml:space="preserve"> </w:t>
      </w:r>
      <w:r w:rsidRPr="00DD2C62">
        <w:t>c,</w:t>
      </w:r>
      <w:r w:rsidR="0049107A" w:rsidRPr="00DD2C62">
        <w:t xml:space="preserve"> </w:t>
      </w:r>
      <w:r w:rsidRPr="00DD2C62">
        <w:t>d,</w:t>
      </w:r>
      <w:r w:rsidR="0049107A" w:rsidRPr="00DD2C62">
        <w:t xml:space="preserve"> </w:t>
      </w:r>
      <w:r w:rsidRPr="00DD2C62">
        <w:t>f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g,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élaboré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initiaux</w:t>
      </w:r>
      <w:r w:rsidR="0049107A" w:rsidRPr="00DD2C62">
        <w:t xml:space="preserve"> </w:t>
      </w:r>
      <w:r w:rsidRPr="00DD2C62">
        <w:t>VIII/4a</w:t>
      </w:r>
      <w:r w:rsidR="00AB7317">
        <w:t>-</w:t>
      </w:r>
      <w:r w:rsidRPr="00DD2C62">
        <w:t>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l’Arménie,</w:t>
      </w:r>
      <w:r w:rsidR="0049107A" w:rsidRPr="00DD2C62">
        <w:t xml:space="preserve"> </w:t>
      </w:r>
      <w:r w:rsidRPr="00DD2C62">
        <w:t>l’Azerbaïdjan,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l’Ukraine.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finalisé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</w:t>
      </w:r>
      <w:r w:rsidR="00B31817">
        <w:noBreakHyphen/>
      </w:r>
      <w:r w:rsidRPr="00DD2C62">
        <w:t>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1</w:t>
      </w:r>
      <w:r w:rsidRPr="00DD2C62">
        <w:rPr>
          <w:vertAlign w:val="superscript"/>
        </w:rPr>
        <w:t>er</w:t>
      </w:r>
      <w:r w:rsidRPr="00DD2C62">
        <w:noBreakHyphen/>
        <w:t>4</w:t>
      </w:r>
      <w:r w:rsidR="00AB7317">
        <w:t> </w:t>
      </w:r>
      <w:r w:rsidRPr="00DD2C62">
        <w:t>septembre</w:t>
      </w:r>
      <w:r w:rsidR="0049107A" w:rsidRPr="00DD2C62">
        <w:t xml:space="preserve"> </w:t>
      </w:r>
      <w:r w:rsidRPr="00DD2C62">
        <w:t>2020),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observations</w:t>
      </w:r>
      <w:r w:rsidR="0049107A" w:rsidRPr="00DD2C62">
        <w:t xml:space="preserve"> </w:t>
      </w:r>
      <w:r w:rsidRPr="00DD2C62">
        <w:t>supplémentaires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VIII/4a</w:t>
      </w:r>
      <w:r w:rsidR="00B31817">
        <w:t xml:space="preserve"> à </w:t>
      </w:r>
      <w:r w:rsidRPr="00DD2C62">
        <w:t>e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mars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neuvième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24</w:t>
      </w:r>
      <w:r w:rsidR="00AB7317">
        <w:t>-</w:t>
      </w:r>
      <w:r w:rsidRPr="00DD2C62">
        <w:t>26</w:t>
      </w:r>
      <w:r w:rsidR="00AB7317">
        <w:t> </w:t>
      </w:r>
      <w:r w:rsidRPr="00DD2C62">
        <w:t>août</w:t>
      </w:r>
      <w:r w:rsidR="0049107A" w:rsidRPr="00DD2C62">
        <w:t xml:space="preserve"> </w:t>
      </w:r>
      <w:r w:rsidRPr="00DD2C62">
        <w:t>2020).</w:t>
      </w:r>
    </w:p>
    <w:p w14:paraId="424A1959" w14:textId="77777777" w:rsidR="002749FA" w:rsidRPr="00DD2C62" w:rsidRDefault="002749FA" w:rsidP="0049107A">
      <w:pPr>
        <w:pStyle w:val="H1G"/>
      </w:pPr>
      <w:r w:rsidRPr="00DD2C62">
        <w:tab/>
        <w:t>A.</w:t>
      </w:r>
      <w:r w:rsidRPr="00DD2C62">
        <w:tab/>
        <w:t>Arménie</w:t>
      </w:r>
    </w:p>
    <w:p w14:paraId="2FBB4852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EIA/IC/CI/1</w:t>
      </w:r>
    </w:p>
    <w:p w14:paraId="3ED2353A" w14:textId="77777777" w:rsidR="002749FA" w:rsidRPr="00DD2C62" w:rsidRDefault="002749FA" w:rsidP="0049107A">
      <w:pPr>
        <w:pStyle w:val="SingleTxtG"/>
      </w:pPr>
      <w:r w:rsidRPr="00DD2C62">
        <w:t>13.</w:t>
      </w:r>
      <w:r w:rsidRPr="00DD2C62">
        <w:tab/>
        <w:t>L’initiative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lancée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2007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réponses</w:t>
      </w:r>
      <w:r w:rsidR="0049107A" w:rsidRPr="00DD2C62">
        <w:t xml:space="preserve"> </w:t>
      </w:r>
      <w:r w:rsidRPr="00DD2C62">
        <w:t>nationales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questionnaire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premier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(jusqu’à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mi-2003)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d’assistance</w:t>
      </w:r>
      <w:r w:rsidR="0049107A" w:rsidRPr="00DD2C62">
        <w:t xml:space="preserve"> </w:t>
      </w:r>
      <w:r w:rsidRPr="00DD2C62">
        <w:t>technique</w:t>
      </w:r>
      <w:r w:rsidR="0049107A" w:rsidRPr="00DD2C62">
        <w:t xml:space="preserve"> </w:t>
      </w:r>
      <w:r w:rsidRPr="00DD2C62">
        <w:t>adressée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suivi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29</w:t>
      </w:r>
      <w:r w:rsidR="00B31817">
        <w:t xml:space="preserve"> à </w:t>
      </w:r>
      <w:r w:rsidRPr="00DD2C62">
        <w:t>35),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recommandé,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38</w:t>
      </w:r>
      <w:r w:rsidR="00B31817">
        <w:t xml:space="preserve"> à </w:t>
      </w:r>
      <w:r w:rsidRPr="00DD2C62">
        <w:t>44),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approuve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juin</w:t>
      </w:r>
      <w:r w:rsidR="0049107A" w:rsidRPr="00DD2C62">
        <w:t xml:space="preserve"> </w:t>
      </w:r>
      <w:r w:rsidRPr="00DD2C62">
        <w:t>2014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note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lacunes</w:t>
      </w:r>
      <w:r w:rsidR="0049107A" w:rsidRPr="00DD2C62">
        <w:t xml:space="preserve"> </w:t>
      </w:r>
      <w:r w:rsidRPr="00DD2C62">
        <w:t>auxquelles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doit</w:t>
      </w:r>
      <w:r w:rsidR="0049107A" w:rsidRPr="00DD2C62">
        <w:t xml:space="preserve"> </w:t>
      </w:r>
      <w:r w:rsidRPr="00DD2C62">
        <w:t>remédier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proposée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modifiant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lois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rédigeant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règlements</w:t>
      </w:r>
      <w:r w:rsidR="0049107A" w:rsidRPr="00DD2C62">
        <w:t xml:space="preserve"> </w:t>
      </w:r>
      <w:r w:rsidRPr="00DD2C62">
        <w:t>secondaires.</w:t>
      </w:r>
    </w:p>
    <w:p w14:paraId="2150B7D5" w14:textId="77777777" w:rsidR="002749FA" w:rsidRPr="00DD2C62" w:rsidRDefault="002749FA" w:rsidP="0049107A">
      <w:pPr>
        <w:pStyle w:val="SingleTxtG"/>
      </w:pPr>
      <w:r w:rsidRPr="00DD2C62">
        <w:t>14.</w:t>
      </w:r>
      <w:r w:rsidRPr="00DD2C62">
        <w:tab/>
        <w:t>Depuis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régulièrement</w:t>
      </w:r>
      <w:r w:rsidR="0049107A" w:rsidRPr="00DD2C62">
        <w:t xml:space="preserve"> </w:t>
      </w:r>
      <w:r w:rsidRPr="00DD2C62">
        <w:t>rendu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prises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cadre</w:t>
      </w:r>
      <w:r w:rsidR="0049107A" w:rsidRPr="00DD2C62">
        <w:t xml:space="preserve"> </w:t>
      </w:r>
      <w:r w:rsidRPr="00DD2C62">
        <w:t>législatif</w:t>
      </w:r>
      <w:r w:rsidR="0049107A" w:rsidRPr="00DD2C62">
        <w:t xml:space="preserve"> </w:t>
      </w:r>
      <w:r w:rsidRPr="00DD2C62">
        <w:t>national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pleine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rédigeant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amendements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2014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élaborant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règlements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l’environnement,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procédures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participation</w:t>
      </w:r>
      <w:r w:rsidR="0049107A" w:rsidRPr="00DD2C62">
        <w:t xml:space="preserve"> </w:t>
      </w:r>
      <w:r w:rsidRPr="00DD2C62">
        <w:t>publique.</w:t>
      </w:r>
      <w:r w:rsidR="0049107A" w:rsidRPr="00DD2C62">
        <w:t xml:space="preserve"> </w:t>
      </w:r>
      <w:r w:rsidRPr="00DD2C62">
        <w:t>Vu</w:t>
      </w:r>
      <w:r w:rsidR="0049107A" w:rsidRPr="00DD2C62">
        <w:t xml:space="preserve"> </w:t>
      </w:r>
      <w:r w:rsidRPr="00DD2C62">
        <w:t>l’état</w:t>
      </w:r>
      <w:r w:rsidR="0049107A" w:rsidRPr="00DD2C62">
        <w:t xml:space="preserve"> </w:t>
      </w:r>
      <w:r w:rsidRPr="00DD2C62">
        <w:t>d’avancement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amendements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secondaires,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pertinents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VII/2,</w:t>
      </w:r>
      <w:r w:rsidR="0049107A" w:rsidRPr="00DD2C62">
        <w:t xml:space="preserve"> </w:t>
      </w:r>
      <w:r w:rsidRPr="00DD2C62">
        <w:t>rebaptisé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IS/1a.</w:t>
      </w:r>
    </w:p>
    <w:p w14:paraId="30A91DFA" w14:textId="77777777" w:rsidR="002749FA" w:rsidRPr="00AB7317" w:rsidRDefault="002749FA" w:rsidP="0049107A">
      <w:pPr>
        <w:pStyle w:val="SingleTxtG"/>
        <w:rPr>
          <w:spacing w:val="-2"/>
        </w:rPr>
      </w:pPr>
      <w:r w:rsidRPr="00AB7317">
        <w:rPr>
          <w:spacing w:val="-2"/>
        </w:rPr>
        <w:t>15.</w:t>
      </w:r>
      <w:r w:rsidRPr="00AB7317">
        <w:rPr>
          <w:spacing w:val="-2"/>
        </w:rPr>
        <w:tab/>
        <w:t>Par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décision</w:t>
      </w:r>
      <w:r w:rsidR="0049107A" w:rsidRPr="00AB7317">
        <w:rPr>
          <w:spacing w:val="-2"/>
        </w:rPr>
        <w:t xml:space="preserve"> </w:t>
      </w:r>
      <w:bookmarkStart w:id="2" w:name="_Hlk46664701"/>
      <w:r w:rsidRPr="00AB7317">
        <w:rPr>
          <w:spacing w:val="-2"/>
        </w:rPr>
        <w:t>IS/1a,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Réunion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Parties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invité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l’Arménie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à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adopter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dès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que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possible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amendements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proposés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à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législation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législation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secondaire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à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informer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Comité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d’application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progrès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réalisés.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Sur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base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tous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renseignements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dont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il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était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saisi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concernant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suite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donnée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à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décision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IS/1a,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Comité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est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convenu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que,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malgré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mesures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prises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depuis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session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intermédiaire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Réunion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Parties,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l’Arménie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n’avait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pas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encore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adopté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amendements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à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législation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législation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secondaire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qu’elle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n’avait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donc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pas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pleinement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répondu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aux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demandes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qui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lui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avaient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été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adressées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au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titre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paragraphes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5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6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décision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IS/1a.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plus,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l’absence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traductions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officielles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anglais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amendements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adoptés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et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législation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secondaire,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Comité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avait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dû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reporter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l’évaluation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législation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modifiée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visée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au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paragraphe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7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de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la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décision</w:t>
      </w:r>
      <w:r w:rsidR="0049107A" w:rsidRPr="00AB7317">
        <w:rPr>
          <w:spacing w:val="-2"/>
        </w:rPr>
        <w:t xml:space="preserve"> </w:t>
      </w:r>
      <w:r w:rsidRPr="00AB7317">
        <w:rPr>
          <w:spacing w:val="-2"/>
        </w:rPr>
        <w:t>IS/1a.</w:t>
      </w:r>
    </w:p>
    <w:bookmarkEnd w:id="2"/>
    <w:p w14:paraId="62EFD11E" w14:textId="77777777" w:rsidR="002749FA" w:rsidRPr="00DD2C62" w:rsidRDefault="002749FA" w:rsidP="0049107A">
      <w:pPr>
        <w:pStyle w:val="H4G"/>
        <w:rPr>
          <w:iCs/>
        </w:rPr>
      </w:pPr>
      <w:r w:rsidRPr="00DD2C62">
        <w:lastRenderedPageBreak/>
        <w:tab/>
      </w:r>
      <w:r w:rsidRPr="00DD2C62">
        <w:tab/>
        <w:t>EIA/IC/S/3</w:t>
      </w:r>
    </w:p>
    <w:p w14:paraId="253648D0" w14:textId="77777777" w:rsidR="002749FA" w:rsidRPr="00DD2C62" w:rsidRDefault="002749FA" w:rsidP="0049107A">
      <w:pPr>
        <w:pStyle w:val="SingleTxtG"/>
      </w:pPr>
      <w:r w:rsidRPr="00DD2C62">
        <w:t>16.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également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45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47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l’Arménie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Metsamor.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confirmé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adoptée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trente-deuxième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9</w:t>
      </w:r>
      <w:r w:rsidR="00AB7317">
        <w:t>-</w:t>
      </w:r>
      <w:r w:rsidRPr="00DD2C62">
        <w:t>11</w:t>
      </w:r>
      <w:r w:rsidR="00AB7317">
        <w:t> </w:t>
      </w:r>
      <w:r w:rsidRPr="00DD2C62">
        <w:t>décembre</w:t>
      </w:r>
      <w:r w:rsidR="0049107A" w:rsidRPr="00DD2C62">
        <w:t xml:space="preserve"> </w:t>
      </w:r>
      <w:r w:rsidRPr="00DD2C62">
        <w:t>2014)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savoir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raison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bookmarkStart w:id="3" w:name="_Hlk47948313"/>
      <w:r w:rsidRPr="00DD2C62">
        <w:t>décision</w:t>
      </w:r>
      <w:r w:rsidR="0049107A" w:rsidRPr="00DD2C62">
        <w:t xml:space="preserve"> </w:t>
      </w:r>
      <w:r w:rsidRPr="00DD2C62">
        <w:t>VI/2</w:t>
      </w:r>
      <w:bookmarkEnd w:id="3"/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l’activité,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modifier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paragraphes,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part</w:t>
      </w:r>
      <w:r w:rsidR="0049107A" w:rsidRPr="00DD2C62">
        <w:t xml:space="preserve"> </w:t>
      </w:r>
      <w:r w:rsidRPr="00DD2C62">
        <w:t>quelques</w:t>
      </w:r>
      <w:r w:rsidR="0049107A" w:rsidRPr="00DD2C62">
        <w:t xml:space="preserve"> </w:t>
      </w:r>
      <w:r w:rsidRPr="00DD2C62">
        <w:t>améliorations</w:t>
      </w:r>
      <w:r w:rsidR="0049107A" w:rsidRPr="00DD2C62">
        <w:t xml:space="preserve"> </w:t>
      </w:r>
      <w:r w:rsidRPr="00DD2C62">
        <w:t>rédactionnelles</w:t>
      </w:r>
      <w:r w:rsidR="0049107A" w:rsidRPr="00DD2C62">
        <w:t xml:space="preserve"> </w:t>
      </w:r>
      <w:r w:rsidRPr="00DD2C62">
        <w:t>mineures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fait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rebaptiser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texte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IS/1b.</w:t>
      </w:r>
    </w:p>
    <w:p w14:paraId="2E941008" w14:textId="77777777" w:rsidR="002749FA" w:rsidRPr="00DD2C62" w:rsidRDefault="002749FA" w:rsidP="0049107A">
      <w:pPr>
        <w:pStyle w:val="H1G"/>
      </w:pPr>
      <w:r w:rsidRPr="00DD2C62">
        <w:tab/>
        <w:t>B.</w:t>
      </w:r>
      <w:r w:rsidRPr="00DD2C62">
        <w:tab/>
        <w:t>Azerbaïdjan</w:t>
      </w:r>
    </w:p>
    <w:p w14:paraId="0137CCCA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EIA/IC/CI/2</w:t>
      </w:r>
    </w:p>
    <w:p w14:paraId="54B8189B" w14:textId="77777777" w:rsidR="002749FA" w:rsidRPr="00DD2C62" w:rsidRDefault="002749FA" w:rsidP="0049107A">
      <w:pPr>
        <w:pStyle w:val="SingleTxtG"/>
      </w:pPr>
      <w:r w:rsidRPr="00DD2C62">
        <w:t>17.</w:t>
      </w:r>
      <w:r w:rsidRPr="00DD2C62">
        <w:tab/>
        <w:t>L’initiative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prise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réponses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rPr>
          <w:rFonts w:eastAsia="Calibri"/>
        </w:rPr>
        <w:t>questionnaire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2009</w:t>
      </w:r>
      <w:r w:rsidR="00AB7317">
        <w:t>-</w:t>
      </w:r>
      <w:r w:rsidRPr="00DD2C62">
        <w:t>2011,</w:t>
      </w:r>
      <w:r w:rsidR="0049107A" w:rsidRPr="00DD2C62">
        <w:t xml:space="preserve"> </w:t>
      </w:r>
      <w:r w:rsidRPr="00DD2C62">
        <w:t>indiquant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n’y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nationale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d’assistance</w:t>
      </w:r>
      <w:r w:rsidR="0049107A" w:rsidRPr="00DD2C62">
        <w:t xml:space="preserve"> </w:t>
      </w:r>
      <w:r w:rsidRPr="00DD2C62">
        <w:t>technique</w:t>
      </w:r>
      <w:r w:rsidR="0049107A" w:rsidRPr="00DD2C62">
        <w:t xml:space="preserve"> </w:t>
      </w:r>
      <w:r w:rsidRPr="00DD2C62">
        <w:t>présentée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</w:t>
      </w:r>
      <w:r w:rsidR="0049107A" w:rsidRPr="00DD2C62">
        <w:t xml:space="preserve"> </w:t>
      </w:r>
      <w:r w:rsidRPr="00DD2C62">
        <w:t>égard.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2014,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41</w:t>
      </w:r>
      <w:r w:rsidR="00B31817">
        <w:t xml:space="preserve"> et </w:t>
      </w:r>
      <w:r w:rsidRPr="00DD2C62">
        <w:t>42),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d’adopter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loi-cadre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environnementale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règlements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connexes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pleine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p w14:paraId="3594C721" w14:textId="77777777" w:rsidR="002749FA" w:rsidRPr="00DD2C62" w:rsidRDefault="002749FA" w:rsidP="0049107A">
      <w:pPr>
        <w:pStyle w:val="SingleTxtG"/>
        <w:rPr>
          <w:rFonts w:eastAsia="Calibri"/>
        </w:rPr>
      </w:pPr>
      <w:r w:rsidRPr="00DD2C62">
        <w:t>18.</w:t>
      </w:r>
      <w:r w:rsidRPr="00DD2C62">
        <w:tab/>
        <w:t>Malgré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efforts</w:t>
      </w:r>
      <w:r w:rsidR="0049107A" w:rsidRPr="00DD2C62">
        <w:t xml:space="preserve"> </w:t>
      </w:r>
      <w:r w:rsidRPr="00DD2C62">
        <w:t>déployés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rPr>
          <w:rFonts w:eastAsia="Calibri"/>
        </w:rPr>
        <w:t>l’Azerbaïdjan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durant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la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période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intersessions</w:t>
      </w:r>
      <w:r w:rsidR="0049107A" w:rsidRPr="00DD2C62">
        <w:rPr>
          <w:rFonts w:eastAsia="Calibri"/>
        </w:rPr>
        <w:t xml:space="preserve"> </w:t>
      </w:r>
      <w:r w:rsidRPr="00DD2C62">
        <w:t>2014</w:t>
      </w:r>
      <w:r w:rsidRPr="00DD2C62">
        <w:noBreakHyphen/>
        <w:t>2017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élaborer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celle-ci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encore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vigueur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rPr>
          <w:rFonts w:eastAsia="Calibri"/>
        </w:rPr>
        <w:t>session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la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Réunion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des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Parties.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Dans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projet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décision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VII/2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(</w:t>
      </w:r>
      <w:r w:rsidR="00DD2C62">
        <w:rPr>
          <w:rFonts w:eastAsia="Calibri"/>
        </w:rPr>
        <w:t>par. </w:t>
      </w:r>
      <w:r w:rsidRPr="00DD2C62">
        <w:rPr>
          <w:rFonts w:eastAsia="Calibri"/>
        </w:rPr>
        <w:t>51),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Comité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a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recommandé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que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la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Réunion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des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Parties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prie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l’Azerbaïdjan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d’adopter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projet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législation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dès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que</w:t>
      </w:r>
      <w:r w:rsidR="0049107A" w:rsidRPr="00DD2C62">
        <w:rPr>
          <w:rFonts w:eastAsia="Calibri"/>
        </w:rPr>
        <w:t xml:space="preserve"> </w:t>
      </w:r>
      <w:r w:rsidRPr="00DD2C62">
        <w:rPr>
          <w:rFonts w:eastAsia="Calibri"/>
        </w:rPr>
        <w:t>possible.</w:t>
      </w:r>
    </w:p>
    <w:p w14:paraId="27A8139B" w14:textId="77777777" w:rsidR="002749FA" w:rsidRPr="00DD2C62" w:rsidRDefault="002749FA" w:rsidP="0049107A">
      <w:pPr>
        <w:pStyle w:val="SingleTxtG"/>
      </w:pPr>
      <w:r w:rsidRPr="00DD2C62">
        <w:rPr>
          <w:rFonts w:eastAsia="Calibri"/>
        </w:rPr>
        <w:t>19.</w:t>
      </w:r>
      <w:r w:rsidRPr="00DD2C62">
        <w:rPr>
          <w:rFonts w:eastAsia="Calibri"/>
        </w:rPr>
        <w:tab/>
      </w:r>
      <w:r w:rsidRPr="00DD2C62">
        <w:t>L’Azerbaïdjan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invitée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audition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5</w:t>
      </w:r>
      <w:r w:rsidR="00AB7317">
        <w:t>-</w:t>
      </w:r>
      <w:r w:rsidRPr="00DD2C62">
        <w:t>7</w:t>
      </w:r>
      <w:r w:rsidR="00AB7317">
        <w:t> </w:t>
      </w:r>
      <w:r w:rsidRPr="00DD2C62">
        <w:t>décembre</w:t>
      </w:r>
      <w:r w:rsidR="0049107A" w:rsidRPr="00DD2C62">
        <w:t xml:space="preserve"> </w:t>
      </w:r>
      <w:r w:rsidRPr="00DD2C62">
        <w:t>2017),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clarifier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difficultés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empêché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d’adopter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règlements,</w:t>
      </w:r>
      <w:r w:rsidR="0049107A" w:rsidRPr="00DD2C62">
        <w:t xml:space="preserve"> </w:t>
      </w:r>
      <w:r w:rsidRPr="00DD2C62">
        <w:t>malgré</w:t>
      </w:r>
      <w:r w:rsidR="0049107A" w:rsidRPr="00DD2C62">
        <w:t xml:space="preserve"> </w:t>
      </w:r>
      <w:r w:rsidRPr="00DD2C62">
        <w:t>l’assistance</w:t>
      </w:r>
      <w:r w:rsidR="0049107A" w:rsidRPr="00DD2C62">
        <w:t xml:space="preserve"> </w:t>
      </w:r>
      <w:r w:rsidRPr="00DD2C62">
        <w:t>technique</w:t>
      </w:r>
      <w:r w:rsidR="0049107A" w:rsidRPr="00DD2C62">
        <w:t xml:space="preserve"> </w:t>
      </w:r>
      <w:r w:rsidRPr="00DD2C62">
        <w:t>importante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accordait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2012.</w:t>
      </w:r>
      <w:r w:rsidR="0049107A" w:rsidRPr="00DD2C62">
        <w:t xml:space="preserve"> </w:t>
      </w:r>
      <w:r w:rsidRPr="00DD2C62">
        <w:t>Cependant,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n’a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pu</w:t>
      </w:r>
      <w:r w:rsidR="0049107A" w:rsidRPr="00DD2C62">
        <w:t xml:space="preserve"> </w:t>
      </w:r>
      <w:r w:rsidRPr="00DD2C62">
        <w:t>assister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l’audition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soit</w:t>
      </w:r>
      <w:r w:rsidR="0049107A" w:rsidRPr="00DD2C62">
        <w:t xml:space="preserve"> </w:t>
      </w:r>
      <w:r w:rsidRPr="00DD2C62">
        <w:t>reportée.</w:t>
      </w:r>
    </w:p>
    <w:p w14:paraId="7604FA3F" w14:textId="77777777" w:rsidR="002749FA" w:rsidRPr="00DD2C62" w:rsidRDefault="002749FA" w:rsidP="0049107A">
      <w:pPr>
        <w:pStyle w:val="SingleTxtG"/>
      </w:pPr>
      <w:r w:rsidRPr="00DD2C62">
        <w:t>20.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48</w:t>
      </w:r>
      <w:r w:rsidR="00B31817">
        <w:t xml:space="preserve"> à </w:t>
      </w:r>
      <w:r w:rsidRPr="00DD2C62">
        <w:t>53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VII/2,</w:t>
      </w:r>
      <w:r w:rsidR="0049107A" w:rsidRPr="00DD2C62">
        <w:t xml:space="preserve"> </w:t>
      </w:r>
      <w:r w:rsidRPr="00DD2C62">
        <w:t>rebaptisé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IS/1c,</w:t>
      </w:r>
      <w:r w:rsidR="0049107A" w:rsidRPr="00DD2C62">
        <w:t xml:space="preserve"> </w:t>
      </w:r>
      <w:r w:rsidRPr="00DD2C62">
        <w:t>reconnaissant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entrée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vigueur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juillet</w:t>
      </w:r>
      <w:r w:rsidR="0049107A" w:rsidRPr="00DD2C62">
        <w:t xml:space="preserve"> </w:t>
      </w:r>
      <w:r w:rsidRPr="00DD2C62">
        <w:t>2018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que,</w:t>
      </w:r>
      <w:r w:rsidR="0049107A" w:rsidRPr="00DD2C62">
        <w:t xml:space="preserve"> </w:t>
      </w:r>
      <w:r w:rsidRPr="00DD2C62">
        <w:t>même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fournissait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cadre</w:t>
      </w:r>
      <w:r w:rsidR="0049107A" w:rsidRPr="00DD2C62">
        <w:t xml:space="preserve"> </w:t>
      </w:r>
      <w:r w:rsidRPr="00DD2C62">
        <w:t>législatif</w:t>
      </w:r>
      <w:r w:rsidR="0049107A" w:rsidRPr="00DD2C62">
        <w:t xml:space="preserve"> </w:t>
      </w:r>
      <w:r w:rsidRPr="00DD2C62">
        <w:t>général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pays,</w:t>
      </w:r>
      <w:r w:rsidR="0049107A" w:rsidRPr="00DD2C62">
        <w:t xml:space="preserve"> </w:t>
      </w:r>
      <w:r w:rsidRPr="00DD2C62">
        <w:t>elle</w:t>
      </w:r>
      <w:r w:rsidR="0049107A" w:rsidRPr="00DD2C62">
        <w:t xml:space="preserve"> </w:t>
      </w:r>
      <w:r w:rsidRPr="00DD2C62">
        <w:t>comportait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discordances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lacunes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Protocole.</w:t>
      </w:r>
      <w:r w:rsidR="0049107A" w:rsidRPr="00DD2C62">
        <w:t xml:space="preserve"> </w:t>
      </w:r>
      <w:r w:rsidRPr="00DD2C62">
        <w:t>Étant</w:t>
      </w:r>
      <w:r w:rsidR="0049107A" w:rsidRPr="00DD2C62">
        <w:t xml:space="preserve"> </w:t>
      </w:r>
      <w:r w:rsidRPr="00DD2C62">
        <w:t>donné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adoptée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qu’une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d’élaboration,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tenir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audition.</w:t>
      </w:r>
    </w:p>
    <w:p w14:paraId="38013407" w14:textId="77777777" w:rsidR="002749FA" w:rsidRPr="00AB7317" w:rsidRDefault="002749FA" w:rsidP="0049107A">
      <w:pPr>
        <w:pStyle w:val="SingleTxtG"/>
        <w:rPr>
          <w:spacing w:val="-1"/>
        </w:rPr>
      </w:pPr>
      <w:r w:rsidRPr="00AB7317">
        <w:rPr>
          <w:spacing w:val="-1"/>
        </w:rPr>
        <w:t>21.</w:t>
      </w:r>
      <w:r w:rsidRPr="00AB7317">
        <w:rPr>
          <w:spacing w:val="-1"/>
        </w:rPr>
        <w:tab/>
      </w:r>
      <w:bookmarkStart w:id="4" w:name="_Hlk46664945"/>
      <w:r w:rsidRPr="00AB7317">
        <w:rPr>
          <w:spacing w:val="-1"/>
        </w:rPr>
        <w:t>Par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décision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IS/1c,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Réunion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des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Parties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prié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l’Azerbaïdjan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faire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en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sorte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que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sa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législation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sur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l’évaluation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l’impact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sur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l’environnement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soit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pleinement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conforme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à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Convention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et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demandé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au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Comité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d’évaluer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conformité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Loi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relative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à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l’évaluation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l’impact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sur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l’environnement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de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l’Azerbaïdjan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avec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la</w:t>
      </w:r>
      <w:r w:rsidR="0049107A" w:rsidRPr="00AB7317">
        <w:rPr>
          <w:spacing w:val="-1"/>
        </w:rPr>
        <w:t xml:space="preserve"> </w:t>
      </w:r>
      <w:r w:rsidRPr="00AB7317">
        <w:rPr>
          <w:spacing w:val="-1"/>
        </w:rPr>
        <w:t>Convention</w:t>
      </w:r>
      <w:bookmarkEnd w:id="4"/>
      <w:r w:rsidRPr="00AB7317">
        <w:rPr>
          <w:spacing w:val="-1"/>
        </w:rPr>
        <w:t>.</w:t>
      </w:r>
    </w:p>
    <w:p w14:paraId="2135D52D" w14:textId="77777777" w:rsidR="002749FA" w:rsidRPr="00DD2C62" w:rsidRDefault="002749FA" w:rsidP="0049107A">
      <w:pPr>
        <w:pStyle w:val="SingleTxtG"/>
      </w:pPr>
      <w:r w:rsidRPr="00DD2C62">
        <w:t>22.</w:t>
      </w:r>
      <w:r w:rsidRPr="00DD2C62">
        <w:tab/>
      </w:r>
      <w:bookmarkStart w:id="5" w:name="_Hlk46665076"/>
      <w:r w:rsidRPr="00DD2C62">
        <w:t>En</w:t>
      </w:r>
      <w:r w:rsidR="0049107A" w:rsidRPr="00DD2C62">
        <w:t xml:space="preserve"> </w:t>
      </w:r>
      <w:r w:rsidRPr="00DD2C62">
        <w:t>2019,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signalé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entendait</w:t>
      </w:r>
      <w:r w:rsidR="0049107A" w:rsidRPr="00DD2C62">
        <w:t xml:space="preserve"> </w:t>
      </w:r>
      <w:r w:rsidRPr="00DD2C62">
        <w:t>remédier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discordances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lacunes</w:t>
      </w:r>
      <w:r w:rsidR="0049107A" w:rsidRPr="00DD2C62">
        <w:t xml:space="preserve"> </w:t>
      </w:r>
      <w:r w:rsidRPr="00DD2C62">
        <w:t>existantes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biais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secondaire.</w:t>
      </w:r>
      <w:r w:rsidR="0049107A" w:rsidRPr="00DD2C62">
        <w:t xml:space="preserve"> </w:t>
      </w:r>
      <w:r w:rsidRPr="00DD2C62">
        <w:t>D’après</w:t>
      </w:r>
      <w:r w:rsidR="0049107A" w:rsidRPr="00DD2C62">
        <w:t xml:space="preserve"> </w:t>
      </w:r>
      <w:r w:rsidRPr="00DD2C62">
        <w:t>l’Azerbaïdjan,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août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elle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corrigé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plupart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lacunes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révisés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concerne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définition</w:t>
      </w:r>
      <w:r w:rsidR="0049107A" w:rsidRPr="00DD2C62">
        <w:t xml:space="preserve"> </w:t>
      </w:r>
      <w:r w:rsidRPr="00DD2C62">
        <w:t>visée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</w:t>
      </w:r>
      <w:r w:rsidR="00AB7317">
        <w:t> </w:t>
      </w:r>
      <w:r w:rsidRPr="00DD2C62">
        <w:t>v)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l’obligation</w:t>
      </w:r>
      <w:r w:rsidR="0049107A" w:rsidRPr="00DD2C62">
        <w:t xml:space="preserve"> </w:t>
      </w:r>
      <w:r w:rsidRPr="00DD2C62">
        <w:t>d’assurer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participation</w:t>
      </w:r>
      <w:r w:rsidR="0049107A" w:rsidRPr="00DD2C62">
        <w:t xml:space="preserve"> </w:t>
      </w:r>
      <w:r w:rsidRPr="00DD2C62">
        <w:t>adéquate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public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articles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6),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8)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Elle</w:t>
      </w:r>
      <w:r w:rsidR="0049107A" w:rsidRPr="00DD2C62">
        <w:t xml:space="preserve"> </w:t>
      </w:r>
      <w:r w:rsidRPr="00DD2C62">
        <w:t>entendait</w:t>
      </w:r>
      <w:r w:rsidR="0049107A" w:rsidRPr="00DD2C62">
        <w:t xml:space="preserve"> </w:t>
      </w:r>
      <w:r w:rsidRPr="00DD2C62">
        <w:t>adopter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Parties.</w:t>
      </w:r>
    </w:p>
    <w:p w14:paraId="293FD0A7" w14:textId="77777777" w:rsidR="002749FA" w:rsidRPr="00DD2C62" w:rsidRDefault="002749FA" w:rsidP="0049107A">
      <w:pPr>
        <w:pStyle w:val="SingleTxtG"/>
      </w:pPr>
      <w:r w:rsidRPr="00DD2C62">
        <w:t>23.</w:t>
      </w:r>
      <w:r w:rsidRPr="00DD2C62">
        <w:tab/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VIII/4b,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recommandé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approuve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conclusion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laquelle,</w:t>
      </w:r>
      <w:r w:rsidR="0049107A" w:rsidRPr="00DD2C62">
        <w:t xml:space="preserve"> </w:t>
      </w:r>
      <w:r w:rsidRPr="00DD2C62">
        <w:t>tant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</w:t>
      </w:r>
      <w:r w:rsidR="0049107A" w:rsidRPr="00DD2C62">
        <w:t xml:space="preserve"> </w:t>
      </w:r>
      <w:r w:rsidRPr="00DD2C62">
        <w:t>n’aurait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adoptée,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satisfaisait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demandes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adressées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IS/1c.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conséquent,</w:t>
      </w:r>
      <w:r w:rsidR="0049107A" w:rsidRPr="00DD2C62">
        <w:t xml:space="preserve"> </w:t>
      </w:r>
      <w:r w:rsidRPr="00DD2C62">
        <w:t>l’Azerbaïdjan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s’était</w:t>
      </w:r>
      <w:r w:rsidR="0049107A" w:rsidRPr="00DD2C62">
        <w:t xml:space="preserve"> </w:t>
      </w:r>
      <w:r w:rsidRPr="00DD2C62">
        <w:t>toujours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conformée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bookmarkEnd w:id="5"/>
    <w:p w14:paraId="10345E14" w14:textId="77777777" w:rsidR="002749FA" w:rsidRPr="00DD2C62" w:rsidRDefault="002749FA" w:rsidP="0049107A">
      <w:pPr>
        <w:pStyle w:val="H1G"/>
      </w:pPr>
      <w:r w:rsidRPr="00DD2C62">
        <w:lastRenderedPageBreak/>
        <w:tab/>
        <w:t>C.</w:t>
      </w:r>
      <w:r w:rsidRPr="00DD2C62">
        <w:tab/>
        <w:t>Bélarus</w:t>
      </w:r>
    </w:p>
    <w:p w14:paraId="4409DCB6" w14:textId="77777777" w:rsidR="002749FA" w:rsidRPr="00DD2C62" w:rsidRDefault="002749FA" w:rsidP="0049107A">
      <w:pPr>
        <w:pStyle w:val="H4G"/>
        <w:rPr>
          <w:iCs/>
        </w:rPr>
      </w:pPr>
      <w:r w:rsidRPr="00DD2C62">
        <w:tab/>
      </w:r>
      <w:r w:rsidRPr="00DD2C62">
        <w:tab/>
        <w:t>EIA/IC/S/4</w:t>
      </w:r>
    </w:p>
    <w:p w14:paraId="49651BD7" w14:textId="77777777" w:rsidR="002749FA" w:rsidRPr="00DD2C62" w:rsidRDefault="002749FA" w:rsidP="0049107A">
      <w:pPr>
        <w:pStyle w:val="SingleTxtG"/>
      </w:pPr>
      <w:r w:rsidRPr="00DD2C62">
        <w:t>24.</w:t>
      </w:r>
      <w:r w:rsidRPr="00DD2C62">
        <w:tab/>
        <w:t>Sous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présidence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premier</w:t>
      </w:r>
      <w:r w:rsidR="0049107A" w:rsidRPr="00DD2C62">
        <w:t xml:space="preserve"> </w:t>
      </w:r>
      <w:r w:rsidRPr="00DD2C62">
        <w:t>Vice-Président,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="00D97606">
        <w:t>−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délibérations</w:t>
      </w:r>
      <w:r w:rsidR="0049107A" w:rsidRPr="00DD2C62">
        <w:t xml:space="preserve"> </w:t>
      </w:r>
      <w:r w:rsidRPr="00DD2C62">
        <w:t>tenues</w:t>
      </w:r>
      <w:r w:rsidR="0049107A" w:rsidRPr="00DD2C62">
        <w:t xml:space="preserve"> </w:t>
      </w:r>
      <w:r w:rsidRPr="00DD2C62">
        <w:t>pendant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2014</w:t>
      </w:r>
      <w:r w:rsidR="00AB7317">
        <w:t>-</w:t>
      </w:r>
      <w:r w:rsidRPr="00DD2C62">
        <w:t>2017</w:t>
      </w:r>
      <w:r w:rsidR="0049107A" w:rsidRPr="00DD2C62">
        <w:t xml:space="preserve"> </w:t>
      </w:r>
      <w:r w:rsidR="00AB7317">
        <w:t>−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poursuivi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48</w:t>
      </w:r>
      <w:r w:rsidR="00AB7317">
        <w:t xml:space="preserve"> à </w:t>
      </w:r>
      <w:r w:rsidRPr="00DD2C62">
        <w:t>64)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bélarussienne</w:t>
      </w:r>
      <w:r w:rsidR="0049107A" w:rsidRPr="00DD2C62">
        <w:t xml:space="preserve"> </w:t>
      </w:r>
      <w:r w:rsidRPr="00DD2C62">
        <w:t>d’Ostrovets.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54</w:t>
      </w:r>
      <w:r w:rsidR="00AB7317">
        <w:t xml:space="preserve"> à </w:t>
      </w:r>
      <w:r w:rsidRPr="00DD2C62">
        <w:t>65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VII/2,</w:t>
      </w:r>
      <w:r w:rsidR="0049107A" w:rsidRPr="00DD2C62">
        <w:t xml:space="preserve"> </w:t>
      </w:r>
      <w:r w:rsidRPr="00DD2C62">
        <w:t>rebaptisé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IS/1d,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suivi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IS/1d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30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31</w:t>
      </w:r>
      <w:r w:rsidR="0049107A" w:rsidRPr="00DD2C62">
        <w:t xml:space="preserve"> </w:t>
      </w:r>
      <w:r w:rsidRPr="00DD2C62">
        <w:t>ci-dessous).</w:t>
      </w:r>
    </w:p>
    <w:p w14:paraId="46E9EC42" w14:textId="77777777" w:rsidR="002749FA" w:rsidRPr="00DD2C62" w:rsidRDefault="002749FA" w:rsidP="0049107A">
      <w:pPr>
        <w:pStyle w:val="SingleTxtG"/>
      </w:pPr>
      <w:r w:rsidRPr="00DD2C62">
        <w:t>25.</w:t>
      </w:r>
      <w:r w:rsidRPr="00DD2C62">
        <w:tab/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Lituanie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présenté</w:t>
      </w:r>
      <w:r w:rsidR="0049107A" w:rsidRPr="00DD2C62">
        <w:t xml:space="preserve"> </w:t>
      </w:r>
      <w:r w:rsidRPr="00DD2C62">
        <w:t>régulièrement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rapports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mettant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copie.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autorisation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communiqué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celles-ci</w:t>
      </w:r>
      <w:r w:rsidR="0049107A" w:rsidRPr="00DD2C62">
        <w:t xml:space="preserve"> </w:t>
      </w:r>
      <w:r w:rsidRPr="00DD2C62">
        <w:t>l’intégralité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correspondance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discussions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dispositions.</w:t>
      </w:r>
    </w:p>
    <w:p w14:paraId="1719820F" w14:textId="77777777" w:rsidR="002749FA" w:rsidRPr="00DD2C62" w:rsidRDefault="002749FA" w:rsidP="0049107A">
      <w:pPr>
        <w:pStyle w:val="SingleTxtG"/>
      </w:pPr>
      <w:r w:rsidRPr="00DD2C62">
        <w:t>26.</w:t>
      </w:r>
      <w:r w:rsidRPr="00DD2C62">
        <w:tab/>
        <w:t>Pour</w:t>
      </w:r>
      <w:r w:rsidR="0049107A" w:rsidRPr="00DD2C62">
        <w:t xml:space="preserve"> </w:t>
      </w:r>
      <w:r w:rsidRPr="00DD2C62">
        <w:t>élaborer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sujet,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cherché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obtenir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réponses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cinq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aspects</w:t>
      </w:r>
      <w:r w:rsidR="0049107A" w:rsidRPr="00DD2C62">
        <w:t xml:space="preserve"> </w:t>
      </w:r>
      <w:r w:rsidRPr="00DD2C62">
        <w:t>techniques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scientifiques</w:t>
      </w:r>
      <w:r w:rsidR="0049107A" w:rsidRPr="00DD2C62">
        <w:t xml:space="preserve"> </w:t>
      </w:r>
      <w:bookmarkStart w:id="6" w:name="_Hlk47958224"/>
      <w:r w:rsidRPr="00DD2C62">
        <w:t>du</w:t>
      </w:r>
      <w:r w:rsidR="0049107A" w:rsidRPr="00DD2C62">
        <w:t xml:space="preserve"> </w:t>
      </w:r>
      <w:r w:rsidRPr="00DD2C62">
        <w:t>dossier</w:t>
      </w:r>
      <w:r w:rsidR="0049107A" w:rsidRPr="00DD2C62">
        <w:t xml:space="preserve"> </w:t>
      </w:r>
      <w:r w:rsidRPr="00DD2C62">
        <w:t>d’évaluation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l’environnement,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solutions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remplacement</w:t>
      </w:r>
      <w:r w:rsidR="0049107A" w:rsidRPr="00DD2C62">
        <w:t xml:space="preserve"> </w:t>
      </w:r>
      <w:r w:rsidRPr="00DD2C62">
        <w:t>raisonnables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méthode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données</w:t>
      </w:r>
      <w:r w:rsidR="0049107A" w:rsidRPr="00DD2C62">
        <w:t xml:space="preserve"> </w:t>
      </w:r>
      <w:r w:rsidRPr="00DD2C62">
        <w:t>utilisées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déterminer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site.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besoin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réponses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parvenir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conclusion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savoir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bookmarkEnd w:id="6"/>
      <w:r w:rsidRPr="00DD2C62">
        <w:t>le</w:t>
      </w:r>
      <w:r w:rsidR="0049107A" w:rsidRPr="00DD2C62">
        <w:t xml:space="preserve"> </w:t>
      </w:r>
      <w:r w:rsidRPr="00DD2C62">
        <w:t>dossier</w:t>
      </w:r>
      <w:r w:rsidR="0049107A" w:rsidRPr="00DD2C62">
        <w:t xml:space="preserve"> </w:t>
      </w:r>
      <w:r w:rsidRPr="00DD2C62">
        <w:t>d’évaluation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constituait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suffisante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puisse</w:t>
      </w:r>
      <w:r w:rsidR="0049107A" w:rsidRPr="00DD2C62">
        <w:t xml:space="preserve"> </w:t>
      </w:r>
      <w:r w:rsidRPr="00DD2C62">
        <w:t>prendre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définitive</w:t>
      </w:r>
      <w:r w:rsidR="0049107A" w:rsidRPr="00DD2C62">
        <w:t xml:space="preserve"> </w:t>
      </w:r>
      <w:r w:rsidRPr="00DD2C62">
        <w:t>visée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51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procéder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œuvre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l’activité.</w:t>
      </w:r>
    </w:p>
    <w:p w14:paraId="489F4A5F" w14:textId="77777777" w:rsidR="002749FA" w:rsidRPr="00DD2C62" w:rsidRDefault="002749FA" w:rsidP="0049107A">
      <w:pPr>
        <w:pStyle w:val="SingleTxtG"/>
      </w:pPr>
      <w:r w:rsidRPr="00DD2C62">
        <w:t>27.</w:t>
      </w:r>
      <w:r w:rsidRPr="00DD2C62">
        <w:tab/>
        <w:t>Ce</w:t>
      </w:r>
      <w:r w:rsidR="0049107A" w:rsidRPr="00DD2C62">
        <w:t xml:space="preserve"> </w:t>
      </w:r>
      <w:r w:rsidRPr="00DD2C62">
        <w:t>faisant,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réexaminé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mission</w:t>
      </w:r>
      <w:r w:rsidR="0049107A" w:rsidRPr="00DD2C62">
        <w:t xml:space="preserve"> </w:t>
      </w:r>
      <w:r w:rsidRPr="00DD2C62">
        <w:t>d’examen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conception</w:t>
      </w:r>
      <w:r w:rsidR="0049107A" w:rsidRPr="00DD2C62">
        <w:t xml:space="preserve"> </w:t>
      </w:r>
      <w:r w:rsidRPr="00DD2C62">
        <w:t>basée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événements</w:t>
      </w:r>
      <w:r w:rsidR="0049107A" w:rsidRPr="00DD2C62">
        <w:t xml:space="preserve"> </w:t>
      </w:r>
      <w:r w:rsidRPr="00DD2C62">
        <w:t>externes</w:t>
      </w:r>
      <w:r w:rsidR="0049107A" w:rsidRPr="00DD2C62">
        <w:t xml:space="preserve"> </w:t>
      </w:r>
      <w:r w:rsidRPr="00DD2C62">
        <w:t>menée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l’Agence</w:t>
      </w:r>
      <w:r w:rsidR="0049107A" w:rsidRPr="00DD2C62">
        <w:t xml:space="preserve"> </w:t>
      </w:r>
      <w:r w:rsidRPr="00DD2C62">
        <w:t>internationale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l’énergie</w:t>
      </w:r>
      <w:r w:rsidR="0049107A" w:rsidRPr="00DD2C62">
        <w:t xml:space="preserve"> </w:t>
      </w:r>
      <w:r w:rsidRPr="00DD2C62">
        <w:t>atomique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janvier</w:t>
      </w:r>
      <w:r w:rsidR="0049107A" w:rsidRPr="00DD2C62">
        <w:t xml:space="preserve"> </w:t>
      </w:r>
      <w:r w:rsidRPr="00DD2C62">
        <w:t>2017,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étudié</w:t>
      </w:r>
      <w:r w:rsidR="0049107A" w:rsidRPr="00DD2C62">
        <w:t xml:space="preserve"> </w:t>
      </w:r>
      <w:r w:rsidRPr="00DD2C62">
        <w:t>initialement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spéciale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Minsk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12</w:t>
      </w:r>
      <w:r w:rsidR="00AB7317">
        <w:t> </w:t>
      </w:r>
      <w:r w:rsidRPr="00DD2C62">
        <w:t>juin</w:t>
      </w:r>
      <w:r w:rsidR="0049107A" w:rsidRPr="00DD2C62">
        <w:t xml:space="preserve"> </w:t>
      </w:r>
      <w:r w:rsidRPr="00DD2C62">
        <w:t>2017,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fait</w:t>
      </w:r>
      <w:r w:rsidR="0049107A" w:rsidRPr="00DD2C62">
        <w:t xml:space="preserve"> </w:t>
      </w:r>
      <w:r w:rsidRPr="00DD2C62">
        <w:t>plusieurs</w:t>
      </w:r>
      <w:r w:rsidR="0049107A" w:rsidRPr="00DD2C62">
        <w:t xml:space="preserve"> </w:t>
      </w:r>
      <w:r w:rsidRPr="00DD2C62">
        <w:t>tentatives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obtenir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ressources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expertise</w:t>
      </w:r>
      <w:r w:rsidR="0049107A" w:rsidRPr="00DD2C62">
        <w:t xml:space="preserve"> </w:t>
      </w:r>
      <w:r w:rsidRPr="00DD2C62">
        <w:t>externe</w:t>
      </w:r>
      <w:r w:rsidR="0049107A" w:rsidRPr="00DD2C62">
        <w:t xml:space="preserve"> </w:t>
      </w:r>
      <w:r w:rsidRPr="00DD2C62">
        <w:t>spécifique,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l’Agence</w:t>
      </w:r>
      <w:r w:rsidR="0049107A" w:rsidRPr="00DD2C62">
        <w:t xml:space="preserve"> </w:t>
      </w:r>
      <w:r w:rsidRPr="00DD2C62">
        <w:t>internationale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l’énergie</w:t>
      </w:r>
      <w:r w:rsidR="0049107A" w:rsidRPr="00DD2C62">
        <w:t xml:space="preserve"> </w:t>
      </w:r>
      <w:r w:rsidRPr="00DD2C62">
        <w:t>atomique.</w:t>
      </w:r>
      <w:r w:rsidR="0049107A" w:rsidRPr="00DD2C62">
        <w:t xml:space="preserve"> </w:t>
      </w:r>
      <w:r w:rsidRPr="00DD2C62">
        <w:t>Cependant,</w:t>
      </w:r>
      <w:r w:rsidR="0049107A" w:rsidRPr="00DD2C62">
        <w:t xml:space="preserve"> </w:t>
      </w:r>
      <w:r w:rsidRPr="00DD2C62">
        <w:t>malgré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efforts,</w:t>
      </w:r>
      <w:r w:rsidR="0049107A" w:rsidRPr="00DD2C62">
        <w:t xml:space="preserve"> </w:t>
      </w:r>
      <w:r w:rsidRPr="00DD2C62">
        <w:t>plusieurs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sont</w:t>
      </w:r>
      <w:r w:rsidR="0049107A" w:rsidRPr="00DD2C62">
        <w:t xml:space="preserve"> </w:t>
      </w:r>
      <w:r w:rsidRPr="00DD2C62">
        <w:t>restées</w:t>
      </w:r>
      <w:r w:rsidR="0049107A" w:rsidRPr="00DD2C62">
        <w:t xml:space="preserve"> </w:t>
      </w:r>
      <w:r w:rsidRPr="00DD2C62">
        <w:t>sans</w:t>
      </w:r>
      <w:r w:rsidR="0049107A" w:rsidRPr="00DD2C62">
        <w:t xml:space="preserve"> </w:t>
      </w:r>
      <w:r w:rsidRPr="00DD2C62">
        <w:t>réponse.</w:t>
      </w:r>
    </w:p>
    <w:p w14:paraId="21F4FEF2" w14:textId="77777777" w:rsidR="002749FA" w:rsidRPr="00DD2C62" w:rsidRDefault="002749FA" w:rsidP="0049107A">
      <w:pPr>
        <w:pStyle w:val="SingleTxtG"/>
      </w:pPr>
      <w:r w:rsidRPr="00DD2C62">
        <w:t>28.</w:t>
      </w:r>
      <w:r w:rsidRPr="00DD2C62">
        <w:tab/>
        <w:t>Ayant</w:t>
      </w:r>
      <w:r w:rsidR="0049107A" w:rsidRPr="00DD2C62">
        <w:t xml:space="preserve"> </w:t>
      </w:r>
      <w:r w:rsidRPr="00DD2C62">
        <w:t>épuisé</w:t>
      </w:r>
      <w:r w:rsidR="0049107A" w:rsidRPr="00DD2C62">
        <w:t xml:space="preserve"> </w:t>
      </w:r>
      <w:r w:rsidRPr="00DD2C62">
        <w:t>toutes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voies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recevoir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avis</w:t>
      </w:r>
      <w:r w:rsidR="0049107A" w:rsidRPr="00DD2C62">
        <w:t xml:space="preserve"> </w:t>
      </w:r>
      <w:r w:rsidRPr="00DD2C62">
        <w:t>d’expert</w:t>
      </w:r>
      <w:r w:rsidR="0049107A" w:rsidRPr="00DD2C62">
        <w:t xml:space="preserve"> </w:t>
      </w:r>
      <w:r w:rsidRPr="00DD2C62">
        <w:t>externe,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exceptionnel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lui-même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dossier</w:t>
      </w:r>
      <w:r w:rsidR="0049107A" w:rsidRPr="00DD2C62">
        <w:t xml:space="preserve"> </w:t>
      </w:r>
      <w:r w:rsidRPr="00DD2C62">
        <w:t>préparé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l’environnement.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faisant,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réponses</w:t>
      </w:r>
      <w:r w:rsidR="0049107A" w:rsidRPr="00DD2C62">
        <w:t xml:space="preserve"> </w:t>
      </w:r>
      <w:r w:rsidRPr="00DD2C62">
        <w:t>adressées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vues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Lituanie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sujet.</w:t>
      </w:r>
    </w:p>
    <w:p w14:paraId="4EE55AFC" w14:textId="77777777" w:rsidR="002749FA" w:rsidRPr="00DD2C62" w:rsidRDefault="002749FA" w:rsidP="0049107A">
      <w:pPr>
        <w:pStyle w:val="SingleTxtG"/>
      </w:pPr>
      <w:r w:rsidRPr="00DD2C62">
        <w:t>29.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constaté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dossier</w:t>
      </w:r>
      <w:r w:rsidR="0049107A" w:rsidRPr="00DD2C62">
        <w:t xml:space="preserve"> </w:t>
      </w:r>
      <w:r w:rsidRPr="00DD2C62">
        <w:t>d’évaluation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d’Ostrovets</w:t>
      </w:r>
      <w:r w:rsidR="0049107A" w:rsidRPr="00DD2C62">
        <w:t xml:space="preserve"> </w:t>
      </w:r>
      <w:r w:rsidRPr="00DD2C62">
        <w:t>comprenait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répondaient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manière</w:t>
      </w:r>
      <w:r w:rsidR="0049107A" w:rsidRPr="00DD2C62">
        <w:t xml:space="preserve"> </w:t>
      </w:r>
      <w:r w:rsidRPr="00DD2C62">
        <w:t>satisfaisante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techniques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scientifiques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spécifiquement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Pr="00DD2C62">
        <w:t>d’Ostrovets,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densité</w:t>
      </w:r>
      <w:r w:rsidR="0049107A" w:rsidRPr="00DD2C62">
        <w:t xml:space="preserve"> </w:t>
      </w:r>
      <w:r w:rsidRPr="00DD2C62">
        <w:t>démographique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zone</w:t>
      </w:r>
      <w:r w:rsidR="0049107A" w:rsidRPr="00DD2C62">
        <w:t xml:space="preserve"> </w:t>
      </w:r>
      <w:r w:rsidRPr="00DD2C62">
        <w:t>autour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contamination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l’eau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gestion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déchets.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également</w:t>
      </w:r>
      <w:r w:rsidR="0049107A" w:rsidRPr="00DD2C62">
        <w:t xml:space="preserve"> </w:t>
      </w:r>
      <w:r w:rsidRPr="00DD2C62">
        <w:t>constaté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dossier,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mis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disposition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touchées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public,</w:t>
      </w:r>
      <w:r w:rsidR="0049107A" w:rsidRPr="00DD2C62">
        <w:t xml:space="preserve"> </w:t>
      </w:r>
      <w:r w:rsidRPr="00DD2C62">
        <w:t>mentionnait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solutions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remplacement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l’emplacement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critères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sélection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site.</w:t>
      </w:r>
      <w:r w:rsidR="0049107A" w:rsidRPr="00DD2C62">
        <w:t xml:space="preserve"> </w:t>
      </w:r>
      <w:r w:rsidRPr="00DD2C62">
        <w:t>Cependant,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fournissait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suffisants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l’appendice</w:t>
      </w:r>
      <w:r w:rsidR="0049107A" w:rsidRPr="00DD2C62">
        <w:t xml:space="preserve"> </w:t>
      </w:r>
      <w:r w:rsidRPr="00DD2C62">
        <w:t>II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raisons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considérations</w:t>
      </w:r>
      <w:r w:rsidR="0049107A" w:rsidRPr="00DD2C62">
        <w:t xml:space="preserve"> </w:t>
      </w:r>
      <w:r w:rsidRPr="00DD2C62">
        <w:t>expliquant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choix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Pr="00DD2C62">
        <w:t>d’Ostrovets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d’autres</w:t>
      </w:r>
      <w:r w:rsidR="0049107A" w:rsidRPr="00DD2C62">
        <w:t xml:space="preserve"> </w:t>
      </w:r>
      <w:r w:rsidRPr="00DD2C62">
        <w:t>solutions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prendre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considération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définitive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D97606">
        <w:t> </w:t>
      </w:r>
      <w:r w:rsidRPr="00DD2C62">
        <w:t>Convention</w:t>
      </w:r>
      <w:r w:rsidRPr="00DD2C62">
        <w:rPr>
          <w:rStyle w:val="FootnoteReference"/>
        </w:rPr>
        <w:footnoteReference w:id="9"/>
      </w:r>
      <w:r w:rsidRPr="00DD2C62">
        <w:t>.</w:t>
      </w:r>
    </w:p>
    <w:p w14:paraId="4FE063EA" w14:textId="77777777" w:rsidR="002749FA" w:rsidRPr="00DD2C62" w:rsidRDefault="002749FA" w:rsidP="0049107A">
      <w:pPr>
        <w:pStyle w:val="SingleTxtG"/>
      </w:pPr>
      <w:r w:rsidRPr="00DD2C62">
        <w:t>30.</w:t>
      </w:r>
      <w:r w:rsidRPr="00DD2C62">
        <w:tab/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IS/1d,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déclaré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conformé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articles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1),</w:t>
      </w:r>
      <w:r w:rsidR="0049107A" w:rsidRPr="00DD2C62">
        <w:t xml:space="preserve"> </w:t>
      </w:r>
      <w:r w:rsidRPr="00DD2C62">
        <w:t>5</w:t>
      </w:r>
      <w:r w:rsidR="00AB7317">
        <w:t> </w:t>
      </w:r>
      <w:r w:rsidRPr="00DD2C62">
        <w:t>a)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6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Elle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exhorté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veiller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que,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contexte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toute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future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d’activité</w:t>
      </w:r>
      <w:r w:rsidR="0049107A" w:rsidRPr="00DD2C62">
        <w:t xml:space="preserve"> </w:t>
      </w:r>
      <w:r w:rsidRPr="00DD2C62">
        <w:t>relevant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dernière</w:t>
      </w:r>
      <w:r w:rsidR="0049107A" w:rsidRPr="00DD2C62">
        <w:t xml:space="preserve"> </w:t>
      </w:r>
      <w:r w:rsidRPr="00DD2C62">
        <w:t>soit</w:t>
      </w:r>
      <w:r w:rsidR="0049107A" w:rsidRPr="00DD2C62">
        <w:t xml:space="preserve"> </w:t>
      </w:r>
      <w:r w:rsidRPr="00DD2C62">
        <w:t>appliquée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16),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elle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encouragé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DD2C62" w:rsidRPr="00DD2C62">
        <w:t> :</w:t>
      </w:r>
      <w:r w:rsidR="0049107A" w:rsidRPr="00DD2C62">
        <w:t xml:space="preserve"> </w:t>
      </w:r>
      <w:r w:rsidRPr="00DD2C62">
        <w:t>accélérer</w:t>
      </w:r>
      <w:r w:rsidR="0049107A" w:rsidRPr="00DD2C62">
        <w:t xml:space="preserve"> </w:t>
      </w:r>
      <w:r w:rsidRPr="00DD2C62">
        <w:t>l’établissement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accord</w:t>
      </w:r>
      <w:r w:rsidR="0049107A" w:rsidRPr="00DD2C62">
        <w:t xml:space="preserve"> </w:t>
      </w:r>
      <w:r w:rsidRPr="00DD2C62">
        <w:t>bilatéral</w:t>
      </w:r>
      <w:r w:rsidR="0049107A" w:rsidRPr="00DD2C62">
        <w:t xml:space="preserve"> </w:t>
      </w:r>
      <w:r w:rsidRPr="00DD2C62">
        <w:t>relatif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8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ladite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17)</w:t>
      </w:r>
      <w:r w:rsidR="00DD2C62" w:rsidRPr="00DD2C62">
        <w:t> ;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externes</w:t>
      </w:r>
      <w:r w:rsidR="0049107A" w:rsidRPr="00DD2C62">
        <w:t xml:space="preserve"> </w:t>
      </w:r>
      <w:r w:rsidRPr="00DD2C62">
        <w:t>bilatérales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points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désaccord,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certaines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dépassant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champ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18)</w:t>
      </w:r>
      <w:r w:rsidR="00DD2C62" w:rsidRPr="00DD2C62">
        <w:t> ;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l’analyse</w:t>
      </w:r>
      <w:r w:rsidR="0049107A" w:rsidRPr="00DD2C62">
        <w:t xml:space="preserve"> </w:t>
      </w:r>
      <w:r w:rsidRPr="00DD2C62">
        <w:t>postprojet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19).</w:t>
      </w:r>
    </w:p>
    <w:p w14:paraId="6E65F733" w14:textId="77777777" w:rsidR="002749FA" w:rsidRPr="00DD2C62" w:rsidRDefault="002749FA" w:rsidP="0049107A">
      <w:pPr>
        <w:pStyle w:val="SingleTxtG"/>
      </w:pPr>
      <w:r w:rsidRPr="00DD2C62">
        <w:lastRenderedPageBreak/>
        <w:t>31.</w:t>
      </w:r>
      <w:r w:rsidRPr="00DD2C62">
        <w:tab/>
        <w:t>Ayant</w:t>
      </w:r>
      <w:r w:rsidR="0049107A" w:rsidRPr="00DD2C62">
        <w:t xml:space="preserve"> </w:t>
      </w:r>
      <w:r w:rsidRPr="00DD2C62">
        <w:t>analysé</w:t>
      </w:r>
      <w:r w:rsidR="0049107A" w:rsidRPr="00DD2C62">
        <w:t xml:space="preserve"> </w:t>
      </w:r>
      <w:r w:rsidRPr="00DD2C62">
        <w:t>tous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observations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établi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VIII/4c</w:t>
      </w:r>
      <w:r w:rsidR="0049107A" w:rsidRPr="00DD2C62">
        <w:t xml:space="preserve"> </w:t>
      </w:r>
      <w:r w:rsidRPr="00DD2C62">
        <w:t>recommandant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réaffirme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IS/1d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prie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d’appliquer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l’avenir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évaluation</w:t>
      </w:r>
      <w:r w:rsidR="0049107A" w:rsidRPr="00DD2C62">
        <w:t xml:space="preserve"> </w:t>
      </w:r>
      <w:r w:rsidRPr="00DD2C62">
        <w:t>adéquate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solutions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remplacement</w:t>
      </w:r>
      <w:r w:rsidR="0049107A" w:rsidRPr="00DD2C62">
        <w:t xml:space="preserve"> </w:t>
      </w:r>
      <w:r w:rsidRPr="00DD2C62">
        <w:t>raisonnables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16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ladite</w:t>
      </w:r>
      <w:r w:rsidR="0049107A" w:rsidRPr="00DD2C62">
        <w:t xml:space="preserve"> </w:t>
      </w:r>
      <w:r w:rsidRPr="00DD2C62">
        <w:t>décision.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plus,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recommandé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note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progrès</w:t>
      </w:r>
      <w:r w:rsidR="0049107A" w:rsidRPr="00DD2C62">
        <w:t xml:space="preserve"> </w:t>
      </w:r>
      <w:r w:rsidRPr="00DD2C62">
        <w:t>limités</w:t>
      </w:r>
      <w:r w:rsidR="0049107A" w:rsidRPr="00DD2C62">
        <w:t xml:space="preserve"> </w:t>
      </w:r>
      <w:r w:rsidRPr="00DD2C62">
        <w:t>réalisés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répondre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prescriptions</w:t>
      </w:r>
      <w:r w:rsidR="0049107A" w:rsidRPr="00DD2C62">
        <w:t xml:space="preserve"> </w:t>
      </w:r>
      <w:r w:rsidRPr="00DD2C62">
        <w:t>énoncées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17</w:t>
      </w:r>
      <w:r w:rsidR="00AB7317">
        <w:t xml:space="preserve"> à </w:t>
      </w:r>
      <w:r w:rsidRPr="00DD2C62">
        <w:t>19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IS/1d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encourage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nouveau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Lituanie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satisfaire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prescriptions</w:t>
      </w:r>
      <w:r w:rsidR="0049107A" w:rsidRPr="00DD2C62">
        <w:t xml:space="preserve"> </w:t>
      </w:r>
      <w:r w:rsidRPr="00DD2C62">
        <w:t>d’ici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neuvième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Parties.</w:t>
      </w:r>
    </w:p>
    <w:p w14:paraId="58C94EA5" w14:textId="77777777" w:rsidR="002749FA" w:rsidRPr="00DD2C62" w:rsidRDefault="002749FA" w:rsidP="0049107A">
      <w:pPr>
        <w:pStyle w:val="H1G"/>
        <w:rPr>
          <w:i/>
        </w:rPr>
      </w:pPr>
      <w:r w:rsidRPr="00DD2C62">
        <w:tab/>
        <w:t>D.</w:t>
      </w:r>
      <w:r w:rsidRPr="00DD2C62">
        <w:tab/>
        <w:t>Serbie</w:t>
      </w:r>
    </w:p>
    <w:p w14:paraId="3DDAF82B" w14:textId="77777777" w:rsidR="002749FA" w:rsidRPr="00DD2C62" w:rsidRDefault="002749FA" w:rsidP="0049107A">
      <w:pPr>
        <w:pStyle w:val="H4G"/>
        <w:rPr>
          <w:iCs/>
        </w:rPr>
      </w:pPr>
      <w:r w:rsidRPr="00DD2C62">
        <w:tab/>
      </w:r>
      <w:r w:rsidRPr="00DD2C62">
        <w:tab/>
        <w:t>EIA/IC/CI/6</w:t>
      </w:r>
    </w:p>
    <w:p w14:paraId="146F5680" w14:textId="77777777" w:rsidR="002749FA" w:rsidRPr="00DD2C62" w:rsidRDefault="002749FA" w:rsidP="0049107A">
      <w:pPr>
        <w:pStyle w:val="SingleTxtG"/>
      </w:pPr>
      <w:r w:rsidRPr="00DD2C62">
        <w:t>32.</w:t>
      </w:r>
      <w:r w:rsidRPr="00DD2C62">
        <w:tab/>
        <w:t>Lors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révision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66</w:t>
      </w:r>
      <w:r w:rsidR="00AB7317">
        <w:t xml:space="preserve"> à </w:t>
      </w:r>
      <w:r w:rsidRPr="00DD2C62">
        <w:t>68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lignite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Kostolac,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extension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ciel</w:t>
      </w:r>
      <w:r w:rsidR="0049107A" w:rsidRPr="00DD2C62">
        <w:t xml:space="preserve"> </w:t>
      </w:r>
      <w:r w:rsidRPr="00DD2C62">
        <w:t>ouvert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Drmno,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reconfirmé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prise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trente-sixième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5</w:t>
      </w:r>
      <w:r w:rsidRPr="00DD2C62">
        <w:noBreakHyphen/>
        <w:t>7</w:t>
      </w:r>
      <w:r w:rsidR="00AB7317">
        <w:t> </w:t>
      </w:r>
      <w:r w:rsidRPr="00DD2C62">
        <w:t>septembre</w:t>
      </w:r>
      <w:r w:rsidR="0049107A" w:rsidRPr="00DD2C62">
        <w:t xml:space="preserve"> </w:t>
      </w:r>
      <w:r w:rsidRPr="00DD2C62">
        <w:t>2016)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laquelle,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notifiant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mis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l’initiative</w:t>
      </w:r>
      <w:r w:rsidR="0049107A" w:rsidRPr="00DD2C62">
        <w:t xml:space="preserve"> </w:t>
      </w:r>
      <w:r w:rsidRPr="00DD2C62">
        <w:t>ouverte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mars</w:t>
      </w:r>
      <w:r w:rsidR="0049107A" w:rsidRPr="00DD2C62">
        <w:t xml:space="preserve"> </w:t>
      </w:r>
      <w:r w:rsidRPr="00DD2C62">
        <w:t>2015.</w:t>
      </w:r>
    </w:p>
    <w:p w14:paraId="0E562DEA" w14:textId="77777777" w:rsidR="002749FA" w:rsidRPr="00DD2C62" w:rsidRDefault="002749FA" w:rsidP="0049107A">
      <w:pPr>
        <w:pStyle w:val="SingleTxtG"/>
      </w:pPr>
      <w:r w:rsidRPr="00DD2C62">
        <w:t>33.</w:t>
      </w:r>
      <w:r w:rsidRPr="00DD2C62">
        <w:tab/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lumière</w:t>
      </w:r>
      <w:r w:rsidR="0049107A" w:rsidRPr="00DD2C62">
        <w:t xml:space="preserve"> </w:t>
      </w:r>
      <w:r w:rsidRPr="00DD2C62">
        <w:t>des</w:t>
      </w:r>
      <w:r w:rsidR="00AB7317">
        <w:t xml:space="preserve"> </w:t>
      </w:r>
      <w:r w:rsidRPr="00DD2C62">
        <w:t>observations</w:t>
      </w:r>
      <w:r w:rsidR="0049107A" w:rsidRPr="00DD2C62">
        <w:t xml:space="preserve"> </w:t>
      </w:r>
      <w:r w:rsidRPr="00DD2C62">
        <w:t>faites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l’organisation</w:t>
      </w:r>
      <w:r w:rsidR="0049107A" w:rsidRPr="00DD2C62">
        <w:t xml:space="preserve"> </w:t>
      </w:r>
      <w:r w:rsidRPr="00DD2C62">
        <w:t>non</w:t>
      </w:r>
      <w:r w:rsidR="0049107A" w:rsidRPr="00DD2C62">
        <w:t xml:space="preserve"> </w:t>
      </w:r>
      <w:r w:rsidRPr="00DD2C62">
        <w:t>gouvernementale</w:t>
      </w:r>
      <w:r w:rsidR="0049107A" w:rsidRPr="00DD2C62">
        <w:t xml:space="preserve"> </w:t>
      </w:r>
      <w:r w:rsidRPr="00DD2C62">
        <w:t>(ONG)</w:t>
      </w:r>
      <w:r w:rsidR="0049107A" w:rsidRPr="00DD2C62">
        <w:t xml:space="preserve"> </w:t>
      </w:r>
      <w:r w:rsidRPr="00DD2C62">
        <w:t>ClientEarth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septième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communiquées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18</w:t>
      </w:r>
      <w:r w:rsidR="00AB7317">
        <w:t> </w:t>
      </w:r>
      <w:r w:rsidRPr="00DD2C62">
        <w:t>juin</w:t>
      </w:r>
      <w:r w:rsidR="0049107A" w:rsidRPr="00DD2C62">
        <w:t xml:space="preserve"> </w:t>
      </w:r>
      <w:r w:rsidRPr="00DD2C62">
        <w:t>2018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l’extension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ciel</w:t>
      </w:r>
      <w:r w:rsidR="0049107A" w:rsidRPr="00DD2C62">
        <w:t xml:space="preserve"> </w:t>
      </w:r>
      <w:r w:rsidRPr="00DD2C62">
        <w:t>ouvert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Drmno,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correspondants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rebaptisé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lignite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Kostolac.</w:t>
      </w:r>
    </w:p>
    <w:p w14:paraId="1B2C3371" w14:textId="77777777" w:rsidR="002749FA" w:rsidRPr="00DD2C62" w:rsidRDefault="002749FA" w:rsidP="0049107A">
      <w:pPr>
        <w:pStyle w:val="SingleTxtG"/>
      </w:pPr>
      <w:r w:rsidRPr="00DD2C62">
        <w:t>34.</w:t>
      </w:r>
      <w:r w:rsidRPr="00DD2C62">
        <w:tab/>
        <w:t>Considérant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ClientEarth</w:t>
      </w:r>
      <w:r w:rsidR="0049107A" w:rsidRPr="00DD2C62">
        <w:t xml:space="preserve"> </w:t>
      </w:r>
      <w:r w:rsidRPr="00DD2C62">
        <w:t>contenaient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faits</w:t>
      </w:r>
      <w:r w:rsidR="0049107A" w:rsidRPr="00DD2C62">
        <w:t xml:space="preserve"> </w:t>
      </w:r>
      <w:r w:rsidRPr="00DD2C62">
        <w:t>nouveaux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relative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ciel</w:t>
      </w:r>
      <w:r w:rsidR="0049107A" w:rsidRPr="00DD2C62">
        <w:t xml:space="preserve"> </w:t>
      </w:r>
      <w:r w:rsidRPr="00DD2C62">
        <w:t>ouvert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Drmno,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entrepris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mine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76</w:t>
      </w:r>
      <w:r w:rsidR="0049107A" w:rsidRPr="00DD2C62">
        <w:t xml:space="preserve"> </w:t>
      </w:r>
      <w:r w:rsidRPr="00DD2C62">
        <w:t>ci-dessous).</w:t>
      </w:r>
    </w:p>
    <w:p w14:paraId="09BE29D4" w14:textId="77777777" w:rsidR="002749FA" w:rsidRPr="00DD2C62" w:rsidRDefault="002749FA" w:rsidP="0049107A">
      <w:pPr>
        <w:pStyle w:val="H1G"/>
      </w:pPr>
      <w:r w:rsidRPr="00DD2C62">
        <w:tab/>
        <w:t>E.</w:t>
      </w:r>
      <w:r w:rsidRPr="00DD2C62">
        <w:tab/>
        <w:t>Ukraine</w:t>
      </w:r>
    </w:p>
    <w:p w14:paraId="5F577132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EIA/IC/S/1</w:t>
      </w:r>
    </w:p>
    <w:p w14:paraId="389E7A6F" w14:textId="77777777" w:rsidR="002749FA" w:rsidRPr="00DD2C62" w:rsidRDefault="002749FA" w:rsidP="0049107A">
      <w:pPr>
        <w:pStyle w:val="SingleTxtG"/>
      </w:pPr>
      <w:r w:rsidRPr="00DD2C62">
        <w:t>35.</w:t>
      </w:r>
      <w:r w:rsidRPr="00DD2C62">
        <w:tab/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canal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Bystroe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2004.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2014</w:t>
      </w:r>
      <w:r w:rsidR="00AB7317">
        <w:t>-</w:t>
      </w:r>
      <w:r w:rsidRPr="00DD2C62">
        <w:t>2017,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parvenu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conclusion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rien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permettait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recommander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revoie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recommandation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énoncée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V/4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garde</w:t>
      </w:r>
      <w:r w:rsidR="0049107A" w:rsidRPr="00DD2C62">
        <w:t xml:space="preserve"> </w:t>
      </w:r>
      <w:r w:rsidRPr="00DD2C62">
        <w:t>émise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quatrième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devrait</w:t>
      </w:r>
      <w:r w:rsidR="0049107A" w:rsidRPr="00DD2C62">
        <w:t xml:space="preserve"> </w:t>
      </w:r>
      <w:r w:rsidRPr="00DD2C62">
        <w:t>rester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vigueur</w:t>
      </w:r>
      <w:r w:rsidR="0049107A" w:rsidRPr="00DD2C62">
        <w:t xml:space="preserve"> </w:t>
      </w:r>
      <w:r w:rsidRPr="00DD2C62">
        <w:t>(ECE/MP.EIA/IC/2009/4,</w:t>
      </w:r>
      <w:r w:rsidR="0049107A" w:rsidRPr="00DD2C62">
        <w:t xml:space="preserve"> </w:t>
      </w:r>
      <w:r w:rsidR="00DD2C62">
        <w:t>par. </w:t>
      </w:r>
      <w:r w:rsidRPr="00DD2C62">
        <w:t>16).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13</w:t>
      </w:r>
      <w:r w:rsidR="00054772">
        <w:t xml:space="preserve"> à </w:t>
      </w:r>
      <w:r w:rsidRPr="00DD2C62">
        <w:t>28)</w:t>
      </w:r>
      <w:r w:rsidR="0049107A" w:rsidRPr="00DD2C62">
        <w:t xml:space="preserve"> </w:t>
      </w:r>
      <w:r w:rsidRPr="00DD2C62">
        <w:t>réitérait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demandes</w:t>
      </w:r>
      <w:r w:rsidR="0049107A" w:rsidRPr="00DD2C62">
        <w:t xml:space="preserve"> </w:t>
      </w:r>
      <w:r w:rsidRPr="00DD2C62">
        <w:t>adressées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adopte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pertinente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mette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canal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Bystroe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pleine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d’ici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fin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2018.</w:t>
      </w:r>
    </w:p>
    <w:p w14:paraId="32CBC40D" w14:textId="77777777" w:rsidR="002749FA" w:rsidRPr="00DD2C62" w:rsidRDefault="002749FA" w:rsidP="0049107A">
      <w:pPr>
        <w:pStyle w:val="SingleTxtG"/>
      </w:pPr>
      <w:r w:rsidRPr="00DD2C62">
        <w:t>36.</w:t>
      </w:r>
      <w:bookmarkStart w:id="7" w:name="_Hlk46665558"/>
      <w:r w:rsidRPr="00DD2C62">
        <w:tab/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IS/1f,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s’est</w:t>
      </w:r>
      <w:r w:rsidR="0049107A" w:rsidRPr="00DD2C62">
        <w:t xml:space="preserve"> </w:t>
      </w:r>
      <w:r w:rsidRPr="00DD2C62">
        <w:t>félicitée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relative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mai</w:t>
      </w:r>
      <w:r w:rsidR="0049107A" w:rsidRPr="00DD2C62">
        <w:t xml:space="preserve"> </w:t>
      </w:r>
      <w:r w:rsidRPr="00DD2C62">
        <w:t>2017,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déclaration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indiquant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véritablement</w:t>
      </w:r>
      <w:r w:rsidR="0049107A" w:rsidRPr="00DD2C62">
        <w:t xml:space="preserve"> </w:t>
      </w:r>
      <w:r w:rsidRPr="00DD2C62">
        <w:t>disposée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canal</w:t>
      </w:r>
      <w:r w:rsidR="0049107A" w:rsidRPr="00DD2C62">
        <w:t xml:space="preserve"> </w:t>
      </w:r>
      <w:r w:rsidRPr="00DD2C62">
        <w:t>Bystroe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pleine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prévues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</w:t>
      </w:r>
      <w:r w:rsidR="0049107A" w:rsidRPr="00DD2C62">
        <w:t xml:space="preserve"> </w:t>
      </w:r>
      <w:r w:rsidRPr="00DD2C62">
        <w:t>égard,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indiqué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feuille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route</w:t>
      </w:r>
      <w:r w:rsidR="0049107A" w:rsidRPr="00DD2C62">
        <w:t xml:space="preserve"> </w:t>
      </w:r>
      <w:r w:rsidRPr="00DD2C62">
        <w:t>élaborée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pleine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c’est-à-dire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retrait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définitive,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réalisation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évaluation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dégâts</w:t>
      </w:r>
      <w:r w:rsidR="0049107A" w:rsidRPr="00DD2C62">
        <w:t xml:space="preserve"> </w:t>
      </w:r>
      <w:r w:rsidRPr="00DD2C62">
        <w:t>causés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l’élaboration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plan</w:t>
      </w:r>
      <w:r w:rsidR="0049107A" w:rsidRPr="00DD2C62">
        <w:t xml:space="preserve"> </w:t>
      </w:r>
      <w:r w:rsidRPr="00DD2C62">
        <w:t>visant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œuvre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compensation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d’atténuation.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IS/1f</w:t>
      </w:r>
      <w:r w:rsidR="0049107A" w:rsidRPr="00DD2C62">
        <w:t xml:space="preserve"> </w:t>
      </w:r>
      <w:r w:rsidRPr="00DD2C62">
        <w:t>contenait</w:t>
      </w:r>
      <w:r w:rsidR="0049107A" w:rsidRPr="00DD2C62">
        <w:t xml:space="preserve"> </w:t>
      </w:r>
      <w:r w:rsidRPr="00DD2C62">
        <w:t>aussi</w:t>
      </w:r>
      <w:r w:rsidR="0049107A" w:rsidRPr="00DD2C62">
        <w:t xml:space="preserve"> </w:t>
      </w:r>
      <w:r w:rsidRPr="00DD2C62">
        <w:t>diverses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demandes</w:t>
      </w:r>
      <w:r w:rsidR="0049107A" w:rsidRPr="00DD2C62">
        <w:t xml:space="preserve"> </w:t>
      </w:r>
      <w:r w:rsidRPr="00DD2C62">
        <w:t>adressées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non-respect</w:t>
      </w:r>
      <w:r w:rsidR="0049107A" w:rsidRPr="00DD2C62">
        <w:t xml:space="preserve"> </w:t>
      </w:r>
      <w:r w:rsidRPr="00DD2C62">
        <w:t>persistant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étaient</w:t>
      </w:r>
      <w:r w:rsidR="0049107A" w:rsidRPr="00DD2C62">
        <w:t xml:space="preserve"> </w:t>
      </w:r>
      <w:r w:rsidRPr="00DD2C62">
        <w:t>encouragées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coopération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parvenir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accord</w:t>
      </w:r>
      <w:r w:rsidR="0049107A" w:rsidRPr="00DD2C62">
        <w:t xml:space="preserve"> </w:t>
      </w:r>
      <w:r w:rsidRPr="00DD2C62">
        <w:t>bilatéral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autre</w:t>
      </w:r>
      <w:r w:rsidR="0049107A" w:rsidRPr="00DD2C62">
        <w:t xml:space="preserve"> </w:t>
      </w:r>
      <w:r w:rsidRPr="00DD2C62">
        <w:lastRenderedPageBreak/>
        <w:t>arrangement</w:t>
      </w:r>
      <w:r w:rsidR="0049107A" w:rsidRPr="00DD2C62">
        <w:t xml:space="preserve"> </w:t>
      </w:r>
      <w:r w:rsidRPr="00DD2C62">
        <w:t>susceptible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favoriser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indiqué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8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ladite</w:t>
      </w:r>
      <w:r w:rsidR="0049107A" w:rsidRPr="00DD2C62">
        <w:t xml:space="preserve"> </w:t>
      </w:r>
      <w:r w:rsidRPr="00DD2C62">
        <w:t>Convention.</w:t>
      </w:r>
    </w:p>
    <w:bookmarkEnd w:id="7"/>
    <w:p w14:paraId="4E2CE463" w14:textId="77777777" w:rsidR="002749FA" w:rsidRPr="00DD2C62" w:rsidRDefault="002749FA" w:rsidP="0049107A">
      <w:pPr>
        <w:pStyle w:val="SingleTxtG"/>
      </w:pPr>
      <w:r w:rsidRPr="00DD2C62">
        <w:t>37.</w:t>
      </w:r>
      <w:r w:rsidRPr="00DD2C62">
        <w:tab/>
      </w:r>
      <w:bookmarkStart w:id="8" w:name="_Hlk46665663"/>
      <w:r w:rsidRPr="00DD2C62">
        <w:t>Après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continué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suivre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prises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respecter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aussi</w:t>
      </w:r>
      <w:r w:rsidR="0049107A" w:rsidRPr="00DD2C62">
        <w:t xml:space="preserve"> </w:t>
      </w:r>
      <w:r w:rsidRPr="00DD2C62">
        <w:t>continué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prendre</w:t>
      </w:r>
      <w:r w:rsidR="0049107A" w:rsidRPr="00DD2C62">
        <w:t xml:space="preserve"> </w:t>
      </w:r>
      <w:r w:rsidRPr="00DD2C62">
        <w:t>d’autres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afin</w:t>
      </w:r>
      <w:r w:rsidR="0049107A" w:rsidRPr="00DD2C62">
        <w:t xml:space="preserve"> </w:t>
      </w:r>
      <w:r w:rsidRPr="00DD2C62">
        <w:t>d’aider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régler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problème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longue</w:t>
      </w:r>
      <w:r w:rsidR="0049107A" w:rsidRPr="00DD2C62">
        <w:t xml:space="preserve"> </w:t>
      </w:r>
      <w:r w:rsidRPr="00DD2C62">
        <w:t>date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non-respect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fournissant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liste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puisse</w:t>
      </w:r>
      <w:r w:rsidR="0049107A" w:rsidRPr="00DD2C62">
        <w:t xml:space="preserve"> </w:t>
      </w:r>
      <w:r w:rsidRPr="00DD2C62">
        <w:t>résumer</w:t>
      </w:r>
      <w:r w:rsidR="0049107A" w:rsidRPr="00DD2C62">
        <w:t xml:space="preserve"> </w:t>
      </w:r>
      <w:r w:rsidRPr="00DD2C62">
        <w:t>toutes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requises</w:t>
      </w:r>
      <w:r w:rsidR="0049107A" w:rsidRPr="00DD2C62">
        <w:t xml:space="preserve"> </w:t>
      </w:r>
      <w:r w:rsidRPr="00DD2C62">
        <w:t>et,</w:t>
      </w:r>
      <w:r w:rsidR="0049107A" w:rsidRPr="00DD2C62">
        <w:t xml:space="preserve"> </w:t>
      </w:r>
      <w:r w:rsidRPr="00DD2C62">
        <w:t>ainsi,</w:t>
      </w:r>
      <w:r w:rsidR="0049107A" w:rsidRPr="00DD2C62">
        <w:t xml:space="preserve"> </w:t>
      </w:r>
      <w:r w:rsidRPr="00DD2C62">
        <w:t>rendre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progrès</w:t>
      </w:r>
      <w:r w:rsidR="0049107A" w:rsidRPr="00DD2C62">
        <w:t xml:space="preserve"> </w:t>
      </w:r>
      <w:r w:rsidRPr="00DD2C62">
        <w:t>réalisés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organisant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informelles</w:t>
      </w:r>
      <w:r w:rsidR="0049107A" w:rsidRPr="00DD2C62">
        <w:t xml:space="preserve"> </w:t>
      </w:r>
      <w:r w:rsidRPr="00DD2C62">
        <w:t>additionnelles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quarante-sixième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10</w:t>
      </w:r>
      <w:r w:rsidR="00AB7317">
        <w:t>-</w:t>
      </w:r>
      <w:r w:rsidRPr="00DD2C62">
        <w:t>13</w:t>
      </w:r>
      <w:r w:rsidR="00054772">
        <w:t> </w:t>
      </w:r>
      <w:r w:rsidRPr="00DD2C62">
        <w:t>décembre</w:t>
      </w:r>
      <w:r w:rsidR="0049107A" w:rsidRPr="00DD2C62">
        <w:t xml:space="preserve"> </w:t>
      </w:r>
      <w:r w:rsidRPr="00DD2C62">
        <w:t>2019)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Comité.</w:t>
      </w:r>
    </w:p>
    <w:bookmarkEnd w:id="8"/>
    <w:p w14:paraId="2B42969D" w14:textId="77777777" w:rsidR="002749FA" w:rsidRPr="00DD2C62" w:rsidRDefault="002749FA" w:rsidP="0049107A">
      <w:pPr>
        <w:pStyle w:val="SingleTxtG"/>
      </w:pPr>
      <w:r w:rsidRPr="00DD2C62">
        <w:t>38.</w:t>
      </w:r>
      <w:r w:rsidRPr="00DD2C62">
        <w:tab/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pris</w:t>
      </w:r>
      <w:r w:rsidR="0049107A" w:rsidRPr="00DD2C62">
        <w:t xml:space="preserve"> </w:t>
      </w:r>
      <w:r w:rsidRPr="00DD2C62">
        <w:t>note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appliquer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diverses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indiquées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feuille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route,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évaluation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dégâts</w:t>
      </w:r>
      <w:r w:rsidR="0049107A" w:rsidRPr="00DD2C62">
        <w:t xml:space="preserve"> </w:t>
      </w:r>
      <w:r w:rsidRPr="00DD2C62">
        <w:t>causés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Phases</w:t>
      </w:r>
      <w:r w:rsidR="0049107A" w:rsidRPr="00DD2C62">
        <w:t xml:space="preserve"> </w:t>
      </w:r>
      <w:r w:rsidRPr="00DD2C62">
        <w:t>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II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canal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Bystroe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l’élaboration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prévoyant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compensation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d’atténuation.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aussi</w:t>
      </w:r>
      <w:r w:rsidR="0049107A" w:rsidRPr="00DD2C62">
        <w:t xml:space="preserve"> </w:t>
      </w:r>
      <w:r w:rsidRPr="00DD2C62">
        <w:t>commencé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élaborer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nouveau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«</w:t>
      </w:r>
      <w:r w:rsidR="00054772">
        <w:t> </w:t>
      </w:r>
      <w:r w:rsidRPr="00DD2C62">
        <w:t>Route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Bystroe</w:t>
      </w:r>
      <w:r w:rsidR="00054772">
        <w:t> </w:t>
      </w:r>
      <w:r w:rsidRPr="00DD2C62">
        <w:t>»,</w:t>
      </w:r>
      <w:r w:rsidR="0049107A" w:rsidRPr="00DD2C62">
        <w:t xml:space="preserve"> </w:t>
      </w:r>
      <w:r w:rsidRPr="00DD2C62">
        <w:t>visant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couvrir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Phases</w:t>
      </w:r>
      <w:r w:rsidR="0049107A" w:rsidRPr="00DD2C62">
        <w:t xml:space="preserve"> </w:t>
      </w:r>
      <w:r w:rsidRPr="00DD2C62">
        <w:t>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II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canal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Bystroe,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donné</w:t>
      </w:r>
      <w:r w:rsidR="0049107A" w:rsidRPr="00DD2C62">
        <w:t xml:space="preserve"> </w:t>
      </w:r>
      <w:r w:rsidRPr="00DD2C62">
        <w:t>notification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p w14:paraId="3498C70C" w14:textId="77777777" w:rsidR="002749FA" w:rsidRPr="00DD2C62" w:rsidRDefault="002749FA" w:rsidP="0049107A">
      <w:pPr>
        <w:pStyle w:val="SingleTxtG"/>
      </w:pPr>
      <w:r w:rsidRPr="00DD2C62">
        <w:t>39.</w:t>
      </w:r>
      <w:r w:rsidRPr="00DD2C62">
        <w:tab/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confirmé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intention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participer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nouveau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«</w:t>
      </w:r>
      <w:r w:rsidR="00054772">
        <w:t> </w:t>
      </w:r>
      <w:r w:rsidRPr="00DD2C62">
        <w:t>Route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Bystroe</w:t>
      </w:r>
      <w:r w:rsidR="00054772">
        <w:t> </w:t>
      </w:r>
      <w:r w:rsidRPr="00DD2C62">
        <w:t>»,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volonté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coopérer</w:t>
      </w:r>
      <w:r w:rsidR="0049107A" w:rsidRPr="00DD2C62">
        <w:t xml:space="preserve"> </w:t>
      </w:r>
      <w:r w:rsidRPr="00DD2C62">
        <w:t>étroitement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concerne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dommages</w:t>
      </w:r>
      <w:r w:rsidR="0049107A" w:rsidRPr="00DD2C62">
        <w:t xml:space="preserve"> </w:t>
      </w:r>
      <w:r w:rsidRPr="00DD2C62">
        <w:t>causés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l’élaboration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compensation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d’atténuation.</w:t>
      </w:r>
      <w:bookmarkStart w:id="9" w:name="_Hlk46665789"/>
    </w:p>
    <w:bookmarkEnd w:id="9"/>
    <w:p w14:paraId="6418F22C" w14:textId="77777777" w:rsidR="002749FA" w:rsidRPr="00DD2C62" w:rsidRDefault="002749FA" w:rsidP="0049107A">
      <w:pPr>
        <w:pStyle w:val="SingleTxtG"/>
      </w:pPr>
      <w:r w:rsidRPr="00DD2C62">
        <w:t>40</w:t>
      </w:r>
      <w:bookmarkStart w:id="10" w:name="_Hlk46665843"/>
      <w:r w:rsidRPr="00DD2C62">
        <w:t>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conclu</w:t>
      </w:r>
      <w:r w:rsidR="0049107A" w:rsidRPr="00DD2C62">
        <w:t xml:space="preserve"> </w:t>
      </w:r>
      <w:r w:rsidRPr="00DD2C62">
        <w:t>que,</w:t>
      </w:r>
      <w:r w:rsidR="0049107A" w:rsidRPr="00DD2C62">
        <w:t xml:space="preserve"> </w:t>
      </w:r>
      <w:r w:rsidRPr="00DD2C62">
        <w:t>malgré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progrès</w:t>
      </w:r>
      <w:r w:rsidR="0049107A" w:rsidRPr="00DD2C62">
        <w:t xml:space="preserve"> </w:t>
      </w:r>
      <w:r w:rsidRPr="00DD2C62">
        <w:t>réalisés,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acquittée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jour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toutes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9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11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IV/2,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17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19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V/4,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24,</w:t>
      </w:r>
      <w:r w:rsidR="0049107A" w:rsidRPr="00DD2C62">
        <w:t xml:space="preserve"> </w:t>
      </w:r>
      <w:r w:rsidRPr="00DD2C62">
        <w:t>25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26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5,</w:t>
      </w:r>
      <w:r w:rsidR="0049107A" w:rsidRPr="00DD2C62">
        <w:t xml:space="preserve"> </w:t>
      </w:r>
      <w:r w:rsidRPr="00DD2C62">
        <w:t>14,</w:t>
      </w:r>
      <w:r w:rsidR="0049107A" w:rsidRPr="00DD2C62">
        <w:t xml:space="preserve"> </w:t>
      </w:r>
      <w:r w:rsidRPr="00DD2C62">
        <w:t>15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17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IS/1f.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fait,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pouvait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recommander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lever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garde</w:t>
      </w:r>
      <w:r w:rsidR="0049107A" w:rsidRPr="00DD2C62">
        <w:t xml:space="preserve"> </w:t>
      </w:r>
      <w:r w:rsidRPr="00DD2C62">
        <w:t>émise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l’intention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Gouvernement</w:t>
      </w:r>
      <w:r w:rsidR="0049107A" w:rsidRPr="00DD2C62">
        <w:t xml:space="preserve"> </w:t>
      </w:r>
      <w:r w:rsidRPr="00DD2C62">
        <w:t>ukrainien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quatrième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(ECE/MP.EIA/10,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IV/2,</w:t>
      </w:r>
      <w:r w:rsidR="0049107A" w:rsidRPr="00DD2C62">
        <w:t xml:space="preserve"> </w:t>
      </w:r>
      <w:r w:rsidR="00DD2C62">
        <w:t>par. </w:t>
      </w:r>
      <w:r w:rsidRPr="00DD2C62">
        <w:t>10).</w:t>
      </w:r>
    </w:p>
    <w:bookmarkEnd w:id="10"/>
    <w:p w14:paraId="2C0F6185" w14:textId="77777777" w:rsidR="002749FA" w:rsidRPr="00DD2C62" w:rsidRDefault="002749FA" w:rsidP="0049107A">
      <w:pPr>
        <w:pStyle w:val="H4G"/>
        <w:rPr>
          <w:iCs/>
        </w:rPr>
      </w:pPr>
      <w:r w:rsidRPr="00DD2C62">
        <w:tab/>
      </w:r>
      <w:r w:rsidRPr="00DD2C62">
        <w:tab/>
        <w:t>EIA/IC/CI/4</w:t>
      </w:r>
    </w:p>
    <w:p w14:paraId="651CF57E" w14:textId="77777777" w:rsidR="002749FA" w:rsidRPr="00DD2C62" w:rsidRDefault="002749FA" w:rsidP="0049107A">
      <w:pPr>
        <w:pStyle w:val="SingleTxtG"/>
      </w:pPr>
      <w:r w:rsidRPr="00DD2C62">
        <w:t>41.</w:t>
      </w:r>
      <w:r w:rsidRPr="00DD2C62">
        <w:tab/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cadre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68</w:t>
      </w:r>
      <w:r w:rsidR="00054772">
        <w:t xml:space="preserve"> à </w:t>
      </w:r>
      <w:r w:rsidRPr="00DD2C62">
        <w:t>71)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réacteurs</w:t>
      </w:r>
      <w:r w:rsidR="0049107A" w:rsidRPr="00DD2C62">
        <w:t xml:space="preserve"> </w:t>
      </w:r>
      <w:r w:rsidRPr="00DD2C62">
        <w:t>1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Rivne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2014</w:t>
      </w:r>
      <w:r w:rsidR="00AB7317">
        <w:t>-</w:t>
      </w:r>
      <w:r w:rsidRPr="00DD2C62">
        <w:t>2017,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donnait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d’orientations</w:t>
      </w:r>
      <w:r w:rsidR="0049107A" w:rsidRPr="00DD2C62">
        <w:t xml:space="preserve"> </w:t>
      </w:r>
      <w:r w:rsidRPr="00DD2C62">
        <w:t>claires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façon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conséquent,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29</w:t>
      </w:r>
      <w:r w:rsidR="00054772">
        <w:t xml:space="preserve"> à </w:t>
      </w:r>
      <w:r w:rsidRPr="00DD2C62">
        <w:t>37),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recommandait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définir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d’aider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régler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problèmes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p w14:paraId="2302DC3C" w14:textId="77777777" w:rsidR="002749FA" w:rsidRPr="00DD2C62" w:rsidRDefault="002749FA" w:rsidP="0049107A">
      <w:pPr>
        <w:pStyle w:val="SingleTxtG"/>
      </w:pPr>
      <w:r w:rsidRPr="00DD2C62">
        <w:t>42.</w:t>
      </w:r>
      <w:r w:rsidRPr="00DD2C62">
        <w:tab/>
        <w:t>En</w:t>
      </w:r>
      <w:r w:rsidR="0049107A" w:rsidRPr="00DD2C62">
        <w:t xml:space="preserve"> </w:t>
      </w:r>
      <w:r w:rsidRPr="00DD2C62">
        <w:t>attendant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décidé,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2017</w:t>
      </w:r>
      <w:r w:rsidR="0049107A" w:rsidRPr="00DD2C62">
        <w:t xml:space="preserve"> </w:t>
      </w:r>
      <w:r w:rsidR="00054772">
        <w:t>−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14</w:t>
      </w:r>
      <w:r w:rsidR="00054772">
        <w:t> </w:t>
      </w:r>
      <w:r w:rsidRPr="00DD2C62">
        <w:t>b)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="00054772" w:rsidRPr="00DD2C62">
        <w:t xml:space="preserve">Règlement </w:t>
      </w:r>
      <w:r w:rsidRPr="00DD2C62">
        <w:t>intérieur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="00054772">
        <w:t>−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faire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directes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recommandé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d’adresser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notification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toutes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prendre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ultérieures</w:t>
      </w:r>
      <w:r w:rsidR="0049107A" w:rsidRPr="00DD2C62">
        <w:t xml:space="preserve"> </w:t>
      </w:r>
      <w:r w:rsidRPr="00DD2C62">
        <w:t>prévues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prévue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p w14:paraId="3FC7AE22" w14:textId="77777777" w:rsidR="002749FA" w:rsidRPr="00054772" w:rsidRDefault="002749FA" w:rsidP="0049107A">
      <w:pPr>
        <w:pStyle w:val="SingleTxtG"/>
        <w:rPr>
          <w:spacing w:val="-2"/>
        </w:rPr>
      </w:pPr>
      <w:r w:rsidRPr="00054772">
        <w:rPr>
          <w:spacing w:val="-2"/>
        </w:rPr>
        <w:t>43.</w:t>
      </w:r>
      <w:r w:rsidRPr="00054772">
        <w:rPr>
          <w:spacing w:val="-2"/>
        </w:rPr>
        <w:tab/>
        <w:t>En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janvier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2018,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l’Ukraine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a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adressé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une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notification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aux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Parties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potentiellement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touchées</w:t>
      </w:r>
      <w:r w:rsidR="0049107A" w:rsidRPr="00054772">
        <w:rPr>
          <w:spacing w:val="-2"/>
        </w:rPr>
        <w:t xml:space="preserve"> </w:t>
      </w:r>
      <w:r w:rsidR="00054772" w:rsidRPr="00054772">
        <w:rPr>
          <w:spacing w:val="-2"/>
        </w:rPr>
        <w:t>−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Autriche,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Bélarus,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Hongrie,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Pologne,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République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de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Moldova,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Roumanie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et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Slovaquie</w:t>
      </w:r>
      <w:r w:rsidR="0049107A" w:rsidRPr="00054772">
        <w:rPr>
          <w:spacing w:val="-2"/>
        </w:rPr>
        <w:t xml:space="preserve"> </w:t>
      </w:r>
      <w:r w:rsidR="00054772" w:rsidRPr="00054772">
        <w:rPr>
          <w:spacing w:val="-2"/>
        </w:rPr>
        <w:t>−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concernant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le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projet.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Comme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suite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à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cette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notification,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certaines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des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Parties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potentiellement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touchées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ont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demandé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à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l’Ukraine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de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leur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fournir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des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informations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complémentaires,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notamment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celles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qui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sont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énumérées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à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l’article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3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(</w:t>
      </w:r>
      <w:r w:rsidR="00DD2C62" w:rsidRPr="00054772">
        <w:rPr>
          <w:spacing w:val="-2"/>
        </w:rPr>
        <w:t>par. </w:t>
      </w:r>
      <w:r w:rsidRPr="00054772">
        <w:rPr>
          <w:spacing w:val="-2"/>
        </w:rPr>
        <w:t>2)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de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la</w:t>
      </w:r>
      <w:r w:rsidR="0049107A" w:rsidRPr="00054772">
        <w:rPr>
          <w:spacing w:val="-2"/>
        </w:rPr>
        <w:t xml:space="preserve"> </w:t>
      </w:r>
      <w:r w:rsidRPr="00054772">
        <w:rPr>
          <w:spacing w:val="-2"/>
        </w:rPr>
        <w:t>Convention.</w:t>
      </w:r>
    </w:p>
    <w:p w14:paraId="6A701B00" w14:textId="77777777" w:rsidR="002749FA" w:rsidRPr="00DD2C62" w:rsidRDefault="002749FA" w:rsidP="0049107A">
      <w:pPr>
        <w:pStyle w:val="SingleTxtG"/>
      </w:pPr>
      <w:r w:rsidRPr="00DD2C62">
        <w:t>44.</w:t>
      </w:r>
      <w:r w:rsidRPr="00DD2C62">
        <w:tab/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2018,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</w:t>
      </w:r>
      <w:r w:rsidR="00054772">
        <w:t>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29</w:t>
      </w:r>
      <w:r w:rsidR="00054772">
        <w:t xml:space="preserve"> à </w:t>
      </w:r>
      <w:r w:rsidRPr="00DD2C62">
        <w:t>37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question,</w:t>
      </w:r>
      <w:r w:rsidR="0049107A" w:rsidRPr="00DD2C62">
        <w:t xml:space="preserve"> </w:t>
      </w:r>
      <w:r w:rsidRPr="00DD2C62">
        <w:t>rebaptisé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IS/1g,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lumière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actualisés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communiqués</w:t>
      </w:r>
      <w:r w:rsidRPr="00DD2C62">
        <w:rPr>
          <w:rFonts w:eastAsia="Calibri"/>
        </w:rPr>
        <w:t>.</w:t>
      </w:r>
    </w:p>
    <w:p w14:paraId="69C8C83B" w14:textId="77777777" w:rsidR="002749FA" w:rsidRPr="00DD2C62" w:rsidRDefault="002749FA" w:rsidP="006D0929">
      <w:pPr>
        <w:pStyle w:val="SingleTxtG"/>
        <w:keepLines/>
      </w:pPr>
      <w:r w:rsidRPr="00DD2C62">
        <w:lastRenderedPageBreak/>
        <w:t>45.</w:t>
      </w:r>
      <w:bookmarkStart w:id="11" w:name="_Hlk46666020"/>
      <w:r w:rsidRPr="00DD2C62">
        <w:tab/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IS/1g,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approuvé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constatation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laquelle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s’acquittait</w:t>
      </w:r>
      <w:r w:rsidR="0049107A" w:rsidRPr="00DD2C62">
        <w:t xml:space="preserve"> </w:t>
      </w:r>
      <w:r w:rsidRPr="00DD2C62">
        <w:t>toujours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indiqué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70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VI/2,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conformité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poursuivant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souhaitant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participer.</w:t>
      </w:r>
    </w:p>
    <w:bookmarkEnd w:id="11"/>
    <w:p w14:paraId="56B67B97" w14:textId="77777777" w:rsidR="002749FA" w:rsidRPr="00DD2C62" w:rsidRDefault="002749FA" w:rsidP="0049107A">
      <w:pPr>
        <w:pStyle w:val="SingleTxtG"/>
      </w:pPr>
      <w:r w:rsidRPr="00DD2C62">
        <w:t>46.</w:t>
      </w:r>
      <w:bookmarkStart w:id="12" w:name="_Hlk46666138"/>
      <w:r w:rsidRPr="00DD2C62">
        <w:tab/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évaluation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prises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mettre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œuvre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recommandation</w:t>
      </w:r>
      <w:r w:rsidR="0049107A" w:rsidRPr="00DD2C62">
        <w:t xml:space="preserve"> </w:t>
      </w:r>
      <w:r w:rsidRPr="00DD2C62">
        <w:t>figurant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IS/1g,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="00054772">
        <w:t>−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VIII/4e</w:t>
      </w:r>
      <w:r w:rsidR="0049107A" w:rsidRPr="00DD2C62">
        <w:t xml:space="preserve"> </w:t>
      </w:r>
      <w:r w:rsidR="00054772">
        <w:t>−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recommandé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d’approuver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constatation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laquelle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s’était</w:t>
      </w:r>
      <w:r w:rsidR="0049107A" w:rsidRPr="00DD2C62">
        <w:t xml:space="preserve"> </w:t>
      </w:r>
      <w:r w:rsidRPr="00DD2C62">
        <w:t>toujours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acquittée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faute</w:t>
      </w:r>
      <w:r w:rsidR="0049107A" w:rsidRPr="00DD2C62">
        <w:t xml:space="preserve"> </w:t>
      </w:r>
      <w:r w:rsidRPr="00DD2C62">
        <w:t>d’avoir</w:t>
      </w:r>
      <w:r w:rsidR="0049107A" w:rsidRPr="00DD2C62">
        <w:t xml:space="preserve"> </w:t>
      </w:r>
      <w:r w:rsidRPr="00DD2C62">
        <w:t>adopté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pièces</w:t>
      </w:r>
      <w:r w:rsidR="0049107A" w:rsidRPr="00DD2C62">
        <w:t xml:space="preserve"> </w:t>
      </w:r>
      <w:r w:rsidRPr="00DD2C62">
        <w:t>restantes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achevé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4B4F6B">
        <w:rPr>
          <w:spacing w:val="-2"/>
        </w:rPr>
        <w:t>procédure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transfrontière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prévue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par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la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Convention,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visée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aux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paragraphes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4,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7</w:t>
      </w:r>
      <w:r w:rsidR="00054772" w:rsidRPr="004B4F6B">
        <w:rPr>
          <w:spacing w:val="-2"/>
        </w:rPr>
        <w:t> </w:t>
      </w:r>
      <w:r w:rsidRPr="004B4F6B">
        <w:rPr>
          <w:spacing w:val="-2"/>
        </w:rPr>
        <w:t>a),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b)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et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c)</w:t>
      </w:r>
      <w:r w:rsidR="0049107A" w:rsidRPr="004B4F6B">
        <w:rPr>
          <w:spacing w:val="-2"/>
        </w:rPr>
        <w:t xml:space="preserve"> </w:t>
      </w:r>
      <w:r w:rsidRPr="004B4F6B">
        <w:rPr>
          <w:spacing w:val="-2"/>
        </w:rPr>
        <w:t>et</w:t>
      </w:r>
      <w:r w:rsidR="004B4F6B" w:rsidRPr="004B4F6B">
        <w:rPr>
          <w:spacing w:val="-2"/>
        </w:rPr>
        <w:t xml:space="preserve"> </w:t>
      </w:r>
      <w:r w:rsidRPr="004B4F6B">
        <w:rPr>
          <w:spacing w:val="-2"/>
        </w:rPr>
        <w:t>8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IS/1g.</w:t>
      </w:r>
    </w:p>
    <w:bookmarkEnd w:id="12"/>
    <w:p w14:paraId="31B028DF" w14:textId="77777777" w:rsidR="002749FA" w:rsidRPr="00DD2C62" w:rsidRDefault="002749FA" w:rsidP="0049107A">
      <w:pPr>
        <w:pStyle w:val="H1G"/>
      </w:pPr>
      <w:r w:rsidRPr="00DD2C62">
        <w:tab/>
        <w:t>F.</w:t>
      </w:r>
      <w:r w:rsidRPr="00DD2C62">
        <w:tab/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</w:t>
      </w:r>
    </w:p>
    <w:p w14:paraId="4E1CC4C2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EIA/IC/CI/5</w:t>
      </w:r>
    </w:p>
    <w:p w14:paraId="40B526D6" w14:textId="77777777" w:rsidR="002749FA" w:rsidRPr="00DD2C62" w:rsidRDefault="002749FA" w:rsidP="0049107A">
      <w:pPr>
        <w:pStyle w:val="SingleTxtG"/>
      </w:pPr>
      <w:r w:rsidRPr="00DD2C62">
        <w:t>47.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décidé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lancer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initiative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février</w:t>
      </w:r>
      <w:r w:rsidR="0049107A" w:rsidRPr="00DD2C62">
        <w:t xml:space="preserve"> </w:t>
      </w:r>
      <w:r w:rsidRPr="00DD2C62">
        <w:t>2014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avoir</w:t>
      </w:r>
      <w:r w:rsidR="0049107A" w:rsidRPr="00DD2C62">
        <w:t xml:space="preserve"> </w:t>
      </w:r>
      <w:r w:rsidRPr="00DD2C62">
        <w:t>reçu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parlementaire</w:t>
      </w:r>
      <w:r w:rsidR="0049107A" w:rsidRPr="00DD2C62">
        <w:t xml:space="preserve"> </w:t>
      </w:r>
      <w:r w:rsidRPr="00DD2C62">
        <w:t>allemand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l’ONG</w:t>
      </w:r>
      <w:r w:rsidR="0049107A" w:rsidRPr="00DD2C62">
        <w:t xml:space="preserve"> </w:t>
      </w:r>
      <w:r w:rsidRPr="00DD2C62">
        <w:t>Friends</w:t>
      </w:r>
      <w:r w:rsidR="0049107A" w:rsidRPr="00DD2C62">
        <w:t xml:space="preserve"> </w:t>
      </w:r>
      <w:r w:rsidRPr="00DD2C62">
        <w:t>of</w:t>
      </w:r>
      <w:r w:rsidR="0049107A" w:rsidRPr="00DD2C62">
        <w:t xml:space="preserve"> </w:t>
      </w:r>
      <w:r w:rsidRPr="00DD2C62">
        <w:t>the</w:t>
      </w:r>
      <w:r w:rsidR="0049107A" w:rsidRPr="00DD2C62">
        <w:t xml:space="preserve"> </w:t>
      </w:r>
      <w:r w:rsidRPr="00DD2C62">
        <w:t>Irish</w:t>
      </w:r>
      <w:r w:rsidR="0049107A" w:rsidRPr="00DD2C62">
        <w:t xml:space="preserve"> </w:t>
      </w:r>
      <w:r w:rsidRPr="00DD2C62">
        <w:t>Environment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Hinkley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C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recueilli</w:t>
      </w:r>
      <w:r w:rsidR="0049107A" w:rsidRPr="00DD2C62">
        <w:t xml:space="preserve"> </w:t>
      </w:r>
      <w:r w:rsidRPr="00DD2C62">
        <w:t>d’autres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auprès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Gouvernements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l’Allemagne,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l’Autriche,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Belgique,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l’Espagne,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France,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l’Irlande,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Norvège,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Pays-Bas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bookmarkStart w:id="13" w:name="_Hlk51155328"/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</w:t>
      </w:r>
      <w:bookmarkEnd w:id="13"/>
      <w:r w:rsidRPr="00DD2C62">
        <w:t>.</w:t>
      </w:r>
    </w:p>
    <w:p w14:paraId="009FA9DA" w14:textId="77777777" w:rsidR="002749FA" w:rsidRPr="00DD2C62" w:rsidRDefault="002749FA" w:rsidP="0049107A">
      <w:pPr>
        <w:pStyle w:val="SingleTxtG"/>
      </w:pPr>
      <w:r w:rsidRPr="00DD2C62">
        <w:t>48.</w:t>
      </w:r>
      <w:r w:rsidRPr="00DD2C62">
        <w:tab/>
        <w:t>En</w:t>
      </w:r>
      <w:r w:rsidR="0049107A" w:rsidRPr="00DD2C62">
        <w:t xml:space="preserve"> </w:t>
      </w:r>
      <w:r w:rsidRPr="00DD2C62">
        <w:t>mars</w:t>
      </w:r>
      <w:r w:rsidR="0049107A" w:rsidRPr="00DD2C62">
        <w:t xml:space="preserve"> </w:t>
      </w:r>
      <w:r w:rsidRPr="00DD2C62">
        <w:t>2016,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finalisé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constatations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question,</w:t>
      </w:r>
      <w:r w:rsidR="0049107A" w:rsidRPr="00DD2C62">
        <w:t xml:space="preserve"> </w:t>
      </w:r>
      <w:r w:rsidRPr="00DD2C62">
        <w:t>lesquelles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portées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l’attention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Partie</w:t>
      </w:r>
      <w:r w:rsidR="0049107A" w:rsidRPr="00DD2C62">
        <w:t xml:space="preserve"> </w:t>
      </w:r>
      <w:r w:rsidRPr="00DD2C62">
        <w:t>concernée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Pr="00DD2C62">
        <w:t>ECE/MP.EIA/IC/2016/2,</w:t>
      </w:r>
      <w:r w:rsidR="0049107A" w:rsidRPr="00DD2C62">
        <w:t xml:space="preserve"> </w:t>
      </w:r>
      <w:r w:rsidRPr="00DD2C62">
        <w:t>annexe).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lumière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communiquées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</w:t>
      </w:r>
      <w:r w:rsidR="004B4F6B">
        <w:noBreakHyphen/>
      </w:r>
      <w:r w:rsidRPr="00DD2C62">
        <w:t>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début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2017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prises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donner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dernier,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trente-huitième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(Genève,</w:t>
      </w:r>
      <w:r w:rsidR="0049107A" w:rsidRPr="00DD2C62">
        <w:t xml:space="preserve"> </w:t>
      </w:r>
      <w:r w:rsidRPr="00DD2C62">
        <w:t>20</w:t>
      </w:r>
      <w:r w:rsidRPr="00DD2C62">
        <w:noBreakHyphen/>
        <w:t>22</w:t>
      </w:r>
      <w:r w:rsidR="00054772">
        <w:t> </w:t>
      </w:r>
      <w:r w:rsidRPr="00DD2C62">
        <w:t>février</w:t>
      </w:r>
      <w:r w:rsidR="0049107A" w:rsidRPr="00DD2C62">
        <w:t xml:space="preserve"> </w:t>
      </w:r>
      <w:r w:rsidRPr="00DD2C62">
        <w:t>2017),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complété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constatations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d’autres,</w:t>
      </w:r>
      <w:r w:rsidR="0049107A" w:rsidRPr="00DD2C62">
        <w:t xml:space="preserve"> </w:t>
      </w:r>
      <w:r w:rsidRPr="00DD2C62">
        <w:t>recommandant</w:t>
      </w:r>
      <w:r w:rsidR="0049107A" w:rsidRPr="00DD2C62">
        <w:t xml:space="preserve"> </w:t>
      </w:r>
      <w:r w:rsidRPr="00DD2C62">
        <w:t>que,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Partie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</w:t>
      </w:r>
      <w:r w:rsidR="0049107A" w:rsidRPr="00DD2C62">
        <w:t xml:space="preserve"> </w:t>
      </w:r>
      <w:r w:rsidRPr="00DD2C62">
        <w:t>demandait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recevoir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notification,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devait</w:t>
      </w:r>
      <w:r w:rsidR="0049107A" w:rsidRPr="00DD2C62">
        <w:t xml:space="preserve"> </w:t>
      </w:r>
      <w:r w:rsidRPr="00DD2C62">
        <w:t>suspendre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proposée</w:t>
      </w:r>
      <w:r w:rsidR="0049107A" w:rsidRPr="00DD2C62">
        <w:t xml:space="preserve"> </w:t>
      </w:r>
      <w:r w:rsidRPr="00DD2C62">
        <w:t>jusqu’à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d’EIE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soit</w:t>
      </w:r>
      <w:r w:rsidR="0049107A" w:rsidRPr="00DD2C62">
        <w:t xml:space="preserve"> </w:t>
      </w:r>
      <w:r w:rsidRPr="00DD2C62">
        <w:t>finalisée</w:t>
      </w:r>
      <w:r w:rsidR="0049107A" w:rsidRPr="00DD2C62">
        <w:t xml:space="preserve"> </w:t>
      </w:r>
      <w:r w:rsidRPr="00DD2C62">
        <w:t>(ECE/MP.EIA/IC/2017/2,</w:t>
      </w:r>
      <w:r w:rsidR="0049107A" w:rsidRPr="00DD2C62">
        <w:t xml:space="preserve"> </w:t>
      </w:r>
      <w:r w:rsidR="00DD2C62">
        <w:t>par. </w:t>
      </w:r>
      <w:r w:rsidRPr="00DD2C62">
        <w:t>61).</w:t>
      </w:r>
    </w:p>
    <w:p w14:paraId="0843B5F7" w14:textId="77777777" w:rsidR="002749FA" w:rsidRPr="00DD2C62" w:rsidRDefault="002749FA" w:rsidP="0049107A">
      <w:pPr>
        <w:pStyle w:val="SingleTxtG"/>
      </w:pPr>
      <w:r w:rsidRPr="00DD2C62">
        <w:t>49.</w:t>
      </w:r>
      <w:r w:rsidRPr="00DD2C62">
        <w:tab/>
        <w:t>Pendant</w:t>
      </w:r>
      <w:r w:rsidR="0049107A" w:rsidRPr="00DD2C62">
        <w:t xml:space="preserve"> </w:t>
      </w:r>
      <w:r w:rsidRPr="00DD2C62">
        <w:t>l’actuelle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révisé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2016</w:t>
      </w:r>
      <w:r w:rsidR="0049107A" w:rsidRPr="00DD2C62">
        <w:t xml:space="preserve"> </w:t>
      </w:r>
      <w:r w:rsidRPr="00DD2C62">
        <w:t>complétées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trente-huitième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ainsi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69</w:t>
      </w:r>
      <w:r w:rsidR="00054772">
        <w:t xml:space="preserve"> à </w:t>
      </w:r>
      <w:r w:rsidRPr="00DD2C62">
        <w:t>72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="00054772">
        <w:t>−</w:t>
      </w:r>
      <w:r w:rsidR="0049107A" w:rsidRPr="00DD2C62">
        <w:t xml:space="preserve"> </w:t>
      </w:r>
      <w:r w:rsidRPr="00DD2C62">
        <w:t>rebaptisé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IS/1h</w:t>
      </w:r>
      <w:r w:rsidR="0049107A" w:rsidRPr="00DD2C62">
        <w:t xml:space="preserve"> </w:t>
      </w:r>
      <w:r w:rsidR="00054772">
        <w:t>−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tenant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présentées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août</w:t>
      </w:r>
      <w:r w:rsidR="0049107A" w:rsidRPr="00DD2C62">
        <w:t xml:space="preserve"> </w:t>
      </w:r>
      <w:r w:rsidRPr="00DD2C62">
        <w:t>2017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août</w:t>
      </w:r>
      <w:r w:rsidR="0049107A" w:rsidRPr="00DD2C62">
        <w:t xml:space="preserve"> </w:t>
      </w:r>
      <w:r w:rsidRPr="00DD2C62">
        <w:t>2018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touchées</w:t>
      </w:r>
      <w:r w:rsidR="0049107A" w:rsidRPr="00DD2C62">
        <w:t xml:space="preserve"> </w:t>
      </w:r>
      <w:r w:rsidRPr="00DD2C62">
        <w:t>(Allemagne,</w:t>
      </w:r>
      <w:r w:rsidR="0049107A" w:rsidRPr="00DD2C62">
        <w:t xml:space="preserve"> </w:t>
      </w:r>
      <w:r w:rsidRPr="00DD2C62">
        <w:t>Autriche,</w:t>
      </w:r>
      <w:r w:rsidR="0049107A" w:rsidRPr="00DD2C62">
        <w:t xml:space="preserve"> </w:t>
      </w:r>
      <w:r w:rsidRPr="00DD2C62">
        <w:t>Danemark,</w:t>
      </w:r>
      <w:r w:rsidR="0049107A" w:rsidRPr="00DD2C62">
        <w:t xml:space="preserve"> </w:t>
      </w:r>
      <w:r w:rsidRPr="00DD2C62">
        <w:t>Irlande,</w:t>
      </w:r>
      <w:r w:rsidR="0049107A" w:rsidRPr="00DD2C62">
        <w:t xml:space="preserve"> </w:t>
      </w:r>
      <w:r w:rsidRPr="00DD2C62">
        <w:t>Luxembourg,</w:t>
      </w:r>
      <w:r w:rsidR="0049107A" w:rsidRPr="00DD2C62">
        <w:t xml:space="preserve"> </w:t>
      </w:r>
      <w:r w:rsidRPr="00DD2C62">
        <w:t>Norvège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Pays-Bas)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l’ONG</w:t>
      </w:r>
      <w:r w:rsidR="0049107A" w:rsidRPr="00DD2C62">
        <w:t xml:space="preserve"> </w:t>
      </w:r>
      <w:r w:rsidRPr="00DD2C62">
        <w:t>irlandaise</w:t>
      </w:r>
      <w:r w:rsidR="0049107A" w:rsidRPr="00DD2C62">
        <w:t xml:space="preserve"> </w:t>
      </w:r>
      <w:r w:rsidRPr="00DD2C62">
        <w:t>Environmental</w:t>
      </w:r>
      <w:r w:rsidR="0049107A" w:rsidRPr="00DD2C62">
        <w:t xml:space="preserve"> </w:t>
      </w:r>
      <w:r w:rsidRPr="00DD2C62">
        <w:t>Pillar.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finalisé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constatations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utilisant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voie</w:t>
      </w:r>
      <w:r w:rsidR="0049107A" w:rsidRPr="00DD2C62">
        <w:t xml:space="preserve"> </w:t>
      </w:r>
      <w:r w:rsidRPr="00DD2C62">
        <w:t>électronique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novembre</w:t>
      </w:r>
      <w:r w:rsidR="0049107A" w:rsidRPr="00DD2C62">
        <w:t xml:space="preserve"> </w:t>
      </w:r>
      <w:r w:rsidRPr="00DD2C62">
        <w:t>2018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observations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représentations</w:t>
      </w:r>
      <w:r w:rsidR="0049107A" w:rsidRPr="00DD2C62">
        <w:t xml:space="preserve"> </w:t>
      </w:r>
      <w:r w:rsidRPr="00DD2C62">
        <w:t>reçues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Nord.</w:t>
      </w:r>
    </w:p>
    <w:p w14:paraId="28A866D3" w14:textId="77777777" w:rsidR="002749FA" w:rsidRPr="00DD2C62" w:rsidRDefault="002749FA" w:rsidP="0049107A">
      <w:pPr>
        <w:pStyle w:val="SingleTxtG"/>
      </w:pPr>
      <w:r w:rsidRPr="00DD2C62">
        <w:t>50.</w:t>
      </w:r>
      <w:r w:rsidRPr="00DD2C62">
        <w:tab/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IS/1h,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approuvé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constatation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laquelle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s’était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conformé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présentant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notification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touchées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articles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Hinkley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C.</w:t>
      </w:r>
      <w:r w:rsidR="0049107A" w:rsidRPr="00DD2C62">
        <w:t xml:space="preserve"> </w:t>
      </w:r>
      <w:r w:rsidRPr="00DD2C62">
        <w:t>Bien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n’ait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pris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permettant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corriger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violation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aucune</w:t>
      </w:r>
      <w:r w:rsidR="0049107A" w:rsidRPr="00DD2C62">
        <w:t xml:space="preserve"> </w:t>
      </w:r>
      <w:r w:rsidRPr="00DD2C62">
        <w:t>action</w:t>
      </w:r>
      <w:r w:rsidR="0049107A" w:rsidRPr="00DD2C62">
        <w:t xml:space="preserve"> </w:t>
      </w:r>
      <w:r w:rsidRPr="00DD2C62">
        <w:t>supplémentaire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part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requise</w:t>
      </w:r>
      <w:r w:rsidR="0049107A" w:rsidRPr="00DD2C62">
        <w:t xml:space="preserve"> </w:t>
      </w:r>
      <w:r w:rsidRPr="00DD2C62">
        <w:t>car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touchées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accepté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processus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consultation</w:t>
      </w:r>
      <w:r w:rsidR="0049107A" w:rsidRPr="00DD2C62">
        <w:t xml:space="preserve"> </w:t>
      </w:r>
      <w:r w:rsidRPr="00DD2C62">
        <w:t>proposé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Royaume-Uni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Grande-Bretagne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d’Irlande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stade</w:t>
      </w:r>
      <w:r w:rsidR="0049107A" w:rsidRPr="00DD2C62">
        <w:t xml:space="preserve"> </w:t>
      </w:r>
      <w:r w:rsidRPr="00DD2C62">
        <w:t>actuel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l’activité,</w:t>
      </w:r>
      <w:r w:rsidR="0049107A" w:rsidRPr="00DD2C62">
        <w:t xml:space="preserve"> </w:t>
      </w:r>
      <w:r w:rsidRPr="00DD2C62">
        <w:t>étant</w:t>
      </w:r>
      <w:r w:rsidR="0049107A" w:rsidRPr="00DD2C62">
        <w:t xml:space="preserve"> </w:t>
      </w:r>
      <w:r w:rsidRPr="00DD2C62">
        <w:t>entendu</w:t>
      </w:r>
      <w:r w:rsidR="0049107A" w:rsidRPr="00DD2C62">
        <w:t xml:space="preserve"> </w:t>
      </w:r>
      <w:r w:rsidRPr="00DD2C62">
        <w:t>que,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l’avenir,</w:t>
      </w:r>
      <w:r w:rsidR="0049107A" w:rsidRPr="00DD2C62">
        <w:t xml:space="preserve"> </w:t>
      </w:r>
      <w:r w:rsidRPr="00DD2C62">
        <w:t>elles</w:t>
      </w:r>
      <w:r w:rsidR="0049107A" w:rsidRPr="00DD2C62">
        <w:t xml:space="preserve"> </w:t>
      </w:r>
      <w:r w:rsidRPr="00DD2C62">
        <w:t>notifieraient</w:t>
      </w:r>
      <w:r w:rsidR="0049107A" w:rsidRPr="00DD2C62">
        <w:t xml:space="preserve"> </w:t>
      </w:r>
      <w:r w:rsidRPr="00DD2C62">
        <w:t>tout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p w14:paraId="5F7D846E" w14:textId="77777777" w:rsidR="002749FA" w:rsidRPr="00DD2C62" w:rsidRDefault="002749FA" w:rsidP="0049107A">
      <w:pPr>
        <w:pStyle w:val="HChG"/>
      </w:pPr>
      <w:r w:rsidRPr="00DD2C62">
        <w:lastRenderedPageBreak/>
        <w:tab/>
        <w:t>III.</w:t>
      </w:r>
      <w:r w:rsidRPr="00DD2C62">
        <w:tab/>
        <w:t>Examen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résultats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examens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</w:p>
    <w:p w14:paraId="6D4E5500" w14:textId="77777777" w:rsidR="002749FA" w:rsidRPr="00DD2C62" w:rsidRDefault="002749FA" w:rsidP="0049107A">
      <w:pPr>
        <w:pStyle w:val="SingleTxtG"/>
      </w:pPr>
      <w:r w:rsidRPr="00DD2C62">
        <w:t>51.</w:t>
      </w:r>
      <w:r w:rsidRPr="00DD2C62">
        <w:tab/>
        <w:t>Ainsi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VII/1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III/1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fournies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générales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relevées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cinquième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(</w:t>
      </w:r>
      <w:bookmarkStart w:id="14" w:name="_Hlk51156644"/>
      <w:r w:rsidRPr="00DD2C62">
        <w:t>ECE/MP.EIA/2017/9</w:t>
      </w:r>
      <w:bookmarkEnd w:id="14"/>
      <w:r w:rsidRPr="00DD2C62">
        <w:t>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(ECE/MP.EIA/SEA/2017/9).</w:t>
      </w:r>
    </w:p>
    <w:p w14:paraId="711FCBD8" w14:textId="77777777" w:rsidR="002749FA" w:rsidRPr="00DD2C62" w:rsidRDefault="002749FA" w:rsidP="0049107A">
      <w:pPr>
        <w:pStyle w:val="H1G"/>
      </w:pPr>
      <w:r w:rsidRPr="00DD2C62">
        <w:tab/>
        <w:t>A.</w:t>
      </w:r>
      <w:r w:rsidRPr="00DD2C62">
        <w:tab/>
        <w:t>Questions</w:t>
      </w:r>
      <w:r w:rsidR="0049107A" w:rsidRPr="00DD2C62">
        <w:t xml:space="preserve"> </w:t>
      </w:r>
      <w:r w:rsidRPr="00DD2C62">
        <w:t>générales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</w:p>
    <w:p w14:paraId="6BDC1E91" w14:textId="77777777" w:rsidR="002749FA" w:rsidRPr="00DD2C62" w:rsidRDefault="002749FA" w:rsidP="0049107A">
      <w:pPr>
        <w:pStyle w:val="SingleTxtG"/>
      </w:pPr>
      <w:r w:rsidRPr="00DD2C62">
        <w:t>52.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certaines</w:t>
      </w:r>
      <w:r w:rsidR="0049107A" w:rsidRPr="00DD2C62">
        <w:t xml:space="preserve"> </w:t>
      </w:r>
      <w:r w:rsidRPr="00DD2C62">
        <w:t>faiblesses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lacunes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caractère</w:t>
      </w:r>
      <w:r w:rsidR="0049107A" w:rsidRPr="00DD2C62">
        <w:t xml:space="preserve"> </w:t>
      </w:r>
      <w:r w:rsidRPr="00DD2C62">
        <w:t>général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relevées</w:t>
      </w:r>
      <w:r w:rsidR="0049107A" w:rsidRPr="00DD2C62">
        <w:t xml:space="preserve"> </w:t>
      </w:r>
      <w:r w:rsidRPr="00DD2C62">
        <w:t>lors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cinquième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deuxième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respectivement.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fait</w:t>
      </w:r>
      <w:r w:rsidR="0049107A" w:rsidRPr="00DD2C62">
        <w:t xml:space="preserve"> </w:t>
      </w:r>
      <w:r w:rsidRPr="00DD2C62">
        <w:t>observer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certaines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déjà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évoquées</w:t>
      </w:r>
      <w:r w:rsidR="0049107A" w:rsidRPr="00DD2C62">
        <w:t xml:space="preserve"> </w:t>
      </w:r>
      <w:r w:rsidRPr="00DD2C62">
        <w:t>lors</w:t>
      </w:r>
      <w:r w:rsidR="0049107A" w:rsidRPr="00DD2C62">
        <w:t xml:space="preserve"> </w:t>
      </w:r>
      <w:r w:rsidRPr="00DD2C62">
        <w:t>d’examens</w:t>
      </w:r>
      <w:r w:rsidR="0049107A" w:rsidRPr="00DD2C62">
        <w:t xml:space="preserve"> </w:t>
      </w:r>
      <w:r w:rsidRPr="00DD2C62">
        <w:t>précédents.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proposé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Bureau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incluent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prochain</w:t>
      </w:r>
      <w:r w:rsidR="0049107A" w:rsidRPr="00DD2C62">
        <w:t xml:space="preserve"> </w:t>
      </w:r>
      <w:r w:rsidRPr="00DD2C62">
        <w:t>plan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jour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sections</w:t>
      </w:r>
      <w:r w:rsidR="0049107A" w:rsidRPr="00DD2C62">
        <w:t xml:space="preserve"> </w:t>
      </w:r>
      <w:r w:rsidRPr="00DD2C62">
        <w:t>pertinentes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documents</w:t>
      </w:r>
      <w:r w:rsidR="0049107A" w:rsidRPr="00DD2C62">
        <w:t xml:space="preserve"> </w:t>
      </w:r>
      <w:r w:rsidRPr="00DD2C62">
        <w:t>d’orientation</w:t>
      </w:r>
      <w:r w:rsidR="0049107A" w:rsidRPr="00DD2C62">
        <w:t xml:space="preserve"> </w:t>
      </w:r>
      <w:r w:rsidRPr="00DD2C62">
        <w:t>disponibles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commencer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rPr>
          <w:i/>
          <w:iCs/>
        </w:rPr>
        <w:t>Directive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concernant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la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participation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du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public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à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l’évaluation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de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l’impact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sur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l’environnement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dans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un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contexte</w:t>
      </w:r>
      <w:r w:rsidR="0049107A" w:rsidRPr="00DD2C62">
        <w:rPr>
          <w:i/>
          <w:iCs/>
        </w:rPr>
        <w:t xml:space="preserve"> </w:t>
      </w:r>
      <w:r w:rsidRPr="00DD2C62">
        <w:rPr>
          <w:i/>
          <w:iCs/>
        </w:rPr>
        <w:t>transfrontière</w:t>
      </w:r>
      <w:r w:rsidRPr="00DD2C62">
        <w:rPr>
          <w:rStyle w:val="FootnoteReference"/>
        </w:rPr>
        <w:footnoteReference w:id="10"/>
      </w:r>
      <w:r w:rsidRPr="00DD2C62">
        <w:t>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l’élaboration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directives</w:t>
      </w:r>
      <w:r w:rsidR="0049107A" w:rsidRPr="00DD2C62">
        <w:t xml:space="preserve"> </w:t>
      </w:r>
      <w:r w:rsidRPr="00DD2C62">
        <w:t>ou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bonne</w:t>
      </w:r>
      <w:r w:rsidR="0049107A" w:rsidRPr="00DD2C62">
        <w:t xml:space="preserve"> </w:t>
      </w:r>
      <w:r w:rsidRPr="00DD2C62">
        <w:t>pratique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Protocole.</w:t>
      </w:r>
    </w:p>
    <w:p w14:paraId="768D9FAD" w14:textId="77777777" w:rsidR="002749FA" w:rsidRPr="00DD2C62" w:rsidRDefault="002749FA" w:rsidP="0049107A">
      <w:pPr>
        <w:pStyle w:val="H1G"/>
      </w:pPr>
      <w:r w:rsidRPr="00DD2C62">
        <w:tab/>
        <w:t>B.</w:t>
      </w:r>
      <w:r w:rsidRPr="00DD2C62">
        <w:tab/>
        <w:t>Questions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</w:p>
    <w:p w14:paraId="3233AB8E" w14:textId="77777777" w:rsidR="002749FA" w:rsidRPr="00DD2C62" w:rsidRDefault="002749FA" w:rsidP="0049107A">
      <w:pPr>
        <w:pStyle w:val="SingleTxtG"/>
      </w:pPr>
      <w:r w:rsidRPr="00DD2C62">
        <w:t>53.</w:t>
      </w:r>
      <w:r w:rsidRPr="00DD2C62">
        <w:tab/>
        <w:t>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découlant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examens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examinées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sont</w:t>
      </w:r>
      <w:r w:rsidR="0049107A" w:rsidRPr="00DD2C62">
        <w:t xml:space="preserve"> </w:t>
      </w:r>
      <w:r w:rsidRPr="00DD2C62">
        <w:t>résumées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ci-dessous.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30</w:t>
      </w:r>
      <w:r w:rsidR="004B4F6B">
        <w:t> </w:t>
      </w:r>
      <w:r w:rsidRPr="00DD2C62">
        <w:t>Parties,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spécifique</w:t>
      </w:r>
      <w:r w:rsidR="0049107A" w:rsidRPr="00DD2C62">
        <w:t xml:space="preserve"> </w:t>
      </w:r>
      <w:r w:rsidRPr="00DD2C62">
        <w:t>relative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aussi</w:t>
      </w:r>
      <w:r w:rsidR="0049107A" w:rsidRPr="00DD2C62">
        <w:t xml:space="preserve"> </w:t>
      </w:r>
      <w:r w:rsidRPr="00DD2C62">
        <w:t>poursuivi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spécifique</w:t>
      </w:r>
      <w:r w:rsidR="0049107A" w:rsidRPr="00DD2C62">
        <w:t xml:space="preserve"> </w:t>
      </w:r>
      <w:r w:rsidRPr="00DD2C62">
        <w:t>relative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européenne,</w:t>
      </w:r>
      <w:r w:rsidR="0049107A" w:rsidRPr="00DD2C62">
        <w:t xml:space="preserve"> </w:t>
      </w:r>
      <w:r w:rsidRPr="00DD2C62">
        <w:t>relevée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premier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(ECE/MP.EIA/SEA/2014/3,</w:t>
      </w:r>
      <w:r w:rsidR="0049107A" w:rsidRPr="00DD2C62">
        <w:t xml:space="preserve"> </w:t>
      </w:r>
      <w:r w:rsidR="00DD2C62">
        <w:t>par. </w:t>
      </w:r>
      <w:r w:rsidRPr="00DD2C62">
        <w:t>5).</w:t>
      </w:r>
    </w:p>
    <w:p w14:paraId="03493C3C" w14:textId="77777777" w:rsidR="002749FA" w:rsidRPr="00DD2C62" w:rsidRDefault="002749FA" w:rsidP="0049107A">
      <w:pPr>
        <w:pStyle w:val="Heading1"/>
      </w:pPr>
      <w:r w:rsidRPr="00DD2C62">
        <w:t>Tableau</w:t>
      </w:r>
      <w:r w:rsidR="0049107A" w:rsidRPr="00DD2C62">
        <w:t xml:space="preserve"> </w:t>
      </w:r>
      <w:r w:rsidRPr="00DD2C62">
        <w:t>2</w:t>
      </w:r>
    </w:p>
    <w:p w14:paraId="2B986E83" w14:textId="77777777" w:rsidR="002749FA" w:rsidRPr="00DD2C62" w:rsidRDefault="002749FA" w:rsidP="0049107A">
      <w:pPr>
        <w:pStyle w:val="SingleTxtG"/>
        <w:keepNext/>
        <w:jc w:val="left"/>
        <w:rPr>
          <w:b/>
          <w:bCs/>
        </w:rPr>
      </w:pPr>
      <w:r w:rsidRPr="00DD2C62">
        <w:rPr>
          <w:b/>
          <w:bCs/>
        </w:rPr>
        <w:t>Questions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spécifiques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relatives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au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respect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dispositions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068"/>
        <w:gridCol w:w="3684"/>
      </w:tblGrid>
      <w:tr w:rsidR="002749FA" w:rsidRPr="00DD2C62" w14:paraId="12A4FF97" w14:textId="77777777" w:rsidTr="004B4F6B">
        <w:trPr>
          <w:tblHeader/>
        </w:trPr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47196" w14:textId="77777777" w:rsidR="002749FA" w:rsidRPr="00DD2C62" w:rsidRDefault="002749FA" w:rsidP="0049107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Référence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du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Comité</w:t>
            </w:r>
            <w:r w:rsidR="0049107A" w:rsidRPr="00DD2C62">
              <w:rPr>
                <w:i/>
                <w:sz w:val="16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163161" w14:textId="77777777" w:rsidR="002749FA" w:rsidRPr="00DD2C62" w:rsidRDefault="002749FA" w:rsidP="0049107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Partie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concernée</w:t>
            </w:r>
            <w:r w:rsidR="0049107A" w:rsidRPr="00DD2C62">
              <w:rPr>
                <w:i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711E52" w14:textId="77777777" w:rsidR="002749FA" w:rsidRPr="00DD2C62" w:rsidRDefault="002749FA" w:rsidP="00054772">
            <w:pPr>
              <w:spacing w:before="80" w:after="80" w:line="200" w:lineRule="exact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Question</w:t>
            </w:r>
            <w:r w:rsidR="0049107A" w:rsidRPr="00DD2C62">
              <w:rPr>
                <w:i/>
                <w:sz w:val="16"/>
              </w:rPr>
              <w:t xml:space="preserve"> </w:t>
            </w:r>
          </w:p>
        </w:tc>
      </w:tr>
      <w:tr w:rsidR="0049107A" w:rsidRPr="00DD2C62" w14:paraId="646036D7" w14:textId="77777777" w:rsidTr="004B4F6B">
        <w:trPr>
          <w:trHeight w:hRule="exact" w:val="113"/>
          <w:tblHeader/>
        </w:trPr>
        <w:tc>
          <w:tcPr>
            <w:tcW w:w="1618" w:type="dxa"/>
            <w:tcBorders>
              <w:top w:val="single" w:sz="12" w:space="0" w:color="auto"/>
            </w:tcBorders>
            <w:shd w:val="clear" w:color="auto" w:fill="auto"/>
          </w:tcPr>
          <w:p w14:paraId="5EEE087D" w14:textId="77777777" w:rsidR="0049107A" w:rsidRPr="00DD2C62" w:rsidRDefault="0049107A" w:rsidP="0049107A">
            <w:pPr>
              <w:spacing w:before="40" w:after="120"/>
              <w:ind w:right="113"/>
            </w:pPr>
          </w:p>
        </w:tc>
        <w:tc>
          <w:tcPr>
            <w:tcW w:w="2068" w:type="dxa"/>
            <w:tcBorders>
              <w:top w:val="single" w:sz="12" w:space="0" w:color="auto"/>
            </w:tcBorders>
            <w:shd w:val="clear" w:color="auto" w:fill="auto"/>
          </w:tcPr>
          <w:p w14:paraId="6CC88BEF" w14:textId="77777777" w:rsidR="0049107A" w:rsidRPr="00DD2C62" w:rsidRDefault="0049107A" w:rsidP="0049107A">
            <w:pPr>
              <w:spacing w:before="40" w:after="120"/>
              <w:ind w:right="113"/>
            </w:pPr>
          </w:p>
        </w:tc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</w:tcPr>
          <w:p w14:paraId="64AD3892" w14:textId="77777777" w:rsidR="0049107A" w:rsidRPr="00DD2C62" w:rsidRDefault="0049107A" w:rsidP="00054772">
            <w:pPr>
              <w:spacing w:before="40" w:after="120"/>
            </w:pPr>
          </w:p>
        </w:tc>
      </w:tr>
      <w:tr w:rsidR="002749FA" w:rsidRPr="00DD2C62" w14:paraId="0C901083" w14:textId="77777777" w:rsidTr="004B4F6B">
        <w:tc>
          <w:tcPr>
            <w:tcW w:w="1618" w:type="dxa"/>
            <w:shd w:val="clear" w:color="auto" w:fill="auto"/>
          </w:tcPr>
          <w:p w14:paraId="5A24D55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EIA/IC/SCI/5/1</w:t>
            </w:r>
          </w:p>
        </w:tc>
        <w:tc>
          <w:tcPr>
            <w:tcW w:w="2068" w:type="dxa"/>
            <w:shd w:val="clear" w:color="auto" w:fill="auto"/>
          </w:tcPr>
          <w:p w14:paraId="5219080D" w14:textId="77777777" w:rsidR="004B4F6B" w:rsidRPr="00DD2C62" w:rsidRDefault="002749FA" w:rsidP="0049107A">
            <w:pPr>
              <w:spacing w:before="40" w:after="120"/>
              <w:ind w:right="113"/>
            </w:pPr>
            <w:r w:rsidRPr="00DD2C62">
              <w:t>a.</w:t>
            </w:r>
            <w:r w:rsidR="0049107A" w:rsidRPr="00DD2C62">
              <w:t xml:space="preserve"> </w:t>
            </w:r>
            <w:r w:rsidRPr="00DD2C62">
              <w:t>Albanie</w:t>
            </w:r>
            <w:r w:rsidR="0049107A" w:rsidRPr="00DD2C62">
              <w:t xml:space="preserve"> </w:t>
            </w:r>
            <w:r w:rsidRPr="00DD2C62">
              <w:br/>
              <w:t>b.</w:t>
            </w:r>
            <w:r w:rsidR="0049107A" w:rsidRPr="00DD2C62">
              <w:t xml:space="preserve"> </w:t>
            </w:r>
            <w:r w:rsidRPr="00DD2C62">
              <w:t>Autriche</w:t>
            </w:r>
            <w:r w:rsidR="0049107A" w:rsidRPr="00DD2C62">
              <w:t xml:space="preserve"> </w:t>
            </w:r>
            <w:r w:rsidRPr="00DD2C62">
              <w:br/>
              <w:t>c.</w:t>
            </w:r>
            <w:r w:rsidR="0049107A" w:rsidRPr="00DD2C62">
              <w:t xml:space="preserve"> </w:t>
            </w:r>
            <w:r w:rsidRPr="00DD2C62">
              <w:t>Azerbaïdjan</w:t>
            </w:r>
            <w:r w:rsidR="0049107A" w:rsidRPr="00DD2C62">
              <w:t xml:space="preserve"> </w:t>
            </w:r>
            <w:r w:rsidRPr="00DD2C62">
              <w:br/>
              <w:t>d.</w:t>
            </w:r>
            <w:r w:rsidR="0049107A" w:rsidRPr="00DD2C62">
              <w:t xml:space="preserve"> </w:t>
            </w:r>
            <w:r w:rsidRPr="00DD2C62">
              <w:t>Belgique</w:t>
            </w:r>
            <w:r w:rsidR="0049107A" w:rsidRPr="00DD2C62">
              <w:t xml:space="preserve"> </w:t>
            </w:r>
            <w:r w:rsidRPr="00DD2C62">
              <w:br/>
              <w:t>e.</w:t>
            </w:r>
            <w:r w:rsidR="0049107A" w:rsidRPr="00DD2C62">
              <w:t xml:space="preserve"> </w:t>
            </w:r>
            <w:r w:rsidRPr="00DD2C62">
              <w:t>Chypre</w:t>
            </w:r>
            <w:r w:rsidR="0049107A" w:rsidRPr="00DD2C62">
              <w:t xml:space="preserve"> </w:t>
            </w:r>
            <w:r w:rsidRPr="00DD2C62">
              <w:br/>
              <w:t>f.</w:t>
            </w:r>
            <w:r w:rsidR="0049107A" w:rsidRPr="00DD2C62">
              <w:t xml:space="preserve"> </w:t>
            </w:r>
            <w:r w:rsidRPr="00DD2C62">
              <w:t>Croatie</w:t>
            </w:r>
            <w:r w:rsidR="0049107A" w:rsidRPr="00DD2C62">
              <w:t xml:space="preserve"> </w:t>
            </w:r>
            <w:r w:rsidRPr="00DD2C62">
              <w:br/>
              <w:t>g.</w:t>
            </w:r>
            <w:r w:rsidR="0049107A" w:rsidRPr="00DD2C62">
              <w:t xml:space="preserve"> </w:t>
            </w:r>
            <w:r w:rsidRPr="00DD2C62">
              <w:t>Danemark</w:t>
            </w:r>
            <w:r w:rsidR="0049107A" w:rsidRPr="00DD2C62">
              <w:t xml:space="preserve"> </w:t>
            </w:r>
            <w:r w:rsidRPr="00DD2C62">
              <w:br/>
              <w:t>h.</w:t>
            </w:r>
            <w:r w:rsidR="0049107A" w:rsidRPr="00DD2C62">
              <w:t xml:space="preserve"> </w:t>
            </w:r>
            <w:r w:rsidRPr="00DD2C62">
              <w:t>Espagne</w:t>
            </w:r>
            <w:r w:rsidRPr="00DD2C62">
              <w:br/>
              <w:t>i.</w:t>
            </w:r>
            <w:r w:rsidR="0049107A" w:rsidRPr="00DD2C62">
              <w:t xml:space="preserve"> </w:t>
            </w:r>
            <w:r w:rsidRPr="00DD2C62">
              <w:t>Finlande</w:t>
            </w:r>
            <w:r w:rsidR="0049107A" w:rsidRPr="00DD2C62">
              <w:t xml:space="preserve"> </w:t>
            </w:r>
            <w:r w:rsidRPr="00DD2C62">
              <w:br/>
              <w:t>j.</w:t>
            </w:r>
            <w:r w:rsidR="0049107A" w:rsidRPr="00DD2C62">
              <w:t xml:space="preserve"> </w:t>
            </w:r>
            <w:r w:rsidRPr="00DD2C62">
              <w:t>Grèce</w:t>
            </w:r>
            <w:r w:rsidRPr="00DD2C62">
              <w:br/>
              <w:t>k.</w:t>
            </w:r>
            <w:r w:rsidR="0049107A" w:rsidRPr="00DD2C62">
              <w:t xml:space="preserve"> </w:t>
            </w:r>
            <w:r w:rsidR="004B4F6B">
              <w:t>Irlande</w:t>
            </w:r>
            <w:r w:rsidR="004B4F6B">
              <w:br/>
            </w:r>
            <w:r w:rsidR="004B4F6B" w:rsidRPr="00DD2C62">
              <w:t xml:space="preserve">l. Italie </w:t>
            </w:r>
            <w:r w:rsidR="004B4F6B">
              <w:br/>
            </w:r>
            <w:r w:rsidR="004B4F6B" w:rsidRPr="00DD2C62">
              <w:t xml:space="preserve">m. Lettonie </w:t>
            </w:r>
            <w:r w:rsidR="004B4F6B" w:rsidRPr="00DD2C62">
              <w:br/>
              <w:t>n. Liechtenstein</w:t>
            </w:r>
            <w:r w:rsidR="004B4F6B" w:rsidRPr="00DD2C62">
              <w:br/>
              <w:t xml:space="preserve">o. </w:t>
            </w:r>
            <w:r w:rsidR="004B4F6B">
              <w:t>Luxembourg</w:t>
            </w:r>
          </w:p>
        </w:tc>
        <w:tc>
          <w:tcPr>
            <w:tcW w:w="3684" w:type="dxa"/>
            <w:shd w:val="clear" w:color="auto" w:fill="auto"/>
          </w:tcPr>
          <w:p w14:paraId="2556C353" w14:textId="77777777" w:rsidR="002749FA" w:rsidRPr="009E7617" w:rsidRDefault="002749FA" w:rsidP="00054772">
            <w:pPr>
              <w:spacing w:before="40" w:after="120"/>
              <w:rPr>
                <w:spacing w:val="-1"/>
              </w:rPr>
            </w:pPr>
            <w:r w:rsidRPr="009E7617">
              <w:rPr>
                <w:spacing w:val="-1"/>
              </w:rPr>
              <w:t>Le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Comité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a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demandé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des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éclaircissements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sur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la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manière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dont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les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Parties,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en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tant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que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Parties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touchées,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assuraient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la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participation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du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public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à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la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procédure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d’évaluation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l’impact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sur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l’environnement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au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titre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des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articles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3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(</w:t>
            </w:r>
            <w:r w:rsidR="00DD2C62" w:rsidRPr="009E7617">
              <w:rPr>
                <w:spacing w:val="-1"/>
              </w:rPr>
              <w:t>par. </w:t>
            </w:r>
            <w:r w:rsidRPr="009E7617">
              <w:rPr>
                <w:spacing w:val="-1"/>
              </w:rPr>
              <w:t>8)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et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4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(</w:t>
            </w:r>
            <w:r w:rsidR="00DD2C62" w:rsidRPr="009E7617">
              <w:rPr>
                <w:spacing w:val="-1"/>
              </w:rPr>
              <w:t>par. </w:t>
            </w:r>
            <w:r w:rsidRPr="009E7617">
              <w:rPr>
                <w:spacing w:val="-1"/>
              </w:rPr>
              <w:t>2)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de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la</w:t>
            </w:r>
            <w:r w:rsidR="0049107A" w:rsidRPr="009E7617">
              <w:rPr>
                <w:spacing w:val="-1"/>
              </w:rPr>
              <w:t xml:space="preserve"> </w:t>
            </w:r>
            <w:r w:rsidRPr="009E7617">
              <w:rPr>
                <w:spacing w:val="-1"/>
              </w:rPr>
              <w:t>Convention</w:t>
            </w:r>
          </w:p>
        </w:tc>
      </w:tr>
      <w:tr w:rsidR="00054772" w:rsidRPr="00DD2C62" w14:paraId="1BCC5AE3" w14:textId="77777777" w:rsidTr="004B4F6B">
        <w:tc>
          <w:tcPr>
            <w:tcW w:w="1618" w:type="dxa"/>
            <w:shd w:val="clear" w:color="auto" w:fill="auto"/>
          </w:tcPr>
          <w:p w14:paraId="0DD61E66" w14:textId="77777777" w:rsidR="00054772" w:rsidRPr="00DD2C62" w:rsidRDefault="00054772" w:rsidP="0049107A">
            <w:pPr>
              <w:spacing w:before="40" w:after="120"/>
              <w:ind w:right="113"/>
            </w:pPr>
          </w:p>
        </w:tc>
        <w:tc>
          <w:tcPr>
            <w:tcW w:w="2068" w:type="dxa"/>
            <w:shd w:val="clear" w:color="auto" w:fill="auto"/>
          </w:tcPr>
          <w:p w14:paraId="6A58FA5B" w14:textId="77777777" w:rsidR="00054772" w:rsidRPr="00DD2C62" w:rsidRDefault="00054772" w:rsidP="0049107A">
            <w:pPr>
              <w:spacing w:before="40" w:after="120"/>
              <w:ind w:right="113"/>
            </w:pPr>
            <w:r w:rsidRPr="00DD2C62">
              <w:t xml:space="preserve">p. Macédoine du Nord </w:t>
            </w:r>
            <w:r w:rsidRPr="00DD2C62">
              <w:br/>
              <w:t xml:space="preserve">q. Monténégro </w:t>
            </w:r>
            <w:r w:rsidRPr="00DD2C62">
              <w:br/>
              <w:t>r. Norvège</w:t>
            </w:r>
            <w:r w:rsidRPr="00DD2C62">
              <w:br/>
              <w:t>s. Portugal</w:t>
            </w:r>
            <w:r w:rsidRPr="00DD2C62">
              <w:br/>
              <w:t xml:space="preserve">t. Rép. de Moldova </w:t>
            </w:r>
            <w:r w:rsidRPr="00DD2C62">
              <w:br/>
              <w:t>u. Rép. tchèque</w:t>
            </w:r>
            <w:r w:rsidRPr="00DD2C62">
              <w:br/>
              <w:t xml:space="preserve">v. Slovaquie </w:t>
            </w:r>
            <w:r w:rsidRPr="00DD2C62">
              <w:br/>
              <w:t>w. Suède</w:t>
            </w:r>
            <w:r w:rsidRPr="00DD2C62">
              <w:br/>
              <w:t>x. Ukraine</w:t>
            </w:r>
          </w:p>
        </w:tc>
        <w:tc>
          <w:tcPr>
            <w:tcW w:w="3684" w:type="dxa"/>
            <w:shd w:val="clear" w:color="auto" w:fill="auto"/>
          </w:tcPr>
          <w:p w14:paraId="728963F3" w14:textId="77777777" w:rsidR="00054772" w:rsidRPr="00DD2C62" w:rsidRDefault="00054772" w:rsidP="00054772">
            <w:pPr>
              <w:spacing w:before="40" w:after="120"/>
            </w:pPr>
          </w:p>
        </w:tc>
      </w:tr>
      <w:tr w:rsidR="002749FA" w:rsidRPr="00DD2C62" w14:paraId="3E4AA8D9" w14:textId="77777777" w:rsidTr="004B4F6B">
        <w:tc>
          <w:tcPr>
            <w:tcW w:w="1618" w:type="dxa"/>
            <w:shd w:val="clear" w:color="auto" w:fill="auto"/>
          </w:tcPr>
          <w:p w14:paraId="09C788D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EIA/IC/SCI/5/2</w:t>
            </w:r>
          </w:p>
        </w:tc>
        <w:tc>
          <w:tcPr>
            <w:tcW w:w="2068" w:type="dxa"/>
            <w:shd w:val="clear" w:color="auto" w:fill="auto"/>
          </w:tcPr>
          <w:p w14:paraId="46D85EF1" w14:textId="77777777" w:rsidR="002749FA" w:rsidRPr="00DD2C62" w:rsidRDefault="002749FA" w:rsidP="00054772">
            <w:pPr>
              <w:spacing w:before="40" w:after="120"/>
              <w:ind w:right="113"/>
            </w:pPr>
            <w:r w:rsidRPr="00DD2C62">
              <w:t>a.</w:t>
            </w:r>
            <w:r w:rsidR="0049107A" w:rsidRPr="00DD2C62">
              <w:t xml:space="preserve"> </w:t>
            </w:r>
            <w:r w:rsidRPr="00DD2C62">
              <w:t>Italie</w:t>
            </w:r>
            <w:r w:rsidR="0049107A" w:rsidRPr="00DD2C62">
              <w:t xml:space="preserve"> </w:t>
            </w:r>
            <w:r w:rsidRPr="00DD2C62">
              <w:br/>
              <w:t>b.</w:t>
            </w:r>
            <w:r w:rsidR="0049107A" w:rsidRPr="00DD2C62">
              <w:t xml:space="preserve"> </w:t>
            </w:r>
            <w:r w:rsidRPr="00DD2C62">
              <w:t>Luxembourg</w:t>
            </w:r>
            <w:r w:rsidRPr="00DD2C62">
              <w:br/>
              <w:t>c.</w:t>
            </w:r>
            <w:r w:rsidR="0049107A" w:rsidRPr="00DD2C62">
              <w:t xml:space="preserve"> </w:t>
            </w:r>
            <w:r w:rsidRPr="00DD2C62">
              <w:t>Malte</w:t>
            </w:r>
            <w:r w:rsidRPr="00DD2C62">
              <w:br/>
              <w:t>d.</w:t>
            </w:r>
            <w:r w:rsidR="0049107A" w:rsidRPr="00DD2C62">
              <w:t xml:space="preserve"> </w:t>
            </w:r>
            <w:r w:rsidRPr="00DD2C62">
              <w:t>Slovaquie</w:t>
            </w:r>
          </w:p>
        </w:tc>
        <w:tc>
          <w:tcPr>
            <w:tcW w:w="3684" w:type="dxa"/>
            <w:shd w:val="clear" w:color="auto" w:fill="auto"/>
          </w:tcPr>
          <w:p w14:paraId="75BF130C" w14:textId="77777777" w:rsidR="002749FA" w:rsidRPr="00DD2C62" w:rsidRDefault="002749FA" w:rsidP="00054772">
            <w:pPr>
              <w:spacing w:before="40" w:after="120"/>
            </w:pPr>
            <w:r w:rsidRPr="00DD2C62">
              <w:t>Le</w:t>
            </w:r>
            <w:r w:rsidR="0049107A" w:rsidRPr="00DD2C62">
              <w:t xml:space="preserve"> </w:t>
            </w:r>
            <w:r w:rsidRPr="00DD2C62">
              <w:t>Comité</w:t>
            </w:r>
            <w:r w:rsidR="0049107A" w:rsidRPr="00DD2C62">
              <w:t xml:space="preserve"> </w:t>
            </w:r>
            <w:r w:rsidRPr="00DD2C62">
              <w:t>a</w:t>
            </w:r>
            <w:r w:rsidR="0049107A" w:rsidRPr="00DD2C62">
              <w:t xml:space="preserve"> </w:t>
            </w:r>
            <w:r w:rsidRPr="00DD2C62">
              <w:t>demandé</w:t>
            </w:r>
            <w:r w:rsidR="0049107A" w:rsidRPr="00DD2C62">
              <w:t xml:space="preserve"> </w:t>
            </w:r>
            <w:r w:rsidRPr="00DD2C62">
              <w:t>des</w:t>
            </w:r>
            <w:r w:rsidR="0049107A" w:rsidRPr="00DD2C62">
              <w:t xml:space="preserve"> </w:t>
            </w:r>
            <w:r w:rsidRPr="00DD2C62">
              <w:t>éclaircissements</w:t>
            </w:r>
            <w:r w:rsidR="0049107A" w:rsidRPr="00DD2C62">
              <w:t xml:space="preserve"> </w:t>
            </w:r>
            <w:r w:rsidRPr="00DD2C62">
              <w:t>sur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manière</w:t>
            </w:r>
            <w:r w:rsidR="0049107A" w:rsidRPr="00DD2C62">
              <w:t xml:space="preserve"> </w:t>
            </w:r>
            <w:r w:rsidRPr="00DD2C62">
              <w:t>dont</w:t>
            </w:r>
            <w:r w:rsidR="0049107A" w:rsidRPr="00DD2C62">
              <w:t xml:space="preserve"> </w:t>
            </w:r>
            <w:r w:rsidRPr="00DD2C62">
              <w:t>l’article</w:t>
            </w:r>
            <w:r w:rsidR="0049107A" w:rsidRPr="00DD2C62">
              <w:t xml:space="preserve"> </w:t>
            </w:r>
            <w:r w:rsidRPr="00DD2C62">
              <w:t>4</w:t>
            </w:r>
            <w:r w:rsidR="0049107A" w:rsidRPr="00DD2C62">
              <w:t xml:space="preserve"> </w:t>
            </w:r>
            <w:r w:rsidRPr="00DD2C62">
              <w:t>(</w:t>
            </w:r>
            <w:r w:rsidR="00DD2C62">
              <w:t>par. </w:t>
            </w:r>
            <w:r w:rsidRPr="00DD2C62">
              <w:t>1),</w:t>
            </w:r>
            <w:r w:rsidR="0049107A" w:rsidRPr="00DD2C62">
              <w:t xml:space="preserve"> </w:t>
            </w:r>
            <w:r w:rsidRPr="00DD2C62">
              <w:t>y</w:t>
            </w:r>
            <w:r w:rsidR="009E7617">
              <w:t> </w:t>
            </w:r>
            <w:r w:rsidRPr="00DD2C62">
              <w:t>compris</w:t>
            </w:r>
            <w:r w:rsidR="0049107A" w:rsidRPr="00DD2C62">
              <w:t xml:space="preserve"> </w:t>
            </w:r>
            <w:r w:rsidRPr="00DD2C62">
              <w:t>l’appendice</w:t>
            </w:r>
            <w:r w:rsidR="0049107A" w:rsidRPr="00DD2C62">
              <w:t xml:space="preserve"> </w:t>
            </w:r>
            <w:r w:rsidRPr="00DD2C62">
              <w:t>II,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  <w:r w:rsidR="0049107A" w:rsidRPr="00DD2C62">
              <w:t xml:space="preserve"> </w:t>
            </w:r>
            <w:r w:rsidRPr="00DD2C62">
              <w:t>concernant</w:t>
            </w:r>
            <w:r w:rsidR="0049107A" w:rsidRPr="00DD2C62">
              <w:t xml:space="preserve"> </w:t>
            </w:r>
            <w:r w:rsidRPr="00DD2C62">
              <w:t>le</w:t>
            </w:r>
            <w:r w:rsidR="0049107A" w:rsidRPr="00DD2C62">
              <w:t xml:space="preserve"> </w:t>
            </w:r>
            <w:r w:rsidRPr="00DD2C62">
              <w:t>dossier</w:t>
            </w:r>
            <w:r w:rsidR="0049107A" w:rsidRPr="00DD2C62">
              <w:t xml:space="preserve"> </w:t>
            </w:r>
            <w:r w:rsidRPr="00DD2C62">
              <w:t>d’évaluation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l’impact</w:t>
            </w:r>
            <w:r w:rsidR="0049107A" w:rsidRPr="00DD2C62">
              <w:t xml:space="preserve"> </w:t>
            </w:r>
            <w:r w:rsidRPr="00DD2C62">
              <w:t>sur</w:t>
            </w:r>
            <w:r w:rsidR="0049107A" w:rsidRPr="00DD2C62">
              <w:t xml:space="preserve"> </w:t>
            </w:r>
            <w:r w:rsidRPr="00DD2C62">
              <w:t>l’environnement,</w:t>
            </w:r>
            <w:r w:rsidR="0049107A" w:rsidRPr="00DD2C62">
              <w:t xml:space="preserve"> </w:t>
            </w:r>
            <w:r w:rsidRPr="00DD2C62">
              <w:t>était</w:t>
            </w:r>
            <w:r w:rsidR="0049107A" w:rsidRPr="00DD2C62">
              <w:t xml:space="preserve"> </w:t>
            </w:r>
            <w:r w:rsidRPr="00DD2C62">
              <w:t>mis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œuvre</w:t>
            </w:r>
            <w:r w:rsidR="0049107A" w:rsidRPr="00DD2C62">
              <w:t xml:space="preserve"> </w:t>
            </w:r>
            <w:r w:rsidRPr="00DD2C62">
              <w:t>dans</w:t>
            </w:r>
            <w:r w:rsidR="0049107A" w:rsidRPr="00DD2C62">
              <w:t xml:space="preserve"> </w:t>
            </w:r>
            <w:r w:rsidRPr="00DD2C62">
              <w:t>les</w:t>
            </w:r>
            <w:r w:rsidR="0049107A" w:rsidRPr="00DD2C62">
              <w:t xml:space="preserve"> </w:t>
            </w:r>
            <w:r w:rsidRPr="00DD2C62">
              <w:t>cadres</w:t>
            </w:r>
            <w:r w:rsidR="0049107A" w:rsidRPr="00DD2C62">
              <w:t xml:space="preserve"> </w:t>
            </w:r>
            <w:r w:rsidRPr="00DD2C62">
              <w:t>juridique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administratif</w:t>
            </w:r>
            <w:r w:rsidR="0049107A" w:rsidRPr="00DD2C62">
              <w:t xml:space="preserve"> </w:t>
            </w:r>
            <w:r w:rsidRPr="00DD2C62">
              <w:t>nationaux</w:t>
            </w:r>
            <w:r w:rsidR="0049107A" w:rsidRPr="00DD2C62">
              <w:t xml:space="preserve"> </w:t>
            </w:r>
            <w:r w:rsidRPr="00DD2C62">
              <w:t>des</w:t>
            </w:r>
            <w:r w:rsidR="009E7617">
              <w:t xml:space="preserve"> </w:t>
            </w:r>
            <w:r w:rsidRPr="00DD2C62">
              <w:t>Parties</w:t>
            </w:r>
          </w:p>
        </w:tc>
      </w:tr>
      <w:tr w:rsidR="002749FA" w:rsidRPr="00DD2C62" w14:paraId="0FB7897F" w14:textId="77777777" w:rsidTr="004B4F6B">
        <w:tc>
          <w:tcPr>
            <w:tcW w:w="1618" w:type="dxa"/>
            <w:shd w:val="clear" w:color="auto" w:fill="auto"/>
          </w:tcPr>
          <w:p w14:paraId="513C5F7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EIAIC/SCI/5/3</w:t>
            </w:r>
          </w:p>
        </w:tc>
        <w:tc>
          <w:tcPr>
            <w:tcW w:w="2068" w:type="dxa"/>
            <w:shd w:val="clear" w:color="auto" w:fill="auto"/>
          </w:tcPr>
          <w:p w14:paraId="1427B29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France</w:t>
            </w:r>
          </w:p>
        </w:tc>
        <w:tc>
          <w:tcPr>
            <w:tcW w:w="3684" w:type="dxa"/>
            <w:shd w:val="clear" w:color="auto" w:fill="auto"/>
          </w:tcPr>
          <w:p w14:paraId="51FA706B" w14:textId="77777777" w:rsidR="002749FA" w:rsidRPr="00DD2C62" w:rsidRDefault="002749FA" w:rsidP="00054772">
            <w:pPr>
              <w:spacing w:before="40" w:after="120"/>
            </w:pPr>
            <w:r w:rsidRPr="00DD2C62">
              <w:t>Manque</w:t>
            </w:r>
            <w:r w:rsidR="0049107A" w:rsidRPr="00DD2C62">
              <w:t xml:space="preserve"> </w:t>
            </w:r>
            <w:r w:rsidRPr="00DD2C62">
              <w:t>apparent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renvoi</w:t>
            </w:r>
            <w:r w:rsidR="0049107A" w:rsidRPr="00DD2C62">
              <w:t xml:space="preserve"> </w:t>
            </w:r>
            <w:r w:rsidRPr="00DD2C62">
              <w:t>dans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législation</w:t>
            </w:r>
            <w:r w:rsidR="0049107A" w:rsidRPr="00DD2C62">
              <w:t xml:space="preserve"> </w:t>
            </w:r>
            <w:r w:rsidRPr="00DD2C62">
              <w:t>nationale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une</w:t>
            </w:r>
            <w:r w:rsidR="0049107A" w:rsidRPr="00DD2C62">
              <w:t xml:space="preserve"> </w:t>
            </w:r>
            <w:r w:rsidRPr="00DD2C62">
              <w:t>liste</w:t>
            </w:r>
            <w:r w:rsidR="0049107A" w:rsidRPr="00DD2C62">
              <w:t xml:space="preserve"> </w:t>
            </w:r>
            <w:r w:rsidRPr="00DD2C62">
              <w:t>des</w:t>
            </w:r>
            <w:r w:rsidR="0049107A" w:rsidRPr="00DD2C62">
              <w:t xml:space="preserve"> </w:t>
            </w:r>
            <w:r w:rsidRPr="00DD2C62">
              <w:t>éléments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couvrir</w:t>
            </w:r>
            <w:r w:rsidR="0049107A" w:rsidRPr="00DD2C62">
              <w:t xml:space="preserve"> </w:t>
            </w:r>
            <w:r w:rsidRPr="00DD2C62">
              <w:t>par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décision</w:t>
            </w:r>
            <w:r w:rsidR="0049107A" w:rsidRPr="00DD2C62">
              <w:t xml:space="preserve"> </w:t>
            </w:r>
            <w:r w:rsidRPr="00DD2C62">
              <w:t>définitive</w:t>
            </w:r>
            <w:r w:rsidR="0049107A" w:rsidRPr="00DD2C62">
              <w:t xml:space="preserve"> </w:t>
            </w:r>
            <w:r w:rsidRPr="00DD2C62">
              <w:t>visée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l’article</w:t>
            </w:r>
            <w:r w:rsidR="0049107A" w:rsidRPr="00DD2C62">
              <w:t xml:space="preserve"> </w:t>
            </w:r>
            <w:r w:rsidRPr="00DD2C62">
              <w:t>6</w:t>
            </w:r>
            <w:r w:rsidR="0049107A" w:rsidRPr="00DD2C62">
              <w:t xml:space="preserve"> </w:t>
            </w:r>
            <w:r w:rsidRPr="00DD2C62">
              <w:t>(</w:t>
            </w:r>
            <w:r w:rsidR="00DD2C62">
              <w:t>par. </w:t>
            </w:r>
            <w:r w:rsidRPr="00DD2C62">
              <w:t>1)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Convention</w:t>
            </w:r>
          </w:p>
        </w:tc>
      </w:tr>
      <w:tr w:rsidR="00054772" w:rsidRPr="00DD2C62" w14:paraId="6DB8C036" w14:textId="77777777" w:rsidTr="004B4F6B">
        <w:tc>
          <w:tcPr>
            <w:tcW w:w="3686" w:type="dxa"/>
            <w:gridSpan w:val="2"/>
            <w:shd w:val="clear" w:color="auto" w:fill="auto"/>
          </w:tcPr>
          <w:p w14:paraId="0F2291B3" w14:textId="77777777" w:rsidR="00054772" w:rsidRPr="00DD2C62" w:rsidRDefault="00054772" w:rsidP="0049107A">
            <w:pPr>
              <w:spacing w:before="40" w:after="120"/>
              <w:ind w:right="113"/>
            </w:pPr>
            <w:r w:rsidRPr="00DD2C62">
              <w:br w:type="page"/>
            </w:r>
            <w:r w:rsidRPr="00DD2C62">
              <w:br w:type="page"/>
            </w:r>
            <w:r w:rsidRPr="00DD2C62">
              <w:rPr>
                <w:b/>
                <w:bCs/>
              </w:rPr>
              <w:t xml:space="preserve">Questions relative au Protocole </w:t>
            </w:r>
          </w:p>
        </w:tc>
        <w:tc>
          <w:tcPr>
            <w:tcW w:w="3684" w:type="dxa"/>
            <w:shd w:val="clear" w:color="auto" w:fill="auto"/>
          </w:tcPr>
          <w:p w14:paraId="3C3C3B39" w14:textId="77777777" w:rsidR="00054772" w:rsidRPr="00DD2C62" w:rsidRDefault="00054772" w:rsidP="00054772">
            <w:pPr>
              <w:spacing w:before="40" w:after="120"/>
            </w:pPr>
          </w:p>
        </w:tc>
      </w:tr>
      <w:tr w:rsidR="002749FA" w:rsidRPr="00DD2C62" w14:paraId="3ABD4ACB" w14:textId="77777777" w:rsidTr="004B4F6B">
        <w:tc>
          <w:tcPr>
            <w:tcW w:w="1618" w:type="dxa"/>
            <w:shd w:val="clear" w:color="auto" w:fill="auto"/>
          </w:tcPr>
          <w:p w14:paraId="63B2D4E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SEA/IC/SCI/2/1</w:t>
            </w:r>
          </w:p>
        </w:tc>
        <w:tc>
          <w:tcPr>
            <w:tcW w:w="2068" w:type="dxa"/>
            <w:shd w:val="clear" w:color="auto" w:fill="auto"/>
          </w:tcPr>
          <w:p w14:paraId="5E9E4A0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a.</w:t>
            </w:r>
            <w:r w:rsidR="0049107A" w:rsidRPr="00DD2C62">
              <w:t xml:space="preserve"> </w:t>
            </w:r>
            <w:r w:rsidRPr="00DD2C62">
              <w:t>Italie</w:t>
            </w:r>
            <w:r w:rsidRPr="00DD2C62">
              <w:br/>
              <w:t>b.</w:t>
            </w:r>
            <w:r w:rsidR="0049107A" w:rsidRPr="00DD2C62">
              <w:t xml:space="preserve"> </w:t>
            </w:r>
            <w:r w:rsidRPr="00DD2C62">
              <w:t>Serbie</w:t>
            </w:r>
          </w:p>
        </w:tc>
        <w:tc>
          <w:tcPr>
            <w:tcW w:w="3684" w:type="dxa"/>
            <w:shd w:val="clear" w:color="auto" w:fill="auto"/>
          </w:tcPr>
          <w:p w14:paraId="7989E905" w14:textId="77777777" w:rsidR="002749FA" w:rsidRPr="00DD2C62" w:rsidRDefault="002749FA" w:rsidP="00054772">
            <w:pPr>
              <w:spacing w:before="40" w:after="120"/>
            </w:pPr>
            <w:r w:rsidRPr="00DD2C62">
              <w:t>Manque</w:t>
            </w:r>
            <w:r w:rsidR="0049107A" w:rsidRPr="00DD2C62">
              <w:t xml:space="preserve"> </w:t>
            </w:r>
            <w:r w:rsidRPr="00DD2C62">
              <w:t>apparent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système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contrôle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qualité</w:t>
            </w:r>
            <w:r w:rsidR="0049107A" w:rsidRPr="00DD2C62">
              <w:t xml:space="preserve"> </w:t>
            </w:r>
            <w:r w:rsidRPr="00DD2C62">
              <w:t>des</w:t>
            </w:r>
            <w:r w:rsidR="0049107A" w:rsidRPr="00DD2C62">
              <w:t xml:space="preserve"> </w:t>
            </w:r>
            <w:r w:rsidRPr="00DD2C62">
              <w:t>rapports</w:t>
            </w:r>
            <w:r w:rsidR="0049107A" w:rsidRPr="00DD2C62">
              <w:t xml:space="preserve"> </w:t>
            </w:r>
            <w:r w:rsidRPr="00DD2C62">
              <w:t>environnementaux</w:t>
            </w:r>
            <w:r w:rsidR="0049107A" w:rsidRPr="00DD2C62">
              <w:t xml:space="preserve"> </w:t>
            </w:r>
            <w:r w:rsidRPr="00DD2C62">
              <w:t>permettant</w:t>
            </w:r>
            <w:r w:rsidR="0049107A" w:rsidRPr="00DD2C62">
              <w:t xml:space="preserve"> </w:t>
            </w:r>
            <w:r w:rsidRPr="00DD2C62">
              <w:t>d’assurer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pleine</w:t>
            </w:r>
            <w:r w:rsidR="0049107A" w:rsidRPr="00DD2C62">
              <w:t xml:space="preserve"> </w:t>
            </w:r>
            <w:r w:rsidRPr="00DD2C62">
              <w:t>application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l’article</w:t>
            </w:r>
            <w:r w:rsidR="0049107A" w:rsidRPr="00DD2C62">
              <w:t xml:space="preserve"> </w:t>
            </w:r>
            <w:r w:rsidRPr="00DD2C62">
              <w:t>7</w:t>
            </w:r>
            <w:r w:rsidR="0049107A" w:rsidRPr="00DD2C62">
              <w:t xml:space="preserve"> </w:t>
            </w:r>
            <w:r w:rsidRPr="00DD2C62">
              <w:t>(</w:t>
            </w:r>
            <w:r w:rsidR="00DD2C62">
              <w:t>par. </w:t>
            </w:r>
            <w:r w:rsidRPr="00DD2C62">
              <w:t>3)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Protocole</w:t>
            </w:r>
          </w:p>
        </w:tc>
      </w:tr>
      <w:tr w:rsidR="002749FA" w:rsidRPr="00DD2C62" w14:paraId="571EA7E8" w14:textId="77777777" w:rsidTr="004B4F6B">
        <w:tc>
          <w:tcPr>
            <w:tcW w:w="1618" w:type="dxa"/>
            <w:tcBorders>
              <w:bottom w:val="single" w:sz="12" w:space="0" w:color="auto"/>
            </w:tcBorders>
            <w:shd w:val="clear" w:color="auto" w:fill="auto"/>
          </w:tcPr>
          <w:p w14:paraId="0AEB2FD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SEA/IC/SCI/1/4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</w:tcPr>
          <w:p w14:paraId="7B96A8E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Union</w:t>
            </w:r>
            <w:r w:rsidR="0049107A" w:rsidRPr="00DD2C62">
              <w:t xml:space="preserve"> </w:t>
            </w:r>
            <w:r w:rsidRPr="00DD2C62">
              <w:t>européenne</w:t>
            </w:r>
          </w:p>
        </w:tc>
        <w:tc>
          <w:tcPr>
            <w:tcW w:w="3684" w:type="dxa"/>
            <w:tcBorders>
              <w:bottom w:val="single" w:sz="12" w:space="0" w:color="auto"/>
            </w:tcBorders>
            <w:shd w:val="clear" w:color="auto" w:fill="auto"/>
          </w:tcPr>
          <w:p w14:paraId="5DDBDF9E" w14:textId="77777777" w:rsidR="002749FA" w:rsidRPr="00DD2C62" w:rsidRDefault="002749FA" w:rsidP="00054772">
            <w:pPr>
              <w:spacing w:before="40" w:after="120"/>
            </w:pPr>
            <w:r w:rsidRPr="00DD2C62">
              <w:t>N’a</w:t>
            </w:r>
            <w:r w:rsidR="0049107A" w:rsidRPr="00DD2C62">
              <w:t xml:space="preserve"> </w:t>
            </w:r>
            <w:r w:rsidRPr="00DD2C62">
              <w:t>pas</w:t>
            </w:r>
            <w:r w:rsidR="0049107A" w:rsidRPr="00DD2C62">
              <w:t xml:space="preserve"> </w:t>
            </w:r>
            <w:r w:rsidRPr="00DD2C62">
              <w:t>complété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renvoyé</w:t>
            </w:r>
            <w:r w:rsidR="0049107A" w:rsidRPr="00DD2C62">
              <w:t xml:space="preserve"> </w:t>
            </w:r>
            <w:r w:rsidRPr="00DD2C62">
              <w:t>le</w:t>
            </w:r>
            <w:r w:rsidR="0049107A" w:rsidRPr="00DD2C62">
              <w:t xml:space="preserve"> </w:t>
            </w:r>
            <w:r w:rsidRPr="00DD2C62">
              <w:t>questionnaire</w:t>
            </w:r>
            <w:r w:rsidR="0049107A" w:rsidRPr="00DD2C62">
              <w:t xml:space="preserve"> </w:t>
            </w:r>
            <w:r w:rsidRPr="00DD2C62">
              <w:t>sur</w:t>
            </w:r>
            <w:r w:rsidR="0049107A" w:rsidRPr="00DD2C62">
              <w:t xml:space="preserve"> </w:t>
            </w:r>
            <w:r w:rsidRPr="00DD2C62">
              <w:t>l’application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Protocole</w:t>
            </w:r>
            <w:r w:rsidR="0049107A" w:rsidRPr="00DD2C62">
              <w:t xml:space="preserve"> </w:t>
            </w:r>
            <w:r w:rsidRPr="00DD2C62">
              <w:t>pour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période</w:t>
            </w:r>
            <w:r w:rsidR="0049107A" w:rsidRPr="00DD2C62">
              <w:t xml:space="preserve"> </w:t>
            </w:r>
            <w:r w:rsidRPr="00DD2C62">
              <w:t>2010</w:t>
            </w:r>
            <w:r w:rsidRPr="00DD2C62">
              <w:noBreakHyphen/>
              <w:t>2012,</w:t>
            </w:r>
            <w:r w:rsidR="0049107A" w:rsidRPr="00DD2C62">
              <w:t xml:space="preserve"> </w:t>
            </w:r>
            <w:r w:rsidRPr="00DD2C62">
              <w:t>conformément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l’obligation</w:t>
            </w:r>
            <w:r w:rsidR="0049107A" w:rsidRPr="00DD2C62">
              <w:t xml:space="preserve"> </w:t>
            </w:r>
            <w:r w:rsidRPr="00DD2C62">
              <w:t>énoncée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l’article</w:t>
            </w:r>
            <w:r w:rsidR="0049107A" w:rsidRPr="00DD2C62">
              <w:t xml:space="preserve"> </w:t>
            </w:r>
            <w:r w:rsidRPr="00DD2C62">
              <w:t>14</w:t>
            </w:r>
            <w:r w:rsidR="0049107A" w:rsidRPr="00DD2C62">
              <w:t xml:space="preserve"> </w:t>
            </w:r>
            <w:r w:rsidRPr="00DD2C62">
              <w:t>(</w:t>
            </w:r>
            <w:r w:rsidR="00DD2C62">
              <w:t>par. </w:t>
            </w:r>
            <w:r w:rsidRPr="00DD2C62">
              <w:t>7)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Protocole</w:t>
            </w:r>
          </w:p>
        </w:tc>
      </w:tr>
    </w:tbl>
    <w:p w14:paraId="4E1C649E" w14:textId="77777777" w:rsidR="002749FA" w:rsidRPr="00DD2C62" w:rsidRDefault="002749FA" w:rsidP="0049107A">
      <w:pPr>
        <w:pStyle w:val="H23G"/>
      </w:pPr>
      <w:r w:rsidRPr="00DD2C62">
        <w:tab/>
        <w:t>1.</w:t>
      </w:r>
      <w:r w:rsidRPr="00DD2C62">
        <w:tab/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Conventions</w:t>
      </w:r>
    </w:p>
    <w:p w14:paraId="324CEC79" w14:textId="77777777" w:rsidR="002749FA" w:rsidRPr="009E7617" w:rsidRDefault="009E7617" w:rsidP="0049107A">
      <w:pPr>
        <w:pStyle w:val="H4G"/>
      </w:pPr>
      <w:r>
        <w:tab/>
      </w:r>
      <w:r w:rsidR="002749FA" w:rsidRPr="00DD2C62">
        <w:tab/>
        <w:t>a)</w:t>
      </w:r>
      <w:r w:rsidR="002749FA" w:rsidRPr="00DD2C62">
        <w:tab/>
      </w:r>
      <w:r w:rsidR="002749FA" w:rsidRPr="009E7617">
        <w:t>Assurer,</w:t>
      </w:r>
      <w:r w:rsidR="0049107A" w:rsidRPr="009E7617">
        <w:t xml:space="preserve"> </w:t>
      </w:r>
      <w:r w:rsidR="002749FA" w:rsidRPr="009E7617">
        <w:t>en</w:t>
      </w:r>
      <w:r w:rsidR="0049107A" w:rsidRPr="009E7617">
        <w:t xml:space="preserve"> </w:t>
      </w:r>
      <w:r w:rsidR="002749FA" w:rsidRPr="009E7617">
        <w:t>tant</w:t>
      </w:r>
      <w:r w:rsidR="0049107A" w:rsidRPr="009E7617">
        <w:t xml:space="preserve"> </w:t>
      </w:r>
      <w:r w:rsidR="002749FA" w:rsidRPr="009E7617">
        <w:t>que</w:t>
      </w:r>
      <w:r w:rsidR="0049107A" w:rsidRPr="009E7617">
        <w:t xml:space="preserve"> </w:t>
      </w:r>
      <w:r w:rsidR="002749FA" w:rsidRPr="009E7617">
        <w:t>Partie</w:t>
      </w:r>
      <w:r w:rsidR="0049107A" w:rsidRPr="009E7617">
        <w:t xml:space="preserve"> </w:t>
      </w:r>
      <w:r w:rsidR="002749FA" w:rsidRPr="009E7617">
        <w:t>touchée,</w:t>
      </w:r>
      <w:r w:rsidR="0049107A" w:rsidRPr="009E7617">
        <w:t xml:space="preserve"> </w:t>
      </w:r>
      <w:r w:rsidR="002749FA" w:rsidRPr="009E7617">
        <w:t>la</w:t>
      </w:r>
      <w:r w:rsidR="0049107A" w:rsidRPr="009E7617">
        <w:t xml:space="preserve"> </w:t>
      </w:r>
      <w:r w:rsidR="002749FA" w:rsidRPr="009E7617">
        <w:t>participation</w:t>
      </w:r>
      <w:r w:rsidR="0049107A" w:rsidRPr="009E7617">
        <w:t xml:space="preserve"> </w:t>
      </w:r>
      <w:r w:rsidR="002749FA" w:rsidRPr="009E7617">
        <w:t>du</w:t>
      </w:r>
      <w:r w:rsidR="0049107A" w:rsidRPr="009E7617">
        <w:t xml:space="preserve"> </w:t>
      </w:r>
      <w:r w:rsidR="002749FA" w:rsidRPr="009E7617">
        <w:t>public</w:t>
      </w:r>
      <w:r w:rsidR="0049107A" w:rsidRPr="009E7617">
        <w:t xml:space="preserve"> </w:t>
      </w:r>
      <w:r w:rsidR="002749FA" w:rsidRPr="009E7617">
        <w:t>à</w:t>
      </w:r>
      <w:r w:rsidR="0049107A" w:rsidRPr="009E7617">
        <w:t xml:space="preserve"> </w:t>
      </w:r>
      <w:r w:rsidR="002749FA" w:rsidRPr="009E7617">
        <w:t>la</w:t>
      </w:r>
      <w:r w:rsidR="0049107A" w:rsidRPr="009E7617">
        <w:t xml:space="preserve"> </w:t>
      </w:r>
      <w:r w:rsidR="002749FA" w:rsidRPr="009E7617">
        <w:t>procédure</w:t>
      </w:r>
      <w:r w:rsidR="0049107A" w:rsidRPr="009E7617">
        <w:t xml:space="preserve"> </w:t>
      </w:r>
      <w:r w:rsidR="002749FA" w:rsidRPr="009E7617">
        <w:t>d’évaluation</w:t>
      </w:r>
      <w:r w:rsidR="0049107A" w:rsidRPr="009E7617">
        <w:t xml:space="preserve"> </w:t>
      </w:r>
      <w:r w:rsidR="002749FA" w:rsidRPr="009E7617">
        <w:t>de</w:t>
      </w:r>
      <w:r w:rsidRPr="009E7617">
        <w:t xml:space="preserve"> </w:t>
      </w:r>
      <w:r w:rsidR="002749FA" w:rsidRPr="009E7617">
        <w:t>l’impact</w:t>
      </w:r>
      <w:r w:rsidR="0049107A" w:rsidRPr="009E7617">
        <w:t xml:space="preserve"> </w:t>
      </w:r>
      <w:r w:rsidR="002749FA" w:rsidRPr="009E7617">
        <w:t>sur</w:t>
      </w:r>
      <w:r w:rsidR="0049107A" w:rsidRPr="009E7617">
        <w:t xml:space="preserve"> </w:t>
      </w:r>
      <w:r w:rsidR="002749FA" w:rsidRPr="009E7617">
        <w:t>l’environnement</w:t>
      </w:r>
      <w:r w:rsidR="0049107A" w:rsidRPr="009E7617">
        <w:t xml:space="preserve"> </w:t>
      </w:r>
      <w:r w:rsidR="002749FA" w:rsidRPr="009E7617">
        <w:t>au</w:t>
      </w:r>
      <w:r w:rsidR="0049107A" w:rsidRPr="009E7617">
        <w:t xml:space="preserve"> </w:t>
      </w:r>
      <w:r w:rsidR="002749FA" w:rsidRPr="009E7617">
        <w:t>titre</w:t>
      </w:r>
      <w:r w:rsidR="0049107A" w:rsidRPr="009E7617">
        <w:t xml:space="preserve"> </w:t>
      </w:r>
      <w:r w:rsidR="002749FA" w:rsidRPr="009E7617">
        <w:t>des</w:t>
      </w:r>
      <w:r w:rsidR="0049107A" w:rsidRPr="009E7617">
        <w:t xml:space="preserve"> </w:t>
      </w:r>
      <w:r w:rsidR="002749FA" w:rsidRPr="009E7617">
        <w:t>articles</w:t>
      </w:r>
      <w:r w:rsidR="0049107A" w:rsidRPr="009E7617">
        <w:t xml:space="preserve"> </w:t>
      </w:r>
      <w:r w:rsidR="002749FA" w:rsidRPr="009E7617">
        <w:t>3</w:t>
      </w:r>
      <w:r w:rsidR="0049107A" w:rsidRPr="009E7617">
        <w:t xml:space="preserve"> </w:t>
      </w:r>
      <w:r w:rsidR="002749FA" w:rsidRPr="009E7617">
        <w:t>(</w:t>
      </w:r>
      <w:r w:rsidR="00DD2C62" w:rsidRPr="009E7617">
        <w:t>par. </w:t>
      </w:r>
      <w:r w:rsidR="002749FA" w:rsidRPr="009E7617">
        <w:t>8)</w:t>
      </w:r>
      <w:r w:rsidR="0049107A" w:rsidRPr="009E7617">
        <w:t xml:space="preserve"> </w:t>
      </w:r>
      <w:r w:rsidR="002749FA" w:rsidRPr="009E7617">
        <w:t>et</w:t>
      </w:r>
      <w:r w:rsidR="0049107A" w:rsidRPr="009E7617">
        <w:t xml:space="preserve"> </w:t>
      </w:r>
      <w:r w:rsidR="002749FA" w:rsidRPr="009E7617">
        <w:t>4</w:t>
      </w:r>
      <w:r w:rsidR="0049107A" w:rsidRPr="009E7617">
        <w:t xml:space="preserve"> </w:t>
      </w:r>
      <w:r w:rsidR="002749FA" w:rsidRPr="009E7617">
        <w:t>(</w:t>
      </w:r>
      <w:r w:rsidR="00DD2C62" w:rsidRPr="009E7617">
        <w:t>par. </w:t>
      </w:r>
      <w:r w:rsidR="002749FA" w:rsidRPr="009E7617">
        <w:t>2)</w:t>
      </w:r>
      <w:r w:rsidR="0049107A" w:rsidRPr="009E7617">
        <w:t xml:space="preserve"> </w:t>
      </w:r>
      <w:r w:rsidR="002749FA" w:rsidRPr="009E7617">
        <w:t>de</w:t>
      </w:r>
      <w:r>
        <w:t> </w:t>
      </w:r>
      <w:r w:rsidR="002749FA" w:rsidRPr="009E7617">
        <w:t>la</w:t>
      </w:r>
      <w:r w:rsidR="0049107A" w:rsidRPr="009E7617">
        <w:t xml:space="preserve"> </w:t>
      </w:r>
      <w:r w:rsidR="002749FA" w:rsidRPr="009E7617">
        <w:t>Convention</w:t>
      </w:r>
    </w:p>
    <w:p w14:paraId="4C18A716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EIA/IC/SCI/5/1(a</w:t>
      </w:r>
      <w:r w:rsidR="00054772">
        <w:t xml:space="preserve"> à </w:t>
      </w:r>
      <w:r w:rsidRPr="00DD2C62">
        <w:t>x)</w:t>
      </w:r>
    </w:p>
    <w:p w14:paraId="68CEDB9E" w14:textId="77777777" w:rsidR="002749FA" w:rsidRPr="00DD2C62" w:rsidRDefault="002749FA" w:rsidP="0049107A">
      <w:pPr>
        <w:pStyle w:val="SingleTxtG"/>
      </w:pPr>
      <w:r w:rsidRPr="00DD2C62">
        <w:t>54.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manière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n’ayant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pertinentes</w:t>
      </w:r>
      <w:r w:rsidR="0049107A" w:rsidRPr="00DD2C62">
        <w:t xml:space="preserve"> </w:t>
      </w:r>
      <w:r w:rsidRPr="00DD2C62">
        <w:t>exigeant</w:t>
      </w:r>
      <w:r w:rsidR="0049107A" w:rsidRPr="00DD2C62">
        <w:t xml:space="preserve"> </w:t>
      </w:r>
      <w:r w:rsidRPr="00DD2C62">
        <w:t>l’organisation</w:t>
      </w:r>
      <w:r w:rsidR="0049107A" w:rsidRPr="00DD2C62">
        <w:t xml:space="preserve"> </w:t>
      </w:r>
      <w:r w:rsidRPr="00DD2C62">
        <w:t>d’auditions</w:t>
      </w:r>
      <w:r w:rsidR="0049107A" w:rsidRPr="00DD2C62">
        <w:t xml:space="preserve"> </w:t>
      </w:r>
      <w:r w:rsidRPr="00DD2C62">
        <w:t>publiques</w:t>
      </w:r>
      <w:r w:rsidR="0049107A" w:rsidRPr="00DD2C62">
        <w:t xml:space="preserve"> </w:t>
      </w:r>
      <w:r w:rsidRPr="00DD2C62">
        <w:t>assuraient,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tant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touchées,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participation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public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d’EIE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articles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8)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4</w:t>
      </w:r>
      <w:r w:rsidR="00054772">
        <w:t> 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s’est</w:t>
      </w:r>
      <w:r w:rsidR="0049107A" w:rsidRPr="00DD2C62">
        <w:t xml:space="preserve"> </w:t>
      </w:r>
      <w:r w:rsidRPr="00DD2C62">
        <w:t>déclaré</w:t>
      </w:r>
      <w:r w:rsidR="0049107A" w:rsidRPr="00DD2C62">
        <w:t xml:space="preserve"> </w:t>
      </w:r>
      <w:r w:rsidRPr="00DD2C62">
        <w:t>satisfait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l’Albanie,</w:t>
      </w:r>
      <w:r w:rsidR="0049107A" w:rsidRPr="00DD2C62">
        <w:t xml:space="preserve"> </w:t>
      </w:r>
      <w:r w:rsidRPr="00DD2C62">
        <w:t>l’Autriche,</w:t>
      </w:r>
      <w:r w:rsidR="0049107A" w:rsidRPr="00DD2C62">
        <w:t xml:space="preserve"> </w:t>
      </w:r>
      <w:r w:rsidRPr="00DD2C62">
        <w:t>l’Azerbaïdjan,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Belgique,</w:t>
      </w:r>
      <w:r w:rsidR="0049107A" w:rsidRPr="00DD2C62">
        <w:t xml:space="preserve"> </w:t>
      </w:r>
      <w:r w:rsidRPr="00DD2C62">
        <w:t>Chypre,</w:t>
      </w:r>
      <w:r w:rsidR="0049107A" w:rsidRPr="00DD2C62">
        <w:t xml:space="preserve"> </w:t>
      </w:r>
      <w:r w:rsidR="009E7617" w:rsidRPr="00DD2C62">
        <w:t xml:space="preserve">la Croatie, </w:t>
      </w:r>
      <w:r w:rsidRPr="00DD2C62">
        <w:t>le</w:t>
      </w:r>
      <w:r w:rsidR="0049107A" w:rsidRPr="00DD2C62">
        <w:t xml:space="preserve"> </w:t>
      </w:r>
      <w:r w:rsidRPr="00DD2C62">
        <w:t>Danemark,</w:t>
      </w:r>
      <w:r w:rsidR="0049107A" w:rsidRPr="00DD2C62">
        <w:t xml:space="preserve"> </w:t>
      </w:r>
      <w:r w:rsidRPr="00DD2C62">
        <w:t>l’Espagne,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Finlande,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Grèce,</w:t>
      </w:r>
      <w:r w:rsidR="0049107A" w:rsidRPr="00DD2C62">
        <w:t xml:space="preserve"> </w:t>
      </w:r>
      <w:r w:rsidRPr="00DD2C62">
        <w:t>l’Irlande,</w:t>
      </w:r>
      <w:r w:rsidR="0049107A" w:rsidRPr="00DD2C62">
        <w:t xml:space="preserve"> </w:t>
      </w:r>
      <w:r w:rsidRPr="00DD2C62">
        <w:t>l’Italie,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Lettonie,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Liechtenstein,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Luxembourg,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Monténégro,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Norvège,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Portugal,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République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Moldova,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République</w:t>
      </w:r>
      <w:r w:rsidR="0049107A" w:rsidRPr="00DD2C62">
        <w:t xml:space="preserve"> </w:t>
      </w:r>
      <w:r w:rsidRPr="00DD2C62">
        <w:t>tchèque,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Slovaquie,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Suède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toutefois</w:t>
      </w:r>
      <w:r w:rsidR="0049107A" w:rsidRPr="00DD2C62">
        <w:t xml:space="preserve"> </w:t>
      </w:r>
      <w:r w:rsidRPr="00DD2C62">
        <w:t>regretté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Macédoine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Nord</w:t>
      </w:r>
      <w:r w:rsidR="0049107A" w:rsidRPr="00DD2C62">
        <w:t xml:space="preserve"> </w:t>
      </w:r>
      <w:r w:rsidRPr="00DD2C62">
        <w:t>n’ait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répondu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demandes</w:t>
      </w:r>
      <w:r w:rsidR="0049107A" w:rsidRPr="00DD2C62">
        <w:t xml:space="preserve"> </w:t>
      </w:r>
      <w:r w:rsidRPr="00DD2C62">
        <w:t>répétées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adressées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avril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doive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conséquent</w:t>
      </w:r>
      <w:r w:rsidR="0049107A" w:rsidRPr="00DD2C62">
        <w:t xml:space="preserve"> </w:t>
      </w:r>
      <w:r w:rsidRPr="00DD2C62">
        <w:t>reporter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="009E7617" w:rsidRPr="00DD2C62">
        <w:t xml:space="preserve">Partie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prochaine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intersessions.</w:t>
      </w:r>
    </w:p>
    <w:p w14:paraId="62CC3A6D" w14:textId="77777777" w:rsidR="002749FA" w:rsidRPr="00DD2C62" w:rsidRDefault="009E7617" w:rsidP="0049107A">
      <w:pPr>
        <w:pStyle w:val="H4G"/>
      </w:pPr>
      <w:r>
        <w:lastRenderedPageBreak/>
        <w:tab/>
      </w:r>
      <w:r w:rsidR="002749FA" w:rsidRPr="00DD2C62">
        <w:tab/>
        <w:t>b)</w:t>
      </w:r>
      <w:r w:rsidR="002749FA" w:rsidRPr="00DD2C62">
        <w:tab/>
        <w:t>Assurer</w:t>
      </w:r>
      <w:r w:rsidR="0049107A" w:rsidRPr="00DD2C62">
        <w:t xml:space="preserve"> </w:t>
      </w:r>
      <w:r w:rsidR="002749FA" w:rsidRPr="00DD2C62">
        <w:t>que</w:t>
      </w:r>
      <w:r w:rsidR="0049107A" w:rsidRPr="00DD2C62">
        <w:t xml:space="preserve"> </w:t>
      </w:r>
      <w:r w:rsidR="002749FA" w:rsidRPr="00DD2C62">
        <w:t>les</w:t>
      </w:r>
      <w:r w:rsidR="0049107A" w:rsidRPr="00DD2C62">
        <w:t xml:space="preserve"> </w:t>
      </w:r>
      <w:r w:rsidR="002749FA" w:rsidRPr="00DD2C62">
        <w:t>dossiers</w:t>
      </w:r>
      <w:r w:rsidR="0049107A" w:rsidRPr="00DD2C62">
        <w:t xml:space="preserve"> </w:t>
      </w:r>
      <w:r w:rsidR="002749FA" w:rsidRPr="00DD2C62">
        <w:t>d’évaluation</w:t>
      </w:r>
      <w:r w:rsidR="0049107A" w:rsidRPr="00DD2C62">
        <w:t xml:space="preserve"> </w:t>
      </w:r>
      <w:r w:rsidR="002749FA" w:rsidRPr="00DD2C62">
        <w:t>de</w:t>
      </w:r>
      <w:r w:rsidR="0049107A" w:rsidRPr="00DD2C62">
        <w:t xml:space="preserve"> </w:t>
      </w:r>
      <w:r w:rsidR="002749FA" w:rsidRPr="00DD2C62">
        <w:t>l’impact</w:t>
      </w:r>
      <w:r w:rsidR="0049107A" w:rsidRPr="00DD2C62">
        <w:t xml:space="preserve"> </w:t>
      </w:r>
      <w:r w:rsidR="002749FA" w:rsidRPr="00DD2C62">
        <w:t>sur</w:t>
      </w:r>
      <w:r w:rsidR="0049107A" w:rsidRPr="00DD2C62">
        <w:t xml:space="preserve"> </w:t>
      </w:r>
      <w:r w:rsidR="002749FA" w:rsidRPr="00DD2C62">
        <w:t>l’environnement</w:t>
      </w:r>
      <w:r w:rsidR="0049107A" w:rsidRPr="00DD2C62">
        <w:t xml:space="preserve"> </w:t>
      </w:r>
      <w:r w:rsidR="002749FA" w:rsidRPr="00DD2C62">
        <w:t>soient</w:t>
      </w:r>
      <w:r w:rsidR="0049107A" w:rsidRPr="00DD2C62">
        <w:t xml:space="preserve"> </w:t>
      </w:r>
      <w:r w:rsidR="002749FA" w:rsidRPr="00DD2C62">
        <w:t>d’une</w:t>
      </w:r>
      <w:r>
        <w:t> </w:t>
      </w:r>
      <w:r w:rsidR="002749FA" w:rsidRPr="00DD2C62">
        <w:t>qualité</w:t>
      </w:r>
      <w:r w:rsidR="0049107A" w:rsidRPr="00DD2C62">
        <w:t xml:space="preserve"> </w:t>
      </w:r>
      <w:r w:rsidR="002749FA" w:rsidRPr="00DD2C62">
        <w:t>suffisante</w:t>
      </w:r>
      <w:r w:rsidR="0049107A" w:rsidRPr="00DD2C62">
        <w:t xml:space="preserve"> </w:t>
      </w:r>
      <w:r w:rsidR="002749FA" w:rsidRPr="00DD2C62">
        <w:t>pour</w:t>
      </w:r>
      <w:r w:rsidR="0049107A" w:rsidRPr="00DD2C62">
        <w:t xml:space="preserve"> </w:t>
      </w:r>
      <w:r w:rsidR="002749FA" w:rsidRPr="00DD2C62">
        <w:t>permettre</w:t>
      </w:r>
      <w:r w:rsidR="0049107A" w:rsidRPr="00DD2C62">
        <w:t xml:space="preserve"> </w:t>
      </w:r>
      <w:r w:rsidR="002749FA" w:rsidRPr="00DD2C62">
        <w:t>la</w:t>
      </w:r>
      <w:r w:rsidR="0049107A" w:rsidRPr="00DD2C62">
        <w:t xml:space="preserve"> </w:t>
      </w:r>
      <w:r w:rsidR="002749FA" w:rsidRPr="00DD2C62">
        <w:t>pleine</w:t>
      </w:r>
      <w:r w:rsidR="0049107A" w:rsidRPr="00DD2C62">
        <w:t xml:space="preserve"> </w:t>
      </w:r>
      <w:r w:rsidR="002749FA" w:rsidRPr="00DD2C62">
        <w:t>application</w:t>
      </w:r>
      <w:r w:rsidR="0049107A" w:rsidRPr="00DD2C62">
        <w:t xml:space="preserve"> </w:t>
      </w:r>
      <w:r w:rsidR="002749FA" w:rsidRPr="00DD2C62">
        <w:t>de</w:t>
      </w:r>
      <w:r w:rsidR="0049107A" w:rsidRPr="00DD2C62">
        <w:t xml:space="preserve"> </w:t>
      </w:r>
      <w:r w:rsidR="002749FA" w:rsidRPr="00DD2C62">
        <w:t>l’article</w:t>
      </w:r>
      <w:r w:rsidR="0049107A" w:rsidRPr="00DD2C62">
        <w:t xml:space="preserve"> </w:t>
      </w:r>
      <w:r w:rsidR="002749FA" w:rsidRPr="00DD2C62">
        <w:t>4</w:t>
      </w:r>
      <w:r w:rsidR="0049107A" w:rsidRPr="00DD2C62">
        <w:t xml:space="preserve"> </w:t>
      </w:r>
      <w:r w:rsidR="002749FA" w:rsidRPr="00DD2C62">
        <w:t>(</w:t>
      </w:r>
      <w:r w:rsidR="00DD2C62">
        <w:t>par. </w:t>
      </w:r>
      <w:r w:rsidR="002749FA" w:rsidRPr="00DD2C62">
        <w:t>1)</w:t>
      </w:r>
      <w:r w:rsidR="0049107A" w:rsidRPr="00DD2C62">
        <w:t xml:space="preserve"> </w:t>
      </w:r>
      <w:r w:rsidR="002749FA" w:rsidRPr="00DD2C62">
        <w:t>de</w:t>
      </w:r>
      <w:r>
        <w:t> </w:t>
      </w:r>
      <w:r w:rsidR="002749FA" w:rsidRPr="00DD2C62">
        <w:t>la</w:t>
      </w:r>
      <w:r>
        <w:t> </w:t>
      </w:r>
      <w:r w:rsidR="002749FA" w:rsidRPr="00DD2C62">
        <w:t>Convention</w:t>
      </w:r>
    </w:p>
    <w:p w14:paraId="4FEA555E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EIA/IC/SCI/5/2</w:t>
      </w:r>
      <w:r w:rsidR="0049107A" w:rsidRPr="00DD2C62">
        <w:t xml:space="preserve"> </w:t>
      </w:r>
      <w:r w:rsidRPr="00DD2C62">
        <w:t>(a</w:t>
      </w:r>
      <w:r w:rsidR="00054772">
        <w:t xml:space="preserve"> à </w:t>
      </w:r>
      <w:r w:rsidRPr="00DD2C62">
        <w:t>d)</w:t>
      </w:r>
    </w:p>
    <w:p w14:paraId="6BD9D4F5" w14:textId="77777777" w:rsidR="002749FA" w:rsidRPr="00DD2C62" w:rsidRDefault="002749FA" w:rsidP="0049107A">
      <w:pPr>
        <w:pStyle w:val="SingleTxtG"/>
      </w:pPr>
      <w:r w:rsidRPr="00DD2C62">
        <w:t>55.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l’Italie,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Luxembourg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Malte,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d’origine,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disposaient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mécanismes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permettant</w:t>
      </w:r>
      <w:r w:rsidR="0049107A" w:rsidRPr="00DD2C62">
        <w:t xml:space="preserve"> </w:t>
      </w:r>
      <w:r w:rsidRPr="00DD2C62">
        <w:t>d’assurer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dossiers</w:t>
      </w:r>
      <w:r w:rsidR="0049107A" w:rsidRPr="00DD2C62">
        <w:t xml:space="preserve"> </w:t>
      </w:r>
      <w:r w:rsidRPr="00DD2C62">
        <w:t>d’évaluation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soient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suffisante,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Slovaquie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fourni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réponse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</w:t>
      </w:r>
      <w:r w:rsidR="0049107A" w:rsidRPr="00DD2C62">
        <w:t xml:space="preserve"> </w:t>
      </w:r>
      <w:r w:rsidRPr="00DD2C62">
        <w:t>égard.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s’est</w:t>
      </w:r>
      <w:r w:rsidR="0049107A" w:rsidRPr="00DD2C62">
        <w:t xml:space="preserve"> </w:t>
      </w:r>
      <w:r w:rsidRPr="00DD2C62">
        <w:t>déclaré</w:t>
      </w:r>
      <w:r w:rsidR="0049107A" w:rsidRPr="00DD2C62">
        <w:t xml:space="preserve"> </w:t>
      </w:r>
      <w:r w:rsidRPr="00DD2C62">
        <w:t>satisfait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manière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l’appendice</w:t>
      </w:r>
      <w:r w:rsidR="0049107A" w:rsidRPr="00DD2C62">
        <w:t xml:space="preserve"> </w:t>
      </w:r>
      <w:r w:rsidRPr="00DD2C62">
        <w:t>II,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l’établissement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dossiers</w:t>
      </w:r>
      <w:r w:rsidR="0049107A" w:rsidRPr="00DD2C62">
        <w:t xml:space="preserve"> </w:t>
      </w:r>
      <w:r w:rsidRPr="00DD2C62">
        <w:t>d’EIE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appliqué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leurs</w:t>
      </w:r>
      <w:r w:rsidR="0049107A" w:rsidRPr="00DD2C62">
        <w:t xml:space="preserve"> </w:t>
      </w:r>
      <w:r w:rsidRPr="00DD2C62">
        <w:t>cadres</w:t>
      </w:r>
      <w:r w:rsidR="0049107A" w:rsidRPr="00DD2C62">
        <w:t xml:space="preserve"> </w:t>
      </w:r>
      <w:r w:rsidRPr="00DD2C62">
        <w:t>juridique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administratif</w:t>
      </w:r>
      <w:r w:rsidR="0049107A" w:rsidRPr="00DD2C62">
        <w:t xml:space="preserve"> </w:t>
      </w:r>
      <w:r w:rsidRPr="00DD2C62">
        <w:t>nationaux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décidé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donner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l’espèce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dispositions.</w:t>
      </w:r>
    </w:p>
    <w:p w14:paraId="1ECBA4BB" w14:textId="77777777" w:rsidR="002749FA" w:rsidRPr="00DD2C62" w:rsidRDefault="009E7617" w:rsidP="0049107A">
      <w:pPr>
        <w:pStyle w:val="H4G"/>
      </w:pPr>
      <w:r>
        <w:tab/>
      </w:r>
      <w:r w:rsidR="002749FA" w:rsidRPr="00DD2C62">
        <w:tab/>
        <w:t>c)</w:t>
      </w:r>
      <w:r w:rsidR="002749FA" w:rsidRPr="00DD2C62">
        <w:tab/>
        <w:t>Éléments</w:t>
      </w:r>
      <w:r w:rsidR="0049107A" w:rsidRPr="00DD2C62">
        <w:t xml:space="preserve"> </w:t>
      </w:r>
      <w:r w:rsidR="002749FA" w:rsidRPr="00DD2C62">
        <w:t>devant</w:t>
      </w:r>
      <w:r w:rsidR="0049107A" w:rsidRPr="00DD2C62">
        <w:t xml:space="preserve"> </w:t>
      </w:r>
      <w:r w:rsidR="002749FA" w:rsidRPr="00DD2C62">
        <w:t>être</w:t>
      </w:r>
      <w:r w:rsidR="0049107A" w:rsidRPr="00DD2C62">
        <w:t xml:space="preserve"> </w:t>
      </w:r>
      <w:r w:rsidR="002749FA" w:rsidRPr="00DD2C62">
        <w:t>abordés</w:t>
      </w:r>
      <w:r w:rsidR="0049107A" w:rsidRPr="00DD2C62">
        <w:t xml:space="preserve"> </w:t>
      </w:r>
      <w:r w:rsidR="002749FA" w:rsidRPr="00DD2C62">
        <w:t>dans</w:t>
      </w:r>
      <w:r w:rsidR="0049107A" w:rsidRPr="00DD2C62">
        <w:t xml:space="preserve"> </w:t>
      </w:r>
      <w:r w:rsidR="002749FA" w:rsidRPr="00DD2C62">
        <w:t>la</w:t>
      </w:r>
      <w:r w:rsidR="0049107A" w:rsidRPr="00DD2C62">
        <w:t xml:space="preserve"> </w:t>
      </w:r>
      <w:r w:rsidR="002749FA" w:rsidRPr="00DD2C62">
        <w:t>décision</w:t>
      </w:r>
      <w:r w:rsidR="0049107A" w:rsidRPr="00DD2C62">
        <w:t xml:space="preserve"> </w:t>
      </w:r>
      <w:r w:rsidR="002749FA" w:rsidRPr="00DD2C62">
        <w:t>définitive</w:t>
      </w:r>
      <w:r w:rsidR="0049107A" w:rsidRPr="00DD2C62">
        <w:t xml:space="preserve"> </w:t>
      </w:r>
      <w:r w:rsidR="002749FA" w:rsidRPr="00DD2C62">
        <w:t>conformément</w:t>
      </w:r>
      <w:r w:rsidR="0049107A" w:rsidRPr="00DD2C62">
        <w:t xml:space="preserve"> </w:t>
      </w:r>
      <w:r w:rsidR="002749FA" w:rsidRPr="00DD2C62">
        <w:t>à</w:t>
      </w:r>
      <w:r w:rsidR="0049107A" w:rsidRPr="00DD2C62">
        <w:t xml:space="preserve"> </w:t>
      </w:r>
      <w:r w:rsidR="002749FA" w:rsidRPr="00DD2C62">
        <w:t>l’article</w:t>
      </w:r>
      <w:r w:rsidR="0049107A" w:rsidRPr="00DD2C62">
        <w:t xml:space="preserve"> </w:t>
      </w:r>
      <w:r w:rsidR="002749FA" w:rsidRPr="00DD2C62">
        <w:t>6</w:t>
      </w:r>
      <w:r w:rsidR="0049107A" w:rsidRPr="00DD2C62">
        <w:t xml:space="preserve"> </w:t>
      </w:r>
      <w:r w:rsidR="002749FA" w:rsidRPr="00DD2C62">
        <w:t>(</w:t>
      </w:r>
      <w:r w:rsidR="00DD2C62">
        <w:t>par. </w:t>
      </w:r>
      <w:r w:rsidR="002749FA" w:rsidRPr="00DD2C62">
        <w:t>1)</w:t>
      </w:r>
      <w:r w:rsidR="0049107A" w:rsidRPr="00DD2C62">
        <w:t xml:space="preserve"> </w:t>
      </w:r>
      <w:r w:rsidR="002749FA" w:rsidRPr="00DD2C62">
        <w:t>de</w:t>
      </w:r>
      <w:r w:rsidR="0049107A" w:rsidRPr="00DD2C62">
        <w:t xml:space="preserve"> </w:t>
      </w:r>
      <w:r w:rsidR="002749FA" w:rsidRPr="00DD2C62">
        <w:t>la</w:t>
      </w:r>
      <w:r w:rsidR="0049107A" w:rsidRPr="00DD2C62">
        <w:t xml:space="preserve"> </w:t>
      </w:r>
      <w:r w:rsidR="002749FA" w:rsidRPr="00DD2C62">
        <w:t>Convention</w:t>
      </w:r>
    </w:p>
    <w:p w14:paraId="057B58CD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EIA/IC/SCI/5/3</w:t>
      </w:r>
    </w:p>
    <w:p w14:paraId="680A7328" w14:textId="77777777" w:rsidR="002749FA" w:rsidRPr="00DD2C62" w:rsidRDefault="002749FA" w:rsidP="0049107A">
      <w:pPr>
        <w:pStyle w:val="SingleTxtG"/>
      </w:pPr>
      <w:r w:rsidRPr="00DD2C62">
        <w:t>56.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aussi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France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liste</w:t>
      </w:r>
      <w:r w:rsidR="0049107A" w:rsidRPr="00DD2C62">
        <w:t xml:space="preserve"> </w:t>
      </w:r>
      <w:r w:rsidRPr="00DD2C62">
        <w:t>exhaustive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éléments</w:t>
      </w:r>
      <w:r w:rsidR="0049107A" w:rsidRPr="00DD2C62">
        <w:t xml:space="preserve"> </w:t>
      </w:r>
      <w:r w:rsidRPr="00DD2C62">
        <w:t>devant</w:t>
      </w:r>
      <w:r w:rsidR="0049107A" w:rsidRPr="00DD2C62">
        <w:t xml:space="preserve"> </w:t>
      </w:r>
      <w:r w:rsidRPr="00DD2C62">
        <w:t>être</w:t>
      </w:r>
      <w:r w:rsidR="0049107A" w:rsidRPr="00DD2C62">
        <w:t xml:space="preserve"> </w:t>
      </w:r>
      <w:r w:rsidRPr="00DD2C62">
        <w:t>abordés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autorisant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faisant</w:t>
      </w:r>
      <w:r w:rsidR="0049107A" w:rsidRPr="00DD2C62">
        <w:t xml:space="preserve"> </w:t>
      </w:r>
      <w:r w:rsidRPr="00DD2C62">
        <w:t>l’objet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pouvait</w:t>
      </w:r>
      <w:r w:rsidR="0049107A" w:rsidRPr="00DD2C62">
        <w:t xml:space="preserve"> </w:t>
      </w:r>
      <w:r w:rsidRPr="00DD2C62">
        <w:t>donc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indiquer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éléments</w:t>
      </w:r>
      <w:r w:rsidR="0049107A" w:rsidRPr="00DD2C62">
        <w:t xml:space="preserve"> </w:t>
      </w:r>
      <w:r w:rsidRPr="00DD2C62">
        <w:t>devant</w:t>
      </w:r>
      <w:r w:rsidR="0049107A" w:rsidRPr="00DD2C62">
        <w:t xml:space="preserve"> </w:t>
      </w:r>
      <w:r w:rsidRPr="00DD2C62">
        <w:t>être</w:t>
      </w:r>
      <w:r w:rsidR="0049107A" w:rsidRPr="00DD2C62">
        <w:t xml:space="preserve"> </w:t>
      </w:r>
      <w:r w:rsidRPr="00DD2C62">
        <w:t>abordés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définitive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prévu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6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satisfait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réponse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France</w:t>
      </w:r>
      <w:r w:rsidR="0049107A" w:rsidRPr="00DD2C62">
        <w:t xml:space="preserve"> </w:t>
      </w:r>
      <w:r w:rsidRPr="00DD2C62">
        <w:t>expliquant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manière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6</w:t>
      </w:r>
      <w:r w:rsidR="00054772">
        <w:t> </w:t>
      </w:r>
      <w:r w:rsidRPr="00DD2C62">
        <w:t>(</w:t>
      </w:r>
      <w:r w:rsidR="00DD2C62">
        <w:t>par. </w:t>
      </w:r>
      <w:r w:rsidRPr="00DD2C62">
        <w:t>1)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mis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œuvre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nationale.</w:t>
      </w:r>
    </w:p>
    <w:p w14:paraId="73F0B8B1" w14:textId="77777777" w:rsidR="002749FA" w:rsidRPr="00DD2C62" w:rsidRDefault="002749FA" w:rsidP="0049107A">
      <w:pPr>
        <w:pStyle w:val="H23G"/>
      </w:pPr>
      <w:r w:rsidRPr="00DD2C62">
        <w:tab/>
        <w:t>2.</w:t>
      </w:r>
      <w:r w:rsidRPr="00DD2C62">
        <w:tab/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</w:p>
    <w:p w14:paraId="74EA6578" w14:textId="77777777" w:rsidR="002749FA" w:rsidRPr="00DD2C62" w:rsidRDefault="002749FA" w:rsidP="0049107A">
      <w:pPr>
        <w:pStyle w:val="H4G"/>
      </w:pPr>
      <w:r w:rsidRPr="00DD2C62">
        <w:tab/>
      </w:r>
      <w:r w:rsidR="009E7617">
        <w:tab/>
      </w:r>
      <w:r w:rsidRPr="00DD2C62">
        <w:t>a)</w:t>
      </w:r>
      <w:r w:rsidRPr="00DD2C62">
        <w:tab/>
        <w:t>Assurer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environnemental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garantir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pleine</w:t>
      </w:r>
      <w:r w:rsidR="0049107A" w:rsidRPr="00DD2C62">
        <w:t xml:space="preserve"> </w:t>
      </w:r>
      <w:r w:rsidRPr="00DD2C62">
        <w:t>application</w:t>
      </w:r>
      <w:r w:rsidR="0049107A" w:rsidRPr="00DD2C62">
        <w:t xml:space="preserve"> </w:t>
      </w:r>
      <w:r w:rsidRPr="00DD2C62">
        <w:t>de</w:t>
      </w:r>
      <w:r w:rsidR="00054772">
        <w:t> </w:t>
      </w:r>
      <w:r w:rsidRPr="00DD2C62">
        <w:t>l’article</w:t>
      </w:r>
      <w:r w:rsidR="0049107A" w:rsidRPr="00DD2C62">
        <w:t xml:space="preserve"> </w:t>
      </w:r>
      <w:r w:rsidRPr="00DD2C62">
        <w:t>7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3)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</w:p>
    <w:p w14:paraId="5F43A082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SEA/IC/SCI/2/1</w:t>
      </w:r>
      <w:r w:rsidR="0049107A" w:rsidRPr="00DD2C62">
        <w:t xml:space="preserve"> </w:t>
      </w:r>
      <w:r w:rsidRPr="00DD2C62">
        <w:t>(a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b)</w:t>
      </w:r>
    </w:p>
    <w:p w14:paraId="40717511" w14:textId="77777777" w:rsidR="002749FA" w:rsidRPr="00DD2C62" w:rsidRDefault="002749FA" w:rsidP="0049107A">
      <w:pPr>
        <w:pStyle w:val="SingleTxtG"/>
      </w:pPr>
      <w:r w:rsidRPr="00DD2C62">
        <w:t>57.</w:t>
      </w:r>
      <w:r w:rsidRPr="00DD2C62">
        <w:tab/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réponses</w:t>
      </w:r>
      <w:r w:rsidR="0049107A" w:rsidRPr="00DD2C62">
        <w:t xml:space="preserve"> </w:t>
      </w:r>
      <w:r w:rsidRPr="00DD2C62">
        <w:t>apportées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l’Italie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questionnaires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visée</w:t>
      </w:r>
      <w:r w:rsidR="0049107A" w:rsidRPr="00DD2C62">
        <w:t xml:space="preserve"> </w:t>
      </w:r>
      <w:r w:rsidRPr="00DD2C62">
        <w:t>2016</w:t>
      </w:r>
      <w:r w:rsidR="00AB7317">
        <w:t>-</w:t>
      </w:r>
      <w:r w:rsidRPr="00DD2C62">
        <w:t>2018,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7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3)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s’agissant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manière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elles</w:t>
      </w:r>
      <w:r w:rsidR="0049107A" w:rsidRPr="00DD2C62">
        <w:t xml:space="preserve"> </w:t>
      </w:r>
      <w:r w:rsidRPr="00DD2C62">
        <w:t>s’assuraient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rapports</w:t>
      </w:r>
      <w:r w:rsidR="0049107A" w:rsidRPr="00DD2C62">
        <w:t xml:space="preserve"> </w:t>
      </w:r>
      <w:r w:rsidRPr="00DD2C62">
        <w:t>soient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qualité</w:t>
      </w:r>
      <w:r w:rsidR="0049107A" w:rsidRPr="00DD2C62">
        <w:t xml:space="preserve"> </w:t>
      </w:r>
      <w:r w:rsidRPr="00DD2C62">
        <w:t>suffisante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savoir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suivie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pratique</w:t>
      </w:r>
      <w:r w:rsidR="0049107A" w:rsidRPr="00DD2C62">
        <w:t xml:space="preserve"> </w:t>
      </w:r>
      <w:r w:rsidRPr="00DD2C62">
        <w:t>respectait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prescriptions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s’est</w:t>
      </w:r>
      <w:r w:rsidR="0049107A" w:rsidRPr="00DD2C62">
        <w:t xml:space="preserve"> </w:t>
      </w:r>
      <w:r w:rsidRPr="00DD2C62">
        <w:t>déclaré</w:t>
      </w:r>
      <w:r w:rsidR="0049107A" w:rsidRPr="00DD2C62">
        <w:t xml:space="preserve"> </w:t>
      </w:r>
      <w:r w:rsidRPr="00DD2C62">
        <w:t>satisfait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l’Italie.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concerne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Serbie,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prescriptions</w:t>
      </w:r>
      <w:r w:rsidR="0049107A" w:rsidRPr="00DD2C62">
        <w:t xml:space="preserve"> </w:t>
      </w:r>
      <w:r w:rsidRPr="00DD2C62">
        <w:t>spécifiques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teneur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environnemental</w:t>
      </w:r>
      <w:r w:rsidR="0049107A" w:rsidRPr="00DD2C62">
        <w:t xml:space="preserve"> </w:t>
      </w:r>
      <w:r w:rsidRPr="00DD2C62">
        <w:t>énoncées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Loi</w:t>
      </w:r>
      <w:r w:rsidR="0049107A" w:rsidRPr="00DD2C62">
        <w:t xml:space="preserve"> </w:t>
      </w:r>
      <w:r w:rsidRPr="00DD2C62">
        <w:t>serbe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12,</w:t>
      </w:r>
      <w:r w:rsidR="0049107A" w:rsidRPr="00DD2C62">
        <w:t xml:space="preserve"> </w:t>
      </w:r>
      <w:r w:rsidRPr="00DD2C62">
        <w:t>semblaient</w:t>
      </w:r>
      <w:r w:rsidR="0049107A" w:rsidRPr="00DD2C62">
        <w:t xml:space="preserve"> </w:t>
      </w:r>
      <w:r w:rsidRPr="00DD2C62">
        <w:t>être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générales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prescrit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l’annexe</w:t>
      </w:r>
      <w:r w:rsidR="0049107A" w:rsidRPr="00DD2C62">
        <w:t xml:space="preserve"> </w:t>
      </w:r>
      <w:r w:rsidRPr="00DD2C62">
        <w:t>IV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attendu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qu’elle</w:t>
      </w:r>
      <w:r w:rsidR="0049107A" w:rsidRPr="00DD2C62">
        <w:t xml:space="preserve"> </w:t>
      </w:r>
      <w:r w:rsidRPr="00DD2C62">
        <w:t>fournisse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7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l’annexe</w:t>
      </w:r>
      <w:r w:rsidR="0049107A" w:rsidRPr="00DD2C62">
        <w:t xml:space="preserve"> </w:t>
      </w:r>
      <w:r w:rsidRPr="00DD2C62">
        <w:t>IV</w:t>
      </w:r>
      <w:r w:rsidR="0049107A" w:rsidRPr="00DD2C62">
        <w:t xml:space="preserve"> </w:t>
      </w:r>
      <w:r w:rsidRPr="00DD2C62">
        <w:t>(en</w:t>
      </w:r>
      <w:r w:rsidR="0049107A" w:rsidRPr="00DD2C62">
        <w:t xml:space="preserve"> </w:t>
      </w:r>
      <w:r w:rsidRPr="00DD2C62">
        <w:t>particulier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1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5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11)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inclure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environnemental,</w:t>
      </w:r>
      <w:r w:rsidR="0049107A" w:rsidRPr="00DD2C62">
        <w:t xml:space="preserve"> </w:t>
      </w:r>
      <w:r w:rsidRPr="00DD2C62">
        <w:t>ainsi</w:t>
      </w:r>
      <w:r w:rsidR="0049107A" w:rsidRPr="00DD2C62">
        <w:t xml:space="preserve"> </w:t>
      </w:r>
      <w:r w:rsidRPr="00DD2C62">
        <w:t>qu’une</w:t>
      </w:r>
      <w:r w:rsidR="0049107A" w:rsidRPr="00DD2C62">
        <w:t xml:space="preserve"> </w:t>
      </w:r>
      <w:r w:rsidRPr="00DD2C62">
        <w:t>copie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éventuellement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secondaire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environnementale,</w:t>
      </w:r>
      <w:r w:rsidR="0049107A" w:rsidRPr="00DD2C62">
        <w:t xml:space="preserve"> </w:t>
      </w:r>
      <w:r w:rsidRPr="00DD2C62">
        <w:t>mais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l’a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fait.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regrettait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doive</w:t>
      </w:r>
      <w:r w:rsidR="0049107A" w:rsidRPr="00DD2C62">
        <w:t xml:space="preserve"> </w:t>
      </w:r>
      <w:r w:rsidRPr="00DD2C62">
        <w:t>reporter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prochaine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faute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réponse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Serbie.</w:t>
      </w:r>
    </w:p>
    <w:p w14:paraId="5BA4DED9" w14:textId="77777777" w:rsidR="002749FA" w:rsidRPr="00DD2C62" w:rsidRDefault="009E7617" w:rsidP="0049107A">
      <w:pPr>
        <w:pStyle w:val="H4G"/>
      </w:pPr>
      <w:r>
        <w:tab/>
      </w:r>
      <w:r w:rsidR="002749FA" w:rsidRPr="00DD2C62">
        <w:tab/>
        <w:t>b)</w:t>
      </w:r>
      <w:r w:rsidR="002749FA" w:rsidRPr="00DD2C62">
        <w:tab/>
        <w:t>Union</w:t>
      </w:r>
      <w:r w:rsidR="0049107A" w:rsidRPr="00DD2C62">
        <w:t xml:space="preserve"> </w:t>
      </w:r>
      <w:r w:rsidR="002749FA" w:rsidRPr="00DD2C62">
        <w:t>européenne</w:t>
      </w:r>
    </w:p>
    <w:p w14:paraId="5F060438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</w:r>
      <w:bookmarkStart w:id="15" w:name="_Hlk45636597"/>
      <w:r w:rsidRPr="00DD2C62">
        <w:t>SEA/IC/SCI/1/4</w:t>
      </w:r>
      <w:bookmarkEnd w:id="15"/>
    </w:p>
    <w:p w14:paraId="04DCCCF0" w14:textId="77777777" w:rsidR="002749FA" w:rsidRPr="00DD2C62" w:rsidRDefault="002749FA" w:rsidP="0049107A">
      <w:pPr>
        <w:pStyle w:val="SingleTxtG"/>
      </w:pPr>
      <w:r w:rsidRPr="00DD2C62">
        <w:t>58.</w:t>
      </w:r>
      <w:r w:rsidRPr="00DD2C62">
        <w:tab/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continué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recueillis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spécifique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bookmarkStart w:id="16" w:name="_Hlk46656898"/>
      <w:r w:rsidRPr="00DD2C62">
        <w:t>l’Union</w:t>
      </w:r>
      <w:r w:rsidR="0049107A" w:rsidRPr="00DD2C62">
        <w:t xml:space="preserve"> </w:t>
      </w:r>
      <w:r w:rsidRPr="00DD2C62">
        <w:t>européenne,</w:t>
      </w:r>
      <w:r w:rsidR="0049107A" w:rsidRPr="00DD2C62">
        <w:t xml:space="preserve"> </w:t>
      </w:r>
      <w:r w:rsidRPr="00DD2C62">
        <w:t>tels</w:t>
      </w:r>
      <w:r w:rsidR="0049107A" w:rsidRPr="00DD2C62">
        <w:t xml:space="preserve"> </w:t>
      </w:r>
      <w:r w:rsidRPr="00DD2C62">
        <w:t>qu’ils</w:t>
      </w:r>
      <w:r w:rsidR="0049107A" w:rsidRPr="00DD2C62">
        <w:t xml:space="preserve"> </w:t>
      </w:r>
      <w:r w:rsidRPr="00DD2C62">
        <w:t>ressortaient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premier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</w:t>
      </w:r>
      <w:bookmarkStart w:id="17" w:name="_Hlk51487344"/>
      <w:r w:rsidRPr="00DD2C62">
        <w:t>ECE/MP.EIA/SEA/2014/3</w:t>
      </w:r>
      <w:bookmarkEnd w:id="17"/>
      <w:r w:rsidRPr="00DD2C62">
        <w:t>,</w:t>
      </w:r>
      <w:r w:rsidR="0049107A" w:rsidRPr="00DD2C62">
        <w:t xml:space="preserve"> </w:t>
      </w:r>
      <w:r w:rsidR="00DD2C62">
        <w:t>par. </w:t>
      </w:r>
      <w:r w:rsidRPr="00DD2C62">
        <w:t>5)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mettant</w:t>
      </w:r>
      <w:r w:rsidR="0049107A" w:rsidRPr="00DD2C62">
        <w:t xml:space="preserve"> </w:t>
      </w:r>
      <w:r w:rsidRPr="00DD2C62">
        <w:t>l’accent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principaux</w:t>
      </w:r>
      <w:r w:rsidR="0049107A" w:rsidRPr="00DD2C62">
        <w:t xml:space="preserve"> </w:t>
      </w:r>
      <w:r w:rsidRPr="00DD2C62">
        <w:t>aspects</w:t>
      </w:r>
      <w:r w:rsidR="0049107A" w:rsidRPr="00DD2C62">
        <w:t xml:space="preserve"> </w:t>
      </w:r>
      <w:r w:rsidRPr="00DD2C62">
        <w:t>suivants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DD2C62" w:rsidRPr="00DD2C62">
        <w:t> :</w:t>
      </w:r>
    </w:p>
    <w:p w14:paraId="25AEB894" w14:textId="77777777" w:rsidR="002749FA" w:rsidRPr="00DD2C62" w:rsidRDefault="002749FA" w:rsidP="0049107A">
      <w:pPr>
        <w:pStyle w:val="SingleTxtG"/>
        <w:ind w:firstLine="567"/>
      </w:pPr>
      <w:r w:rsidRPr="00DD2C62">
        <w:lastRenderedPageBreak/>
        <w:t>a)</w:t>
      </w:r>
      <w:r w:rsidRPr="00DD2C62">
        <w:tab/>
        <w:t>L’applicabilité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plans/programmes</w:t>
      </w:r>
      <w:r w:rsidR="0049107A" w:rsidRPr="00DD2C62">
        <w:t xml:space="preserve"> </w:t>
      </w:r>
      <w:r w:rsidRPr="00DD2C62">
        <w:t>adoptés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niveau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</w:t>
      </w:r>
      <w:r w:rsidR="00DD2C62" w:rsidRPr="00DD2C62">
        <w:t> ;</w:t>
      </w:r>
    </w:p>
    <w:p w14:paraId="3AEBD1BE" w14:textId="77777777" w:rsidR="002749FA" w:rsidRPr="00DD2C62" w:rsidRDefault="002749FA" w:rsidP="0049107A">
      <w:pPr>
        <w:pStyle w:val="SingleTxtG"/>
        <w:ind w:firstLine="567"/>
      </w:pPr>
      <w:r w:rsidRPr="00DD2C62">
        <w:t>b)</w:t>
      </w:r>
      <w:r w:rsidRPr="00DD2C62">
        <w:tab/>
        <w:t>L’applicabilité</w:t>
      </w:r>
      <w:r w:rsidR="0049107A" w:rsidRPr="00DD2C62">
        <w:t xml:space="preserve"> </w:t>
      </w:r>
      <w:r w:rsidRPr="00DD2C62">
        <w:t>limitée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modèle</w:t>
      </w:r>
      <w:r w:rsidR="0049107A" w:rsidRPr="00DD2C62">
        <w:t xml:space="preserve"> </w:t>
      </w:r>
      <w:r w:rsidRPr="00DD2C62">
        <w:t>actuel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présentation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rapports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individuelles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concerne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rapports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organisations</w:t>
      </w:r>
      <w:r w:rsidR="0049107A" w:rsidRPr="00DD2C62">
        <w:t xml:space="preserve"> </w:t>
      </w:r>
      <w:r w:rsidRPr="00DD2C62">
        <w:t>d’intégration</w:t>
      </w:r>
      <w:r w:rsidR="0049107A" w:rsidRPr="00DD2C62">
        <w:t xml:space="preserve"> </w:t>
      </w:r>
      <w:r w:rsidRPr="00DD2C62">
        <w:t>économique</w:t>
      </w:r>
      <w:r w:rsidR="0049107A" w:rsidRPr="00DD2C62">
        <w:t xml:space="preserve"> </w:t>
      </w:r>
      <w:r w:rsidRPr="00DD2C62">
        <w:t>régionale</w:t>
      </w:r>
      <w:r w:rsidR="0049107A" w:rsidRPr="00DD2C62">
        <w:t xml:space="preserve"> </w:t>
      </w:r>
      <w:r w:rsidRPr="00DD2C62">
        <w:t>visées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21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telles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</w:t>
      </w:r>
      <w:r w:rsidR="00DD2C62" w:rsidRPr="00DD2C62">
        <w:t> ;</w:t>
      </w:r>
    </w:p>
    <w:p w14:paraId="03DA46E9" w14:textId="77777777" w:rsidR="002749FA" w:rsidRPr="00DD2C62" w:rsidRDefault="002749FA" w:rsidP="0049107A">
      <w:pPr>
        <w:pStyle w:val="SingleTxtG"/>
        <w:ind w:firstLine="567"/>
      </w:pPr>
      <w:r w:rsidRPr="00DD2C62">
        <w:t>c)</w:t>
      </w:r>
      <w:r w:rsidRPr="00DD2C62">
        <w:tab/>
        <w:t>Les</w:t>
      </w:r>
      <w:r w:rsidR="0049107A" w:rsidRPr="00DD2C62">
        <w:t xml:space="preserve"> </w:t>
      </w:r>
      <w:r w:rsidRPr="00DD2C62">
        <w:t>discordances</w:t>
      </w:r>
      <w:r w:rsidR="0049107A" w:rsidRPr="00DD2C62">
        <w:t xml:space="preserve"> </w:t>
      </w:r>
      <w:r w:rsidRPr="00DD2C62">
        <w:t>possibles</w:t>
      </w:r>
      <w:r w:rsidR="0049107A" w:rsidRPr="00DD2C62">
        <w:t xml:space="preserve"> </w:t>
      </w:r>
      <w:r w:rsidRPr="00DD2C62">
        <w:t>entre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Directive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</w:t>
      </w:r>
      <w:r w:rsidR="0049107A" w:rsidRPr="00DD2C62">
        <w:t xml:space="preserve"> </w:t>
      </w:r>
      <w:r w:rsidRPr="00DD2C62">
        <w:t>relative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stratégique</w:t>
      </w:r>
      <w:r w:rsidR="0049107A" w:rsidRPr="00DD2C62">
        <w:t xml:space="preserve"> </w:t>
      </w:r>
      <w:r w:rsidRPr="00DD2C62">
        <w:t>environnementale</w:t>
      </w:r>
      <w:r w:rsidRPr="00DD2C62">
        <w:rPr>
          <w:rStyle w:val="FootnoteReference"/>
        </w:rPr>
        <w:footnoteReference w:id="11"/>
      </w:r>
      <w:r w:rsidRPr="00DD2C62">
        <w:t>.</w:t>
      </w:r>
    </w:p>
    <w:bookmarkEnd w:id="16"/>
    <w:p w14:paraId="67DF06CC" w14:textId="77777777" w:rsidR="002749FA" w:rsidRPr="00DD2C62" w:rsidRDefault="002749FA" w:rsidP="0049107A">
      <w:pPr>
        <w:pStyle w:val="SingleTxtG"/>
      </w:pPr>
      <w:r w:rsidRPr="00DD2C62">
        <w:t>59.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estimé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plans/programmes</w:t>
      </w:r>
      <w:r w:rsidR="0049107A" w:rsidRPr="00DD2C62">
        <w:t xml:space="preserve"> </w:t>
      </w:r>
      <w:r w:rsidRPr="00DD2C62">
        <w:t>relatifs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transport,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l’énergie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pêches</w:t>
      </w:r>
      <w:r w:rsidR="0049107A" w:rsidRPr="00DD2C62">
        <w:t xml:space="preserve"> </w:t>
      </w:r>
      <w:r w:rsidRPr="00DD2C62">
        <w:t>adoptés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niveau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bookmarkStart w:id="18" w:name="_Hlk46657246"/>
      <w:r w:rsidRPr="00DD2C62">
        <w:t>l’Union</w:t>
      </w:r>
      <w:r w:rsidR="0049107A" w:rsidRPr="00DD2C62">
        <w:t xml:space="preserve"> </w:t>
      </w:r>
      <w:r w:rsidRPr="00DD2C62">
        <w:t>européenne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examinés</w:t>
      </w:r>
      <w:r w:rsidR="0049107A" w:rsidRPr="00DD2C62">
        <w:t xml:space="preserve"> </w:t>
      </w:r>
      <w:r w:rsidRPr="00DD2C62">
        <w:t>jusque-là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pouvaient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être</w:t>
      </w:r>
      <w:r w:rsidR="0049107A" w:rsidRPr="00DD2C62">
        <w:t xml:space="preserve"> </w:t>
      </w:r>
      <w:r w:rsidRPr="00DD2C62">
        <w:t>considérés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plans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bookmarkEnd w:id="18"/>
      <w:r w:rsidRPr="00DD2C62">
        <w:t>programmes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bookmarkStart w:id="19" w:name="_Hlk46656975"/>
      <w:r w:rsidRPr="00DD2C62">
        <w:t>.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l’avis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documents</w:t>
      </w:r>
      <w:r w:rsidR="0049107A" w:rsidRPr="00DD2C62">
        <w:t xml:space="preserve"> </w:t>
      </w:r>
      <w:r w:rsidRPr="00DD2C62">
        <w:t>constituaient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documents</w:t>
      </w:r>
      <w:r w:rsidR="0049107A" w:rsidRPr="00DD2C62">
        <w:t xml:space="preserve"> </w:t>
      </w:r>
      <w:r w:rsidRPr="00DD2C62">
        <w:t>d’orientation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caractère</w:t>
      </w:r>
      <w:r w:rsidR="0049107A" w:rsidRPr="00DD2C62">
        <w:t xml:space="preserve"> </w:t>
      </w:r>
      <w:r w:rsidRPr="00DD2C62">
        <w:t>politique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faudrait</w:t>
      </w:r>
      <w:r w:rsidR="0049107A" w:rsidRPr="00DD2C62">
        <w:t xml:space="preserve"> </w:t>
      </w:r>
      <w:r w:rsidRPr="00DD2C62">
        <w:t>considérer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politiques</w:t>
      </w:r>
      <w:r w:rsidR="0049107A" w:rsidRPr="00DD2C62">
        <w:t xml:space="preserve"> </w:t>
      </w:r>
      <w:r w:rsidRPr="00DD2C62">
        <w:t>relevant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13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l’applicabilité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plans/programmes</w:t>
      </w:r>
      <w:r w:rsidR="0049107A" w:rsidRPr="00DD2C62">
        <w:t xml:space="preserve"> </w:t>
      </w:r>
      <w:r w:rsidRPr="00DD2C62">
        <w:t>adoptés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niveau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européenne.</w:t>
      </w:r>
      <w:bookmarkEnd w:id="19"/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Président</w:t>
      </w:r>
      <w:r w:rsidR="0049107A" w:rsidRPr="00DD2C62">
        <w:t xml:space="preserve"> </w:t>
      </w:r>
      <w:r w:rsidRPr="00DD2C62">
        <w:t>d’appeler</w:t>
      </w:r>
      <w:r w:rsidR="0049107A" w:rsidRPr="00DD2C62">
        <w:t xml:space="preserve"> </w:t>
      </w:r>
      <w:r w:rsidRPr="00DD2C62">
        <w:t>l’attention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13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y</w:t>
      </w:r>
      <w:r w:rsidR="00772473">
        <w:t> </w:t>
      </w:r>
      <w:r w:rsidRPr="00DD2C62">
        <w:t>compris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rapports.</w:t>
      </w:r>
    </w:p>
    <w:p w14:paraId="7214BC1D" w14:textId="77777777" w:rsidR="002749FA" w:rsidRPr="001965AA" w:rsidRDefault="002749FA" w:rsidP="0049107A">
      <w:pPr>
        <w:pStyle w:val="SingleTxtG"/>
        <w:rPr>
          <w:spacing w:val="-1"/>
        </w:rPr>
      </w:pPr>
      <w:r w:rsidRPr="001965AA">
        <w:rPr>
          <w:spacing w:val="-1"/>
        </w:rPr>
        <w:t>60.</w:t>
      </w:r>
      <w:r w:rsidRPr="001965AA">
        <w:rPr>
          <w:spacing w:val="-1"/>
        </w:rPr>
        <w:tab/>
        <w:t>Le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Comité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est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convenu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finaliser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ses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travaux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sur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l’établissement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du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modèle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présentation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des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rapports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pour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les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organisations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d’intégration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économique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régionales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pour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la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période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suivante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2019</w:t>
      </w:r>
      <w:r w:rsidR="00AB7317" w:rsidRPr="001965AA">
        <w:rPr>
          <w:spacing w:val="-1"/>
        </w:rPr>
        <w:t>-</w:t>
      </w:r>
      <w:r w:rsidRPr="001965AA">
        <w:rPr>
          <w:spacing w:val="-1"/>
        </w:rPr>
        <w:t>2021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continuer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suivre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la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manière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dont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les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discordances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entre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la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Directive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Protocole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étaient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réglées,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s’agissant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particulier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l’incertitude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relevée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concernant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la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question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du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champ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d’application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cours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d’examen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par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l’Union</w:t>
      </w:r>
      <w:r w:rsidR="0049107A" w:rsidRPr="001965AA">
        <w:rPr>
          <w:spacing w:val="-1"/>
        </w:rPr>
        <w:t xml:space="preserve"> </w:t>
      </w:r>
      <w:r w:rsidRPr="001965AA">
        <w:rPr>
          <w:spacing w:val="-1"/>
        </w:rPr>
        <w:t>européenne.</w:t>
      </w:r>
    </w:p>
    <w:p w14:paraId="208195FB" w14:textId="77777777" w:rsidR="002749FA" w:rsidRPr="00DD2C62" w:rsidRDefault="002749FA" w:rsidP="0049107A">
      <w:pPr>
        <w:pStyle w:val="HChG"/>
      </w:pPr>
      <w:r w:rsidRPr="00DD2C62">
        <w:tab/>
        <w:t>IV.</w:t>
      </w:r>
      <w:r w:rsidRPr="00DD2C62">
        <w:tab/>
        <w:t>Communications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</w:p>
    <w:p w14:paraId="266371F6" w14:textId="77777777" w:rsidR="002749FA" w:rsidRPr="00DD2C62" w:rsidRDefault="002749FA" w:rsidP="0049107A">
      <w:pPr>
        <w:pStyle w:val="SingleTxtG"/>
      </w:pPr>
      <w:r w:rsidRPr="00DD2C62">
        <w:t>61.</w:t>
      </w:r>
      <w:r w:rsidRPr="00DD2C62">
        <w:tab/>
        <w:t>Il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eu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communications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ayant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préoccupations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autre</w:t>
      </w:r>
      <w:r w:rsidR="0049107A" w:rsidRPr="00DD2C62">
        <w:t xml:space="preserve"> </w:t>
      </w:r>
      <w:r w:rsidRPr="00DD2C62">
        <w:t>Partie,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résumé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paragraphes</w:t>
      </w:r>
      <w:r w:rsidR="0049107A" w:rsidRPr="00DD2C62">
        <w:t xml:space="preserve"> </w:t>
      </w:r>
      <w:r w:rsidRPr="00DD2C62">
        <w:t>63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65</w:t>
      </w:r>
      <w:r w:rsidR="0049107A" w:rsidRPr="00DD2C62">
        <w:t xml:space="preserve"> </w:t>
      </w:r>
      <w:r w:rsidRPr="00DD2C62">
        <w:t>ci</w:t>
      </w:r>
      <w:r w:rsidRPr="00DD2C62">
        <w:noBreakHyphen/>
        <w:t>dessous.</w:t>
      </w:r>
    </w:p>
    <w:p w14:paraId="5017B18C" w14:textId="77777777" w:rsidR="0049107A" w:rsidRPr="00DD2C62" w:rsidRDefault="002749FA" w:rsidP="0049107A">
      <w:pPr>
        <w:pStyle w:val="Heading1"/>
      </w:pPr>
      <w:bookmarkStart w:id="20" w:name="_Hlk50549515"/>
      <w:r w:rsidRPr="00DD2C62">
        <w:t>Tableau</w:t>
      </w:r>
      <w:r w:rsidR="0049107A" w:rsidRPr="00DD2C62">
        <w:t xml:space="preserve"> </w:t>
      </w:r>
      <w:r w:rsidRPr="00DD2C62">
        <w:t>3</w:t>
      </w:r>
      <w:bookmarkStart w:id="21" w:name="_Hlk45028974"/>
    </w:p>
    <w:p w14:paraId="38033721" w14:textId="77777777" w:rsidR="002749FA" w:rsidRPr="00DD2C62" w:rsidRDefault="002749FA" w:rsidP="0049107A">
      <w:pPr>
        <w:pStyle w:val="SingleTxtG"/>
        <w:keepNext/>
        <w:jc w:val="left"/>
        <w:rPr>
          <w:b/>
          <w:bCs/>
        </w:rPr>
      </w:pPr>
      <w:r w:rsidRPr="00DD2C62">
        <w:rPr>
          <w:b/>
          <w:bCs/>
        </w:rPr>
        <w:t>Communications</w:t>
      </w:r>
      <w:bookmarkEnd w:id="21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245"/>
        <w:gridCol w:w="1259"/>
        <w:gridCol w:w="3578"/>
      </w:tblGrid>
      <w:tr w:rsidR="002749FA" w:rsidRPr="00DD2C62" w14:paraId="3033A4B9" w14:textId="77777777" w:rsidTr="0049107A">
        <w:trPr>
          <w:tblHeader/>
        </w:trPr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66BCB6" w14:textId="77777777" w:rsidR="002749FA" w:rsidRPr="00DD2C62" w:rsidRDefault="002749FA" w:rsidP="0049107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Référence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du</w:t>
            </w:r>
            <w:r w:rsidR="001965AA">
              <w:rPr>
                <w:i/>
                <w:sz w:val="16"/>
              </w:rPr>
              <w:t> </w:t>
            </w:r>
            <w:r w:rsidRPr="00DD2C62">
              <w:rPr>
                <w:i/>
                <w:sz w:val="16"/>
              </w:rPr>
              <w:t>Comité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627625" w14:textId="77777777" w:rsidR="002749FA" w:rsidRPr="00DD2C62" w:rsidRDefault="002749FA" w:rsidP="0049107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Partie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concernée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5B562A" w14:textId="77777777" w:rsidR="002749FA" w:rsidRPr="00DD2C62" w:rsidRDefault="002749FA" w:rsidP="0049107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Présentée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par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055250" w14:textId="77777777" w:rsidR="002749FA" w:rsidRPr="00DD2C62" w:rsidRDefault="002749FA" w:rsidP="00772473">
            <w:pPr>
              <w:spacing w:before="80" w:after="80" w:line="200" w:lineRule="exact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Question</w:t>
            </w:r>
          </w:p>
        </w:tc>
      </w:tr>
      <w:tr w:rsidR="0049107A" w:rsidRPr="00DD2C62" w14:paraId="57B2E316" w14:textId="77777777" w:rsidTr="0049107A">
        <w:trPr>
          <w:trHeight w:hRule="exact" w:val="113"/>
          <w:tblHeader/>
        </w:trPr>
        <w:tc>
          <w:tcPr>
            <w:tcW w:w="1288" w:type="dxa"/>
            <w:tcBorders>
              <w:top w:val="single" w:sz="12" w:space="0" w:color="auto"/>
            </w:tcBorders>
            <w:shd w:val="clear" w:color="auto" w:fill="auto"/>
          </w:tcPr>
          <w:p w14:paraId="484328FE" w14:textId="77777777" w:rsidR="0049107A" w:rsidRPr="00DD2C62" w:rsidRDefault="0049107A" w:rsidP="0049107A">
            <w:pPr>
              <w:spacing w:before="40" w:after="120"/>
              <w:ind w:right="113"/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14:paraId="538885AB" w14:textId="77777777" w:rsidR="0049107A" w:rsidRPr="00DD2C62" w:rsidRDefault="0049107A" w:rsidP="0049107A">
            <w:pPr>
              <w:spacing w:before="40" w:after="120"/>
              <w:ind w:right="113"/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14:paraId="377CD274" w14:textId="77777777" w:rsidR="0049107A" w:rsidRPr="00DD2C62" w:rsidRDefault="0049107A" w:rsidP="0049107A">
            <w:pPr>
              <w:spacing w:before="40" w:after="120"/>
              <w:ind w:right="113"/>
            </w:pP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auto"/>
          </w:tcPr>
          <w:p w14:paraId="4AA2841B" w14:textId="77777777" w:rsidR="0049107A" w:rsidRPr="00DD2C62" w:rsidRDefault="0049107A" w:rsidP="00772473">
            <w:pPr>
              <w:spacing w:before="40" w:after="120"/>
            </w:pPr>
          </w:p>
        </w:tc>
      </w:tr>
      <w:tr w:rsidR="002749FA" w:rsidRPr="00DD2C62" w14:paraId="1CEE49E6" w14:textId="77777777" w:rsidTr="0049107A">
        <w:tc>
          <w:tcPr>
            <w:tcW w:w="1288" w:type="dxa"/>
            <w:shd w:val="clear" w:color="auto" w:fill="auto"/>
          </w:tcPr>
          <w:p w14:paraId="04BEB6A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EIA/IC/S/6</w:t>
            </w:r>
          </w:p>
        </w:tc>
        <w:tc>
          <w:tcPr>
            <w:tcW w:w="1245" w:type="dxa"/>
            <w:shd w:val="clear" w:color="auto" w:fill="auto"/>
          </w:tcPr>
          <w:p w14:paraId="23731C6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Serbie</w:t>
            </w:r>
          </w:p>
        </w:tc>
        <w:tc>
          <w:tcPr>
            <w:tcW w:w="1259" w:type="dxa"/>
            <w:shd w:val="clear" w:color="auto" w:fill="auto"/>
          </w:tcPr>
          <w:p w14:paraId="1216A56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Bulgarie</w:t>
            </w:r>
          </w:p>
        </w:tc>
        <w:tc>
          <w:tcPr>
            <w:tcW w:w="3578" w:type="dxa"/>
            <w:shd w:val="clear" w:color="auto" w:fill="auto"/>
          </w:tcPr>
          <w:p w14:paraId="09D3C9B8" w14:textId="77777777" w:rsidR="002749FA" w:rsidRPr="00DD2C62" w:rsidRDefault="002749FA" w:rsidP="00772473">
            <w:pPr>
              <w:spacing w:before="40" w:after="120"/>
            </w:pPr>
            <w:r w:rsidRPr="00DD2C62">
              <w:t>Plusieurs</w:t>
            </w:r>
            <w:r w:rsidR="0049107A" w:rsidRPr="00DD2C62">
              <w:t xml:space="preserve"> </w:t>
            </w:r>
            <w:r w:rsidRPr="00DD2C62">
              <w:t>activités</w:t>
            </w:r>
            <w:r w:rsidR="0049107A" w:rsidRPr="00DD2C62">
              <w:t xml:space="preserve"> </w:t>
            </w:r>
            <w:r w:rsidRPr="00DD2C62">
              <w:t>d’extraction</w:t>
            </w:r>
            <w:r w:rsidR="0049107A" w:rsidRPr="00DD2C62">
              <w:t xml:space="preserve"> </w:t>
            </w:r>
            <w:r w:rsidRPr="00DD2C62">
              <w:t>minière</w:t>
            </w:r>
            <w:r w:rsidR="00DD2C62" w:rsidRPr="00DD2C62">
              <w:t> :</w:t>
            </w:r>
          </w:p>
        </w:tc>
      </w:tr>
      <w:tr w:rsidR="001965AA" w:rsidRPr="00DD2C62" w14:paraId="25F9C47B" w14:textId="77777777" w:rsidTr="0049107A">
        <w:tc>
          <w:tcPr>
            <w:tcW w:w="1288" w:type="dxa"/>
            <w:shd w:val="clear" w:color="auto" w:fill="auto"/>
          </w:tcPr>
          <w:p w14:paraId="7C95BCEA" w14:textId="77777777" w:rsidR="001965AA" w:rsidRPr="00DD2C62" w:rsidRDefault="001965AA" w:rsidP="0049107A">
            <w:pPr>
              <w:spacing w:before="40" w:after="120"/>
              <w:ind w:right="113"/>
            </w:pPr>
          </w:p>
        </w:tc>
        <w:tc>
          <w:tcPr>
            <w:tcW w:w="1245" w:type="dxa"/>
            <w:shd w:val="clear" w:color="auto" w:fill="auto"/>
          </w:tcPr>
          <w:p w14:paraId="177D5E56" w14:textId="77777777" w:rsidR="001965AA" w:rsidRPr="00DD2C62" w:rsidRDefault="001965AA" w:rsidP="0049107A">
            <w:pPr>
              <w:spacing w:before="40" w:after="120"/>
              <w:ind w:right="113"/>
            </w:pPr>
          </w:p>
        </w:tc>
        <w:tc>
          <w:tcPr>
            <w:tcW w:w="1259" w:type="dxa"/>
            <w:shd w:val="clear" w:color="auto" w:fill="auto"/>
          </w:tcPr>
          <w:p w14:paraId="3F98D080" w14:textId="77777777" w:rsidR="001965AA" w:rsidRPr="00DD2C62" w:rsidRDefault="001965AA" w:rsidP="0049107A">
            <w:pPr>
              <w:spacing w:before="40" w:after="120"/>
              <w:ind w:right="113"/>
            </w:pPr>
          </w:p>
        </w:tc>
        <w:tc>
          <w:tcPr>
            <w:tcW w:w="3578" w:type="dxa"/>
            <w:shd w:val="clear" w:color="auto" w:fill="auto"/>
          </w:tcPr>
          <w:p w14:paraId="64838E5F" w14:textId="77777777" w:rsidR="001965AA" w:rsidRPr="00DD2C62" w:rsidRDefault="001965AA" w:rsidP="00772473">
            <w:pPr>
              <w:tabs>
                <w:tab w:val="left" w:pos="284"/>
              </w:tabs>
              <w:spacing w:before="40" w:after="120"/>
            </w:pPr>
            <w:r w:rsidRPr="00DD2C62">
              <w:t>a)</w:t>
            </w:r>
            <w:r>
              <w:tab/>
            </w:r>
            <w:r w:rsidRPr="00DD2C62">
              <w:t>Construction d’une installation expérimentale pour tester la technologie de flottation en vue du traitement de minerais de cuivre, de plomb et de zinc à Karamanica ;</w:t>
            </w:r>
          </w:p>
        </w:tc>
      </w:tr>
      <w:tr w:rsidR="001965AA" w:rsidRPr="00DD2C62" w14:paraId="5E252E17" w14:textId="77777777" w:rsidTr="0049107A">
        <w:tc>
          <w:tcPr>
            <w:tcW w:w="1288" w:type="dxa"/>
            <w:shd w:val="clear" w:color="auto" w:fill="auto"/>
          </w:tcPr>
          <w:p w14:paraId="79F360B9" w14:textId="77777777" w:rsidR="001965AA" w:rsidRPr="00DD2C62" w:rsidRDefault="001965AA" w:rsidP="0049107A">
            <w:pPr>
              <w:spacing w:before="40" w:after="120"/>
              <w:ind w:right="113"/>
            </w:pPr>
          </w:p>
        </w:tc>
        <w:tc>
          <w:tcPr>
            <w:tcW w:w="1245" w:type="dxa"/>
            <w:shd w:val="clear" w:color="auto" w:fill="auto"/>
          </w:tcPr>
          <w:p w14:paraId="08D28256" w14:textId="77777777" w:rsidR="001965AA" w:rsidRPr="00DD2C62" w:rsidRDefault="001965AA" w:rsidP="0049107A">
            <w:pPr>
              <w:spacing w:before="40" w:after="120"/>
              <w:ind w:right="113"/>
            </w:pPr>
          </w:p>
        </w:tc>
        <w:tc>
          <w:tcPr>
            <w:tcW w:w="1259" w:type="dxa"/>
            <w:shd w:val="clear" w:color="auto" w:fill="auto"/>
          </w:tcPr>
          <w:p w14:paraId="0EDECABA" w14:textId="77777777" w:rsidR="001965AA" w:rsidRPr="00DD2C62" w:rsidRDefault="001965AA" w:rsidP="0049107A">
            <w:pPr>
              <w:spacing w:before="40" w:after="120"/>
              <w:ind w:right="113"/>
            </w:pPr>
          </w:p>
        </w:tc>
        <w:tc>
          <w:tcPr>
            <w:tcW w:w="3578" w:type="dxa"/>
            <w:shd w:val="clear" w:color="auto" w:fill="auto"/>
          </w:tcPr>
          <w:p w14:paraId="1413FEDD" w14:textId="77777777" w:rsidR="001965AA" w:rsidRPr="00DD2C62" w:rsidRDefault="001965AA" w:rsidP="00772473">
            <w:pPr>
              <w:tabs>
                <w:tab w:val="left" w:pos="284"/>
              </w:tabs>
              <w:spacing w:before="40" w:after="120"/>
            </w:pPr>
            <w:r w:rsidRPr="00DD2C62">
              <w:t>b)</w:t>
            </w:r>
            <w:r>
              <w:tab/>
            </w:r>
            <w:r w:rsidRPr="00DD2C62">
              <w:t>Exploitation de minerais et activités minières aux mines de Podvirovi et Popovica ;</w:t>
            </w:r>
          </w:p>
        </w:tc>
      </w:tr>
      <w:tr w:rsidR="001965AA" w:rsidRPr="00DD2C62" w14:paraId="33BA0AA7" w14:textId="77777777" w:rsidTr="0049107A">
        <w:tc>
          <w:tcPr>
            <w:tcW w:w="1288" w:type="dxa"/>
            <w:shd w:val="clear" w:color="auto" w:fill="auto"/>
          </w:tcPr>
          <w:p w14:paraId="5365FEF9" w14:textId="77777777" w:rsidR="001965AA" w:rsidRPr="00DD2C62" w:rsidRDefault="001965AA" w:rsidP="00E734AD">
            <w:pPr>
              <w:keepNext/>
              <w:spacing w:before="40" w:after="120"/>
              <w:ind w:right="113"/>
            </w:pPr>
          </w:p>
        </w:tc>
        <w:tc>
          <w:tcPr>
            <w:tcW w:w="1245" w:type="dxa"/>
            <w:shd w:val="clear" w:color="auto" w:fill="auto"/>
          </w:tcPr>
          <w:p w14:paraId="0AF36F67" w14:textId="77777777" w:rsidR="001965AA" w:rsidRPr="00DD2C62" w:rsidRDefault="001965AA" w:rsidP="00E734AD">
            <w:pPr>
              <w:keepNext/>
              <w:spacing w:before="40" w:after="120"/>
              <w:ind w:right="113"/>
            </w:pPr>
          </w:p>
        </w:tc>
        <w:tc>
          <w:tcPr>
            <w:tcW w:w="1259" w:type="dxa"/>
            <w:shd w:val="clear" w:color="auto" w:fill="auto"/>
          </w:tcPr>
          <w:p w14:paraId="380566D5" w14:textId="77777777" w:rsidR="001965AA" w:rsidRPr="00DD2C62" w:rsidRDefault="001965AA" w:rsidP="00E734AD">
            <w:pPr>
              <w:keepNext/>
              <w:spacing w:before="40" w:after="120"/>
              <w:ind w:right="113"/>
            </w:pPr>
          </w:p>
        </w:tc>
        <w:tc>
          <w:tcPr>
            <w:tcW w:w="3578" w:type="dxa"/>
            <w:shd w:val="clear" w:color="auto" w:fill="auto"/>
          </w:tcPr>
          <w:p w14:paraId="4246DDDC" w14:textId="77777777" w:rsidR="001965AA" w:rsidRPr="00DD2C62" w:rsidRDefault="001965AA" w:rsidP="00772473">
            <w:pPr>
              <w:keepNext/>
              <w:tabs>
                <w:tab w:val="left" w:pos="284"/>
              </w:tabs>
              <w:spacing w:before="40" w:after="120"/>
            </w:pPr>
            <w:r w:rsidRPr="00DD2C62">
              <w:t>c)</w:t>
            </w:r>
            <w:r>
              <w:tab/>
            </w:r>
            <w:r w:rsidRPr="00DD2C62">
              <w:t>Extension de la production de zinc, de plomb et d’autres métaux à la mine de Grot.</w:t>
            </w:r>
          </w:p>
        </w:tc>
      </w:tr>
      <w:tr w:rsidR="002749FA" w:rsidRPr="00DD2C62" w14:paraId="556808F0" w14:textId="77777777" w:rsidTr="001965AA">
        <w:trPr>
          <w:cantSplit/>
        </w:trPr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</w:tcPr>
          <w:p w14:paraId="0337785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EIA/IC/S/7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14:paraId="020F987E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Albanie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</w:tcPr>
          <w:p w14:paraId="2B59BDD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Monténégro</w:t>
            </w:r>
          </w:p>
        </w:tc>
        <w:tc>
          <w:tcPr>
            <w:tcW w:w="3578" w:type="dxa"/>
            <w:tcBorders>
              <w:bottom w:val="single" w:sz="12" w:space="0" w:color="auto"/>
            </w:tcBorders>
            <w:shd w:val="clear" w:color="auto" w:fill="auto"/>
          </w:tcPr>
          <w:p w14:paraId="2CD3D390" w14:textId="77777777" w:rsidR="002749FA" w:rsidRPr="00DD2C62" w:rsidRDefault="002749FA" w:rsidP="00772473">
            <w:pPr>
              <w:spacing w:before="40" w:after="120"/>
            </w:pP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plusieurs</w:t>
            </w:r>
            <w:r w:rsidR="0049107A" w:rsidRPr="00DD2C62">
              <w:t xml:space="preserve"> </w:t>
            </w:r>
            <w:r w:rsidRPr="00DD2C62">
              <w:t>petites</w:t>
            </w:r>
            <w:r w:rsidR="0049107A" w:rsidRPr="00DD2C62">
              <w:t xml:space="preserve"> </w:t>
            </w:r>
            <w:r w:rsidRPr="00DD2C62">
              <w:t>centrales</w:t>
            </w:r>
            <w:r w:rsidR="0049107A" w:rsidRPr="00DD2C62">
              <w:t xml:space="preserve"> </w:t>
            </w:r>
            <w:r w:rsidRPr="00DD2C62">
              <w:t>hydroélectriques</w:t>
            </w:r>
            <w:r w:rsidR="0049107A" w:rsidRPr="00DD2C62">
              <w:t xml:space="preserve"> </w:t>
            </w:r>
            <w:r w:rsidRPr="00DD2C62">
              <w:t>sur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Cijevna.</w:t>
            </w:r>
          </w:p>
        </w:tc>
      </w:tr>
    </w:tbl>
    <w:bookmarkEnd w:id="20"/>
    <w:p w14:paraId="132BBFEC" w14:textId="77777777" w:rsidR="002749FA" w:rsidRPr="00DD2C62" w:rsidRDefault="002749FA" w:rsidP="0049107A">
      <w:pPr>
        <w:pStyle w:val="H1G"/>
      </w:pPr>
      <w:r w:rsidRPr="00DD2C62">
        <w:lastRenderedPageBreak/>
        <w:tab/>
      </w:r>
      <w:r w:rsidRPr="00DD2C62">
        <w:tab/>
        <w:t>Serbie</w:t>
      </w:r>
    </w:p>
    <w:p w14:paraId="106E8752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EIA/IC/S/6</w:t>
      </w:r>
    </w:p>
    <w:p w14:paraId="7B4A0C4F" w14:textId="77777777" w:rsidR="002749FA" w:rsidRPr="00DD2C62" w:rsidRDefault="002749FA" w:rsidP="0049107A">
      <w:pPr>
        <w:pStyle w:val="SingleTxtG"/>
      </w:pPr>
      <w:r w:rsidRPr="00DD2C62">
        <w:t>62.</w:t>
      </w:r>
      <w:r w:rsidRPr="00DD2C62">
        <w:tab/>
        <w:t>La</w:t>
      </w:r>
      <w:r w:rsidR="0049107A" w:rsidRPr="00DD2C62">
        <w:t xml:space="preserve"> </w:t>
      </w:r>
      <w:r w:rsidRPr="00DD2C62">
        <w:t>Bulgarie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présenté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contenant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préoccupations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incombant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plusieurs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minières</w:t>
      </w:r>
      <w:r w:rsidR="0049107A" w:rsidRPr="00DD2C62">
        <w:t xml:space="preserve"> </w:t>
      </w:r>
      <w:r w:rsidRPr="00DD2C62">
        <w:t>énumérées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3,</w:t>
      </w:r>
      <w:r w:rsidR="0049107A" w:rsidRPr="00DD2C62">
        <w:t xml:space="preserve"> </w:t>
      </w:r>
      <w:r w:rsidRPr="00DD2C62">
        <w:t>se</w:t>
      </w:r>
      <w:r w:rsidR="0049107A" w:rsidRPr="00DD2C62">
        <w:t xml:space="preserve"> </w:t>
      </w:r>
      <w:r w:rsidRPr="00DD2C62">
        <w:t>déroulant</w:t>
      </w:r>
      <w:r w:rsidR="0049107A" w:rsidRPr="00DD2C62">
        <w:t xml:space="preserve"> </w:t>
      </w:r>
      <w:r w:rsidRPr="00DD2C62">
        <w:t>proche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Bulgarie.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reçu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31</w:t>
      </w:r>
      <w:r w:rsidR="001965AA">
        <w:t> </w:t>
      </w:r>
      <w:r w:rsidRPr="00DD2C62">
        <w:t>mai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l’appui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13</w:t>
      </w:r>
      <w:r w:rsidR="001965AA">
        <w:t> </w:t>
      </w:r>
      <w:r w:rsidRPr="00DD2C62">
        <w:t>juin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28</w:t>
      </w:r>
      <w:r w:rsidR="001965AA">
        <w:t> </w:t>
      </w:r>
      <w:r w:rsidRPr="00DD2C62">
        <w:t>juin</w:t>
      </w:r>
      <w:r w:rsidR="0049107A" w:rsidRPr="00DD2C62">
        <w:t xml:space="preserve"> </w:t>
      </w:r>
      <w:r w:rsidRPr="00DD2C62">
        <w:t>2019.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transféré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focal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19</w:t>
      </w:r>
      <w:r w:rsidR="001965AA">
        <w:t> </w:t>
      </w:r>
      <w:r w:rsidRPr="00DD2C62">
        <w:t>juin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8</w:t>
      </w:r>
      <w:r w:rsidR="001965AA">
        <w:t> </w:t>
      </w:r>
      <w:r w:rsidRPr="00DD2C62">
        <w:t>juillet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respectivement.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reçu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réponse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Gouvernement</w:t>
      </w:r>
      <w:r w:rsidR="0049107A" w:rsidRPr="00DD2C62">
        <w:t xml:space="preserve"> </w:t>
      </w:r>
      <w:r w:rsidRPr="00DD2C62">
        <w:t>serbe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8</w:t>
      </w:r>
      <w:r w:rsidR="001965AA">
        <w:t> </w:t>
      </w:r>
      <w:r w:rsidRPr="00DD2C62">
        <w:t>novembre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supplémentaires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23</w:t>
      </w:r>
      <w:r w:rsidR="001965AA">
        <w:t> </w:t>
      </w:r>
      <w:r w:rsidRPr="00DD2C62">
        <w:t>novembre</w:t>
      </w:r>
      <w:r w:rsidR="0049107A" w:rsidRPr="00DD2C62">
        <w:t xml:space="preserve"> </w:t>
      </w:r>
      <w:r w:rsidRPr="00DD2C62">
        <w:t>2019.</w:t>
      </w:r>
    </w:p>
    <w:p w14:paraId="62C72364" w14:textId="77777777" w:rsidR="002749FA" w:rsidRPr="00DD2C62" w:rsidRDefault="002749FA" w:rsidP="0049107A">
      <w:pPr>
        <w:pStyle w:val="SingleTxtG"/>
      </w:pPr>
      <w:r w:rsidRPr="00DD2C62">
        <w:t>63.</w:t>
      </w:r>
      <w:r w:rsidRPr="00DD2C62">
        <w:tab/>
        <w:t>Pour</w:t>
      </w:r>
      <w:r w:rsidR="0049107A" w:rsidRPr="00DD2C62">
        <w:t xml:space="preserve"> </w:t>
      </w:r>
      <w:r w:rsidRPr="00DD2C62">
        <w:t>délibérer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complémentaires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liste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chaque</w:t>
      </w:r>
      <w:r w:rsidR="0049107A" w:rsidRPr="00DD2C62">
        <w:t xml:space="preserve"> </w:t>
      </w:r>
      <w:r w:rsidRPr="00DD2C62">
        <w:t>activité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évaluations</w:t>
      </w:r>
      <w:r w:rsidR="0049107A" w:rsidRPr="00DD2C62">
        <w:t xml:space="preserve"> </w:t>
      </w:r>
      <w:r w:rsidRPr="00DD2C62">
        <w:t>connexes</w:t>
      </w:r>
      <w:r w:rsidR="0049107A" w:rsidRPr="00DD2C62">
        <w:t xml:space="preserve"> </w:t>
      </w:r>
      <w:r w:rsidRPr="00DD2C62">
        <w:t>d’impact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procédures</w:t>
      </w:r>
      <w:r w:rsidR="0049107A" w:rsidRPr="00DD2C62">
        <w:t xml:space="preserve"> </w:t>
      </w:r>
      <w:r w:rsidRPr="00DD2C62">
        <w:t>décisionnelles</w:t>
      </w:r>
      <w:r w:rsidR="0049107A" w:rsidRPr="00DD2C62">
        <w:t xml:space="preserve"> </w:t>
      </w:r>
      <w:r w:rsidRPr="00DD2C62">
        <w:t>convenues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quarante-septième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quarante</w:t>
      </w:r>
      <w:r w:rsidR="00772473">
        <w:t>-</w:t>
      </w:r>
      <w:r w:rsidRPr="00DD2C62">
        <w:t>huitième</w:t>
      </w:r>
      <w:r w:rsidR="0049107A" w:rsidRPr="00DD2C62">
        <w:t xml:space="preserve"> </w:t>
      </w:r>
      <w:r w:rsidRPr="00DD2C62">
        <w:t>sessions.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programmation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discussions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concernées,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seraient</w:t>
      </w:r>
      <w:r w:rsidR="0049107A" w:rsidRPr="00DD2C62">
        <w:t xml:space="preserve"> </w:t>
      </w:r>
      <w:r w:rsidRPr="00DD2C62">
        <w:t>organisées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9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texte</w:t>
      </w:r>
      <w:r w:rsidR="0049107A" w:rsidRPr="00DD2C62">
        <w:t xml:space="preserve"> </w:t>
      </w:r>
      <w:r w:rsidRPr="00DD2C62">
        <w:t>définissant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lors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suivantes.</w:t>
      </w:r>
    </w:p>
    <w:p w14:paraId="0CA5945D" w14:textId="77777777" w:rsidR="002749FA" w:rsidRPr="00DD2C62" w:rsidRDefault="002749FA" w:rsidP="0049107A">
      <w:pPr>
        <w:pStyle w:val="H1G"/>
      </w:pPr>
      <w:r w:rsidRPr="00DD2C62">
        <w:tab/>
      </w:r>
      <w:r w:rsidRPr="00DD2C62">
        <w:tab/>
        <w:t>Albanie</w:t>
      </w:r>
    </w:p>
    <w:p w14:paraId="47396FE1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EIA/IC/S/7</w:t>
      </w:r>
    </w:p>
    <w:p w14:paraId="0185D825" w14:textId="77777777" w:rsidR="002749FA" w:rsidRPr="00DD2C62" w:rsidRDefault="002749FA" w:rsidP="0049107A">
      <w:pPr>
        <w:pStyle w:val="SingleTxtG"/>
      </w:pPr>
      <w:bookmarkStart w:id="22" w:name="_Hlk50470245"/>
      <w:r w:rsidRPr="00DD2C62">
        <w:t>64.</w:t>
      </w:r>
      <w:r w:rsidRPr="00DD2C62">
        <w:tab/>
        <w:t>Le</w:t>
      </w:r>
      <w:r w:rsidR="0049107A" w:rsidRPr="00DD2C62">
        <w:t xml:space="preserve"> </w:t>
      </w:r>
      <w:r w:rsidRPr="00DD2C62">
        <w:t>Monténégro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présenté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exprimant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préoccupations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l’Albanie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prévue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plusieurs</w:t>
      </w:r>
      <w:r w:rsidR="0049107A" w:rsidRPr="00DD2C62">
        <w:t xml:space="preserve"> </w:t>
      </w:r>
      <w:r w:rsidRPr="00DD2C62">
        <w:t>petites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hydroélectriques</w:t>
      </w:r>
      <w:r w:rsidR="0049107A" w:rsidRPr="00DD2C62">
        <w:t xml:space="preserve"> </w:t>
      </w:r>
      <w:r w:rsidRPr="00DD2C62">
        <w:t>albanaises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Cijevna.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reçu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25</w:t>
      </w:r>
      <w:r w:rsidR="001965AA">
        <w:t> </w:t>
      </w:r>
      <w:r w:rsidRPr="00DD2C62">
        <w:t>septembre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l’a</w:t>
      </w:r>
      <w:r w:rsidR="0049107A" w:rsidRPr="00DD2C62">
        <w:t xml:space="preserve"> </w:t>
      </w:r>
      <w:r w:rsidRPr="00DD2C62">
        <w:t>transmise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30</w:t>
      </w:r>
      <w:r w:rsidR="001965AA">
        <w:t> </w:t>
      </w:r>
      <w:r w:rsidRPr="00DD2C62">
        <w:t>septembre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focal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l’Albanie.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entrepris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quarante-septième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avoir</w:t>
      </w:r>
      <w:r w:rsidR="0049107A" w:rsidRPr="00DD2C62">
        <w:t xml:space="preserve"> </w:t>
      </w:r>
      <w:r w:rsidRPr="00DD2C62">
        <w:t>reçu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réponse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Gouvernement</w:t>
      </w:r>
      <w:r w:rsidR="0049107A" w:rsidRPr="00DD2C62">
        <w:t xml:space="preserve"> </w:t>
      </w:r>
      <w:r w:rsidRPr="00DD2C62">
        <w:t>albanais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30</w:t>
      </w:r>
      <w:r w:rsidR="001965AA">
        <w:t> </w:t>
      </w:r>
      <w:r w:rsidRPr="00DD2C62">
        <w:t>décembre</w:t>
      </w:r>
      <w:r w:rsidR="0049107A" w:rsidRPr="00DD2C62">
        <w:t xml:space="preserve"> </w:t>
      </w:r>
      <w:r w:rsidRPr="00DD2C62">
        <w:t>2019.</w:t>
      </w:r>
      <w:r w:rsidR="0049107A" w:rsidRPr="00DD2C62">
        <w:t xml:space="preserve"> </w:t>
      </w:r>
      <w:bookmarkStart w:id="23" w:name="_Hlk50470697"/>
      <w:r w:rsidRPr="00DD2C62"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petites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hydroélectriques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figuraient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l’appendice</w:t>
      </w:r>
      <w:r w:rsidR="0049107A" w:rsidRPr="00DD2C62">
        <w:t xml:space="preserve"> </w:t>
      </w:r>
      <w:r w:rsidRPr="00DD2C62">
        <w:t>I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que,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5)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telles</w:t>
      </w:r>
      <w:r w:rsidR="0049107A" w:rsidRPr="00DD2C62">
        <w:t xml:space="preserve"> </w:t>
      </w:r>
      <w:r w:rsidRPr="00DD2C62">
        <w:t>activités,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engagé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discussions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savoir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proposées</w:t>
      </w:r>
      <w:r w:rsidR="0049107A" w:rsidRPr="00DD2C62">
        <w:t xml:space="preserve"> </w:t>
      </w:r>
      <w:r w:rsidRPr="00DD2C62">
        <w:t>risquaient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causer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impact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négatif</w:t>
      </w:r>
      <w:r w:rsidR="0049107A" w:rsidRPr="00DD2C62">
        <w:t xml:space="preserve"> </w:t>
      </w:r>
      <w:r w:rsidRPr="00DD2C62">
        <w:t>notable.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s’est</w:t>
      </w:r>
      <w:r w:rsidR="0049107A" w:rsidRPr="00DD2C62">
        <w:t xml:space="preserve"> </w:t>
      </w:r>
      <w:r w:rsidRPr="00DD2C62">
        <w:t>félicité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l’aide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fournirait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</w:t>
      </w:r>
      <w:r w:rsidR="0049107A" w:rsidRPr="00DD2C62">
        <w:t xml:space="preserve"> </w:t>
      </w:r>
      <w:r w:rsidRPr="00DD2C62">
        <w:t>égard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bookmarkStart w:id="24" w:name="_Hlk51488430"/>
      <w:r w:rsidRPr="00DD2C62">
        <w:t>Convention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protection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l’utilisation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d’eau</w:t>
      </w:r>
      <w:r w:rsidR="0049107A" w:rsidRPr="00DD2C62">
        <w:t xml:space="preserve"> </w:t>
      </w:r>
      <w:r w:rsidRPr="00DD2C62">
        <w:t>transfrontières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lacs</w:t>
      </w:r>
      <w:r w:rsidR="0049107A" w:rsidRPr="00DD2C62">
        <w:t xml:space="preserve"> </w:t>
      </w:r>
      <w:r w:rsidRPr="00DD2C62">
        <w:t>internationaux</w:t>
      </w:r>
      <w:r w:rsidR="0049107A" w:rsidRPr="00DD2C62">
        <w:t xml:space="preserve"> </w:t>
      </w:r>
      <w:bookmarkEnd w:id="24"/>
      <w:r w:rsidRPr="00DD2C62">
        <w:t>(Convention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l’eau)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encouragé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veiller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impacts</w:t>
      </w:r>
      <w:r w:rsidR="0049107A" w:rsidRPr="00DD2C62">
        <w:t xml:space="preserve"> </w:t>
      </w:r>
      <w:r w:rsidRPr="00DD2C62">
        <w:t>cumulés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proposées</w:t>
      </w:r>
      <w:r w:rsidR="0049107A" w:rsidRPr="00DD2C62">
        <w:t xml:space="preserve"> </w:t>
      </w:r>
      <w:r w:rsidRPr="00DD2C62">
        <w:t>soient</w:t>
      </w:r>
      <w:r w:rsidR="0049107A" w:rsidRPr="00DD2C62">
        <w:t xml:space="preserve"> </w:t>
      </w:r>
      <w:r w:rsidRPr="00DD2C62">
        <w:t>évalués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cadre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processus.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également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d’Espoo</w:t>
      </w:r>
      <w:r w:rsidR="0049107A" w:rsidRPr="00DD2C62">
        <w:t xml:space="preserve"> </w:t>
      </w:r>
      <w:r w:rsidRPr="00DD2C62">
        <w:t>devrait</w:t>
      </w:r>
      <w:r w:rsidR="0049107A" w:rsidRPr="00DD2C62">
        <w:t xml:space="preserve"> </w:t>
      </w:r>
      <w:r w:rsidRPr="00DD2C62">
        <w:t>s’appliquer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cas</w:t>
      </w:r>
      <w:r w:rsidR="0049107A" w:rsidRPr="00DD2C62">
        <w:t xml:space="preserve"> </w:t>
      </w:r>
      <w:r w:rsidRPr="00DD2C62">
        <w:t>où</w:t>
      </w:r>
      <w:r w:rsidR="0049107A" w:rsidRPr="00DD2C62">
        <w:t xml:space="preserve"> </w:t>
      </w:r>
      <w:r w:rsidRPr="00DD2C62">
        <w:t>l’on</w:t>
      </w:r>
      <w:r w:rsidR="0049107A" w:rsidRPr="00DD2C62">
        <w:t xml:space="preserve"> </w:t>
      </w:r>
      <w:r w:rsidRPr="00DD2C62">
        <w:t>ne</w:t>
      </w:r>
      <w:r w:rsidR="0049107A" w:rsidRPr="00DD2C62">
        <w:t xml:space="preserve"> </w:t>
      </w:r>
      <w:r w:rsidRPr="00DD2C62">
        <w:t>peut</w:t>
      </w:r>
      <w:r w:rsidR="0049107A" w:rsidRPr="00DD2C62">
        <w:t xml:space="preserve"> </w:t>
      </w:r>
      <w:r w:rsidRPr="00DD2C62">
        <w:t>exclure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impact</w:t>
      </w:r>
      <w:r w:rsidR="0049107A" w:rsidRPr="00DD2C62">
        <w:t xml:space="preserve"> </w:t>
      </w:r>
      <w:r w:rsidRPr="00DD2C62">
        <w:t>notable</w:t>
      </w:r>
      <w:r w:rsidR="0049107A" w:rsidRPr="00DD2C62">
        <w:t xml:space="preserve"> </w:t>
      </w:r>
      <w:r w:rsidRPr="00DD2C62">
        <w:t>dû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proposées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offert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aide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appliquer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selon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besoin.</w:t>
      </w:r>
      <w:bookmarkEnd w:id="22"/>
      <w:bookmarkEnd w:id="23"/>
    </w:p>
    <w:p w14:paraId="06C1A8E9" w14:textId="77777777" w:rsidR="002749FA" w:rsidRPr="00DD2C62" w:rsidRDefault="002749FA" w:rsidP="0049107A">
      <w:pPr>
        <w:pStyle w:val="HChG"/>
      </w:pPr>
      <w:r w:rsidRPr="00DD2C62">
        <w:tab/>
        <w:t>V.</w:t>
      </w:r>
      <w:r w:rsidRPr="00DD2C62">
        <w:tab/>
        <w:t>Informations</w:t>
      </w:r>
      <w:r w:rsidR="0049107A" w:rsidRPr="00DD2C62">
        <w:t xml:space="preserve"> </w:t>
      </w:r>
      <w:r w:rsidRPr="00DD2C62">
        <w:t>reçues</w:t>
      </w:r>
      <w:r w:rsidR="0049107A" w:rsidRPr="00DD2C62">
        <w:t xml:space="preserve"> </w:t>
      </w:r>
      <w:r w:rsidRPr="00DD2C62">
        <w:t>d’autres</w:t>
      </w:r>
      <w:r w:rsidR="0049107A" w:rsidRPr="00DD2C62">
        <w:t xml:space="preserve"> </w:t>
      </w:r>
      <w:r w:rsidRPr="00DD2C62">
        <w:t>sources</w:t>
      </w:r>
      <w:r w:rsidR="0049107A" w:rsidRPr="00DD2C62">
        <w:t xml:space="preserve"> </w:t>
      </w:r>
      <w:r w:rsidRPr="00DD2C62">
        <w:t>(dossiers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d’informations)</w:t>
      </w:r>
    </w:p>
    <w:p w14:paraId="4E799F3A" w14:textId="77777777" w:rsidR="002749FA" w:rsidRPr="00DD2C62" w:rsidRDefault="002749FA" w:rsidP="0049107A">
      <w:pPr>
        <w:pStyle w:val="SingleTxtG"/>
      </w:pPr>
      <w:r w:rsidRPr="00DD2C62">
        <w:t>65.</w:t>
      </w:r>
      <w:r w:rsidRPr="00DD2C62">
        <w:tab/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également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reçues</w:t>
      </w:r>
      <w:r w:rsidR="0049107A" w:rsidRPr="00DD2C62">
        <w:t xml:space="preserve"> </w:t>
      </w:r>
      <w:r w:rsidRPr="00DD2C62">
        <w:t>d’autres</w:t>
      </w:r>
      <w:r w:rsidR="0049107A" w:rsidRPr="00DD2C62">
        <w:t xml:space="preserve"> </w:t>
      </w:r>
      <w:r w:rsidRPr="00DD2C62">
        <w:t>sources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="001965AA">
        <w:t>−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1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15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</w:t>
      </w:r>
      <w:r w:rsidR="0049107A" w:rsidRPr="00DD2C62">
        <w:t xml:space="preserve"> </w:t>
      </w:r>
      <w:r w:rsidR="001965AA">
        <w:t>−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total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25</w:t>
      </w:r>
      <w:r w:rsidR="001965AA">
        <w:t> </w:t>
      </w:r>
      <w:r w:rsidRPr="00DD2C62">
        <w:t>questions</w:t>
      </w:r>
      <w:r w:rsidR="00DD2C62" w:rsidRPr="00DD2C62">
        <w:t> :</w:t>
      </w:r>
      <w:r w:rsidR="0049107A" w:rsidRPr="00DD2C62">
        <w:t xml:space="preserve"> </w:t>
      </w:r>
      <w:r w:rsidRPr="00DD2C62">
        <w:t>22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(résumées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4).</w:t>
      </w:r>
    </w:p>
    <w:p w14:paraId="2ADE5C56" w14:textId="77777777" w:rsidR="0049107A" w:rsidRPr="00DD2C62" w:rsidRDefault="002749FA" w:rsidP="0049107A">
      <w:pPr>
        <w:pStyle w:val="Heading1"/>
      </w:pPr>
      <w:r w:rsidRPr="00DD2C62">
        <w:lastRenderedPageBreak/>
        <w:t>Tableau</w:t>
      </w:r>
      <w:r w:rsidR="0049107A" w:rsidRPr="00DD2C62">
        <w:t xml:space="preserve"> </w:t>
      </w:r>
      <w:r w:rsidRPr="00DD2C62">
        <w:t>4</w:t>
      </w:r>
      <w:bookmarkStart w:id="25" w:name="_Hlk45028841"/>
    </w:p>
    <w:p w14:paraId="2F890C63" w14:textId="77777777" w:rsidR="002749FA" w:rsidRPr="00DD2C62" w:rsidRDefault="002749FA" w:rsidP="0049107A">
      <w:pPr>
        <w:pStyle w:val="SingleTxtG"/>
        <w:keepNext/>
        <w:jc w:val="left"/>
        <w:rPr>
          <w:b/>
          <w:bCs/>
        </w:rPr>
      </w:pPr>
      <w:r w:rsidRPr="00DD2C62">
        <w:rPr>
          <w:b/>
          <w:bCs/>
        </w:rPr>
        <w:t>Informations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reçues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d’autres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sources</w:t>
      </w:r>
      <w:bookmarkEnd w:id="25"/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276"/>
        <w:gridCol w:w="1418"/>
        <w:gridCol w:w="4109"/>
      </w:tblGrid>
      <w:tr w:rsidR="002749FA" w:rsidRPr="00DD2C62" w14:paraId="09CA5EAB" w14:textId="77777777" w:rsidTr="001965AA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CEDD5" w14:textId="77777777" w:rsidR="002749FA" w:rsidRPr="00DD2C62" w:rsidRDefault="002749FA" w:rsidP="00772473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Référence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du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Comité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CE33E" w14:textId="77777777" w:rsidR="002749FA" w:rsidRPr="00DD2C62" w:rsidRDefault="002749FA" w:rsidP="00772473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Partie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concernée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16735A" w14:textId="77777777" w:rsidR="002749FA" w:rsidRPr="00DD2C62" w:rsidRDefault="002749FA" w:rsidP="00772473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État</w:t>
            </w:r>
            <w:r w:rsidR="0049107A" w:rsidRPr="00DD2C62">
              <w:rPr>
                <w:i/>
                <w:sz w:val="16"/>
              </w:rPr>
              <w:t xml:space="preserve"> </w:t>
            </w:r>
            <w:r w:rsidRPr="00DD2C62">
              <w:rPr>
                <w:i/>
                <w:sz w:val="16"/>
              </w:rPr>
              <w:t>d’avancement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541584" w14:textId="77777777" w:rsidR="002749FA" w:rsidRPr="00DD2C62" w:rsidRDefault="002749FA" w:rsidP="00772473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DD2C62">
              <w:rPr>
                <w:i/>
                <w:sz w:val="16"/>
              </w:rPr>
              <w:t>Question</w:t>
            </w:r>
          </w:p>
        </w:tc>
      </w:tr>
      <w:tr w:rsidR="0049107A" w:rsidRPr="00DD2C62" w14:paraId="1C3C1823" w14:textId="77777777" w:rsidTr="001965AA">
        <w:trPr>
          <w:trHeight w:hRule="exact" w:val="113"/>
          <w:tblHeader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39E874F" w14:textId="77777777" w:rsidR="0049107A" w:rsidRPr="00DD2C62" w:rsidRDefault="0049107A" w:rsidP="00772473">
            <w:pPr>
              <w:keepNext/>
              <w:spacing w:before="40" w:after="120"/>
              <w:ind w:right="113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3B9BC96" w14:textId="77777777" w:rsidR="0049107A" w:rsidRPr="00DD2C62" w:rsidRDefault="0049107A" w:rsidP="00772473">
            <w:pPr>
              <w:keepNext/>
              <w:spacing w:before="40" w:after="120"/>
              <w:ind w:right="113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784ACFE" w14:textId="77777777" w:rsidR="0049107A" w:rsidRPr="00DD2C62" w:rsidRDefault="0049107A" w:rsidP="00772473">
            <w:pPr>
              <w:keepNext/>
              <w:spacing w:before="40" w:after="120"/>
              <w:ind w:right="113"/>
            </w:pPr>
          </w:p>
        </w:tc>
        <w:tc>
          <w:tcPr>
            <w:tcW w:w="4109" w:type="dxa"/>
            <w:tcBorders>
              <w:top w:val="single" w:sz="12" w:space="0" w:color="auto"/>
            </w:tcBorders>
            <w:shd w:val="clear" w:color="auto" w:fill="auto"/>
          </w:tcPr>
          <w:p w14:paraId="67ED78B1" w14:textId="77777777" w:rsidR="0049107A" w:rsidRPr="00DD2C62" w:rsidRDefault="0049107A" w:rsidP="00772473">
            <w:pPr>
              <w:keepNext/>
              <w:spacing w:before="40" w:after="120"/>
            </w:pPr>
          </w:p>
        </w:tc>
      </w:tr>
      <w:tr w:rsidR="001965AA" w:rsidRPr="00DD2C62" w14:paraId="732AFAE2" w14:textId="77777777" w:rsidTr="001965AA">
        <w:tc>
          <w:tcPr>
            <w:tcW w:w="4395" w:type="dxa"/>
            <w:gridSpan w:val="3"/>
            <w:shd w:val="clear" w:color="auto" w:fill="auto"/>
          </w:tcPr>
          <w:p w14:paraId="4876B787" w14:textId="77777777" w:rsidR="001965AA" w:rsidRPr="001965AA" w:rsidRDefault="001965AA" w:rsidP="00772473">
            <w:pPr>
              <w:keepNext/>
              <w:spacing w:before="40" w:after="120"/>
              <w:ind w:right="113"/>
              <w:rPr>
                <w:i/>
                <w:iCs/>
              </w:rPr>
            </w:pPr>
            <w:r w:rsidRPr="001965AA">
              <w:rPr>
                <w:i/>
                <w:iCs/>
              </w:rPr>
              <w:t>Questions relatives à la Convention</w:t>
            </w:r>
          </w:p>
        </w:tc>
        <w:tc>
          <w:tcPr>
            <w:tcW w:w="4109" w:type="dxa"/>
            <w:shd w:val="clear" w:color="auto" w:fill="auto"/>
          </w:tcPr>
          <w:p w14:paraId="0D6B9475" w14:textId="77777777" w:rsidR="001965AA" w:rsidRPr="00DD2C62" w:rsidRDefault="001965AA" w:rsidP="00772473">
            <w:pPr>
              <w:keepNext/>
              <w:spacing w:before="40" w:after="120"/>
            </w:pPr>
          </w:p>
        </w:tc>
      </w:tr>
      <w:tr w:rsidR="002749FA" w:rsidRPr="00DD2C62" w14:paraId="13301F25" w14:textId="77777777" w:rsidTr="001965AA">
        <w:tc>
          <w:tcPr>
            <w:tcW w:w="1701" w:type="dxa"/>
            <w:shd w:val="clear" w:color="auto" w:fill="auto"/>
          </w:tcPr>
          <w:p w14:paraId="52E79AA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EIA/IC/INFO/10</w:t>
            </w:r>
          </w:p>
        </w:tc>
        <w:tc>
          <w:tcPr>
            <w:tcW w:w="1276" w:type="dxa"/>
            <w:shd w:val="clear" w:color="auto" w:fill="auto"/>
          </w:tcPr>
          <w:p w14:paraId="1A24B78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1418" w:type="dxa"/>
            <w:shd w:val="clear" w:color="auto" w:fill="auto"/>
          </w:tcPr>
          <w:p w14:paraId="0DA1C57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Réouverte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2018</w:t>
            </w:r>
          </w:p>
        </w:tc>
        <w:tc>
          <w:tcPr>
            <w:tcW w:w="4109" w:type="dxa"/>
            <w:shd w:val="clear" w:color="auto" w:fill="auto"/>
          </w:tcPr>
          <w:p w14:paraId="1220E64F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des</w:t>
            </w:r>
            <w:r w:rsidR="0049107A" w:rsidRPr="00DD2C62">
              <w:t xml:space="preserve"> </w:t>
            </w:r>
            <w:r w:rsidRPr="00DD2C62">
              <w:t>réacteurs</w:t>
            </w:r>
            <w:r w:rsidR="0049107A" w:rsidRPr="00DD2C62">
              <w:t xml:space="preserve"> </w:t>
            </w:r>
            <w:r w:rsidRPr="00DD2C62">
              <w:t>nucléaires</w:t>
            </w:r>
            <w:r w:rsidR="0049107A" w:rsidRPr="00DD2C62">
              <w:t xml:space="preserve"> </w:t>
            </w:r>
            <w:r w:rsidRPr="00DD2C62">
              <w:t>3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4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Khmelnytsky</w:t>
            </w:r>
          </w:p>
        </w:tc>
      </w:tr>
      <w:tr w:rsidR="002749FA" w:rsidRPr="00DD2C62" w14:paraId="1B5FB0F7" w14:textId="77777777" w:rsidTr="001965AA">
        <w:tc>
          <w:tcPr>
            <w:tcW w:w="1701" w:type="dxa"/>
            <w:shd w:val="clear" w:color="auto" w:fill="auto"/>
          </w:tcPr>
          <w:p w14:paraId="38279BFE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EIA/IC/INFO/13</w:t>
            </w:r>
          </w:p>
        </w:tc>
        <w:tc>
          <w:tcPr>
            <w:tcW w:w="1276" w:type="dxa"/>
            <w:shd w:val="clear" w:color="auto" w:fill="auto"/>
          </w:tcPr>
          <w:p w14:paraId="6298390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1418" w:type="dxa"/>
            <w:shd w:val="clear" w:color="auto" w:fill="auto"/>
          </w:tcPr>
          <w:p w14:paraId="04D0FF5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Réouverte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2020</w:t>
            </w:r>
          </w:p>
        </w:tc>
        <w:tc>
          <w:tcPr>
            <w:tcW w:w="4109" w:type="dxa"/>
            <w:shd w:val="clear" w:color="auto" w:fill="auto"/>
          </w:tcPr>
          <w:p w14:paraId="60E063C0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d’ouverture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d’exploitation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mine</w:t>
            </w:r>
            <w:r w:rsidR="0049107A" w:rsidRPr="00DD2C62">
              <w:t xml:space="preserve"> </w:t>
            </w:r>
            <w:r w:rsidRPr="00DD2C62">
              <w:t>d’or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Muzhiyevo</w:t>
            </w:r>
          </w:p>
        </w:tc>
      </w:tr>
      <w:tr w:rsidR="002749FA" w:rsidRPr="00DD2C62" w14:paraId="25AF41DE" w14:textId="77777777" w:rsidTr="001965AA">
        <w:tc>
          <w:tcPr>
            <w:tcW w:w="1701" w:type="dxa"/>
            <w:shd w:val="clear" w:color="auto" w:fill="auto"/>
          </w:tcPr>
          <w:p w14:paraId="4114C30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EIA/IC/INFO/16</w:t>
            </w:r>
          </w:p>
        </w:tc>
        <w:tc>
          <w:tcPr>
            <w:tcW w:w="1276" w:type="dxa"/>
            <w:shd w:val="clear" w:color="auto" w:fill="auto"/>
          </w:tcPr>
          <w:p w14:paraId="5489DDF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Bosnie-Herzégovine</w:t>
            </w:r>
          </w:p>
        </w:tc>
        <w:tc>
          <w:tcPr>
            <w:tcW w:w="1418" w:type="dxa"/>
            <w:shd w:val="clear" w:color="auto" w:fill="auto"/>
          </w:tcPr>
          <w:p w14:paraId="48146BEC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2014</w:t>
            </w:r>
          </w:p>
        </w:tc>
        <w:tc>
          <w:tcPr>
            <w:tcW w:w="4109" w:type="dxa"/>
            <w:shd w:val="clear" w:color="auto" w:fill="auto"/>
          </w:tcPr>
          <w:p w14:paraId="527D22DC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</w:t>
            </w:r>
            <w:r w:rsidR="0049107A" w:rsidRPr="00DD2C62">
              <w:t xml:space="preserve"> </w:t>
            </w:r>
            <w:r w:rsidRPr="00DD2C62">
              <w:t>troisième</w:t>
            </w:r>
            <w:r w:rsidR="0049107A" w:rsidRPr="00DD2C62">
              <w:t xml:space="preserve"> </w:t>
            </w:r>
            <w:r w:rsidRPr="00DD2C62">
              <w:t>bloc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thermoélectrique</w:t>
            </w:r>
            <w:r w:rsidR="0049107A" w:rsidRPr="00DD2C62">
              <w:t xml:space="preserve"> </w:t>
            </w:r>
            <w:r w:rsidRPr="00DD2C62">
              <w:t>d’Ugljevik</w:t>
            </w:r>
          </w:p>
        </w:tc>
      </w:tr>
      <w:tr w:rsidR="002749FA" w:rsidRPr="00DD2C62" w14:paraId="140BC616" w14:textId="77777777" w:rsidTr="001965AA">
        <w:tc>
          <w:tcPr>
            <w:tcW w:w="1701" w:type="dxa"/>
            <w:shd w:val="clear" w:color="auto" w:fill="auto"/>
          </w:tcPr>
          <w:p w14:paraId="4F7EA35C" w14:textId="77777777" w:rsidR="002749FA" w:rsidRPr="00DD2C62" w:rsidRDefault="002749FA" w:rsidP="0049107A">
            <w:pPr>
              <w:spacing w:before="40" w:after="120"/>
              <w:ind w:right="113"/>
            </w:pPr>
            <w:bookmarkStart w:id="26" w:name="_Hlk45810332"/>
            <w:r w:rsidRPr="00DD2C62">
              <w:t>EIA/IC/INFO/17</w:t>
            </w:r>
            <w:bookmarkEnd w:id="26"/>
          </w:p>
        </w:tc>
        <w:tc>
          <w:tcPr>
            <w:tcW w:w="1276" w:type="dxa"/>
            <w:shd w:val="clear" w:color="auto" w:fill="auto"/>
          </w:tcPr>
          <w:p w14:paraId="484DE5B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Bosnie-Herzégovine</w:t>
            </w:r>
          </w:p>
        </w:tc>
        <w:tc>
          <w:tcPr>
            <w:tcW w:w="1418" w:type="dxa"/>
            <w:shd w:val="clear" w:color="auto" w:fill="auto"/>
          </w:tcPr>
          <w:p w14:paraId="6F72DA3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Fermée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2019</w:t>
            </w:r>
          </w:p>
        </w:tc>
        <w:tc>
          <w:tcPr>
            <w:tcW w:w="4109" w:type="dxa"/>
            <w:shd w:val="clear" w:color="auto" w:fill="auto"/>
          </w:tcPr>
          <w:p w14:paraId="242AABC1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d’une</w:t>
            </w:r>
            <w:r w:rsidR="0049107A" w:rsidRPr="00DD2C62">
              <w:t xml:space="preserve"> </w:t>
            </w:r>
            <w:r w:rsidRPr="00DD2C62">
              <w:t>nouvelle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thermique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Stanari</w:t>
            </w:r>
          </w:p>
        </w:tc>
      </w:tr>
      <w:tr w:rsidR="002749FA" w:rsidRPr="00DD2C62" w14:paraId="35C66D71" w14:textId="77777777" w:rsidTr="001965AA">
        <w:tc>
          <w:tcPr>
            <w:tcW w:w="1701" w:type="dxa"/>
            <w:shd w:val="clear" w:color="auto" w:fill="auto"/>
          </w:tcPr>
          <w:p w14:paraId="22BAEB9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EIA/IC/INFO/21</w:t>
            </w:r>
          </w:p>
        </w:tc>
        <w:tc>
          <w:tcPr>
            <w:tcW w:w="1276" w:type="dxa"/>
            <w:shd w:val="clear" w:color="auto" w:fill="auto"/>
          </w:tcPr>
          <w:p w14:paraId="77ED097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Bélarus</w:t>
            </w:r>
          </w:p>
        </w:tc>
        <w:tc>
          <w:tcPr>
            <w:tcW w:w="1418" w:type="dxa"/>
            <w:shd w:val="clear" w:color="auto" w:fill="auto"/>
          </w:tcPr>
          <w:p w14:paraId="5B9240D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2017</w:t>
            </w:r>
          </w:p>
        </w:tc>
        <w:tc>
          <w:tcPr>
            <w:tcW w:w="4109" w:type="dxa"/>
            <w:shd w:val="clear" w:color="auto" w:fill="auto"/>
          </w:tcPr>
          <w:p w14:paraId="14CDC9E1" w14:textId="77777777" w:rsidR="002749FA" w:rsidRPr="00DD2C62" w:rsidRDefault="002749FA" w:rsidP="001965AA">
            <w:pPr>
              <w:spacing w:before="40" w:after="120"/>
            </w:pPr>
            <w:r w:rsidRPr="00DD2C62">
              <w:t>Législation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règlements</w:t>
            </w:r>
            <w:r w:rsidR="0049107A" w:rsidRPr="00DD2C62">
              <w:t xml:space="preserve"> </w:t>
            </w:r>
            <w:r w:rsidRPr="00DD2C62">
              <w:t>d’application</w:t>
            </w:r>
            <w:r w:rsidR="0049107A" w:rsidRPr="00DD2C62">
              <w:t xml:space="preserve"> </w:t>
            </w:r>
            <w:r w:rsidRPr="00DD2C62">
              <w:t>sur</w:t>
            </w:r>
            <w:r w:rsidR="0049107A" w:rsidRPr="00DD2C62">
              <w:t xml:space="preserve"> </w:t>
            </w:r>
            <w:r w:rsidRPr="00DD2C62">
              <w:t>l’EIE,</w:t>
            </w:r>
            <w:r w:rsidR="0049107A" w:rsidRPr="00DD2C62">
              <w:t xml:space="preserve"> </w:t>
            </w:r>
            <w:r w:rsidRPr="00DD2C62">
              <w:t>l’évaluation</w:t>
            </w:r>
            <w:r w:rsidR="0049107A" w:rsidRPr="00DD2C62">
              <w:t xml:space="preserve"> </w:t>
            </w:r>
            <w:r w:rsidRPr="00DD2C62">
              <w:t>stratégique</w:t>
            </w:r>
            <w:r w:rsidR="0049107A" w:rsidRPr="00DD2C62">
              <w:t xml:space="preserve"> </w:t>
            </w:r>
            <w:r w:rsidRPr="00DD2C62">
              <w:t>environnementale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l’expertise</w:t>
            </w:r>
            <w:r w:rsidR="0049107A" w:rsidRPr="00DD2C62">
              <w:t xml:space="preserve"> </w:t>
            </w:r>
            <w:r w:rsidRPr="00DD2C62">
              <w:t>écologique</w:t>
            </w:r>
            <w:r w:rsidR="0049107A" w:rsidRPr="00DD2C62">
              <w:t xml:space="preserve"> </w:t>
            </w:r>
            <w:r w:rsidRPr="00DD2C62">
              <w:t>d’État</w:t>
            </w:r>
          </w:p>
        </w:tc>
      </w:tr>
      <w:tr w:rsidR="002749FA" w:rsidRPr="00DD2C62" w14:paraId="26177042" w14:textId="77777777" w:rsidTr="001965AA">
        <w:tc>
          <w:tcPr>
            <w:tcW w:w="1701" w:type="dxa"/>
            <w:shd w:val="clear" w:color="auto" w:fill="auto"/>
          </w:tcPr>
          <w:p w14:paraId="1861647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EIA/IC/INFO/22</w:t>
            </w:r>
          </w:p>
        </w:tc>
        <w:tc>
          <w:tcPr>
            <w:tcW w:w="1276" w:type="dxa"/>
            <w:shd w:val="clear" w:color="auto" w:fill="auto"/>
          </w:tcPr>
          <w:p w14:paraId="6B56F51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Espagne</w:t>
            </w:r>
          </w:p>
        </w:tc>
        <w:tc>
          <w:tcPr>
            <w:tcW w:w="1418" w:type="dxa"/>
            <w:shd w:val="clear" w:color="auto" w:fill="auto"/>
          </w:tcPr>
          <w:p w14:paraId="0205CD2D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2019</w:t>
            </w:r>
          </w:p>
        </w:tc>
        <w:tc>
          <w:tcPr>
            <w:tcW w:w="4109" w:type="dxa"/>
            <w:shd w:val="clear" w:color="auto" w:fill="auto"/>
          </w:tcPr>
          <w:p w14:paraId="339CEC06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</w:t>
            </w:r>
            <w:r w:rsidR="0049107A" w:rsidRPr="00DD2C62">
              <w:t xml:space="preserve"> </w:t>
            </w:r>
            <w:r w:rsidRPr="00DD2C62">
              <w:t>site</w:t>
            </w:r>
            <w:r w:rsidR="0049107A" w:rsidRPr="00DD2C62">
              <w:t xml:space="preserve"> </w:t>
            </w:r>
            <w:r w:rsidRPr="00DD2C62">
              <w:t>temporaire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stockage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déchets</w:t>
            </w:r>
            <w:r w:rsidR="0049107A" w:rsidRPr="00DD2C62">
              <w:t xml:space="preserve"> </w:t>
            </w:r>
            <w:r w:rsidRPr="00DD2C62">
              <w:t>radioactifs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d’Almaraz</w:t>
            </w:r>
          </w:p>
        </w:tc>
      </w:tr>
      <w:tr w:rsidR="002749FA" w:rsidRPr="00DD2C62" w14:paraId="6B05197E" w14:textId="77777777" w:rsidTr="001965AA">
        <w:tc>
          <w:tcPr>
            <w:tcW w:w="1701" w:type="dxa"/>
            <w:shd w:val="clear" w:color="auto" w:fill="auto"/>
          </w:tcPr>
          <w:p w14:paraId="6C3A68C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ECE/IC/INFO/23</w:t>
            </w:r>
          </w:p>
        </w:tc>
        <w:tc>
          <w:tcPr>
            <w:tcW w:w="1276" w:type="dxa"/>
            <w:shd w:val="clear" w:color="auto" w:fill="auto"/>
          </w:tcPr>
          <w:p w14:paraId="17D32544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Bosnie-Herzégovine</w:t>
            </w:r>
          </w:p>
        </w:tc>
        <w:tc>
          <w:tcPr>
            <w:tcW w:w="1418" w:type="dxa"/>
            <w:shd w:val="clear" w:color="auto" w:fill="auto"/>
          </w:tcPr>
          <w:p w14:paraId="1A495C60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2018</w:t>
            </w:r>
          </w:p>
        </w:tc>
        <w:tc>
          <w:tcPr>
            <w:tcW w:w="4109" w:type="dxa"/>
            <w:shd w:val="clear" w:color="auto" w:fill="auto"/>
          </w:tcPr>
          <w:p w14:paraId="0B698AF9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d’une</w:t>
            </w:r>
            <w:r w:rsidR="0049107A" w:rsidRPr="00DD2C62">
              <w:t xml:space="preserve"> </w:t>
            </w:r>
            <w:r w:rsidRPr="00DD2C62">
              <w:t>nouvelle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thermique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Banovici</w:t>
            </w:r>
          </w:p>
        </w:tc>
      </w:tr>
      <w:tr w:rsidR="002749FA" w:rsidRPr="00DD2C62" w14:paraId="3E1E34CC" w14:textId="77777777" w:rsidTr="001965AA">
        <w:tc>
          <w:tcPr>
            <w:tcW w:w="1701" w:type="dxa"/>
            <w:shd w:val="clear" w:color="auto" w:fill="auto"/>
          </w:tcPr>
          <w:p w14:paraId="3DAFE8F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ECE/IC/INFO/24</w:t>
            </w:r>
          </w:p>
        </w:tc>
        <w:tc>
          <w:tcPr>
            <w:tcW w:w="1276" w:type="dxa"/>
            <w:shd w:val="clear" w:color="auto" w:fill="auto"/>
          </w:tcPr>
          <w:p w14:paraId="20891EAE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Bosnie-Herzégovine</w:t>
            </w:r>
          </w:p>
        </w:tc>
        <w:tc>
          <w:tcPr>
            <w:tcW w:w="1418" w:type="dxa"/>
            <w:shd w:val="clear" w:color="auto" w:fill="auto"/>
          </w:tcPr>
          <w:p w14:paraId="476AAF9C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2018</w:t>
            </w:r>
          </w:p>
        </w:tc>
        <w:tc>
          <w:tcPr>
            <w:tcW w:w="4109" w:type="dxa"/>
            <w:shd w:val="clear" w:color="auto" w:fill="auto"/>
          </w:tcPr>
          <w:p w14:paraId="62DFC890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l’unité</w:t>
            </w:r>
            <w:r w:rsidR="0049107A" w:rsidRPr="00DD2C62">
              <w:t xml:space="preserve"> </w:t>
            </w:r>
            <w:r w:rsidRPr="00DD2C62">
              <w:t>7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thermique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Tuzla</w:t>
            </w:r>
          </w:p>
        </w:tc>
      </w:tr>
      <w:tr w:rsidR="002749FA" w:rsidRPr="00DD2C62" w14:paraId="185DFFD9" w14:textId="77777777" w:rsidTr="001965AA">
        <w:tc>
          <w:tcPr>
            <w:tcW w:w="1701" w:type="dxa"/>
            <w:shd w:val="clear" w:color="auto" w:fill="auto"/>
          </w:tcPr>
          <w:p w14:paraId="27DC52F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ECE/IC/INFO/25</w:t>
            </w:r>
          </w:p>
        </w:tc>
        <w:tc>
          <w:tcPr>
            <w:tcW w:w="1276" w:type="dxa"/>
            <w:shd w:val="clear" w:color="auto" w:fill="auto"/>
          </w:tcPr>
          <w:p w14:paraId="4A66E9C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Suisse</w:t>
            </w:r>
          </w:p>
        </w:tc>
        <w:tc>
          <w:tcPr>
            <w:tcW w:w="1418" w:type="dxa"/>
            <w:shd w:val="clear" w:color="auto" w:fill="auto"/>
          </w:tcPr>
          <w:p w14:paraId="6923454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2018</w:t>
            </w:r>
          </w:p>
        </w:tc>
        <w:tc>
          <w:tcPr>
            <w:tcW w:w="4109" w:type="dxa"/>
            <w:shd w:val="clear" w:color="auto" w:fill="auto"/>
          </w:tcPr>
          <w:p w14:paraId="09262B76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modifications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l’aéroport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Zurich</w:t>
            </w:r>
            <w:r w:rsidR="0049107A" w:rsidRPr="00DD2C62">
              <w:t xml:space="preserve"> </w:t>
            </w:r>
            <w:r w:rsidRPr="00DD2C62">
              <w:t>(extension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deux</w:t>
            </w:r>
            <w:r w:rsidR="0049107A" w:rsidRPr="00DD2C62">
              <w:t xml:space="preserve"> </w:t>
            </w:r>
            <w:r w:rsidRPr="00DD2C62">
              <w:t>voies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taxi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modifications</w:t>
            </w:r>
            <w:r w:rsidR="0049107A" w:rsidRPr="00DD2C62">
              <w:t xml:space="preserve"> </w:t>
            </w:r>
            <w:r w:rsidRPr="00DD2C62">
              <w:t>des</w:t>
            </w:r>
            <w:r w:rsidR="0049107A" w:rsidRPr="00DD2C62">
              <w:t xml:space="preserve"> </w:t>
            </w:r>
            <w:r w:rsidRPr="00DD2C62">
              <w:t>règlements</w:t>
            </w:r>
            <w:r w:rsidR="0049107A" w:rsidRPr="00DD2C62">
              <w:t xml:space="preserve"> </w:t>
            </w:r>
            <w:r w:rsidRPr="00DD2C62">
              <w:t>d’exploitation)</w:t>
            </w:r>
          </w:p>
        </w:tc>
      </w:tr>
      <w:tr w:rsidR="002749FA" w:rsidRPr="00DD2C62" w14:paraId="0F329959" w14:textId="77777777" w:rsidTr="001965AA">
        <w:tc>
          <w:tcPr>
            <w:tcW w:w="1701" w:type="dxa"/>
            <w:shd w:val="clear" w:color="auto" w:fill="auto"/>
          </w:tcPr>
          <w:p w14:paraId="692CE13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ECE/IC/INFO/27</w:t>
            </w:r>
          </w:p>
        </w:tc>
        <w:tc>
          <w:tcPr>
            <w:tcW w:w="1276" w:type="dxa"/>
            <w:shd w:val="clear" w:color="auto" w:fill="auto"/>
          </w:tcPr>
          <w:p w14:paraId="79C94D2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Serbie</w:t>
            </w:r>
          </w:p>
        </w:tc>
        <w:tc>
          <w:tcPr>
            <w:tcW w:w="1418" w:type="dxa"/>
            <w:shd w:val="clear" w:color="auto" w:fill="auto"/>
          </w:tcPr>
          <w:p w14:paraId="3AA1BE44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2019</w:t>
            </w:r>
          </w:p>
        </w:tc>
        <w:tc>
          <w:tcPr>
            <w:tcW w:w="4109" w:type="dxa"/>
            <w:shd w:val="clear" w:color="auto" w:fill="auto"/>
          </w:tcPr>
          <w:p w14:paraId="6A0CFC29" w14:textId="77777777" w:rsidR="002749FA" w:rsidRPr="00DD2C62" w:rsidRDefault="002749FA" w:rsidP="001965AA">
            <w:pPr>
              <w:spacing w:before="40" w:after="120"/>
            </w:pPr>
            <w:r w:rsidRPr="00DD2C62">
              <w:t>Extension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mine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ciel</w:t>
            </w:r>
            <w:r w:rsidR="0049107A" w:rsidRPr="00DD2C62">
              <w:t xml:space="preserve"> </w:t>
            </w:r>
            <w:r w:rsidRPr="00DD2C62">
              <w:t>ouvert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Drmno</w:t>
            </w:r>
          </w:p>
        </w:tc>
      </w:tr>
      <w:tr w:rsidR="002749FA" w:rsidRPr="00DD2C62" w14:paraId="3AB56BCF" w14:textId="77777777" w:rsidTr="001965AA">
        <w:tc>
          <w:tcPr>
            <w:tcW w:w="1701" w:type="dxa"/>
            <w:shd w:val="clear" w:color="auto" w:fill="auto"/>
          </w:tcPr>
          <w:p w14:paraId="2331A6C1" w14:textId="77777777" w:rsidR="002749FA" w:rsidRPr="00DD2C62" w:rsidRDefault="002749FA" w:rsidP="0049107A">
            <w:pPr>
              <w:spacing w:before="40" w:after="120"/>
              <w:ind w:right="113"/>
            </w:pPr>
            <w:bookmarkStart w:id="27" w:name="_Hlk51594675"/>
            <w:r w:rsidRPr="00DD2C62">
              <w:t>EIA/IC/INFO/29</w:t>
            </w:r>
            <w:bookmarkEnd w:id="27"/>
          </w:p>
        </w:tc>
        <w:tc>
          <w:tcPr>
            <w:tcW w:w="1276" w:type="dxa"/>
            <w:shd w:val="clear" w:color="auto" w:fill="auto"/>
          </w:tcPr>
          <w:p w14:paraId="42D6EF2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1418" w:type="dxa"/>
            <w:shd w:val="clear" w:color="auto" w:fill="auto"/>
          </w:tcPr>
          <w:p w14:paraId="4AA1E8D0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Ouverte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2018/</w:t>
            </w:r>
            <w:r w:rsidR="0049107A" w:rsidRPr="00DD2C62">
              <w:t xml:space="preserve"> </w:t>
            </w: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rPr>
                <w:iCs/>
              </w:rPr>
              <w:t>septembre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2020/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EIA/IC/CI/7</w:t>
            </w:r>
          </w:p>
        </w:tc>
        <w:tc>
          <w:tcPr>
            <w:tcW w:w="4109" w:type="dxa"/>
            <w:shd w:val="clear" w:color="auto" w:fill="auto"/>
          </w:tcPr>
          <w:p w14:paraId="406D4323" w14:textId="77777777" w:rsidR="002749FA" w:rsidRPr="00DD2C62" w:rsidRDefault="002749FA" w:rsidP="001965AA">
            <w:pPr>
              <w:spacing w:before="40" w:after="120"/>
            </w:pP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</w:t>
            </w:r>
            <w:r w:rsidR="0049107A" w:rsidRPr="00DD2C62">
              <w:t xml:space="preserve"> </w:t>
            </w:r>
            <w:r w:rsidRPr="00DD2C62">
              <w:t>vaste</w:t>
            </w:r>
            <w:r w:rsidR="0049107A" w:rsidRPr="00DD2C62">
              <w:t xml:space="preserve"> </w:t>
            </w:r>
            <w:r w:rsidRPr="00DD2C62">
              <w:t>complexe</w:t>
            </w:r>
            <w:r w:rsidR="0049107A" w:rsidRPr="00DD2C62">
              <w:t xml:space="preserve"> </w:t>
            </w:r>
            <w:r w:rsidRPr="00DD2C62">
              <w:t>touristique</w:t>
            </w:r>
            <w:r w:rsidR="0049107A" w:rsidRPr="00DD2C62">
              <w:t xml:space="preserve"> </w:t>
            </w:r>
            <w:r w:rsidRPr="00DD2C62">
              <w:t>dans</w:t>
            </w:r>
            <w:r w:rsidR="0049107A" w:rsidRPr="00DD2C62">
              <w:t xml:space="preserve"> </w:t>
            </w:r>
            <w:r w:rsidRPr="00DD2C62">
              <w:t>les</w:t>
            </w:r>
            <w:r w:rsidR="0049107A" w:rsidRPr="00DD2C62">
              <w:t xml:space="preserve"> </w:t>
            </w:r>
            <w:r w:rsidRPr="00DD2C62">
              <w:t>montagnes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Svydovets</w:t>
            </w:r>
          </w:p>
        </w:tc>
      </w:tr>
      <w:tr w:rsidR="002749FA" w:rsidRPr="00DD2C62" w14:paraId="31CB7225" w14:textId="77777777" w:rsidTr="001965AA">
        <w:tc>
          <w:tcPr>
            <w:tcW w:w="1701" w:type="dxa"/>
            <w:shd w:val="clear" w:color="auto" w:fill="auto"/>
          </w:tcPr>
          <w:p w14:paraId="5CF5B2B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EIA/IC/INFO/30</w:t>
            </w:r>
          </w:p>
        </w:tc>
        <w:tc>
          <w:tcPr>
            <w:tcW w:w="1276" w:type="dxa"/>
            <w:shd w:val="clear" w:color="auto" w:fill="auto"/>
          </w:tcPr>
          <w:p w14:paraId="58D64AD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Danemark</w:t>
            </w:r>
          </w:p>
        </w:tc>
        <w:tc>
          <w:tcPr>
            <w:tcW w:w="1418" w:type="dxa"/>
            <w:shd w:val="clear" w:color="auto" w:fill="auto"/>
          </w:tcPr>
          <w:p w14:paraId="3001AF3D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mars</w:t>
            </w:r>
            <w:r w:rsidR="0049107A" w:rsidRPr="00DD2C62">
              <w:t xml:space="preserve"> </w:t>
            </w:r>
            <w:r w:rsidRPr="00DD2C62">
              <w:t>2019</w:t>
            </w:r>
          </w:p>
        </w:tc>
        <w:tc>
          <w:tcPr>
            <w:tcW w:w="4109" w:type="dxa"/>
            <w:shd w:val="clear" w:color="auto" w:fill="auto"/>
          </w:tcPr>
          <w:p w14:paraId="4BAC732D" w14:textId="77777777" w:rsidR="002749FA" w:rsidRPr="00DD2C62" w:rsidRDefault="002749FA" w:rsidP="001965AA">
            <w:pPr>
              <w:spacing w:before="40" w:after="120"/>
            </w:pP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</w:t>
            </w:r>
            <w:r w:rsidR="0049107A" w:rsidRPr="00DD2C62">
              <w:t xml:space="preserve"> </w:t>
            </w:r>
            <w:r w:rsidRPr="00DD2C62">
              <w:t>gazoduc</w:t>
            </w:r>
            <w:r w:rsidR="0049107A" w:rsidRPr="00DD2C62">
              <w:t xml:space="preserve"> </w:t>
            </w:r>
            <w:r w:rsidRPr="00DD2C62">
              <w:t>(projet</w:t>
            </w:r>
            <w:r w:rsidR="0049107A" w:rsidRPr="00DD2C62">
              <w:t xml:space="preserve"> </w:t>
            </w:r>
            <w:r w:rsidRPr="00DD2C62">
              <w:t>Nord</w:t>
            </w:r>
            <w:r w:rsidR="0049107A" w:rsidRPr="00DD2C62">
              <w:t xml:space="preserve"> </w:t>
            </w:r>
            <w:r w:rsidRPr="00DD2C62">
              <w:t>Stream</w:t>
            </w:r>
            <w:r w:rsidR="0049107A" w:rsidRPr="00DD2C62">
              <w:t xml:space="preserve"> </w:t>
            </w:r>
            <w:r w:rsidRPr="00DD2C62">
              <w:t>2)</w:t>
            </w:r>
          </w:p>
        </w:tc>
      </w:tr>
      <w:tr w:rsidR="002749FA" w:rsidRPr="00DD2C62" w14:paraId="403A73C6" w14:textId="77777777" w:rsidTr="001965AA">
        <w:tc>
          <w:tcPr>
            <w:tcW w:w="1701" w:type="dxa"/>
            <w:shd w:val="clear" w:color="auto" w:fill="auto"/>
          </w:tcPr>
          <w:p w14:paraId="64E6C56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EIA/IC/INFO/31</w:t>
            </w:r>
          </w:p>
        </w:tc>
        <w:tc>
          <w:tcPr>
            <w:tcW w:w="1276" w:type="dxa"/>
            <w:shd w:val="clear" w:color="auto" w:fill="auto"/>
          </w:tcPr>
          <w:p w14:paraId="042F5FE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Serbie</w:t>
            </w:r>
          </w:p>
        </w:tc>
        <w:tc>
          <w:tcPr>
            <w:tcW w:w="1418" w:type="dxa"/>
            <w:shd w:val="clear" w:color="auto" w:fill="auto"/>
          </w:tcPr>
          <w:p w14:paraId="287EDAD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2019</w:t>
            </w:r>
            <w:r w:rsidR="0049107A" w:rsidRPr="00DD2C62">
              <w:t xml:space="preserve"> </w:t>
            </w:r>
            <w:r w:rsidRPr="00DD2C62">
              <w:t>suite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EIA/IC/S/6</w:t>
            </w:r>
          </w:p>
        </w:tc>
        <w:tc>
          <w:tcPr>
            <w:tcW w:w="4109" w:type="dxa"/>
            <w:shd w:val="clear" w:color="auto" w:fill="auto"/>
          </w:tcPr>
          <w:p w14:paraId="259E2D3E" w14:textId="77777777" w:rsidR="002749FA" w:rsidRPr="00DD2C62" w:rsidRDefault="002749FA" w:rsidP="001965AA">
            <w:pPr>
              <w:spacing w:before="40" w:after="120"/>
            </w:pP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d’une</w:t>
            </w:r>
            <w:r w:rsidR="0049107A" w:rsidRPr="00DD2C62">
              <w:t xml:space="preserve"> </w:t>
            </w:r>
            <w:r w:rsidRPr="00DD2C62">
              <w:t>installation</w:t>
            </w:r>
            <w:r w:rsidR="0049107A" w:rsidRPr="00DD2C62">
              <w:t xml:space="preserve"> </w:t>
            </w:r>
            <w:r w:rsidRPr="00DD2C62">
              <w:t>expérimentale</w:t>
            </w:r>
            <w:r w:rsidR="0049107A" w:rsidRPr="00DD2C62">
              <w:t xml:space="preserve"> </w:t>
            </w:r>
            <w:r w:rsidRPr="00DD2C62">
              <w:t>pour</w:t>
            </w:r>
            <w:r w:rsidR="0049107A" w:rsidRPr="00DD2C62">
              <w:t xml:space="preserve"> </w:t>
            </w:r>
            <w:r w:rsidRPr="00DD2C62">
              <w:t>tester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technologie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flottation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vue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traitement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minerais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cuivre,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plomb</w:t>
            </w:r>
            <w:r w:rsidR="0049107A" w:rsidRPr="00DD2C62">
              <w:t xml:space="preserve"> </w:t>
            </w:r>
            <w:r w:rsidRPr="00DD2C62">
              <w:t>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zinc</w:t>
            </w:r>
            <w:r w:rsidR="0049107A" w:rsidRPr="00DD2C62">
              <w:t xml:space="preserve"> </w:t>
            </w:r>
            <w:r w:rsidRPr="00DD2C62">
              <w:t>à</w:t>
            </w:r>
            <w:r w:rsidR="0049107A" w:rsidRPr="00DD2C62">
              <w:t xml:space="preserve"> </w:t>
            </w:r>
            <w:r w:rsidRPr="00DD2C62">
              <w:t>Karamanica</w:t>
            </w:r>
          </w:p>
        </w:tc>
      </w:tr>
      <w:tr w:rsidR="002749FA" w:rsidRPr="00DD2C62" w14:paraId="66A6DC13" w14:textId="77777777" w:rsidTr="001965AA">
        <w:tc>
          <w:tcPr>
            <w:tcW w:w="1701" w:type="dxa"/>
            <w:shd w:val="clear" w:color="auto" w:fill="auto"/>
          </w:tcPr>
          <w:p w14:paraId="1D783B0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EIA/IC/INFO/33</w:t>
            </w:r>
          </w:p>
        </w:tc>
        <w:tc>
          <w:tcPr>
            <w:tcW w:w="1276" w:type="dxa"/>
            <w:shd w:val="clear" w:color="auto" w:fill="auto"/>
          </w:tcPr>
          <w:p w14:paraId="287CB1E4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Bosnie-Herzégovine</w:t>
            </w:r>
          </w:p>
        </w:tc>
        <w:tc>
          <w:tcPr>
            <w:tcW w:w="1418" w:type="dxa"/>
            <w:shd w:val="clear" w:color="auto" w:fill="auto"/>
          </w:tcPr>
          <w:p w14:paraId="52C13C7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2020</w:t>
            </w:r>
          </w:p>
        </w:tc>
        <w:tc>
          <w:tcPr>
            <w:tcW w:w="4109" w:type="dxa"/>
            <w:shd w:val="clear" w:color="auto" w:fill="auto"/>
          </w:tcPr>
          <w:p w14:paraId="5A396364" w14:textId="77777777" w:rsidR="002749FA" w:rsidRPr="00DD2C62" w:rsidRDefault="002749FA" w:rsidP="001965AA">
            <w:pPr>
              <w:spacing w:before="40" w:after="120"/>
            </w:pPr>
            <w:r w:rsidRPr="00DD2C62">
              <w:t>Construction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hydroélectrique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Buk</w:t>
            </w:r>
            <w:r w:rsidR="001965AA">
              <w:t> </w:t>
            </w:r>
            <w:r w:rsidRPr="00DD2C62">
              <w:t>Bijela</w:t>
            </w:r>
          </w:p>
        </w:tc>
      </w:tr>
      <w:tr w:rsidR="002749FA" w:rsidRPr="00772473" w14:paraId="3715B2E1" w14:textId="77777777" w:rsidTr="001965AA">
        <w:tc>
          <w:tcPr>
            <w:tcW w:w="8504" w:type="dxa"/>
            <w:gridSpan w:val="4"/>
            <w:shd w:val="clear" w:color="auto" w:fill="auto"/>
          </w:tcPr>
          <w:p w14:paraId="2A55C28F" w14:textId="77777777" w:rsidR="002749FA" w:rsidRPr="00772473" w:rsidRDefault="002749FA" w:rsidP="001965AA">
            <w:pPr>
              <w:spacing w:before="40" w:after="120"/>
              <w:rPr>
                <w:i/>
              </w:rPr>
            </w:pPr>
            <w:r w:rsidRPr="00772473">
              <w:rPr>
                <w:i/>
              </w:rPr>
              <w:t>Questions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relatives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à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la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Convention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sur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la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prolongation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de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la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durée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de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vie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des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centrales</w:t>
            </w:r>
            <w:r w:rsidR="0049107A" w:rsidRPr="00772473">
              <w:rPr>
                <w:i/>
              </w:rPr>
              <w:t xml:space="preserve"> </w:t>
            </w:r>
            <w:r w:rsidRPr="00772473">
              <w:rPr>
                <w:i/>
              </w:rPr>
              <w:t>nucléaires</w:t>
            </w:r>
          </w:p>
        </w:tc>
      </w:tr>
      <w:tr w:rsidR="002749FA" w:rsidRPr="00DD2C62" w14:paraId="10A19281" w14:textId="77777777" w:rsidTr="001965AA">
        <w:tc>
          <w:tcPr>
            <w:tcW w:w="1701" w:type="dxa"/>
            <w:shd w:val="clear" w:color="auto" w:fill="auto"/>
          </w:tcPr>
          <w:p w14:paraId="567C2DC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EIA/IC/INFO/15</w:t>
            </w:r>
          </w:p>
        </w:tc>
        <w:tc>
          <w:tcPr>
            <w:tcW w:w="1276" w:type="dxa"/>
            <w:shd w:val="clear" w:color="auto" w:fill="auto"/>
          </w:tcPr>
          <w:p w14:paraId="74F5863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Pays-Bas</w:t>
            </w:r>
          </w:p>
        </w:tc>
        <w:tc>
          <w:tcPr>
            <w:tcW w:w="1418" w:type="dxa"/>
            <w:shd w:val="clear" w:color="auto" w:fill="auto"/>
          </w:tcPr>
          <w:p w14:paraId="0A2B7C33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2014</w:t>
            </w:r>
          </w:p>
        </w:tc>
        <w:tc>
          <w:tcPr>
            <w:tcW w:w="4109" w:type="dxa"/>
            <w:shd w:val="clear" w:color="auto" w:fill="auto"/>
          </w:tcPr>
          <w:p w14:paraId="41486042" w14:textId="77777777" w:rsidR="002749FA" w:rsidRPr="00DD2C62" w:rsidRDefault="002749FA" w:rsidP="001965AA">
            <w:pPr>
              <w:spacing w:before="40" w:after="120"/>
            </w:pPr>
            <w:r w:rsidRPr="00DD2C62">
              <w:t>1</w:t>
            </w:r>
            <w:r w:rsidR="0049107A" w:rsidRPr="00DD2C62">
              <w:t xml:space="preserve"> </w:t>
            </w:r>
            <w:r w:rsidRPr="00DD2C62">
              <w:t>unité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Borssele</w:t>
            </w:r>
          </w:p>
        </w:tc>
      </w:tr>
      <w:tr w:rsidR="002749FA" w:rsidRPr="00DD2C62" w14:paraId="139FF47E" w14:textId="77777777" w:rsidTr="001965AA">
        <w:tc>
          <w:tcPr>
            <w:tcW w:w="1701" w:type="dxa"/>
            <w:shd w:val="clear" w:color="auto" w:fill="auto"/>
          </w:tcPr>
          <w:p w14:paraId="217E2021" w14:textId="77777777" w:rsidR="002749FA" w:rsidRPr="00DD2C62" w:rsidRDefault="002749FA" w:rsidP="001965AA">
            <w:pPr>
              <w:keepNext/>
              <w:spacing w:before="40" w:after="120"/>
              <w:ind w:right="113"/>
            </w:pPr>
            <w:r w:rsidRPr="00DD2C62">
              <w:lastRenderedPageBreak/>
              <w:t>EIA/IC/INFO/18</w:t>
            </w:r>
          </w:p>
        </w:tc>
        <w:tc>
          <w:tcPr>
            <w:tcW w:w="1276" w:type="dxa"/>
            <w:shd w:val="clear" w:color="auto" w:fill="auto"/>
          </w:tcPr>
          <w:p w14:paraId="7EA34D7A" w14:textId="77777777" w:rsidR="002749FA" w:rsidRPr="00DD2C62" w:rsidRDefault="002749FA" w:rsidP="001965AA">
            <w:pPr>
              <w:keepNext/>
              <w:spacing w:before="40" w:after="120"/>
              <w:ind w:right="113"/>
            </w:pPr>
            <w:r w:rsidRPr="00DD2C62">
              <w:t>Belgique</w:t>
            </w:r>
          </w:p>
        </w:tc>
        <w:tc>
          <w:tcPr>
            <w:tcW w:w="1418" w:type="dxa"/>
            <w:shd w:val="clear" w:color="auto" w:fill="auto"/>
          </w:tcPr>
          <w:p w14:paraId="59E04A10" w14:textId="77777777" w:rsidR="002749FA" w:rsidRPr="00DD2C62" w:rsidRDefault="002749FA" w:rsidP="001965AA">
            <w:pPr>
              <w:keepNext/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2016</w:t>
            </w:r>
          </w:p>
        </w:tc>
        <w:tc>
          <w:tcPr>
            <w:tcW w:w="4109" w:type="dxa"/>
            <w:shd w:val="clear" w:color="auto" w:fill="auto"/>
          </w:tcPr>
          <w:p w14:paraId="0C8634B0" w14:textId="77777777" w:rsidR="002749FA" w:rsidRPr="00DD2C62" w:rsidRDefault="002749FA" w:rsidP="001965AA">
            <w:pPr>
              <w:keepNext/>
              <w:spacing w:before="40" w:after="120"/>
            </w:pPr>
            <w:r w:rsidRPr="00DD2C62">
              <w:t>2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Doel</w:t>
            </w:r>
            <w:r w:rsidR="001965AA">
              <w:t xml:space="preserve"> </w:t>
            </w:r>
            <w:r w:rsidR="001965AA">
              <w:br/>
            </w:r>
            <w:r w:rsidRPr="00DD2C62">
              <w:t>1</w:t>
            </w:r>
            <w:r w:rsidR="001965AA">
              <w:t> </w:t>
            </w:r>
            <w:r w:rsidRPr="00DD2C62">
              <w:t>unité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Tihange</w:t>
            </w:r>
          </w:p>
        </w:tc>
      </w:tr>
      <w:tr w:rsidR="002749FA" w:rsidRPr="00DD2C62" w14:paraId="6B2A7C91" w14:textId="77777777" w:rsidTr="001965AA">
        <w:tc>
          <w:tcPr>
            <w:tcW w:w="1701" w:type="dxa"/>
            <w:shd w:val="clear" w:color="auto" w:fill="auto"/>
          </w:tcPr>
          <w:p w14:paraId="7A73543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EIA/IC/INFO/19</w:t>
            </w:r>
          </w:p>
        </w:tc>
        <w:tc>
          <w:tcPr>
            <w:tcW w:w="1276" w:type="dxa"/>
            <w:shd w:val="clear" w:color="auto" w:fill="auto"/>
          </w:tcPr>
          <w:p w14:paraId="3572EF5E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Tchéquie</w:t>
            </w:r>
          </w:p>
        </w:tc>
        <w:tc>
          <w:tcPr>
            <w:tcW w:w="1418" w:type="dxa"/>
            <w:shd w:val="clear" w:color="auto" w:fill="auto"/>
          </w:tcPr>
          <w:p w14:paraId="1555A8E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décembre</w:t>
            </w:r>
            <w:r w:rsidR="0049107A" w:rsidRPr="00DD2C62">
              <w:t xml:space="preserve"> </w:t>
            </w:r>
            <w:r w:rsidRPr="00DD2C62">
              <w:t>2016</w:t>
            </w:r>
          </w:p>
        </w:tc>
        <w:tc>
          <w:tcPr>
            <w:tcW w:w="4109" w:type="dxa"/>
            <w:shd w:val="clear" w:color="auto" w:fill="auto"/>
          </w:tcPr>
          <w:p w14:paraId="123DE297" w14:textId="77777777" w:rsidR="002749FA" w:rsidRPr="00DD2C62" w:rsidRDefault="002749FA" w:rsidP="001965AA">
            <w:pPr>
              <w:spacing w:before="40" w:after="120"/>
            </w:pPr>
            <w:r w:rsidRPr="00DD2C62"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Dukovany</w:t>
            </w:r>
          </w:p>
        </w:tc>
      </w:tr>
      <w:tr w:rsidR="002749FA" w:rsidRPr="00DD2C62" w14:paraId="0B562E00" w14:textId="77777777" w:rsidTr="001965AA">
        <w:tc>
          <w:tcPr>
            <w:tcW w:w="1701" w:type="dxa"/>
            <w:shd w:val="clear" w:color="auto" w:fill="auto"/>
          </w:tcPr>
          <w:p w14:paraId="57F9ABFA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EIA/IC/INFO/20</w:t>
            </w:r>
          </w:p>
        </w:tc>
        <w:tc>
          <w:tcPr>
            <w:tcW w:w="1276" w:type="dxa"/>
            <w:shd w:val="clear" w:color="auto" w:fill="auto"/>
          </w:tcPr>
          <w:p w14:paraId="204785D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1418" w:type="dxa"/>
            <w:shd w:val="clear" w:color="auto" w:fill="auto"/>
          </w:tcPr>
          <w:p w14:paraId="72E651C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2016</w:t>
            </w:r>
          </w:p>
        </w:tc>
        <w:tc>
          <w:tcPr>
            <w:tcW w:w="4109" w:type="dxa"/>
            <w:shd w:val="clear" w:color="auto" w:fill="auto"/>
          </w:tcPr>
          <w:p w14:paraId="08DC6D35" w14:textId="77777777" w:rsidR="002749FA" w:rsidRPr="00DD2C62" w:rsidRDefault="002749FA" w:rsidP="001965AA">
            <w:pPr>
              <w:spacing w:before="40" w:after="120"/>
            </w:pPr>
            <w:r w:rsidRPr="00DD2C62">
              <w:t>3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d’Ukraine</w:t>
            </w:r>
            <w:r w:rsidR="0049107A" w:rsidRPr="00DD2C62">
              <w:t xml:space="preserve"> </w:t>
            </w:r>
            <w:r w:rsidRPr="00DD2C62">
              <w:t>du</w:t>
            </w:r>
            <w:r w:rsidR="0049107A" w:rsidRPr="00DD2C62">
              <w:t xml:space="preserve"> </w:t>
            </w:r>
            <w:r w:rsidRPr="00DD2C62">
              <w:t>Sud</w:t>
            </w:r>
            <w:r w:rsidR="0049107A" w:rsidRPr="00DD2C62">
              <w:t xml:space="preserve"> </w:t>
            </w:r>
            <w:r w:rsidRPr="00DD2C62">
              <w:br/>
              <w:t>2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Khmelnitskiy</w:t>
            </w:r>
            <w:r w:rsidR="0049107A" w:rsidRPr="00DD2C62">
              <w:t xml:space="preserve"> </w:t>
            </w:r>
            <w:r w:rsidRPr="00DD2C62">
              <w:br/>
              <w:t>2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of</w:t>
            </w:r>
            <w:r w:rsidR="0049107A" w:rsidRPr="00DD2C62">
              <w:t xml:space="preserve"> </w:t>
            </w:r>
            <w:r w:rsidRPr="00DD2C62">
              <w:t>Rivne</w:t>
            </w:r>
            <w:r w:rsidR="0049107A" w:rsidRPr="00DD2C62">
              <w:t xml:space="preserve"> </w:t>
            </w:r>
            <w:r w:rsidRPr="00DD2C62">
              <w:br/>
              <w:t>5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Zaprizhia</w:t>
            </w:r>
          </w:p>
        </w:tc>
      </w:tr>
      <w:tr w:rsidR="002749FA" w:rsidRPr="00DD2C62" w14:paraId="3DBF8CC6" w14:textId="77777777" w:rsidTr="001965AA">
        <w:tc>
          <w:tcPr>
            <w:tcW w:w="1701" w:type="dxa"/>
            <w:shd w:val="clear" w:color="auto" w:fill="auto"/>
          </w:tcPr>
          <w:p w14:paraId="042F5BC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ECE/IC/INFO/26</w:t>
            </w:r>
          </w:p>
        </w:tc>
        <w:tc>
          <w:tcPr>
            <w:tcW w:w="1276" w:type="dxa"/>
            <w:shd w:val="clear" w:color="auto" w:fill="auto"/>
          </w:tcPr>
          <w:p w14:paraId="27E036A9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Espagne</w:t>
            </w:r>
          </w:p>
        </w:tc>
        <w:tc>
          <w:tcPr>
            <w:tcW w:w="1418" w:type="dxa"/>
            <w:shd w:val="clear" w:color="auto" w:fill="auto"/>
          </w:tcPr>
          <w:p w14:paraId="5F9DBDAC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t>mars</w:t>
            </w:r>
            <w:r w:rsidR="0049107A" w:rsidRPr="00DD2C62">
              <w:t xml:space="preserve"> </w:t>
            </w:r>
            <w:r w:rsidRPr="00DD2C62">
              <w:t>2019</w:t>
            </w:r>
          </w:p>
        </w:tc>
        <w:tc>
          <w:tcPr>
            <w:tcW w:w="4109" w:type="dxa"/>
            <w:shd w:val="clear" w:color="auto" w:fill="auto"/>
          </w:tcPr>
          <w:p w14:paraId="418245E0" w14:textId="77777777" w:rsidR="002749FA" w:rsidRPr="00DD2C62" w:rsidRDefault="002749FA" w:rsidP="001965AA">
            <w:pPr>
              <w:spacing w:before="40" w:after="120"/>
            </w:pPr>
            <w:r w:rsidRPr="00DD2C62">
              <w:t>1</w:t>
            </w:r>
            <w:r w:rsidR="0049107A" w:rsidRPr="00DD2C62">
              <w:t xml:space="preserve"> </w:t>
            </w:r>
            <w:r w:rsidRPr="00DD2C62">
              <w:t>unité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Santa</w:t>
            </w:r>
            <w:r w:rsidR="0049107A" w:rsidRPr="00DD2C62">
              <w:t xml:space="preserve"> </w:t>
            </w:r>
            <w:r w:rsidRPr="00DD2C62">
              <w:t>Maria</w:t>
            </w:r>
            <w:r w:rsidR="0049107A" w:rsidRPr="00DD2C62">
              <w:t xml:space="preserve"> </w:t>
            </w:r>
            <w:r w:rsidRPr="00DD2C62">
              <w:t>de</w:t>
            </w:r>
            <w:r w:rsidR="001965AA">
              <w:t> </w:t>
            </w:r>
            <w:r w:rsidRPr="00DD2C62">
              <w:t>Garoña</w:t>
            </w:r>
          </w:p>
        </w:tc>
      </w:tr>
      <w:tr w:rsidR="002749FA" w:rsidRPr="00DD2C62" w14:paraId="6810EE2D" w14:textId="77777777" w:rsidTr="001965AA">
        <w:tc>
          <w:tcPr>
            <w:tcW w:w="1701" w:type="dxa"/>
            <w:shd w:val="clear" w:color="auto" w:fill="auto"/>
          </w:tcPr>
          <w:p w14:paraId="78885F1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ECE/IC/INFO/28</w:t>
            </w:r>
          </w:p>
        </w:tc>
        <w:tc>
          <w:tcPr>
            <w:tcW w:w="1276" w:type="dxa"/>
            <w:shd w:val="clear" w:color="auto" w:fill="auto"/>
          </w:tcPr>
          <w:p w14:paraId="22B418E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Bulgarie</w:t>
            </w:r>
          </w:p>
        </w:tc>
        <w:tc>
          <w:tcPr>
            <w:tcW w:w="1418" w:type="dxa"/>
            <w:shd w:val="clear" w:color="auto" w:fill="auto"/>
          </w:tcPr>
          <w:p w14:paraId="722BDDA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mars</w:t>
            </w:r>
            <w:r w:rsidR="0049107A" w:rsidRPr="00DD2C62">
              <w:t xml:space="preserve"> </w:t>
            </w:r>
            <w:r w:rsidRPr="00DD2C62">
              <w:t>2019</w:t>
            </w:r>
          </w:p>
        </w:tc>
        <w:tc>
          <w:tcPr>
            <w:tcW w:w="4109" w:type="dxa"/>
            <w:shd w:val="clear" w:color="auto" w:fill="auto"/>
          </w:tcPr>
          <w:p w14:paraId="17E284E4" w14:textId="77777777" w:rsidR="002749FA" w:rsidRPr="00DD2C62" w:rsidRDefault="002749FA" w:rsidP="001965AA">
            <w:pPr>
              <w:spacing w:before="40" w:after="120"/>
            </w:pPr>
            <w:r w:rsidRPr="00DD2C62">
              <w:t>2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Kozloduy</w:t>
            </w:r>
          </w:p>
        </w:tc>
      </w:tr>
      <w:tr w:rsidR="002749FA" w:rsidRPr="00DD2C62" w14:paraId="7143924D" w14:textId="77777777" w:rsidTr="001965AA">
        <w:tc>
          <w:tcPr>
            <w:tcW w:w="1701" w:type="dxa"/>
            <w:shd w:val="clear" w:color="auto" w:fill="auto"/>
          </w:tcPr>
          <w:p w14:paraId="6C8E1BE5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EIA/IC/INFO/32</w:t>
            </w:r>
          </w:p>
        </w:tc>
        <w:tc>
          <w:tcPr>
            <w:tcW w:w="1276" w:type="dxa"/>
            <w:shd w:val="clear" w:color="auto" w:fill="auto"/>
          </w:tcPr>
          <w:p w14:paraId="22D1217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France</w:t>
            </w:r>
          </w:p>
        </w:tc>
        <w:tc>
          <w:tcPr>
            <w:tcW w:w="1418" w:type="dxa"/>
            <w:shd w:val="clear" w:color="auto" w:fill="auto"/>
          </w:tcPr>
          <w:p w14:paraId="4BFCD2A1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mars</w:t>
            </w:r>
            <w:r w:rsidR="0049107A" w:rsidRPr="00DD2C62">
              <w:t xml:space="preserve"> </w:t>
            </w:r>
            <w:r w:rsidRPr="00DD2C62">
              <w:t>2020</w:t>
            </w:r>
          </w:p>
        </w:tc>
        <w:tc>
          <w:tcPr>
            <w:tcW w:w="4109" w:type="dxa"/>
            <w:shd w:val="clear" w:color="auto" w:fill="auto"/>
          </w:tcPr>
          <w:p w14:paraId="3D293784" w14:textId="77777777" w:rsidR="002749FA" w:rsidRPr="00DD2C62" w:rsidRDefault="002749FA" w:rsidP="001965AA">
            <w:pPr>
              <w:spacing w:before="40" w:after="120"/>
            </w:pPr>
            <w:r w:rsidRPr="00DD2C62"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Blayais</w:t>
            </w:r>
            <w:r w:rsidR="0049107A" w:rsidRPr="00DD2C62">
              <w:t xml:space="preserve"> </w:t>
            </w:r>
            <w:r w:rsidRPr="00DD2C62">
              <w:br/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Bugey</w:t>
            </w:r>
            <w:r w:rsidR="0049107A" w:rsidRPr="00DD2C62">
              <w:t xml:space="preserve"> </w:t>
            </w:r>
            <w:r w:rsidRPr="00DD2C62">
              <w:br/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Chinon</w:t>
            </w:r>
            <w:r w:rsidR="0049107A" w:rsidRPr="00DD2C62">
              <w:t xml:space="preserve"> </w:t>
            </w:r>
            <w:r w:rsidRPr="00DD2C62">
              <w:br/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Cruas</w:t>
            </w:r>
            <w:r w:rsidR="0049107A" w:rsidRPr="00DD2C62">
              <w:t xml:space="preserve"> </w:t>
            </w:r>
            <w:r w:rsidRPr="00DD2C62">
              <w:br/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Dampierre</w:t>
            </w:r>
            <w:r w:rsidR="0049107A" w:rsidRPr="00DD2C62">
              <w:t xml:space="preserve"> </w:t>
            </w:r>
            <w:r w:rsidRPr="00DD2C62">
              <w:br/>
              <w:t>6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Gravelines</w:t>
            </w:r>
            <w:r w:rsidR="0049107A" w:rsidRPr="00DD2C62">
              <w:t xml:space="preserve"> </w:t>
            </w:r>
            <w:r w:rsidRPr="00DD2C62">
              <w:br/>
              <w:t>2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St.</w:t>
            </w:r>
            <w:r w:rsidR="005B6166">
              <w:t> </w:t>
            </w:r>
            <w:r w:rsidRPr="00DD2C62">
              <w:t>Laurent</w:t>
            </w:r>
            <w:r w:rsidR="0049107A" w:rsidRPr="00DD2C62">
              <w:t xml:space="preserve"> </w:t>
            </w:r>
            <w:r w:rsidRPr="00DD2C62">
              <w:br/>
              <w:t>4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Tricastin</w:t>
            </w:r>
          </w:p>
        </w:tc>
      </w:tr>
      <w:tr w:rsidR="002749FA" w:rsidRPr="00DD2C62" w14:paraId="6BBF3A71" w14:textId="77777777" w:rsidTr="001965AA">
        <w:tc>
          <w:tcPr>
            <w:tcW w:w="1701" w:type="dxa"/>
            <w:shd w:val="clear" w:color="auto" w:fill="auto"/>
          </w:tcPr>
          <w:p w14:paraId="48507B86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EIA/IC/INFO/34</w:t>
            </w:r>
          </w:p>
        </w:tc>
        <w:tc>
          <w:tcPr>
            <w:tcW w:w="1276" w:type="dxa"/>
            <w:shd w:val="clear" w:color="auto" w:fill="auto"/>
          </w:tcPr>
          <w:p w14:paraId="529F9EB7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Espagne</w:t>
            </w:r>
          </w:p>
        </w:tc>
        <w:tc>
          <w:tcPr>
            <w:tcW w:w="1418" w:type="dxa"/>
            <w:shd w:val="clear" w:color="auto" w:fill="auto"/>
          </w:tcPr>
          <w:p w14:paraId="5098C6EB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2020</w:t>
            </w:r>
          </w:p>
        </w:tc>
        <w:tc>
          <w:tcPr>
            <w:tcW w:w="4109" w:type="dxa"/>
            <w:shd w:val="clear" w:color="auto" w:fill="auto"/>
          </w:tcPr>
          <w:p w14:paraId="1014098E" w14:textId="77777777" w:rsidR="002749FA" w:rsidRPr="00DD2C62" w:rsidRDefault="002749FA" w:rsidP="001965AA">
            <w:pPr>
              <w:spacing w:before="40" w:after="120"/>
            </w:pPr>
            <w:r w:rsidRPr="00DD2C62">
              <w:t>2</w:t>
            </w:r>
            <w:r w:rsidR="0049107A" w:rsidRPr="00DD2C62">
              <w:t xml:space="preserve"> </w:t>
            </w:r>
            <w:r w:rsidRPr="00DD2C62">
              <w:t>unités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centrale</w:t>
            </w:r>
            <w:r w:rsidR="0049107A" w:rsidRPr="00DD2C62">
              <w:t xml:space="preserve"> </w:t>
            </w:r>
            <w:r w:rsidRPr="00DD2C62">
              <w:t>nucléaire</w:t>
            </w:r>
            <w:r w:rsidR="0049107A" w:rsidRPr="00DD2C62">
              <w:t xml:space="preserve"> </w:t>
            </w:r>
            <w:r w:rsidRPr="00DD2C62">
              <w:t>d’Almaraz</w:t>
            </w:r>
          </w:p>
        </w:tc>
      </w:tr>
      <w:tr w:rsidR="002749FA" w:rsidRPr="005B6166" w14:paraId="11655D21" w14:textId="77777777" w:rsidTr="001965AA">
        <w:tc>
          <w:tcPr>
            <w:tcW w:w="2977" w:type="dxa"/>
            <w:gridSpan w:val="2"/>
            <w:shd w:val="clear" w:color="auto" w:fill="auto"/>
          </w:tcPr>
          <w:p w14:paraId="2231E130" w14:textId="77777777" w:rsidR="002749FA" w:rsidRPr="005B6166" w:rsidRDefault="002749FA" w:rsidP="0049107A">
            <w:pPr>
              <w:spacing w:before="40" w:after="120"/>
              <w:ind w:right="113"/>
              <w:rPr>
                <w:i/>
                <w:iCs/>
              </w:rPr>
            </w:pPr>
            <w:r w:rsidRPr="005B6166">
              <w:rPr>
                <w:i/>
                <w:iCs/>
              </w:rPr>
              <w:t>Questions</w:t>
            </w:r>
            <w:r w:rsidR="0049107A" w:rsidRPr="005B6166">
              <w:rPr>
                <w:i/>
                <w:iCs/>
              </w:rPr>
              <w:t xml:space="preserve"> </w:t>
            </w:r>
            <w:r w:rsidRPr="005B6166">
              <w:rPr>
                <w:i/>
                <w:iCs/>
              </w:rPr>
              <w:t>relatives</w:t>
            </w:r>
            <w:r w:rsidR="0049107A" w:rsidRPr="005B6166">
              <w:rPr>
                <w:i/>
                <w:iCs/>
              </w:rPr>
              <w:t xml:space="preserve"> </w:t>
            </w:r>
            <w:r w:rsidRPr="005B6166">
              <w:rPr>
                <w:i/>
                <w:iCs/>
              </w:rPr>
              <w:t>au</w:t>
            </w:r>
            <w:r w:rsidR="0049107A" w:rsidRPr="005B6166">
              <w:rPr>
                <w:i/>
                <w:iCs/>
              </w:rPr>
              <w:t xml:space="preserve"> </w:t>
            </w:r>
            <w:r w:rsidRPr="005B6166">
              <w:rPr>
                <w:i/>
                <w:iCs/>
              </w:rPr>
              <w:t>Protocole</w:t>
            </w:r>
          </w:p>
        </w:tc>
        <w:tc>
          <w:tcPr>
            <w:tcW w:w="1418" w:type="dxa"/>
            <w:shd w:val="clear" w:color="auto" w:fill="auto"/>
          </w:tcPr>
          <w:p w14:paraId="6E98A3B6" w14:textId="77777777" w:rsidR="002749FA" w:rsidRPr="005B6166" w:rsidRDefault="002749FA" w:rsidP="0049107A">
            <w:pPr>
              <w:spacing w:before="40" w:after="120"/>
              <w:ind w:right="113"/>
              <w:rPr>
                <w:i/>
                <w:iCs/>
              </w:rPr>
            </w:pPr>
          </w:p>
        </w:tc>
        <w:tc>
          <w:tcPr>
            <w:tcW w:w="4109" w:type="dxa"/>
            <w:shd w:val="clear" w:color="auto" w:fill="auto"/>
          </w:tcPr>
          <w:p w14:paraId="70CD5C93" w14:textId="77777777" w:rsidR="002749FA" w:rsidRPr="005B6166" w:rsidRDefault="002749FA" w:rsidP="001965AA">
            <w:pPr>
              <w:spacing w:before="40" w:after="120"/>
              <w:rPr>
                <w:i/>
                <w:iCs/>
              </w:rPr>
            </w:pPr>
          </w:p>
        </w:tc>
      </w:tr>
      <w:tr w:rsidR="002749FA" w:rsidRPr="00DD2C62" w14:paraId="72E1F296" w14:textId="77777777" w:rsidTr="001965AA">
        <w:tc>
          <w:tcPr>
            <w:tcW w:w="1701" w:type="dxa"/>
            <w:shd w:val="clear" w:color="auto" w:fill="auto"/>
          </w:tcPr>
          <w:p w14:paraId="78B279DA" w14:textId="77777777" w:rsidR="002749FA" w:rsidRPr="00DD2C62" w:rsidRDefault="002749FA" w:rsidP="0049107A">
            <w:pPr>
              <w:spacing w:before="40" w:after="120"/>
              <w:ind w:right="113"/>
              <w:rPr>
                <w:iCs/>
              </w:rPr>
            </w:pPr>
            <w:r w:rsidRPr="00DD2C62">
              <w:rPr>
                <w:iCs/>
              </w:rPr>
              <w:t>SEA/IC/INFO/1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ouverte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suite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à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EIA/IC/INFO/14</w:t>
            </w:r>
          </w:p>
        </w:tc>
        <w:tc>
          <w:tcPr>
            <w:tcW w:w="1276" w:type="dxa"/>
            <w:shd w:val="clear" w:color="auto" w:fill="auto"/>
          </w:tcPr>
          <w:p w14:paraId="71F9893E" w14:textId="77777777" w:rsidR="002749FA" w:rsidRPr="00DD2C62" w:rsidRDefault="002749FA" w:rsidP="0049107A">
            <w:pPr>
              <w:spacing w:before="40" w:after="120"/>
              <w:ind w:right="113"/>
              <w:rPr>
                <w:iCs/>
              </w:rPr>
            </w:pPr>
            <w:r w:rsidRPr="00DD2C62">
              <w:rPr>
                <w:iCs/>
              </w:rPr>
              <w:t>Serbie</w:t>
            </w:r>
          </w:p>
        </w:tc>
        <w:tc>
          <w:tcPr>
            <w:tcW w:w="1418" w:type="dxa"/>
            <w:shd w:val="clear" w:color="auto" w:fill="auto"/>
          </w:tcPr>
          <w:p w14:paraId="0D1302D7" w14:textId="77777777" w:rsidR="002749FA" w:rsidRPr="00DD2C62" w:rsidRDefault="002749FA" w:rsidP="0049107A">
            <w:pPr>
              <w:spacing w:before="40" w:after="120"/>
              <w:ind w:right="113"/>
              <w:rPr>
                <w:iCs/>
              </w:rPr>
            </w:pP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rPr>
                <w:iCs/>
              </w:rPr>
              <w:t>décembre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2019/</w:t>
            </w:r>
            <w:r w:rsidR="0049107A" w:rsidRPr="00DD2C62">
              <w:rPr>
                <w:iCs/>
              </w:rPr>
              <w:t xml:space="preserve"> </w:t>
            </w:r>
            <w:bookmarkStart w:id="28" w:name="_Hlk50545036"/>
            <w:r w:rsidRPr="00DD2C62">
              <w:rPr>
                <w:iCs/>
              </w:rPr>
              <w:t>SEA/IC/CI/1</w:t>
            </w:r>
            <w:bookmarkEnd w:id="28"/>
          </w:p>
        </w:tc>
        <w:tc>
          <w:tcPr>
            <w:tcW w:w="4109" w:type="dxa"/>
            <w:shd w:val="clear" w:color="auto" w:fill="auto"/>
          </w:tcPr>
          <w:p w14:paraId="2D60BA90" w14:textId="77777777" w:rsidR="002749FA" w:rsidRPr="00DD2C62" w:rsidRDefault="002749FA" w:rsidP="001965AA">
            <w:pPr>
              <w:spacing w:before="40" w:after="120"/>
              <w:rPr>
                <w:iCs/>
              </w:rPr>
            </w:pPr>
            <w:r w:rsidRPr="00DD2C62">
              <w:rPr>
                <w:iCs/>
              </w:rPr>
              <w:t>Stratégie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de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développement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du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secteur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énergétique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pour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la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période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allant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jusqu’à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2025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avec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des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projections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jusqu’à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2030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et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programme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de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mise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en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œuvre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de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la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stratégie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pour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la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période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2017</w:t>
            </w:r>
            <w:r w:rsidR="00AB7317">
              <w:rPr>
                <w:iCs/>
              </w:rPr>
              <w:t>-</w:t>
            </w:r>
            <w:r w:rsidRPr="00DD2C62">
              <w:rPr>
                <w:iCs/>
              </w:rPr>
              <w:t>2023</w:t>
            </w:r>
          </w:p>
        </w:tc>
      </w:tr>
      <w:tr w:rsidR="002749FA" w:rsidRPr="00DD2C62" w14:paraId="0533BF40" w14:textId="77777777" w:rsidTr="001965AA">
        <w:tc>
          <w:tcPr>
            <w:tcW w:w="1701" w:type="dxa"/>
            <w:shd w:val="clear" w:color="auto" w:fill="auto"/>
          </w:tcPr>
          <w:p w14:paraId="6124613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SEA/IC/INFO/3</w:t>
            </w:r>
          </w:p>
        </w:tc>
        <w:tc>
          <w:tcPr>
            <w:tcW w:w="1276" w:type="dxa"/>
            <w:shd w:val="clear" w:color="auto" w:fill="auto"/>
          </w:tcPr>
          <w:p w14:paraId="4BB3985C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Ukraine</w:t>
            </w:r>
          </w:p>
        </w:tc>
        <w:tc>
          <w:tcPr>
            <w:tcW w:w="1418" w:type="dxa"/>
            <w:shd w:val="clear" w:color="auto" w:fill="auto"/>
          </w:tcPr>
          <w:p w14:paraId="43E8DF8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Close</w:t>
            </w:r>
            <w:r w:rsidR="0049107A" w:rsidRPr="00DD2C62">
              <w:t xml:space="preserve"> </w:t>
            </w:r>
            <w:r w:rsidRPr="00DD2C62">
              <w:t>en</w:t>
            </w:r>
            <w:r w:rsidR="0049107A" w:rsidRPr="00DD2C62">
              <w:t xml:space="preserve"> </w:t>
            </w:r>
            <w:r w:rsidRPr="00DD2C62">
              <w:rPr>
                <w:iCs/>
              </w:rPr>
              <w:t>décembre</w:t>
            </w:r>
            <w:r w:rsidR="0049107A" w:rsidRPr="00DD2C62">
              <w:rPr>
                <w:iCs/>
              </w:rPr>
              <w:t xml:space="preserve"> </w:t>
            </w:r>
            <w:r w:rsidRPr="00DD2C62">
              <w:rPr>
                <w:iCs/>
              </w:rPr>
              <w:t>2019</w:t>
            </w:r>
          </w:p>
        </w:tc>
        <w:tc>
          <w:tcPr>
            <w:tcW w:w="4109" w:type="dxa"/>
            <w:shd w:val="clear" w:color="auto" w:fill="auto"/>
          </w:tcPr>
          <w:p w14:paraId="57D443A4" w14:textId="77777777" w:rsidR="002749FA" w:rsidRPr="00DD2C62" w:rsidRDefault="002749FA" w:rsidP="001965AA">
            <w:pPr>
              <w:spacing w:before="40" w:after="120"/>
            </w:pPr>
            <w:r w:rsidRPr="005B6166">
              <w:rPr>
                <w:spacing w:val="-2"/>
              </w:rPr>
              <w:t>Programme</w:t>
            </w:r>
            <w:r w:rsidR="0049107A" w:rsidRPr="005B6166">
              <w:rPr>
                <w:spacing w:val="-2"/>
              </w:rPr>
              <w:t xml:space="preserve"> </w:t>
            </w:r>
            <w:r w:rsidRPr="005B6166">
              <w:rPr>
                <w:spacing w:val="-2"/>
              </w:rPr>
              <w:t>de</w:t>
            </w:r>
            <w:r w:rsidR="0049107A" w:rsidRPr="005B6166">
              <w:rPr>
                <w:spacing w:val="-2"/>
              </w:rPr>
              <w:t xml:space="preserve"> </w:t>
            </w:r>
            <w:r w:rsidRPr="005B6166">
              <w:rPr>
                <w:spacing w:val="-2"/>
              </w:rPr>
              <w:t>développement</w:t>
            </w:r>
            <w:r w:rsidR="0049107A" w:rsidRPr="005B6166">
              <w:rPr>
                <w:spacing w:val="-2"/>
              </w:rPr>
              <w:t xml:space="preserve"> </w:t>
            </w:r>
            <w:r w:rsidRPr="005B6166">
              <w:rPr>
                <w:spacing w:val="-2"/>
              </w:rPr>
              <w:t>de</w:t>
            </w:r>
            <w:r w:rsidR="0049107A" w:rsidRPr="005B6166">
              <w:rPr>
                <w:spacing w:val="-2"/>
              </w:rPr>
              <w:t xml:space="preserve"> </w:t>
            </w:r>
            <w:r w:rsidRPr="005B6166">
              <w:rPr>
                <w:spacing w:val="-2"/>
              </w:rPr>
              <w:t>l’hydroélectricité</w:t>
            </w:r>
            <w:r w:rsidR="0049107A" w:rsidRPr="00DD2C62">
              <w:t xml:space="preserve"> </w:t>
            </w:r>
            <w:r w:rsidRPr="00DD2C62">
              <w:t>pour</w:t>
            </w:r>
            <w:r w:rsidR="0049107A" w:rsidRPr="00DD2C62">
              <w:t xml:space="preserve"> </w:t>
            </w:r>
            <w:r w:rsidRPr="00DD2C62">
              <w:t>la</w:t>
            </w:r>
            <w:r w:rsidR="0049107A" w:rsidRPr="00DD2C62">
              <w:t xml:space="preserve"> </w:t>
            </w:r>
            <w:r w:rsidRPr="00DD2C62">
              <w:t>période</w:t>
            </w:r>
            <w:r w:rsidR="0049107A" w:rsidRPr="00DD2C62">
              <w:t xml:space="preserve"> </w:t>
            </w:r>
            <w:r w:rsidRPr="00DD2C62">
              <w:t>allant</w:t>
            </w:r>
            <w:r w:rsidR="0049107A" w:rsidRPr="00DD2C62">
              <w:t xml:space="preserve"> </w:t>
            </w:r>
            <w:r w:rsidRPr="00DD2C62">
              <w:t>jusqu’en</w:t>
            </w:r>
            <w:r w:rsidR="0049107A" w:rsidRPr="00DD2C62">
              <w:t xml:space="preserve"> </w:t>
            </w:r>
            <w:r w:rsidRPr="00DD2C62">
              <w:t>2026</w:t>
            </w:r>
          </w:p>
        </w:tc>
      </w:tr>
      <w:tr w:rsidR="002749FA" w:rsidRPr="00DD2C62" w14:paraId="5AB15784" w14:textId="77777777" w:rsidTr="001965AA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2D3CB778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SEA/IC/INFO/4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D57396F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Pologne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6430BB2" w14:textId="77777777" w:rsidR="002749FA" w:rsidRPr="00DD2C62" w:rsidRDefault="002749FA" w:rsidP="0049107A">
            <w:pPr>
              <w:spacing w:before="40" w:after="120"/>
              <w:ind w:right="113"/>
            </w:pPr>
            <w:r w:rsidRPr="00DD2C62">
              <w:t>En</w:t>
            </w:r>
            <w:r w:rsidR="0049107A" w:rsidRPr="00DD2C62">
              <w:t xml:space="preserve"> </w:t>
            </w:r>
            <w:r w:rsidRPr="00DD2C62">
              <w:t>cours</w:t>
            </w:r>
            <w:r w:rsidR="0049107A" w:rsidRPr="00DD2C62">
              <w:t xml:space="preserve"> </w:t>
            </w:r>
            <w:r w:rsidRPr="00DD2C62">
              <w:t>depuis</w:t>
            </w:r>
            <w:r w:rsidR="0049107A" w:rsidRPr="00DD2C62">
              <w:t xml:space="preserve"> </w:t>
            </w:r>
            <w:r w:rsidRPr="00DD2C62">
              <w:t>septembre</w:t>
            </w:r>
            <w:r w:rsidR="0049107A" w:rsidRPr="00DD2C62">
              <w:t xml:space="preserve"> </w:t>
            </w:r>
            <w:r w:rsidRPr="00DD2C62">
              <w:t>2020</w:t>
            </w:r>
          </w:p>
        </w:tc>
        <w:tc>
          <w:tcPr>
            <w:tcW w:w="4109" w:type="dxa"/>
            <w:tcBorders>
              <w:bottom w:val="single" w:sz="12" w:space="0" w:color="auto"/>
            </w:tcBorders>
            <w:shd w:val="clear" w:color="auto" w:fill="auto"/>
          </w:tcPr>
          <w:p w14:paraId="3524AA98" w14:textId="77777777" w:rsidR="002749FA" w:rsidRPr="00DD2C62" w:rsidRDefault="002749FA" w:rsidP="001965AA">
            <w:pPr>
              <w:spacing w:before="40" w:after="120"/>
            </w:pPr>
            <w:r w:rsidRPr="00DD2C62">
              <w:t>Projet</w:t>
            </w:r>
            <w:r w:rsidR="0049107A" w:rsidRPr="00DD2C62">
              <w:t xml:space="preserve"> </w:t>
            </w:r>
            <w:r w:rsidRPr="00DD2C62">
              <w:t>de</w:t>
            </w:r>
            <w:r w:rsidR="0049107A" w:rsidRPr="00DD2C62">
              <w:t xml:space="preserve"> </w:t>
            </w:r>
            <w:r w:rsidRPr="00DD2C62">
              <w:t>politique</w:t>
            </w:r>
            <w:r w:rsidR="0049107A" w:rsidRPr="00DD2C62">
              <w:t xml:space="preserve"> </w:t>
            </w:r>
            <w:r w:rsidRPr="00DD2C62">
              <w:t>énergétique</w:t>
            </w:r>
            <w:r w:rsidR="0049107A" w:rsidRPr="00DD2C62">
              <w:t xml:space="preserve"> </w:t>
            </w:r>
            <w:r w:rsidRPr="00DD2C62">
              <w:t>jusqu’en</w:t>
            </w:r>
            <w:r w:rsidR="0049107A" w:rsidRPr="00DD2C62">
              <w:t xml:space="preserve"> </w:t>
            </w:r>
            <w:r w:rsidRPr="00DD2C62">
              <w:t>2040</w:t>
            </w:r>
          </w:p>
        </w:tc>
      </w:tr>
    </w:tbl>
    <w:p w14:paraId="60775C09" w14:textId="77777777" w:rsidR="002749FA" w:rsidRPr="00DD2C62" w:rsidRDefault="002749FA" w:rsidP="0049107A">
      <w:pPr>
        <w:pStyle w:val="H1G"/>
      </w:pPr>
      <w:r w:rsidRPr="00DD2C62">
        <w:tab/>
        <w:t>A.</w:t>
      </w:r>
      <w:r w:rsidRPr="00DD2C62">
        <w:tab/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</w:p>
    <w:p w14:paraId="5E12B37D" w14:textId="77777777" w:rsidR="002749FA" w:rsidRPr="00DD2C62" w:rsidRDefault="002749FA" w:rsidP="0049107A">
      <w:pPr>
        <w:pStyle w:val="H23G"/>
      </w:pPr>
      <w:r w:rsidRPr="00DD2C62">
        <w:tab/>
        <w:t>1.</w:t>
      </w:r>
      <w:r w:rsidRPr="00DD2C62">
        <w:tab/>
        <w:t>Bélarus</w:t>
      </w:r>
    </w:p>
    <w:p w14:paraId="0E7CA3AC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EIA/IC/INFO/21</w:t>
      </w:r>
    </w:p>
    <w:p w14:paraId="5E9FA81E" w14:textId="77777777" w:rsidR="002749FA" w:rsidRPr="00DD2C62" w:rsidRDefault="002749FA" w:rsidP="0049107A">
      <w:pPr>
        <w:pStyle w:val="SingleTxtG"/>
      </w:pPr>
      <w:r w:rsidRPr="00DD2C62">
        <w:t>66.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suivre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révision</w:t>
      </w:r>
      <w:r w:rsidR="0049107A" w:rsidRPr="00DD2C62">
        <w:t xml:space="preserve"> </w:t>
      </w:r>
      <w:r w:rsidRPr="00DD2C62">
        <w:t>entreprise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Bélarus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législation</w:t>
      </w:r>
      <w:r w:rsidR="0049107A" w:rsidRPr="00DD2C62">
        <w:t xml:space="preserve"> </w:t>
      </w:r>
      <w:r w:rsidRPr="00DD2C62">
        <w:t>nationale</w:t>
      </w:r>
      <w:r w:rsidR="0049107A" w:rsidRPr="00DD2C62">
        <w:t xml:space="preserve"> </w:t>
      </w:r>
      <w:r w:rsidRPr="00DD2C62">
        <w:t>relative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l’évaluation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l’impact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l’environnement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d’en</w:t>
      </w:r>
      <w:r w:rsidR="0049107A" w:rsidRPr="00DD2C62">
        <w:t xml:space="preserve"> </w:t>
      </w:r>
      <w:r w:rsidRPr="00DD2C62">
        <w:t>corriger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lacunes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insuffisances</w:t>
      </w:r>
      <w:r w:rsidR="0049107A" w:rsidRPr="00DD2C62">
        <w:t xml:space="preserve"> </w:t>
      </w:r>
      <w:r w:rsidRPr="00DD2C62">
        <w:t>vis-à-vis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Protocole.</w:t>
      </w:r>
    </w:p>
    <w:p w14:paraId="2E016E4D" w14:textId="77777777" w:rsidR="002749FA" w:rsidRPr="00DD2C62" w:rsidRDefault="002749FA" w:rsidP="0049107A">
      <w:pPr>
        <w:pStyle w:val="H23G"/>
      </w:pPr>
      <w:r w:rsidRPr="00DD2C62">
        <w:tab/>
        <w:t>2.</w:t>
      </w:r>
      <w:r w:rsidRPr="00DD2C62">
        <w:tab/>
        <w:t>Bosnie-Herzégovine</w:t>
      </w:r>
    </w:p>
    <w:p w14:paraId="07F14CEE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EIA/IC/INFO/16</w:t>
      </w:r>
    </w:p>
    <w:p w14:paraId="4F20E87A" w14:textId="77777777" w:rsidR="002749FA" w:rsidRPr="00DD2C62" w:rsidRDefault="002749FA" w:rsidP="0049107A">
      <w:pPr>
        <w:pStyle w:val="SingleTxtG"/>
      </w:pPr>
      <w:r w:rsidRPr="00DD2C62">
        <w:t>67.</w:t>
      </w:r>
      <w:r w:rsidRPr="00DD2C62">
        <w:tab/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continuer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suivre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thermique</w:t>
      </w:r>
      <w:r w:rsidR="0049107A" w:rsidRPr="00DD2C62">
        <w:t xml:space="preserve"> </w:t>
      </w:r>
      <w:r w:rsidRPr="00DD2C62">
        <w:t>d’Ugljevik</w:t>
      </w:r>
      <w:r w:rsidR="0049107A" w:rsidRPr="00DD2C62">
        <w:t xml:space="preserve"> </w:t>
      </w:r>
      <w:r w:rsidRPr="00DD2C62">
        <w:t>engagée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Bosnie-Herzégovine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lastRenderedPageBreak/>
        <w:t>octobre</w:t>
      </w:r>
      <w:r w:rsidR="0049107A" w:rsidRPr="00DD2C62">
        <w:t xml:space="preserve"> </w:t>
      </w:r>
      <w:r w:rsidRPr="00DD2C62">
        <w:t>2019,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présentant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notification</w:t>
      </w:r>
      <w:r w:rsidR="0049107A" w:rsidRPr="00DD2C62">
        <w:t xml:space="preserve"> </w:t>
      </w:r>
      <w:r w:rsidRPr="00DD2C62">
        <w:t>faisant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résultats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informelles</w:t>
      </w:r>
      <w:r w:rsidR="0049107A" w:rsidRPr="00DD2C62">
        <w:t xml:space="preserve"> </w:t>
      </w:r>
      <w:r w:rsidRPr="00DD2C62">
        <w:t>évoquées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69</w:t>
      </w:r>
      <w:r w:rsidR="0049107A" w:rsidRPr="00DD2C62">
        <w:t xml:space="preserve"> </w:t>
      </w:r>
      <w:r w:rsidRPr="00DD2C62">
        <w:t>ci-dessous.</w:t>
      </w:r>
    </w:p>
    <w:p w14:paraId="3C837BFE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EIA/IC/INFO/17</w:t>
      </w:r>
    </w:p>
    <w:p w14:paraId="1B3899CA" w14:textId="77777777" w:rsidR="002749FA" w:rsidRPr="00DD2C62" w:rsidRDefault="002749FA" w:rsidP="0049107A">
      <w:pPr>
        <w:pStyle w:val="SingleTxtG"/>
      </w:pPr>
      <w:r w:rsidRPr="00DD2C62">
        <w:t>68.</w:t>
      </w:r>
      <w:r w:rsidRPr="00DD2C62">
        <w:tab/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quarante-sixième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n’y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raison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Bosnie-Herzégovine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nouvelle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thermique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Stanari,</w:t>
      </w:r>
      <w:r w:rsidR="0049107A" w:rsidRPr="00DD2C62">
        <w:t xml:space="preserve"> </w:t>
      </w:r>
      <w:r w:rsidRPr="00DD2C62">
        <w:t>près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Croatie.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n’ont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souhaité</w:t>
      </w:r>
      <w:r w:rsidR="0049107A" w:rsidRPr="00DD2C62">
        <w:t xml:space="preserve"> </w:t>
      </w:r>
      <w:r w:rsidRPr="00DD2C62">
        <w:t>appliquer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activité,</w:t>
      </w:r>
      <w:r w:rsidR="0049107A" w:rsidRPr="00DD2C62">
        <w:t xml:space="preserve"> </w:t>
      </w:r>
      <w:r w:rsidRPr="00DD2C62">
        <w:t>même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7),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recommandé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Comité.</w:t>
      </w:r>
    </w:p>
    <w:p w14:paraId="65709E0B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ECE/IC/INFO/23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ECE/IC/INFO/24</w:t>
      </w:r>
    </w:p>
    <w:p w14:paraId="2C6BE6A9" w14:textId="77777777" w:rsidR="002749FA" w:rsidRPr="00DD2C62" w:rsidRDefault="002749FA" w:rsidP="0049107A">
      <w:pPr>
        <w:pStyle w:val="SingleTxtG"/>
      </w:pPr>
      <w:r w:rsidRPr="00DD2C62">
        <w:t>69.</w:t>
      </w:r>
      <w:r w:rsidRPr="00DD2C62">
        <w:tab/>
        <w:t>Pour</w:t>
      </w:r>
      <w:r w:rsidR="0049107A" w:rsidRPr="00DD2C62">
        <w:t xml:space="preserve"> </w:t>
      </w:r>
      <w:r w:rsidRPr="00DD2C62">
        <w:t>remédier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manquantes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préciser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positions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thermiques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Banovici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Tuzla,</w:t>
      </w:r>
      <w:r w:rsidR="0049107A" w:rsidRPr="00DD2C62">
        <w:t xml:space="preserve"> </w:t>
      </w:r>
      <w:r w:rsidRPr="00DD2C62">
        <w:t>près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Croatie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invité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trois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informelles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quarante-septième</w:t>
      </w:r>
      <w:r w:rsidR="0049107A" w:rsidRPr="00DD2C62">
        <w:t xml:space="preserve"> </w:t>
      </w:r>
      <w:r w:rsidRPr="00DD2C62">
        <w:t>session.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fait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circonstances</w:t>
      </w:r>
      <w:r w:rsidR="0049107A" w:rsidRPr="00DD2C62">
        <w:t xml:space="preserve"> </w:t>
      </w:r>
      <w:r w:rsidRPr="00DD2C62">
        <w:t>liées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COVID-19,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informelles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reportées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Comité.</w:t>
      </w:r>
      <w:r w:rsidR="0049107A" w:rsidRPr="00DD2C62">
        <w:t xml:space="preserve"> </w:t>
      </w:r>
      <w:r w:rsidRPr="00DD2C62">
        <w:t>Cependant,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Bosnie-Herzégovine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n’ont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pu</w:t>
      </w:r>
      <w:r w:rsidR="0049107A" w:rsidRPr="00DD2C62">
        <w:t xml:space="preserve"> </w:t>
      </w:r>
      <w:r w:rsidRPr="00DD2C62">
        <w:t>participer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session.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tenir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informelles</w:t>
      </w:r>
      <w:r w:rsidR="0049107A" w:rsidRPr="00DD2C62">
        <w:t xml:space="preserve"> </w:t>
      </w:r>
      <w:r w:rsidRPr="00DD2C62">
        <w:t>lors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ligne</w:t>
      </w:r>
      <w:r w:rsidR="0049107A" w:rsidRPr="00DD2C62">
        <w:t xml:space="preserve"> </w:t>
      </w:r>
      <w:r w:rsidRPr="00DD2C62">
        <w:t>supplémentaire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29</w:t>
      </w:r>
      <w:r w:rsidR="001965AA">
        <w:t> </w:t>
      </w:r>
      <w:r w:rsidRPr="00DD2C62">
        <w:t>octobre</w:t>
      </w:r>
      <w:r w:rsidR="0049107A" w:rsidRPr="00DD2C62">
        <w:t xml:space="preserve"> </w:t>
      </w:r>
      <w:r w:rsidRPr="00DD2C62">
        <w:t>2020.</w:t>
      </w:r>
    </w:p>
    <w:p w14:paraId="427CB2FE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EIA/IC/INFO/33</w:t>
      </w:r>
    </w:p>
    <w:p w14:paraId="44EB8CB2" w14:textId="77777777" w:rsidR="002749FA" w:rsidRPr="00DD2C62" w:rsidRDefault="002749FA" w:rsidP="0049107A">
      <w:pPr>
        <w:pStyle w:val="SingleTxtG"/>
      </w:pPr>
      <w:r w:rsidRPr="00DD2C62">
        <w:t>70.</w:t>
      </w:r>
      <w:r w:rsidRPr="00DD2C62">
        <w:tab/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15</w:t>
      </w:r>
      <w:r w:rsidR="001965AA">
        <w:t> </w:t>
      </w:r>
      <w:r w:rsidRPr="00DD2C62">
        <w:t>mai</w:t>
      </w:r>
      <w:r w:rsidR="0049107A" w:rsidRPr="00DD2C62">
        <w:t xml:space="preserve"> </w:t>
      </w:r>
      <w:r w:rsidRPr="00DD2C62">
        <w:t>2020</w:t>
      </w:r>
      <w:r w:rsidR="0049107A" w:rsidRPr="00DD2C62">
        <w:t xml:space="preserve"> </w:t>
      </w:r>
      <w:r w:rsidRPr="00DD2C62">
        <w:t>soumises</w:t>
      </w:r>
      <w:r w:rsidR="0049107A" w:rsidRPr="00DD2C62">
        <w:t xml:space="preserve"> </w:t>
      </w:r>
      <w:r w:rsidRPr="00DD2C62">
        <w:t>conjointement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ONG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Bosnie-Herzégovine</w:t>
      </w:r>
      <w:r w:rsidR="0049107A" w:rsidRPr="00DD2C62">
        <w:t xml:space="preserve"> </w:t>
      </w:r>
      <w:r w:rsidRPr="00DD2C62">
        <w:t>(Aarhus</w:t>
      </w:r>
      <w:r w:rsidR="0049107A" w:rsidRPr="00DD2C62">
        <w:t xml:space="preserve"> </w:t>
      </w:r>
      <w:r w:rsidRPr="00DD2C62">
        <w:t>Centar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Centre</w:t>
      </w:r>
      <w:r w:rsidR="0049107A" w:rsidRPr="00DD2C62">
        <w:t xml:space="preserve"> </w:t>
      </w:r>
      <w:r w:rsidRPr="00DD2C62">
        <w:t>for</w:t>
      </w:r>
      <w:r w:rsidR="0049107A" w:rsidRPr="00DD2C62">
        <w:t xml:space="preserve"> </w:t>
      </w:r>
      <w:r w:rsidRPr="00DD2C62">
        <w:t>Environment)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ONG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Monténégro</w:t>
      </w:r>
      <w:r w:rsidR="0049107A" w:rsidRPr="00DD2C62">
        <w:t xml:space="preserve"> </w:t>
      </w:r>
      <w:r w:rsidRPr="00DD2C62">
        <w:t>(Green</w:t>
      </w:r>
      <w:r w:rsidR="0049107A" w:rsidRPr="00DD2C62">
        <w:t xml:space="preserve"> </w:t>
      </w:r>
      <w:r w:rsidRPr="00DD2C62">
        <w:t>Home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Ozon),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d’entreprendre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hydroélectrique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Buk</w:t>
      </w:r>
      <w:r w:rsidR="0049107A" w:rsidRPr="00DD2C62">
        <w:t xml:space="preserve"> </w:t>
      </w:r>
      <w:r w:rsidRPr="00DD2C62">
        <w:t>Bijela,</w:t>
      </w:r>
      <w:r w:rsidR="0049107A" w:rsidRPr="00DD2C62">
        <w:t xml:space="preserve"> </w:t>
      </w:r>
      <w:r w:rsidRPr="00DD2C62">
        <w:t>près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Monténégro.</w:t>
      </w:r>
    </w:p>
    <w:p w14:paraId="1B815B03" w14:textId="77777777" w:rsidR="002749FA" w:rsidRPr="00DD2C62" w:rsidRDefault="002749FA" w:rsidP="0049107A">
      <w:pPr>
        <w:pStyle w:val="H23G"/>
      </w:pPr>
      <w:r w:rsidRPr="00DD2C62">
        <w:tab/>
        <w:t>3.</w:t>
      </w:r>
      <w:r w:rsidRPr="00DD2C62">
        <w:tab/>
        <w:t>Danemark</w:t>
      </w:r>
    </w:p>
    <w:p w14:paraId="4C8D4D78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EIA/IC/INFO/30</w:t>
      </w:r>
    </w:p>
    <w:p w14:paraId="63E1C417" w14:textId="77777777" w:rsidR="002749FA" w:rsidRPr="00DD2C62" w:rsidRDefault="002749FA" w:rsidP="0049107A">
      <w:pPr>
        <w:pStyle w:val="SingleTxtG"/>
      </w:pPr>
      <w:r w:rsidRPr="00DD2C62">
        <w:t>71.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question,</w:t>
      </w:r>
      <w:r w:rsidR="0049107A" w:rsidRPr="00DD2C62">
        <w:t xml:space="preserve"> </w:t>
      </w:r>
      <w:r w:rsidRPr="00DD2C62">
        <w:t>entrepris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donner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présentée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janvier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l’établissement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commission</w:t>
      </w:r>
      <w:r w:rsidR="0049107A" w:rsidRPr="00DD2C62">
        <w:t xml:space="preserve"> </w:t>
      </w:r>
      <w:r w:rsidRPr="00DD2C62">
        <w:t>d’enquête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Nord</w:t>
      </w:r>
      <w:r w:rsidR="0049107A" w:rsidRPr="00DD2C62">
        <w:t xml:space="preserve"> </w:t>
      </w:r>
      <w:r w:rsidRPr="00DD2C62">
        <w:t>Stream</w:t>
      </w:r>
      <w:r w:rsidR="0049107A" w:rsidRPr="00DD2C62">
        <w:t xml:space="preserve"> </w:t>
      </w:r>
      <w:r w:rsidRPr="00DD2C62">
        <w:t>2.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précisé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conditions</w:t>
      </w:r>
      <w:r w:rsidR="0049107A" w:rsidRPr="00DD2C62">
        <w:t xml:space="preserve"> </w:t>
      </w:r>
      <w:r w:rsidRPr="00DD2C62">
        <w:t>préalables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l’établissement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commission</w:t>
      </w:r>
      <w:r w:rsidR="0049107A" w:rsidRPr="00DD2C62">
        <w:t xml:space="preserve"> </w:t>
      </w:r>
      <w:r w:rsidRPr="00DD2C62">
        <w:t>d’enquête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7)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l’appendice</w:t>
      </w:r>
      <w:r w:rsidR="0049107A" w:rsidRPr="00DD2C62">
        <w:t xml:space="preserve"> </w:t>
      </w:r>
      <w:r w:rsidRPr="00DD2C62">
        <w:t>IV,</w:t>
      </w:r>
      <w:r w:rsidR="0049107A" w:rsidRPr="00DD2C62">
        <w:t xml:space="preserve"> </w:t>
      </w:r>
      <w:r w:rsidRPr="00DD2C62">
        <w:t>expliquant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prendre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documentation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fournir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</w:t>
      </w:r>
      <w:r w:rsidR="0049107A" w:rsidRPr="00DD2C62">
        <w:t xml:space="preserve"> </w:t>
      </w:r>
      <w:r w:rsidRPr="00DD2C62">
        <w:t>égard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VIII/4,</w:t>
      </w:r>
      <w:r w:rsidR="0049107A" w:rsidRPr="00DD2C62">
        <w:t xml:space="preserve"> </w:t>
      </w:r>
      <w:r w:rsidR="00DD2C62">
        <w:t>par. </w:t>
      </w:r>
      <w:r w:rsidRPr="00DD2C62">
        <w:t>12</w:t>
      </w:r>
      <w:r w:rsidR="0049107A" w:rsidRPr="00DD2C62">
        <w:t xml:space="preserve"> </w:t>
      </w:r>
      <w:r w:rsidRPr="00DD2C62">
        <w:t>a)).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ultérieures,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examinera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attendues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Danemark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résultats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leurs</w:t>
      </w:r>
      <w:r w:rsidR="0049107A" w:rsidRPr="00DD2C62">
        <w:t xml:space="preserve"> </w:t>
      </w:r>
      <w:r w:rsidRPr="00DD2C62">
        <w:t>discussions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7)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point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savoir</w:t>
      </w:r>
      <w:r w:rsidR="0049107A" w:rsidRPr="00DD2C62">
        <w:t xml:space="preserve"> </w:t>
      </w:r>
      <w:r w:rsidRPr="00DD2C62">
        <w:t>s’il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probable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Nord</w:t>
      </w:r>
      <w:r w:rsidR="0049107A" w:rsidRPr="00DD2C62">
        <w:t xml:space="preserve"> </w:t>
      </w:r>
      <w:r w:rsidRPr="00DD2C62">
        <w:t>Stream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ait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impact</w:t>
      </w:r>
      <w:r w:rsidR="0049107A" w:rsidRPr="00DD2C62">
        <w:t xml:space="preserve"> </w:t>
      </w:r>
      <w:r w:rsidRPr="00DD2C62">
        <w:t>négatif</w:t>
      </w:r>
      <w:r w:rsidR="0049107A" w:rsidRPr="00DD2C62">
        <w:t xml:space="preserve"> </w:t>
      </w:r>
      <w:r w:rsidRPr="00DD2C62">
        <w:t>notable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territoire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l’Ukraine.</w:t>
      </w:r>
    </w:p>
    <w:p w14:paraId="672C9BD7" w14:textId="77777777" w:rsidR="002749FA" w:rsidRPr="00DD2C62" w:rsidRDefault="002749FA" w:rsidP="0049107A">
      <w:pPr>
        <w:pStyle w:val="H23G"/>
      </w:pPr>
      <w:r w:rsidRPr="00DD2C62">
        <w:tab/>
        <w:t>4.</w:t>
      </w:r>
      <w:r w:rsidRPr="00DD2C62">
        <w:tab/>
        <w:t>Suisse</w:t>
      </w:r>
    </w:p>
    <w:p w14:paraId="3563801E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ECE/IC/INFO/25</w:t>
      </w:r>
    </w:p>
    <w:p w14:paraId="4536BFC9" w14:textId="77777777" w:rsidR="002749FA" w:rsidRPr="00DD2C62" w:rsidRDefault="002749FA" w:rsidP="0049107A">
      <w:pPr>
        <w:pStyle w:val="SingleTxtG"/>
      </w:pPr>
      <w:r w:rsidRPr="00DD2C62">
        <w:t>72.</w:t>
      </w:r>
      <w:r w:rsidRPr="00DD2C62">
        <w:tab/>
        <w:t>Pour</w:t>
      </w:r>
      <w:r w:rsidR="0049107A" w:rsidRPr="00DD2C62">
        <w:t xml:space="preserve"> </w:t>
      </w:r>
      <w:r w:rsidRPr="00DD2C62">
        <w:t>examiner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d’extension</w:t>
      </w:r>
      <w:r w:rsidR="0049107A" w:rsidRPr="00DD2C62">
        <w:t xml:space="preserve"> </w:t>
      </w:r>
      <w:r w:rsidRPr="00DD2C62">
        <w:t>prévues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l’aéroport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Zurich,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supplémentaires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Suisse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sessions</w:t>
      </w:r>
      <w:r w:rsidR="0049107A" w:rsidRPr="00DD2C62">
        <w:t xml:space="preserve"> </w:t>
      </w:r>
      <w:r w:rsidRPr="00DD2C62">
        <w:t>suivantes.</w:t>
      </w:r>
    </w:p>
    <w:p w14:paraId="60686765" w14:textId="77777777" w:rsidR="002749FA" w:rsidRPr="00DD2C62" w:rsidRDefault="002749FA" w:rsidP="0049107A">
      <w:pPr>
        <w:pStyle w:val="H23G"/>
      </w:pPr>
      <w:r w:rsidRPr="00DD2C62">
        <w:lastRenderedPageBreak/>
        <w:tab/>
        <w:t>5.</w:t>
      </w:r>
      <w:r w:rsidRPr="00DD2C62">
        <w:tab/>
        <w:t>Ukraine</w:t>
      </w:r>
    </w:p>
    <w:p w14:paraId="205384AE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EIA/IC/INFO/10</w:t>
      </w:r>
    </w:p>
    <w:p w14:paraId="3F15CBC5" w14:textId="77777777" w:rsidR="002749FA" w:rsidRPr="00DD2C62" w:rsidRDefault="002749FA" w:rsidP="001965AA">
      <w:pPr>
        <w:pStyle w:val="SingleTxtG"/>
        <w:keepLines/>
      </w:pPr>
      <w:r w:rsidRPr="00DD2C62">
        <w:t>73.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savoir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accordé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droit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République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Moldova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participer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unités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Khmelnitsky.</w:t>
      </w:r>
    </w:p>
    <w:p w14:paraId="42372620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EIA/IC/INFO/29</w:t>
      </w:r>
    </w:p>
    <w:p w14:paraId="58BE6022" w14:textId="77777777" w:rsidR="002749FA" w:rsidRPr="00DD2C62" w:rsidRDefault="002749FA" w:rsidP="0049107A">
      <w:pPr>
        <w:pStyle w:val="SingleTxtG"/>
      </w:pPr>
      <w:r w:rsidRPr="00DD2C62">
        <w:t>74.</w:t>
      </w:r>
      <w:r w:rsidRPr="00DD2C62">
        <w:tab/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décidé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lancer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initiative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6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texte</w:t>
      </w:r>
      <w:r w:rsidR="0049107A" w:rsidRPr="00DD2C62">
        <w:t xml:space="preserve"> </w:t>
      </w:r>
      <w:r w:rsidRPr="00DD2C62">
        <w:t>définissant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87</w:t>
      </w:r>
      <w:r w:rsidR="0049107A" w:rsidRPr="00DD2C62">
        <w:t xml:space="preserve"> </w:t>
      </w:r>
      <w:r w:rsidRPr="00DD2C62">
        <w:t>ci</w:t>
      </w:r>
      <w:r w:rsidRPr="00DD2C62">
        <w:noBreakHyphen/>
        <w:t>dessous)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forte</w:t>
      </w:r>
      <w:r w:rsidR="0049107A" w:rsidRPr="00DD2C62">
        <w:t xml:space="preserve"> </w:t>
      </w:r>
      <w:r w:rsidRPr="00DD2C62">
        <w:t>suspicion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non-respect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bookmarkStart w:id="29" w:name="_Hlk50550566"/>
      <w:r w:rsidRPr="00DD2C62">
        <w:t>construction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vaste</w:t>
      </w:r>
      <w:r w:rsidR="0049107A" w:rsidRPr="00DD2C62">
        <w:t xml:space="preserve"> </w:t>
      </w:r>
      <w:r w:rsidRPr="00DD2C62">
        <w:t>complexe</w:t>
      </w:r>
      <w:r w:rsidR="0049107A" w:rsidRPr="00DD2C62">
        <w:t xml:space="preserve"> </w:t>
      </w:r>
      <w:r w:rsidRPr="00DD2C62">
        <w:t>touristique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montagnes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Svydovets</w:t>
      </w:r>
      <w:bookmarkEnd w:id="29"/>
      <w:r w:rsidRPr="00DD2C62">
        <w:t>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particulier,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ont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communiqués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pas</w:t>
      </w:r>
      <w:r w:rsidR="00DD2C62" w:rsidRPr="00DD2C62">
        <w:t> :</w:t>
      </w:r>
    </w:p>
    <w:p w14:paraId="1A7ACF45" w14:textId="77777777" w:rsidR="002749FA" w:rsidRPr="00DD2C62" w:rsidRDefault="002749FA" w:rsidP="0049107A">
      <w:pPr>
        <w:pStyle w:val="SingleTxtG"/>
        <w:ind w:firstLine="567"/>
      </w:pPr>
      <w:r w:rsidRPr="00DD2C62">
        <w:t>a)</w:t>
      </w:r>
      <w:r w:rsidRPr="00DD2C62">
        <w:tab/>
        <w:t>Donné</w:t>
      </w:r>
      <w:r w:rsidR="0049107A" w:rsidRPr="00DD2C62">
        <w:t xml:space="preserve"> </w:t>
      </w:r>
      <w:r w:rsidRPr="00DD2C62">
        <w:t>notification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articles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malgré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demandes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auraient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adressées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pays</w:t>
      </w:r>
      <w:r w:rsidR="00DD2C62" w:rsidRPr="00DD2C62">
        <w:t> ;</w:t>
      </w:r>
    </w:p>
    <w:p w14:paraId="746E5883" w14:textId="77777777" w:rsidR="002749FA" w:rsidRPr="00DD2C62" w:rsidRDefault="002749FA" w:rsidP="0049107A">
      <w:pPr>
        <w:pStyle w:val="SingleTxtG"/>
        <w:ind w:firstLine="567"/>
      </w:pPr>
      <w:r w:rsidRPr="00DD2C62">
        <w:t>b)</w:t>
      </w:r>
      <w:r w:rsidRPr="00DD2C62">
        <w:tab/>
        <w:t>Répondu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demandes</w:t>
      </w:r>
      <w:r w:rsidR="0049107A" w:rsidRPr="00DD2C62">
        <w:t xml:space="preserve"> </w:t>
      </w:r>
      <w:r w:rsidRPr="00DD2C62">
        <w:t>répétées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7)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demandant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transmettre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suffisants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d’engager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discussions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probabilité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impact</w:t>
      </w:r>
      <w:r w:rsidR="0049107A" w:rsidRPr="00DD2C62">
        <w:t xml:space="preserve"> </w:t>
      </w:r>
      <w:r w:rsidRPr="00DD2C62">
        <w:t>négatif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notable.</w:t>
      </w:r>
    </w:p>
    <w:p w14:paraId="4846A09C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EIA/IC/INFO/13</w:t>
      </w:r>
    </w:p>
    <w:p w14:paraId="588C66CC" w14:textId="77777777" w:rsidR="002749FA" w:rsidRPr="00DD2C62" w:rsidRDefault="002749FA" w:rsidP="0049107A">
      <w:pPr>
        <w:pStyle w:val="SingleTxtG"/>
      </w:pPr>
      <w:r w:rsidRPr="00DD2C62">
        <w:t>75.</w:t>
      </w:r>
      <w:r w:rsidRPr="00DD2C62">
        <w:tab/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nouvelles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fournies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25</w:t>
      </w:r>
      <w:r w:rsidR="001A765C">
        <w:t> </w:t>
      </w:r>
      <w:r w:rsidRPr="00DD2C62">
        <w:t>février</w:t>
      </w:r>
      <w:r w:rsidR="0049107A" w:rsidRPr="00DD2C62">
        <w:t xml:space="preserve"> </w:t>
      </w:r>
      <w:r w:rsidRPr="00DD2C62">
        <w:t>2020,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reprendre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réouverture</w:t>
      </w:r>
      <w:r w:rsidR="0049107A" w:rsidRPr="00DD2C62">
        <w:t xml:space="preserve"> </w:t>
      </w:r>
      <w:r w:rsidRPr="00DD2C62">
        <w:t>prévue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mine</w:t>
      </w:r>
      <w:r w:rsidR="0049107A" w:rsidRPr="00DD2C62">
        <w:t xml:space="preserve"> </w:t>
      </w:r>
      <w:r w:rsidRPr="00DD2C62">
        <w:t>d’or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Muzhiyevo.</w:t>
      </w:r>
    </w:p>
    <w:p w14:paraId="1D50900E" w14:textId="77777777" w:rsidR="002749FA" w:rsidRPr="00DD2C62" w:rsidRDefault="002749FA" w:rsidP="0049107A">
      <w:pPr>
        <w:pStyle w:val="H23G"/>
      </w:pPr>
      <w:r w:rsidRPr="00DD2C62">
        <w:tab/>
        <w:t>6.</w:t>
      </w:r>
      <w:r w:rsidRPr="00DD2C62">
        <w:tab/>
        <w:t>Serbie</w:t>
      </w:r>
    </w:p>
    <w:p w14:paraId="36B32ACD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ECE/IC/INFO/27</w:t>
      </w:r>
    </w:p>
    <w:p w14:paraId="127DB96A" w14:textId="77777777" w:rsidR="002749FA" w:rsidRPr="00DD2C62" w:rsidRDefault="002749FA" w:rsidP="0049107A">
      <w:pPr>
        <w:pStyle w:val="SingleTxtG"/>
      </w:pPr>
      <w:r w:rsidRPr="00DD2C62">
        <w:t>76.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activité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l’extension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ciel</w:t>
      </w:r>
      <w:r w:rsidR="0049107A" w:rsidRPr="00DD2C62">
        <w:t xml:space="preserve"> </w:t>
      </w:r>
      <w:r w:rsidRPr="00DD2C62">
        <w:t>ouvert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Drmno.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tant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Partie</w:t>
      </w:r>
      <w:r w:rsidR="0049107A" w:rsidRPr="00DD2C62">
        <w:t xml:space="preserve"> </w:t>
      </w:r>
      <w:r w:rsidRPr="00DD2C62">
        <w:t>touchée,</w:t>
      </w:r>
      <w:r w:rsidR="0049107A" w:rsidRPr="00DD2C62">
        <w:t xml:space="preserve"> </w:t>
      </w:r>
      <w:r w:rsidRPr="00DD2C62">
        <w:t>s’était</w:t>
      </w:r>
      <w:r w:rsidR="0049107A" w:rsidRPr="00DD2C62">
        <w:t xml:space="preserve"> </w:t>
      </w:r>
      <w:r w:rsidRPr="00DD2C62">
        <w:t>déclarée</w:t>
      </w:r>
      <w:r w:rsidR="0049107A" w:rsidRPr="00DD2C62">
        <w:t xml:space="preserve"> </w:t>
      </w:r>
      <w:r w:rsidRPr="00DD2C62">
        <w:t>satisfaite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d’EIE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connexe</w:t>
      </w:r>
      <w:r w:rsidR="0049107A" w:rsidRPr="00DD2C62">
        <w:t xml:space="preserve"> </w:t>
      </w:r>
      <w:r w:rsidRPr="00DD2C62">
        <w:t>menée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résultats,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concerne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participation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public.</w:t>
      </w:r>
    </w:p>
    <w:p w14:paraId="7C3EE129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EIA/IC/INFO/31</w:t>
      </w:r>
      <w:bookmarkStart w:id="30" w:name="_Hlk45916432"/>
    </w:p>
    <w:p w14:paraId="1350D0F1" w14:textId="77777777" w:rsidR="002749FA" w:rsidRPr="00DD2C62" w:rsidRDefault="002749FA" w:rsidP="0049107A">
      <w:pPr>
        <w:pStyle w:val="SingleTxtG"/>
      </w:pPr>
      <w:r w:rsidRPr="00DD2C62">
        <w:t>77.</w:t>
      </w:r>
      <w:r w:rsidRPr="00DD2C62">
        <w:tab/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communication</w:t>
      </w:r>
      <w:r w:rsidR="0049107A" w:rsidRPr="00DD2C62">
        <w:t xml:space="preserve"> </w:t>
      </w:r>
      <w:r w:rsidRPr="00DD2C62">
        <w:t>officielle</w:t>
      </w:r>
      <w:r w:rsidR="0049107A" w:rsidRPr="00DD2C62">
        <w:t xml:space="preserve"> </w:t>
      </w:r>
      <w:r w:rsidRPr="00DD2C62">
        <w:t>présentée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Bulgarie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d’examiner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10</w:t>
      </w:r>
      <w:r w:rsidR="001A765C">
        <w:t> </w:t>
      </w:r>
      <w:r w:rsidRPr="00DD2C62">
        <w:t>février</w:t>
      </w:r>
      <w:r w:rsidR="0049107A" w:rsidRPr="00DD2C62">
        <w:t xml:space="preserve"> </w:t>
      </w:r>
      <w:r w:rsidRPr="00DD2C62">
        <w:t>2019</w:t>
      </w:r>
      <w:r w:rsidR="0049107A" w:rsidRPr="00DD2C62">
        <w:t xml:space="preserve"> </w:t>
      </w:r>
      <w:r w:rsidRPr="00DD2C62">
        <w:t>communiquées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l’Association</w:t>
      </w:r>
      <w:r w:rsidR="0049107A" w:rsidRPr="00DD2C62">
        <w:t xml:space="preserve"> </w:t>
      </w:r>
      <w:r w:rsidRPr="00DD2C62">
        <w:t>Balkanka</w:t>
      </w:r>
      <w:r w:rsidR="0049107A" w:rsidRPr="00DD2C62">
        <w:t xml:space="preserve"> </w:t>
      </w:r>
      <w:r w:rsidRPr="00DD2C62">
        <w:t>(ONG</w:t>
      </w:r>
      <w:r w:rsidR="0049107A" w:rsidRPr="00DD2C62">
        <w:t xml:space="preserve"> </w:t>
      </w:r>
      <w:r w:rsidRPr="00DD2C62">
        <w:t>bulgare)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installation</w:t>
      </w:r>
      <w:r w:rsidR="0049107A" w:rsidRPr="00DD2C62">
        <w:t xml:space="preserve"> </w:t>
      </w:r>
      <w:r w:rsidRPr="00DD2C62">
        <w:t>expérimentale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Karamanica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62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63</w:t>
      </w:r>
      <w:r w:rsidR="0049107A" w:rsidRPr="00DD2C62">
        <w:t xml:space="preserve"> </w:t>
      </w:r>
      <w:r w:rsidRPr="00DD2C62">
        <w:t>ci-dessus).</w:t>
      </w:r>
    </w:p>
    <w:bookmarkEnd w:id="30"/>
    <w:p w14:paraId="1E6C6886" w14:textId="77777777" w:rsidR="002749FA" w:rsidRPr="00DD2C62" w:rsidRDefault="002749FA" w:rsidP="0049107A">
      <w:pPr>
        <w:pStyle w:val="H23G"/>
      </w:pPr>
      <w:r w:rsidRPr="00DD2C62">
        <w:tab/>
        <w:t>7.</w:t>
      </w:r>
      <w:r w:rsidRPr="00DD2C62">
        <w:tab/>
        <w:t>Espagne</w:t>
      </w:r>
    </w:p>
    <w:p w14:paraId="3FF28E48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EIA/IC/INFO/26</w:t>
      </w:r>
    </w:p>
    <w:p w14:paraId="5749436F" w14:textId="77777777" w:rsidR="002749FA" w:rsidRPr="00DD2C62" w:rsidRDefault="002749FA" w:rsidP="0049107A">
      <w:pPr>
        <w:pStyle w:val="SingleTxtG"/>
      </w:pPr>
      <w:r w:rsidRPr="00DD2C62">
        <w:t>78.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raisons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l’Espagne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stockage</w:t>
      </w:r>
      <w:r w:rsidR="0049107A" w:rsidRPr="00DD2C62">
        <w:t xml:space="preserve"> </w:t>
      </w:r>
      <w:r w:rsidRPr="00DD2C62">
        <w:t>temporaire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déchets</w:t>
      </w:r>
      <w:r w:rsidR="0049107A" w:rsidRPr="00DD2C62">
        <w:t xml:space="preserve"> </w:t>
      </w:r>
      <w:r w:rsidRPr="00DD2C62">
        <w:t>radioactifs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d’Almaraz.</w:t>
      </w:r>
      <w:r w:rsidR="0049107A" w:rsidRPr="00DD2C62">
        <w:t xml:space="preserve"> </w:t>
      </w:r>
      <w:r w:rsidRPr="00DD2C62">
        <w:t>Même</w:t>
      </w:r>
      <w:r w:rsidR="0049107A" w:rsidRPr="00DD2C62">
        <w:t xml:space="preserve"> </w:t>
      </w:r>
      <w:r w:rsidRPr="00DD2C62">
        <w:t>si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Portugal,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tant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Partie</w:t>
      </w:r>
      <w:r w:rsidR="0049107A" w:rsidRPr="00DD2C62">
        <w:t xml:space="preserve"> </w:t>
      </w:r>
      <w:r w:rsidRPr="00DD2C62">
        <w:t>touchée,</w:t>
      </w:r>
      <w:r w:rsidR="0049107A" w:rsidRPr="00DD2C62">
        <w:t xml:space="preserve"> </w:t>
      </w:r>
      <w:r w:rsidRPr="00DD2C62">
        <w:t>aurait</w:t>
      </w:r>
      <w:r w:rsidR="0049107A" w:rsidRPr="00DD2C62">
        <w:t xml:space="preserve"> </w:t>
      </w:r>
      <w:r w:rsidRPr="00DD2C62">
        <w:t>préféré</w:t>
      </w:r>
      <w:r w:rsidR="0049107A" w:rsidRPr="00DD2C62">
        <w:t xml:space="preserve"> </w:t>
      </w:r>
      <w:r w:rsidRPr="00DD2C62">
        <w:t>recevoir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notification</w:t>
      </w:r>
      <w:r w:rsidR="0049107A" w:rsidRPr="00DD2C62">
        <w:t xml:space="preserve"> </w:t>
      </w:r>
      <w:r w:rsidRPr="00DD2C62">
        <w:t>officielle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l’Espagne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accepté,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exceptionnel,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d’accord</w:t>
      </w:r>
      <w:r w:rsidR="0049107A" w:rsidRPr="00DD2C62">
        <w:t xml:space="preserve"> </w:t>
      </w:r>
      <w:r w:rsidRPr="00DD2C62">
        <w:t>amiable</w:t>
      </w:r>
      <w:r w:rsidR="0049107A" w:rsidRPr="00DD2C62">
        <w:t xml:space="preserve"> </w:t>
      </w:r>
      <w:r w:rsidRPr="00DD2C62">
        <w:t>menée</w:t>
      </w:r>
      <w:r w:rsidR="0049107A" w:rsidRPr="00DD2C62">
        <w:t xml:space="preserve"> </w:t>
      </w:r>
      <w:r w:rsidRPr="00DD2C62">
        <w:t>entre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2017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cadre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médiation</w:t>
      </w:r>
      <w:r w:rsidR="0049107A" w:rsidRPr="00DD2C62">
        <w:t xml:space="preserve"> </w:t>
      </w:r>
      <w:r w:rsidRPr="00DD2C62">
        <w:t>dirigée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l’Union</w:t>
      </w:r>
      <w:r w:rsidR="0049107A" w:rsidRPr="00DD2C62">
        <w:t xml:space="preserve"> </w:t>
      </w:r>
      <w:r w:rsidRPr="00DD2C62">
        <w:t>européenne.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procédure,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pu</w:t>
      </w:r>
      <w:r w:rsidR="0049107A" w:rsidRPr="00DD2C62">
        <w:t xml:space="preserve"> </w:t>
      </w:r>
      <w:r w:rsidRPr="00DD2C62">
        <w:t>échanger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vues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prévoir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d’atténuation.</w:t>
      </w:r>
    </w:p>
    <w:p w14:paraId="30ACED04" w14:textId="77777777" w:rsidR="002749FA" w:rsidRPr="00DD2C62" w:rsidRDefault="002749FA" w:rsidP="0049107A">
      <w:pPr>
        <w:pStyle w:val="H23G"/>
      </w:pPr>
      <w:r w:rsidRPr="00DD2C62">
        <w:lastRenderedPageBreak/>
        <w:tab/>
        <w:t>8.</w:t>
      </w:r>
      <w:r w:rsidRPr="00DD2C62">
        <w:tab/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nucléaires</w:t>
      </w:r>
      <w:r w:rsidR="00DD2C62" w:rsidRPr="00DD2C62">
        <w:t> :</w:t>
      </w:r>
      <w:r w:rsidR="0049107A" w:rsidRPr="00DD2C62">
        <w:t xml:space="preserve"> </w:t>
      </w:r>
      <w:r w:rsidRPr="00DD2C62">
        <w:t>Belgique,</w:t>
      </w:r>
      <w:r w:rsidR="0049107A" w:rsidRPr="00DD2C62">
        <w:t xml:space="preserve"> </w:t>
      </w:r>
      <w:r w:rsidRPr="00DD2C62">
        <w:t>Bulgarie,</w:t>
      </w:r>
      <w:r w:rsidR="0049107A" w:rsidRPr="00DD2C62">
        <w:t xml:space="preserve"> </w:t>
      </w:r>
      <w:r w:rsidRPr="00DD2C62">
        <w:t>Espagne,</w:t>
      </w:r>
      <w:r w:rsidR="0049107A" w:rsidRPr="00DD2C62">
        <w:t xml:space="preserve"> </w:t>
      </w:r>
      <w:r w:rsidRPr="00DD2C62">
        <w:t>France,</w:t>
      </w:r>
      <w:r w:rsidR="0049107A" w:rsidRPr="00DD2C62">
        <w:t xml:space="preserve"> </w:t>
      </w:r>
      <w:r w:rsidRPr="00DD2C62">
        <w:t>Pays-Bas,</w:t>
      </w:r>
      <w:r w:rsidR="0049107A" w:rsidRPr="00DD2C62">
        <w:t xml:space="preserve"> </w:t>
      </w:r>
      <w:r w:rsidRPr="00DD2C62">
        <w:t>République</w:t>
      </w:r>
      <w:r w:rsidR="0049107A" w:rsidRPr="00DD2C62">
        <w:t xml:space="preserve"> </w:t>
      </w:r>
      <w:r w:rsidRPr="00DD2C62">
        <w:t>tchèque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Ukraine</w:t>
      </w:r>
    </w:p>
    <w:p w14:paraId="750D774F" w14:textId="77777777" w:rsidR="002749FA" w:rsidRPr="00DD2C62" w:rsidRDefault="002749FA" w:rsidP="0049107A">
      <w:pPr>
        <w:pStyle w:val="H4G"/>
      </w:pPr>
      <w:r w:rsidRPr="00DD2C62">
        <w:tab/>
      </w:r>
      <w:r w:rsidRPr="00DD2C62">
        <w:tab/>
        <w:t>EIA/IC/INFO/15,</w:t>
      </w:r>
      <w:r w:rsidR="0049107A" w:rsidRPr="00DD2C62">
        <w:t xml:space="preserve"> </w:t>
      </w:r>
      <w:r w:rsidRPr="00DD2C62">
        <w:t>EIA/IC/INFO/18,</w:t>
      </w:r>
      <w:r w:rsidR="0049107A" w:rsidRPr="00DD2C62">
        <w:t xml:space="preserve"> </w:t>
      </w:r>
      <w:r w:rsidRPr="00DD2C62">
        <w:t>EIA/IC/INFO/19,</w:t>
      </w:r>
      <w:r w:rsidR="0049107A" w:rsidRPr="00DD2C62">
        <w:t xml:space="preserve"> </w:t>
      </w:r>
      <w:r w:rsidRPr="00DD2C62">
        <w:t>EIA/IC/INFO/20,</w:t>
      </w:r>
      <w:r w:rsidR="0049107A" w:rsidRPr="00DD2C62">
        <w:t xml:space="preserve"> </w:t>
      </w:r>
      <w:r w:rsidRPr="00DD2C62">
        <w:t>EIA/IC/INFO/26.</w:t>
      </w:r>
      <w:r w:rsidR="0049107A" w:rsidRPr="00DD2C62">
        <w:t xml:space="preserve"> </w:t>
      </w:r>
      <w:r w:rsidRPr="00DD2C62">
        <w:t>EIA/IC/INFO/28.</w:t>
      </w:r>
      <w:r w:rsidR="0049107A" w:rsidRPr="00DD2C62">
        <w:t xml:space="preserve"> </w:t>
      </w:r>
      <w:r w:rsidRPr="00DD2C62">
        <w:t>EIA/IC/INFO/32,</w:t>
      </w:r>
      <w:r w:rsidR="0049107A" w:rsidRPr="00DD2C62">
        <w:t xml:space="preserve"> </w:t>
      </w:r>
      <w:r w:rsidRPr="00DD2C62">
        <w:t>EIA/IC/INFO/34</w:t>
      </w:r>
    </w:p>
    <w:p w14:paraId="20A70F22" w14:textId="77777777" w:rsidR="002749FA" w:rsidRPr="00DD2C62" w:rsidRDefault="002749FA" w:rsidP="002749FA">
      <w:pPr>
        <w:pStyle w:val="SingleTxtG"/>
      </w:pPr>
      <w:r w:rsidRPr="00DD2C62">
        <w:t>79.</w:t>
      </w:r>
      <w:r w:rsidRPr="00DD2C62">
        <w:tab/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IS/2,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10,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continué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huit</w:t>
      </w:r>
      <w:r w:rsidR="0049107A" w:rsidRPr="00DD2C62">
        <w:t xml:space="preserve"> </w:t>
      </w:r>
      <w:r w:rsidRPr="00DD2C62">
        <w:t>cas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préoccupations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public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non</w:t>
      </w:r>
      <w:r w:rsidRPr="00DD2C62">
        <w:noBreakHyphen/>
        <w:t>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Belgique,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Bulgarie,</w:t>
      </w:r>
      <w:r w:rsidR="0049107A" w:rsidRPr="00DD2C62">
        <w:t xml:space="preserve"> </w:t>
      </w:r>
      <w:r w:rsidRPr="00DD2C62">
        <w:t>l’Espagne</w:t>
      </w:r>
      <w:r w:rsidR="0049107A" w:rsidRPr="00DD2C62">
        <w:t xml:space="preserve"> </w:t>
      </w:r>
      <w:r w:rsidRPr="00DD2C62">
        <w:t>(deux</w:t>
      </w:r>
      <w:r w:rsidR="0049107A" w:rsidRPr="00DD2C62">
        <w:t xml:space="preserve"> </w:t>
      </w:r>
      <w:r w:rsidRPr="00DD2C62">
        <w:t>questions),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France,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Pays-Bas,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Tchéquie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nucléaires,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résumé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4</w:t>
      </w:r>
      <w:r w:rsidR="0049107A" w:rsidRPr="00DD2C62">
        <w:t xml:space="preserve"> </w:t>
      </w:r>
      <w:r w:rsidRPr="00DD2C62">
        <w:t>ci-dessus.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particulier,</w:t>
      </w:r>
      <w:r w:rsidR="0049107A" w:rsidRPr="00DD2C62">
        <w:t xml:space="preserve"> </w:t>
      </w:r>
      <w:r w:rsidRPr="00DD2C62">
        <w:t>le</w:t>
      </w:r>
      <w:r w:rsidR="001A765C">
        <w:t> </w:t>
      </w:r>
      <w:r w:rsidRPr="00DD2C62">
        <w:t>Comité</w:t>
      </w:r>
      <w:r w:rsidR="00DD2C62" w:rsidRPr="00DD2C62">
        <w:t> :</w:t>
      </w:r>
    </w:p>
    <w:p w14:paraId="43FC4186" w14:textId="77777777" w:rsidR="002749FA" w:rsidRPr="00DD2C62" w:rsidRDefault="002749FA" w:rsidP="002749FA">
      <w:pPr>
        <w:pStyle w:val="SingleTxtG"/>
        <w:ind w:firstLine="567"/>
      </w:pPr>
      <w:r w:rsidRPr="00DD2C62">
        <w:t>a)</w:t>
      </w:r>
      <w:r w:rsidRPr="00DD2C62">
        <w:tab/>
        <w:t>S’est</w:t>
      </w:r>
      <w:r w:rsidR="0049107A" w:rsidRPr="00DD2C62">
        <w:t xml:space="preserve"> </w:t>
      </w:r>
      <w:r w:rsidRPr="00DD2C62">
        <w:t>employé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trouver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manquaient</w:t>
      </w:r>
      <w:r w:rsidR="0049107A" w:rsidRPr="00DD2C62">
        <w:t xml:space="preserve"> </w:t>
      </w:r>
      <w:r w:rsidRPr="00DD2C62">
        <w:t>encore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suspens,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12</w:t>
      </w:r>
      <w:r w:rsidR="001A765C">
        <w:t> </w:t>
      </w:r>
      <w:r w:rsidRPr="00DD2C62">
        <w:t>unités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="001A765C">
        <w:t xml:space="preserve">quatre </w:t>
      </w:r>
      <w:r w:rsidRPr="00DD2C62">
        <w:t>centrales</w:t>
      </w:r>
      <w:r w:rsidR="0049107A" w:rsidRPr="00DD2C62">
        <w:t xml:space="preserve"> </w:t>
      </w:r>
      <w:r w:rsidRPr="00DD2C62">
        <w:t>nucléaires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Ukraine</w:t>
      </w:r>
      <w:r w:rsidR="00DD2C62" w:rsidRPr="00DD2C62">
        <w:t> ;</w:t>
      </w:r>
    </w:p>
    <w:p w14:paraId="3F6A9808" w14:textId="77777777" w:rsidR="002749FA" w:rsidRPr="00DD2C62" w:rsidRDefault="002749FA" w:rsidP="002749FA">
      <w:pPr>
        <w:pStyle w:val="SingleTxtG"/>
        <w:ind w:firstLine="567"/>
      </w:pPr>
      <w:r w:rsidRPr="00DD2C62">
        <w:t>b)</w:t>
      </w:r>
      <w:r w:rsidRPr="00DD2C62">
        <w:tab/>
        <w:t>A</w:t>
      </w:r>
      <w:r w:rsidR="0049107A" w:rsidRPr="00DD2C62">
        <w:t xml:space="preserve"> </w:t>
      </w:r>
      <w:r w:rsidRPr="00DD2C62">
        <w:t>entrepris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nouvelles</w:t>
      </w:r>
      <w:r w:rsidR="0049107A" w:rsidRPr="00DD2C62">
        <w:t xml:space="preserve"> </w:t>
      </w:r>
      <w:r w:rsidRPr="00DD2C62">
        <w:t>questions,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="001A765C">
        <w:t>2 </w:t>
      </w:r>
      <w:r w:rsidRPr="00DD2C62">
        <w:t>unités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1</w:t>
      </w:r>
      <w:r w:rsidR="001A765C">
        <w:t> 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Bulgarie,</w:t>
      </w:r>
      <w:r w:rsidR="0049107A" w:rsidRPr="00DD2C62">
        <w:t xml:space="preserve"> </w:t>
      </w:r>
      <w:r w:rsidRPr="00DD2C62">
        <w:t>32</w:t>
      </w:r>
      <w:r w:rsidR="001A765C">
        <w:t> </w:t>
      </w:r>
      <w:r w:rsidRPr="00DD2C62">
        <w:t>unités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8</w:t>
      </w:r>
      <w:r w:rsidR="001A765C">
        <w:t> </w:t>
      </w:r>
      <w:r w:rsidRPr="00DD2C62">
        <w:t>centrales</w:t>
      </w:r>
      <w:r w:rsidR="0049107A" w:rsidRPr="00DD2C62">
        <w:t xml:space="preserve"> </w:t>
      </w:r>
      <w:r w:rsidRPr="00DD2C62">
        <w:t>nucléaires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France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3</w:t>
      </w:r>
      <w:r w:rsidR="001A765C">
        <w:t> </w:t>
      </w:r>
      <w:r w:rsidRPr="00DD2C62">
        <w:t>unités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2</w:t>
      </w:r>
      <w:r w:rsidR="001A765C">
        <w:t> </w:t>
      </w:r>
      <w:r w:rsidRPr="00DD2C62">
        <w:t>centrales</w:t>
      </w:r>
      <w:r w:rsidR="0049107A" w:rsidRPr="00DD2C62">
        <w:t xml:space="preserve"> </w:t>
      </w:r>
      <w:r w:rsidRPr="00DD2C62">
        <w:t>nucléaires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Espagne.</w:t>
      </w:r>
    </w:p>
    <w:p w14:paraId="77574963" w14:textId="77777777" w:rsidR="002749FA" w:rsidRPr="00DD2C62" w:rsidRDefault="002749FA" w:rsidP="002749FA">
      <w:pPr>
        <w:pStyle w:val="SingleTxtG"/>
      </w:pPr>
      <w:r w:rsidRPr="00DD2C62">
        <w:t>80.</w:t>
      </w:r>
      <w:r w:rsidRPr="00DD2C62">
        <w:tab/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délibérations,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nécessaire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continue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recueillir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centrale</w:t>
      </w:r>
      <w:r w:rsidR="0049107A" w:rsidRPr="00DD2C62">
        <w:t xml:space="preserve"> </w:t>
      </w:r>
      <w:r w:rsidRPr="00DD2C62">
        <w:t>nucléaire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Santa</w:t>
      </w:r>
      <w:r w:rsidR="0049107A" w:rsidRPr="00DD2C62">
        <w:t xml:space="preserve"> </w:t>
      </w:r>
      <w:r w:rsidRPr="00DD2C62">
        <w:t>Maria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Garoña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Espagne</w:t>
      </w:r>
      <w:r w:rsidR="0049107A" w:rsidRPr="00DD2C62">
        <w:t xml:space="preserve"> </w:t>
      </w:r>
      <w:r w:rsidRPr="00DD2C62">
        <w:t>car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dernière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déclaré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hors</w:t>
      </w:r>
      <w:r w:rsidR="0049107A" w:rsidRPr="00DD2C62">
        <w:t xml:space="preserve"> </w:t>
      </w:r>
      <w:r w:rsidRPr="00DD2C62">
        <w:t>service</w:t>
      </w:r>
      <w:r w:rsidR="0049107A" w:rsidRPr="00DD2C62">
        <w:t xml:space="preserve"> </w:t>
      </w:r>
      <w:r w:rsidRPr="00DD2C62">
        <w:t>définitive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l’installation</w:t>
      </w:r>
      <w:r w:rsidR="0049107A" w:rsidRPr="00DD2C62">
        <w:t xml:space="preserve"> </w:t>
      </w:r>
      <w:r w:rsidRPr="00DD2C62">
        <w:t>(réf</w:t>
      </w:r>
      <w:r w:rsidR="001A765C">
        <w:t>érence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DD2C62" w:rsidRPr="00DD2C62">
        <w:t> :</w:t>
      </w:r>
      <w:r w:rsidR="0049107A" w:rsidRPr="00DD2C62">
        <w:t xml:space="preserve"> </w:t>
      </w:r>
      <w:r w:rsidRPr="00DD2C62">
        <w:t>EIA/IC/INFO/26).</w:t>
      </w:r>
    </w:p>
    <w:p w14:paraId="6AA75D0A" w14:textId="77777777" w:rsidR="002749FA" w:rsidRPr="00DD2C62" w:rsidRDefault="002749FA" w:rsidP="002749FA">
      <w:pPr>
        <w:pStyle w:val="SingleTxtG"/>
      </w:pPr>
      <w:r w:rsidRPr="00DD2C62">
        <w:t>81.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fourni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éléments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ad</w:t>
      </w:r>
      <w:r w:rsidR="0049107A" w:rsidRPr="00DD2C62">
        <w:t xml:space="preserve"> </w:t>
      </w:r>
      <w:r w:rsidRPr="00DD2C62">
        <w:t>hoc</w:t>
      </w:r>
      <w:r w:rsidR="0049107A" w:rsidRPr="00DD2C62">
        <w:t xml:space="preserve"> </w:t>
      </w:r>
      <w:r w:rsidRPr="00DD2C62">
        <w:t>chargé</w:t>
      </w:r>
      <w:r w:rsidR="0049107A" w:rsidRPr="00DD2C62">
        <w:t xml:space="preserve"> </w:t>
      </w:r>
      <w:r w:rsidRPr="00DD2C62">
        <w:t>d’élaborer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projets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lignes</w:t>
      </w:r>
      <w:r w:rsidR="0049107A" w:rsidRPr="00DD2C62">
        <w:t xml:space="preserve"> </w:t>
      </w:r>
      <w:r w:rsidRPr="00DD2C62">
        <w:t>directrices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l’applicabilité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prolongation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durée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vie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centrales</w:t>
      </w:r>
      <w:r w:rsidR="0049107A" w:rsidRPr="00DD2C62">
        <w:t xml:space="preserve"> </w:t>
      </w:r>
      <w:r w:rsidRPr="00DD2C62">
        <w:t>nucléaires,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notamment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description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tous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connexes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saisi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éclaircissements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l’interprétation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2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3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délibérations,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plusieurs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s’estimaient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souhaiteraient</w:t>
      </w:r>
      <w:r w:rsidR="0049107A" w:rsidRPr="00DD2C62">
        <w:t xml:space="preserve"> </w:t>
      </w:r>
      <w:r w:rsidRPr="00DD2C62">
        <w:t>participer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procédure</w:t>
      </w:r>
      <w:r w:rsidR="0049107A" w:rsidRPr="00DD2C62">
        <w:t xml:space="preserve"> </w:t>
      </w:r>
      <w:r w:rsidRPr="00DD2C62">
        <w:t>transfrontière</w:t>
      </w:r>
      <w:r w:rsidR="0049107A" w:rsidRPr="00DD2C62">
        <w:t xml:space="preserve"> </w:t>
      </w:r>
      <w:r w:rsidRPr="00DD2C62">
        <w:t>connexe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nombreuses</w:t>
      </w:r>
      <w:r w:rsidR="0049107A" w:rsidRPr="00DD2C62">
        <w:t xml:space="preserve"> </w:t>
      </w:r>
      <w:r w:rsidRPr="00DD2C62">
        <w:t>occasions,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souligné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avaient</w:t>
      </w:r>
      <w:r w:rsidR="0049107A" w:rsidRPr="00DD2C62">
        <w:t xml:space="preserve"> </w:t>
      </w:r>
      <w:r w:rsidRPr="00DD2C62">
        <w:t>besoin</w:t>
      </w:r>
      <w:r w:rsidR="0049107A" w:rsidRPr="00DD2C62">
        <w:t xml:space="preserve"> </w:t>
      </w:r>
      <w:r w:rsidRPr="00DD2C62">
        <w:t>d’urgence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telles</w:t>
      </w:r>
      <w:r w:rsidR="0049107A" w:rsidRPr="00DD2C62">
        <w:t xml:space="preserve"> </w:t>
      </w:r>
      <w:r w:rsidRPr="00DD2C62">
        <w:t>orientations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pouvoir</w:t>
      </w:r>
      <w:r w:rsidR="0049107A" w:rsidRPr="00DD2C62">
        <w:t xml:space="preserve"> </w:t>
      </w:r>
      <w:r w:rsidRPr="00DD2C62">
        <w:t>appliquer</w:t>
      </w:r>
      <w:r w:rsidR="0049107A" w:rsidRPr="00DD2C62">
        <w:t xml:space="preserve"> </w:t>
      </w:r>
      <w:r w:rsidRPr="00DD2C62">
        <w:t>correctement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leurs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cours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lui-même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besoin</w:t>
      </w:r>
      <w:r w:rsidR="0049107A" w:rsidRPr="00DD2C62">
        <w:t xml:space="preserve"> </w:t>
      </w:r>
      <w:r w:rsidRPr="00DD2C62">
        <w:t>d’urgence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orientations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procéder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l’élaboration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constatations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cas</w:t>
      </w:r>
      <w:r w:rsidR="0049107A" w:rsidRPr="00DD2C62">
        <w:t xml:space="preserve"> </w:t>
      </w:r>
      <w:r w:rsidRPr="00DD2C62">
        <w:t>actuels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futurs.</w:t>
      </w:r>
      <w:r w:rsidR="0049107A" w:rsidRPr="00DD2C62">
        <w:t xml:space="preserve"> </w:t>
      </w:r>
      <w:r w:rsidRPr="00DD2C62">
        <w:t>Nombre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cas</w:t>
      </w:r>
      <w:r w:rsidR="0049107A" w:rsidRPr="00DD2C62">
        <w:t xml:space="preserve"> </w:t>
      </w:r>
      <w:r w:rsidRPr="00DD2C62">
        <w:t>actuellement</w:t>
      </w:r>
      <w:r w:rsidR="0049107A" w:rsidRPr="00DD2C62">
        <w:t xml:space="preserve"> </w:t>
      </w:r>
      <w:r w:rsidRPr="00DD2C62">
        <w:t>traités</w:t>
      </w:r>
      <w:r w:rsidR="0049107A" w:rsidRPr="00DD2C62">
        <w:t xml:space="preserve"> </w:t>
      </w:r>
      <w:r w:rsidRPr="00DD2C62">
        <w:t>étaient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depuis</w:t>
      </w:r>
      <w:r w:rsidR="0049107A" w:rsidRPr="00DD2C62">
        <w:t xml:space="preserve"> </w:t>
      </w:r>
      <w:r w:rsidRPr="00DD2C62">
        <w:t>plusieurs</w:t>
      </w:r>
      <w:r w:rsidR="0049107A" w:rsidRPr="00DD2C62">
        <w:t xml:space="preserve"> </w:t>
      </w:r>
      <w:r w:rsidRPr="00DD2C62">
        <w:t>années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l’absence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lignes</w:t>
      </w:r>
      <w:r w:rsidR="0049107A" w:rsidRPr="00DD2C62">
        <w:t xml:space="preserve"> </w:t>
      </w:r>
      <w:r w:rsidRPr="00DD2C62">
        <w:t>directrices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plus</w:t>
      </w:r>
      <w:r w:rsidR="0049107A" w:rsidRPr="00DD2C62">
        <w:t xml:space="preserve"> </w:t>
      </w:r>
      <w:r w:rsidRPr="00DD2C62">
        <w:t>possible</w:t>
      </w:r>
      <w:r w:rsidR="0049107A" w:rsidRPr="00DD2C62">
        <w:t xml:space="preserve"> </w:t>
      </w:r>
      <w:r w:rsidRPr="00DD2C62">
        <w:t>d’en</w:t>
      </w:r>
      <w:r w:rsidR="0049107A" w:rsidRPr="00DD2C62">
        <w:t xml:space="preserve"> </w:t>
      </w:r>
      <w:r w:rsidRPr="00DD2C62">
        <w:t>différer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clôture.</w:t>
      </w:r>
    </w:p>
    <w:p w14:paraId="31A92F10" w14:textId="77777777" w:rsidR="002749FA" w:rsidRPr="00DD2C62" w:rsidRDefault="002749FA" w:rsidP="002749FA">
      <w:pPr>
        <w:pStyle w:val="H1G"/>
      </w:pPr>
      <w:r w:rsidRPr="00DD2C62">
        <w:tab/>
        <w:t>B.</w:t>
      </w:r>
      <w:r w:rsidRPr="00DD2C62">
        <w:tab/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</w:p>
    <w:p w14:paraId="427F37E7" w14:textId="77777777" w:rsidR="002749FA" w:rsidRPr="00DD2C62" w:rsidRDefault="002749FA" w:rsidP="002749FA">
      <w:pPr>
        <w:pStyle w:val="H23G"/>
      </w:pPr>
      <w:r w:rsidRPr="00DD2C62">
        <w:tab/>
        <w:t>1.</w:t>
      </w:r>
      <w:r w:rsidRPr="00DD2C62">
        <w:tab/>
        <w:t>Serbie</w:t>
      </w:r>
      <w:r w:rsidR="0049107A" w:rsidRPr="00DD2C62">
        <w:t xml:space="preserve"> </w:t>
      </w:r>
      <w:r w:rsidRPr="00DD2C62">
        <w:t>(SEA/IC/INFO/1)</w:t>
      </w:r>
    </w:p>
    <w:p w14:paraId="25907083" w14:textId="77777777" w:rsidR="002749FA" w:rsidRPr="005A5D45" w:rsidRDefault="002749FA" w:rsidP="002749FA">
      <w:pPr>
        <w:pStyle w:val="SingleTxtG"/>
        <w:rPr>
          <w:spacing w:val="-2"/>
        </w:rPr>
      </w:pPr>
      <w:r w:rsidRPr="005A5D45">
        <w:rPr>
          <w:spacing w:val="-2"/>
        </w:rPr>
        <w:t>82.</w:t>
      </w:r>
      <w:r w:rsidRPr="005A5D45">
        <w:rPr>
          <w:spacing w:val="-2"/>
        </w:rPr>
        <w:tab/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poursuivi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examen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respect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Serbie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dispositions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Protocole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concernant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Stratégie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développement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secteur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l’énergie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période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allant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jusqu’à</w:t>
      </w:r>
      <w:bookmarkStart w:id="31" w:name="_Hlk46162321"/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2025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avec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projections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jusqu’en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2030</w:t>
      </w:r>
      <w:bookmarkEnd w:id="31"/>
      <w:r w:rsidRPr="005A5D45">
        <w:rPr>
          <w:spacing w:val="-2"/>
        </w:rPr>
        <w:t>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programme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mise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œuvre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Stratégie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période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2017</w:t>
      </w:r>
      <w:r w:rsidR="00AB7317" w:rsidRPr="005A5D45">
        <w:rPr>
          <w:spacing w:val="-2"/>
        </w:rPr>
        <w:t>-</w:t>
      </w:r>
      <w:r w:rsidRPr="005A5D45">
        <w:rPr>
          <w:spacing w:val="-2"/>
        </w:rPr>
        <w:t>2023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deuxième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Plan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spatial.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D’après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informations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fournies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Serbie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Bosnie-Herzégovine,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Bulgarie,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Croatie,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Hongrie,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Macédoine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Nord,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Monténégro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Roumanie,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décidé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qui</w:t>
      </w:r>
      <w:r w:rsidR="001A765C" w:rsidRPr="005A5D45">
        <w:rPr>
          <w:spacing w:val="-2"/>
        </w:rPr>
        <w:t> </w:t>
      </w:r>
      <w:r w:rsidRPr="005A5D45">
        <w:rPr>
          <w:spacing w:val="-2"/>
        </w:rPr>
        <w:t>suit</w:t>
      </w:r>
      <w:r w:rsidR="00DD2C62" w:rsidRPr="005A5D45">
        <w:rPr>
          <w:spacing w:val="-2"/>
        </w:rPr>
        <w:t> :</w:t>
      </w:r>
    </w:p>
    <w:p w14:paraId="31391208" w14:textId="77777777" w:rsidR="002749FA" w:rsidRPr="005A5D45" w:rsidRDefault="002749FA" w:rsidP="002749FA">
      <w:pPr>
        <w:pStyle w:val="SingleTxtG"/>
        <w:ind w:firstLine="567"/>
        <w:rPr>
          <w:spacing w:val="-2"/>
        </w:rPr>
      </w:pPr>
      <w:r w:rsidRPr="005A5D45">
        <w:rPr>
          <w:spacing w:val="-2"/>
        </w:rPr>
        <w:t>a)</w:t>
      </w:r>
      <w:r w:rsidRPr="005A5D45">
        <w:rPr>
          <w:spacing w:val="-2"/>
        </w:rPr>
        <w:tab/>
        <w:t>Qu’il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n’était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plus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nécessaire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poursuivre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collecte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d’informations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concernant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deuxième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Plan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spatial.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égard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aux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calendriers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généraux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d’établissement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plans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spatiaux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compte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tenu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fait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que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Plan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était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entré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vigueur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1</w:t>
      </w:r>
      <w:r w:rsidRPr="005A5D45">
        <w:rPr>
          <w:spacing w:val="-2"/>
          <w:vertAlign w:val="superscript"/>
        </w:rPr>
        <w:t>er</w:t>
      </w:r>
      <w:r w:rsidR="001A765C" w:rsidRPr="005A5D45">
        <w:rPr>
          <w:spacing w:val="-2"/>
        </w:rPr>
        <w:t> </w:t>
      </w:r>
      <w:r w:rsidRPr="005A5D45">
        <w:rPr>
          <w:spacing w:val="-2"/>
        </w:rPr>
        <w:t>décembre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2010,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conclu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que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première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phase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préparatoire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formelle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Plan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avait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été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menée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à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bien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avant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l’entrée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vigueur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Protocole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Serbie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6</w:t>
      </w:r>
      <w:r w:rsidR="001A765C" w:rsidRPr="005A5D45">
        <w:rPr>
          <w:spacing w:val="-2"/>
        </w:rPr>
        <w:t> </w:t>
      </w:r>
      <w:r w:rsidRPr="005A5D45">
        <w:rPr>
          <w:spacing w:val="-2"/>
        </w:rPr>
        <w:t>octobre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2010.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sujet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l’article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24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(</w:t>
      </w:r>
      <w:r w:rsidR="00DD2C62" w:rsidRPr="005A5D45">
        <w:rPr>
          <w:spacing w:val="-2"/>
        </w:rPr>
        <w:t>par. </w:t>
      </w:r>
      <w:r w:rsidRPr="005A5D45">
        <w:rPr>
          <w:spacing w:val="-2"/>
        </w:rPr>
        <w:t>4)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Protocole,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conclu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que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Protocole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n’était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applicable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Plan</w:t>
      </w:r>
      <w:r w:rsidR="00DD2C62" w:rsidRPr="005A5D45">
        <w:rPr>
          <w:spacing w:val="-2"/>
        </w:rPr>
        <w:t> ;</w:t>
      </w:r>
    </w:p>
    <w:p w14:paraId="75757879" w14:textId="77777777" w:rsidR="002749FA" w:rsidRPr="00DD2C62" w:rsidRDefault="002749FA" w:rsidP="002749FA">
      <w:pPr>
        <w:pStyle w:val="SingleTxtG"/>
        <w:ind w:firstLine="567"/>
      </w:pPr>
      <w:r w:rsidRPr="00DD2C62">
        <w:t>b)</w:t>
      </w:r>
      <w:r w:rsidRPr="00DD2C62">
        <w:tab/>
        <w:t>D’entreprendre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initiative</w:t>
      </w:r>
      <w:r w:rsidR="0049107A" w:rsidRPr="00DD2C62">
        <w:t xml:space="preserve"> </w:t>
      </w:r>
      <w:r w:rsidRPr="00DD2C62">
        <w:t>conformément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6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texte</w:t>
      </w:r>
      <w:r w:rsidR="0049107A" w:rsidRPr="00DD2C62">
        <w:t xml:space="preserve"> </w:t>
      </w:r>
      <w:r w:rsidRPr="00DD2C62">
        <w:t>définissant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base</w:t>
      </w:r>
      <w:r w:rsidR="0049107A" w:rsidRPr="00DD2C62">
        <w:t xml:space="preserve"> </w:t>
      </w:r>
      <w:r w:rsidRPr="00DD2C62">
        <w:t>d’une</w:t>
      </w:r>
      <w:r w:rsidR="0049107A" w:rsidRPr="00DD2C62">
        <w:t xml:space="preserve"> </w:t>
      </w:r>
      <w:r w:rsidRPr="00DD2C62">
        <w:t>forte</w:t>
      </w:r>
      <w:r w:rsidR="0049107A" w:rsidRPr="00DD2C62">
        <w:t xml:space="preserve"> </w:t>
      </w:r>
      <w:r w:rsidRPr="00DD2C62">
        <w:t>suspicion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non</w:t>
      </w:r>
      <w:r w:rsidR="00B4168E">
        <w:noBreakHyphen/>
      </w:r>
      <w:r w:rsidRPr="00DD2C62">
        <w:t>respect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obligations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DD2C62" w:rsidRPr="00DD2C62">
        <w:t> :</w:t>
      </w:r>
    </w:p>
    <w:p w14:paraId="369BA34F" w14:textId="77777777" w:rsidR="002749FA" w:rsidRPr="00DD2C62" w:rsidRDefault="002749FA" w:rsidP="002749FA">
      <w:pPr>
        <w:pStyle w:val="SingleTxtG"/>
        <w:ind w:left="1701"/>
      </w:pPr>
      <w:r w:rsidRPr="00DD2C62">
        <w:lastRenderedPageBreak/>
        <w:t>i)</w:t>
      </w:r>
      <w:r w:rsidRPr="00DD2C62">
        <w:tab/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10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1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2)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vu</w:t>
      </w:r>
      <w:r w:rsidR="0049107A" w:rsidRPr="00DD2C62">
        <w:t xml:space="preserve"> </w:t>
      </w:r>
      <w:r w:rsidRPr="00DD2C62">
        <w:t>l’absence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preuves</w:t>
      </w:r>
      <w:r w:rsidR="0049107A" w:rsidRPr="00DD2C62">
        <w:t xml:space="preserve"> </w:t>
      </w:r>
      <w:r w:rsidRPr="00DD2C62">
        <w:t>notifiées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Croatie,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Roumanie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Stratégie</w:t>
      </w:r>
      <w:r w:rsidR="0049107A" w:rsidRPr="00DD2C62">
        <w:t xml:space="preserve"> </w:t>
      </w:r>
      <w:r w:rsidRPr="00DD2C62">
        <w:t>énergétique</w:t>
      </w:r>
      <w:r w:rsidR="00DD2C62" w:rsidRPr="00DD2C62">
        <w:t> ;</w:t>
      </w:r>
    </w:p>
    <w:p w14:paraId="0BD4D02A" w14:textId="77777777" w:rsidR="002749FA" w:rsidRPr="00DD2C62" w:rsidRDefault="002749FA" w:rsidP="002749FA">
      <w:pPr>
        <w:pStyle w:val="SingleTxtG"/>
        <w:ind w:left="1701"/>
      </w:pPr>
      <w:r w:rsidRPr="00DD2C62">
        <w:t>ii)</w:t>
      </w:r>
      <w:r w:rsidRPr="00DD2C62">
        <w:tab/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10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mesure</w:t>
      </w:r>
      <w:r w:rsidR="0049107A" w:rsidRPr="00DD2C62">
        <w:t xml:space="preserve"> </w:t>
      </w:r>
      <w:r w:rsidRPr="00DD2C62">
        <w:t>où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Serbie,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d’adopter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Programme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œuvre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Stratégie,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répondu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s’entendre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langue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adopter,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compromis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participation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Programme</w:t>
      </w:r>
      <w:r w:rsidR="0049107A" w:rsidRPr="00DD2C62">
        <w:t xml:space="preserve"> </w:t>
      </w:r>
      <w:r w:rsidRPr="00DD2C62">
        <w:t>prévues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10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3)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DD2C62" w:rsidRPr="00DD2C62">
        <w:t> ;</w:t>
      </w:r>
    </w:p>
    <w:p w14:paraId="7E429327" w14:textId="77777777" w:rsidR="002749FA" w:rsidRPr="00DD2C62" w:rsidRDefault="002749FA" w:rsidP="002749FA">
      <w:pPr>
        <w:pStyle w:val="SingleTxtG"/>
        <w:ind w:left="1701"/>
      </w:pPr>
      <w:r w:rsidRPr="00DD2C62">
        <w:t>iii)</w:t>
      </w:r>
      <w:r w:rsidRPr="00DD2C62">
        <w:tab/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11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mesure</w:t>
      </w:r>
      <w:r w:rsidR="0049107A" w:rsidRPr="00DD2C62">
        <w:t xml:space="preserve"> </w:t>
      </w:r>
      <w:r w:rsidRPr="00DD2C62">
        <w:t>où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potentiellement</w:t>
      </w:r>
      <w:r w:rsidR="0049107A" w:rsidRPr="00DD2C62">
        <w:t xml:space="preserve"> </w:t>
      </w:r>
      <w:r w:rsidRPr="00DD2C62">
        <w:t>touchées,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Hongrie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Monténégro,</w:t>
      </w:r>
      <w:r w:rsidR="0049107A" w:rsidRPr="00DD2C62">
        <w:t xml:space="preserve"> </w:t>
      </w:r>
      <w:r w:rsidRPr="00DD2C62">
        <w:t>n’avaient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informées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Programme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octobre</w:t>
      </w:r>
      <w:r w:rsidR="0049107A" w:rsidRPr="00DD2C62">
        <w:t xml:space="preserve"> </w:t>
      </w:r>
      <w:r w:rsidRPr="00DD2C62">
        <w:t>2017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86</w:t>
      </w:r>
      <w:r w:rsidR="0049107A" w:rsidRPr="00DD2C62">
        <w:t xml:space="preserve"> </w:t>
      </w:r>
      <w:r w:rsidRPr="00DD2C62">
        <w:t>ci-dessous).</w:t>
      </w:r>
    </w:p>
    <w:p w14:paraId="5B142C56" w14:textId="77777777" w:rsidR="002749FA" w:rsidRPr="00DD2C62" w:rsidRDefault="002749FA" w:rsidP="002749FA">
      <w:pPr>
        <w:pStyle w:val="H23G"/>
      </w:pPr>
      <w:r w:rsidRPr="00DD2C62">
        <w:tab/>
        <w:t>2.</w:t>
      </w:r>
      <w:r w:rsidRPr="00DD2C62">
        <w:tab/>
        <w:t>Ukraine</w:t>
      </w:r>
      <w:r w:rsidR="0049107A" w:rsidRPr="00DD2C62">
        <w:t xml:space="preserve"> </w:t>
      </w:r>
      <w:r w:rsidRPr="00DD2C62">
        <w:t>(SEA/IC/INFO/3)</w:t>
      </w:r>
    </w:p>
    <w:p w14:paraId="2FF5D21C" w14:textId="77777777" w:rsidR="002749FA" w:rsidRPr="00DD2C62" w:rsidRDefault="002749FA" w:rsidP="002749FA">
      <w:pPr>
        <w:pStyle w:val="SingleTxtG"/>
      </w:pPr>
      <w:bookmarkStart w:id="32" w:name="_Hlk46239743"/>
      <w:r w:rsidRPr="00DD2C62">
        <w:t>83.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qu’il</w:t>
      </w:r>
      <w:r w:rsidR="0049107A" w:rsidRPr="00DD2C62">
        <w:t xml:space="preserve"> </w:t>
      </w:r>
      <w:r w:rsidRPr="00DD2C62">
        <w:t>n’avait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Programme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développement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l’hydroélectricité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allant</w:t>
      </w:r>
      <w:r w:rsidR="0049107A" w:rsidRPr="00DD2C62">
        <w:t xml:space="preserve"> </w:t>
      </w:r>
      <w:r w:rsidRPr="00DD2C62">
        <w:t>jusqu’en</w:t>
      </w:r>
      <w:r w:rsidR="0049107A" w:rsidRPr="00DD2C62">
        <w:t xml:space="preserve"> </w:t>
      </w:r>
      <w:r w:rsidRPr="00DD2C62">
        <w:t>2026.</w:t>
      </w:r>
      <w:r w:rsidR="0049107A" w:rsidRPr="00DD2C62">
        <w:t xml:space="preserve"> </w:t>
      </w:r>
      <w:r w:rsidRPr="00DD2C62">
        <w:t>D’après</w:t>
      </w:r>
      <w:r w:rsidR="0049107A" w:rsidRPr="00DD2C62">
        <w:t xml:space="preserve"> </w:t>
      </w:r>
      <w:r w:rsidRPr="00DD2C62">
        <w:t>l’Ukraine,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pays</w:t>
      </w:r>
      <w:r w:rsidR="0049107A" w:rsidRPr="00DD2C62">
        <w:t xml:space="preserve"> </w:t>
      </w:r>
      <w:r w:rsidRPr="00DD2C62">
        <w:t>avait</w:t>
      </w:r>
      <w:r w:rsidR="0049107A" w:rsidRPr="00DD2C62">
        <w:t xml:space="preserve"> </w:t>
      </w:r>
      <w:r w:rsidRPr="00DD2C62">
        <w:t>lancé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développement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Programme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l’entrée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vigueur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1</w:t>
      </w:r>
      <w:r w:rsidRPr="00DD2C62">
        <w:rPr>
          <w:vertAlign w:val="superscript"/>
        </w:rPr>
        <w:t>er</w:t>
      </w:r>
      <w:r w:rsidR="001A765C">
        <w:t> </w:t>
      </w:r>
      <w:r w:rsidRPr="00DD2C62">
        <w:t>mars</w:t>
      </w:r>
      <w:r w:rsidR="0049107A" w:rsidRPr="00DD2C62">
        <w:t xml:space="preserve"> </w:t>
      </w:r>
      <w:r w:rsidRPr="00DD2C62">
        <w:t>2016,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l’adoption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Gouvernement</w:t>
      </w:r>
      <w:r w:rsidR="0049107A" w:rsidRPr="00DD2C62">
        <w:t xml:space="preserve"> </w:t>
      </w:r>
      <w:r w:rsidRPr="00DD2C62">
        <w:t>ukrainien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2013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Stratégie</w:t>
      </w:r>
      <w:r w:rsidR="0049107A" w:rsidRPr="00DD2C62">
        <w:t xml:space="preserve"> </w:t>
      </w:r>
      <w:r w:rsidRPr="00DD2C62">
        <w:t>énergétique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allant</w:t>
      </w:r>
      <w:r w:rsidR="0049107A" w:rsidRPr="00DD2C62">
        <w:t xml:space="preserve"> </w:t>
      </w:r>
      <w:r w:rsidRPr="00DD2C62">
        <w:t>jusqu’à</w:t>
      </w:r>
      <w:r w:rsidR="0049107A" w:rsidRPr="00DD2C62">
        <w:t xml:space="preserve"> </w:t>
      </w:r>
      <w:r w:rsidRPr="00DD2C62">
        <w:t>2030.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renvoyé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comptes</w:t>
      </w:r>
      <w:r w:rsidR="0049107A" w:rsidRPr="00DD2C62">
        <w:t xml:space="preserve"> </w:t>
      </w:r>
      <w:r w:rsidRPr="00DD2C62">
        <w:t>rendus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unités</w:t>
      </w:r>
      <w:r w:rsidR="0049107A" w:rsidRPr="00DD2C62">
        <w:t xml:space="preserve"> </w:t>
      </w:r>
      <w:r w:rsidRPr="00DD2C62">
        <w:t>compétentes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Ministère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l’énergie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charbon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bookmarkStart w:id="33" w:name="_Hlk46239760"/>
      <w:bookmarkEnd w:id="32"/>
      <w:r w:rsidRPr="00DD2C62">
        <w:t>l’Ukraine</w:t>
      </w:r>
      <w:r w:rsidR="0049107A" w:rsidRPr="00DD2C62">
        <w:t xml:space="preserve"> </w:t>
      </w:r>
      <w:r w:rsidRPr="00DD2C62">
        <w:t>tenue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1A765C">
        <w:t>28</w:t>
      </w:r>
      <w:r w:rsidR="001A765C">
        <w:t> </w:t>
      </w:r>
      <w:r w:rsidRPr="001A765C">
        <w:t>décembre</w:t>
      </w:r>
      <w:r w:rsidR="0049107A" w:rsidRPr="00DD2C62">
        <w:t xml:space="preserve"> </w:t>
      </w:r>
      <w:r w:rsidRPr="00DD2C62">
        <w:t>2015,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constituait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première</w:t>
      </w:r>
      <w:r w:rsidR="0049107A" w:rsidRPr="00DD2C62">
        <w:t xml:space="preserve"> </w:t>
      </w:r>
      <w:r w:rsidRPr="00DD2C62">
        <w:t>phrase</w:t>
      </w:r>
      <w:r w:rsidR="0049107A" w:rsidRPr="00DD2C62">
        <w:t xml:space="preserve"> </w:t>
      </w:r>
      <w:r w:rsidRPr="00DD2C62">
        <w:t>préparatoire</w:t>
      </w:r>
      <w:r w:rsidR="0049107A" w:rsidRPr="00DD2C62">
        <w:t xml:space="preserve"> </w:t>
      </w:r>
      <w:r w:rsidRPr="00DD2C62">
        <w:t>formelle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Programme.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ces</w:t>
      </w:r>
      <w:r w:rsidR="0049107A" w:rsidRPr="00DD2C62">
        <w:t xml:space="preserve"> </w:t>
      </w:r>
      <w:r w:rsidRPr="00DD2C62">
        <w:t>éclaircissements,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tenu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délais</w:t>
      </w:r>
      <w:r w:rsidR="0049107A" w:rsidRPr="00DD2C62">
        <w:t xml:space="preserve"> </w:t>
      </w:r>
      <w:r w:rsidRPr="00DD2C62">
        <w:t>habituellement</w:t>
      </w:r>
      <w:r w:rsidR="0049107A" w:rsidRPr="00DD2C62">
        <w:t xml:space="preserve"> </w:t>
      </w:r>
      <w:r w:rsidRPr="00DD2C62">
        <w:t>nécessaires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établir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plans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programmes</w:t>
      </w:r>
      <w:r w:rsidR="0049107A" w:rsidRPr="00DD2C62">
        <w:t xml:space="preserve"> </w:t>
      </w:r>
      <w:r w:rsidRPr="00DD2C62">
        <w:t>nationaux,</w:t>
      </w:r>
      <w:r w:rsidR="0049107A" w:rsidRPr="00DD2C62">
        <w:t xml:space="preserve"> </w:t>
      </w:r>
      <w:r w:rsidRPr="00DD2C62">
        <w:t>y</w:t>
      </w:r>
      <w:r w:rsidR="0049107A" w:rsidRPr="00DD2C62">
        <w:t xml:space="preserve"> </w:t>
      </w:r>
      <w:r w:rsidRPr="00DD2C62">
        <w:t>compris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délais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consultations,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se</w:t>
      </w:r>
      <w:r w:rsidR="0049107A" w:rsidRPr="00DD2C62">
        <w:t xml:space="preserve"> </w:t>
      </w:r>
      <w:r w:rsidRPr="00DD2C62">
        <w:t>référant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24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4)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conclu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n’était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applicable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Programme.</w:t>
      </w:r>
      <w:bookmarkEnd w:id="33"/>
    </w:p>
    <w:p w14:paraId="048A411C" w14:textId="77777777" w:rsidR="002749FA" w:rsidRPr="00DD2C62" w:rsidRDefault="002749FA" w:rsidP="002749FA">
      <w:pPr>
        <w:pStyle w:val="H23G"/>
      </w:pPr>
      <w:r w:rsidRPr="00DD2C62">
        <w:tab/>
        <w:t>3.</w:t>
      </w:r>
      <w:r w:rsidRPr="00DD2C62">
        <w:tab/>
        <w:t>Pologne</w:t>
      </w:r>
      <w:r w:rsidR="0049107A" w:rsidRPr="00DD2C62">
        <w:t xml:space="preserve"> </w:t>
      </w:r>
      <w:r w:rsidRPr="00DD2C62">
        <w:t>(SEA/IC/INFO/4)</w:t>
      </w:r>
    </w:p>
    <w:p w14:paraId="46F086D8" w14:textId="77777777" w:rsidR="002749FA" w:rsidRPr="00DD2C62" w:rsidRDefault="002749FA" w:rsidP="002749FA">
      <w:pPr>
        <w:pStyle w:val="SingleTxtG"/>
      </w:pPr>
      <w:r w:rsidRPr="00DD2C62">
        <w:t>84.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poursuivre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activités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prochaine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communiquées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11</w:t>
      </w:r>
      <w:r w:rsidR="001A765C">
        <w:t> </w:t>
      </w:r>
      <w:r w:rsidRPr="00DD2C62">
        <w:t>février</w:t>
      </w:r>
      <w:r w:rsidR="0049107A" w:rsidRPr="00DD2C62">
        <w:t xml:space="preserve"> </w:t>
      </w:r>
      <w:r w:rsidRPr="00DD2C62">
        <w:t>2020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parlementaire</w:t>
      </w:r>
      <w:r w:rsidR="0049107A" w:rsidRPr="00DD2C62">
        <w:t xml:space="preserve"> </w:t>
      </w:r>
      <w:r w:rsidRPr="00DD2C62">
        <w:t>allemand</w:t>
      </w:r>
      <w:r w:rsidR="0049107A" w:rsidRPr="00DD2C62">
        <w:t xml:space="preserve"> </w:t>
      </w:r>
      <w:r w:rsidRPr="00DD2C62">
        <w:t>se</w:t>
      </w:r>
      <w:r w:rsidR="0049107A" w:rsidRPr="00DD2C62">
        <w:t xml:space="preserve"> </w:t>
      </w:r>
      <w:r w:rsidRPr="00DD2C62">
        <w:t>déclarant</w:t>
      </w:r>
      <w:r w:rsidR="0049107A" w:rsidRPr="00DD2C62">
        <w:t xml:space="preserve"> </w:t>
      </w:r>
      <w:r w:rsidRPr="00DD2C62">
        <w:t>préoccupé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non-application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Pologne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10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(sur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consultations</w:t>
      </w:r>
      <w:r w:rsidR="0049107A" w:rsidRPr="00DD2C62">
        <w:t xml:space="preserve"> </w:t>
      </w:r>
      <w:r w:rsidRPr="00DD2C62">
        <w:t>transfrontières)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politique</w:t>
      </w:r>
      <w:r w:rsidR="0049107A" w:rsidRPr="00DD2C62">
        <w:t xml:space="preserve"> </w:t>
      </w:r>
      <w:r w:rsidRPr="00DD2C62">
        <w:t>énergétique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Pologne</w:t>
      </w:r>
      <w:r w:rsidR="0049107A" w:rsidRPr="00DD2C62">
        <w:t xml:space="preserve"> </w:t>
      </w:r>
      <w:r w:rsidRPr="00DD2C62">
        <w:t>jusqu’en</w:t>
      </w:r>
      <w:r w:rsidR="0049107A" w:rsidRPr="00DD2C62">
        <w:t xml:space="preserve"> </w:t>
      </w:r>
      <w:r w:rsidRPr="00DD2C62">
        <w:t>2040.</w:t>
      </w:r>
    </w:p>
    <w:p w14:paraId="1471E4BD" w14:textId="77777777" w:rsidR="002749FA" w:rsidRPr="00DD2C62" w:rsidRDefault="002749FA" w:rsidP="002749FA">
      <w:pPr>
        <w:pStyle w:val="HChG"/>
      </w:pPr>
      <w:r w:rsidRPr="00DD2C62">
        <w:tab/>
        <w:t>VI.</w:t>
      </w:r>
      <w:r w:rsidRPr="00DD2C62">
        <w:tab/>
        <w:t>Initiatives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</w:p>
    <w:p w14:paraId="7060D916" w14:textId="77777777" w:rsidR="002749FA" w:rsidRPr="00DD2C62" w:rsidRDefault="002749FA" w:rsidP="002749FA">
      <w:pPr>
        <w:pStyle w:val="SingleTxtG"/>
      </w:pPr>
      <w:r w:rsidRPr="00DD2C62">
        <w:t>85.</w:t>
      </w:r>
      <w:r w:rsidRPr="00DD2C62">
        <w:tab/>
        <w:t>Conformément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l’article</w:t>
      </w:r>
      <w:r w:rsidR="0049107A" w:rsidRPr="00DD2C62">
        <w:t xml:space="preserve"> </w:t>
      </w:r>
      <w:r w:rsidRPr="00DD2C62">
        <w:t>15</w:t>
      </w:r>
      <w:r w:rsidR="0049107A" w:rsidRPr="00DD2C62">
        <w:t xml:space="preserve"> </w:t>
      </w:r>
      <w:r w:rsidRPr="00DD2C62">
        <w:t>(</w:t>
      </w:r>
      <w:r w:rsidR="00DD2C62">
        <w:t>par. </w:t>
      </w:r>
      <w:r w:rsidRPr="00DD2C62">
        <w:t>2)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décidé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lancer</w:t>
      </w:r>
      <w:r w:rsidR="0049107A" w:rsidRPr="00DD2C62">
        <w:t xml:space="preserve"> </w:t>
      </w:r>
      <w:r w:rsidRPr="00DD2C62">
        <w:t>deux</w:t>
      </w:r>
      <w:r w:rsidR="0049107A" w:rsidRPr="00DD2C62">
        <w:t xml:space="preserve"> </w:t>
      </w:r>
      <w:r w:rsidRPr="00DD2C62">
        <w:t>initiatives</w:t>
      </w:r>
      <w:r w:rsidR="00DD2C62" w:rsidRPr="00DD2C62">
        <w:t> :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sujet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</w:p>
    <w:p w14:paraId="4E750432" w14:textId="77777777" w:rsidR="002749FA" w:rsidRPr="00DD2C62" w:rsidRDefault="002749FA" w:rsidP="002749FA">
      <w:pPr>
        <w:pStyle w:val="H1G"/>
      </w:pPr>
      <w:r w:rsidRPr="00DD2C62">
        <w:tab/>
      </w:r>
      <w:r w:rsidRPr="00DD2C62">
        <w:tab/>
        <w:t>Serbie</w:t>
      </w:r>
      <w:r w:rsidR="0049107A" w:rsidRPr="00DD2C62">
        <w:t xml:space="preserve"> </w:t>
      </w:r>
      <w:r w:rsidRPr="00DD2C62">
        <w:t>(SEA/IC/CI/1)</w:t>
      </w:r>
    </w:p>
    <w:p w14:paraId="7A2EDEE2" w14:textId="77777777" w:rsidR="002749FA" w:rsidRPr="00DD2C62" w:rsidRDefault="002749FA" w:rsidP="002749FA">
      <w:pPr>
        <w:pStyle w:val="SingleTxtG"/>
      </w:pPr>
      <w:r w:rsidRPr="00DD2C62">
        <w:t>86.</w:t>
      </w:r>
      <w:r w:rsidRPr="00DD2C62">
        <w:tab/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l’initiative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Stratégie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développement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secteur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l’énergie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allant</w:t>
      </w:r>
      <w:r w:rsidR="0049107A" w:rsidRPr="00DD2C62">
        <w:t xml:space="preserve"> </w:t>
      </w:r>
      <w:r w:rsidRPr="00DD2C62">
        <w:t>jusqu’à</w:t>
      </w:r>
      <w:r w:rsidR="0049107A" w:rsidRPr="00DD2C62">
        <w:t xml:space="preserve"> </w:t>
      </w:r>
      <w:r w:rsidRPr="00DD2C62">
        <w:t>2025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projections</w:t>
      </w:r>
      <w:r w:rsidR="0049107A" w:rsidRPr="00DD2C62">
        <w:t xml:space="preserve"> </w:t>
      </w:r>
      <w:r w:rsidRPr="00DD2C62">
        <w:t>jusqu’en</w:t>
      </w:r>
      <w:r w:rsidR="0049107A" w:rsidRPr="00DD2C62">
        <w:t xml:space="preserve"> </w:t>
      </w:r>
      <w:r w:rsidRPr="00DD2C62">
        <w:t>2030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programme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mise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œuvre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Stratégie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2017</w:t>
      </w:r>
      <w:r w:rsidR="00AB7317">
        <w:t>-</w:t>
      </w:r>
      <w:r w:rsidRPr="00DD2C62">
        <w:t>2023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82</w:t>
      </w:r>
      <w:r w:rsidR="001A765C">
        <w:t> </w:t>
      </w:r>
      <w:r w:rsidRPr="00DD2C62">
        <w:t>b)</w:t>
      </w:r>
      <w:r w:rsidR="0049107A" w:rsidRPr="00DD2C62">
        <w:t xml:space="preserve"> </w:t>
      </w:r>
      <w:r w:rsidRPr="00DD2C62">
        <w:t>ci-dessus),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9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texte</w:t>
      </w:r>
      <w:r w:rsidR="0049107A" w:rsidRPr="00DD2C62">
        <w:t xml:space="preserve"> </w:t>
      </w:r>
      <w:r w:rsidRPr="00DD2C62">
        <w:t>définissant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invitée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quarante-huitième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participer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discussion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présenter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avis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l’examen.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Serbie,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n’a</w:t>
      </w:r>
      <w:r w:rsidR="0049107A" w:rsidRPr="00DD2C62">
        <w:t xml:space="preserve"> </w:t>
      </w:r>
      <w:r w:rsidRPr="00DD2C62">
        <w:t>pas</w:t>
      </w:r>
      <w:r w:rsidR="0049107A" w:rsidRPr="00DD2C62">
        <w:t xml:space="preserve"> </w:t>
      </w:r>
      <w:r w:rsidRPr="00DD2C62">
        <w:t>pu</w:t>
      </w:r>
      <w:r w:rsidR="0049107A" w:rsidRPr="00DD2C62">
        <w:t xml:space="preserve"> </w:t>
      </w:r>
      <w:r w:rsidRPr="00DD2C62">
        <w:t>participer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exceptionnellement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reporter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auditions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d’organiser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fin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spéciale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ligne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10</w:t>
      </w:r>
      <w:r w:rsidR="001A765C">
        <w:t> </w:t>
      </w:r>
      <w:r w:rsidRPr="00DD2C62">
        <w:t>novembre</w:t>
      </w:r>
      <w:r w:rsidR="0049107A" w:rsidRPr="00DD2C62">
        <w:t xml:space="preserve"> </w:t>
      </w:r>
      <w:r w:rsidRPr="00DD2C62">
        <w:t>2020.</w:t>
      </w:r>
      <w:r w:rsidR="0049107A" w:rsidRPr="00DD2C62">
        <w:t xml:space="preserve"> </w:t>
      </w:r>
      <w:r w:rsidRPr="00DD2C62">
        <w:t>À</w:t>
      </w:r>
      <w:r w:rsidR="00B4168E">
        <w:t> </w:t>
      </w:r>
      <w:r w:rsidRPr="00DD2C62">
        <w:t>l’issue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discussions,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d’établir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conclusions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recommandations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quarante-neuvième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février</w:t>
      </w:r>
      <w:r w:rsidR="0049107A" w:rsidRPr="00DD2C62">
        <w:t xml:space="preserve"> </w:t>
      </w:r>
      <w:r w:rsidRPr="00DD2C62">
        <w:t>2021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finaliser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cinquantième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mai</w:t>
      </w:r>
      <w:r w:rsidR="0049107A" w:rsidRPr="00DD2C62">
        <w:t xml:space="preserve"> </w:t>
      </w:r>
      <w:r w:rsidRPr="00DD2C62">
        <w:t>2021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lumière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observations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représentations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aurait</w:t>
      </w:r>
      <w:r w:rsidR="0049107A" w:rsidRPr="00DD2C62">
        <w:t xml:space="preserve"> </w:t>
      </w:r>
      <w:r w:rsidRPr="00DD2C62">
        <w:t>transmises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Serbie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session.</w:t>
      </w:r>
    </w:p>
    <w:p w14:paraId="73297371" w14:textId="77777777" w:rsidR="002749FA" w:rsidRPr="00DD2C62" w:rsidRDefault="002749FA" w:rsidP="002749FA">
      <w:pPr>
        <w:pStyle w:val="H1G"/>
      </w:pPr>
      <w:r w:rsidRPr="00DD2C62">
        <w:lastRenderedPageBreak/>
        <w:tab/>
      </w:r>
      <w:r w:rsidRPr="00DD2C62">
        <w:tab/>
        <w:t>Ukraine</w:t>
      </w:r>
      <w:r w:rsidR="0049107A" w:rsidRPr="00DD2C62">
        <w:t xml:space="preserve"> </w:t>
      </w:r>
      <w:r w:rsidRPr="00DD2C62">
        <w:t>(EIA/IC/CI/7)</w:t>
      </w:r>
    </w:p>
    <w:p w14:paraId="183EB342" w14:textId="77777777" w:rsidR="002749FA" w:rsidRPr="00DD2C62" w:rsidRDefault="002749FA" w:rsidP="002749FA">
      <w:pPr>
        <w:pStyle w:val="SingleTxtG"/>
      </w:pPr>
      <w:r w:rsidRPr="00DD2C62">
        <w:t>87.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lancé</w:t>
      </w:r>
      <w:r w:rsidR="0049107A" w:rsidRPr="00DD2C62">
        <w:t xml:space="preserve"> </w:t>
      </w:r>
      <w:r w:rsidRPr="00DD2C62">
        <w:t>son</w:t>
      </w:r>
      <w:r w:rsidR="0049107A" w:rsidRPr="00DD2C62">
        <w:t xml:space="preserve"> </w:t>
      </w:r>
      <w:r w:rsidRPr="00DD2C62">
        <w:t>initiative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concernant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construction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vaste</w:t>
      </w:r>
      <w:r w:rsidR="0049107A" w:rsidRPr="00DD2C62">
        <w:t xml:space="preserve"> </w:t>
      </w:r>
      <w:r w:rsidRPr="00DD2C62">
        <w:t>complexe</w:t>
      </w:r>
      <w:r w:rsidR="0049107A" w:rsidRPr="00DD2C62">
        <w:t xml:space="preserve"> </w:t>
      </w:r>
      <w:r w:rsidRPr="00DD2C62">
        <w:t>touristique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montagnes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Svydovets,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septembre</w:t>
      </w:r>
      <w:r w:rsidR="0049107A" w:rsidRPr="00DD2C62">
        <w:t xml:space="preserve"> </w:t>
      </w:r>
      <w:r w:rsidRPr="00DD2C62">
        <w:t>2020</w:t>
      </w:r>
      <w:r w:rsidR="0049107A" w:rsidRPr="00DD2C62">
        <w:t xml:space="preserve"> </w:t>
      </w:r>
      <w:r w:rsidRPr="00DD2C62">
        <w:t>(voir</w:t>
      </w:r>
      <w:r w:rsidR="0049107A" w:rsidRPr="00DD2C62">
        <w:t xml:space="preserve"> </w:t>
      </w:r>
      <w:r w:rsidR="00DD2C62">
        <w:t>par. </w:t>
      </w:r>
      <w:r w:rsidRPr="00DD2C62">
        <w:t>74</w:t>
      </w:r>
      <w:r w:rsidR="0049107A" w:rsidRPr="00DD2C62">
        <w:t xml:space="preserve"> </w:t>
      </w:r>
      <w:r w:rsidRPr="00DD2C62">
        <w:t>ci-dessus).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qu’à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quarante</w:t>
      </w:r>
      <w:r w:rsidR="00B4168E">
        <w:noBreakHyphen/>
      </w:r>
      <w:r w:rsidRPr="00DD2C62">
        <w:t>neuvième</w:t>
      </w:r>
      <w:r w:rsidR="0049107A" w:rsidRPr="00DD2C62">
        <w:t xml:space="preserve"> </w:t>
      </w:r>
      <w:r w:rsidRPr="00DD2C62">
        <w:t>session,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examinerait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question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programmation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discussions</w:t>
      </w:r>
      <w:r w:rsidR="0049107A" w:rsidRPr="00DD2C62">
        <w:t xml:space="preserve"> </w:t>
      </w:r>
      <w:r w:rsidRPr="00DD2C62">
        <w:t>prévues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concernées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paragraphe</w:t>
      </w:r>
      <w:r w:rsidR="0049107A" w:rsidRPr="00DD2C62">
        <w:t xml:space="preserve"> </w:t>
      </w:r>
      <w:r w:rsidRPr="00DD2C62">
        <w:t>9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texte</w:t>
      </w:r>
      <w:r w:rsidR="0049107A" w:rsidRPr="00DD2C62">
        <w:t xml:space="preserve"> </w:t>
      </w:r>
      <w:r w:rsidRPr="00DD2C62">
        <w:t>définissant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demandé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l’Ukraine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fournir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renseignements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jour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l’état</w:t>
      </w:r>
      <w:r w:rsidR="0049107A" w:rsidRPr="00DD2C62">
        <w:t xml:space="preserve"> </w:t>
      </w:r>
      <w:r w:rsidRPr="00DD2C62">
        <w:t>d’avancement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l’activité</w:t>
      </w:r>
      <w:r w:rsidR="0049107A" w:rsidRPr="00DD2C62">
        <w:t xml:space="preserve"> </w:t>
      </w:r>
      <w:r w:rsidRPr="00DD2C62">
        <w:t>avant</w:t>
      </w:r>
      <w:r w:rsidR="0049107A" w:rsidRPr="00DD2C62">
        <w:t xml:space="preserve"> </w:t>
      </w:r>
      <w:r w:rsidRPr="00DD2C62">
        <w:t>cette</w:t>
      </w:r>
      <w:r w:rsidR="0049107A" w:rsidRPr="00DD2C62">
        <w:t xml:space="preserve"> </w:t>
      </w:r>
      <w:r w:rsidRPr="00DD2C62">
        <w:t>session.</w:t>
      </w:r>
    </w:p>
    <w:p w14:paraId="386FB289" w14:textId="77777777" w:rsidR="002749FA" w:rsidRPr="00DD2C62" w:rsidRDefault="002749FA" w:rsidP="002749FA">
      <w:pPr>
        <w:pStyle w:val="HChG"/>
      </w:pPr>
      <w:r w:rsidRPr="00DD2C62">
        <w:tab/>
        <w:t>VII.</w:t>
      </w:r>
      <w:r w:rsidRPr="00DD2C62">
        <w:tab/>
        <w:t>Questionnaires</w:t>
      </w:r>
      <w:r w:rsidR="0049107A" w:rsidRPr="00DD2C62">
        <w:t xml:space="preserve"> </w:t>
      </w:r>
      <w:r w:rsidRPr="00DD2C62">
        <w:t>révisés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examens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</w:p>
    <w:p w14:paraId="3020F728" w14:textId="77777777" w:rsidR="002749FA" w:rsidRPr="00DD2C62" w:rsidRDefault="002749FA" w:rsidP="002749FA">
      <w:pPr>
        <w:pStyle w:val="H1G"/>
      </w:pPr>
      <w:r w:rsidRPr="00DD2C62">
        <w:tab/>
      </w:r>
      <w:r w:rsidRPr="00DD2C62">
        <w:tab/>
        <w:t>Modification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questionnaires</w:t>
      </w:r>
    </w:p>
    <w:p w14:paraId="7BB674A5" w14:textId="77777777" w:rsidR="002749FA" w:rsidRPr="00DD2C62" w:rsidRDefault="002749FA" w:rsidP="002749FA">
      <w:pPr>
        <w:pStyle w:val="SingleTxtG"/>
      </w:pPr>
      <w:r w:rsidRPr="00DD2C62">
        <w:t>88.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est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modifications</w:t>
      </w:r>
      <w:r w:rsidR="0049107A" w:rsidRPr="00DD2C62">
        <w:t xml:space="preserve"> </w:t>
      </w:r>
      <w:r w:rsidRPr="00DD2C62">
        <w:t>mineures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questionnaires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sixième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troisième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tenir</w:t>
      </w:r>
      <w:r w:rsidR="0049107A" w:rsidRPr="00DD2C62">
        <w:t xml:space="preserve"> </w:t>
      </w:r>
      <w:r w:rsidRPr="00DD2C62">
        <w:t>compte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suggestions</w:t>
      </w:r>
      <w:r w:rsidR="0049107A" w:rsidRPr="00DD2C62">
        <w:t xml:space="preserve"> </w:t>
      </w:r>
      <w:r w:rsidRPr="00DD2C62">
        <w:t>d’améliorations</w:t>
      </w:r>
      <w:r w:rsidR="0049107A" w:rsidRPr="00DD2C62">
        <w:t xml:space="preserve"> </w:t>
      </w:r>
      <w:r w:rsidRPr="00DD2C62">
        <w:t>communiquées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Pr="00DD2C62">
        <w:rPr>
          <w:rStyle w:val="FootnoteReference"/>
        </w:rPr>
        <w:footnoteReference w:id="12"/>
      </w:r>
      <w:r w:rsidRPr="00DD2C62">
        <w:t>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mai</w:t>
      </w:r>
      <w:r w:rsidR="0049107A" w:rsidRPr="00DD2C62">
        <w:t xml:space="preserve"> </w:t>
      </w:r>
      <w:r w:rsidRPr="00DD2C62">
        <w:t>2018,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approuvé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questionnaires</w:t>
      </w:r>
      <w:r w:rsidR="0049107A" w:rsidRPr="00DD2C62">
        <w:t xml:space="preserve"> </w:t>
      </w:r>
      <w:r w:rsidRPr="00DD2C62">
        <w:t>révisés</w:t>
      </w:r>
      <w:r w:rsidR="0049107A" w:rsidRPr="00DD2C62">
        <w:t xml:space="preserve"> </w:t>
      </w:r>
      <w:r w:rsidRPr="00DD2C62">
        <w:t>(ECE/MP.EIA/WG.2/2018/2,</w:t>
      </w:r>
      <w:r w:rsidR="0049107A" w:rsidRPr="00DD2C62">
        <w:t xml:space="preserve"> </w:t>
      </w:r>
      <w:r w:rsidRPr="00DD2C62">
        <w:t>annexes</w:t>
      </w:r>
      <w:r w:rsidR="0049107A" w:rsidRPr="00DD2C62">
        <w:t xml:space="preserve"> </w:t>
      </w:r>
      <w:r w:rsidRPr="00DD2C62">
        <w:t>II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III).</w:t>
      </w:r>
    </w:p>
    <w:p w14:paraId="21A5EA36" w14:textId="77777777" w:rsidR="002749FA" w:rsidRPr="00DD2C62" w:rsidRDefault="002749FA" w:rsidP="002749FA">
      <w:pPr>
        <w:pStyle w:val="H1G"/>
      </w:pPr>
      <w:r w:rsidRPr="00DD2C62">
        <w:tab/>
      </w:r>
      <w:r w:rsidRPr="00DD2C62">
        <w:tab/>
        <w:t>Examens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</w:p>
    <w:p w14:paraId="7516CE4A" w14:textId="77777777" w:rsidR="002749FA" w:rsidRPr="00DD2C62" w:rsidRDefault="002749FA" w:rsidP="002749FA">
      <w:pPr>
        <w:pStyle w:val="SingleTxtG"/>
      </w:pPr>
      <w:r w:rsidRPr="00DD2C62">
        <w:t>89.</w:t>
      </w:r>
      <w:r w:rsidRPr="00DD2C62">
        <w:tab/>
        <w:t>Conformément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calendrier</w:t>
      </w:r>
      <w:r w:rsidR="0049107A" w:rsidRPr="00DD2C62">
        <w:t xml:space="preserve"> </w:t>
      </w:r>
      <w:r w:rsidRPr="00DD2C62">
        <w:t>convenu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Groupe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(ECE/MP.EIA/WG.2/2018/INF.5),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envoyé</w:t>
      </w:r>
      <w:r w:rsidR="0049107A" w:rsidRPr="00DD2C62">
        <w:t xml:space="preserve"> </w:t>
      </w:r>
      <w:r w:rsidRPr="00DD2C62">
        <w:t>fin</w:t>
      </w:r>
      <w:r w:rsidR="0049107A" w:rsidRPr="00DD2C62">
        <w:t xml:space="preserve"> </w:t>
      </w:r>
      <w:r w:rsidRPr="00DD2C62">
        <w:t>octobre</w:t>
      </w:r>
      <w:r w:rsidR="0049107A" w:rsidRPr="00DD2C62">
        <w:t xml:space="preserve"> </w:t>
      </w:r>
      <w:r w:rsidRPr="00DD2C62">
        <w:t>2018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questionnaires</w:t>
      </w:r>
      <w:r w:rsidR="0049107A" w:rsidRPr="00DD2C62">
        <w:t xml:space="preserve"> </w:t>
      </w:r>
      <w:r w:rsidRPr="00DD2C62">
        <w:t>relatifs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qu’elles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complètent</w:t>
      </w:r>
      <w:r w:rsidR="0049107A" w:rsidRPr="00DD2C62">
        <w:t xml:space="preserve"> </w:t>
      </w:r>
      <w:r w:rsidRPr="00DD2C62">
        <w:t>d’ici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31</w:t>
      </w:r>
      <w:r w:rsidR="001A765C">
        <w:t> </w:t>
      </w:r>
      <w:r w:rsidRPr="00DD2C62">
        <w:t>mars</w:t>
      </w:r>
      <w:r w:rsidR="0049107A" w:rsidRPr="00DD2C62">
        <w:t xml:space="preserve"> </w:t>
      </w:r>
      <w:r w:rsidRPr="00DD2C62">
        <w:t>2019.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noté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constatations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sixième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(ECE/MP.EIA/WG.2/2019/3)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rapport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troisième</w:t>
      </w:r>
      <w:r w:rsidR="0049107A" w:rsidRPr="00DD2C62">
        <w:t xml:space="preserve"> </w:t>
      </w:r>
      <w:r w:rsidRPr="00DD2C62">
        <w:t>examen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Protocole</w:t>
      </w:r>
      <w:r w:rsidR="0049107A" w:rsidRPr="00DD2C62">
        <w:t xml:space="preserve"> </w:t>
      </w:r>
      <w:r w:rsidRPr="00DD2C62">
        <w:t>(ECE/MP.EIA/WG.2/2019/4)</w:t>
      </w:r>
      <w:r w:rsidR="0049107A" w:rsidRPr="00DD2C62">
        <w:t xml:space="preserve"> </w:t>
      </w:r>
      <w:r w:rsidRPr="00DD2C62">
        <w:t>établis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secrétariat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l’aide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consultants</w:t>
      </w:r>
      <w:r w:rsidR="00DD2C62" w:rsidRPr="00DD2C62">
        <w:t> ;</w:t>
      </w:r>
      <w:r w:rsidR="0049107A" w:rsidRPr="00DD2C62">
        <w:t xml:space="preserve"> </w:t>
      </w:r>
      <w:r w:rsidRPr="00DD2C62">
        <w:t>ainsi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suggestions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consultants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vue</w:t>
      </w:r>
      <w:r w:rsidR="0049107A" w:rsidRPr="00DD2C62">
        <w:t xml:space="preserve"> </w:t>
      </w:r>
      <w:r w:rsidRPr="00DD2C62">
        <w:t>d’améliorer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questionnaires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série</w:t>
      </w:r>
      <w:r w:rsidR="0049107A" w:rsidRPr="00DD2C62">
        <w:t xml:space="preserve"> </w:t>
      </w:r>
      <w:r w:rsidRPr="00DD2C62">
        <w:t>suivante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rapports.</w:t>
      </w:r>
    </w:p>
    <w:p w14:paraId="06F4E153" w14:textId="77777777" w:rsidR="002749FA" w:rsidRPr="00DD2C62" w:rsidRDefault="002749FA" w:rsidP="002749FA">
      <w:pPr>
        <w:pStyle w:val="HChG"/>
      </w:pPr>
      <w:r w:rsidRPr="00DD2C62">
        <w:tab/>
        <w:t>VIII.</w:t>
      </w:r>
      <w:r w:rsidRPr="00DD2C62">
        <w:tab/>
        <w:t>Structure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fonctions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règlement</w:t>
      </w:r>
      <w:r w:rsidR="0049107A" w:rsidRPr="00DD2C62">
        <w:t xml:space="preserve"> </w:t>
      </w:r>
      <w:r w:rsidRPr="00DD2C62">
        <w:t>intérieur</w:t>
      </w:r>
    </w:p>
    <w:p w14:paraId="7B74EB1D" w14:textId="77777777" w:rsidR="002749FA" w:rsidRPr="005A5D45" w:rsidRDefault="002749FA" w:rsidP="002749FA">
      <w:pPr>
        <w:pStyle w:val="SingleTxtG"/>
        <w:rPr>
          <w:spacing w:val="-2"/>
        </w:rPr>
      </w:pPr>
      <w:r w:rsidRPr="005A5D45">
        <w:rPr>
          <w:spacing w:val="-2"/>
        </w:rPr>
        <w:t>90.</w:t>
      </w:r>
      <w:r w:rsidRPr="005A5D45">
        <w:rPr>
          <w:spacing w:val="-2"/>
        </w:rPr>
        <w:tab/>
        <w:t>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examiné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méthodes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travail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pratiques,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soulignant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que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travaux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avaient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été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entravés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communication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tardive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qualité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insuffisante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réponses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certaines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Parties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concernées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parfois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aussi,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refus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répondre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coopérer.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Il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fourni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éclaircissements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règles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concernant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gestion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conflits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d’intérêts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membres,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proposé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moyens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d’accroître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efficacité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faire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face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nombre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constante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augmentation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cas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non-respect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obligations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dont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il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était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saisi</w:t>
      </w:r>
      <w:r w:rsidRPr="005A5D45">
        <w:rPr>
          <w:rStyle w:val="FootnoteReference"/>
          <w:spacing w:val="-2"/>
        </w:rPr>
        <w:footnoteReference w:id="13"/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est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convenu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poursuivre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efforts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vue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revoir,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durant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période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intersessions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2021</w:t>
      </w:r>
      <w:r w:rsidR="00AB7317" w:rsidRPr="005A5D45">
        <w:rPr>
          <w:spacing w:val="-2"/>
        </w:rPr>
        <w:t>-</w:t>
      </w:r>
      <w:r w:rsidRPr="005A5D45">
        <w:rPr>
          <w:spacing w:val="-2"/>
        </w:rPr>
        <w:t>2023,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structure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fonctions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Comité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règlement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intérieur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examen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Réunion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Parties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à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neuvième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session.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À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titre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prioritaire,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il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aussi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proposé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un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ajustement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du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paragraphe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4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l’article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11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son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règlement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intérieur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concernant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délais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pour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la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communication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d’informations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les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Parties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(voir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projet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de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décision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VIII/4,</w:t>
      </w:r>
      <w:r w:rsidR="0049107A" w:rsidRPr="005A5D45">
        <w:rPr>
          <w:spacing w:val="-2"/>
        </w:rPr>
        <w:t xml:space="preserve"> </w:t>
      </w:r>
      <w:r w:rsidRPr="005A5D45">
        <w:rPr>
          <w:spacing w:val="-2"/>
        </w:rPr>
        <w:t>annexe).</w:t>
      </w:r>
    </w:p>
    <w:p w14:paraId="4F6CC00E" w14:textId="77777777" w:rsidR="002749FA" w:rsidRPr="00DD2C62" w:rsidRDefault="002749FA" w:rsidP="005A5D45">
      <w:pPr>
        <w:pStyle w:val="HChG"/>
      </w:pPr>
      <w:r w:rsidRPr="00DD2C62">
        <w:tab/>
        <w:t>IX.</w:t>
      </w:r>
      <w:r w:rsidRPr="00DD2C62">
        <w:tab/>
        <w:t>Charge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</w:p>
    <w:p w14:paraId="1A10B121" w14:textId="77777777" w:rsidR="002749FA" w:rsidRPr="00DD2C62" w:rsidRDefault="002749FA" w:rsidP="005A5D45">
      <w:pPr>
        <w:pStyle w:val="SingleTxtG"/>
      </w:pPr>
      <w:r w:rsidRPr="00DD2C62">
        <w:t>91.</w:t>
      </w:r>
      <w:r w:rsidRPr="00DD2C62">
        <w:tab/>
        <w:t>La</w:t>
      </w:r>
      <w:r w:rsidR="0049107A" w:rsidRPr="00DD2C62">
        <w:t xml:space="preserve"> </w:t>
      </w:r>
      <w:r w:rsidRPr="00DD2C62">
        <w:t>charge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continué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croître</w:t>
      </w:r>
      <w:r w:rsidR="0049107A" w:rsidRPr="00DD2C62">
        <w:t xml:space="preserve"> </w:t>
      </w:r>
      <w:r w:rsidRPr="00DD2C62">
        <w:t>durant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période</w:t>
      </w:r>
      <w:r w:rsidR="0049107A" w:rsidRPr="00DD2C62">
        <w:t xml:space="preserve"> </w:t>
      </w:r>
      <w:r w:rsidRPr="00DD2C62">
        <w:t>intersessions</w:t>
      </w:r>
      <w:r w:rsidR="0049107A" w:rsidRPr="00DD2C62">
        <w:t xml:space="preserve"> </w:t>
      </w:r>
      <w:r w:rsidRPr="00DD2C62">
        <w:t>2017</w:t>
      </w:r>
      <w:r w:rsidRPr="00DD2C62">
        <w:noBreakHyphen/>
        <w:t>2020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fait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l’augmentation</w:t>
      </w:r>
      <w:r w:rsidR="0049107A" w:rsidRPr="00DD2C62">
        <w:t xml:space="preserve"> </w:t>
      </w:r>
      <w:r w:rsidRPr="00DD2C62">
        <w:t>constante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nombre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était</w:t>
      </w:r>
      <w:r w:rsidR="0049107A" w:rsidRPr="00DD2C62">
        <w:t xml:space="preserve"> </w:t>
      </w:r>
      <w:r w:rsidRPr="00DD2C62">
        <w:t>saisi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leur</w:t>
      </w:r>
      <w:r w:rsidR="0049107A" w:rsidRPr="00DD2C62">
        <w:t xml:space="preserve"> </w:t>
      </w:r>
      <w:r w:rsidRPr="00DD2C62">
        <w:t>complexité.</w:t>
      </w:r>
      <w:r w:rsidR="0049107A" w:rsidRPr="00DD2C62">
        <w:t xml:space="preserve"> </w:t>
      </w:r>
      <w:r w:rsidRPr="00DD2C62">
        <w:t>Comme</w:t>
      </w:r>
      <w:r w:rsidR="0049107A" w:rsidRPr="00DD2C62">
        <w:t xml:space="preserve"> </w:t>
      </w:r>
      <w:r w:rsidRPr="00DD2C62">
        <w:t>indiqué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sections</w:t>
      </w:r>
      <w:r w:rsidR="0049107A" w:rsidRPr="00DD2C62">
        <w:t xml:space="preserve"> </w:t>
      </w:r>
      <w:r w:rsidRPr="00DD2C62">
        <w:t>II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VI</w:t>
      </w:r>
      <w:r w:rsidR="0049107A" w:rsidRPr="00DD2C62">
        <w:t xml:space="preserve"> </w:t>
      </w:r>
      <w:r w:rsidRPr="00DD2C62">
        <w:t>ci</w:t>
      </w:r>
      <w:r w:rsidRPr="00DD2C62">
        <w:noBreakHyphen/>
        <w:t>dessus,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bookmarkStart w:id="34" w:name="_Hlk46574471"/>
      <w:r w:rsidRPr="00DD2C62">
        <w:t>avait</w:t>
      </w:r>
      <w:r w:rsidR="0049107A" w:rsidRPr="00DD2C62">
        <w:t xml:space="preserve"> </w:t>
      </w:r>
      <w:r w:rsidRPr="00DD2C62">
        <w:t>examiné</w:t>
      </w:r>
      <w:r w:rsidR="0049107A" w:rsidRPr="00DD2C62">
        <w:t xml:space="preserve"> </w:t>
      </w:r>
      <w:r w:rsidRPr="00DD2C62">
        <w:t>36</w:t>
      </w:r>
      <w:r w:rsidR="001A765C">
        <w:t> </w:t>
      </w:r>
      <w:r w:rsidRPr="00DD2C62">
        <w:t>cas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(5</w:t>
      </w:r>
      <w:r w:rsidR="001A765C">
        <w:t> </w:t>
      </w:r>
      <w:r w:rsidRPr="00DD2C62">
        <w:t>cas</w:t>
      </w:r>
      <w:r w:rsidR="0049107A" w:rsidRPr="00DD2C62">
        <w:t xml:space="preserve"> </w:t>
      </w:r>
      <w:r w:rsidRPr="00DD2C62">
        <w:t>correspondant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suite</w:t>
      </w:r>
      <w:r w:rsidR="0049107A" w:rsidRPr="00DD2C62">
        <w:t xml:space="preserve"> </w:t>
      </w:r>
      <w:r w:rsidRPr="00DD2C62">
        <w:t>donnée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décisions</w:t>
      </w:r>
      <w:r w:rsidR="0049107A" w:rsidRPr="00DD2C62">
        <w:t xml:space="preserve"> </w:t>
      </w:r>
      <w:r w:rsidRPr="00DD2C62">
        <w:t>précédentes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Parties,</w:t>
      </w:r>
      <w:r w:rsidR="0049107A" w:rsidRPr="00DD2C62">
        <w:t xml:space="preserve"> </w:t>
      </w:r>
      <w:r w:rsidRPr="00DD2C62">
        <w:t>5</w:t>
      </w:r>
      <w:r w:rsidR="001A765C">
        <w:t> </w:t>
      </w:r>
      <w:r w:rsidRPr="00DD2C62">
        <w:t>questions</w:t>
      </w:r>
      <w:r w:rsidR="0049107A" w:rsidRPr="00DD2C62">
        <w:t xml:space="preserve"> </w:t>
      </w:r>
      <w:r w:rsidRPr="00DD2C62">
        <w:lastRenderedPageBreak/>
        <w:t>spécifiques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découlant</w:t>
      </w:r>
      <w:r w:rsidR="0049107A" w:rsidRPr="00DD2C62">
        <w:t xml:space="preserve"> </w:t>
      </w:r>
      <w:r w:rsidRPr="00DD2C62">
        <w:t>d’examens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l’application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Convention,</w:t>
      </w:r>
      <w:r w:rsidR="0049107A" w:rsidRPr="00DD2C62">
        <w:t xml:space="preserve"> </w:t>
      </w:r>
      <w:r w:rsidRPr="00DD2C62">
        <w:t>2</w:t>
      </w:r>
      <w:r w:rsidR="001A765C">
        <w:t> </w:t>
      </w:r>
      <w:r w:rsidRPr="00DD2C62">
        <w:t>communications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24</w:t>
      </w:r>
      <w:r w:rsidR="001A765C">
        <w:t> </w:t>
      </w:r>
      <w:r w:rsidRPr="00DD2C62">
        <w:t>cas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collecte</w:t>
      </w:r>
      <w:r w:rsidR="0049107A" w:rsidRPr="00DD2C62">
        <w:t xml:space="preserve"> </w:t>
      </w:r>
      <w:r w:rsidRPr="00DD2C62">
        <w:t>d’informations,</w:t>
      </w:r>
      <w:r w:rsidR="0049107A" w:rsidRPr="00DD2C62">
        <w:t xml:space="preserve"> </w:t>
      </w:r>
      <w:r w:rsidRPr="00DD2C62">
        <w:t>dont</w:t>
      </w:r>
      <w:r w:rsidR="0049107A" w:rsidRPr="00DD2C62">
        <w:t xml:space="preserve"> </w:t>
      </w:r>
      <w:r w:rsidRPr="00DD2C62">
        <w:t>l’un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débouché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initiative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Comité).</w:t>
      </w:r>
      <w:r w:rsidR="0049107A" w:rsidRPr="00DD2C62">
        <w:t xml:space="preserve"> </w:t>
      </w:r>
      <w:bookmarkEnd w:id="34"/>
      <w:r w:rsidRPr="00DD2C62">
        <w:t>De</w:t>
      </w:r>
      <w:r w:rsidR="0049107A" w:rsidRPr="00DD2C62">
        <w:t xml:space="preserve"> </w:t>
      </w:r>
      <w:r w:rsidRPr="00DD2C62">
        <w:t>plus,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charge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travail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sensiblement</w:t>
      </w:r>
      <w:r w:rsidR="0049107A" w:rsidRPr="00DD2C62">
        <w:t xml:space="preserve"> </w:t>
      </w:r>
      <w:r w:rsidRPr="00DD2C62">
        <w:t>augmenté</w:t>
      </w:r>
      <w:r w:rsidR="0049107A" w:rsidRPr="00DD2C62">
        <w:t xml:space="preserve"> </w:t>
      </w:r>
      <w:r w:rsidRPr="00DD2C62">
        <w:t>après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demande</w:t>
      </w:r>
      <w:r w:rsidR="0049107A" w:rsidRPr="00DD2C62">
        <w:t xml:space="preserve"> </w:t>
      </w:r>
      <w:r w:rsidRPr="00DD2C62">
        <w:t>qui</w:t>
      </w:r>
      <w:r w:rsidR="0049107A" w:rsidRPr="00DD2C62">
        <w:t xml:space="preserve"> </w:t>
      </w:r>
      <w:r w:rsidRPr="00DD2C62">
        <w:t>lui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faite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réviser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projet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décision</w:t>
      </w:r>
      <w:r w:rsidR="0049107A" w:rsidRPr="00DD2C62">
        <w:t xml:space="preserve"> </w:t>
      </w:r>
      <w:r w:rsidRPr="00DD2C62">
        <w:t>VII/2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session</w:t>
      </w:r>
      <w:r w:rsidR="0049107A" w:rsidRPr="00DD2C62">
        <w:t xml:space="preserve"> </w:t>
      </w:r>
      <w:r w:rsidRPr="00DD2C62">
        <w:t>intermédiaire.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ce</w:t>
      </w:r>
      <w:r w:rsidR="0049107A" w:rsidRPr="00DD2C62">
        <w:t xml:space="preserve"> </w:t>
      </w:r>
      <w:r w:rsidRPr="00DD2C62">
        <w:t>fait,</w:t>
      </w:r>
      <w:r w:rsidR="0049107A" w:rsidRPr="00DD2C62">
        <w:t xml:space="preserve"> </w:t>
      </w:r>
      <w:r w:rsidRPr="00DD2C62">
        <w:t>l’examen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nombreuses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suspens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nouvelles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été</w:t>
      </w:r>
      <w:r w:rsidR="0049107A" w:rsidRPr="00DD2C62">
        <w:t xml:space="preserve"> </w:t>
      </w:r>
      <w:r w:rsidRPr="00DD2C62">
        <w:t>retardé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près</w:t>
      </w:r>
      <w:r w:rsidR="0049107A" w:rsidRPr="00DD2C62">
        <w:t xml:space="preserve"> </w:t>
      </w:r>
      <w:r w:rsidRPr="00DD2C62">
        <w:t>d’un</w:t>
      </w:r>
      <w:r w:rsidR="0049107A" w:rsidRPr="00DD2C62">
        <w:t xml:space="preserve"> </w:t>
      </w:r>
      <w:r w:rsidRPr="00DD2C62">
        <w:t>an.</w:t>
      </w:r>
    </w:p>
    <w:p w14:paraId="0D6802E0" w14:textId="77777777" w:rsidR="002749FA" w:rsidRPr="001A765C" w:rsidRDefault="002749FA" w:rsidP="005A5D45">
      <w:pPr>
        <w:pStyle w:val="SingleTxtG"/>
      </w:pPr>
      <w:r w:rsidRPr="001A765C">
        <w:t>92.</w:t>
      </w:r>
      <w:r w:rsidRPr="001A765C">
        <w:tab/>
        <w:t>Pour</w:t>
      </w:r>
      <w:r w:rsidR="0049107A" w:rsidRPr="001A765C">
        <w:t xml:space="preserve"> </w:t>
      </w:r>
      <w:r w:rsidRPr="001A765C">
        <w:t>faire</w:t>
      </w:r>
      <w:r w:rsidR="0049107A" w:rsidRPr="001A765C">
        <w:t xml:space="preserve"> </w:t>
      </w:r>
      <w:r w:rsidRPr="001A765C">
        <w:t>face</w:t>
      </w:r>
      <w:r w:rsidR="0049107A" w:rsidRPr="001A765C">
        <w:t xml:space="preserve"> </w:t>
      </w:r>
      <w:r w:rsidRPr="001A765C">
        <w:t>à</w:t>
      </w:r>
      <w:r w:rsidR="0049107A" w:rsidRPr="001A765C">
        <w:t xml:space="preserve"> </w:t>
      </w:r>
      <w:r w:rsidRPr="001A765C">
        <w:t>sa</w:t>
      </w:r>
      <w:r w:rsidR="0049107A" w:rsidRPr="001A765C">
        <w:t xml:space="preserve"> </w:t>
      </w:r>
      <w:r w:rsidRPr="001A765C">
        <w:t>charge</w:t>
      </w:r>
      <w:r w:rsidR="0049107A" w:rsidRPr="001A765C">
        <w:t xml:space="preserve"> </w:t>
      </w:r>
      <w:r w:rsidRPr="001A765C">
        <w:t>de</w:t>
      </w:r>
      <w:r w:rsidR="0049107A" w:rsidRPr="001A765C">
        <w:t xml:space="preserve"> </w:t>
      </w:r>
      <w:r w:rsidRPr="001A765C">
        <w:t>travail</w:t>
      </w:r>
      <w:r w:rsidR="0049107A" w:rsidRPr="001A765C">
        <w:t xml:space="preserve"> </w:t>
      </w:r>
      <w:r w:rsidRPr="001A765C">
        <w:t>considérable,</w:t>
      </w:r>
      <w:r w:rsidR="0049107A" w:rsidRPr="001A765C">
        <w:t xml:space="preserve"> </w:t>
      </w:r>
      <w:r w:rsidRPr="001A765C">
        <w:t>le</w:t>
      </w:r>
      <w:r w:rsidR="0049107A" w:rsidRPr="001A765C">
        <w:t xml:space="preserve"> </w:t>
      </w:r>
      <w:r w:rsidRPr="001A765C">
        <w:t>Comité,</w:t>
      </w:r>
      <w:r w:rsidR="0049107A" w:rsidRPr="001A765C">
        <w:t xml:space="preserve"> </w:t>
      </w:r>
      <w:r w:rsidRPr="001A765C">
        <w:t>en</w:t>
      </w:r>
      <w:r w:rsidR="0049107A" w:rsidRPr="001A765C">
        <w:t xml:space="preserve"> </w:t>
      </w:r>
      <w:r w:rsidRPr="001A765C">
        <w:t>accord</w:t>
      </w:r>
      <w:r w:rsidR="0049107A" w:rsidRPr="001A765C">
        <w:t xml:space="preserve"> </w:t>
      </w:r>
      <w:r w:rsidRPr="001A765C">
        <w:t>avec</w:t>
      </w:r>
      <w:r w:rsidR="0049107A" w:rsidRPr="001A765C">
        <w:t xml:space="preserve"> </w:t>
      </w:r>
      <w:r w:rsidRPr="001A765C">
        <w:t>le</w:t>
      </w:r>
      <w:r w:rsidR="0049107A" w:rsidRPr="001A765C">
        <w:t xml:space="preserve"> </w:t>
      </w:r>
      <w:r w:rsidRPr="001A765C">
        <w:t>Bureau,</w:t>
      </w:r>
      <w:r w:rsidR="0049107A" w:rsidRPr="001A765C">
        <w:t xml:space="preserve"> </w:t>
      </w:r>
      <w:r w:rsidRPr="001A765C">
        <w:t>avait</w:t>
      </w:r>
      <w:r w:rsidR="0049107A" w:rsidRPr="001A765C">
        <w:t xml:space="preserve"> </w:t>
      </w:r>
      <w:r w:rsidRPr="001A765C">
        <w:t>porté</w:t>
      </w:r>
      <w:r w:rsidR="0049107A" w:rsidRPr="001A765C">
        <w:t xml:space="preserve"> </w:t>
      </w:r>
      <w:r w:rsidRPr="001A765C">
        <w:t>la</w:t>
      </w:r>
      <w:r w:rsidR="0049107A" w:rsidRPr="001A765C">
        <w:t xml:space="preserve"> </w:t>
      </w:r>
      <w:r w:rsidRPr="001A765C">
        <w:t>durée</w:t>
      </w:r>
      <w:r w:rsidR="0049107A" w:rsidRPr="001A765C">
        <w:t xml:space="preserve"> </w:t>
      </w:r>
      <w:r w:rsidRPr="001A765C">
        <w:t>de</w:t>
      </w:r>
      <w:r w:rsidR="0049107A" w:rsidRPr="001A765C">
        <w:t xml:space="preserve"> </w:t>
      </w:r>
      <w:r w:rsidRPr="001A765C">
        <w:t>ses</w:t>
      </w:r>
      <w:r w:rsidR="0049107A" w:rsidRPr="001A765C">
        <w:t xml:space="preserve"> </w:t>
      </w:r>
      <w:r w:rsidRPr="001A765C">
        <w:t>sessions</w:t>
      </w:r>
      <w:r w:rsidR="0049107A" w:rsidRPr="001A765C">
        <w:t xml:space="preserve"> </w:t>
      </w:r>
      <w:r w:rsidRPr="001A765C">
        <w:t>de</w:t>
      </w:r>
      <w:r w:rsidR="0049107A" w:rsidRPr="001A765C">
        <w:t xml:space="preserve"> </w:t>
      </w:r>
      <w:r w:rsidRPr="001A765C">
        <w:t>trois</w:t>
      </w:r>
      <w:r w:rsidR="0049107A" w:rsidRPr="001A765C">
        <w:t xml:space="preserve"> </w:t>
      </w:r>
      <w:r w:rsidRPr="001A765C">
        <w:t>à</w:t>
      </w:r>
      <w:r w:rsidR="0049107A" w:rsidRPr="001A765C">
        <w:t xml:space="preserve"> </w:t>
      </w:r>
      <w:r w:rsidRPr="001A765C">
        <w:t>quatre</w:t>
      </w:r>
      <w:r w:rsidR="0049107A" w:rsidRPr="001A765C">
        <w:t xml:space="preserve"> </w:t>
      </w:r>
      <w:r w:rsidRPr="001A765C">
        <w:t>jours</w:t>
      </w:r>
      <w:r w:rsidR="0049107A" w:rsidRPr="001A765C">
        <w:t xml:space="preserve"> </w:t>
      </w:r>
      <w:r w:rsidRPr="001A765C">
        <w:t>et,</w:t>
      </w:r>
      <w:r w:rsidR="0049107A" w:rsidRPr="001A765C">
        <w:t xml:space="preserve"> </w:t>
      </w:r>
      <w:r w:rsidRPr="001A765C">
        <w:t>comme</w:t>
      </w:r>
      <w:r w:rsidR="0049107A" w:rsidRPr="001A765C">
        <w:t xml:space="preserve"> </w:t>
      </w:r>
      <w:r w:rsidRPr="001A765C">
        <w:t>indiqué</w:t>
      </w:r>
      <w:r w:rsidR="0049107A" w:rsidRPr="001A765C">
        <w:t xml:space="preserve"> </w:t>
      </w:r>
      <w:r w:rsidRPr="001A765C">
        <w:t>au</w:t>
      </w:r>
      <w:r w:rsidR="0049107A" w:rsidRPr="001A765C">
        <w:t xml:space="preserve"> </w:t>
      </w:r>
      <w:r w:rsidRPr="001A765C">
        <w:t>paragraphe</w:t>
      </w:r>
      <w:r w:rsidR="0049107A" w:rsidRPr="001A765C">
        <w:t xml:space="preserve"> </w:t>
      </w:r>
      <w:r w:rsidRPr="001A765C">
        <w:t>6</w:t>
      </w:r>
      <w:r w:rsidR="0049107A" w:rsidRPr="001A765C">
        <w:t xml:space="preserve"> </w:t>
      </w:r>
      <w:r w:rsidRPr="001A765C">
        <w:t>ci-dessus,</w:t>
      </w:r>
      <w:r w:rsidR="0049107A" w:rsidRPr="001A765C">
        <w:t xml:space="preserve"> </w:t>
      </w:r>
      <w:r w:rsidRPr="001A765C">
        <w:t>avait</w:t>
      </w:r>
      <w:r w:rsidR="0049107A" w:rsidRPr="001A765C">
        <w:t xml:space="preserve"> </w:t>
      </w:r>
      <w:r w:rsidRPr="001A765C">
        <w:t>tenu</w:t>
      </w:r>
      <w:r w:rsidR="0049107A" w:rsidRPr="001A765C">
        <w:t xml:space="preserve"> </w:t>
      </w:r>
      <w:r w:rsidR="00B4168E">
        <w:t>10 </w:t>
      </w:r>
      <w:r w:rsidRPr="001A765C">
        <w:t>sessions</w:t>
      </w:r>
      <w:r w:rsidR="0049107A" w:rsidRPr="001A765C">
        <w:t xml:space="preserve"> </w:t>
      </w:r>
      <w:r w:rsidRPr="001A765C">
        <w:t>au</w:t>
      </w:r>
      <w:r w:rsidR="0049107A" w:rsidRPr="001A765C">
        <w:t xml:space="preserve"> </w:t>
      </w:r>
      <w:r w:rsidRPr="001A765C">
        <w:t>lieu</w:t>
      </w:r>
      <w:r w:rsidR="0049107A" w:rsidRPr="001A765C">
        <w:t xml:space="preserve"> </w:t>
      </w:r>
      <w:r w:rsidRPr="001A765C">
        <w:t>des</w:t>
      </w:r>
      <w:r w:rsidR="0049107A" w:rsidRPr="001A765C">
        <w:t xml:space="preserve"> </w:t>
      </w:r>
      <w:r w:rsidRPr="001A765C">
        <w:t>neuf</w:t>
      </w:r>
      <w:r w:rsidR="0049107A" w:rsidRPr="001A765C">
        <w:t xml:space="preserve"> </w:t>
      </w:r>
      <w:r w:rsidRPr="001A765C">
        <w:t>prévues</w:t>
      </w:r>
      <w:r w:rsidR="0049107A" w:rsidRPr="001A765C">
        <w:t xml:space="preserve"> </w:t>
      </w:r>
      <w:r w:rsidRPr="001A765C">
        <w:t>dans</w:t>
      </w:r>
      <w:r w:rsidR="0049107A" w:rsidRPr="001A765C">
        <w:t xml:space="preserve"> </w:t>
      </w:r>
      <w:r w:rsidRPr="001A765C">
        <w:t>le</w:t>
      </w:r>
      <w:r w:rsidR="0049107A" w:rsidRPr="001A765C">
        <w:t xml:space="preserve"> </w:t>
      </w:r>
      <w:r w:rsidRPr="001A765C">
        <w:t>plan</w:t>
      </w:r>
      <w:r w:rsidR="0049107A" w:rsidRPr="001A765C">
        <w:t xml:space="preserve"> </w:t>
      </w:r>
      <w:r w:rsidRPr="001A765C">
        <w:t>de</w:t>
      </w:r>
      <w:r w:rsidR="0049107A" w:rsidRPr="001A765C">
        <w:t xml:space="preserve"> </w:t>
      </w:r>
      <w:r w:rsidRPr="001A765C">
        <w:t>travail</w:t>
      </w:r>
      <w:r w:rsidR="0049107A" w:rsidRPr="001A765C">
        <w:t xml:space="preserve"> </w:t>
      </w:r>
      <w:r w:rsidRPr="001A765C">
        <w:t>2017</w:t>
      </w:r>
      <w:r w:rsidR="00AB7317" w:rsidRPr="001A765C">
        <w:t>-</w:t>
      </w:r>
      <w:r w:rsidRPr="001A765C">
        <w:t>2020</w:t>
      </w:r>
      <w:r w:rsidRPr="001A765C">
        <w:rPr>
          <w:rStyle w:val="FootnoteReference"/>
          <w:spacing w:val="-1"/>
        </w:rPr>
        <w:footnoteReference w:id="14"/>
      </w:r>
      <w:r w:rsidRPr="001A765C">
        <w:t>.</w:t>
      </w:r>
      <w:r w:rsidR="0049107A" w:rsidRPr="001A765C">
        <w:t xml:space="preserve"> </w:t>
      </w:r>
      <w:r w:rsidRPr="001A765C">
        <w:t>Pour</w:t>
      </w:r>
      <w:r w:rsidR="0049107A" w:rsidRPr="001A765C">
        <w:t xml:space="preserve"> </w:t>
      </w:r>
      <w:r w:rsidRPr="001A765C">
        <w:t>s’acquitter</w:t>
      </w:r>
      <w:r w:rsidR="0049107A" w:rsidRPr="001A765C">
        <w:t xml:space="preserve"> </w:t>
      </w:r>
      <w:r w:rsidRPr="001A765C">
        <w:t>de</w:t>
      </w:r>
      <w:r w:rsidR="0049107A" w:rsidRPr="001A765C">
        <w:t xml:space="preserve"> </w:t>
      </w:r>
      <w:r w:rsidRPr="001A765C">
        <w:t>son</w:t>
      </w:r>
      <w:r w:rsidR="0049107A" w:rsidRPr="001A765C">
        <w:t xml:space="preserve"> </w:t>
      </w:r>
      <w:r w:rsidRPr="001A765C">
        <w:t>mandat,</w:t>
      </w:r>
      <w:r w:rsidR="0049107A" w:rsidRPr="001A765C">
        <w:t xml:space="preserve"> </w:t>
      </w:r>
      <w:r w:rsidRPr="001A765C">
        <w:t>le</w:t>
      </w:r>
      <w:r w:rsidR="0049107A" w:rsidRPr="001A765C">
        <w:t xml:space="preserve"> </w:t>
      </w:r>
      <w:r w:rsidRPr="001A765C">
        <w:t>Comité</w:t>
      </w:r>
      <w:r w:rsidR="0049107A" w:rsidRPr="001A765C">
        <w:t xml:space="preserve"> </w:t>
      </w:r>
      <w:r w:rsidRPr="001A765C">
        <w:t>a</w:t>
      </w:r>
      <w:r w:rsidR="0049107A" w:rsidRPr="001A765C">
        <w:t xml:space="preserve"> </w:t>
      </w:r>
      <w:r w:rsidRPr="001A765C">
        <w:t>aussi</w:t>
      </w:r>
      <w:r w:rsidR="0049107A" w:rsidRPr="001A765C">
        <w:t xml:space="preserve"> </w:t>
      </w:r>
      <w:r w:rsidRPr="001A765C">
        <w:t>organisé,</w:t>
      </w:r>
      <w:r w:rsidR="0049107A" w:rsidRPr="001A765C">
        <w:t xml:space="preserve"> </w:t>
      </w:r>
      <w:r w:rsidRPr="001A765C">
        <w:t>conformément</w:t>
      </w:r>
      <w:r w:rsidR="0049107A" w:rsidRPr="001A765C">
        <w:t xml:space="preserve"> </w:t>
      </w:r>
      <w:r w:rsidRPr="001A765C">
        <w:t>à</w:t>
      </w:r>
      <w:r w:rsidR="0049107A" w:rsidRPr="001A765C">
        <w:t xml:space="preserve"> </w:t>
      </w:r>
      <w:r w:rsidRPr="001A765C">
        <w:t>l’article</w:t>
      </w:r>
      <w:r w:rsidR="0049107A" w:rsidRPr="001A765C">
        <w:t xml:space="preserve"> </w:t>
      </w:r>
      <w:r w:rsidRPr="001A765C">
        <w:t>19</w:t>
      </w:r>
      <w:r w:rsidR="0049107A" w:rsidRPr="001A765C">
        <w:t xml:space="preserve"> </w:t>
      </w:r>
      <w:r w:rsidRPr="001A765C">
        <w:t>de</w:t>
      </w:r>
      <w:r w:rsidR="0049107A" w:rsidRPr="001A765C">
        <w:t xml:space="preserve"> </w:t>
      </w:r>
      <w:r w:rsidRPr="001A765C">
        <w:t>son</w:t>
      </w:r>
      <w:r w:rsidR="0049107A" w:rsidRPr="001A765C">
        <w:t xml:space="preserve"> </w:t>
      </w:r>
      <w:r w:rsidRPr="001A765C">
        <w:t>règlement</w:t>
      </w:r>
      <w:r w:rsidR="0049107A" w:rsidRPr="001A765C">
        <w:t xml:space="preserve"> </w:t>
      </w:r>
      <w:r w:rsidRPr="001A765C">
        <w:t>intérieur,</w:t>
      </w:r>
      <w:r w:rsidR="0049107A" w:rsidRPr="001A765C">
        <w:t xml:space="preserve"> </w:t>
      </w:r>
      <w:r w:rsidRPr="001A765C">
        <w:t>des</w:t>
      </w:r>
      <w:r w:rsidR="0049107A" w:rsidRPr="001A765C">
        <w:t xml:space="preserve"> </w:t>
      </w:r>
      <w:r w:rsidRPr="001A765C">
        <w:t>consultations</w:t>
      </w:r>
      <w:r w:rsidR="0049107A" w:rsidRPr="001A765C">
        <w:t xml:space="preserve"> </w:t>
      </w:r>
      <w:r w:rsidRPr="001A765C">
        <w:t>par</w:t>
      </w:r>
      <w:r w:rsidR="0049107A" w:rsidRPr="001A765C">
        <w:t xml:space="preserve"> </w:t>
      </w:r>
      <w:r w:rsidRPr="001A765C">
        <w:t>courrier</w:t>
      </w:r>
      <w:r w:rsidR="0049107A" w:rsidRPr="001A765C">
        <w:t xml:space="preserve"> </w:t>
      </w:r>
      <w:r w:rsidRPr="001A765C">
        <w:t>électronique</w:t>
      </w:r>
      <w:r w:rsidR="0049107A" w:rsidRPr="001A765C">
        <w:t xml:space="preserve"> </w:t>
      </w:r>
      <w:r w:rsidRPr="001A765C">
        <w:t>entre</w:t>
      </w:r>
      <w:r w:rsidR="0049107A" w:rsidRPr="001A765C">
        <w:t xml:space="preserve"> </w:t>
      </w:r>
      <w:r w:rsidRPr="001A765C">
        <w:t>ses</w:t>
      </w:r>
      <w:r w:rsidR="0049107A" w:rsidRPr="001A765C">
        <w:t xml:space="preserve"> </w:t>
      </w:r>
      <w:r w:rsidRPr="001A765C">
        <w:t>sessions</w:t>
      </w:r>
      <w:r w:rsidR="0049107A" w:rsidRPr="001A765C">
        <w:t xml:space="preserve"> </w:t>
      </w:r>
      <w:r w:rsidRPr="001A765C">
        <w:t>et</w:t>
      </w:r>
      <w:r w:rsidR="0049107A" w:rsidRPr="001A765C">
        <w:t xml:space="preserve"> </w:t>
      </w:r>
      <w:r w:rsidRPr="001A765C">
        <w:t>a</w:t>
      </w:r>
      <w:r w:rsidR="0049107A" w:rsidRPr="001A765C">
        <w:t xml:space="preserve"> </w:t>
      </w:r>
      <w:r w:rsidRPr="001A765C">
        <w:t>tenu</w:t>
      </w:r>
      <w:r w:rsidR="0049107A" w:rsidRPr="001A765C">
        <w:t xml:space="preserve"> </w:t>
      </w:r>
      <w:r w:rsidRPr="001A765C">
        <w:t>trois</w:t>
      </w:r>
      <w:r w:rsidR="0049107A" w:rsidRPr="001A765C">
        <w:t xml:space="preserve"> </w:t>
      </w:r>
      <w:r w:rsidRPr="001A765C">
        <w:t>réunions</w:t>
      </w:r>
      <w:r w:rsidR="0049107A" w:rsidRPr="001A765C">
        <w:t xml:space="preserve"> </w:t>
      </w:r>
      <w:r w:rsidRPr="001A765C">
        <w:t>supplémentaires</w:t>
      </w:r>
      <w:r w:rsidR="0049107A" w:rsidRPr="001A765C">
        <w:t xml:space="preserve"> </w:t>
      </w:r>
      <w:r w:rsidRPr="001A765C">
        <w:t>par</w:t>
      </w:r>
      <w:r w:rsidR="0049107A" w:rsidRPr="001A765C">
        <w:t xml:space="preserve"> </w:t>
      </w:r>
      <w:r w:rsidRPr="001A765C">
        <w:t>vidéoconférence.</w:t>
      </w:r>
    </w:p>
    <w:p w14:paraId="6A431494" w14:textId="77777777" w:rsidR="002749FA" w:rsidRPr="00DD2C62" w:rsidRDefault="002749FA" w:rsidP="005A5D45">
      <w:pPr>
        <w:pStyle w:val="SingleTxtG"/>
      </w:pPr>
      <w:r w:rsidRPr="00DD2C62">
        <w:t>93.</w:t>
      </w:r>
      <w:r w:rsidRPr="00DD2C62">
        <w:tab/>
        <w:t>Le</w:t>
      </w:r>
      <w:r w:rsidR="0049107A" w:rsidRPr="00DD2C62">
        <w:t xml:space="preserve"> </w:t>
      </w:r>
      <w:r w:rsidRPr="00DD2C62">
        <w:t>tableau</w:t>
      </w:r>
      <w:r w:rsidR="0049107A" w:rsidRPr="00DD2C62">
        <w:t xml:space="preserve"> </w:t>
      </w:r>
      <w:r w:rsidRPr="00DD2C62">
        <w:t>5</w:t>
      </w:r>
      <w:r w:rsidR="0049107A" w:rsidRPr="00DD2C62">
        <w:t xml:space="preserve"> </w:t>
      </w:r>
      <w:r w:rsidRPr="00DD2C62">
        <w:t>donne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aperçu</w:t>
      </w:r>
      <w:r w:rsidR="0049107A" w:rsidRPr="00DD2C62">
        <w:t xml:space="preserve"> </w:t>
      </w:r>
      <w:r w:rsidRPr="00DD2C62">
        <w:t>approximatif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temps</w:t>
      </w:r>
      <w:r w:rsidR="0049107A" w:rsidRPr="00DD2C62">
        <w:t xml:space="preserve"> </w:t>
      </w:r>
      <w:r w:rsidRPr="00DD2C62">
        <w:t>consacré</w:t>
      </w:r>
      <w:r w:rsidR="0049107A" w:rsidRPr="00DD2C62">
        <w:t xml:space="preserve"> </w:t>
      </w:r>
      <w:r w:rsidRPr="00DD2C62">
        <w:t>par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diverses</w:t>
      </w:r>
      <w:r w:rsidR="0049107A" w:rsidRPr="00DD2C62">
        <w:t xml:space="preserve"> </w:t>
      </w:r>
      <w:r w:rsidRPr="00DD2C62">
        <w:t>tâches</w:t>
      </w:r>
      <w:r w:rsidR="0049107A" w:rsidRPr="00DD2C62">
        <w:t xml:space="preserve"> </w:t>
      </w:r>
      <w:r w:rsidRPr="00DD2C62">
        <w:t>décrites</w:t>
      </w:r>
      <w:r w:rsidR="0049107A" w:rsidRPr="00DD2C62">
        <w:t xml:space="preserve"> </w:t>
      </w:r>
      <w:r w:rsidRPr="00DD2C62">
        <w:t>dans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présent</w:t>
      </w:r>
      <w:r w:rsidR="0049107A" w:rsidRPr="00DD2C62">
        <w:t xml:space="preserve"> </w:t>
      </w:r>
      <w:r w:rsidRPr="00DD2C62">
        <w:t>document.</w:t>
      </w:r>
    </w:p>
    <w:p w14:paraId="2A795D5D" w14:textId="77777777" w:rsidR="002749FA" w:rsidRPr="00DD2C62" w:rsidRDefault="002749FA" w:rsidP="002749FA">
      <w:pPr>
        <w:pStyle w:val="Heading1"/>
      </w:pPr>
      <w:r w:rsidRPr="00DD2C62">
        <w:t>Tableau</w:t>
      </w:r>
      <w:r w:rsidR="0049107A" w:rsidRPr="00DD2C62">
        <w:t xml:space="preserve"> </w:t>
      </w:r>
      <w:r w:rsidRPr="00DD2C62">
        <w:t>5</w:t>
      </w:r>
    </w:p>
    <w:p w14:paraId="0CFF8C55" w14:textId="77777777" w:rsidR="002749FA" w:rsidRPr="00DD2C62" w:rsidRDefault="002749FA" w:rsidP="002749FA">
      <w:pPr>
        <w:pStyle w:val="SingleTxtG"/>
        <w:keepNext/>
        <w:jc w:val="left"/>
        <w:rPr>
          <w:b/>
          <w:bCs/>
        </w:rPr>
      </w:pPr>
      <w:r w:rsidRPr="00DD2C62">
        <w:rPr>
          <w:b/>
          <w:bCs/>
        </w:rPr>
        <w:t>Aperçu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du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temps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consacré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par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le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Comité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à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ses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principales</w:t>
      </w:r>
      <w:r w:rsidR="0049107A" w:rsidRPr="00DD2C62">
        <w:rPr>
          <w:b/>
          <w:bCs/>
        </w:rPr>
        <w:t xml:space="preserve"> </w:t>
      </w:r>
      <w:r w:rsidRPr="00DD2C62">
        <w:rPr>
          <w:b/>
          <w:bCs/>
        </w:rPr>
        <w:t>tâches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1841"/>
      </w:tblGrid>
      <w:tr w:rsidR="002749FA" w:rsidRPr="005A5D45" w14:paraId="068DC7B2" w14:textId="77777777" w:rsidTr="005A5D45">
        <w:trPr>
          <w:tblHeader/>
        </w:trPr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B760A9" w14:textId="77777777" w:rsidR="002749FA" w:rsidRPr="005A5D45" w:rsidRDefault="002749FA" w:rsidP="005A5D4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A5D45">
              <w:rPr>
                <w:i/>
                <w:sz w:val="16"/>
              </w:rPr>
              <w:t>Tâche</w:t>
            </w:r>
            <w:r w:rsidR="0049107A" w:rsidRPr="005A5D45">
              <w:rPr>
                <w:i/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40DB0" w14:textId="77777777" w:rsidR="002749FA" w:rsidRPr="005A5D45" w:rsidRDefault="002749FA" w:rsidP="005A5D4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A5D45">
              <w:rPr>
                <w:i/>
                <w:sz w:val="16"/>
              </w:rPr>
              <w:t>Proportion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approximative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du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temps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passé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par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le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Comité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en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session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(en</w:t>
            </w:r>
            <w:r w:rsidR="0049107A" w:rsidRPr="005A5D45">
              <w:rPr>
                <w:i/>
                <w:sz w:val="16"/>
              </w:rPr>
              <w:t xml:space="preserve"> </w:t>
            </w:r>
            <w:r w:rsidRPr="005A5D45">
              <w:rPr>
                <w:i/>
                <w:sz w:val="16"/>
              </w:rPr>
              <w:t>%)</w:t>
            </w:r>
            <w:r w:rsidR="0049107A" w:rsidRPr="005A5D45">
              <w:rPr>
                <w:i/>
                <w:iCs/>
                <w:sz w:val="16"/>
              </w:rPr>
              <w:t xml:space="preserve"> </w:t>
            </w:r>
          </w:p>
        </w:tc>
      </w:tr>
      <w:tr w:rsidR="002749FA" w:rsidRPr="005A5D45" w14:paraId="623B4CE5" w14:textId="77777777" w:rsidTr="005A5D45"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</w:tcPr>
          <w:p w14:paraId="0832B855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Suivi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décision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VI/2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et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révision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du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projet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décision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VII/2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CD63EFE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37</w:t>
            </w:r>
          </w:p>
        </w:tc>
      </w:tr>
      <w:tr w:rsidR="002749FA" w:rsidRPr="005A5D45" w14:paraId="66B8D4DD" w14:textId="77777777" w:rsidTr="005A5D45">
        <w:tc>
          <w:tcPr>
            <w:tcW w:w="5529" w:type="dxa"/>
            <w:shd w:val="clear" w:color="auto" w:fill="auto"/>
          </w:tcPr>
          <w:p w14:paraId="1801D6FE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Suivi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décisions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IS/1a,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c,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d,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g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et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f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9A19409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13</w:t>
            </w:r>
          </w:p>
        </w:tc>
      </w:tr>
      <w:tr w:rsidR="002749FA" w:rsidRPr="005A5D45" w14:paraId="71B0C27B" w14:textId="77777777" w:rsidTr="005A5D45">
        <w:tc>
          <w:tcPr>
            <w:tcW w:w="5529" w:type="dxa"/>
            <w:shd w:val="clear" w:color="auto" w:fill="auto"/>
          </w:tcPr>
          <w:p w14:paraId="5BCB19F2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Examen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résultats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examens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l’application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9AF35D4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4</w:t>
            </w:r>
          </w:p>
        </w:tc>
      </w:tr>
      <w:tr w:rsidR="002749FA" w:rsidRPr="005A5D45" w14:paraId="7630A322" w14:textId="77777777" w:rsidTr="005A5D45">
        <w:tc>
          <w:tcPr>
            <w:tcW w:w="5529" w:type="dxa"/>
            <w:shd w:val="clear" w:color="auto" w:fill="auto"/>
          </w:tcPr>
          <w:p w14:paraId="2521D8EE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Examen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communications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Parties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E8BD9D6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5</w:t>
            </w:r>
          </w:p>
        </w:tc>
      </w:tr>
      <w:tr w:rsidR="002749FA" w:rsidRPr="005A5D45" w14:paraId="624026B1" w14:textId="77777777" w:rsidTr="005A5D45">
        <w:tc>
          <w:tcPr>
            <w:tcW w:w="5529" w:type="dxa"/>
            <w:shd w:val="clear" w:color="auto" w:fill="auto"/>
          </w:tcPr>
          <w:p w14:paraId="42EF38A0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Examen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informations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reçues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d’autres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sources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6E5C33E7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18</w:t>
            </w:r>
          </w:p>
        </w:tc>
      </w:tr>
      <w:tr w:rsidR="002749FA" w:rsidRPr="005A5D45" w14:paraId="303DC177" w14:textId="77777777" w:rsidTr="005A5D45">
        <w:tc>
          <w:tcPr>
            <w:tcW w:w="5529" w:type="dxa"/>
            <w:shd w:val="clear" w:color="auto" w:fill="auto"/>
          </w:tcPr>
          <w:p w14:paraId="52194538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Initiative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du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Comité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E8144EB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&lt;3</w:t>
            </w:r>
          </w:p>
        </w:tc>
      </w:tr>
      <w:tr w:rsidR="002749FA" w:rsidRPr="005A5D45" w14:paraId="780E9B83" w14:textId="77777777" w:rsidTr="005A5D45">
        <w:tc>
          <w:tcPr>
            <w:tcW w:w="5529" w:type="dxa"/>
            <w:shd w:val="clear" w:color="auto" w:fill="auto"/>
          </w:tcPr>
          <w:p w14:paraId="4C33C0C1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Modification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questionnaires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787693BC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&lt;1</w:t>
            </w:r>
          </w:p>
        </w:tc>
      </w:tr>
      <w:tr w:rsidR="002749FA" w:rsidRPr="005A5D45" w14:paraId="61A75672" w14:textId="77777777" w:rsidTr="005A5D45">
        <w:tc>
          <w:tcPr>
            <w:tcW w:w="5529" w:type="dxa"/>
            <w:shd w:val="clear" w:color="auto" w:fill="auto"/>
          </w:tcPr>
          <w:p w14:paraId="6370F97B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Examen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structure,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fonctions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et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du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Règlement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intérieur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du</w:t>
            </w:r>
            <w:r w:rsidR="00B4168E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Comité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01FDE7F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5</w:t>
            </w:r>
          </w:p>
        </w:tc>
      </w:tr>
      <w:tr w:rsidR="002749FA" w:rsidRPr="005A5D45" w14:paraId="69D9049F" w14:textId="77777777" w:rsidTr="005A5D45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BAC48FA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A5D45">
              <w:rPr>
                <w:sz w:val="18"/>
              </w:rPr>
              <w:t>Préparation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septième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session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Réunion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Parties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à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Convention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et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troisième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session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la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Réunion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des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Parties</w:t>
            </w:r>
            <w:r w:rsidR="0049107A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au</w:t>
            </w:r>
            <w:r w:rsidR="00BB7663" w:rsidRPr="005A5D45">
              <w:rPr>
                <w:sz w:val="18"/>
              </w:rPr>
              <w:t xml:space="preserve"> </w:t>
            </w:r>
            <w:r w:rsidRPr="005A5D45">
              <w:rPr>
                <w:sz w:val="18"/>
              </w:rPr>
              <w:t>Protocole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7886D2" w14:textId="77777777" w:rsidR="002749FA" w:rsidRPr="005A5D45" w:rsidRDefault="002749FA" w:rsidP="005A5D4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A5D45">
              <w:rPr>
                <w:sz w:val="18"/>
              </w:rPr>
              <w:t>14</w:t>
            </w:r>
          </w:p>
        </w:tc>
      </w:tr>
      <w:tr w:rsidR="002749FA" w:rsidRPr="005A5D45" w14:paraId="5C99D069" w14:textId="77777777" w:rsidTr="005A5D45"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933BE7" w14:textId="77777777" w:rsidR="002749FA" w:rsidRPr="005A5D45" w:rsidRDefault="002749FA" w:rsidP="005A5D45">
            <w:pPr>
              <w:suppressAutoHyphens w:val="0"/>
              <w:spacing w:before="80" w:after="80" w:line="220" w:lineRule="exact"/>
              <w:ind w:left="283"/>
              <w:rPr>
                <w:b/>
                <w:bCs/>
                <w:sz w:val="18"/>
              </w:rPr>
            </w:pPr>
            <w:r w:rsidRPr="005A5D45">
              <w:rPr>
                <w:b/>
                <w:bCs/>
                <w:sz w:val="18"/>
              </w:rPr>
              <w:t>Total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DD539" w14:textId="77777777" w:rsidR="002749FA" w:rsidRPr="005A5D45" w:rsidRDefault="002749FA" w:rsidP="005A5D45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</w:rPr>
            </w:pPr>
            <w:r w:rsidRPr="005A5D45">
              <w:rPr>
                <w:b/>
                <w:bCs/>
                <w:sz w:val="18"/>
              </w:rPr>
              <w:t>100</w:t>
            </w:r>
          </w:p>
        </w:tc>
      </w:tr>
    </w:tbl>
    <w:p w14:paraId="13DD2AC8" w14:textId="77777777" w:rsidR="002749FA" w:rsidRPr="00DD2C62" w:rsidRDefault="002749FA" w:rsidP="002749FA">
      <w:pPr>
        <w:pStyle w:val="SingleTxtG"/>
        <w:spacing w:before="120" w:line="276" w:lineRule="auto"/>
        <w:ind w:firstLine="142"/>
        <w:rPr>
          <w:sz w:val="18"/>
          <w:szCs w:val="18"/>
        </w:rPr>
      </w:pPr>
      <w:r w:rsidRPr="00DD2C62">
        <w:rPr>
          <w:i/>
          <w:sz w:val="18"/>
          <w:szCs w:val="18"/>
        </w:rPr>
        <w:t>Abréviations</w:t>
      </w:r>
      <w:r w:rsidR="00DD2C62" w:rsidRPr="00DD2C62">
        <w:rPr>
          <w:i/>
          <w:sz w:val="18"/>
          <w:szCs w:val="18"/>
        </w:rPr>
        <w:t> :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Le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symbole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(&lt;)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signifie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«</w:t>
      </w:r>
      <w:r w:rsidR="001A765C">
        <w:rPr>
          <w:sz w:val="18"/>
          <w:szCs w:val="18"/>
        </w:rPr>
        <w:t> </w:t>
      </w:r>
      <w:r w:rsidRPr="00DD2C62">
        <w:rPr>
          <w:sz w:val="18"/>
          <w:szCs w:val="18"/>
        </w:rPr>
        <w:t>moins</w:t>
      </w:r>
      <w:r w:rsidR="0049107A" w:rsidRPr="00DD2C62">
        <w:rPr>
          <w:sz w:val="18"/>
          <w:szCs w:val="18"/>
        </w:rPr>
        <w:t xml:space="preserve"> </w:t>
      </w:r>
      <w:r w:rsidRPr="00DD2C62">
        <w:rPr>
          <w:sz w:val="18"/>
          <w:szCs w:val="18"/>
        </w:rPr>
        <w:t>de</w:t>
      </w:r>
      <w:r w:rsidR="001A765C">
        <w:rPr>
          <w:sz w:val="18"/>
          <w:szCs w:val="18"/>
        </w:rPr>
        <w:t> </w:t>
      </w:r>
      <w:r w:rsidRPr="00DD2C62">
        <w:rPr>
          <w:sz w:val="18"/>
          <w:szCs w:val="18"/>
        </w:rPr>
        <w:t>».</w:t>
      </w:r>
    </w:p>
    <w:p w14:paraId="26BEFDF2" w14:textId="77777777" w:rsidR="002749FA" w:rsidRPr="00DD2C62" w:rsidRDefault="002749FA" w:rsidP="005A5D45">
      <w:pPr>
        <w:pStyle w:val="HChG"/>
      </w:pPr>
      <w:r w:rsidRPr="00DD2C62">
        <w:tab/>
        <w:t>X.</w:t>
      </w:r>
      <w:r w:rsidRPr="00DD2C62">
        <w:tab/>
        <w:t>Efforts</w:t>
      </w:r>
      <w:r w:rsidR="0049107A" w:rsidRPr="00DD2C62">
        <w:t xml:space="preserve"> </w:t>
      </w:r>
      <w:r w:rsidRPr="00DD2C62">
        <w:t>d’information</w:t>
      </w:r>
    </w:p>
    <w:p w14:paraId="0820E4BD" w14:textId="77777777" w:rsidR="002749FA" w:rsidRPr="00F94E17" w:rsidRDefault="002749FA" w:rsidP="005A5D45">
      <w:pPr>
        <w:pStyle w:val="SingleTxtG"/>
      </w:pPr>
      <w:r w:rsidRPr="00DD2C62">
        <w:t>94.</w:t>
      </w:r>
      <w:r w:rsidRPr="00DD2C62">
        <w:tab/>
        <w:t>Le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entrepris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mesures</w:t>
      </w:r>
      <w:r w:rsidR="0049107A" w:rsidRPr="00DD2C62">
        <w:t xml:space="preserve"> </w:t>
      </w:r>
      <w:r w:rsidRPr="00DD2C62">
        <w:t>pour</w:t>
      </w:r>
      <w:r w:rsidR="0049107A" w:rsidRPr="00DD2C62">
        <w:t xml:space="preserve"> </w:t>
      </w:r>
      <w:r w:rsidRPr="00DD2C62">
        <w:t>faire</w:t>
      </w:r>
      <w:r w:rsidR="0049107A" w:rsidRPr="00DD2C62">
        <w:t xml:space="preserve"> </w:t>
      </w:r>
      <w:r w:rsidRPr="00DD2C62">
        <w:t>connaître</w:t>
      </w:r>
      <w:r w:rsidR="0049107A" w:rsidRPr="00DD2C62">
        <w:t xml:space="preserve"> </w:t>
      </w:r>
      <w:r w:rsidRPr="00DD2C62">
        <w:t>ses</w:t>
      </w:r>
      <w:r w:rsidR="0049107A" w:rsidRPr="00DD2C62">
        <w:t xml:space="preserve"> </w:t>
      </w:r>
      <w:r w:rsidRPr="00DD2C62">
        <w:t>travaux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aider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Parties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appliquer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particulier,</w:t>
      </w:r>
      <w:r w:rsidR="0049107A" w:rsidRPr="00DD2C62">
        <w:t xml:space="preserve"> </w:t>
      </w:r>
      <w:r w:rsidRPr="00DD2C62">
        <w:t>il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continué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demander</w:t>
      </w:r>
      <w:r w:rsidR="0049107A" w:rsidRPr="00DD2C62">
        <w:t xml:space="preserve"> </w:t>
      </w:r>
      <w:r w:rsidRPr="00DD2C62">
        <w:t>que</w:t>
      </w:r>
      <w:r w:rsidR="0049107A" w:rsidRPr="00DD2C62">
        <w:t xml:space="preserve"> </w:t>
      </w:r>
      <w:r w:rsidRPr="00DD2C62">
        <w:t>sa</w:t>
      </w:r>
      <w:r w:rsidR="0049107A" w:rsidRPr="00DD2C62">
        <w:t xml:space="preserve"> </w:t>
      </w:r>
      <w:r w:rsidRPr="00DD2C62">
        <w:t>correspondance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les</w:t>
      </w:r>
      <w:r w:rsidR="0049107A" w:rsidRPr="00DD2C62">
        <w:t xml:space="preserve"> </w:t>
      </w:r>
      <w:r w:rsidRPr="00DD2C62">
        <w:t>informations</w:t>
      </w:r>
      <w:r w:rsidR="0049107A" w:rsidRPr="00DD2C62">
        <w:t xml:space="preserve"> </w:t>
      </w:r>
      <w:r w:rsidRPr="00DD2C62">
        <w:t>relatives</w:t>
      </w:r>
      <w:r w:rsidR="0049107A" w:rsidRPr="00DD2C62">
        <w:t xml:space="preserve"> </w:t>
      </w:r>
      <w:r w:rsidRPr="00DD2C62">
        <w:t>aux</w:t>
      </w:r>
      <w:r w:rsidR="0049107A" w:rsidRPr="00DD2C62">
        <w:t xml:space="preserve"> </w:t>
      </w:r>
      <w:r w:rsidRPr="00DD2C62">
        <w:t>questions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soient</w:t>
      </w:r>
      <w:r w:rsidR="0049107A" w:rsidRPr="00DD2C62">
        <w:t xml:space="preserve"> </w:t>
      </w:r>
      <w:r w:rsidRPr="00DD2C62">
        <w:t>publiées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site</w:t>
      </w:r>
      <w:r w:rsidR="0049107A" w:rsidRPr="00DD2C62">
        <w:t xml:space="preserve"> </w:t>
      </w:r>
      <w:r w:rsidR="00BB7663" w:rsidRPr="00DD2C62">
        <w:t xml:space="preserve">Web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Convention.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Président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régulièrement</w:t>
      </w:r>
      <w:r w:rsidR="0049107A" w:rsidRPr="00DD2C62">
        <w:t xml:space="preserve"> </w:t>
      </w:r>
      <w:r w:rsidRPr="00DD2C62">
        <w:t>procédé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échanges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données</w:t>
      </w:r>
      <w:r w:rsidR="0049107A" w:rsidRPr="00DD2C62">
        <w:t xml:space="preserve"> </w:t>
      </w:r>
      <w:r w:rsidRPr="00DD2C62">
        <w:t>d’expérience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le</w:t>
      </w:r>
      <w:r w:rsidR="0049107A" w:rsidRPr="00DD2C62">
        <w:t xml:space="preserve"> </w:t>
      </w:r>
      <w:r w:rsidRPr="00DD2C62">
        <w:t>Président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respect</w:t>
      </w:r>
      <w:r w:rsidR="0049107A" w:rsidRPr="00DD2C62">
        <w:t xml:space="preserve"> </w:t>
      </w:r>
      <w:r w:rsidRPr="00DD2C62">
        <w:t>des</w:t>
      </w:r>
      <w:r w:rsidR="0049107A" w:rsidRPr="00DD2C62">
        <w:t xml:space="preserve"> </w:t>
      </w:r>
      <w:r w:rsidRPr="00DD2C62">
        <w:t>dispositions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sur</w:t>
      </w:r>
      <w:r w:rsidR="0049107A" w:rsidRPr="00DD2C62">
        <w:t xml:space="preserve"> </w:t>
      </w:r>
      <w:r w:rsidRPr="00DD2C62">
        <w:t>l’accès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l’information,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participation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public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processus</w:t>
      </w:r>
      <w:r w:rsidR="0049107A" w:rsidRPr="00DD2C62">
        <w:t xml:space="preserve"> </w:t>
      </w:r>
      <w:r w:rsidRPr="00DD2C62">
        <w:t>décisionnel</w:t>
      </w:r>
      <w:r w:rsidR="0049107A" w:rsidRPr="00DD2C62">
        <w:t xml:space="preserve"> </w:t>
      </w:r>
      <w:r w:rsidRPr="00DD2C62">
        <w:t>et</w:t>
      </w:r>
      <w:r w:rsidR="0049107A" w:rsidRPr="00DD2C62">
        <w:t xml:space="preserve"> </w:t>
      </w:r>
      <w:r w:rsidRPr="00DD2C62">
        <w:t>l’accès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justice</w:t>
      </w:r>
      <w:r w:rsidR="0049107A" w:rsidRPr="00DD2C62">
        <w:t xml:space="preserve"> </w:t>
      </w:r>
      <w:r w:rsidRPr="00DD2C62">
        <w:t>en</w:t>
      </w:r>
      <w:r w:rsidR="0049107A" w:rsidRPr="00DD2C62">
        <w:t xml:space="preserve"> </w:t>
      </w:r>
      <w:r w:rsidRPr="00DD2C62">
        <w:t>matière</w:t>
      </w:r>
      <w:r w:rsidR="0049107A" w:rsidRPr="00DD2C62">
        <w:t xml:space="preserve"> </w:t>
      </w:r>
      <w:r w:rsidRPr="00DD2C62">
        <w:t>d’environnement</w:t>
      </w:r>
      <w:r w:rsidR="0049107A" w:rsidRPr="00DD2C62">
        <w:t xml:space="preserve"> </w:t>
      </w:r>
      <w:r w:rsidRPr="00DD2C62">
        <w:t>et,</w:t>
      </w:r>
      <w:r w:rsidR="0049107A" w:rsidRPr="00DD2C62">
        <w:t xml:space="preserve"> </w:t>
      </w:r>
      <w:r w:rsidRPr="00DD2C62">
        <w:t>avec</w:t>
      </w:r>
      <w:r w:rsidR="0049107A" w:rsidRPr="00DD2C62">
        <w:t xml:space="preserve"> </w:t>
      </w:r>
      <w:r w:rsidRPr="00DD2C62">
        <w:t>un</w:t>
      </w:r>
      <w:r w:rsidR="0049107A" w:rsidRPr="00DD2C62">
        <w:t xml:space="preserve"> </w:t>
      </w:r>
      <w:r w:rsidRPr="00DD2C62">
        <w:t>membre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Comité,</w:t>
      </w:r>
      <w:r w:rsidR="0049107A" w:rsidRPr="00DD2C62">
        <w:t xml:space="preserve"> </w:t>
      </w:r>
      <w:r w:rsidRPr="00DD2C62">
        <w:t>a</w:t>
      </w:r>
      <w:r w:rsidR="0049107A" w:rsidRPr="00DD2C62">
        <w:t xml:space="preserve"> </w:t>
      </w:r>
      <w:r w:rsidRPr="00DD2C62">
        <w:t>participé</w:t>
      </w:r>
      <w:r w:rsidR="0049107A" w:rsidRPr="00DD2C62">
        <w:t xml:space="preserve"> </w:t>
      </w:r>
      <w:r w:rsidRPr="00DD2C62">
        <w:t>(par</w:t>
      </w:r>
      <w:r w:rsidR="0049107A" w:rsidRPr="00DD2C62">
        <w:t xml:space="preserve"> </w:t>
      </w:r>
      <w:r w:rsidRPr="00DD2C62">
        <w:t>vidéoconférence)</w:t>
      </w:r>
      <w:r w:rsidR="0049107A" w:rsidRPr="00DD2C62">
        <w:t xml:space="preserve"> </w:t>
      </w:r>
      <w:r w:rsidRPr="00DD2C62">
        <w:t>à</w:t>
      </w:r>
      <w:r w:rsidR="0049107A" w:rsidRPr="00DD2C62">
        <w:t xml:space="preserve"> </w:t>
      </w:r>
      <w:r w:rsidRPr="00DD2C62">
        <w:t>une</w:t>
      </w:r>
      <w:r w:rsidR="0049107A" w:rsidRPr="00DD2C62">
        <w:t xml:space="preserve"> </w:t>
      </w:r>
      <w:r w:rsidRPr="00DD2C62">
        <w:t>réunion</w:t>
      </w:r>
      <w:r w:rsidR="0049107A" w:rsidRPr="00DD2C62">
        <w:t xml:space="preserve"> </w:t>
      </w:r>
      <w:r w:rsidRPr="00DD2C62">
        <w:t>du</w:t>
      </w:r>
      <w:r w:rsidR="0049107A" w:rsidRPr="00DD2C62">
        <w:t xml:space="preserve"> </w:t>
      </w:r>
      <w:r w:rsidRPr="00DD2C62">
        <w:t>Comité</w:t>
      </w:r>
      <w:r w:rsidR="0049107A" w:rsidRPr="00DD2C62">
        <w:t xml:space="preserve"> </w:t>
      </w:r>
      <w:r w:rsidRPr="00DD2C62">
        <w:t>d’application</w:t>
      </w:r>
      <w:r w:rsidR="0049107A" w:rsidRPr="00DD2C62">
        <w:t xml:space="preserve"> </w:t>
      </w:r>
      <w:r w:rsidRPr="00DD2C62">
        <w:t>au</w:t>
      </w:r>
      <w:r w:rsidR="0049107A" w:rsidRPr="00DD2C62">
        <w:t xml:space="preserve"> </w:t>
      </w:r>
      <w:r w:rsidRPr="00DD2C62">
        <w:t>titre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la</w:t>
      </w:r>
      <w:r w:rsidR="0049107A" w:rsidRPr="00DD2C62">
        <w:t xml:space="preserve"> </w:t>
      </w:r>
      <w:r w:rsidRPr="00DD2C62">
        <w:t>Convention</w:t>
      </w:r>
      <w:r w:rsidR="0049107A" w:rsidRPr="00DD2C62">
        <w:t xml:space="preserve"> </w:t>
      </w:r>
      <w:r w:rsidRPr="00DD2C62">
        <w:t>de</w:t>
      </w:r>
      <w:r w:rsidR="0049107A" w:rsidRPr="00DD2C62">
        <w:t xml:space="preserve"> </w:t>
      </w:r>
      <w:r w:rsidRPr="00DD2C62">
        <w:t>l’eau</w:t>
      </w:r>
      <w:r w:rsidR="0049107A" w:rsidRPr="00DD2C62">
        <w:t xml:space="preserve"> </w:t>
      </w:r>
      <w:r w:rsidRPr="00DD2C62">
        <w:t>(19</w:t>
      </w:r>
      <w:r w:rsidR="001A765C">
        <w:t> </w:t>
      </w:r>
      <w:r w:rsidRPr="00DD2C62">
        <w:t>mai</w:t>
      </w:r>
      <w:r w:rsidR="0049107A" w:rsidRPr="00DD2C62">
        <w:t xml:space="preserve"> </w:t>
      </w:r>
      <w:r w:rsidRPr="00DD2C62">
        <w:t>2020).</w:t>
      </w:r>
    </w:p>
    <w:p w14:paraId="70F3E67F" w14:textId="77777777" w:rsidR="005F26E5" w:rsidRPr="002749FA" w:rsidRDefault="002749FA" w:rsidP="005A5D45">
      <w:pPr>
        <w:pStyle w:val="SingleTxtG"/>
        <w:spacing w:before="240" w:after="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26E5" w:rsidRPr="002749FA" w:rsidSect="002749F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498F" w14:textId="77777777" w:rsidR="00F54A30" w:rsidRDefault="00F54A30" w:rsidP="00F95C08">
      <w:pPr>
        <w:spacing w:line="240" w:lineRule="auto"/>
      </w:pPr>
    </w:p>
  </w:endnote>
  <w:endnote w:type="continuationSeparator" w:id="0">
    <w:p w14:paraId="1109D5D5" w14:textId="77777777" w:rsidR="00F54A30" w:rsidRPr="00AC3823" w:rsidRDefault="00F54A30" w:rsidP="00AC3823">
      <w:pPr>
        <w:pStyle w:val="Footer"/>
      </w:pPr>
    </w:p>
  </w:endnote>
  <w:endnote w:type="continuationNotice" w:id="1">
    <w:p w14:paraId="2626D95F" w14:textId="77777777" w:rsidR="00F54A30" w:rsidRDefault="00F54A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E30A" w14:textId="77777777" w:rsidR="00F54A30" w:rsidRPr="002749FA" w:rsidRDefault="00F54A30" w:rsidP="002749FA">
    <w:pPr>
      <w:pStyle w:val="Footer"/>
      <w:tabs>
        <w:tab w:val="right" w:pos="9638"/>
      </w:tabs>
    </w:pPr>
    <w:r w:rsidRPr="002749FA">
      <w:rPr>
        <w:b/>
        <w:sz w:val="18"/>
      </w:rPr>
      <w:fldChar w:fldCharType="begin"/>
    </w:r>
    <w:r w:rsidRPr="002749FA">
      <w:rPr>
        <w:b/>
        <w:sz w:val="18"/>
      </w:rPr>
      <w:instrText xml:space="preserve"> PAGE  \* MERGEFORMAT </w:instrText>
    </w:r>
    <w:r w:rsidRPr="002749FA">
      <w:rPr>
        <w:b/>
        <w:sz w:val="18"/>
      </w:rPr>
      <w:fldChar w:fldCharType="separate"/>
    </w:r>
    <w:r w:rsidRPr="002749FA">
      <w:rPr>
        <w:b/>
        <w:noProof/>
        <w:sz w:val="18"/>
      </w:rPr>
      <w:t>2</w:t>
    </w:r>
    <w:r w:rsidRPr="002749FA">
      <w:rPr>
        <w:b/>
        <w:sz w:val="18"/>
      </w:rPr>
      <w:fldChar w:fldCharType="end"/>
    </w:r>
    <w:r>
      <w:rPr>
        <w:b/>
        <w:sz w:val="18"/>
      </w:rPr>
      <w:tab/>
    </w:r>
    <w:r>
      <w:t>GE.20-12422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50C4" w14:textId="77777777" w:rsidR="00F54A30" w:rsidRPr="002749FA" w:rsidRDefault="00F54A30" w:rsidP="002749FA">
    <w:pPr>
      <w:pStyle w:val="Footer"/>
      <w:tabs>
        <w:tab w:val="right" w:pos="9638"/>
      </w:tabs>
      <w:rPr>
        <w:b/>
        <w:sz w:val="18"/>
      </w:rPr>
    </w:pPr>
    <w:r>
      <w:t>GE.20-12422</w:t>
    </w:r>
    <w:r>
      <w:tab/>
    </w:r>
    <w:r w:rsidRPr="002749FA">
      <w:rPr>
        <w:b/>
        <w:sz w:val="18"/>
      </w:rPr>
      <w:fldChar w:fldCharType="begin"/>
    </w:r>
    <w:r w:rsidRPr="002749FA">
      <w:rPr>
        <w:b/>
        <w:sz w:val="18"/>
      </w:rPr>
      <w:instrText xml:space="preserve"> PAGE  \* MERGEFORMAT </w:instrText>
    </w:r>
    <w:r w:rsidRPr="002749FA">
      <w:rPr>
        <w:b/>
        <w:sz w:val="18"/>
      </w:rPr>
      <w:fldChar w:fldCharType="separate"/>
    </w:r>
    <w:r w:rsidRPr="002749FA">
      <w:rPr>
        <w:b/>
        <w:noProof/>
        <w:sz w:val="18"/>
      </w:rPr>
      <w:t>3</w:t>
    </w:r>
    <w:r w:rsidRPr="002749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7F34" w14:textId="77777777" w:rsidR="00F54A30" w:rsidRPr="002749FA" w:rsidRDefault="00F54A30" w:rsidP="002749FA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5511BE28" wp14:editId="24B8E0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20-12422  (F)    221020    221020</w:t>
    </w:r>
    <w:r>
      <w:rPr>
        <w:sz w:val="20"/>
      </w:rPr>
      <w:br/>
    </w:r>
    <w:r w:rsidRPr="002749FA">
      <w:rPr>
        <w:rFonts w:ascii="C39T30Lfz" w:hAnsi="C39T30Lfz"/>
        <w:sz w:val="56"/>
      </w:rPr>
      <w:t>*2012422*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7CB114" wp14:editId="41A235D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091E" w14:textId="77777777" w:rsidR="00F54A30" w:rsidRPr="00AC3823" w:rsidRDefault="00F54A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4FC9C8" w14:textId="77777777" w:rsidR="00F54A30" w:rsidRPr="00AC3823" w:rsidRDefault="00F54A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760BAE" w14:textId="77777777" w:rsidR="00F54A30" w:rsidRPr="00AC3823" w:rsidRDefault="00F54A30">
      <w:pPr>
        <w:spacing w:line="240" w:lineRule="auto"/>
        <w:rPr>
          <w:sz w:val="2"/>
          <w:szCs w:val="2"/>
        </w:rPr>
      </w:pPr>
    </w:p>
  </w:footnote>
  <w:footnote w:id="2">
    <w:p w14:paraId="06F85053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Les règles relatives aux procédures d’élection figurent aux paragraphes 2 et 3 de la décision V/6-I/6.</w:t>
      </w:r>
    </w:p>
  </w:footnote>
  <w:footnote w:id="3">
    <w:p w14:paraId="7F2E441C" w14:textId="77777777" w:rsidR="00F54A30" w:rsidRPr="001A765C" w:rsidRDefault="00F54A30" w:rsidP="002749FA">
      <w:pPr>
        <w:pStyle w:val="FootnoteText"/>
        <w:rPr>
          <w:spacing w:val="-2"/>
        </w:rPr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</w:r>
      <w:r w:rsidRPr="001A765C">
        <w:rPr>
          <w:spacing w:val="-2"/>
        </w:rPr>
        <w:t>Voir décision IV/2, annexe IV (voir ECE/MP.EIA/10), telle que modifiée par les décisions V/4, annexe (voir ECE/MP.EIA/15) et VI/2, annexe II (voir ECE/MP.EIA/20/Add.1-ECE/MP.EIA/SEA/4/Add.1).</w:t>
      </w:r>
    </w:p>
  </w:footnote>
  <w:footnote w:id="4">
    <w:p w14:paraId="2CF7DCB6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ECE/MP.EIA/23.Add.1</w:t>
      </w:r>
      <w:r w:rsidR="00AB7317" w:rsidRPr="001A765C">
        <w:t>-</w:t>
      </w:r>
      <w:r w:rsidRPr="001A765C">
        <w:t>ECE/MP.EIA/SEA/7.Add.1, décision VII/3</w:t>
      </w:r>
      <w:r w:rsidR="00AB7317" w:rsidRPr="001A765C">
        <w:t>-</w:t>
      </w:r>
      <w:r w:rsidRPr="001A765C">
        <w:t>III/3, par. 7.</w:t>
      </w:r>
    </w:p>
  </w:footnote>
  <w:footnote w:id="5">
    <w:p w14:paraId="3BDAF361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Un rapport sur les réunions additionnelles du Comité tenues les 26</w:t>
      </w:r>
      <w:r w:rsidR="00AB7317" w:rsidRPr="001A765C">
        <w:t> </w:t>
      </w:r>
      <w:r w:rsidRPr="001A765C">
        <w:t>mai et 10</w:t>
      </w:r>
      <w:r w:rsidR="00AB7317" w:rsidRPr="001A765C">
        <w:t> </w:t>
      </w:r>
      <w:r w:rsidRPr="001A765C">
        <w:t>juin 2020 est annexé au rapport du Comité sur sa quarante-huitième session (ECE/MP.EIA/IC/2020/4, annexe).</w:t>
      </w:r>
    </w:p>
  </w:footnote>
  <w:footnote w:id="6">
    <w:p w14:paraId="59B7B218" w14:textId="4BD70EFB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 xml:space="preserve">Les rapports sur les sessions du Comité sont disponibles à l’adresse </w:t>
      </w:r>
      <w:hyperlink r:id="rId1" w:anchor="/0/0/0/28089/19940" w:history="1">
        <w:r w:rsidRPr="001A765C">
          <w:rPr>
            <w:rStyle w:val="Hyperlink"/>
          </w:rPr>
          <w:t>www.unece.org/environmental-policy/conventions/environmental-assessment/meetings-and-events.html#/0/0/0/28089/19940</w:t>
        </w:r>
      </w:hyperlink>
      <w:r w:rsidRPr="001A765C">
        <w:rPr>
          <w:rStyle w:val="Hyperlink"/>
        </w:rPr>
        <w:t>.</w:t>
      </w:r>
    </w:p>
  </w:footnote>
  <w:footnote w:id="7">
    <w:p w14:paraId="77382519" w14:textId="14668396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 xml:space="preserve">Voir </w:t>
      </w:r>
      <w:hyperlink r:id="rId2" w:history="1">
        <w:r w:rsidRPr="001A765C">
          <w:rPr>
            <w:rStyle w:val="Hyperlink"/>
          </w:rPr>
          <w:t>www.unece.org/env/eia/implementation/implementation_committee.html</w:t>
        </w:r>
      </w:hyperlink>
      <w:r w:rsidRPr="001A765C">
        <w:t>.</w:t>
      </w:r>
    </w:p>
  </w:footnote>
  <w:footnote w:id="8">
    <w:p w14:paraId="3FF41CE1" w14:textId="3BD2C126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 xml:space="preserve">Voir </w:t>
      </w:r>
      <w:hyperlink r:id="rId3" w:history="1">
        <w:r w:rsidRPr="001A765C">
          <w:rPr>
            <w:rStyle w:val="Hyperlink"/>
          </w:rPr>
          <w:t>www.unece.org/env/eia/implementation/implementation_committee.html</w:t>
        </w:r>
      </w:hyperlink>
      <w:r w:rsidRPr="001A765C">
        <w:t>.</w:t>
      </w:r>
    </w:p>
  </w:footnote>
  <w:footnote w:id="9">
    <w:p w14:paraId="1304B3B1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Pour plus de détails, voir ECE/MP.EIA/IC/2018/4, annexe.</w:t>
      </w:r>
    </w:p>
  </w:footnote>
  <w:footnote w:id="10">
    <w:p w14:paraId="366E3982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Publication des Nations Unies, ECE/MP.EIA/7.</w:t>
      </w:r>
    </w:p>
  </w:footnote>
  <w:footnote w:id="11">
    <w:p w14:paraId="3DA11083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 xml:space="preserve">Voir </w:t>
      </w:r>
      <w:hyperlink r:id="rId4" w:history="1">
        <w:r w:rsidRPr="001A765C">
          <w:rPr>
            <w:rStyle w:val="Hyperlink"/>
          </w:rPr>
          <w:t>https://ec.europa.eu/environment/eia/sea-legalcontext.htm</w:t>
        </w:r>
      </w:hyperlink>
      <w:r w:rsidRPr="001A765C">
        <w:t>.</w:t>
      </w:r>
    </w:p>
  </w:footnote>
  <w:footnote w:id="12">
    <w:p w14:paraId="670334B9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ECE/MP.EIA/23.Add.2</w:t>
      </w:r>
      <w:r w:rsidR="00AB7317" w:rsidRPr="001A765C">
        <w:t>-</w:t>
      </w:r>
      <w:r w:rsidRPr="001A765C">
        <w:t>ECE/MP.EIA/SEA/7.Add.2, décision VII/1, par. 6.</w:t>
      </w:r>
    </w:p>
  </w:footnote>
  <w:footnote w:id="13">
    <w:p w14:paraId="010A93D3" w14:textId="77777777" w:rsidR="00F54A30" w:rsidRPr="001A765C" w:rsidRDefault="00F54A30" w:rsidP="002749FA">
      <w:pPr>
        <w:pStyle w:val="FootnoteText"/>
      </w:pPr>
      <w:r w:rsidRPr="001A765C">
        <w:tab/>
      </w:r>
      <w:r w:rsidRPr="001A765C">
        <w:rPr>
          <w:rStyle w:val="FootnoteReference"/>
        </w:rPr>
        <w:footnoteRef/>
      </w:r>
      <w:r w:rsidRPr="001A765C">
        <w:tab/>
        <w:t>ECE/MP.EIA/IC/2019/4, par. 120</w:t>
      </w:r>
      <w:r w:rsidR="00B4168E">
        <w:t xml:space="preserve"> à </w:t>
      </w:r>
      <w:r w:rsidRPr="001A765C">
        <w:t>130.</w:t>
      </w:r>
    </w:p>
  </w:footnote>
  <w:footnote w:id="14">
    <w:p w14:paraId="0DD5A760" w14:textId="77777777" w:rsidR="00F54A30" w:rsidRPr="001A765C" w:rsidRDefault="001A765C" w:rsidP="002749FA">
      <w:pPr>
        <w:pStyle w:val="FootnoteText"/>
      </w:pPr>
      <w:r>
        <w:tab/>
      </w:r>
      <w:r w:rsidR="00F54A30" w:rsidRPr="001A765C">
        <w:rPr>
          <w:rStyle w:val="FootnoteReference"/>
        </w:rPr>
        <w:footnoteRef/>
      </w:r>
      <w:r w:rsidR="00F54A30" w:rsidRPr="001A765C">
        <w:tab/>
        <w:t>ECE/MP.EIA/27</w:t>
      </w:r>
      <w:r w:rsidR="00AB7317" w:rsidRPr="001A765C">
        <w:t>-</w:t>
      </w:r>
      <w:r w:rsidR="00F54A30" w:rsidRPr="001A765C">
        <w:t>ECE/MP.EIA/SEA/11, par. 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F4DF" w14:textId="42FC1D6D" w:rsidR="00F54A30" w:rsidRPr="002749FA" w:rsidRDefault="00D061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A5D45">
      <w:t>ECE/MP.EIA/2020/4</w:t>
    </w:r>
    <w:r>
      <w:fldChar w:fldCharType="end"/>
    </w:r>
    <w:r w:rsidR="00F54A30">
      <w:br/>
    </w:r>
    <w:r>
      <w:fldChar w:fldCharType="begin"/>
    </w:r>
    <w:r>
      <w:instrText xml:space="preserve"> KEYWORDS  \* MERGEFORMAT </w:instrText>
    </w:r>
    <w:r>
      <w:fldChar w:fldCharType="separate"/>
    </w:r>
    <w:r w:rsidR="005A5D45">
      <w:t>ECE/MP.EIA/SEA/2020/4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F899" w14:textId="4E4DB6F7" w:rsidR="00F54A30" w:rsidRPr="002749FA" w:rsidRDefault="00D06162" w:rsidP="002749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A5D45">
      <w:t>ECE/MP.EIA/2020/4</w:t>
    </w:r>
    <w:r>
      <w:fldChar w:fldCharType="end"/>
    </w:r>
    <w:r w:rsidR="00F54A30">
      <w:br/>
    </w:r>
    <w:r>
      <w:fldChar w:fldCharType="begin"/>
    </w:r>
    <w:r>
      <w:instrText xml:space="preserve"> KEYWORDS  \* MERGEFORMAT </w:instrText>
    </w:r>
    <w:r>
      <w:fldChar w:fldCharType="separate"/>
    </w:r>
    <w:r w:rsidR="005A5D45">
      <w:t>ECE/MP.EIA/SEA/2020/4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47A7"/>
    <w:rsid w:val="00017F94"/>
    <w:rsid w:val="00023842"/>
    <w:rsid w:val="00031189"/>
    <w:rsid w:val="000334F9"/>
    <w:rsid w:val="00054772"/>
    <w:rsid w:val="0007796D"/>
    <w:rsid w:val="000B7790"/>
    <w:rsid w:val="00111F2F"/>
    <w:rsid w:val="0014365E"/>
    <w:rsid w:val="00176178"/>
    <w:rsid w:val="001965AA"/>
    <w:rsid w:val="001A765C"/>
    <w:rsid w:val="001F525A"/>
    <w:rsid w:val="00223272"/>
    <w:rsid w:val="0024779E"/>
    <w:rsid w:val="002749FA"/>
    <w:rsid w:val="002832AC"/>
    <w:rsid w:val="002B40F9"/>
    <w:rsid w:val="002C5646"/>
    <w:rsid w:val="002D7C93"/>
    <w:rsid w:val="00441C3B"/>
    <w:rsid w:val="00446FE5"/>
    <w:rsid w:val="00452396"/>
    <w:rsid w:val="00453516"/>
    <w:rsid w:val="0049107A"/>
    <w:rsid w:val="004B4F6B"/>
    <w:rsid w:val="004E468C"/>
    <w:rsid w:val="005505B7"/>
    <w:rsid w:val="00573BE5"/>
    <w:rsid w:val="00586ED3"/>
    <w:rsid w:val="00596AA9"/>
    <w:rsid w:val="005A5D45"/>
    <w:rsid w:val="005B6166"/>
    <w:rsid w:val="005D6D16"/>
    <w:rsid w:val="005F26E5"/>
    <w:rsid w:val="006C0E3B"/>
    <w:rsid w:val="006D0929"/>
    <w:rsid w:val="006F3F65"/>
    <w:rsid w:val="0071601D"/>
    <w:rsid w:val="00767D63"/>
    <w:rsid w:val="00772473"/>
    <w:rsid w:val="007A5FC4"/>
    <w:rsid w:val="007A62E6"/>
    <w:rsid w:val="0080684C"/>
    <w:rsid w:val="00871C75"/>
    <w:rsid w:val="008776DC"/>
    <w:rsid w:val="008D6B3F"/>
    <w:rsid w:val="0090540F"/>
    <w:rsid w:val="009705C8"/>
    <w:rsid w:val="009C1CF4"/>
    <w:rsid w:val="009E7617"/>
    <w:rsid w:val="00A14420"/>
    <w:rsid w:val="00A30353"/>
    <w:rsid w:val="00AB7317"/>
    <w:rsid w:val="00AC3823"/>
    <w:rsid w:val="00AE323C"/>
    <w:rsid w:val="00B00181"/>
    <w:rsid w:val="00B00B0D"/>
    <w:rsid w:val="00B31817"/>
    <w:rsid w:val="00B376F7"/>
    <w:rsid w:val="00B4168E"/>
    <w:rsid w:val="00B765F7"/>
    <w:rsid w:val="00BA0CA9"/>
    <w:rsid w:val="00BB7663"/>
    <w:rsid w:val="00C02897"/>
    <w:rsid w:val="00C554CE"/>
    <w:rsid w:val="00CE26D2"/>
    <w:rsid w:val="00CE47A7"/>
    <w:rsid w:val="00D06162"/>
    <w:rsid w:val="00D3439C"/>
    <w:rsid w:val="00D503D3"/>
    <w:rsid w:val="00D97606"/>
    <w:rsid w:val="00DB1831"/>
    <w:rsid w:val="00DD2C62"/>
    <w:rsid w:val="00DD3BFD"/>
    <w:rsid w:val="00DF5712"/>
    <w:rsid w:val="00DF6678"/>
    <w:rsid w:val="00E734AD"/>
    <w:rsid w:val="00E96BD6"/>
    <w:rsid w:val="00EE22F9"/>
    <w:rsid w:val="00EF2E22"/>
    <w:rsid w:val="00F54A30"/>
    <w:rsid w:val="00F660DF"/>
    <w:rsid w:val="00F95C08"/>
    <w:rsid w:val="00FA3322"/>
    <w:rsid w:val="00FD08E7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83FD6"/>
  <w15:docId w15:val="{008A1527-355A-4797-96D3-69A8189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E22F9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2749F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2749F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749F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link w:val="H23GChar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23GChar">
    <w:name w:val="_ H_2/3_G Char"/>
    <w:link w:val="H23G"/>
    <w:rsid w:val="002749FA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,Fußnote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,Fußnote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environmental-policy/conventions/environmental-assessment/meetings-and-events.html%23/0/0/0/28089/1994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env/eia/implementation/implementation_committee_matter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https://ec.europa.eu/environment/eia/sea-legalcontex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11888</Words>
  <Characters>67763</Characters>
  <Application>Microsoft Office Word</Application>
  <DocSecurity>4</DocSecurity>
  <Lines>564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ECE/MP.EIA/2020/4</vt:lpstr>
    </vt:vector>
  </TitlesOfParts>
  <Company>DCM</Company>
  <LinksUpToDate>false</LinksUpToDate>
  <CharactersWithSpaces>79493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ECE/MP.EIA/2020/4</dc:title>
  <dc:creator>Nicolas MORIN</dc:creator>
  <cp:keywords>ECE/MP.EIA/SEA/2020/4</cp:keywords>
  <cp:lastModifiedBy>Elisabeth James</cp:lastModifiedBy>
  <cp:revision>2</cp:revision>
  <cp:lastPrinted>2020-10-22T10:38:00Z</cp:lastPrinted>
  <dcterms:created xsi:type="dcterms:W3CDTF">2020-10-22T11:24:00Z</dcterms:created>
  <dcterms:modified xsi:type="dcterms:W3CDTF">2020-10-22T11:24:00Z</dcterms:modified>
</cp:coreProperties>
</file>