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82DD3" w14:paraId="584686BC" w14:textId="77777777" w:rsidTr="00B20551">
        <w:trPr>
          <w:cantSplit/>
          <w:trHeight w:hRule="exact" w:val="851"/>
        </w:trPr>
        <w:tc>
          <w:tcPr>
            <w:tcW w:w="1276" w:type="dxa"/>
            <w:tcBorders>
              <w:bottom w:val="single" w:sz="4" w:space="0" w:color="auto"/>
            </w:tcBorders>
            <w:vAlign w:val="bottom"/>
          </w:tcPr>
          <w:p w14:paraId="6811D341"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0EE2436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407148" w14:textId="6CE6E491" w:rsidR="003F7BBD" w:rsidRPr="00882DD3" w:rsidRDefault="003F7BBD" w:rsidP="003F7BBD">
            <w:pPr>
              <w:jc w:val="right"/>
              <w:rPr>
                <w:lang w:val="es-ES"/>
              </w:rPr>
            </w:pPr>
            <w:r w:rsidRPr="00882DD3">
              <w:rPr>
                <w:sz w:val="40"/>
                <w:lang w:val="es-ES"/>
              </w:rPr>
              <w:t>ECE</w:t>
            </w:r>
            <w:r w:rsidRPr="00882DD3">
              <w:rPr>
                <w:lang w:val="es-ES"/>
              </w:rPr>
              <w:t>/MP.EIA/2020/4−</w:t>
            </w:r>
            <w:r w:rsidRPr="00882DD3">
              <w:rPr>
                <w:sz w:val="40"/>
                <w:lang w:val="es-ES"/>
              </w:rPr>
              <w:t>ECE</w:t>
            </w:r>
            <w:r w:rsidRPr="00882DD3">
              <w:rPr>
                <w:lang w:val="es-ES"/>
              </w:rPr>
              <w:t>/MP.EIA/SEA/2020/4</w:t>
            </w:r>
          </w:p>
        </w:tc>
      </w:tr>
      <w:tr w:rsidR="009E6CB7" w14:paraId="1046EBC5" w14:textId="77777777" w:rsidTr="00B20551">
        <w:trPr>
          <w:cantSplit/>
          <w:trHeight w:hRule="exact" w:val="2835"/>
        </w:trPr>
        <w:tc>
          <w:tcPr>
            <w:tcW w:w="1276" w:type="dxa"/>
            <w:tcBorders>
              <w:top w:val="single" w:sz="4" w:space="0" w:color="auto"/>
              <w:bottom w:val="single" w:sz="12" w:space="0" w:color="auto"/>
            </w:tcBorders>
          </w:tcPr>
          <w:p w14:paraId="24ABC140" w14:textId="77777777" w:rsidR="009E6CB7" w:rsidRDefault="00686A48" w:rsidP="00B20551">
            <w:pPr>
              <w:spacing w:before="120"/>
            </w:pPr>
            <w:r>
              <w:rPr>
                <w:noProof/>
                <w:lang w:val="fr-CH" w:eastAsia="fr-CH"/>
              </w:rPr>
              <w:drawing>
                <wp:inline distT="0" distB="0" distL="0" distR="0" wp14:anchorId="394D2A09" wp14:editId="60526A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217DC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A58ABD" w14:textId="77777777" w:rsidR="009E6CB7" w:rsidRDefault="003F7BBD" w:rsidP="003F7BBD">
            <w:pPr>
              <w:spacing w:before="240" w:line="240" w:lineRule="exact"/>
            </w:pPr>
            <w:r>
              <w:t>Distr.: General</w:t>
            </w:r>
          </w:p>
          <w:p w14:paraId="2F4B2414" w14:textId="485C64E0" w:rsidR="003F7BBD" w:rsidRDefault="003F7BBD" w:rsidP="003F7BBD">
            <w:pPr>
              <w:spacing w:line="240" w:lineRule="exact"/>
            </w:pPr>
            <w:r>
              <w:t>2</w:t>
            </w:r>
            <w:r w:rsidR="008F005F">
              <w:t>4</w:t>
            </w:r>
            <w:r>
              <w:t xml:space="preserve"> September 2020</w:t>
            </w:r>
          </w:p>
          <w:p w14:paraId="3CC7EE17" w14:textId="77777777" w:rsidR="003F7BBD" w:rsidRDefault="003F7BBD" w:rsidP="003F7BBD">
            <w:pPr>
              <w:spacing w:line="240" w:lineRule="exact"/>
            </w:pPr>
          </w:p>
          <w:p w14:paraId="5BE23638" w14:textId="5D05C916" w:rsidR="003F7BBD" w:rsidRDefault="003F7BBD" w:rsidP="003F7BBD">
            <w:pPr>
              <w:spacing w:line="240" w:lineRule="exact"/>
            </w:pPr>
            <w:r>
              <w:t>Original: English</w:t>
            </w:r>
          </w:p>
        </w:tc>
      </w:tr>
    </w:tbl>
    <w:p w14:paraId="5984DED2" w14:textId="77777777" w:rsidR="00D75CEC" w:rsidRPr="00FD0890" w:rsidRDefault="00D75CEC" w:rsidP="00C65C34">
      <w:pPr>
        <w:spacing w:before="120"/>
        <w:rPr>
          <w:b/>
          <w:sz w:val="28"/>
          <w:szCs w:val="28"/>
        </w:rPr>
      </w:pPr>
      <w:r w:rsidRPr="00FD0890">
        <w:rPr>
          <w:b/>
          <w:sz w:val="28"/>
          <w:szCs w:val="28"/>
        </w:rPr>
        <w:t>Economic Commission for Europe</w:t>
      </w:r>
    </w:p>
    <w:p w14:paraId="596500D2" w14:textId="77777777" w:rsidR="00D75CEC" w:rsidRPr="00FD0890" w:rsidRDefault="00D75CEC"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12DD4CA9" w14:textId="219776AD" w:rsidR="00D75CEC" w:rsidRPr="00FD0890" w:rsidRDefault="00D75CEC" w:rsidP="00C65C34">
      <w:pPr>
        <w:pStyle w:val="H23G"/>
        <w:keepNext w:val="0"/>
        <w:keepLines w:val="0"/>
        <w:spacing w:before="120" w:after="0" w:line="240" w:lineRule="atLeast"/>
        <w:ind w:left="0" w:right="0" w:firstLine="0"/>
      </w:pPr>
      <w:r>
        <w:t xml:space="preserve">Eighth </w:t>
      </w:r>
      <w:r w:rsidRPr="00FD0890">
        <w:t>session</w:t>
      </w:r>
    </w:p>
    <w:p w14:paraId="6FC2C9A2" w14:textId="77777777" w:rsidR="00D75CEC" w:rsidRPr="004F41C2" w:rsidRDefault="00D75CEC" w:rsidP="009E5A6B">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1EBE3893" w14:textId="21AD9E21" w:rsidR="00D75CEC" w:rsidRPr="004F41C2" w:rsidRDefault="00D75CEC" w:rsidP="009E5A6B">
      <w:pPr>
        <w:spacing w:before="120"/>
        <w:rPr>
          <w:b/>
        </w:rPr>
      </w:pPr>
      <w:r>
        <w:rPr>
          <w:b/>
        </w:rPr>
        <w:t xml:space="preserve">Fourth </w:t>
      </w:r>
      <w:r w:rsidRPr="004F41C2">
        <w:rPr>
          <w:b/>
        </w:rPr>
        <w:t>session</w:t>
      </w:r>
    </w:p>
    <w:p w14:paraId="028D2876" w14:textId="7634B371" w:rsidR="00D75CEC" w:rsidRPr="004F41C2" w:rsidRDefault="00D75CEC" w:rsidP="009E5A6B">
      <w:r>
        <w:t>Vilnius</w:t>
      </w:r>
      <w:r w:rsidRPr="004F41C2">
        <w:t xml:space="preserve">, </w:t>
      </w:r>
      <w:r w:rsidRPr="00D565F0">
        <w:t>8</w:t>
      </w:r>
      <w:r>
        <w:t>–</w:t>
      </w:r>
      <w:r w:rsidRPr="00D565F0">
        <w:t>11 December 2020</w:t>
      </w:r>
    </w:p>
    <w:p w14:paraId="7C55EE29" w14:textId="6DA9974B" w:rsidR="00D75CEC" w:rsidRDefault="00D75CEC" w:rsidP="00D75CEC">
      <w:pPr>
        <w:spacing w:after="120"/>
      </w:pPr>
      <w:r w:rsidRPr="004F41C2">
        <w:t>Item</w:t>
      </w:r>
      <w:r>
        <w:t xml:space="preserve">s </w:t>
      </w:r>
      <w:r w:rsidRPr="00066E9D">
        <w:t xml:space="preserve">4 (a) </w:t>
      </w:r>
      <w:r w:rsidRPr="00F61456">
        <w:t xml:space="preserve">and 8 (a) </w:t>
      </w:r>
      <w:r w:rsidRPr="004F41C2">
        <w:t>of the provisional agenda</w:t>
      </w:r>
    </w:p>
    <w:p w14:paraId="1091B8C6" w14:textId="77777777" w:rsidR="00D75CEC" w:rsidRPr="00F61456" w:rsidRDefault="00D75CEC" w:rsidP="00D75CEC">
      <w:pPr>
        <w:spacing w:after="120"/>
        <w:rPr>
          <w:b/>
          <w:bCs/>
        </w:rPr>
      </w:pPr>
      <w:r w:rsidRPr="00066E9D">
        <w:rPr>
          <w:b/>
          <w:bCs/>
        </w:rPr>
        <w:t xml:space="preserve">Compliance with and implementation </w:t>
      </w:r>
      <w:r w:rsidRPr="00066E9D">
        <w:rPr>
          <w:b/>
          <w:bCs/>
        </w:rPr>
        <w:br/>
        <w:t>of the Convention and the Protocol</w:t>
      </w:r>
    </w:p>
    <w:p w14:paraId="416A2F8A" w14:textId="1154C3E3" w:rsidR="00D75CEC" w:rsidRDefault="00D75CEC" w:rsidP="00D75CEC">
      <w:pPr>
        <w:rPr>
          <w:b/>
          <w:bCs/>
        </w:rPr>
      </w:pPr>
      <w:r w:rsidRPr="00F61456">
        <w:rPr>
          <w:b/>
          <w:bCs/>
        </w:rPr>
        <w:t>Adoption of decisions: decisions to be taken jointly</w:t>
      </w:r>
    </w:p>
    <w:p w14:paraId="7BEB85F2" w14:textId="59A73172" w:rsidR="00D75CEC" w:rsidRDefault="00D75CEC" w:rsidP="00D75CEC">
      <w:pPr>
        <w:pStyle w:val="HChG"/>
      </w:pPr>
      <w:r>
        <w:tab/>
      </w:r>
      <w:r>
        <w:tab/>
      </w:r>
      <w:r w:rsidRPr="001545EB">
        <w:t>Report on the activities of the Implementation Committee</w:t>
      </w:r>
    </w:p>
    <w:p w14:paraId="7E20BDF9" w14:textId="453D5584" w:rsidR="00D75CEC" w:rsidRDefault="00D75CEC" w:rsidP="00D75CEC">
      <w:pPr>
        <w:pStyle w:val="H1G"/>
      </w:pPr>
      <w:r>
        <w:tab/>
      </w:r>
      <w:r>
        <w:tab/>
      </w:r>
      <w:r w:rsidRPr="001545EB">
        <w:t>Note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75CEC" w14:paraId="783AE445" w14:textId="77777777" w:rsidTr="001D3863">
        <w:trPr>
          <w:jc w:val="center"/>
        </w:trPr>
        <w:tc>
          <w:tcPr>
            <w:tcW w:w="9637" w:type="dxa"/>
            <w:shd w:val="clear" w:color="auto" w:fill="auto"/>
          </w:tcPr>
          <w:p w14:paraId="5C7E66CE" w14:textId="77777777" w:rsidR="00D75CEC" w:rsidRPr="00C6263E" w:rsidRDefault="00D75CEC" w:rsidP="001D3863">
            <w:pPr>
              <w:spacing w:before="240" w:after="120"/>
              <w:ind w:left="255"/>
              <w:rPr>
                <w:i/>
                <w:sz w:val="24"/>
              </w:rPr>
            </w:pPr>
            <w:r w:rsidRPr="00C6263E">
              <w:rPr>
                <w:i/>
                <w:sz w:val="24"/>
              </w:rPr>
              <w:t>Summary</w:t>
            </w:r>
          </w:p>
        </w:tc>
      </w:tr>
      <w:tr w:rsidR="00D75CEC" w14:paraId="6360A697" w14:textId="77777777" w:rsidTr="001D3863">
        <w:trPr>
          <w:jc w:val="center"/>
        </w:trPr>
        <w:tc>
          <w:tcPr>
            <w:tcW w:w="9637" w:type="dxa"/>
            <w:shd w:val="clear" w:color="auto" w:fill="auto"/>
          </w:tcPr>
          <w:p w14:paraId="72F59C52" w14:textId="2BBF5CED" w:rsidR="00D75CEC" w:rsidRPr="001545EB" w:rsidRDefault="00D75CEC" w:rsidP="00D75CEC">
            <w:pPr>
              <w:pStyle w:val="SingleTxtG"/>
              <w:tabs>
                <w:tab w:val="left" w:pos="1712"/>
              </w:tabs>
            </w:pPr>
            <w:r>
              <w:tab/>
            </w:r>
            <w:r w:rsidRPr="001545EB">
              <w:t xml:space="preserve">The present document contains the report of the Implementation Committee </w:t>
            </w:r>
            <w:r>
              <w:t xml:space="preserve">under the Convention on Environmental Impact Assessment in a Transboundary Context (Espoo Convention) and its Protocol on Strategic Environmental Assessment </w:t>
            </w:r>
            <w:r w:rsidRPr="001545EB">
              <w:t xml:space="preserve">on </w:t>
            </w:r>
            <w:r>
              <w:t xml:space="preserve">the Committee’s </w:t>
            </w:r>
            <w:r w:rsidRPr="001545EB">
              <w:t xml:space="preserve">activities </w:t>
            </w:r>
            <w:bookmarkStart w:id="1" w:name="_Hlk48052034"/>
            <w:r w:rsidRPr="001545EB">
              <w:t xml:space="preserve">since the </w:t>
            </w:r>
            <w:r>
              <w:t xml:space="preserve">seventh </w:t>
            </w:r>
            <w:r w:rsidRPr="001545EB">
              <w:t>session of the Meeting of the Parties to the Convention</w:t>
            </w:r>
            <w:r>
              <w:t xml:space="preserve"> and the third session of the Meeting of the Parties to the Convention serving as the Meeting of the Parties to the Protocol (Minsk, 13–16 June 2017)</w:t>
            </w:r>
            <w:bookmarkEnd w:id="1"/>
            <w:r w:rsidRPr="001545EB">
              <w:t xml:space="preserve">, </w:t>
            </w:r>
            <w:r w:rsidRPr="000A6B16">
              <w:t>as well as such recommendations as it considers appropriate</w:t>
            </w:r>
            <w:r w:rsidRPr="005D3F86">
              <w:t xml:space="preserve">. It was prepared in accordance with the </w:t>
            </w:r>
            <w:r w:rsidRPr="00F80883">
              <w:t>Committee’s struct</w:t>
            </w:r>
            <w:r w:rsidRPr="0070466D">
              <w:t>ure and functions (ECE/MP.EIA/6, annex II, appendix, para.</w:t>
            </w:r>
            <w:r>
              <w:t> </w:t>
            </w:r>
            <w:r w:rsidRPr="001545EB">
              <w:t xml:space="preserve">11), and the workplan adopted at </w:t>
            </w:r>
            <w:r>
              <w:t>the seventh</w:t>
            </w:r>
            <w:r w:rsidRPr="001545EB">
              <w:t xml:space="preserve"> </w:t>
            </w:r>
            <w:r>
              <w:t xml:space="preserve">session and the third session, respectively, of the Meeting of the Parties to the Convention and the </w:t>
            </w:r>
            <w:r w:rsidRPr="00350306">
              <w:t>Meeting of the Parties to the Convention serving as the Meeting of the</w:t>
            </w:r>
            <w:r>
              <w:t xml:space="preserve"> </w:t>
            </w:r>
            <w:r w:rsidRPr="00350306">
              <w:t>Parties to</w:t>
            </w:r>
            <w:r>
              <w:t xml:space="preserve"> the Protocol </w:t>
            </w:r>
            <w:r w:rsidRPr="001545EB">
              <w:t xml:space="preserve">(see </w:t>
            </w:r>
            <w:r w:rsidRPr="003163F7">
              <w:t>ECE/MP.EIA/23.Add.1–ECE/MP.EIA/SEA/7.Add.1</w:t>
            </w:r>
            <w:r w:rsidRPr="001545EB">
              <w:t xml:space="preserve">, decision </w:t>
            </w:r>
            <w:r w:rsidRPr="003163F7">
              <w:t>VII/3–III/3</w:t>
            </w:r>
            <w:r w:rsidRPr="001545EB">
              <w:t xml:space="preserve">). </w:t>
            </w:r>
          </w:p>
          <w:p w14:paraId="537AE7C1" w14:textId="675CCD28" w:rsidR="00D75CEC" w:rsidRPr="001545EB" w:rsidRDefault="00D75CEC" w:rsidP="00882DD3">
            <w:pPr>
              <w:pStyle w:val="H23G"/>
            </w:pPr>
            <w:r>
              <w:lastRenderedPageBreak/>
              <w:tab/>
            </w:r>
            <w:r w:rsidRPr="001545EB">
              <w:tab/>
              <w:t>More details on the Committee’s deliberations are presented in the Committee’s reports on its sessions during the intersessional period 201</w:t>
            </w:r>
            <w:r>
              <w:t>7</w:t>
            </w:r>
            <w:r w:rsidRPr="001545EB">
              <w:t>–20</w:t>
            </w:r>
            <w:r>
              <w:t>20</w:t>
            </w:r>
            <w:r w:rsidRPr="00C57ABC">
              <w:t>.</w:t>
            </w:r>
            <w:r w:rsidRPr="00AA03C4">
              <w:rPr>
                <w:vertAlign w:val="superscript"/>
              </w:rPr>
              <w:t>a</w:t>
            </w:r>
            <w:r w:rsidRPr="001545EB">
              <w:t xml:space="preserve"> The Committee’s recommendations to the Meeting of the Parties</w:t>
            </w:r>
            <w:r w:rsidRPr="001959AD">
              <w:t xml:space="preserve"> </w:t>
            </w:r>
            <w:r>
              <w:t xml:space="preserve">to </w:t>
            </w:r>
            <w:r w:rsidRPr="001959AD">
              <w:t>the Convention</w:t>
            </w:r>
            <w:r w:rsidRPr="001545EB">
              <w:t>, presented in this report, were adopted unanimously.</w:t>
            </w:r>
          </w:p>
          <w:p w14:paraId="2D19BB98" w14:textId="6E37684C" w:rsidR="00D75CEC" w:rsidRDefault="00D75CEC" w:rsidP="00D75CEC">
            <w:pPr>
              <w:pStyle w:val="SingleTxtG"/>
            </w:pPr>
            <w:r>
              <w:tab/>
            </w:r>
            <w:r>
              <w:tab/>
            </w:r>
            <w:r w:rsidRPr="001545EB">
              <w:t xml:space="preserve">The </w:t>
            </w:r>
            <w:r w:rsidRPr="000F0357">
              <w:t>Meeting</w:t>
            </w:r>
            <w:r w:rsidRPr="001545EB">
              <w:rPr>
                <w:color w:val="000000"/>
              </w:rPr>
              <w:t xml:space="preserve"> of the Parties to the Convention and the Meeting of the Parties </w:t>
            </w:r>
            <w:r>
              <w:rPr>
                <w:color w:val="000000"/>
              </w:rPr>
              <w:t xml:space="preserve">to the Convention </w:t>
            </w:r>
            <w:r w:rsidRPr="001545EB">
              <w:rPr>
                <w:color w:val="000000"/>
              </w:rPr>
              <w:t>serving</w:t>
            </w:r>
            <w:r w:rsidRPr="001545EB">
              <w:t xml:space="preserve"> </w:t>
            </w:r>
            <w:r w:rsidRPr="001545EB">
              <w:rPr>
                <w:color w:val="000000"/>
              </w:rPr>
              <w:t>as the Meeting of the Parties to the Protocol</w:t>
            </w:r>
            <w:r w:rsidRPr="001545EB">
              <w:t xml:space="preserve"> are expected to consider the information provided.</w:t>
            </w:r>
          </w:p>
          <w:p w14:paraId="06541971" w14:textId="0C408DBE" w:rsidR="00D75CEC" w:rsidRDefault="00D75CEC" w:rsidP="00D75CEC">
            <w:pPr>
              <w:pStyle w:val="SingleTxtG"/>
              <w:jc w:val="left"/>
            </w:pPr>
            <w:r w:rsidRPr="00432903">
              <w:rPr>
                <w:vertAlign w:val="superscript"/>
              </w:rPr>
              <w:t>a</w:t>
            </w:r>
            <w:r>
              <w:t xml:space="preserve"> </w:t>
            </w:r>
            <w:r>
              <w:tab/>
            </w:r>
            <w:r w:rsidRPr="0010207C">
              <w:t>Se</w:t>
            </w:r>
            <w:r w:rsidRPr="00DF3CEE">
              <w:t>e</w:t>
            </w:r>
            <w:r w:rsidRPr="00AA03C4">
              <w:rPr>
                <w:rStyle w:val="Hyperlink"/>
              </w:rPr>
              <w:t xml:space="preserve"> www.unece.org/environmental-policy/conventions/environmental-assessment/meetings-and-events.html#/0/0/0/28089/19940</w:t>
            </w:r>
            <w:r>
              <w:rPr>
                <w:rStyle w:val="Hyperlink"/>
              </w:rPr>
              <w:t>.</w:t>
            </w:r>
          </w:p>
        </w:tc>
      </w:tr>
      <w:tr w:rsidR="00D75CEC" w14:paraId="7AD2D594" w14:textId="77777777" w:rsidTr="001D3863">
        <w:trPr>
          <w:jc w:val="center"/>
        </w:trPr>
        <w:tc>
          <w:tcPr>
            <w:tcW w:w="9637" w:type="dxa"/>
            <w:shd w:val="clear" w:color="auto" w:fill="auto"/>
          </w:tcPr>
          <w:p w14:paraId="0DE3E4F2" w14:textId="77777777" w:rsidR="00D75CEC" w:rsidRDefault="00D75CEC" w:rsidP="001D3863"/>
        </w:tc>
      </w:tr>
    </w:tbl>
    <w:p w14:paraId="44AF637D" w14:textId="77777777" w:rsidR="005559F9" w:rsidRDefault="005559F9">
      <w:pPr>
        <w:suppressAutoHyphens w:val="0"/>
        <w:spacing w:line="240" w:lineRule="auto"/>
      </w:pPr>
      <w:r>
        <w:br w:type="page"/>
      </w:r>
    </w:p>
    <w:p w14:paraId="16F0EB7B" w14:textId="4431CE0F" w:rsidR="005559F9" w:rsidRPr="001545EB" w:rsidRDefault="008A561E" w:rsidP="005559F9">
      <w:pPr>
        <w:pStyle w:val="HChG"/>
      </w:pPr>
      <w:r>
        <w:lastRenderedPageBreak/>
        <w:tab/>
        <w:t>I.</w:t>
      </w:r>
      <w:r>
        <w:tab/>
      </w:r>
      <w:r w:rsidR="005559F9" w:rsidRPr="001545EB">
        <w:t>Introduction</w:t>
      </w:r>
    </w:p>
    <w:p w14:paraId="33868BA7" w14:textId="74F02658" w:rsidR="005559F9" w:rsidRPr="005559F9" w:rsidRDefault="005559F9" w:rsidP="005559F9">
      <w:pPr>
        <w:pStyle w:val="H1G"/>
      </w:pPr>
      <w:r>
        <w:tab/>
      </w:r>
      <w:r w:rsidRPr="005559F9">
        <w:t>A.</w:t>
      </w:r>
      <w:r>
        <w:tab/>
      </w:r>
      <w:r w:rsidRPr="005559F9">
        <w:t>Implementation Committee membership and sessions</w:t>
      </w:r>
    </w:p>
    <w:p w14:paraId="4BA84CF6" w14:textId="77777777" w:rsidR="005559F9" w:rsidRPr="001545EB" w:rsidRDefault="005559F9" w:rsidP="005559F9">
      <w:pPr>
        <w:pStyle w:val="SingleTxtG"/>
      </w:pPr>
      <w:r w:rsidRPr="001545EB">
        <w:t>1.</w:t>
      </w:r>
      <w:r w:rsidRPr="001545EB">
        <w:tab/>
        <w:t>In the intersessional period 20</w:t>
      </w:r>
      <w:r>
        <w:t>17</w:t>
      </w:r>
      <w:r w:rsidRPr="001545EB">
        <w:t>–20</w:t>
      </w:r>
      <w:r>
        <w:t>20</w:t>
      </w:r>
      <w:r w:rsidRPr="001545EB">
        <w:t>, the Implementation Committee under the Convention on Environmental Impact Assessment in a Transboundary Context (Espoo Convention) and its Protocol on Strategic Environmental Assessment reviewed compliance under the Convention and the Protocol, in accordance with decision</w:t>
      </w:r>
      <w:r>
        <w:t xml:space="preserve"> II/4 (</w:t>
      </w:r>
      <w:r w:rsidRPr="0010207C">
        <w:t>MP.EIA/2001/4</w:t>
      </w:r>
      <w:r>
        <w:t>)</w:t>
      </w:r>
      <w:r w:rsidRPr="0010207C">
        <w:t xml:space="preserve"> </w:t>
      </w:r>
      <w:r w:rsidRPr="001545EB">
        <w:t xml:space="preserve">adopted </w:t>
      </w:r>
      <w:r>
        <w:t xml:space="preserve">by </w:t>
      </w:r>
      <w:r w:rsidRPr="001545EB">
        <w:t>the Mee</w:t>
      </w:r>
      <w:r>
        <w:t xml:space="preserve">ting of the Parties to the Convention at its second session, </w:t>
      </w:r>
      <w:r w:rsidRPr="001545EB">
        <w:t>article 14</w:t>
      </w:r>
      <w:r>
        <w:t xml:space="preserve"> (6)</w:t>
      </w:r>
      <w:r w:rsidRPr="001545EB">
        <w:t xml:space="preserve"> of the Protocol, and decision </w:t>
      </w:r>
      <w:r>
        <w:t>V</w:t>
      </w:r>
      <w:r w:rsidRPr="001545EB">
        <w:t>/6–</w:t>
      </w:r>
      <w:r>
        <w:t>I</w:t>
      </w:r>
      <w:r w:rsidRPr="001545EB">
        <w:t xml:space="preserve">/6 </w:t>
      </w:r>
      <w:r w:rsidRPr="008562FC">
        <w:t>(ECE/MP.EIA/SEA/2)</w:t>
      </w:r>
      <w:r>
        <w:t xml:space="preserve"> </w:t>
      </w:r>
      <w:r w:rsidRPr="001545EB">
        <w:t>adopted at the fifth session of the Mee</w:t>
      </w:r>
      <w:r>
        <w:t xml:space="preserve">ting of the Parties to the Convention </w:t>
      </w:r>
      <w:r w:rsidRPr="001545EB">
        <w:t xml:space="preserve">and the first session of the Meeting of the Parties to the Convention serving as the Meeting of the Parties to the Protocol (Meeting of the Parties to the Protocol) </w:t>
      </w:r>
      <w:r w:rsidRPr="008562FC">
        <w:t>(Geneva, 20–23 June 2011)</w:t>
      </w:r>
      <w:r w:rsidRPr="001545EB">
        <w:t>.</w:t>
      </w:r>
    </w:p>
    <w:p w14:paraId="129D5FE9" w14:textId="77777777" w:rsidR="005559F9" w:rsidRPr="001545EB" w:rsidRDefault="005559F9" w:rsidP="005559F9">
      <w:pPr>
        <w:pStyle w:val="SingleTxtG"/>
      </w:pPr>
      <w:r w:rsidRPr="001545EB">
        <w:t>2.</w:t>
      </w:r>
      <w:r w:rsidRPr="001545EB">
        <w:tab/>
        <w:t xml:space="preserve">The members of the Implementation Committee and the Parties they represented </w:t>
      </w:r>
      <w:r>
        <w:t xml:space="preserve">on </w:t>
      </w:r>
      <w:r w:rsidRPr="001545EB">
        <w:t xml:space="preserve">the Committee for Convention matters were: </w:t>
      </w:r>
      <w:r>
        <w:t xml:space="preserve">Ms. </w:t>
      </w:r>
      <w:r w:rsidRPr="00411269">
        <w:t xml:space="preserve">Aysel </w:t>
      </w:r>
      <w:proofErr w:type="spellStart"/>
      <w:r>
        <w:t>Rzayeva</w:t>
      </w:r>
      <w:proofErr w:type="spellEnd"/>
      <w:r w:rsidRPr="00411269">
        <w:t xml:space="preserve"> (Azerbaijan)</w:t>
      </w:r>
      <w:r>
        <w:t xml:space="preserve">; Mr. </w:t>
      </w:r>
      <w:r w:rsidRPr="00411269">
        <w:t>Anders Bengtsson (Sweden)</w:t>
      </w:r>
      <w:r>
        <w:t xml:space="preserve">; </w:t>
      </w:r>
      <w:bookmarkStart w:id="2" w:name="_Hlk51056935"/>
      <w:r>
        <w:t>Mr.</w:t>
      </w:r>
      <w:bookmarkEnd w:id="2"/>
      <w:r>
        <w:t xml:space="preserve"> </w:t>
      </w:r>
      <w:r w:rsidRPr="001545EB">
        <w:t xml:space="preserve">Vladimir </w:t>
      </w:r>
      <w:proofErr w:type="spellStart"/>
      <w:r w:rsidRPr="001545EB">
        <w:t>Buchko</w:t>
      </w:r>
      <w:proofErr w:type="spellEnd"/>
      <w:r w:rsidRPr="001545EB">
        <w:t xml:space="preserve"> (Ukraine)</w:t>
      </w:r>
      <w:r>
        <w:t xml:space="preserve">; Ms. </w:t>
      </w:r>
      <w:r w:rsidRPr="00411269">
        <w:t>Maria do Carmo Figueira (Portugal)</w:t>
      </w:r>
      <w:r w:rsidRPr="001545EB">
        <w:t>;</w:t>
      </w:r>
      <w:r>
        <w:t xml:space="preserve"> </w:t>
      </w:r>
      <w:r w:rsidRPr="00CF3C7C">
        <w:t>Mr.</w:t>
      </w:r>
      <w:r>
        <w:t xml:space="preserve"> </w:t>
      </w:r>
      <w:r w:rsidRPr="00411269">
        <w:t>Kaupo Heinma (Estonia)</w:t>
      </w:r>
      <w:r w:rsidRPr="001545EB">
        <w:t xml:space="preserve">; </w:t>
      </w:r>
      <w:r>
        <w:t xml:space="preserve">Ms. </w:t>
      </w:r>
      <w:proofErr w:type="spellStart"/>
      <w:r w:rsidRPr="001545EB">
        <w:t>Zsuzsanna</w:t>
      </w:r>
      <w:proofErr w:type="spellEnd"/>
      <w:r w:rsidRPr="001545EB">
        <w:t xml:space="preserve"> Pocsai (Hungary); </w:t>
      </w:r>
      <w:r w:rsidRPr="00CF3C7C">
        <w:t>Mr.</w:t>
      </w:r>
      <w:r>
        <w:t xml:space="preserve"> </w:t>
      </w:r>
      <w:proofErr w:type="spellStart"/>
      <w:r w:rsidRPr="00411269">
        <w:t>Romas</w:t>
      </w:r>
      <w:proofErr w:type="spellEnd"/>
      <w:r w:rsidRPr="00411269">
        <w:t xml:space="preserve"> </w:t>
      </w:r>
      <w:proofErr w:type="spellStart"/>
      <w:r w:rsidRPr="00411269">
        <w:t>Švedas</w:t>
      </w:r>
      <w:proofErr w:type="spellEnd"/>
      <w:r w:rsidRPr="00411269">
        <w:t xml:space="preserve"> (Lithuania)</w:t>
      </w:r>
      <w:r>
        <w:t xml:space="preserve">; Ms. </w:t>
      </w:r>
      <w:r w:rsidRPr="001545EB">
        <w:t xml:space="preserve">Nadezhda </w:t>
      </w:r>
      <w:proofErr w:type="spellStart"/>
      <w:r w:rsidRPr="001545EB">
        <w:t>Zdanevich</w:t>
      </w:r>
      <w:proofErr w:type="spellEnd"/>
      <w:r w:rsidRPr="001545EB">
        <w:t xml:space="preserve"> </w:t>
      </w:r>
      <w:r>
        <w:t xml:space="preserve">and Ms. </w:t>
      </w:r>
      <w:r w:rsidRPr="00411269">
        <w:t xml:space="preserve">Tatiana </w:t>
      </w:r>
      <w:proofErr w:type="spellStart"/>
      <w:r w:rsidRPr="00411269">
        <w:t>Kuhtenkova</w:t>
      </w:r>
      <w:proofErr w:type="spellEnd"/>
      <w:r>
        <w:t xml:space="preserve"> </w:t>
      </w:r>
      <w:r w:rsidRPr="001545EB">
        <w:t xml:space="preserve">(from the </w:t>
      </w:r>
      <w:r>
        <w:t xml:space="preserve">forty-seventh </w:t>
      </w:r>
      <w:r w:rsidRPr="001545EB">
        <w:t>session</w:t>
      </w:r>
      <w:r>
        <w:t xml:space="preserve"> (</w:t>
      </w:r>
      <w:r w:rsidRPr="008720A3">
        <w:t>Geneva, 16–19 March 2020</w:t>
      </w:r>
      <w:r>
        <w:t>)</w:t>
      </w:r>
      <w:r w:rsidRPr="008720A3">
        <w:t xml:space="preserve"> </w:t>
      </w:r>
      <w:r>
        <w:t>onwards</w:t>
      </w:r>
      <w:r w:rsidRPr="001545EB">
        <w:t xml:space="preserve">) </w:t>
      </w:r>
      <w:r>
        <w:t>(Belarus)</w:t>
      </w:r>
      <w:r w:rsidRPr="001545EB">
        <w:t xml:space="preserve">. </w:t>
      </w:r>
      <w:r w:rsidRPr="006B446C">
        <w:t xml:space="preserve">Mr. </w:t>
      </w:r>
      <w:proofErr w:type="spellStart"/>
      <w:r w:rsidRPr="006B446C">
        <w:t>Buchko</w:t>
      </w:r>
      <w:proofErr w:type="spellEnd"/>
      <w:r>
        <w:t>,</w:t>
      </w:r>
      <w:r w:rsidRPr="006B446C">
        <w:t xml:space="preserve"> Ms. </w:t>
      </w:r>
      <w:proofErr w:type="spellStart"/>
      <w:r w:rsidRPr="006B446C">
        <w:t>Kliut</w:t>
      </w:r>
      <w:proofErr w:type="spellEnd"/>
      <w:r>
        <w:t>,</w:t>
      </w:r>
      <w:r w:rsidRPr="006B446C">
        <w:t xml:space="preserve"> Ms. Pocsai and Mr. </w:t>
      </w:r>
      <w:proofErr w:type="spellStart"/>
      <w:r w:rsidRPr="006B446C">
        <w:t>Švedas</w:t>
      </w:r>
      <w:proofErr w:type="spellEnd"/>
      <w:r w:rsidRPr="006B446C">
        <w:t xml:space="preserve"> were serving their second term </w:t>
      </w:r>
      <w:r>
        <w:t xml:space="preserve">following the election of their countries, respectively, Ukraine, Belarus, Hungary and Lithuania, to </w:t>
      </w:r>
      <w:r w:rsidRPr="006B446C">
        <w:t xml:space="preserve">nominate members at the sixth session of the Meeting of the Parties (Geneva, 2–5 June 2014) </w:t>
      </w:r>
      <w:r>
        <w:t>and their subsequent election as members (ECE/MP.EIA/20–ECE/MP.EIA/SEA/4, para. 67)</w:t>
      </w:r>
      <w:r w:rsidRPr="001545EB">
        <w:t xml:space="preserve">. </w:t>
      </w:r>
      <w:r w:rsidRPr="00316F9F">
        <w:t xml:space="preserve">Ms. </w:t>
      </w:r>
      <w:proofErr w:type="spellStart"/>
      <w:r w:rsidRPr="00316F9F">
        <w:t>Rzayeva</w:t>
      </w:r>
      <w:proofErr w:type="spellEnd"/>
      <w:r>
        <w:t>,</w:t>
      </w:r>
      <w:r w:rsidRPr="00316F9F">
        <w:t xml:space="preserve"> Mr. Heinma</w:t>
      </w:r>
      <w:r>
        <w:t>,</w:t>
      </w:r>
      <w:r w:rsidRPr="00316F9F">
        <w:t xml:space="preserve"> Ms. do Carmo Figueira </w:t>
      </w:r>
      <w:r>
        <w:t xml:space="preserve">and </w:t>
      </w:r>
      <w:r w:rsidRPr="00316F9F">
        <w:t xml:space="preserve">Mr. Bengtsson </w:t>
      </w:r>
      <w:r>
        <w:t>were elected as members following the election of their countries, respectively, Azerbaijan, Estonia, Portugal</w:t>
      </w:r>
      <w:r w:rsidRPr="001545EB">
        <w:t>,</w:t>
      </w:r>
      <w:r>
        <w:t xml:space="preserve"> and Sweden, </w:t>
      </w:r>
      <w:r w:rsidRPr="001545EB">
        <w:t xml:space="preserve">to nominate members at the </w:t>
      </w:r>
      <w:r>
        <w:t xml:space="preserve">seventh </w:t>
      </w:r>
      <w:r w:rsidRPr="001545EB">
        <w:t>session of the Meeting of the Parties</w:t>
      </w:r>
      <w:r>
        <w:t xml:space="preserve"> (Minsk, 13–16 June 2017) (</w:t>
      </w:r>
      <w:r w:rsidRPr="001B0B11">
        <w:t>ECE/MP.EIA/2</w:t>
      </w:r>
      <w:r>
        <w:t>3–</w:t>
      </w:r>
      <w:r w:rsidRPr="001B0B11">
        <w:t xml:space="preserve"> ECE/MP.EIA/SEA/7</w:t>
      </w:r>
      <w:r>
        <w:t>, para. 72)</w:t>
      </w:r>
      <w:r w:rsidRPr="001545EB">
        <w:t>.</w:t>
      </w:r>
      <w:r>
        <w:t xml:space="preserve"> </w:t>
      </w:r>
    </w:p>
    <w:p w14:paraId="3A75240B" w14:textId="77777777" w:rsidR="005559F9" w:rsidRPr="00751E5B" w:rsidRDefault="005559F9" w:rsidP="005559F9">
      <w:pPr>
        <w:pStyle w:val="SingleTxtG"/>
      </w:pPr>
      <w:r w:rsidRPr="001545EB">
        <w:t>3.</w:t>
      </w:r>
      <w:r w:rsidRPr="001545EB">
        <w:tab/>
        <w:t>The elected members</w:t>
      </w:r>
      <w:r w:rsidRPr="004926BC">
        <w:rPr>
          <w:vertAlign w:val="superscript"/>
        </w:rPr>
        <w:footnoteReference w:id="2"/>
      </w:r>
      <w:r w:rsidRPr="001545EB">
        <w:t xml:space="preserve"> of the Committee and the Parties they represented </w:t>
      </w:r>
      <w:r>
        <w:t xml:space="preserve">on </w:t>
      </w:r>
      <w:r w:rsidRPr="001545EB">
        <w:t>the Committee for Protocol matters were:</w:t>
      </w:r>
      <w:r>
        <w:t xml:space="preserve"> Mr.</w:t>
      </w:r>
      <w:r w:rsidRPr="00411269">
        <w:t xml:space="preserve"> Bengtsson (Sweden)</w:t>
      </w:r>
      <w:r>
        <w:t>; Mr.</w:t>
      </w:r>
      <w:r w:rsidRPr="001545EB">
        <w:t xml:space="preserve"> </w:t>
      </w:r>
      <w:proofErr w:type="spellStart"/>
      <w:r w:rsidRPr="001545EB">
        <w:t>Buchko</w:t>
      </w:r>
      <w:proofErr w:type="spellEnd"/>
      <w:r w:rsidRPr="001545EB">
        <w:t xml:space="preserve"> (Ukraine)</w:t>
      </w:r>
      <w:r>
        <w:t xml:space="preserve">; Mr. </w:t>
      </w:r>
      <w:r w:rsidRPr="008D54BF">
        <w:t>Libor Dvorak (Czechia</w:t>
      </w:r>
      <w:r>
        <w:t xml:space="preserve">; alternate to Ms. </w:t>
      </w:r>
      <w:proofErr w:type="spellStart"/>
      <w:r w:rsidRPr="00DC7574">
        <w:t>Kuhtenkova</w:t>
      </w:r>
      <w:proofErr w:type="spellEnd"/>
      <w:r>
        <w:t xml:space="preserve"> (Belarus, not a Party to the Protocol</w:t>
      </w:r>
      <w:r w:rsidRPr="008D54BF">
        <w:t>)</w:t>
      </w:r>
      <w:r>
        <w:t>); Ms.</w:t>
      </w:r>
      <w:r w:rsidRPr="00411269">
        <w:t xml:space="preserve"> do Carmo Figueira (Portugal)</w:t>
      </w:r>
      <w:r>
        <w:t xml:space="preserve">; and Mr. </w:t>
      </w:r>
      <w:r w:rsidRPr="008D54BF">
        <w:t>Lasse Tallskog (Finland</w:t>
      </w:r>
      <w:r>
        <w:t xml:space="preserve">; alternate to </w:t>
      </w:r>
      <w:r w:rsidRPr="00DC7574">
        <w:t xml:space="preserve">Ms. </w:t>
      </w:r>
      <w:proofErr w:type="spellStart"/>
      <w:r w:rsidRPr="00DC7574">
        <w:t>Rzayeva</w:t>
      </w:r>
      <w:proofErr w:type="spellEnd"/>
      <w:r>
        <w:t xml:space="preserve"> (Azerbaijan, not a Party to the Protocol</w:t>
      </w:r>
      <w:r w:rsidRPr="008D54BF">
        <w:t>)</w:t>
      </w:r>
      <w:r>
        <w:t>)</w:t>
      </w:r>
      <w:r w:rsidRPr="001545EB">
        <w:t>. The five members were elected to join the three continuing members of the Committee for Protocol matters</w:t>
      </w:r>
      <w:r>
        <w:t>:</w:t>
      </w:r>
      <w:r w:rsidRPr="001545EB">
        <w:t xml:space="preserve"> </w:t>
      </w:r>
      <w:r>
        <w:t>Mr. Heinma (</w:t>
      </w:r>
      <w:r w:rsidRPr="00751E5B">
        <w:t>Estonia</w:t>
      </w:r>
      <w:r w:rsidRPr="00DF3CEE">
        <w:t>)</w:t>
      </w:r>
      <w:r w:rsidRPr="00751E5B">
        <w:t xml:space="preserve">, </w:t>
      </w:r>
      <w:r w:rsidRPr="00DF3CEE">
        <w:t xml:space="preserve">Mr. </w:t>
      </w:r>
      <w:proofErr w:type="spellStart"/>
      <w:r w:rsidRPr="00DF3CEE">
        <w:t>Švedas</w:t>
      </w:r>
      <w:proofErr w:type="spellEnd"/>
      <w:r w:rsidRPr="00DF3CEE">
        <w:t xml:space="preserve"> (</w:t>
      </w:r>
      <w:r w:rsidRPr="00751E5B">
        <w:rPr>
          <w:lang w:eastAsia="en-GB"/>
        </w:rPr>
        <w:t>Lithuania</w:t>
      </w:r>
      <w:r w:rsidRPr="00DF3CEE">
        <w:rPr>
          <w:lang w:eastAsia="en-GB"/>
        </w:rPr>
        <w:t>)</w:t>
      </w:r>
      <w:r w:rsidRPr="00751E5B">
        <w:rPr>
          <w:lang w:eastAsia="en-GB"/>
        </w:rPr>
        <w:t xml:space="preserve"> and </w:t>
      </w:r>
      <w:r w:rsidRPr="00DF3CEE">
        <w:rPr>
          <w:lang w:eastAsia="en-GB"/>
        </w:rPr>
        <w:t>Ms. Pocsai (</w:t>
      </w:r>
      <w:r w:rsidRPr="00751E5B">
        <w:rPr>
          <w:lang w:eastAsia="en-GB"/>
        </w:rPr>
        <w:t>Hungary</w:t>
      </w:r>
      <w:r w:rsidRPr="00DF3CEE">
        <w:rPr>
          <w:lang w:eastAsia="en-GB"/>
        </w:rPr>
        <w:t>)</w:t>
      </w:r>
      <w:r w:rsidRPr="00751E5B">
        <w:rPr>
          <w:lang w:eastAsia="en-GB"/>
        </w:rPr>
        <w:t xml:space="preserve">.  </w:t>
      </w:r>
    </w:p>
    <w:p w14:paraId="3AF48EE4" w14:textId="77777777" w:rsidR="005559F9" w:rsidRPr="00290678" w:rsidRDefault="005559F9" w:rsidP="005559F9">
      <w:pPr>
        <w:pStyle w:val="SingleTxtG"/>
      </w:pPr>
      <w:r w:rsidRPr="00213373">
        <w:t>4.</w:t>
      </w:r>
      <w:r w:rsidRPr="00213373">
        <w:tab/>
      </w:r>
      <w:bookmarkStart w:id="3" w:name="_Hlk44958824"/>
      <w:r w:rsidRPr="00213373">
        <w:rPr>
          <w:lang w:eastAsia="en-GB"/>
        </w:rPr>
        <w:t>In line with the Committee’s structure and functions and operating rules</w:t>
      </w:r>
      <w:r w:rsidRPr="00213373">
        <w:t>,</w:t>
      </w:r>
      <w:r w:rsidRPr="00213373">
        <w:rPr>
          <w:rStyle w:val="FootnoteReference"/>
          <w:lang w:eastAsia="en-GB"/>
        </w:rPr>
        <w:footnoteReference w:id="3"/>
      </w:r>
      <w:r w:rsidRPr="00213373">
        <w:t xml:space="preserve"> in addition to the permanent members, the following alternate members</w:t>
      </w:r>
      <w:bookmarkEnd w:id="3"/>
      <w:r w:rsidRPr="00213373">
        <w:t xml:space="preserve"> were </w:t>
      </w:r>
      <w:r w:rsidRPr="00213373">
        <w:rPr>
          <w:lang w:eastAsia="en-GB"/>
        </w:rPr>
        <w:t>appointed</w:t>
      </w:r>
      <w:r w:rsidRPr="00213373">
        <w:t xml:space="preserve"> by the elected Parties for the same term of office: </w:t>
      </w:r>
      <w:r w:rsidRPr="00DA03C6">
        <w:t xml:space="preserve">Ms. Leyla Aliyeva </w:t>
      </w:r>
      <w:r>
        <w:t>(from the forty-eighth session onwards)</w:t>
      </w:r>
      <w:r w:rsidRPr="00DA03C6">
        <w:t xml:space="preserve"> (Azerbaijan)</w:t>
      </w:r>
      <w:r>
        <w:t xml:space="preserve">; Ms. </w:t>
      </w:r>
      <w:proofErr w:type="spellStart"/>
      <w:r w:rsidRPr="00290678">
        <w:t>Eliska</w:t>
      </w:r>
      <w:proofErr w:type="spellEnd"/>
      <w:r w:rsidRPr="00290678">
        <w:t xml:space="preserve"> </w:t>
      </w:r>
      <w:proofErr w:type="spellStart"/>
      <w:r w:rsidRPr="00290678">
        <w:t>Dvorska</w:t>
      </w:r>
      <w:proofErr w:type="spellEnd"/>
      <w:r w:rsidRPr="00290678">
        <w:t xml:space="preserve"> (Czechia)</w:t>
      </w:r>
      <w:r w:rsidRPr="00213373">
        <w:t xml:space="preserve">; </w:t>
      </w:r>
      <w:r>
        <w:t xml:space="preserve">Ms. </w:t>
      </w:r>
      <w:r w:rsidRPr="00290678">
        <w:t xml:space="preserve">Larissa Lukina </w:t>
      </w:r>
      <w:r>
        <w:t xml:space="preserve">(from the forty-seventh session onwards) </w:t>
      </w:r>
      <w:r w:rsidRPr="00290678">
        <w:t>(Belarus)</w:t>
      </w:r>
      <w:r>
        <w:t>;</w:t>
      </w:r>
      <w:r w:rsidRPr="00290678">
        <w:t xml:space="preserve"> </w:t>
      </w:r>
      <w:r>
        <w:t xml:space="preserve">Ms. </w:t>
      </w:r>
      <w:r w:rsidRPr="00290678">
        <w:t xml:space="preserve">Christina Olson </w:t>
      </w:r>
      <w:proofErr w:type="spellStart"/>
      <w:r w:rsidRPr="00290678">
        <w:t>Lundh</w:t>
      </w:r>
      <w:proofErr w:type="spellEnd"/>
      <w:r w:rsidRPr="00290678">
        <w:t xml:space="preserve"> (Sweden)</w:t>
      </w:r>
      <w:r w:rsidRPr="00213373">
        <w:t xml:space="preserve">; </w:t>
      </w:r>
      <w:r>
        <w:t xml:space="preserve">Mr. </w:t>
      </w:r>
      <w:proofErr w:type="spellStart"/>
      <w:r w:rsidRPr="00290678">
        <w:t>Szabolcs</w:t>
      </w:r>
      <w:proofErr w:type="spellEnd"/>
      <w:r w:rsidRPr="00290678">
        <w:t xml:space="preserve"> Péter </w:t>
      </w:r>
      <w:proofErr w:type="spellStart"/>
      <w:r w:rsidRPr="00290678">
        <w:t>Orosz</w:t>
      </w:r>
      <w:proofErr w:type="spellEnd"/>
      <w:r w:rsidRPr="00290678">
        <w:t xml:space="preserve"> (Hungary)</w:t>
      </w:r>
      <w:r w:rsidRPr="00213373">
        <w:t xml:space="preserve">; </w:t>
      </w:r>
      <w:r>
        <w:t xml:space="preserve">Mr. </w:t>
      </w:r>
      <w:r w:rsidRPr="00213373">
        <w:t xml:space="preserve">Rainer </w:t>
      </w:r>
      <w:proofErr w:type="spellStart"/>
      <w:r w:rsidRPr="00213373">
        <w:t>Persidski</w:t>
      </w:r>
      <w:proofErr w:type="spellEnd"/>
      <w:r w:rsidRPr="00213373">
        <w:t xml:space="preserve"> (Estonia); </w:t>
      </w:r>
      <w:r>
        <w:t xml:space="preserve">Ms. </w:t>
      </w:r>
      <w:r w:rsidRPr="00290678">
        <w:t xml:space="preserve">Maryna </w:t>
      </w:r>
      <w:proofErr w:type="spellStart"/>
      <w:r w:rsidRPr="00290678">
        <w:t>Shymkus</w:t>
      </w:r>
      <w:proofErr w:type="spellEnd"/>
      <w:r w:rsidRPr="00290678">
        <w:t xml:space="preserve"> (Ukraine)</w:t>
      </w:r>
      <w:r>
        <w:t xml:space="preserve">; Ms. </w:t>
      </w:r>
      <w:proofErr w:type="spellStart"/>
      <w:r w:rsidRPr="00290678">
        <w:t>Águeda</w:t>
      </w:r>
      <w:proofErr w:type="spellEnd"/>
      <w:r w:rsidRPr="00290678">
        <w:t xml:space="preserve"> Silva (Portugal)</w:t>
      </w:r>
      <w:r>
        <w:t>;</w:t>
      </w:r>
      <w:r w:rsidRPr="00290678">
        <w:t xml:space="preserve"> </w:t>
      </w:r>
      <w:r>
        <w:t xml:space="preserve">Mr. </w:t>
      </w:r>
      <w:r w:rsidRPr="00290678">
        <w:t xml:space="preserve">Juozas </w:t>
      </w:r>
      <w:proofErr w:type="spellStart"/>
      <w:r w:rsidRPr="00290678">
        <w:t>Steponėnas</w:t>
      </w:r>
      <w:proofErr w:type="spellEnd"/>
      <w:r w:rsidRPr="00290678">
        <w:t xml:space="preserve"> (Lithuania)</w:t>
      </w:r>
      <w:r>
        <w:t xml:space="preserve">; and </w:t>
      </w:r>
      <w:r w:rsidRPr="00290678">
        <w:t xml:space="preserve">Ms. </w:t>
      </w:r>
      <w:proofErr w:type="spellStart"/>
      <w:r w:rsidRPr="00290678">
        <w:t>Charlotta</w:t>
      </w:r>
      <w:proofErr w:type="spellEnd"/>
      <w:r w:rsidRPr="00290678">
        <w:t xml:space="preserve"> von </w:t>
      </w:r>
      <w:proofErr w:type="spellStart"/>
      <w:r w:rsidRPr="00290678">
        <w:t>Troil</w:t>
      </w:r>
      <w:proofErr w:type="spellEnd"/>
      <w:r w:rsidRPr="00290678">
        <w:t xml:space="preserve"> (Finland)</w:t>
      </w:r>
      <w:r>
        <w:t xml:space="preserve">. </w:t>
      </w:r>
    </w:p>
    <w:p w14:paraId="531A92F3" w14:textId="77777777" w:rsidR="005559F9" w:rsidRPr="001545EB" w:rsidRDefault="005559F9" w:rsidP="005559F9">
      <w:pPr>
        <w:pStyle w:val="SingleTxtG"/>
      </w:pPr>
      <w:r w:rsidRPr="001545EB">
        <w:t>5.</w:t>
      </w:r>
      <w:r w:rsidRPr="001545EB">
        <w:tab/>
        <w:t>At its thirty-</w:t>
      </w:r>
      <w:r>
        <w:t xml:space="preserve">ninth </w:t>
      </w:r>
      <w:r w:rsidRPr="001545EB">
        <w:t>session</w:t>
      </w:r>
      <w:r w:rsidRPr="00E156B8">
        <w:t xml:space="preserve"> </w:t>
      </w:r>
      <w:r>
        <w:t>(</w:t>
      </w:r>
      <w:r w:rsidRPr="00E156B8">
        <w:t>Geneva, 5</w:t>
      </w:r>
      <w:r>
        <w:t>–</w:t>
      </w:r>
      <w:r w:rsidRPr="00E156B8">
        <w:t>7 September 2017</w:t>
      </w:r>
      <w:r>
        <w:t>)</w:t>
      </w:r>
      <w:r w:rsidRPr="001545EB">
        <w:t xml:space="preserve">, the Committee </w:t>
      </w:r>
      <w:r>
        <w:t>elect</w:t>
      </w:r>
      <w:r w:rsidRPr="001545EB">
        <w:t xml:space="preserve">ed Mr. </w:t>
      </w:r>
      <w:proofErr w:type="spellStart"/>
      <w:r w:rsidRPr="00411269">
        <w:t>Švedas</w:t>
      </w:r>
      <w:proofErr w:type="spellEnd"/>
      <w:r w:rsidRPr="001545EB">
        <w:t xml:space="preserve"> as Chair of the Committee</w:t>
      </w:r>
      <w:r>
        <w:t xml:space="preserve">, Ms. do Carmo Figueira </w:t>
      </w:r>
      <w:r w:rsidRPr="001545EB">
        <w:t xml:space="preserve">as the first Vice-Chair </w:t>
      </w:r>
      <w:r>
        <w:t xml:space="preserve">and Mr. </w:t>
      </w:r>
      <w:proofErr w:type="spellStart"/>
      <w:r>
        <w:t>Buchko</w:t>
      </w:r>
      <w:proofErr w:type="spellEnd"/>
      <w:r>
        <w:t xml:space="preserve"> </w:t>
      </w:r>
      <w:r w:rsidRPr="001545EB">
        <w:t>as the second Vice-Chair</w:t>
      </w:r>
      <w:r w:rsidRPr="000C00AD">
        <w:t xml:space="preserve"> </w:t>
      </w:r>
      <w:r>
        <w:t>(</w:t>
      </w:r>
      <w:r w:rsidRPr="000C00AD">
        <w:t>ECE/MP.EIA/IC/2017/4</w:t>
      </w:r>
      <w:r>
        <w:t>, para. 4)</w:t>
      </w:r>
      <w:r w:rsidRPr="001545EB">
        <w:t>.</w:t>
      </w:r>
    </w:p>
    <w:p w14:paraId="3D84511D" w14:textId="77777777" w:rsidR="005559F9" w:rsidRPr="001545EB" w:rsidRDefault="005559F9" w:rsidP="005559F9">
      <w:pPr>
        <w:pStyle w:val="SingleTxtG"/>
      </w:pPr>
      <w:r w:rsidRPr="001545EB">
        <w:t>6.</w:t>
      </w:r>
      <w:r w:rsidRPr="001545EB">
        <w:tab/>
      </w:r>
      <w:r>
        <w:t xml:space="preserve">Further to the Meeting of the Parties’ decision at its intermediary session (Geneva, 5–7 February 2020) to extend the </w:t>
      </w:r>
      <w:r w:rsidRPr="001545EB">
        <w:t xml:space="preserve">intersessional period </w:t>
      </w:r>
      <w:r>
        <w:t>2017–2020 from three to three and a half years</w:t>
      </w:r>
      <w:r w:rsidRPr="00A24082">
        <w:t xml:space="preserve"> </w:t>
      </w:r>
      <w:r>
        <w:t>(</w:t>
      </w:r>
      <w:r w:rsidRPr="00A24082">
        <w:t>ECE/MP.EIA/27– ECE/MP.EIA/SEA/1</w:t>
      </w:r>
      <w:r>
        <w:t>, para. 7), t</w:t>
      </w:r>
      <w:r w:rsidRPr="001545EB">
        <w:t xml:space="preserve">he Committee held </w:t>
      </w:r>
      <w:r>
        <w:t xml:space="preserve">ten sessions </w:t>
      </w:r>
      <w:r w:rsidRPr="00DB65FD">
        <w:t xml:space="preserve">during the intersessional period instead of </w:t>
      </w:r>
      <w:r>
        <w:t xml:space="preserve">the </w:t>
      </w:r>
      <w:r w:rsidRPr="00DB65FD">
        <w:t>nine originally planned</w:t>
      </w:r>
      <w:r>
        <w:t>.</w:t>
      </w:r>
      <w:r w:rsidRPr="00DB65FD">
        <w:rPr>
          <w:rStyle w:val="FootnoteReference"/>
        </w:rPr>
        <w:footnoteReference w:id="4"/>
      </w:r>
      <w:r w:rsidRPr="00DB65FD">
        <w:t xml:space="preserve"> Due to the coronavirus </w:t>
      </w:r>
      <w:r>
        <w:t xml:space="preserve">disease (COVID-19) </w:t>
      </w:r>
      <w:r w:rsidRPr="00DB65FD">
        <w:t>pandemic, two of these sessions were held using videoconferencing and without interpretation</w:t>
      </w:r>
      <w:r>
        <w:t>.</w:t>
      </w:r>
      <w:r w:rsidRPr="001545EB">
        <w:t xml:space="preserve"> </w:t>
      </w:r>
      <w:r>
        <w:t xml:space="preserve">Moreover, </w:t>
      </w:r>
      <w:r w:rsidRPr="00C439F2">
        <w:t xml:space="preserve">with a view to progressing on the </w:t>
      </w:r>
      <w:r>
        <w:lastRenderedPageBreak/>
        <w:t>outstanding</w:t>
      </w:r>
      <w:r w:rsidRPr="00C439F2">
        <w:t xml:space="preserve"> matters</w:t>
      </w:r>
      <w:r>
        <w:t xml:space="preserve">, the Committee held three </w:t>
      </w:r>
      <w:r w:rsidRPr="00C439F2">
        <w:t>additional one</w:t>
      </w:r>
      <w:r>
        <w:t>-</w:t>
      </w:r>
      <w:r w:rsidRPr="00C439F2">
        <w:t xml:space="preserve">day </w:t>
      </w:r>
      <w:r>
        <w:t xml:space="preserve">online </w:t>
      </w:r>
      <w:r w:rsidRPr="00C439F2">
        <w:t xml:space="preserve">meetings </w:t>
      </w:r>
      <w:r w:rsidRPr="00E60A93">
        <w:t>without interpretation</w:t>
      </w:r>
      <w:r>
        <w:t xml:space="preserve">. </w:t>
      </w:r>
      <w:r w:rsidRPr="001545EB">
        <w:t xml:space="preserve">Reports </w:t>
      </w:r>
      <w:r>
        <w:t>on</w:t>
      </w:r>
      <w:r w:rsidRPr="001545EB">
        <w:t xml:space="preserve"> the Committee’s sessions </w:t>
      </w:r>
      <w:r>
        <w:t>and its online meetings</w:t>
      </w:r>
      <w:r>
        <w:rPr>
          <w:rStyle w:val="FootnoteReference"/>
        </w:rPr>
        <w:footnoteReference w:id="5"/>
      </w:r>
      <w:r>
        <w:t xml:space="preserve"> </w:t>
      </w:r>
      <w:r w:rsidRPr="001545EB">
        <w:t>were made available to the Working Group on Environmental Impact Assessment and Strategic Environmental Assessment</w:t>
      </w:r>
      <w:r>
        <w:t xml:space="preserve"> a</w:t>
      </w:r>
      <w:r w:rsidRPr="001545EB">
        <w:t>nd published on the Convention website</w:t>
      </w:r>
      <w:r>
        <w:t xml:space="preserve">. </w:t>
      </w:r>
      <w:r w:rsidRPr="001545EB">
        <w:t xml:space="preserve">Members nominated by Parties whose compliance was at issue were not present when the Committee considered the respective items in </w:t>
      </w:r>
      <w:r w:rsidRPr="00F27B41">
        <w:t>closed session.</w:t>
      </w:r>
      <w:r>
        <w:rPr>
          <w:rStyle w:val="FootnoteReference"/>
        </w:rPr>
        <w:footnoteReference w:id="6"/>
      </w:r>
      <w:r w:rsidRPr="001545EB">
        <w:t xml:space="preserve"> </w:t>
      </w:r>
      <w:r w:rsidRPr="00015EEF">
        <w:t>The related documents and information</w:t>
      </w:r>
      <w:r>
        <w:t xml:space="preserve"> on the compliance issues considered by the Committee during the intersessional period</w:t>
      </w:r>
      <w:r w:rsidRPr="00015EEF">
        <w:t>, as specified in operating rule 16</w:t>
      </w:r>
      <w:r>
        <w:t>,</w:t>
      </w:r>
      <w:r w:rsidRPr="00015EEF">
        <w:t xml:space="preserve"> are posted on the Convention’s website.</w:t>
      </w:r>
      <w:r w:rsidRPr="00015EEF">
        <w:rPr>
          <w:vertAlign w:val="superscript"/>
        </w:rPr>
        <w:footnoteReference w:id="7"/>
      </w:r>
      <w:r w:rsidRPr="00015EEF">
        <w:rPr>
          <w:vertAlign w:val="superscript"/>
        </w:rPr>
        <w:t xml:space="preserve"> </w:t>
      </w:r>
      <w:r w:rsidRPr="00015EEF">
        <w:t xml:space="preserve"> </w:t>
      </w:r>
      <w:r>
        <w:t>T</w:t>
      </w:r>
      <w:r w:rsidRPr="009F762C">
        <w:t xml:space="preserve">he </w:t>
      </w:r>
      <w:r>
        <w:t xml:space="preserve">Committee’s </w:t>
      </w:r>
      <w:r w:rsidRPr="009F762C">
        <w:t>opinions in the period 20</w:t>
      </w:r>
      <w:r>
        <w:t>17–</w:t>
      </w:r>
      <w:r w:rsidRPr="009F762C">
        <w:t>2020</w:t>
      </w:r>
      <w:r>
        <w:t xml:space="preserve"> are </w:t>
      </w:r>
      <w:r w:rsidRPr="009F762C">
        <w:t>include</w:t>
      </w:r>
      <w:r>
        <w:t>d</w:t>
      </w:r>
      <w:r w:rsidRPr="009F762C">
        <w:t xml:space="preserve"> the </w:t>
      </w:r>
      <w:r>
        <w:t xml:space="preserve">revised </w:t>
      </w:r>
      <w:r w:rsidRPr="009F762C">
        <w:t xml:space="preserve">informal electronic publication of these opinions </w:t>
      </w:r>
      <w:r>
        <w:t>from 2001 to 2020 prepared by the secretariat in September 2020.</w:t>
      </w:r>
      <w:r>
        <w:rPr>
          <w:rStyle w:val="FootnoteReference"/>
        </w:rPr>
        <w:footnoteReference w:id="8"/>
      </w:r>
    </w:p>
    <w:p w14:paraId="1828A166" w14:textId="77777777" w:rsidR="005559F9" w:rsidRDefault="005559F9" w:rsidP="005559F9">
      <w:pPr>
        <w:pStyle w:val="H1G"/>
      </w:pPr>
      <w:r>
        <w:tab/>
      </w:r>
      <w:r w:rsidRPr="001545EB">
        <w:t>B.</w:t>
      </w:r>
      <w:r w:rsidRPr="001545EB">
        <w:tab/>
      </w:r>
      <w:r>
        <w:tab/>
      </w:r>
      <w:r w:rsidRPr="001545EB">
        <w:t>Activities assigned to the Committee</w:t>
      </w:r>
      <w:r>
        <w:t xml:space="preserve"> </w:t>
      </w:r>
    </w:p>
    <w:p w14:paraId="69C4940E" w14:textId="77777777" w:rsidR="005559F9" w:rsidRPr="001545EB" w:rsidRDefault="005559F9" w:rsidP="005559F9">
      <w:pPr>
        <w:pStyle w:val="SingleTxtG"/>
      </w:pPr>
      <w:r>
        <w:t>7</w:t>
      </w:r>
      <w:r w:rsidRPr="001545EB">
        <w:t>.</w:t>
      </w:r>
      <w:r w:rsidRPr="001545EB">
        <w:tab/>
        <w:t xml:space="preserve">The </w:t>
      </w:r>
      <w:r>
        <w:t xml:space="preserve">following decisions of the </w:t>
      </w:r>
      <w:r w:rsidRPr="001545EB">
        <w:t>Meeting</w:t>
      </w:r>
      <w:r>
        <w:t>s</w:t>
      </w:r>
      <w:r w:rsidRPr="001545EB">
        <w:t xml:space="preserve"> of the Parties regulat</w:t>
      </w:r>
      <w:r>
        <w:t>e</w:t>
      </w:r>
      <w:r w:rsidRPr="001545EB">
        <w:t xml:space="preserve"> the operation of the Committee</w:t>
      </w:r>
      <w:r>
        <w:t xml:space="preserve"> and the activities it carries out, which are</w:t>
      </w:r>
      <w:r w:rsidRPr="001545EB">
        <w:t xml:space="preserve"> in this report</w:t>
      </w:r>
      <w:r>
        <w:t>:</w:t>
      </w:r>
    </w:p>
    <w:p w14:paraId="3570BA4C" w14:textId="77777777" w:rsidR="005559F9" w:rsidRPr="001545EB" w:rsidRDefault="005559F9" w:rsidP="005559F9">
      <w:pPr>
        <w:pStyle w:val="SingleTxtG"/>
        <w:ind w:firstLine="567"/>
      </w:pPr>
      <w:r w:rsidRPr="001545EB">
        <w:t>(a)</w:t>
      </w:r>
      <w:r w:rsidRPr="001545EB">
        <w:tab/>
      </w:r>
      <w:r>
        <w:t>E</w:t>
      </w:r>
      <w:r w:rsidRPr="001545EB">
        <w:t>stablish</w:t>
      </w:r>
      <w:r>
        <w:t>ing</w:t>
      </w:r>
      <w:r w:rsidRPr="001545EB">
        <w:t xml:space="preserve"> the Committee for the review of compliance by the Parties with their obligations under the Convention with a view to assisting them fully </w:t>
      </w:r>
      <w:r>
        <w:t xml:space="preserve">to </w:t>
      </w:r>
      <w:r w:rsidRPr="001545EB">
        <w:t>meet their commitments (</w:t>
      </w:r>
      <w:r w:rsidRPr="00FF5922">
        <w:t>ECE/MP.EIA/4</w:t>
      </w:r>
      <w:r>
        <w:t>, annex IV,</w:t>
      </w:r>
      <w:r w:rsidRPr="00FF5922">
        <w:t xml:space="preserve"> </w:t>
      </w:r>
      <w:r w:rsidRPr="001545EB">
        <w:t>decision II/4, para. 1);</w:t>
      </w:r>
    </w:p>
    <w:p w14:paraId="40A7CDF3" w14:textId="77777777" w:rsidR="005559F9" w:rsidRPr="001545EB" w:rsidRDefault="005559F9" w:rsidP="005559F9">
      <w:pPr>
        <w:pStyle w:val="SingleTxtG"/>
        <w:ind w:firstLine="567"/>
      </w:pPr>
      <w:r w:rsidRPr="001545EB">
        <w:t>(b)</w:t>
      </w:r>
      <w:r w:rsidRPr="001545EB">
        <w:tab/>
      </w:r>
      <w:r>
        <w:t>D</w:t>
      </w:r>
      <w:r w:rsidRPr="001545EB">
        <w:t>ecid</w:t>
      </w:r>
      <w:r>
        <w:t>ing</w:t>
      </w:r>
      <w:r w:rsidRPr="001545EB">
        <w:t xml:space="preserve"> on the structure and functions of the Committee and the procedures for review of compliance (</w:t>
      </w:r>
      <w:r w:rsidRPr="006C783A">
        <w:t>ECE/MP.EIA/6</w:t>
      </w:r>
      <w:r>
        <w:t>, annex II,</w:t>
      </w:r>
      <w:r w:rsidRPr="006C783A">
        <w:t xml:space="preserve"> </w:t>
      </w:r>
      <w:r w:rsidRPr="001545EB">
        <w:t>decision III/2, para. 2)</w:t>
      </w:r>
      <w:r>
        <w:t>; approving</w:t>
      </w:r>
      <w:r w:rsidRPr="001545EB">
        <w:t xml:space="preserve"> the amendments </w:t>
      </w:r>
      <w:r>
        <w:t>there</w:t>
      </w:r>
      <w:r w:rsidRPr="001545EB">
        <w:t xml:space="preserve">to and </w:t>
      </w:r>
      <w:r>
        <w:t xml:space="preserve">adopting the Committee’s </w:t>
      </w:r>
      <w:r w:rsidRPr="001545EB">
        <w:t>operating rules set out in annex</w:t>
      </w:r>
      <w:r>
        <w:t>es</w:t>
      </w:r>
      <w:r w:rsidRPr="001545EB">
        <w:t xml:space="preserve"> I and II to decision VI/2 </w:t>
      </w:r>
      <w:r>
        <w:t>(</w:t>
      </w:r>
      <w:r w:rsidRPr="001F63E0">
        <w:t>ECE/MP.EIA/20.Add.1–ECE/MP.EIA/SEA/4.Add.1</w:t>
      </w:r>
      <w:r>
        <w:t>)</w:t>
      </w:r>
      <w:r w:rsidRPr="001F63E0">
        <w:t xml:space="preserve"> </w:t>
      </w:r>
      <w:r w:rsidRPr="001545EB">
        <w:t>(decision VI/2, paras. 12</w:t>
      </w:r>
      <w:r>
        <w:t xml:space="preserve"> and </w:t>
      </w:r>
      <w:r w:rsidRPr="001545EB">
        <w:t xml:space="preserve">13, and </w:t>
      </w:r>
      <w:r w:rsidRPr="001F63E0">
        <w:t>ECE/MP.EIA/20/Add.2</w:t>
      </w:r>
      <w:r>
        <w:t>–</w:t>
      </w:r>
      <w:r w:rsidRPr="001F63E0">
        <w:t>ECE/MP.EIA/SEA/4/Add.2</w:t>
      </w:r>
      <w:r>
        <w:t>,</w:t>
      </w:r>
      <w:r w:rsidRPr="001F63E0">
        <w:t xml:space="preserve"> </w:t>
      </w:r>
      <w:r w:rsidRPr="001545EB">
        <w:t>decision II/2</w:t>
      </w:r>
      <w:r>
        <w:t>,</w:t>
      </w:r>
      <w:r w:rsidRPr="001545EB">
        <w:t xml:space="preserve"> para. 9);</w:t>
      </w:r>
    </w:p>
    <w:p w14:paraId="0094C30A" w14:textId="77777777" w:rsidR="005559F9" w:rsidRPr="001545EB" w:rsidRDefault="005559F9" w:rsidP="005559F9">
      <w:pPr>
        <w:pStyle w:val="SingleTxtG"/>
        <w:ind w:firstLine="567"/>
      </w:pPr>
      <w:r w:rsidRPr="001545EB">
        <w:t>(c)</w:t>
      </w:r>
      <w:r w:rsidRPr="001545EB">
        <w:tab/>
      </w:r>
      <w:r>
        <w:t>E</w:t>
      </w:r>
      <w:r w:rsidRPr="001545EB">
        <w:t>xtend</w:t>
      </w:r>
      <w:r>
        <w:t>ing</w:t>
      </w:r>
      <w:r w:rsidRPr="001545EB">
        <w:t xml:space="preserve"> the application of the</w:t>
      </w:r>
      <w:r>
        <w:t xml:space="preserve"> Convention’s</w:t>
      </w:r>
      <w:r w:rsidRPr="001545EB">
        <w:t xml:space="preserve"> compliance procedure to the Protocol (decision </w:t>
      </w:r>
      <w:r>
        <w:t>V</w:t>
      </w:r>
      <w:r w:rsidRPr="001545EB">
        <w:t>/6–</w:t>
      </w:r>
      <w:r>
        <w:t>I</w:t>
      </w:r>
      <w:r w:rsidRPr="001545EB">
        <w:t>/6);</w:t>
      </w:r>
    </w:p>
    <w:p w14:paraId="660B0F5A" w14:textId="77777777" w:rsidR="005559F9" w:rsidRPr="00894D6A" w:rsidRDefault="005559F9" w:rsidP="005559F9">
      <w:pPr>
        <w:pStyle w:val="SingleTxtG"/>
        <w:ind w:firstLine="567"/>
        <w:rPr>
          <w:lang w:val="es-ES_tradnl"/>
        </w:rPr>
      </w:pPr>
      <w:r w:rsidRPr="001545EB">
        <w:t>(d)</w:t>
      </w:r>
      <w:r w:rsidRPr="001545EB">
        <w:tab/>
      </w:r>
      <w:r>
        <w:t>R</w:t>
      </w:r>
      <w:r w:rsidRPr="001545EB">
        <w:t>equest</w:t>
      </w:r>
      <w:r>
        <w:t>ing</w:t>
      </w:r>
      <w:r w:rsidRPr="001545EB">
        <w:t xml:space="preserve"> the secretariat to bring to the</w:t>
      </w:r>
      <w:r>
        <w:t xml:space="preserve"> Committee’s </w:t>
      </w:r>
      <w:r w:rsidRPr="001545EB">
        <w:t>attention general and specific compliance issues identified in the f</w:t>
      </w:r>
      <w:r>
        <w:t>ifth</w:t>
      </w:r>
      <w:r w:rsidRPr="001545EB">
        <w:t xml:space="preserve"> review of implementation of the Convention and the </w:t>
      </w:r>
      <w:r>
        <w:t>second</w:t>
      </w:r>
      <w:r w:rsidRPr="001545EB">
        <w:t xml:space="preserve"> review of implementation of the Protocol, and</w:t>
      </w:r>
      <w:r>
        <w:t xml:space="preserve"> </w:t>
      </w:r>
      <w:r w:rsidRPr="001545EB">
        <w:t>request</w:t>
      </w:r>
      <w:r>
        <w:t>ing</w:t>
      </w:r>
      <w:r w:rsidRPr="001545EB">
        <w:t xml:space="preserve"> the Committee to take these into account in its work (</w:t>
      </w:r>
      <w:r w:rsidRPr="00EA2FFC">
        <w:t>ECE/MP.EIA/23.Add.2–ECE/MP.EIA/SEA/7.Add.2</w:t>
      </w:r>
      <w:r>
        <w:t>,</w:t>
      </w:r>
      <w:r w:rsidRPr="00EA2FFC">
        <w:t xml:space="preserve"> </w:t>
      </w:r>
      <w:r w:rsidRPr="001545EB">
        <w:t>decision VI</w:t>
      </w:r>
      <w:r>
        <w:t>I</w:t>
      </w:r>
      <w:r w:rsidRPr="001545EB">
        <w:t xml:space="preserve">/1, para. </w:t>
      </w:r>
      <w:r w:rsidRPr="00894D6A">
        <w:rPr>
          <w:lang w:val="es-ES"/>
        </w:rPr>
        <w:t xml:space="preserve">4, and ECE/MP.EIA/23.Add.3–ECE/MP.EIA/SEA/7.Add.3, </w:t>
      </w:r>
      <w:proofErr w:type="spellStart"/>
      <w:r w:rsidRPr="00894D6A">
        <w:rPr>
          <w:lang w:val="es-ES"/>
        </w:rPr>
        <w:t>decision</w:t>
      </w:r>
      <w:proofErr w:type="spellEnd"/>
      <w:r w:rsidRPr="00894D6A">
        <w:rPr>
          <w:lang w:val="es-ES"/>
        </w:rPr>
        <w:t xml:space="preserve"> III/1, para. </w:t>
      </w:r>
      <w:r w:rsidRPr="00894D6A">
        <w:rPr>
          <w:lang w:val="es-ES_tradnl"/>
        </w:rPr>
        <w:t>4);</w:t>
      </w:r>
    </w:p>
    <w:p w14:paraId="5158DCCB" w14:textId="77777777" w:rsidR="005559F9" w:rsidRPr="001545EB" w:rsidRDefault="005559F9" w:rsidP="005559F9">
      <w:pPr>
        <w:pStyle w:val="SingleTxtG"/>
        <w:ind w:firstLine="567"/>
      </w:pPr>
      <w:r w:rsidRPr="001545EB">
        <w:t>(e)</w:t>
      </w:r>
      <w:r w:rsidRPr="001545EB">
        <w:tab/>
      </w:r>
      <w:r>
        <w:t>R</w:t>
      </w:r>
      <w:r w:rsidRPr="001545EB">
        <w:t>equest</w:t>
      </w:r>
      <w:r>
        <w:t>ing</w:t>
      </w:r>
      <w:r w:rsidRPr="001545EB">
        <w:t xml:space="preserve"> the Committee to </w:t>
      </w:r>
      <w:proofErr w:type="gramStart"/>
      <w:r w:rsidRPr="001545EB">
        <w:t>provide assistance to</w:t>
      </w:r>
      <w:proofErr w:type="gramEnd"/>
      <w:r w:rsidRPr="001545EB">
        <w:t xml:space="preserve"> Parties in need of such assistance, as appropriate and to the extent possible (</w:t>
      </w:r>
      <w:r w:rsidRPr="00EA2FFC">
        <w:t>ECE/MP.EIA/27/Add</w:t>
      </w:r>
      <w:r>
        <w:t>.</w:t>
      </w:r>
      <w:r w:rsidRPr="00EA2FFC">
        <w:t>1</w:t>
      </w:r>
      <w:r>
        <w:t>–</w:t>
      </w:r>
      <w:r w:rsidRPr="00EA2FFC">
        <w:t>ECE/MP.EIA/SEA/11/Add.1</w:t>
      </w:r>
      <w:r>
        <w:t>,</w:t>
      </w:r>
      <w:r w:rsidRPr="00EA2FFC">
        <w:t xml:space="preserve"> </w:t>
      </w:r>
      <w:r w:rsidRPr="001545EB">
        <w:t xml:space="preserve">decision </w:t>
      </w:r>
      <w:r>
        <w:t>IS</w:t>
      </w:r>
      <w:r w:rsidRPr="001545EB">
        <w:t>/</w:t>
      </w:r>
      <w:r>
        <w:t>1</w:t>
      </w:r>
      <w:r w:rsidRPr="001545EB">
        <w:t xml:space="preserve">, para. </w:t>
      </w:r>
      <w:r w:rsidRPr="00894D6A">
        <w:rPr>
          <w:lang w:val="es-ES"/>
        </w:rPr>
        <w:t xml:space="preserve">6, and ECE/MP.EIA/23.Add.3–ECE/MP.EIA/SEA/7.Add.3, </w:t>
      </w:r>
      <w:proofErr w:type="spellStart"/>
      <w:r w:rsidRPr="00894D6A">
        <w:rPr>
          <w:lang w:val="es-ES"/>
        </w:rPr>
        <w:t>decision</w:t>
      </w:r>
      <w:proofErr w:type="spellEnd"/>
      <w:r w:rsidRPr="00894D6A">
        <w:rPr>
          <w:lang w:val="es-ES"/>
        </w:rPr>
        <w:t xml:space="preserve"> III/2, para. </w:t>
      </w:r>
      <w:r>
        <w:t>7</w:t>
      </w:r>
      <w:r w:rsidRPr="001545EB">
        <w:t>);</w:t>
      </w:r>
    </w:p>
    <w:p w14:paraId="591B28AB" w14:textId="77777777" w:rsidR="005559F9" w:rsidRPr="001545EB" w:rsidRDefault="005559F9" w:rsidP="005559F9">
      <w:pPr>
        <w:pStyle w:val="SingleTxtG"/>
        <w:ind w:firstLine="567"/>
      </w:pPr>
      <w:r w:rsidRPr="001545EB">
        <w:t>(</w:t>
      </w:r>
      <w:r>
        <w:t>f</w:t>
      </w:r>
      <w:r w:rsidRPr="001545EB">
        <w:t>)</w:t>
      </w:r>
      <w:r w:rsidRPr="001545EB">
        <w:tab/>
      </w:r>
      <w:r>
        <w:t>K</w:t>
      </w:r>
      <w:r w:rsidRPr="001545EB">
        <w:t>eep</w:t>
      </w:r>
      <w:r>
        <w:t>ing</w:t>
      </w:r>
      <w:r w:rsidRPr="001545EB">
        <w:t xml:space="preserve"> under review and develop</w:t>
      </w:r>
      <w:r>
        <w:t>ing</w:t>
      </w:r>
      <w:r w:rsidRPr="001545EB">
        <w:t xml:space="preserve">, if necessary, </w:t>
      </w:r>
      <w:r>
        <w:t xml:space="preserve">the </w:t>
      </w:r>
      <w:r w:rsidRPr="001545EB">
        <w:t>structure and functions</w:t>
      </w:r>
      <w:r>
        <w:t xml:space="preserve"> of the Committee and</w:t>
      </w:r>
      <w:r w:rsidRPr="001545EB">
        <w:t xml:space="preserve"> </w:t>
      </w:r>
      <w:r>
        <w:t xml:space="preserve">its </w:t>
      </w:r>
      <w:r w:rsidRPr="001545EB">
        <w:t xml:space="preserve">operating rules, in </w:t>
      </w:r>
      <w:r>
        <w:t xml:space="preserve">the </w:t>
      </w:r>
      <w:r w:rsidRPr="001545EB">
        <w:t xml:space="preserve">light of experience gained, and </w:t>
      </w:r>
      <w:r>
        <w:t xml:space="preserve">requesting the Committee to </w:t>
      </w:r>
      <w:r w:rsidRPr="001545EB">
        <w:t xml:space="preserve">prepare proposals, as the Committee deems necessary, for the </w:t>
      </w:r>
      <w:r>
        <w:t xml:space="preserve">next sessions </w:t>
      </w:r>
      <w:r w:rsidRPr="001545EB">
        <w:t>of the Meeting</w:t>
      </w:r>
      <w:r>
        <w:t>s</w:t>
      </w:r>
      <w:r w:rsidRPr="001545EB">
        <w:t xml:space="preserve"> of the Parties (</w:t>
      </w:r>
      <w:r w:rsidRPr="00D14617">
        <w:t>ECE/MP.EIA/20.Add.1–ECE/MP.EIA/SEA/4.Add.</w:t>
      </w:r>
      <w:r>
        <w:t>1,</w:t>
      </w:r>
      <w:r w:rsidRPr="00D14617">
        <w:t xml:space="preserve"> </w:t>
      </w:r>
      <w:r w:rsidRPr="001545EB">
        <w:t xml:space="preserve">decision </w:t>
      </w:r>
      <w:r>
        <w:t>VI/2, para. 14, and decision IS</w:t>
      </w:r>
      <w:r w:rsidRPr="001545EB">
        <w:t>/</w:t>
      </w:r>
      <w:r>
        <w:t>1</w:t>
      </w:r>
      <w:r w:rsidRPr="001545EB">
        <w:t>, para.</w:t>
      </w:r>
      <w:r>
        <w:t> </w:t>
      </w:r>
      <w:r w:rsidRPr="001545EB">
        <w:t>1</w:t>
      </w:r>
      <w:r>
        <w:t>0</w:t>
      </w:r>
      <w:r w:rsidRPr="001545EB">
        <w:t>);</w:t>
      </w:r>
    </w:p>
    <w:p w14:paraId="01F4088F" w14:textId="77777777" w:rsidR="005559F9" w:rsidRPr="001545EB" w:rsidRDefault="005559F9" w:rsidP="005559F9">
      <w:pPr>
        <w:pStyle w:val="SingleTxtG"/>
        <w:ind w:firstLine="567"/>
      </w:pPr>
      <w:r w:rsidRPr="001545EB">
        <w:t>(</w:t>
      </w:r>
      <w:r>
        <w:t>g</w:t>
      </w:r>
      <w:r w:rsidRPr="001545EB">
        <w:t>)</w:t>
      </w:r>
      <w:r w:rsidRPr="001545EB">
        <w:tab/>
      </w:r>
      <w:r>
        <w:t>A</w:t>
      </w:r>
      <w:r w:rsidRPr="001545EB">
        <w:t>dopt</w:t>
      </w:r>
      <w:r>
        <w:t>ing</w:t>
      </w:r>
      <w:r w:rsidRPr="001545EB">
        <w:t xml:space="preserve"> the workplan for compliance with and implementation of the Convention and the Protocol in the period up to the </w:t>
      </w:r>
      <w:r>
        <w:t>eighth</w:t>
      </w:r>
      <w:r w:rsidRPr="001545EB">
        <w:t xml:space="preserve"> session of the Meeting of the Parties to the Convention and the </w:t>
      </w:r>
      <w:r>
        <w:t>fourth</w:t>
      </w:r>
      <w:r w:rsidRPr="001545EB">
        <w:t xml:space="preserve"> session of the Meeting of the Parties to the Protocol (</w:t>
      </w:r>
      <w:r w:rsidRPr="00BF2852">
        <w:t>ECE/MP.EIA/23.Add.1–ECE/MP.EIA/SEA/7.Add.1</w:t>
      </w:r>
      <w:r>
        <w:t xml:space="preserve">, </w:t>
      </w:r>
      <w:r w:rsidRPr="001545EB">
        <w:t xml:space="preserve">decision </w:t>
      </w:r>
      <w:r w:rsidRPr="0030185F">
        <w:t>VII/3–III/3</w:t>
      </w:r>
      <w:r w:rsidRPr="001545EB">
        <w:t xml:space="preserve">), </w:t>
      </w:r>
      <w:r>
        <w:t>thereby tasking the Committee to</w:t>
      </w:r>
      <w:r w:rsidRPr="001545EB">
        <w:t>:</w:t>
      </w:r>
    </w:p>
    <w:p w14:paraId="09F900A9" w14:textId="77777777" w:rsidR="005559F9" w:rsidRDefault="005559F9" w:rsidP="005559F9">
      <w:pPr>
        <w:pStyle w:val="SingleTxtG"/>
        <w:ind w:left="1701"/>
      </w:pPr>
      <w:r w:rsidRPr="001545EB">
        <w:t>(i)</w:t>
      </w:r>
      <w:r w:rsidRPr="001545EB">
        <w:tab/>
        <w:t xml:space="preserve">Consider compliance </w:t>
      </w:r>
      <w:r>
        <w:t xml:space="preserve">under </w:t>
      </w:r>
      <w:r w:rsidRPr="001545EB">
        <w:t xml:space="preserve">submissions </w:t>
      </w:r>
      <w:r>
        <w:t>and the Committee initiatives</w:t>
      </w:r>
      <w:r w:rsidRPr="001545EB">
        <w:t>;</w:t>
      </w:r>
      <w:r w:rsidRPr="001B1BE8">
        <w:t xml:space="preserve"> </w:t>
      </w:r>
      <w:r>
        <w:t xml:space="preserve"> </w:t>
      </w:r>
    </w:p>
    <w:p w14:paraId="309B1B67" w14:textId="77777777" w:rsidR="005559F9" w:rsidRPr="001545EB" w:rsidRDefault="005559F9" w:rsidP="005559F9">
      <w:pPr>
        <w:pStyle w:val="SingleTxtG"/>
        <w:ind w:left="1701"/>
      </w:pPr>
      <w:r w:rsidRPr="001545EB">
        <w:lastRenderedPageBreak/>
        <w:t>(</w:t>
      </w:r>
      <w:r>
        <w:t>ii</w:t>
      </w:r>
      <w:r w:rsidRPr="001545EB">
        <w:t>)</w:t>
      </w:r>
      <w:r w:rsidRPr="001545EB">
        <w:tab/>
        <w:t xml:space="preserve">If necessary, review </w:t>
      </w:r>
      <w:r>
        <w:t xml:space="preserve">its </w:t>
      </w:r>
      <w:r w:rsidRPr="001545EB">
        <w:t xml:space="preserve">structure and functions and operating rules (see also </w:t>
      </w:r>
      <w:r>
        <w:t xml:space="preserve">subparagraph </w:t>
      </w:r>
      <w:r w:rsidRPr="001545EB">
        <w:t>(</w:t>
      </w:r>
      <w:r>
        <w:t>f</w:t>
      </w:r>
      <w:r w:rsidRPr="001545EB">
        <w:t>) above);</w:t>
      </w:r>
    </w:p>
    <w:p w14:paraId="49771E3E" w14:textId="77777777" w:rsidR="005559F9" w:rsidRDefault="005559F9" w:rsidP="005559F9">
      <w:pPr>
        <w:pStyle w:val="SingleTxtG"/>
        <w:ind w:left="1701"/>
      </w:pPr>
      <w:r w:rsidRPr="001545EB">
        <w:t>(</w:t>
      </w:r>
      <w:r>
        <w:t>iii</w:t>
      </w:r>
      <w:r w:rsidRPr="001545EB">
        <w:t>)</w:t>
      </w:r>
      <w:r w:rsidRPr="001545EB">
        <w:tab/>
        <w:t>Examin</w:t>
      </w:r>
      <w:r>
        <w:t>e</w:t>
      </w:r>
      <w:r w:rsidRPr="001545EB">
        <w:t xml:space="preserve"> the outcome of the f</w:t>
      </w:r>
      <w:r>
        <w:t>ifth</w:t>
      </w:r>
      <w:r w:rsidRPr="001545EB">
        <w:t xml:space="preserve"> review of implementation of the Convention and the </w:t>
      </w:r>
      <w:r>
        <w:t>second</w:t>
      </w:r>
      <w:r w:rsidRPr="001545EB">
        <w:t xml:space="preserve"> review of implementation of the Protocol;</w:t>
      </w:r>
    </w:p>
    <w:p w14:paraId="79D00753" w14:textId="77777777" w:rsidR="005559F9" w:rsidRPr="001545EB" w:rsidRDefault="005559F9" w:rsidP="005559F9">
      <w:pPr>
        <w:pStyle w:val="SingleTxtG"/>
        <w:ind w:left="1701"/>
      </w:pPr>
      <w:r w:rsidRPr="00C71320">
        <w:t>(</w:t>
      </w:r>
      <w:r>
        <w:t>i</w:t>
      </w:r>
      <w:r w:rsidRPr="00C71320">
        <w:t>v)</w:t>
      </w:r>
      <w:r w:rsidRPr="00C71320">
        <w:tab/>
        <w:t>Supervise reviews of legislation, procedures and practice and technical assistance in drafting legislation to strengthen Parties’ implementation of and compliance with the Convention and the Protocol, as prompted by the Committee or requested by Parties themselves and subject to availability of funds;</w:t>
      </w:r>
    </w:p>
    <w:p w14:paraId="3CB5F8BC" w14:textId="77777777" w:rsidR="005559F9" w:rsidRPr="001545EB" w:rsidRDefault="005559F9" w:rsidP="005559F9">
      <w:pPr>
        <w:pStyle w:val="SingleTxtG"/>
        <w:ind w:left="1710"/>
      </w:pPr>
      <w:r w:rsidRPr="001545EB">
        <w:t>(v)</w:t>
      </w:r>
      <w:r w:rsidRPr="001545EB">
        <w:tab/>
      </w:r>
      <w:r>
        <w:t>R</w:t>
      </w:r>
      <w:r w:rsidRPr="001545EB">
        <w:t xml:space="preserve">eport on </w:t>
      </w:r>
      <w:r>
        <w:t xml:space="preserve">its </w:t>
      </w:r>
      <w:r w:rsidRPr="001545EB">
        <w:t xml:space="preserve">activities to the </w:t>
      </w:r>
      <w:r>
        <w:t>eighth</w:t>
      </w:r>
      <w:r w:rsidRPr="001545EB">
        <w:t xml:space="preserve"> session of the Meeting of the Parties to the Convention and the </w:t>
      </w:r>
      <w:r>
        <w:t>fourth</w:t>
      </w:r>
      <w:r w:rsidRPr="001545EB">
        <w:t xml:space="preserve"> session of the Meeting of the Parties to the Protocol.</w:t>
      </w:r>
    </w:p>
    <w:p w14:paraId="2C140842" w14:textId="77777777" w:rsidR="005559F9" w:rsidRDefault="005559F9" w:rsidP="005559F9">
      <w:pPr>
        <w:pStyle w:val="SingleTxtG"/>
      </w:pPr>
      <w:r>
        <w:t>8</w:t>
      </w:r>
      <w:r w:rsidRPr="001545EB">
        <w:t>.</w:t>
      </w:r>
      <w:r w:rsidRPr="001545EB">
        <w:tab/>
      </w:r>
      <w:r>
        <w:t>Additionally</w:t>
      </w:r>
      <w:r w:rsidRPr="00677921">
        <w:t xml:space="preserve">, </w:t>
      </w:r>
      <w:r>
        <w:t xml:space="preserve">based on the </w:t>
      </w:r>
      <w:r w:rsidRPr="00677921">
        <w:t>Meeting of the Parties to the Convention</w:t>
      </w:r>
      <w:r>
        <w:t>’s decision</w:t>
      </w:r>
      <w:r w:rsidRPr="00677921">
        <w:t xml:space="preserve"> at its seventh session </w:t>
      </w:r>
      <w:r>
        <w:t>that further efforts were needed to reach consensus on draft decision VII/2</w:t>
      </w:r>
      <w:r w:rsidRPr="0028153A">
        <w:t xml:space="preserve"> </w:t>
      </w:r>
      <w:r>
        <w:t xml:space="preserve">on the review of compliance with the Convention (ECE/MP.EIA/2017/8), the Committee was mandated to </w:t>
      </w:r>
      <w:r w:rsidRPr="00677921">
        <w:t>revise draft decision VII/2</w:t>
      </w:r>
      <w:r>
        <w:t xml:space="preserve"> </w:t>
      </w:r>
      <w:r w:rsidRPr="00677921">
        <w:t xml:space="preserve">for </w:t>
      </w:r>
      <w:r>
        <w:t>consideration of the Meeting of the Parties</w:t>
      </w:r>
      <w:r w:rsidRPr="00677921">
        <w:t xml:space="preserve"> </w:t>
      </w:r>
      <w:r>
        <w:t xml:space="preserve">to the Convention at the intermediary session (Geneva, 5–7 February 2019) </w:t>
      </w:r>
      <w:r w:rsidRPr="00677921">
        <w:t>(ECE/MP.EIA/23–ECE/MP.EIA/SEA/7, para. 27)</w:t>
      </w:r>
      <w:r>
        <w:t xml:space="preserve">. </w:t>
      </w:r>
    </w:p>
    <w:p w14:paraId="178D9C27" w14:textId="53ADE42D" w:rsidR="005559F9" w:rsidRPr="001545EB" w:rsidRDefault="005559F9" w:rsidP="005559F9">
      <w:pPr>
        <w:pStyle w:val="SingleTxtG"/>
      </w:pPr>
      <w:r>
        <w:t>9.</w:t>
      </w:r>
      <w:r>
        <w:tab/>
        <w:t>Further to specific compliance decisions adopted at the intermediary session, the Committee was requested to undertake various</w:t>
      </w:r>
      <w:r w:rsidRPr="001545EB">
        <w:t xml:space="preserve"> </w:t>
      </w:r>
      <w:r>
        <w:t xml:space="preserve">specific actions, in particular, </w:t>
      </w:r>
      <w:r w:rsidRPr="001545EB">
        <w:t>regarding</w:t>
      </w:r>
      <w:r>
        <w:t xml:space="preserve"> </w:t>
      </w:r>
      <w:r w:rsidRPr="00824346">
        <w:t xml:space="preserve">Armenia </w:t>
      </w:r>
      <w:r>
        <w:t xml:space="preserve">(decision IS/1a), </w:t>
      </w:r>
      <w:r w:rsidRPr="00824346">
        <w:t xml:space="preserve">Azerbaijan </w:t>
      </w:r>
      <w:r>
        <w:t xml:space="preserve">(decision IS/1c), </w:t>
      </w:r>
      <w:r w:rsidRPr="001545EB">
        <w:t>Belarus</w:t>
      </w:r>
      <w:r>
        <w:t xml:space="preserve"> (decision IS/1d), and</w:t>
      </w:r>
      <w:r w:rsidRPr="001545EB">
        <w:t xml:space="preserve"> Ukraine</w:t>
      </w:r>
      <w:r>
        <w:t xml:space="preserve"> (decisions IS/1 f and IS/1g)</w:t>
      </w:r>
      <w:r w:rsidRPr="00C47A58">
        <w:t xml:space="preserve"> </w:t>
      </w:r>
      <w:r>
        <w:t xml:space="preserve">(see </w:t>
      </w:r>
      <w:r w:rsidRPr="00C47A58">
        <w:t>ECE/MP.EIA/27/Add.1−ECE/MP.EIA/SEA/11/Add.1</w:t>
      </w:r>
      <w:r>
        <w:t>).</w:t>
      </w:r>
    </w:p>
    <w:p w14:paraId="2EAC4548" w14:textId="77777777" w:rsidR="005559F9" w:rsidRDefault="005559F9" w:rsidP="005559F9">
      <w:pPr>
        <w:pStyle w:val="SingleTxtG"/>
      </w:pPr>
      <w:r>
        <w:t>10.</w:t>
      </w:r>
      <w:r>
        <w:tab/>
        <w:t xml:space="preserve">Furthermore, considering the continuously growing number of information-gathering cases on lifetime extension of nuclear power plants before the Committee and the need for guidance on the Convention’s applicability in this respect, </w:t>
      </w:r>
      <w:r w:rsidRPr="001545EB">
        <w:t xml:space="preserve">the Committee </w:t>
      </w:r>
      <w:r>
        <w:t>was invited to continue: gathering information on pending cases regarding lifetime extension of nuclear power plants; and providing its inputs, as appropriate, to the work of the related ad hoc working group established by the Meeting of the Parties at its seventh session (decision IS/2, para. 10).</w:t>
      </w:r>
    </w:p>
    <w:p w14:paraId="21EAAF14" w14:textId="29100921" w:rsidR="005559F9" w:rsidRDefault="005559F9" w:rsidP="005559F9">
      <w:pPr>
        <w:pStyle w:val="HChG"/>
      </w:pPr>
      <w:r w:rsidRPr="001545EB">
        <w:tab/>
      </w:r>
      <w:r>
        <w:t>II.</w:t>
      </w:r>
      <w:r>
        <w:tab/>
      </w:r>
      <w:r>
        <w:tab/>
        <w:t>Revision of draft decision VII/2 on the review of compliance with the Convention and follow-up to decisions IS/1 a, c, d, g and f</w:t>
      </w:r>
    </w:p>
    <w:p w14:paraId="434B5687" w14:textId="6F8D5196" w:rsidR="005559F9" w:rsidRDefault="005559F9" w:rsidP="005559F9">
      <w:pPr>
        <w:pStyle w:val="SingleTxtG"/>
      </w:pPr>
      <w:r>
        <w:t>11.</w:t>
      </w:r>
      <w:r>
        <w:tab/>
      </w:r>
      <w:r w:rsidRPr="00EB3804">
        <w:t>As mandated by the Meeting of the Parties at its</w:t>
      </w:r>
      <w:r>
        <w:t xml:space="preserve"> seventh</w:t>
      </w:r>
      <w:r w:rsidRPr="00EB3804">
        <w:t xml:space="preserve"> session</w:t>
      </w:r>
      <w:r w:rsidRPr="00374148">
        <w:t xml:space="preserve"> </w:t>
      </w:r>
      <w:r>
        <w:t>(</w:t>
      </w:r>
      <w:r w:rsidRPr="00374148">
        <w:t>ECE/MP.EIA/23</w:t>
      </w:r>
      <w:r>
        <w:t>–</w:t>
      </w:r>
      <w:r w:rsidRPr="00374148">
        <w:t xml:space="preserve"> ECE/MP.EIA/SEA/7</w:t>
      </w:r>
      <w:r>
        <w:t>, para. 27)</w:t>
      </w:r>
      <w:r w:rsidRPr="00EB3804">
        <w:t xml:space="preserve">, the Committee </w:t>
      </w:r>
      <w:r>
        <w:t xml:space="preserve">at its forty-second (Geneva, 11–14 September 2018) and forty-third (Geneva, 4–7 December 2018) sessions, </w:t>
      </w:r>
      <w:r w:rsidRPr="00EB3804">
        <w:t>reviewed</w:t>
      </w:r>
      <w:r>
        <w:t xml:space="preserve"> and revised</w:t>
      </w:r>
      <w:r w:rsidRPr="00EB3804">
        <w:t xml:space="preserve"> draft decision VII/2 </w:t>
      </w:r>
      <w:r w:rsidRPr="00114A44">
        <w:t xml:space="preserve">on the review of compliance with the Convention </w:t>
      </w:r>
      <w:r>
        <w:t>considering</w:t>
      </w:r>
      <w:r w:rsidRPr="00EB3804">
        <w:t xml:space="preserve"> the progress made before, during and after </w:t>
      </w:r>
      <w:r>
        <w:t>that</w:t>
      </w:r>
      <w:r w:rsidRPr="00EB3804">
        <w:t xml:space="preserve"> session</w:t>
      </w:r>
      <w:r>
        <w:t>, the comments provided at</w:t>
      </w:r>
      <w:r w:rsidRPr="00C8255C">
        <w:t xml:space="preserve"> the seventh meeting of the Working Group</w:t>
      </w:r>
      <w:r>
        <w:t xml:space="preserve"> </w:t>
      </w:r>
      <w:r w:rsidRPr="00D13B2B">
        <w:t xml:space="preserve">on Environmental Impact Assessment and Strategic Environmental Assessment </w:t>
      </w:r>
      <w:r>
        <w:t>(Geneva, 28–30 May 2018) and all information provided by the Parties concerned by September 2018</w:t>
      </w:r>
      <w:r w:rsidRPr="00EB3804">
        <w:t>. To facilitate consideration and adoption of the revised draft, the Committee presented the outcomes of its work in separate documents as summarized in table 1 below.</w:t>
      </w:r>
      <w:r>
        <w:t xml:space="preserve"> To establish a correlation between country-specific paragraphs of draft decision VII/2, decisions IS/1 (a)–(h) and draft decisions VIII/4 (a)–(e) on its follow-up to decision VI/2, table 1, as needed, contains the related references to decision VI/2. </w:t>
      </w:r>
    </w:p>
    <w:p w14:paraId="1B7FD4AA" w14:textId="77777777" w:rsidR="008A561E" w:rsidRDefault="008A561E" w:rsidP="005559F9">
      <w:pPr>
        <w:pStyle w:val="SingleTxtG"/>
      </w:pPr>
    </w:p>
    <w:p w14:paraId="0AF5D591" w14:textId="5B51E364" w:rsidR="008A561E" w:rsidRPr="001545EB" w:rsidRDefault="008A561E" w:rsidP="008A561E">
      <w:pPr>
        <w:pStyle w:val="H23G"/>
      </w:pPr>
      <w:r>
        <w:rPr>
          <w:b w:val="0"/>
        </w:rPr>
        <w:lastRenderedPageBreak/>
        <w:tab/>
      </w:r>
      <w:r>
        <w:rPr>
          <w:b w:val="0"/>
        </w:rPr>
        <w:tab/>
      </w:r>
      <w:r w:rsidRPr="001545EB">
        <w:rPr>
          <w:b w:val="0"/>
        </w:rPr>
        <w:t xml:space="preserve">Table </w:t>
      </w:r>
      <w:r>
        <w:rPr>
          <w:b w:val="0"/>
        </w:rPr>
        <w:t>1</w:t>
      </w:r>
      <w:r w:rsidRPr="001545EB">
        <w:br/>
      </w:r>
      <w:r w:rsidRPr="00A874A1">
        <w:t>Revision of draft decision VII/2 on the review of compliance with the Convention</w:t>
      </w:r>
    </w:p>
    <w:tbl>
      <w:tblPr>
        <w:tblW w:w="7620" w:type="dxa"/>
        <w:tblInd w:w="1134" w:type="dxa"/>
        <w:tblLayout w:type="fixed"/>
        <w:tblCellMar>
          <w:left w:w="0" w:type="dxa"/>
          <w:right w:w="0" w:type="dxa"/>
        </w:tblCellMar>
        <w:tblLook w:val="01E0" w:firstRow="1" w:lastRow="1" w:firstColumn="1" w:lastColumn="1" w:noHBand="0" w:noVBand="0"/>
      </w:tblPr>
      <w:tblGrid>
        <w:gridCol w:w="1276"/>
        <w:gridCol w:w="1135"/>
        <w:gridCol w:w="1572"/>
        <w:gridCol w:w="786"/>
        <w:gridCol w:w="873"/>
        <w:gridCol w:w="843"/>
        <w:gridCol w:w="1135"/>
      </w:tblGrid>
      <w:tr w:rsidR="008A561E" w:rsidRPr="00E34699" w14:paraId="3FE0CFF3" w14:textId="77777777" w:rsidTr="00503962">
        <w:trPr>
          <w:tblHeader/>
        </w:trPr>
        <w:tc>
          <w:tcPr>
            <w:tcW w:w="1276" w:type="dxa"/>
            <w:tcBorders>
              <w:top w:val="single" w:sz="4" w:space="0" w:color="auto"/>
              <w:bottom w:val="single" w:sz="12" w:space="0" w:color="auto"/>
            </w:tcBorders>
            <w:shd w:val="clear" w:color="auto" w:fill="auto"/>
            <w:vAlign w:val="bottom"/>
          </w:tcPr>
          <w:p w14:paraId="140EE3FC" w14:textId="77777777" w:rsidR="008A561E" w:rsidRPr="00E34699" w:rsidRDefault="008A561E" w:rsidP="00E34699">
            <w:pPr>
              <w:spacing w:before="80" w:after="80" w:line="200" w:lineRule="exact"/>
              <w:ind w:right="113"/>
              <w:rPr>
                <w:i/>
                <w:sz w:val="16"/>
              </w:rPr>
            </w:pPr>
            <w:r w:rsidRPr="00E34699">
              <w:rPr>
                <w:i/>
                <w:sz w:val="16"/>
              </w:rPr>
              <w:t>Committee reference</w:t>
            </w:r>
          </w:p>
        </w:tc>
        <w:tc>
          <w:tcPr>
            <w:tcW w:w="1135" w:type="dxa"/>
            <w:tcBorders>
              <w:top w:val="single" w:sz="4" w:space="0" w:color="auto"/>
              <w:bottom w:val="single" w:sz="12" w:space="0" w:color="auto"/>
            </w:tcBorders>
            <w:shd w:val="clear" w:color="auto" w:fill="auto"/>
            <w:vAlign w:val="bottom"/>
          </w:tcPr>
          <w:p w14:paraId="1A4CF8E4" w14:textId="77777777" w:rsidR="008A561E" w:rsidRPr="00E34699" w:rsidRDefault="008A561E" w:rsidP="00E34699">
            <w:pPr>
              <w:spacing w:before="80" w:after="80" w:line="200" w:lineRule="exact"/>
              <w:ind w:right="113"/>
              <w:rPr>
                <w:i/>
                <w:sz w:val="16"/>
              </w:rPr>
            </w:pPr>
            <w:r w:rsidRPr="00E34699">
              <w:rPr>
                <w:i/>
                <w:sz w:val="16"/>
              </w:rPr>
              <w:t>Party concerned</w:t>
            </w:r>
          </w:p>
        </w:tc>
        <w:tc>
          <w:tcPr>
            <w:tcW w:w="1572" w:type="dxa"/>
            <w:tcBorders>
              <w:top w:val="single" w:sz="4" w:space="0" w:color="auto"/>
              <w:bottom w:val="single" w:sz="12" w:space="0" w:color="auto"/>
            </w:tcBorders>
            <w:shd w:val="clear" w:color="auto" w:fill="auto"/>
            <w:vAlign w:val="bottom"/>
          </w:tcPr>
          <w:p w14:paraId="15F4FB1A" w14:textId="77777777" w:rsidR="008A561E" w:rsidRPr="00E34699" w:rsidRDefault="008A561E" w:rsidP="00E34699">
            <w:pPr>
              <w:spacing w:before="80" w:after="80" w:line="200" w:lineRule="exact"/>
              <w:ind w:right="113"/>
              <w:rPr>
                <w:i/>
                <w:sz w:val="16"/>
              </w:rPr>
            </w:pPr>
            <w:r w:rsidRPr="00E34699">
              <w:rPr>
                <w:i/>
                <w:sz w:val="16"/>
              </w:rPr>
              <w:t>Issue</w:t>
            </w:r>
          </w:p>
        </w:tc>
        <w:tc>
          <w:tcPr>
            <w:tcW w:w="786" w:type="dxa"/>
            <w:tcBorders>
              <w:top w:val="single" w:sz="4" w:space="0" w:color="auto"/>
              <w:bottom w:val="single" w:sz="12" w:space="0" w:color="auto"/>
            </w:tcBorders>
            <w:shd w:val="clear" w:color="auto" w:fill="auto"/>
            <w:vAlign w:val="bottom"/>
          </w:tcPr>
          <w:p w14:paraId="7251D7BA" w14:textId="77777777" w:rsidR="008A561E" w:rsidRPr="00E34699" w:rsidRDefault="008A561E" w:rsidP="00E34699">
            <w:pPr>
              <w:spacing w:before="80" w:after="80" w:line="200" w:lineRule="exact"/>
              <w:ind w:right="113"/>
              <w:rPr>
                <w:i/>
                <w:sz w:val="16"/>
              </w:rPr>
            </w:pPr>
            <w:r w:rsidRPr="00E34699">
              <w:rPr>
                <w:i/>
                <w:sz w:val="16"/>
              </w:rPr>
              <w:t>Decision VI/2, paragraphs</w:t>
            </w:r>
          </w:p>
        </w:tc>
        <w:tc>
          <w:tcPr>
            <w:tcW w:w="873" w:type="dxa"/>
            <w:tcBorders>
              <w:top w:val="single" w:sz="4" w:space="0" w:color="auto"/>
              <w:bottom w:val="single" w:sz="12" w:space="0" w:color="auto"/>
            </w:tcBorders>
            <w:shd w:val="clear" w:color="auto" w:fill="auto"/>
            <w:vAlign w:val="bottom"/>
          </w:tcPr>
          <w:p w14:paraId="48CDFF1E" w14:textId="77777777" w:rsidR="008A561E" w:rsidRPr="00E34699" w:rsidRDefault="008A561E" w:rsidP="00E34699">
            <w:pPr>
              <w:spacing w:before="80" w:after="80" w:line="200" w:lineRule="exact"/>
              <w:ind w:right="113"/>
              <w:rPr>
                <w:i/>
                <w:sz w:val="16"/>
              </w:rPr>
            </w:pPr>
            <w:r w:rsidRPr="00E34699">
              <w:rPr>
                <w:i/>
                <w:sz w:val="16"/>
              </w:rPr>
              <w:t>Draft decision VII/2, paragraph</w:t>
            </w:r>
          </w:p>
        </w:tc>
        <w:tc>
          <w:tcPr>
            <w:tcW w:w="843" w:type="dxa"/>
            <w:tcBorders>
              <w:top w:val="single" w:sz="4" w:space="0" w:color="auto"/>
              <w:bottom w:val="single" w:sz="12" w:space="0" w:color="auto"/>
            </w:tcBorders>
            <w:shd w:val="clear" w:color="auto" w:fill="auto"/>
          </w:tcPr>
          <w:p w14:paraId="21C1082D" w14:textId="77777777" w:rsidR="008A561E" w:rsidRPr="00E34699" w:rsidRDefault="008A561E" w:rsidP="00E34699">
            <w:pPr>
              <w:spacing w:before="80" w:after="80" w:line="200" w:lineRule="exact"/>
              <w:ind w:right="113"/>
              <w:rPr>
                <w:i/>
                <w:sz w:val="16"/>
              </w:rPr>
            </w:pPr>
            <w:r w:rsidRPr="00E34699">
              <w:rPr>
                <w:i/>
                <w:sz w:val="16"/>
              </w:rPr>
              <w:t xml:space="preserve">Decisions </w:t>
            </w:r>
            <w:r w:rsidRPr="00E34699">
              <w:rPr>
                <w:i/>
                <w:sz w:val="16"/>
              </w:rPr>
              <w:br/>
              <w:t>IS/1 (a)–(h)</w:t>
            </w:r>
          </w:p>
        </w:tc>
        <w:tc>
          <w:tcPr>
            <w:tcW w:w="1135" w:type="dxa"/>
            <w:tcBorders>
              <w:top w:val="single" w:sz="4" w:space="0" w:color="auto"/>
              <w:bottom w:val="single" w:sz="12" w:space="0" w:color="auto"/>
            </w:tcBorders>
            <w:shd w:val="clear" w:color="auto" w:fill="auto"/>
          </w:tcPr>
          <w:p w14:paraId="05637DDE" w14:textId="77777777" w:rsidR="008A561E" w:rsidRPr="00E34699" w:rsidRDefault="008A561E" w:rsidP="00E34699">
            <w:pPr>
              <w:spacing w:before="80" w:after="80" w:line="200" w:lineRule="exact"/>
              <w:ind w:right="113"/>
              <w:rPr>
                <w:i/>
                <w:sz w:val="16"/>
              </w:rPr>
            </w:pPr>
            <w:r w:rsidRPr="00E34699">
              <w:rPr>
                <w:i/>
                <w:sz w:val="16"/>
              </w:rPr>
              <w:t xml:space="preserve">Decisions </w:t>
            </w:r>
          </w:p>
          <w:p w14:paraId="54E0671E" w14:textId="77777777" w:rsidR="008A561E" w:rsidRPr="00E34699" w:rsidRDefault="008A561E" w:rsidP="00E34699">
            <w:pPr>
              <w:spacing w:before="80" w:after="80" w:line="200" w:lineRule="exact"/>
              <w:ind w:right="113"/>
              <w:rPr>
                <w:i/>
                <w:sz w:val="16"/>
              </w:rPr>
            </w:pPr>
            <w:r w:rsidRPr="00E34699">
              <w:rPr>
                <w:i/>
                <w:sz w:val="16"/>
              </w:rPr>
              <w:t>VIII/4(a)–(e)</w:t>
            </w:r>
          </w:p>
        </w:tc>
      </w:tr>
      <w:tr w:rsidR="00E34699" w:rsidRPr="00E34699" w14:paraId="50F93A41" w14:textId="77777777" w:rsidTr="00503962">
        <w:trPr>
          <w:trHeight w:hRule="exact" w:val="113"/>
          <w:tblHeader/>
        </w:trPr>
        <w:tc>
          <w:tcPr>
            <w:tcW w:w="1276" w:type="dxa"/>
            <w:tcBorders>
              <w:top w:val="single" w:sz="12" w:space="0" w:color="auto"/>
            </w:tcBorders>
            <w:shd w:val="clear" w:color="auto" w:fill="auto"/>
          </w:tcPr>
          <w:p w14:paraId="08C73CE6" w14:textId="77777777" w:rsidR="00E34699" w:rsidRPr="00E34699" w:rsidRDefault="00E34699" w:rsidP="00E34699">
            <w:pPr>
              <w:spacing w:before="40" w:after="120"/>
              <w:ind w:right="113"/>
            </w:pPr>
          </w:p>
        </w:tc>
        <w:tc>
          <w:tcPr>
            <w:tcW w:w="1135" w:type="dxa"/>
            <w:tcBorders>
              <w:top w:val="single" w:sz="12" w:space="0" w:color="auto"/>
            </w:tcBorders>
            <w:shd w:val="clear" w:color="auto" w:fill="auto"/>
          </w:tcPr>
          <w:p w14:paraId="5E77FFDF" w14:textId="77777777" w:rsidR="00E34699" w:rsidRPr="00E34699" w:rsidRDefault="00E34699" w:rsidP="00E34699">
            <w:pPr>
              <w:spacing w:before="40" w:after="120"/>
              <w:ind w:right="113"/>
            </w:pPr>
          </w:p>
        </w:tc>
        <w:tc>
          <w:tcPr>
            <w:tcW w:w="1572" w:type="dxa"/>
            <w:tcBorders>
              <w:top w:val="single" w:sz="12" w:space="0" w:color="auto"/>
            </w:tcBorders>
            <w:shd w:val="clear" w:color="auto" w:fill="auto"/>
          </w:tcPr>
          <w:p w14:paraId="3C9FF051" w14:textId="77777777" w:rsidR="00E34699" w:rsidRPr="00E34699" w:rsidRDefault="00E34699" w:rsidP="00E34699">
            <w:pPr>
              <w:spacing w:before="40" w:after="120"/>
              <w:ind w:right="113"/>
            </w:pPr>
          </w:p>
        </w:tc>
        <w:tc>
          <w:tcPr>
            <w:tcW w:w="786" w:type="dxa"/>
            <w:tcBorders>
              <w:top w:val="single" w:sz="12" w:space="0" w:color="auto"/>
            </w:tcBorders>
            <w:shd w:val="clear" w:color="auto" w:fill="auto"/>
          </w:tcPr>
          <w:p w14:paraId="5ED33940" w14:textId="77777777" w:rsidR="00E34699" w:rsidRPr="00E34699" w:rsidRDefault="00E34699" w:rsidP="00E34699">
            <w:pPr>
              <w:spacing w:before="40" w:after="120"/>
              <w:ind w:right="113"/>
            </w:pPr>
          </w:p>
        </w:tc>
        <w:tc>
          <w:tcPr>
            <w:tcW w:w="873" w:type="dxa"/>
            <w:tcBorders>
              <w:top w:val="single" w:sz="12" w:space="0" w:color="auto"/>
            </w:tcBorders>
            <w:shd w:val="clear" w:color="auto" w:fill="auto"/>
          </w:tcPr>
          <w:p w14:paraId="684846AE" w14:textId="77777777" w:rsidR="00E34699" w:rsidRPr="00E34699" w:rsidRDefault="00E34699" w:rsidP="00E34699">
            <w:pPr>
              <w:spacing w:before="40" w:after="120"/>
              <w:ind w:right="113"/>
            </w:pPr>
          </w:p>
        </w:tc>
        <w:tc>
          <w:tcPr>
            <w:tcW w:w="843" w:type="dxa"/>
            <w:tcBorders>
              <w:top w:val="single" w:sz="12" w:space="0" w:color="auto"/>
            </w:tcBorders>
            <w:shd w:val="clear" w:color="auto" w:fill="auto"/>
          </w:tcPr>
          <w:p w14:paraId="37CC79C5" w14:textId="77777777" w:rsidR="00E34699" w:rsidRPr="00E34699" w:rsidRDefault="00E34699" w:rsidP="00E34699">
            <w:pPr>
              <w:spacing w:before="40" w:after="120"/>
              <w:ind w:right="113"/>
            </w:pPr>
          </w:p>
        </w:tc>
        <w:tc>
          <w:tcPr>
            <w:tcW w:w="1135" w:type="dxa"/>
            <w:tcBorders>
              <w:top w:val="single" w:sz="12" w:space="0" w:color="auto"/>
            </w:tcBorders>
            <w:shd w:val="clear" w:color="auto" w:fill="auto"/>
          </w:tcPr>
          <w:p w14:paraId="3A685E5F" w14:textId="77777777" w:rsidR="00E34699" w:rsidRPr="00E34699" w:rsidRDefault="00E34699" w:rsidP="00E34699">
            <w:pPr>
              <w:spacing w:before="40" w:after="120"/>
              <w:ind w:right="113"/>
            </w:pPr>
          </w:p>
        </w:tc>
      </w:tr>
      <w:tr w:rsidR="008A561E" w:rsidRPr="00E34699" w14:paraId="2747B1A2" w14:textId="77777777" w:rsidTr="00503962">
        <w:trPr>
          <w:tblHeader/>
        </w:trPr>
        <w:tc>
          <w:tcPr>
            <w:tcW w:w="1276" w:type="dxa"/>
            <w:shd w:val="clear" w:color="auto" w:fill="auto"/>
          </w:tcPr>
          <w:p w14:paraId="2E968641" w14:textId="77777777" w:rsidR="008A561E" w:rsidRPr="00E34699" w:rsidRDefault="008A561E" w:rsidP="00E34699">
            <w:pPr>
              <w:spacing w:before="40" w:after="120"/>
              <w:ind w:right="113"/>
            </w:pPr>
          </w:p>
        </w:tc>
        <w:tc>
          <w:tcPr>
            <w:tcW w:w="1135" w:type="dxa"/>
            <w:shd w:val="clear" w:color="auto" w:fill="auto"/>
          </w:tcPr>
          <w:p w14:paraId="5FA93172" w14:textId="77777777" w:rsidR="008A561E" w:rsidRPr="00E34699" w:rsidRDefault="008A561E" w:rsidP="00E34699">
            <w:pPr>
              <w:spacing w:before="40" w:after="120"/>
              <w:ind w:right="113"/>
            </w:pPr>
          </w:p>
        </w:tc>
        <w:tc>
          <w:tcPr>
            <w:tcW w:w="1572" w:type="dxa"/>
            <w:shd w:val="clear" w:color="auto" w:fill="auto"/>
          </w:tcPr>
          <w:p w14:paraId="78DAC757" w14:textId="77777777" w:rsidR="008A561E" w:rsidRPr="00E34699" w:rsidRDefault="008A561E" w:rsidP="00E34699">
            <w:pPr>
              <w:spacing w:before="40" w:after="120"/>
              <w:ind w:right="113"/>
            </w:pPr>
          </w:p>
        </w:tc>
        <w:tc>
          <w:tcPr>
            <w:tcW w:w="786" w:type="dxa"/>
            <w:shd w:val="clear" w:color="auto" w:fill="auto"/>
          </w:tcPr>
          <w:p w14:paraId="7C1E4824" w14:textId="77777777" w:rsidR="008A561E" w:rsidRPr="00E34699" w:rsidRDefault="008A561E" w:rsidP="00E34699">
            <w:pPr>
              <w:spacing w:before="40" w:after="120"/>
              <w:ind w:right="113"/>
            </w:pPr>
          </w:p>
        </w:tc>
        <w:tc>
          <w:tcPr>
            <w:tcW w:w="873" w:type="dxa"/>
            <w:shd w:val="clear" w:color="auto" w:fill="auto"/>
          </w:tcPr>
          <w:p w14:paraId="30C290E1" w14:textId="77777777" w:rsidR="008A561E" w:rsidRPr="00E34699" w:rsidRDefault="008A561E" w:rsidP="00E34699">
            <w:pPr>
              <w:spacing w:before="40" w:after="120"/>
              <w:ind w:right="113"/>
            </w:pPr>
          </w:p>
        </w:tc>
        <w:tc>
          <w:tcPr>
            <w:tcW w:w="843" w:type="dxa"/>
            <w:shd w:val="clear" w:color="auto" w:fill="auto"/>
          </w:tcPr>
          <w:p w14:paraId="333CCEB2" w14:textId="77777777" w:rsidR="008A561E" w:rsidRPr="00E34699" w:rsidRDefault="008A561E" w:rsidP="00E34699">
            <w:pPr>
              <w:spacing w:before="40" w:after="120"/>
              <w:ind w:right="113"/>
            </w:pPr>
          </w:p>
        </w:tc>
        <w:tc>
          <w:tcPr>
            <w:tcW w:w="1135" w:type="dxa"/>
            <w:shd w:val="clear" w:color="auto" w:fill="auto"/>
          </w:tcPr>
          <w:p w14:paraId="3ED25D07" w14:textId="77777777" w:rsidR="008A561E" w:rsidRPr="00E34699" w:rsidRDefault="008A561E" w:rsidP="00E34699">
            <w:pPr>
              <w:spacing w:before="40" w:after="120"/>
              <w:ind w:right="113"/>
            </w:pPr>
          </w:p>
        </w:tc>
      </w:tr>
      <w:tr w:rsidR="008A561E" w:rsidRPr="00E34699" w14:paraId="72FF87AD" w14:textId="77777777" w:rsidTr="00503962">
        <w:tc>
          <w:tcPr>
            <w:tcW w:w="1276" w:type="dxa"/>
            <w:shd w:val="clear" w:color="auto" w:fill="auto"/>
          </w:tcPr>
          <w:p w14:paraId="04765066" w14:textId="77777777" w:rsidR="008A561E" w:rsidRPr="00E34699" w:rsidRDefault="008A561E" w:rsidP="00E34699">
            <w:pPr>
              <w:spacing w:before="40" w:after="120"/>
              <w:ind w:right="113"/>
            </w:pPr>
            <w:r w:rsidRPr="00E34699">
              <w:t>EIA/IC/CI/1</w:t>
            </w:r>
            <w:r w:rsidRPr="00E34699">
              <w:rPr>
                <w:iCs/>
                <w:vertAlign w:val="superscript"/>
              </w:rPr>
              <w:t>a</w:t>
            </w:r>
          </w:p>
        </w:tc>
        <w:tc>
          <w:tcPr>
            <w:tcW w:w="1135" w:type="dxa"/>
            <w:shd w:val="clear" w:color="auto" w:fill="auto"/>
          </w:tcPr>
          <w:p w14:paraId="49F7038A" w14:textId="77777777" w:rsidR="008A561E" w:rsidRPr="00E34699" w:rsidRDefault="008A561E" w:rsidP="00E34699">
            <w:pPr>
              <w:spacing w:before="40" w:after="120"/>
              <w:ind w:right="113"/>
            </w:pPr>
            <w:r w:rsidRPr="00E34699">
              <w:t xml:space="preserve">Armenia </w:t>
            </w:r>
          </w:p>
        </w:tc>
        <w:tc>
          <w:tcPr>
            <w:tcW w:w="1572" w:type="dxa"/>
            <w:shd w:val="clear" w:color="auto" w:fill="auto"/>
          </w:tcPr>
          <w:p w14:paraId="244F9E99" w14:textId="77777777" w:rsidR="008A561E" w:rsidRPr="00E34699" w:rsidRDefault="008A561E" w:rsidP="00E34699">
            <w:pPr>
              <w:spacing w:before="40" w:after="120"/>
              <w:ind w:right="113"/>
            </w:pPr>
            <w:r w:rsidRPr="00E34699">
              <w:t>Lack of national legislation to implement Convention</w:t>
            </w:r>
          </w:p>
        </w:tc>
        <w:tc>
          <w:tcPr>
            <w:tcW w:w="786" w:type="dxa"/>
            <w:shd w:val="clear" w:color="auto" w:fill="auto"/>
          </w:tcPr>
          <w:p w14:paraId="1D8428C7" w14:textId="77777777" w:rsidR="008A561E" w:rsidRPr="00E34699" w:rsidRDefault="008A561E" w:rsidP="00E34699">
            <w:pPr>
              <w:spacing w:before="40" w:after="120"/>
              <w:ind w:right="113"/>
            </w:pPr>
          </w:p>
          <w:p w14:paraId="721D21EC" w14:textId="77777777" w:rsidR="008A561E" w:rsidRPr="00E34699" w:rsidRDefault="008A561E" w:rsidP="00E34699">
            <w:pPr>
              <w:spacing w:before="40" w:after="120"/>
              <w:ind w:right="113"/>
            </w:pPr>
            <w:r w:rsidRPr="00E34699">
              <w:t>29–35</w:t>
            </w:r>
          </w:p>
        </w:tc>
        <w:tc>
          <w:tcPr>
            <w:tcW w:w="873" w:type="dxa"/>
            <w:shd w:val="clear" w:color="auto" w:fill="auto"/>
          </w:tcPr>
          <w:p w14:paraId="62AB4D73" w14:textId="77777777" w:rsidR="008A561E" w:rsidRPr="00E34699" w:rsidRDefault="008A561E" w:rsidP="00E34699">
            <w:pPr>
              <w:spacing w:before="40" w:after="120"/>
              <w:ind w:right="113"/>
            </w:pPr>
            <w:r w:rsidRPr="00E34699">
              <w:t>38–44</w:t>
            </w:r>
          </w:p>
        </w:tc>
        <w:tc>
          <w:tcPr>
            <w:tcW w:w="843" w:type="dxa"/>
            <w:shd w:val="clear" w:color="auto" w:fill="auto"/>
          </w:tcPr>
          <w:p w14:paraId="60C71236" w14:textId="77777777" w:rsidR="008A561E" w:rsidRPr="00E34699" w:rsidRDefault="008A561E" w:rsidP="00E34699">
            <w:pPr>
              <w:spacing w:before="40" w:after="120"/>
              <w:ind w:right="113"/>
            </w:pPr>
            <w:r w:rsidRPr="00E34699">
              <w:t>IS/1a</w:t>
            </w:r>
          </w:p>
        </w:tc>
        <w:tc>
          <w:tcPr>
            <w:tcW w:w="1135" w:type="dxa"/>
            <w:shd w:val="clear" w:color="auto" w:fill="auto"/>
          </w:tcPr>
          <w:p w14:paraId="50128EDD" w14:textId="77777777" w:rsidR="008A561E" w:rsidRPr="00E34699" w:rsidRDefault="008A561E" w:rsidP="00E34699">
            <w:pPr>
              <w:spacing w:before="40" w:after="120"/>
              <w:ind w:right="113"/>
            </w:pPr>
            <w:r w:rsidRPr="00E34699">
              <w:t>VIII/4a</w:t>
            </w:r>
          </w:p>
        </w:tc>
      </w:tr>
      <w:tr w:rsidR="008A561E" w:rsidRPr="00E34699" w14:paraId="58D3096A" w14:textId="77777777" w:rsidTr="00503962">
        <w:tc>
          <w:tcPr>
            <w:tcW w:w="1276" w:type="dxa"/>
            <w:shd w:val="clear" w:color="auto" w:fill="auto"/>
          </w:tcPr>
          <w:p w14:paraId="5004FE6B" w14:textId="77777777" w:rsidR="008A561E" w:rsidRPr="00E34699" w:rsidRDefault="008A561E" w:rsidP="00E34699">
            <w:pPr>
              <w:spacing w:before="40" w:after="120"/>
              <w:ind w:right="113"/>
            </w:pPr>
            <w:r w:rsidRPr="00E34699">
              <w:t>EIA/IC/S/3</w:t>
            </w:r>
            <w:r w:rsidRPr="00E34699">
              <w:rPr>
                <w:iCs/>
                <w:vertAlign w:val="superscript"/>
              </w:rPr>
              <w:t>b</w:t>
            </w:r>
          </w:p>
        </w:tc>
        <w:tc>
          <w:tcPr>
            <w:tcW w:w="1135" w:type="dxa"/>
            <w:shd w:val="clear" w:color="auto" w:fill="auto"/>
          </w:tcPr>
          <w:p w14:paraId="6AA13166" w14:textId="77777777" w:rsidR="008A561E" w:rsidRPr="00E34699" w:rsidRDefault="008A561E" w:rsidP="00E34699">
            <w:pPr>
              <w:spacing w:before="40" w:after="120"/>
              <w:ind w:right="113"/>
            </w:pPr>
            <w:r w:rsidRPr="00E34699">
              <w:t>Armenia</w:t>
            </w:r>
          </w:p>
        </w:tc>
        <w:tc>
          <w:tcPr>
            <w:tcW w:w="1572" w:type="dxa"/>
            <w:shd w:val="clear" w:color="auto" w:fill="auto"/>
          </w:tcPr>
          <w:p w14:paraId="44F110CA" w14:textId="77777777" w:rsidR="008A561E" w:rsidRPr="00E34699" w:rsidRDefault="008A561E" w:rsidP="00E34699">
            <w:pPr>
              <w:spacing w:before="40" w:after="120"/>
              <w:ind w:right="113"/>
            </w:pPr>
            <w:r w:rsidRPr="00E34699">
              <w:t xml:space="preserve">Did not apply Convention regarding planned construction of nuclear power plant in </w:t>
            </w:r>
            <w:proofErr w:type="spellStart"/>
            <w:r w:rsidRPr="00E34699">
              <w:t>Metsamor</w:t>
            </w:r>
            <w:proofErr w:type="spellEnd"/>
            <w:r w:rsidRPr="00E34699">
              <w:t>.</w:t>
            </w:r>
          </w:p>
        </w:tc>
        <w:tc>
          <w:tcPr>
            <w:tcW w:w="786" w:type="dxa"/>
            <w:shd w:val="clear" w:color="auto" w:fill="auto"/>
          </w:tcPr>
          <w:p w14:paraId="6F1DDD16" w14:textId="77777777" w:rsidR="008A561E" w:rsidRPr="00E34699" w:rsidRDefault="008A561E" w:rsidP="00E34699">
            <w:pPr>
              <w:spacing w:before="40" w:after="120"/>
              <w:ind w:right="113"/>
            </w:pPr>
            <w:r w:rsidRPr="00E34699">
              <w:t>45–46</w:t>
            </w:r>
          </w:p>
        </w:tc>
        <w:tc>
          <w:tcPr>
            <w:tcW w:w="873" w:type="dxa"/>
            <w:shd w:val="clear" w:color="auto" w:fill="auto"/>
          </w:tcPr>
          <w:p w14:paraId="67B78EAC" w14:textId="77777777" w:rsidR="008A561E" w:rsidRPr="00E34699" w:rsidRDefault="008A561E" w:rsidP="00E34699">
            <w:pPr>
              <w:spacing w:before="40" w:after="120"/>
              <w:ind w:right="113"/>
            </w:pPr>
            <w:r w:rsidRPr="00E34699">
              <w:t>45–47</w:t>
            </w:r>
          </w:p>
        </w:tc>
        <w:tc>
          <w:tcPr>
            <w:tcW w:w="843" w:type="dxa"/>
            <w:shd w:val="clear" w:color="auto" w:fill="auto"/>
          </w:tcPr>
          <w:p w14:paraId="07E95C17" w14:textId="77777777" w:rsidR="008A561E" w:rsidRPr="00E34699" w:rsidRDefault="008A561E" w:rsidP="00E34699">
            <w:pPr>
              <w:spacing w:before="40" w:after="120"/>
              <w:ind w:right="113"/>
            </w:pPr>
            <w:r w:rsidRPr="00E34699">
              <w:t xml:space="preserve">IS/1b </w:t>
            </w:r>
          </w:p>
          <w:p w14:paraId="1E7E9EA5" w14:textId="77777777" w:rsidR="008A561E" w:rsidRPr="00E34699" w:rsidRDefault="008A561E" w:rsidP="00E34699">
            <w:pPr>
              <w:spacing w:before="40" w:after="120"/>
              <w:ind w:right="113"/>
            </w:pPr>
          </w:p>
        </w:tc>
        <w:tc>
          <w:tcPr>
            <w:tcW w:w="1135" w:type="dxa"/>
            <w:shd w:val="clear" w:color="auto" w:fill="auto"/>
          </w:tcPr>
          <w:p w14:paraId="7A98F3EF" w14:textId="77777777" w:rsidR="008A561E" w:rsidRPr="00E34699" w:rsidRDefault="008A561E" w:rsidP="00E34699">
            <w:pPr>
              <w:spacing w:before="40" w:after="120"/>
              <w:ind w:right="113"/>
            </w:pPr>
            <w:r w:rsidRPr="00E34699">
              <w:t>-</w:t>
            </w:r>
          </w:p>
        </w:tc>
      </w:tr>
      <w:tr w:rsidR="008A561E" w:rsidRPr="00E34699" w14:paraId="125F959F" w14:textId="77777777" w:rsidTr="00503962">
        <w:tc>
          <w:tcPr>
            <w:tcW w:w="1276" w:type="dxa"/>
            <w:shd w:val="clear" w:color="auto" w:fill="auto"/>
          </w:tcPr>
          <w:p w14:paraId="331D0F6F" w14:textId="77777777" w:rsidR="008A561E" w:rsidRPr="00E34699" w:rsidRDefault="008A561E" w:rsidP="00E34699">
            <w:pPr>
              <w:spacing w:before="40" w:after="120"/>
              <w:ind w:right="113"/>
            </w:pPr>
            <w:r w:rsidRPr="00E34699">
              <w:t>EIA/IC/CI/2</w:t>
            </w:r>
          </w:p>
        </w:tc>
        <w:tc>
          <w:tcPr>
            <w:tcW w:w="1135" w:type="dxa"/>
            <w:shd w:val="clear" w:color="auto" w:fill="auto"/>
          </w:tcPr>
          <w:p w14:paraId="7CE5ECB0" w14:textId="77777777" w:rsidR="008A561E" w:rsidRPr="00E34699" w:rsidRDefault="008A561E" w:rsidP="00E34699">
            <w:pPr>
              <w:spacing w:before="40" w:after="120"/>
              <w:ind w:right="113"/>
            </w:pPr>
            <w:r w:rsidRPr="00E34699">
              <w:t>Azerbaijan</w:t>
            </w:r>
          </w:p>
        </w:tc>
        <w:tc>
          <w:tcPr>
            <w:tcW w:w="1572" w:type="dxa"/>
            <w:shd w:val="clear" w:color="auto" w:fill="auto"/>
          </w:tcPr>
          <w:p w14:paraId="1BB61433" w14:textId="77777777" w:rsidR="008A561E" w:rsidRPr="00E34699" w:rsidRDefault="008A561E" w:rsidP="00E34699">
            <w:pPr>
              <w:spacing w:before="40" w:after="120"/>
              <w:ind w:right="113"/>
            </w:pPr>
            <w:r w:rsidRPr="00E34699">
              <w:t>Lack of national legislation to implement Convention</w:t>
            </w:r>
          </w:p>
        </w:tc>
        <w:tc>
          <w:tcPr>
            <w:tcW w:w="786" w:type="dxa"/>
            <w:shd w:val="clear" w:color="auto" w:fill="auto"/>
          </w:tcPr>
          <w:p w14:paraId="3331B089" w14:textId="77777777" w:rsidR="008A561E" w:rsidRPr="00E34699" w:rsidRDefault="008A561E" w:rsidP="00E34699">
            <w:pPr>
              <w:spacing w:before="40" w:after="120"/>
              <w:ind w:right="113"/>
            </w:pPr>
            <w:r w:rsidRPr="00E34699">
              <w:t xml:space="preserve">38–44 </w:t>
            </w:r>
          </w:p>
        </w:tc>
        <w:tc>
          <w:tcPr>
            <w:tcW w:w="873" w:type="dxa"/>
            <w:shd w:val="clear" w:color="auto" w:fill="auto"/>
          </w:tcPr>
          <w:p w14:paraId="144E409A" w14:textId="77777777" w:rsidR="008A561E" w:rsidRPr="00E34699" w:rsidRDefault="008A561E" w:rsidP="00E34699">
            <w:pPr>
              <w:spacing w:before="40" w:after="120"/>
              <w:ind w:right="113"/>
            </w:pPr>
            <w:r w:rsidRPr="00E34699">
              <w:t>48–53</w:t>
            </w:r>
          </w:p>
        </w:tc>
        <w:tc>
          <w:tcPr>
            <w:tcW w:w="843" w:type="dxa"/>
            <w:shd w:val="clear" w:color="auto" w:fill="auto"/>
          </w:tcPr>
          <w:p w14:paraId="19111CB4" w14:textId="77777777" w:rsidR="008A561E" w:rsidRPr="00E34699" w:rsidRDefault="008A561E" w:rsidP="00E34699">
            <w:pPr>
              <w:spacing w:before="40" w:after="120"/>
              <w:ind w:right="113"/>
            </w:pPr>
            <w:r w:rsidRPr="00E34699">
              <w:t xml:space="preserve">IS/1c </w:t>
            </w:r>
          </w:p>
        </w:tc>
        <w:tc>
          <w:tcPr>
            <w:tcW w:w="1135" w:type="dxa"/>
            <w:shd w:val="clear" w:color="auto" w:fill="auto"/>
          </w:tcPr>
          <w:p w14:paraId="4086E72E" w14:textId="77777777" w:rsidR="008A561E" w:rsidRPr="00E34699" w:rsidRDefault="008A561E" w:rsidP="00E34699">
            <w:pPr>
              <w:spacing w:before="40" w:after="120"/>
              <w:ind w:right="113"/>
            </w:pPr>
            <w:r w:rsidRPr="00E34699">
              <w:t>VIII/4b</w:t>
            </w:r>
          </w:p>
        </w:tc>
      </w:tr>
      <w:tr w:rsidR="008A561E" w:rsidRPr="00E34699" w14:paraId="3027DAC9" w14:textId="77777777" w:rsidTr="00503962">
        <w:tc>
          <w:tcPr>
            <w:tcW w:w="1276" w:type="dxa"/>
            <w:shd w:val="clear" w:color="auto" w:fill="auto"/>
          </w:tcPr>
          <w:p w14:paraId="77FBBA4B" w14:textId="77777777" w:rsidR="008A561E" w:rsidRPr="00E34699" w:rsidRDefault="008A561E" w:rsidP="00E34699">
            <w:pPr>
              <w:spacing w:before="40" w:after="120"/>
              <w:ind w:right="113"/>
            </w:pPr>
            <w:r w:rsidRPr="00E34699">
              <w:t>EIA/IC/S/4</w:t>
            </w:r>
          </w:p>
        </w:tc>
        <w:tc>
          <w:tcPr>
            <w:tcW w:w="1135" w:type="dxa"/>
            <w:shd w:val="clear" w:color="auto" w:fill="auto"/>
          </w:tcPr>
          <w:p w14:paraId="0F26BEAB" w14:textId="77777777" w:rsidR="008A561E" w:rsidRPr="00E34699" w:rsidRDefault="008A561E" w:rsidP="00E34699">
            <w:pPr>
              <w:spacing w:before="40" w:after="120"/>
              <w:ind w:right="113"/>
            </w:pPr>
            <w:r w:rsidRPr="00E34699">
              <w:t>Belarus</w:t>
            </w:r>
          </w:p>
        </w:tc>
        <w:tc>
          <w:tcPr>
            <w:tcW w:w="1572" w:type="dxa"/>
            <w:shd w:val="clear" w:color="auto" w:fill="auto"/>
          </w:tcPr>
          <w:p w14:paraId="5C6D5D7E" w14:textId="77777777" w:rsidR="008A561E" w:rsidRPr="00E34699" w:rsidRDefault="008A561E" w:rsidP="00E34699">
            <w:pPr>
              <w:spacing w:before="40" w:after="120"/>
              <w:ind w:right="113"/>
            </w:pPr>
            <w:r w:rsidRPr="00E34699">
              <w:t xml:space="preserve">Did not properly apply Convention regarding construction of the Belarusian nuclear power plant in </w:t>
            </w:r>
            <w:proofErr w:type="spellStart"/>
            <w:r w:rsidRPr="00E34699">
              <w:t>Ostrovets</w:t>
            </w:r>
            <w:proofErr w:type="spellEnd"/>
            <w:r w:rsidRPr="00E34699">
              <w:t>.</w:t>
            </w:r>
          </w:p>
        </w:tc>
        <w:tc>
          <w:tcPr>
            <w:tcW w:w="786" w:type="dxa"/>
            <w:shd w:val="clear" w:color="auto" w:fill="auto"/>
          </w:tcPr>
          <w:p w14:paraId="6AA88D87" w14:textId="77777777" w:rsidR="008A561E" w:rsidRPr="00E34699" w:rsidRDefault="008A561E" w:rsidP="00E34699">
            <w:pPr>
              <w:spacing w:before="40" w:after="120"/>
              <w:ind w:right="113"/>
            </w:pPr>
            <w:r w:rsidRPr="00E34699">
              <w:t>48–64</w:t>
            </w:r>
          </w:p>
        </w:tc>
        <w:tc>
          <w:tcPr>
            <w:tcW w:w="873" w:type="dxa"/>
            <w:shd w:val="clear" w:color="auto" w:fill="auto"/>
          </w:tcPr>
          <w:p w14:paraId="5F4A5D51" w14:textId="77777777" w:rsidR="008A561E" w:rsidRPr="00E34699" w:rsidRDefault="008A561E" w:rsidP="00E34699">
            <w:pPr>
              <w:spacing w:before="40" w:after="120"/>
              <w:ind w:right="113"/>
            </w:pPr>
            <w:r w:rsidRPr="00E34699">
              <w:t>54–65</w:t>
            </w:r>
          </w:p>
        </w:tc>
        <w:tc>
          <w:tcPr>
            <w:tcW w:w="843" w:type="dxa"/>
            <w:shd w:val="clear" w:color="auto" w:fill="auto"/>
          </w:tcPr>
          <w:p w14:paraId="42EACE22" w14:textId="77777777" w:rsidR="008A561E" w:rsidRPr="00E34699" w:rsidRDefault="008A561E" w:rsidP="00E34699">
            <w:pPr>
              <w:spacing w:before="40" w:after="120"/>
              <w:ind w:right="113"/>
            </w:pPr>
            <w:r w:rsidRPr="00E34699">
              <w:t xml:space="preserve">IS/1d </w:t>
            </w:r>
          </w:p>
        </w:tc>
        <w:tc>
          <w:tcPr>
            <w:tcW w:w="1135" w:type="dxa"/>
            <w:shd w:val="clear" w:color="auto" w:fill="auto"/>
          </w:tcPr>
          <w:p w14:paraId="44F2C2CC" w14:textId="77777777" w:rsidR="008A561E" w:rsidRPr="00E34699" w:rsidRDefault="008A561E" w:rsidP="00E34699">
            <w:pPr>
              <w:spacing w:before="40" w:after="120"/>
              <w:ind w:right="113"/>
            </w:pPr>
            <w:r w:rsidRPr="00E34699">
              <w:t>VIII/4c</w:t>
            </w:r>
          </w:p>
        </w:tc>
      </w:tr>
      <w:tr w:rsidR="008A561E" w:rsidRPr="00E34699" w14:paraId="18294AC8" w14:textId="77777777" w:rsidTr="00503962">
        <w:tc>
          <w:tcPr>
            <w:tcW w:w="1276" w:type="dxa"/>
            <w:shd w:val="clear" w:color="auto" w:fill="auto"/>
          </w:tcPr>
          <w:p w14:paraId="04012039" w14:textId="77777777" w:rsidR="008A561E" w:rsidRPr="00E34699" w:rsidRDefault="008A561E" w:rsidP="00E34699">
            <w:pPr>
              <w:spacing w:before="40" w:after="120"/>
              <w:ind w:right="113"/>
            </w:pPr>
            <w:r w:rsidRPr="00E34699">
              <w:t>EIA/IC/CI/6</w:t>
            </w:r>
          </w:p>
        </w:tc>
        <w:tc>
          <w:tcPr>
            <w:tcW w:w="1135" w:type="dxa"/>
            <w:shd w:val="clear" w:color="auto" w:fill="auto"/>
          </w:tcPr>
          <w:p w14:paraId="3A3DDDF5" w14:textId="77777777" w:rsidR="008A561E" w:rsidRPr="00E34699" w:rsidRDefault="008A561E" w:rsidP="00E34699">
            <w:pPr>
              <w:spacing w:before="40" w:after="120"/>
              <w:ind w:right="113"/>
            </w:pPr>
            <w:r w:rsidRPr="00E34699">
              <w:t>Serbia</w:t>
            </w:r>
          </w:p>
        </w:tc>
        <w:tc>
          <w:tcPr>
            <w:tcW w:w="1572" w:type="dxa"/>
            <w:shd w:val="clear" w:color="auto" w:fill="auto"/>
          </w:tcPr>
          <w:p w14:paraId="7278E322" w14:textId="77777777" w:rsidR="008A561E" w:rsidRPr="00E34699" w:rsidRDefault="008A561E" w:rsidP="00E34699">
            <w:pPr>
              <w:spacing w:before="40" w:after="120"/>
              <w:ind w:right="113"/>
            </w:pPr>
            <w:r w:rsidRPr="00E34699">
              <w:t xml:space="preserve">Did not apply Convention regarding planned construction of new block at </w:t>
            </w:r>
            <w:proofErr w:type="spellStart"/>
            <w:r w:rsidRPr="00E34699">
              <w:t>Kostolac</w:t>
            </w:r>
            <w:proofErr w:type="spellEnd"/>
            <w:r w:rsidRPr="00E34699">
              <w:t xml:space="preserve"> lignite power plant</w:t>
            </w:r>
          </w:p>
        </w:tc>
        <w:tc>
          <w:tcPr>
            <w:tcW w:w="786" w:type="dxa"/>
            <w:shd w:val="clear" w:color="auto" w:fill="auto"/>
          </w:tcPr>
          <w:p w14:paraId="22AE751B" w14:textId="77777777" w:rsidR="008A561E" w:rsidRPr="00E34699" w:rsidRDefault="008A561E" w:rsidP="00E34699">
            <w:pPr>
              <w:spacing w:before="40" w:after="120"/>
              <w:ind w:right="113"/>
            </w:pPr>
            <w:r w:rsidRPr="00E34699">
              <w:t>-</w:t>
            </w:r>
          </w:p>
        </w:tc>
        <w:tc>
          <w:tcPr>
            <w:tcW w:w="873" w:type="dxa"/>
            <w:shd w:val="clear" w:color="auto" w:fill="auto"/>
          </w:tcPr>
          <w:p w14:paraId="19CF5A10" w14:textId="77777777" w:rsidR="008A561E" w:rsidRPr="00E34699" w:rsidRDefault="008A561E" w:rsidP="00E34699">
            <w:pPr>
              <w:spacing w:before="40" w:after="120"/>
              <w:ind w:right="113"/>
            </w:pPr>
            <w:r w:rsidRPr="00E34699">
              <w:t>66–68</w:t>
            </w:r>
          </w:p>
        </w:tc>
        <w:tc>
          <w:tcPr>
            <w:tcW w:w="843" w:type="dxa"/>
            <w:shd w:val="clear" w:color="auto" w:fill="auto"/>
          </w:tcPr>
          <w:p w14:paraId="42BED5B4" w14:textId="77777777" w:rsidR="008A561E" w:rsidRPr="00E34699" w:rsidRDefault="008A561E" w:rsidP="00E34699">
            <w:pPr>
              <w:spacing w:before="40" w:after="120"/>
              <w:ind w:right="113"/>
            </w:pPr>
            <w:r w:rsidRPr="00E34699">
              <w:t xml:space="preserve">IS/1e </w:t>
            </w:r>
          </w:p>
        </w:tc>
        <w:tc>
          <w:tcPr>
            <w:tcW w:w="1135" w:type="dxa"/>
            <w:shd w:val="clear" w:color="auto" w:fill="auto"/>
          </w:tcPr>
          <w:p w14:paraId="2E193594" w14:textId="77777777" w:rsidR="008A561E" w:rsidRPr="00E34699" w:rsidRDefault="008A561E" w:rsidP="00E34699">
            <w:pPr>
              <w:spacing w:before="40" w:after="120"/>
              <w:ind w:right="113"/>
            </w:pPr>
            <w:r w:rsidRPr="00E34699">
              <w:t>-</w:t>
            </w:r>
          </w:p>
        </w:tc>
      </w:tr>
      <w:tr w:rsidR="008A561E" w:rsidRPr="00E34699" w14:paraId="2D926445" w14:textId="77777777" w:rsidTr="00503962">
        <w:tc>
          <w:tcPr>
            <w:tcW w:w="1276" w:type="dxa"/>
            <w:shd w:val="clear" w:color="auto" w:fill="auto"/>
          </w:tcPr>
          <w:p w14:paraId="0326903C" w14:textId="77777777" w:rsidR="008A561E" w:rsidRPr="00E34699" w:rsidRDefault="008A561E" w:rsidP="00E34699">
            <w:pPr>
              <w:spacing w:before="40" w:after="120"/>
              <w:ind w:right="113"/>
            </w:pPr>
            <w:r w:rsidRPr="00E34699">
              <w:t>EIA/IC/S/1</w:t>
            </w:r>
          </w:p>
        </w:tc>
        <w:tc>
          <w:tcPr>
            <w:tcW w:w="1135" w:type="dxa"/>
            <w:shd w:val="clear" w:color="auto" w:fill="auto"/>
          </w:tcPr>
          <w:p w14:paraId="7977FC66" w14:textId="77777777" w:rsidR="008A561E" w:rsidRPr="00E34699" w:rsidRDefault="008A561E" w:rsidP="00E34699">
            <w:pPr>
              <w:spacing w:before="40" w:after="120"/>
              <w:ind w:right="113"/>
            </w:pPr>
            <w:r w:rsidRPr="00E34699">
              <w:t>Ukraine</w:t>
            </w:r>
          </w:p>
        </w:tc>
        <w:tc>
          <w:tcPr>
            <w:tcW w:w="1572" w:type="dxa"/>
            <w:shd w:val="clear" w:color="auto" w:fill="auto"/>
          </w:tcPr>
          <w:p w14:paraId="0B1AD483" w14:textId="77777777" w:rsidR="008A561E" w:rsidRPr="00E34699" w:rsidRDefault="008A561E" w:rsidP="00E34699">
            <w:pPr>
              <w:spacing w:before="40" w:after="120"/>
              <w:ind w:right="113"/>
            </w:pPr>
            <w:r w:rsidRPr="00E34699">
              <w:t>Lack of national legislation to implement Convention; Did not apply Convention regarding Danube-Black Sea Deep Water Navigation Canal in Ukrainian sector of Danube Delta (</w:t>
            </w:r>
            <w:proofErr w:type="spellStart"/>
            <w:r w:rsidRPr="00E34699">
              <w:t>Bystroe</w:t>
            </w:r>
            <w:proofErr w:type="spellEnd"/>
            <w:r w:rsidRPr="00E34699">
              <w:t xml:space="preserve"> Canal Project)</w:t>
            </w:r>
          </w:p>
        </w:tc>
        <w:tc>
          <w:tcPr>
            <w:tcW w:w="786" w:type="dxa"/>
            <w:shd w:val="clear" w:color="auto" w:fill="auto"/>
          </w:tcPr>
          <w:p w14:paraId="1F576EF2" w14:textId="77777777" w:rsidR="008A561E" w:rsidRPr="00E34699" w:rsidRDefault="008A561E" w:rsidP="00E34699">
            <w:pPr>
              <w:spacing w:before="40" w:after="120"/>
              <w:ind w:right="113"/>
            </w:pPr>
            <w:r w:rsidRPr="00E34699">
              <w:t>15–28</w:t>
            </w:r>
          </w:p>
        </w:tc>
        <w:tc>
          <w:tcPr>
            <w:tcW w:w="873" w:type="dxa"/>
            <w:shd w:val="clear" w:color="auto" w:fill="auto"/>
          </w:tcPr>
          <w:p w14:paraId="78480D15" w14:textId="77777777" w:rsidR="008A561E" w:rsidRPr="00E34699" w:rsidRDefault="008A561E" w:rsidP="00E34699">
            <w:pPr>
              <w:spacing w:before="40" w:after="120"/>
              <w:ind w:right="113"/>
            </w:pPr>
            <w:r w:rsidRPr="00E34699">
              <w:t>13–28</w:t>
            </w:r>
          </w:p>
        </w:tc>
        <w:tc>
          <w:tcPr>
            <w:tcW w:w="843" w:type="dxa"/>
            <w:shd w:val="clear" w:color="auto" w:fill="auto"/>
          </w:tcPr>
          <w:p w14:paraId="7F2AD04B" w14:textId="77777777" w:rsidR="008A561E" w:rsidRPr="00E34699" w:rsidRDefault="008A561E" w:rsidP="00E34699">
            <w:pPr>
              <w:spacing w:before="40" w:after="120"/>
              <w:ind w:right="113"/>
            </w:pPr>
            <w:r w:rsidRPr="00E34699">
              <w:t>IS/1f</w:t>
            </w:r>
          </w:p>
        </w:tc>
        <w:tc>
          <w:tcPr>
            <w:tcW w:w="1135" w:type="dxa"/>
            <w:shd w:val="clear" w:color="auto" w:fill="auto"/>
          </w:tcPr>
          <w:p w14:paraId="2885BC37" w14:textId="77777777" w:rsidR="008A561E" w:rsidRPr="00E34699" w:rsidRDefault="008A561E" w:rsidP="00E34699">
            <w:pPr>
              <w:spacing w:before="40" w:after="120"/>
              <w:ind w:right="113"/>
            </w:pPr>
            <w:r w:rsidRPr="00E34699">
              <w:t>VIII/4d</w:t>
            </w:r>
          </w:p>
        </w:tc>
      </w:tr>
      <w:tr w:rsidR="008A561E" w:rsidRPr="00E34699" w14:paraId="4F86FE27" w14:textId="77777777" w:rsidTr="00503962">
        <w:tc>
          <w:tcPr>
            <w:tcW w:w="1276" w:type="dxa"/>
            <w:shd w:val="clear" w:color="auto" w:fill="auto"/>
          </w:tcPr>
          <w:p w14:paraId="641D802F" w14:textId="77777777" w:rsidR="008A561E" w:rsidRPr="00E34699" w:rsidRDefault="008A561E" w:rsidP="00E34699">
            <w:pPr>
              <w:spacing w:before="40" w:after="120"/>
              <w:ind w:right="113"/>
            </w:pPr>
            <w:r w:rsidRPr="00E34699">
              <w:t>EIA/IC/CI/4</w:t>
            </w:r>
          </w:p>
        </w:tc>
        <w:tc>
          <w:tcPr>
            <w:tcW w:w="1135" w:type="dxa"/>
            <w:shd w:val="clear" w:color="auto" w:fill="auto"/>
          </w:tcPr>
          <w:p w14:paraId="5ACB7219" w14:textId="77777777" w:rsidR="008A561E" w:rsidRPr="00E34699" w:rsidRDefault="008A561E" w:rsidP="00E34699">
            <w:pPr>
              <w:spacing w:before="40" w:after="120"/>
              <w:ind w:right="113"/>
              <w:rPr>
                <w:lang w:val="fr-CH"/>
              </w:rPr>
            </w:pPr>
            <w:r w:rsidRPr="00E34699">
              <w:t>Ukraine</w:t>
            </w:r>
          </w:p>
        </w:tc>
        <w:tc>
          <w:tcPr>
            <w:tcW w:w="1572" w:type="dxa"/>
            <w:shd w:val="clear" w:color="auto" w:fill="auto"/>
          </w:tcPr>
          <w:p w14:paraId="49E51FEB" w14:textId="77777777" w:rsidR="008A561E" w:rsidRPr="00E34699" w:rsidRDefault="008A561E" w:rsidP="00E34699">
            <w:pPr>
              <w:spacing w:before="40" w:after="120"/>
              <w:ind w:right="113"/>
            </w:pPr>
            <w:r w:rsidRPr="00E34699">
              <w:t xml:space="preserve">Did not apply Convention </w:t>
            </w:r>
            <w:r w:rsidRPr="00E34699">
              <w:lastRenderedPageBreak/>
              <w:t>regarding extension of lifetime of Rivne nuclear power plant</w:t>
            </w:r>
          </w:p>
        </w:tc>
        <w:tc>
          <w:tcPr>
            <w:tcW w:w="786" w:type="dxa"/>
            <w:shd w:val="clear" w:color="auto" w:fill="auto"/>
          </w:tcPr>
          <w:p w14:paraId="7606575B" w14:textId="77777777" w:rsidR="008A561E" w:rsidRPr="00E34699" w:rsidRDefault="008A561E" w:rsidP="00E34699">
            <w:pPr>
              <w:spacing w:before="40" w:after="120"/>
              <w:ind w:right="113"/>
            </w:pPr>
            <w:r w:rsidRPr="00E34699">
              <w:lastRenderedPageBreak/>
              <w:t>68–71</w:t>
            </w:r>
          </w:p>
        </w:tc>
        <w:tc>
          <w:tcPr>
            <w:tcW w:w="873" w:type="dxa"/>
            <w:shd w:val="clear" w:color="auto" w:fill="auto"/>
          </w:tcPr>
          <w:p w14:paraId="6C5227DB" w14:textId="77777777" w:rsidR="008A561E" w:rsidRPr="00E34699" w:rsidRDefault="008A561E" w:rsidP="00E34699">
            <w:pPr>
              <w:spacing w:before="40" w:after="120"/>
              <w:ind w:right="113"/>
            </w:pPr>
            <w:r w:rsidRPr="00E34699">
              <w:t>29–37</w:t>
            </w:r>
          </w:p>
        </w:tc>
        <w:tc>
          <w:tcPr>
            <w:tcW w:w="843" w:type="dxa"/>
            <w:shd w:val="clear" w:color="auto" w:fill="auto"/>
          </w:tcPr>
          <w:p w14:paraId="26CFE8AF" w14:textId="77777777" w:rsidR="008A561E" w:rsidRPr="00E34699" w:rsidRDefault="008A561E" w:rsidP="00E34699">
            <w:pPr>
              <w:spacing w:before="40" w:after="120"/>
              <w:ind w:right="113"/>
            </w:pPr>
            <w:r w:rsidRPr="00E34699">
              <w:t xml:space="preserve">IS/1g </w:t>
            </w:r>
          </w:p>
        </w:tc>
        <w:tc>
          <w:tcPr>
            <w:tcW w:w="1135" w:type="dxa"/>
            <w:shd w:val="clear" w:color="auto" w:fill="auto"/>
          </w:tcPr>
          <w:p w14:paraId="111E3940" w14:textId="77777777" w:rsidR="008A561E" w:rsidRPr="00E34699" w:rsidRDefault="008A561E" w:rsidP="00E34699">
            <w:pPr>
              <w:spacing w:before="40" w:after="120"/>
              <w:ind w:right="113"/>
            </w:pPr>
            <w:r w:rsidRPr="00E34699">
              <w:t>VIII/4e</w:t>
            </w:r>
          </w:p>
        </w:tc>
      </w:tr>
      <w:tr w:rsidR="008A561E" w:rsidRPr="00E34699" w14:paraId="6C55DC83" w14:textId="77777777" w:rsidTr="00503962">
        <w:tc>
          <w:tcPr>
            <w:tcW w:w="1276" w:type="dxa"/>
            <w:tcBorders>
              <w:bottom w:val="single" w:sz="12" w:space="0" w:color="auto"/>
            </w:tcBorders>
            <w:shd w:val="clear" w:color="auto" w:fill="auto"/>
          </w:tcPr>
          <w:p w14:paraId="08D0F6F6" w14:textId="77777777" w:rsidR="008A561E" w:rsidRPr="00E34699" w:rsidRDefault="008A561E" w:rsidP="00E34699">
            <w:pPr>
              <w:spacing w:before="40" w:after="120"/>
              <w:ind w:right="113"/>
            </w:pPr>
            <w:r w:rsidRPr="00E34699">
              <w:t>EIA/IC/CI/5</w:t>
            </w:r>
          </w:p>
        </w:tc>
        <w:tc>
          <w:tcPr>
            <w:tcW w:w="1135" w:type="dxa"/>
            <w:tcBorders>
              <w:bottom w:val="single" w:sz="12" w:space="0" w:color="auto"/>
            </w:tcBorders>
            <w:shd w:val="clear" w:color="auto" w:fill="auto"/>
          </w:tcPr>
          <w:p w14:paraId="539EF835" w14:textId="77777777" w:rsidR="008A561E" w:rsidRPr="00E34699" w:rsidRDefault="008A561E" w:rsidP="00E34699">
            <w:pPr>
              <w:spacing w:before="40" w:after="120"/>
              <w:ind w:right="113"/>
            </w:pPr>
            <w:r w:rsidRPr="00E34699">
              <w:t xml:space="preserve">United Kingdom </w:t>
            </w:r>
          </w:p>
        </w:tc>
        <w:tc>
          <w:tcPr>
            <w:tcW w:w="1572" w:type="dxa"/>
            <w:tcBorders>
              <w:bottom w:val="single" w:sz="12" w:space="0" w:color="auto"/>
            </w:tcBorders>
            <w:shd w:val="clear" w:color="auto" w:fill="auto"/>
          </w:tcPr>
          <w:p w14:paraId="14A4F5FA" w14:textId="77777777" w:rsidR="008A561E" w:rsidRPr="00E34699" w:rsidRDefault="008A561E" w:rsidP="00E34699">
            <w:pPr>
              <w:spacing w:before="40" w:after="120"/>
              <w:ind w:right="113"/>
            </w:pPr>
            <w:r w:rsidRPr="00E34699">
              <w:t>Did not notify Parties regarding planned construction of Hinkley Point C nuclear power plant</w:t>
            </w:r>
          </w:p>
        </w:tc>
        <w:tc>
          <w:tcPr>
            <w:tcW w:w="786" w:type="dxa"/>
            <w:tcBorders>
              <w:bottom w:val="single" w:sz="12" w:space="0" w:color="auto"/>
            </w:tcBorders>
            <w:shd w:val="clear" w:color="auto" w:fill="auto"/>
          </w:tcPr>
          <w:p w14:paraId="177D40CE" w14:textId="77777777" w:rsidR="008A561E" w:rsidRPr="00E34699" w:rsidRDefault="008A561E" w:rsidP="00E34699">
            <w:pPr>
              <w:spacing w:before="40" w:after="120"/>
              <w:ind w:right="113"/>
            </w:pPr>
            <w:r w:rsidRPr="00E34699">
              <w:t>-</w:t>
            </w:r>
          </w:p>
        </w:tc>
        <w:tc>
          <w:tcPr>
            <w:tcW w:w="873" w:type="dxa"/>
            <w:tcBorders>
              <w:bottom w:val="single" w:sz="12" w:space="0" w:color="auto"/>
            </w:tcBorders>
            <w:shd w:val="clear" w:color="auto" w:fill="auto"/>
          </w:tcPr>
          <w:p w14:paraId="3B2BCF2A" w14:textId="77777777" w:rsidR="008A561E" w:rsidRPr="00E34699" w:rsidRDefault="008A561E" w:rsidP="00E34699">
            <w:pPr>
              <w:spacing w:before="40" w:after="120"/>
              <w:ind w:right="113"/>
            </w:pPr>
            <w:r w:rsidRPr="00E34699">
              <w:t>69–72</w:t>
            </w:r>
          </w:p>
        </w:tc>
        <w:tc>
          <w:tcPr>
            <w:tcW w:w="843" w:type="dxa"/>
            <w:tcBorders>
              <w:bottom w:val="single" w:sz="12" w:space="0" w:color="auto"/>
            </w:tcBorders>
            <w:shd w:val="clear" w:color="auto" w:fill="auto"/>
          </w:tcPr>
          <w:p w14:paraId="1AB75E2B" w14:textId="77777777" w:rsidR="008A561E" w:rsidRPr="00E34699" w:rsidRDefault="008A561E" w:rsidP="00E34699">
            <w:pPr>
              <w:spacing w:before="40" w:after="120"/>
              <w:ind w:right="113"/>
            </w:pPr>
            <w:r w:rsidRPr="00E34699">
              <w:t xml:space="preserve">IS/1h </w:t>
            </w:r>
          </w:p>
          <w:p w14:paraId="07A45E48" w14:textId="77777777" w:rsidR="008A561E" w:rsidRPr="00E34699" w:rsidRDefault="008A561E" w:rsidP="00E34699">
            <w:pPr>
              <w:spacing w:before="40" w:after="120"/>
              <w:ind w:right="113"/>
            </w:pPr>
          </w:p>
        </w:tc>
        <w:tc>
          <w:tcPr>
            <w:tcW w:w="1135" w:type="dxa"/>
            <w:tcBorders>
              <w:bottom w:val="single" w:sz="12" w:space="0" w:color="auto"/>
            </w:tcBorders>
            <w:shd w:val="clear" w:color="auto" w:fill="auto"/>
          </w:tcPr>
          <w:p w14:paraId="47C1AEA5" w14:textId="77777777" w:rsidR="008A561E" w:rsidRPr="00E34699" w:rsidRDefault="008A561E" w:rsidP="00E34699">
            <w:pPr>
              <w:spacing w:before="40" w:after="120"/>
              <w:ind w:right="113"/>
            </w:pPr>
            <w:r w:rsidRPr="00E34699">
              <w:t>-</w:t>
            </w:r>
          </w:p>
        </w:tc>
      </w:tr>
    </w:tbl>
    <w:p w14:paraId="34F96EFF" w14:textId="77777777" w:rsidR="008A561E" w:rsidRDefault="008A561E" w:rsidP="008A561E">
      <w:pPr>
        <w:pStyle w:val="FootnoteText"/>
      </w:pPr>
      <w:r w:rsidRPr="001545EB">
        <w:tab/>
      </w:r>
      <w:r>
        <w:tab/>
      </w:r>
      <w:r w:rsidRPr="00AA03C4">
        <w:rPr>
          <w:vertAlign w:val="superscript"/>
        </w:rPr>
        <w:t>a</w:t>
      </w:r>
      <w:r>
        <w:t xml:space="preserve"> </w:t>
      </w:r>
      <w:r w:rsidRPr="007E426A">
        <w:t>Symbols structured EIA/IC/CI/ followed by a number indicate Committee initiatives</w:t>
      </w:r>
      <w:r>
        <w:t>. For additional information on submissions, s</w:t>
      </w:r>
      <w:r w:rsidRPr="00C94239">
        <w:t xml:space="preserve">ee </w:t>
      </w:r>
      <w:r w:rsidRPr="003076E4">
        <w:rPr>
          <w:rStyle w:val="Hyperlink"/>
        </w:rPr>
        <w:t>www.unece.org/environmental-policy/conventions/environmental-assessment/areas-of-work/review-of-compliance/committee-initiative.html</w:t>
      </w:r>
      <w:r w:rsidRPr="00C94239">
        <w:t>.</w:t>
      </w:r>
    </w:p>
    <w:p w14:paraId="60240B92" w14:textId="77777777" w:rsidR="008A561E" w:rsidRPr="00C94239" w:rsidRDefault="008A561E" w:rsidP="008A561E">
      <w:pPr>
        <w:pStyle w:val="FootnoteText"/>
      </w:pPr>
      <w:r>
        <w:tab/>
      </w:r>
      <w:r>
        <w:tab/>
      </w:r>
      <w:r w:rsidRPr="00AA03C4">
        <w:rPr>
          <w:vertAlign w:val="superscript"/>
        </w:rPr>
        <w:t>b</w:t>
      </w:r>
      <w:r>
        <w:t xml:space="preserve"> </w:t>
      </w:r>
      <w:r w:rsidRPr="007E426A">
        <w:t>Symbols structured EIA/IC/S/ followed by a number indicate submissions to the Committee</w:t>
      </w:r>
      <w:r>
        <w:t>. For additional information on submissions, s</w:t>
      </w:r>
      <w:r w:rsidRPr="00227CC3">
        <w:t>ee www.unece.org/env/eia/implementation/implementation_committee_matters.html.</w:t>
      </w:r>
    </w:p>
    <w:p w14:paraId="3C34C4D3" w14:textId="77777777" w:rsidR="00F478EE" w:rsidRPr="0012703D" w:rsidRDefault="00F478EE" w:rsidP="00F478EE">
      <w:pPr>
        <w:pStyle w:val="SingleTxtG"/>
        <w:rPr>
          <w:rFonts w:eastAsia="Calibri"/>
        </w:rPr>
      </w:pPr>
      <w:r>
        <w:rPr>
          <w:rFonts w:eastAsia="Calibri"/>
        </w:rPr>
        <w:t>12. At its forty-seventh session (Geneva (online), 16–19 March 2020)</w:t>
      </w:r>
      <w:r>
        <w:t xml:space="preserve"> </w:t>
      </w:r>
      <w:r>
        <w:rPr>
          <w:rFonts w:eastAsia="Calibri"/>
        </w:rPr>
        <w:t>based on its</w:t>
      </w:r>
      <w:r w:rsidRPr="003F5A92">
        <w:rPr>
          <w:rFonts w:eastAsia="Calibri"/>
        </w:rPr>
        <w:t xml:space="preserve"> follow-up to decisions IS/1a, c, d, f and g</w:t>
      </w:r>
      <w:r>
        <w:rPr>
          <w:rFonts w:eastAsia="Calibri"/>
        </w:rPr>
        <w:t>,</w:t>
      </w:r>
      <w:r>
        <w:t xml:space="preserve"> t</w:t>
      </w:r>
      <w:r w:rsidRPr="0012703D">
        <w:rPr>
          <w:rFonts w:eastAsia="Calibri"/>
        </w:rPr>
        <w:t>he Committee</w:t>
      </w:r>
      <w:r>
        <w:rPr>
          <w:rFonts w:eastAsia="Calibri"/>
        </w:rPr>
        <w:t xml:space="preserve"> prepared the initial </w:t>
      </w:r>
      <w:r w:rsidRPr="0012703D">
        <w:rPr>
          <w:rFonts w:eastAsia="Calibri"/>
        </w:rPr>
        <w:t>draft decisions VIII/4a–e on compliance by Armenia, Azerbaijan, Belarus and Ukraine with the Convention</w:t>
      </w:r>
      <w:r>
        <w:rPr>
          <w:rFonts w:eastAsia="Calibri"/>
        </w:rPr>
        <w:t xml:space="preserve">. It finalized the draft decisions at its forty-eighth session (Geneva, 1–4 September 2020) considering additional information </w:t>
      </w:r>
      <w:r w:rsidRPr="0012703D">
        <w:rPr>
          <w:rFonts w:eastAsia="Calibri"/>
        </w:rPr>
        <w:t xml:space="preserve">and comments </w:t>
      </w:r>
      <w:r>
        <w:rPr>
          <w:rFonts w:eastAsia="Calibri"/>
        </w:rPr>
        <w:t>on</w:t>
      </w:r>
      <w:r w:rsidRPr="0012703D">
        <w:rPr>
          <w:rFonts w:eastAsia="Calibri"/>
        </w:rPr>
        <w:t xml:space="preserve"> draft decisions VIII/4 a–e provided by the Parties concerned since </w:t>
      </w:r>
      <w:r>
        <w:rPr>
          <w:rFonts w:eastAsia="Calibri"/>
        </w:rPr>
        <w:t>March 2020</w:t>
      </w:r>
      <w:r w:rsidRPr="0012703D">
        <w:rPr>
          <w:rFonts w:eastAsia="Calibri"/>
        </w:rPr>
        <w:t>, including at the ninth meeting of the Working Group</w:t>
      </w:r>
      <w:r>
        <w:rPr>
          <w:rFonts w:eastAsia="Calibri"/>
        </w:rPr>
        <w:t xml:space="preserve"> (</w:t>
      </w:r>
      <w:r w:rsidRPr="0044433C">
        <w:t>Geneva,</w:t>
      </w:r>
      <w:r>
        <w:t xml:space="preserve"> 24–26 August 2020)</w:t>
      </w:r>
      <w:r w:rsidRPr="0012703D">
        <w:rPr>
          <w:rFonts w:eastAsia="Calibri"/>
        </w:rPr>
        <w:t>.</w:t>
      </w:r>
    </w:p>
    <w:p w14:paraId="4F6FA0BA" w14:textId="77777777" w:rsidR="00F478EE" w:rsidRPr="00894D6A" w:rsidRDefault="00F478EE" w:rsidP="00F478EE">
      <w:pPr>
        <w:pStyle w:val="H1G"/>
        <w:rPr>
          <w:lang w:val="it-IT"/>
        </w:rPr>
      </w:pPr>
      <w:r>
        <w:tab/>
      </w:r>
      <w:r w:rsidRPr="00894D6A">
        <w:rPr>
          <w:lang w:val="it-IT"/>
        </w:rPr>
        <w:t>A.</w:t>
      </w:r>
      <w:r w:rsidRPr="00894D6A">
        <w:rPr>
          <w:lang w:val="it-IT"/>
        </w:rPr>
        <w:tab/>
        <w:t xml:space="preserve">Armenia </w:t>
      </w:r>
    </w:p>
    <w:p w14:paraId="0875E3C1" w14:textId="77777777" w:rsidR="00F478EE" w:rsidRPr="00894D6A" w:rsidRDefault="00F478EE" w:rsidP="0077496D">
      <w:pPr>
        <w:pStyle w:val="H4G"/>
        <w:rPr>
          <w:lang w:val="it-IT"/>
        </w:rPr>
      </w:pPr>
      <w:r w:rsidRPr="00894D6A">
        <w:rPr>
          <w:lang w:val="it-IT"/>
        </w:rPr>
        <w:tab/>
      </w:r>
      <w:r w:rsidRPr="00894D6A">
        <w:rPr>
          <w:lang w:val="it-IT"/>
        </w:rPr>
        <w:tab/>
        <w:t>EIA/IC/CI/1</w:t>
      </w:r>
    </w:p>
    <w:p w14:paraId="302ADA3A" w14:textId="77777777" w:rsidR="00F478EE" w:rsidRDefault="00F478EE" w:rsidP="00F478EE">
      <w:pPr>
        <w:pStyle w:val="SingleTxtG"/>
        <w:rPr>
          <w:rFonts w:eastAsia="Calibri"/>
        </w:rPr>
      </w:pPr>
      <w:r>
        <w:rPr>
          <w:rFonts w:eastAsia="Calibri"/>
        </w:rPr>
        <w:t>13</w:t>
      </w:r>
      <w:r w:rsidRPr="001545EB">
        <w:rPr>
          <w:rFonts w:eastAsia="Calibri"/>
        </w:rPr>
        <w:t>.</w:t>
      </w:r>
      <w:r w:rsidRPr="001545EB">
        <w:rPr>
          <w:rFonts w:eastAsia="Calibri"/>
        </w:rPr>
        <w:tab/>
        <w:t xml:space="preserve">The Committee initiative on Armenia was launched in 2007 </w:t>
      </w:r>
      <w:r>
        <w:rPr>
          <w:rFonts w:eastAsia="Calibri"/>
        </w:rPr>
        <w:t>further to</w:t>
      </w:r>
      <w:r w:rsidRPr="001545EB">
        <w:rPr>
          <w:rFonts w:eastAsia="Calibri"/>
        </w:rPr>
        <w:t xml:space="preserve"> the Committee</w:t>
      </w:r>
      <w:r>
        <w:rPr>
          <w:rFonts w:eastAsia="Calibri"/>
        </w:rPr>
        <w:t>’s</w:t>
      </w:r>
      <w:r w:rsidRPr="001545EB">
        <w:rPr>
          <w:rFonts w:eastAsia="Calibri"/>
        </w:rPr>
        <w:t xml:space="preserve"> examination of national responses to the questionnaire for the first review of </w:t>
      </w:r>
      <w:r>
        <w:rPr>
          <w:rFonts w:eastAsia="Calibri"/>
        </w:rPr>
        <w:t xml:space="preserve">the Convention’s </w:t>
      </w:r>
      <w:r w:rsidRPr="001545EB">
        <w:rPr>
          <w:rFonts w:eastAsia="Calibri"/>
        </w:rPr>
        <w:t xml:space="preserve">implementation (to mid-2003) and the request from Armenia for technical assistance from the Committee in implementing the Convention. </w:t>
      </w:r>
      <w:r>
        <w:rPr>
          <w:rFonts w:eastAsia="Calibri"/>
        </w:rPr>
        <w:t>I</w:t>
      </w:r>
      <w:r w:rsidRPr="001545EB">
        <w:rPr>
          <w:rFonts w:eastAsia="Calibri"/>
        </w:rPr>
        <w:t xml:space="preserve">n </w:t>
      </w:r>
      <w:r>
        <w:rPr>
          <w:rFonts w:eastAsia="Calibri"/>
        </w:rPr>
        <w:t>draft</w:t>
      </w:r>
      <w:r w:rsidRPr="001545EB">
        <w:rPr>
          <w:rFonts w:eastAsia="Calibri"/>
        </w:rPr>
        <w:t xml:space="preserve"> decision VI</w:t>
      </w:r>
      <w:r>
        <w:rPr>
          <w:rFonts w:eastAsia="Calibri"/>
        </w:rPr>
        <w:t>I</w:t>
      </w:r>
      <w:r w:rsidRPr="001545EB">
        <w:rPr>
          <w:rFonts w:eastAsia="Calibri"/>
        </w:rPr>
        <w:t xml:space="preserve">/2 </w:t>
      </w:r>
      <w:r w:rsidRPr="001545EB">
        <w:t xml:space="preserve">(paras. </w:t>
      </w:r>
      <w:r w:rsidRPr="00FF5800">
        <w:t>38–44</w:t>
      </w:r>
      <w:r w:rsidRPr="001545EB">
        <w:t>)</w:t>
      </w:r>
      <w:r>
        <w:t xml:space="preserve"> further to </w:t>
      </w:r>
      <w:r w:rsidRPr="00C54D2D">
        <w:t xml:space="preserve">its follow-up to decision VI/2 (paras. 29–35) </w:t>
      </w:r>
      <w:r w:rsidRPr="00AE7DE9">
        <w:t>the Committee recommended th</w:t>
      </w:r>
      <w:r>
        <w:t>at th</w:t>
      </w:r>
      <w:r w:rsidRPr="00AE7DE9">
        <w:t>e Meeting of the Parties</w:t>
      </w:r>
      <w:r w:rsidRPr="001545EB">
        <w:rPr>
          <w:rFonts w:eastAsia="Calibri"/>
        </w:rPr>
        <w:t xml:space="preserve"> </w:t>
      </w:r>
      <w:r>
        <w:rPr>
          <w:rFonts w:eastAsia="Calibri"/>
        </w:rPr>
        <w:t>w</w:t>
      </w:r>
      <w:r w:rsidRPr="00FF5800">
        <w:rPr>
          <w:rFonts w:eastAsia="Calibri"/>
        </w:rPr>
        <w:t>elcome the adoption by Armenia of legislation for the</w:t>
      </w:r>
      <w:r>
        <w:rPr>
          <w:rFonts w:eastAsia="Calibri"/>
        </w:rPr>
        <w:t xml:space="preserve"> Convention’s </w:t>
      </w:r>
      <w:r w:rsidRPr="00FF5800">
        <w:rPr>
          <w:rFonts w:eastAsia="Calibri"/>
        </w:rPr>
        <w:t xml:space="preserve">implementation </w:t>
      </w:r>
      <w:r>
        <w:rPr>
          <w:rFonts w:eastAsia="Calibri"/>
        </w:rPr>
        <w:t xml:space="preserve">in June 2014 and note the deficiencies </w:t>
      </w:r>
      <w:r>
        <w:t>in the adopted legislation</w:t>
      </w:r>
      <w:r w:rsidRPr="00FA7960">
        <w:t xml:space="preserve"> to be addressed</w:t>
      </w:r>
      <w:r>
        <w:t xml:space="preserve"> by Armenia by amending its legislation and drafting secondary regulations. </w:t>
      </w:r>
    </w:p>
    <w:p w14:paraId="7702BEA1" w14:textId="77777777" w:rsidR="00F478EE" w:rsidRDefault="00F478EE" w:rsidP="00F478EE">
      <w:pPr>
        <w:pStyle w:val="SingleTxtG"/>
      </w:pPr>
      <w:r>
        <w:t>14</w:t>
      </w:r>
      <w:r w:rsidRPr="000B52FD">
        <w:t>.</w:t>
      </w:r>
      <w:r w:rsidRPr="000B52FD">
        <w:tab/>
      </w:r>
      <w:r>
        <w:t xml:space="preserve">Since the seventh session of the Meeting of the Parties, Armenia regularly reported to the Committee on </w:t>
      </w:r>
      <w:r w:rsidRPr="00093E6F">
        <w:t xml:space="preserve">the steps it had taken to bring its national legislative framework into full compliance with the Convention and </w:t>
      </w:r>
      <w:r>
        <w:t>the</w:t>
      </w:r>
      <w:r w:rsidRPr="00093E6F">
        <w:t xml:space="preserve"> Protocol, including through preparing amendments to the Law on Environmental Impact Assessment and Expertise of 2014 and developing implementing regulations on environmental impact assessment, strategic environmental assessment and procedures on public participation. </w:t>
      </w:r>
      <w:r w:rsidRPr="00C8255C">
        <w:t>Considering th</w:t>
      </w:r>
      <w:r>
        <w:t>e state of</w:t>
      </w:r>
      <w:r w:rsidRPr="00C8255C">
        <w:t xml:space="preserve"> adoption of the </w:t>
      </w:r>
      <w:r>
        <w:t>amendments to the L</w:t>
      </w:r>
      <w:r w:rsidRPr="00C8255C">
        <w:t xml:space="preserve">aw </w:t>
      </w:r>
      <w:r>
        <w:t>and the draft secondary legislation</w:t>
      </w:r>
      <w:r w:rsidRPr="00C8255C">
        <w:t xml:space="preserve">, the Committee </w:t>
      </w:r>
      <w:r w:rsidRPr="00093E6F">
        <w:t>reviewed and revised the relevant paragraphs of draft decision VII/2, renamed as draft decision IS/1a</w:t>
      </w:r>
      <w:r>
        <w:t>.</w:t>
      </w:r>
      <w:r w:rsidRPr="00C8255C">
        <w:t xml:space="preserve"> </w:t>
      </w:r>
    </w:p>
    <w:p w14:paraId="3F582558" w14:textId="77777777" w:rsidR="00F478EE" w:rsidRPr="000B52FD" w:rsidRDefault="00F478EE" w:rsidP="00F478EE">
      <w:pPr>
        <w:pStyle w:val="SingleTxtG"/>
      </w:pPr>
      <w:r>
        <w:t>15.</w:t>
      </w:r>
      <w:r>
        <w:tab/>
        <w:t xml:space="preserve">By decision </w:t>
      </w:r>
      <w:bookmarkStart w:id="4" w:name="_Hlk46664701"/>
      <w:r>
        <w:t xml:space="preserve">IS/1a, the Meeting of the Parties invited Armenia to adopt the proposed amendments to the legislation and the secondary legislation as soon as possible and to inform the Implementation Committee of the progress made. Based on all information made available to it on its follow-up to decision IS/1a, the Committee </w:t>
      </w:r>
      <w:r w:rsidRPr="00AA5589">
        <w:t>agreed</w:t>
      </w:r>
      <w:r>
        <w:t xml:space="preserve"> that,</w:t>
      </w:r>
      <w:r w:rsidRPr="00AA5589">
        <w:t xml:space="preserve"> despite steps </w:t>
      </w:r>
      <w:r w:rsidRPr="00AA5589">
        <w:lastRenderedPageBreak/>
        <w:t xml:space="preserve">taken since the intermediary session of the Meeting of the Parties, Armenia had not yet adopted the amendments to its legislation and the secondary legislation, and therefore, had not yet fulfilled the requests addressed to it under paragraphs 5 and 6 of decision IS/1a. </w:t>
      </w:r>
      <w:r>
        <w:t>A</w:t>
      </w:r>
      <w:r w:rsidRPr="00AA5589">
        <w:t>ddition</w:t>
      </w:r>
      <w:r>
        <w:t>ally</w:t>
      </w:r>
      <w:r w:rsidRPr="00AA5589">
        <w:t>, in the absence of official English translations of the adopted amendments and the secondary legislation, the Committee had to postpone the evaluation of the amended legislation referred to in paragraph 7 of decision IS/1a.</w:t>
      </w:r>
    </w:p>
    <w:bookmarkEnd w:id="4"/>
    <w:p w14:paraId="339D6860" w14:textId="77777777" w:rsidR="00F478EE" w:rsidRPr="008D1BF4" w:rsidRDefault="00F478EE" w:rsidP="00F478EE">
      <w:pPr>
        <w:pStyle w:val="H4G"/>
        <w:rPr>
          <w:iCs/>
        </w:rPr>
      </w:pPr>
      <w:r w:rsidRPr="001545EB">
        <w:tab/>
      </w:r>
      <w:r>
        <w:tab/>
      </w:r>
      <w:r w:rsidRPr="009C50D7">
        <w:rPr>
          <w:lang w:val="it-IT"/>
        </w:rPr>
        <w:t>EIA/IC/S/3</w:t>
      </w:r>
    </w:p>
    <w:p w14:paraId="38BA08B0" w14:textId="77777777" w:rsidR="00F478EE" w:rsidRDefault="00F478EE" w:rsidP="00F478EE">
      <w:pPr>
        <w:pStyle w:val="SingleTxtG"/>
      </w:pPr>
      <w:r>
        <w:t>16</w:t>
      </w:r>
      <w:r w:rsidRPr="001545EB">
        <w:t>.</w:t>
      </w:r>
      <w:r w:rsidRPr="001545EB">
        <w:tab/>
      </w:r>
      <w:r w:rsidRPr="008A097A">
        <w:t>The Committee</w:t>
      </w:r>
      <w:r>
        <w:t xml:space="preserve"> also</w:t>
      </w:r>
      <w:r w:rsidRPr="008A097A">
        <w:t xml:space="preserve"> reviewed para</w:t>
      </w:r>
      <w:r>
        <w:t xml:space="preserve">graphs </w:t>
      </w:r>
      <w:r w:rsidRPr="008A097A">
        <w:t>45</w:t>
      </w:r>
      <w:r>
        <w:t xml:space="preserve"> to </w:t>
      </w:r>
      <w:r w:rsidRPr="008A097A">
        <w:t xml:space="preserve">47 of draft decision VII/2 regarding the </w:t>
      </w:r>
      <w:r w:rsidRPr="00B31BF9">
        <w:t>follow</w:t>
      </w:r>
      <w:r>
        <w:t>-</w:t>
      </w:r>
      <w:r w:rsidRPr="00B31BF9">
        <w:t xml:space="preserve">up </w:t>
      </w:r>
      <w:r>
        <w:t>to</w:t>
      </w:r>
      <w:r w:rsidRPr="00B31BF9">
        <w:t xml:space="preserve"> decision VI/2</w:t>
      </w:r>
      <w:r>
        <w:t xml:space="preserve"> on the </w:t>
      </w:r>
      <w:r w:rsidRPr="008A097A">
        <w:t xml:space="preserve">planned construction </w:t>
      </w:r>
      <w:r>
        <w:t xml:space="preserve">by Armenia </w:t>
      </w:r>
      <w:r w:rsidRPr="008A097A">
        <w:t xml:space="preserve">of </w:t>
      </w:r>
      <w:proofErr w:type="spellStart"/>
      <w:r w:rsidRPr="008A097A">
        <w:t>Metsamor</w:t>
      </w:r>
      <w:proofErr w:type="spellEnd"/>
      <w:r w:rsidRPr="008A097A">
        <w:t xml:space="preserve"> nuclear power plant</w:t>
      </w:r>
      <w:r>
        <w:t xml:space="preserve">. It confirmed its decision at its thirty-second session (Geneva, 9–11 December 2014) </w:t>
      </w:r>
      <w:r w:rsidRPr="002C4BEF">
        <w:t xml:space="preserve">that there was no longer a ground </w:t>
      </w:r>
      <w:r>
        <w:t xml:space="preserve">for it </w:t>
      </w:r>
      <w:r w:rsidRPr="002C4BEF">
        <w:t xml:space="preserve">to </w:t>
      </w:r>
      <w:bookmarkStart w:id="5" w:name="_Hlk47948313"/>
      <w:r w:rsidRPr="002C4BEF">
        <w:t>follow up on decision VI/2</w:t>
      </w:r>
      <w:bookmarkEnd w:id="5"/>
      <w:r>
        <w:t xml:space="preserve"> regarding the activity and agreed that there was no need for it </w:t>
      </w:r>
      <w:r w:rsidRPr="008A097A">
        <w:t xml:space="preserve">to modify </w:t>
      </w:r>
      <w:r>
        <w:t>those paragraphs</w:t>
      </w:r>
      <w:r w:rsidRPr="008A097A">
        <w:t>, aside from a minor editorial improvement</w:t>
      </w:r>
      <w:r>
        <w:t xml:space="preserve"> and renaming them as decision IS/1b.</w:t>
      </w:r>
    </w:p>
    <w:p w14:paraId="53EC0B4C" w14:textId="77777777" w:rsidR="00F478EE" w:rsidRPr="001545EB" w:rsidRDefault="00F478EE" w:rsidP="00F478EE">
      <w:pPr>
        <w:pStyle w:val="H1G"/>
      </w:pPr>
      <w:r>
        <w:tab/>
        <w:t>B.</w:t>
      </w:r>
      <w:r>
        <w:tab/>
      </w:r>
      <w:r w:rsidRPr="001545EB">
        <w:t>Azerbaijan</w:t>
      </w:r>
    </w:p>
    <w:p w14:paraId="217A47C4" w14:textId="77777777" w:rsidR="00F478EE" w:rsidRPr="001545EB" w:rsidRDefault="00F478EE" w:rsidP="00F478EE">
      <w:pPr>
        <w:pStyle w:val="H4G"/>
        <w:rPr>
          <w:i w:val="0"/>
        </w:rPr>
      </w:pPr>
      <w:r w:rsidRPr="001545EB">
        <w:tab/>
      </w:r>
      <w:r>
        <w:tab/>
      </w:r>
      <w:r w:rsidRPr="009C50D7">
        <w:rPr>
          <w:lang w:val="it-IT"/>
        </w:rPr>
        <w:t>EIA/IC/CI/2</w:t>
      </w:r>
    </w:p>
    <w:p w14:paraId="6B1FE5EB" w14:textId="77777777" w:rsidR="00F478EE" w:rsidRDefault="00F478EE" w:rsidP="00F478EE">
      <w:pPr>
        <w:pStyle w:val="SingleTxtG"/>
      </w:pPr>
      <w:r>
        <w:t>17</w:t>
      </w:r>
      <w:r w:rsidRPr="001545EB">
        <w:t>.</w:t>
      </w:r>
      <w:r w:rsidRPr="001545EB">
        <w:tab/>
        <w:t xml:space="preserve">The Committee initiative on Azerbaijan was prompted by </w:t>
      </w:r>
      <w:r>
        <w:t xml:space="preserve">the country’s </w:t>
      </w:r>
      <w:r w:rsidRPr="001545EB">
        <w:t>responses</w:t>
      </w:r>
      <w:r>
        <w:t xml:space="preserve"> </w:t>
      </w:r>
      <w:r w:rsidRPr="001545EB">
        <w:t xml:space="preserve">to the </w:t>
      </w:r>
      <w:r w:rsidRPr="001545EB">
        <w:rPr>
          <w:rFonts w:eastAsia="Calibri"/>
        </w:rPr>
        <w:t>questionnaire</w:t>
      </w:r>
      <w:r w:rsidRPr="001545EB">
        <w:t xml:space="preserve"> on </w:t>
      </w:r>
      <w:r>
        <w:t xml:space="preserve">the Convention’s </w:t>
      </w:r>
      <w:r w:rsidRPr="001545EB">
        <w:t>implementation in the period</w:t>
      </w:r>
      <w:r>
        <w:t xml:space="preserve"> </w:t>
      </w:r>
      <w:r w:rsidRPr="001545EB">
        <w:t>2009</w:t>
      </w:r>
      <w:r>
        <w:t>–</w:t>
      </w:r>
      <w:r w:rsidRPr="001545EB">
        <w:t>2011, indicating that it lacked national legislation on the Convention</w:t>
      </w:r>
      <w:r>
        <w:t>’s</w:t>
      </w:r>
      <w:r w:rsidRPr="001545EB">
        <w:t xml:space="preserve"> application</w:t>
      </w:r>
      <w:r>
        <w:t>,</w:t>
      </w:r>
      <w:r w:rsidRPr="001545EB">
        <w:t xml:space="preserve"> and by the request from Azerbaijan for technical assistance from the Committee in that regard.</w:t>
      </w:r>
      <w:r>
        <w:t xml:space="preserve"> </w:t>
      </w:r>
      <w:r w:rsidRPr="002B6F68">
        <w:t>In 2014</w:t>
      </w:r>
      <w:r>
        <w:t>,</w:t>
      </w:r>
      <w:r w:rsidRPr="002B6F68">
        <w:t xml:space="preserve"> by decision VI/2 (paras. 41–42) the Meeting of the Parties requested Azerbaijan to adopt its draft framework law on environmental assessment and subsequent implementing regulations in full compliance with the Convention.</w:t>
      </w:r>
      <w:r>
        <w:t xml:space="preserve"> </w:t>
      </w:r>
    </w:p>
    <w:p w14:paraId="41C45FA8" w14:textId="77777777" w:rsidR="00F478EE" w:rsidRDefault="00F478EE" w:rsidP="00F478EE">
      <w:pPr>
        <w:pStyle w:val="SingleTxtG"/>
        <w:rPr>
          <w:rFonts w:eastAsia="Calibri"/>
        </w:rPr>
      </w:pPr>
      <w:r>
        <w:t>18.</w:t>
      </w:r>
      <w:r>
        <w:tab/>
        <w:t>Despite the efforts of</w:t>
      </w:r>
      <w:r>
        <w:rPr>
          <w:rFonts w:eastAsia="Calibri"/>
        </w:rPr>
        <w:t xml:space="preserve"> </w:t>
      </w:r>
      <w:r w:rsidRPr="001545EB">
        <w:rPr>
          <w:rFonts w:eastAsia="Calibri"/>
        </w:rPr>
        <w:t>Azerbaijan</w:t>
      </w:r>
      <w:r>
        <w:rPr>
          <w:rFonts w:eastAsia="Calibri"/>
        </w:rPr>
        <w:t xml:space="preserve"> </w:t>
      </w:r>
      <w:r>
        <w:t xml:space="preserve">in the intersessional period 2014–2017 </w:t>
      </w:r>
      <w:r>
        <w:rPr>
          <w:rFonts w:eastAsia="Calibri"/>
        </w:rPr>
        <w:t>to develop its legislation to implement the Convention,</w:t>
      </w:r>
      <w:r w:rsidRPr="001545EB">
        <w:rPr>
          <w:rFonts w:eastAsia="Calibri"/>
        </w:rPr>
        <w:t xml:space="preserve"> </w:t>
      </w:r>
      <w:r>
        <w:rPr>
          <w:rFonts w:eastAsia="Calibri"/>
        </w:rPr>
        <w:t xml:space="preserve">that </w:t>
      </w:r>
      <w:r w:rsidRPr="001545EB">
        <w:rPr>
          <w:rFonts w:eastAsia="Calibri"/>
        </w:rPr>
        <w:t>legislation</w:t>
      </w:r>
      <w:r>
        <w:rPr>
          <w:rFonts w:eastAsia="Calibri"/>
        </w:rPr>
        <w:t xml:space="preserve"> was still not</w:t>
      </w:r>
      <w:r w:rsidRPr="001545EB">
        <w:rPr>
          <w:rFonts w:eastAsia="Calibri"/>
        </w:rPr>
        <w:t xml:space="preserve"> in force</w:t>
      </w:r>
      <w:r>
        <w:rPr>
          <w:rFonts w:eastAsia="Calibri"/>
        </w:rPr>
        <w:t xml:space="preserve"> by the seventh session of the Meeting of the Parties</w:t>
      </w:r>
      <w:r w:rsidRPr="001545EB">
        <w:rPr>
          <w:rFonts w:eastAsia="Calibri"/>
        </w:rPr>
        <w:t>.</w:t>
      </w:r>
      <w:r>
        <w:rPr>
          <w:rFonts w:eastAsia="Calibri"/>
        </w:rPr>
        <w:t xml:space="preserve"> In draft </w:t>
      </w:r>
      <w:r w:rsidRPr="005505B4">
        <w:rPr>
          <w:rFonts w:eastAsia="Calibri"/>
        </w:rPr>
        <w:t xml:space="preserve">decision VII/2 (para. </w:t>
      </w:r>
      <w:r>
        <w:rPr>
          <w:rFonts w:eastAsia="Calibri"/>
        </w:rPr>
        <w:t>51</w:t>
      </w:r>
      <w:r w:rsidRPr="005505B4">
        <w:rPr>
          <w:rFonts w:eastAsia="Calibri"/>
        </w:rPr>
        <w:t>)</w:t>
      </w:r>
      <w:r>
        <w:rPr>
          <w:rFonts w:eastAsia="Calibri"/>
        </w:rPr>
        <w:t xml:space="preserve"> </w:t>
      </w:r>
      <w:r w:rsidRPr="001545EB">
        <w:rPr>
          <w:rFonts w:eastAsia="Calibri"/>
        </w:rPr>
        <w:t xml:space="preserve">the Committee </w:t>
      </w:r>
      <w:r>
        <w:rPr>
          <w:rFonts w:eastAsia="Calibri"/>
        </w:rPr>
        <w:t>recommended</w:t>
      </w:r>
      <w:r w:rsidRPr="001545EB">
        <w:rPr>
          <w:rFonts w:eastAsia="Calibri"/>
        </w:rPr>
        <w:t xml:space="preserve"> that the Meeting of the Parties</w:t>
      </w:r>
      <w:r>
        <w:rPr>
          <w:rFonts w:eastAsia="Calibri"/>
        </w:rPr>
        <w:t xml:space="preserve"> urge</w:t>
      </w:r>
      <w:r w:rsidRPr="001545EB">
        <w:rPr>
          <w:rFonts w:eastAsia="Calibri"/>
        </w:rPr>
        <w:t xml:space="preserve"> </w:t>
      </w:r>
      <w:r w:rsidRPr="00685012">
        <w:rPr>
          <w:rFonts w:eastAsia="Calibri"/>
        </w:rPr>
        <w:t>Azerbaijan</w:t>
      </w:r>
      <w:r w:rsidRPr="001545EB">
        <w:rPr>
          <w:rFonts w:eastAsia="Calibri"/>
        </w:rPr>
        <w:t xml:space="preserve"> </w:t>
      </w:r>
      <w:r>
        <w:rPr>
          <w:rFonts w:eastAsia="Calibri"/>
        </w:rPr>
        <w:t xml:space="preserve">to </w:t>
      </w:r>
      <w:r w:rsidRPr="005505B4">
        <w:rPr>
          <w:rFonts w:eastAsia="Calibri"/>
        </w:rPr>
        <w:t xml:space="preserve">adopt the draft </w:t>
      </w:r>
      <w:r>
        <w:rPr>
          <w:rFonts w:eastAsia="Calibri"/>
        </w:rPr>
        <w:t>legislation</w:t>
      </w:r>
      <w:r w:rsidRPr="00134200">
        <w:rPr>
          <w:rFonts w:eastAsia="Calibri"/>
        </w:rPr>
        <w:t xml:space="preserve"> </w:t>
      </w:r>
      <w:r w:rsidRPr="00A35CBF">
        <w:rPr>
          <w:rFonts w:eastAsia="Calibri"/>
        </w:rPr>
        <w:t>as soon as possible</w:t>
      </w:r>
      <w:r>
        <w:rPr>
          <w:rFonts w:eastAsia="Calibri"/>
        </w:rPr>
        <w:t xml:space="preserve">. </w:t>
      </w:r>
    </w:p>
    <w:p w14:paraId="25969077" w14:textId="77777777" w:rsidR="00F478EE" w:rsidRDefault="00F478EE" w:rsidP="00F478EE">
      <w:pPr>
        <w:pStyle w:val="SingleTxtG"/>
      </w:pPr>
      <w:r>
        <w:rPr>
          <w:rFonts w:eastAsia="Calibri"/>
        </w:rPr>
        <w:t>19.</w:t>
      </w:r>
      <w:r>
        <w:rPr>
          <w:rFonts w:eastAsia="Calibri"/>
        </w:rPr>
        <w:tab/>
      </w:r>
      <w:r w:rsidRPr="005505B4">
        <w:t xml:space="preserve">Azerbaijan </w:t>
      </w:r>
      <w:r>
        <w:t xml:space="preserve">was invited </w:t>
      </w:r>
      <w:r w:rsidRPr="005505B4">
        <w:t xml:space="preserve">to a hearing during </w:t>
      </w:r>
      <w:r>
        <w:t>the</w:t>
      </w:r>
      <w:r w:rsidRPr="005505B4">
        <w:t xml:space="preserve"> </w:t>
      </w:r>
      <w:r>
        <w:t xml:space="preserve">Committee’s </w:t>
      </w:r>
      <w:r w:rsidRPr="005505B4">
        <w:t>fortieth session</w:t>
      </w:r>
      <w:r>
        <w:t xml:space="preserve"> (Geneva, 5–7 </w:t>
      </w:r>
      <w:r w:rsidRPr="00A35CBF">
        <w:t>December 2017</w:t>
      </w:r>
      <w:r>
        <w:t xml:space="preserve">) with a view to </w:t>
      </w:r>
      <w:r w:rsidRPr="005505B4">
        <w:t>clarify</w:t>
      </w:r>
      <w:r>
        <w:t>ing</w:t>
      </w:r>
      <w:r w:rsidRPr="005505B4">
        <w:t xml:space="preserve"> the difficulties that had prevented the country from adopting its law and the</w:t>
      </w:r>
      <w:r>
        <w:t xml:space="preserve"> </w:t>
      </w:r>
      <w:r w:rsidRPr="005505B4">
        <w:t>regulations, despite the extensive technical assistance provided to it by the secretariat since 2012</w:t>
      </w:r>
      <w:r>
        <w:t>. However, Azerbaijan was unable to attend the hearing, r</w:t>
      </w:r>
      <w:r w:rsidRPr="00A23CA3">
        <w:t>equesting a postponement.</w:t>
      </w:r>
    </w:p>
    <w:p w14:paraId="1C30F64E" w14:textId="1A8648C7" w:rsidR="00F478EE" w:rsidRDefault="00F478EE" w:rsidP="00F478EE">
      <w:pPr>
        <w:pStyle w:val="SingleTxtG"/>
      </w:pPr>
      <w:r>
        <w:t>20.</w:t>
      </w:r>
      <w:r>
        <w:tab/>
        <w:t>T</w:t>
      </w:r>
      <w:r w:rsidRPr="00ED282B">
        <w:t>he Committee revised paragraphs 48–53 of draft decision VII/2, renamed as draft decision IS/1c</w:t>
      </w:r>
      <w:r>
        <w:t xml:space="preserve">, acknowledging that the </w:t>
      </w:r>
      <w:r w:rsidRPr="00684D86">
        <w:t xml:space="preserve">Law </w:t>
      </w:r>
      <w:r>
        <w:t xml:space="preserve">on Environmental Impact Assessment of Azerbaijan entered into force in July 2018 and that, although it </w:t>
      </w:r>
      <w:r w:rsidRPr="00684D86">
        <w:t xml:space="preserve">provided a general legislative framework for environmental impact assessment in </w:t>
      </w:r>
      <w:r>
        <w:t xml:space="preserve">the country, it </w:t>
      </w:r>
      <w:r w:rsidRPr="00684D86">
        <w:t>contained discrepancies and deficiencies regarding the Convention</w:t>
      </w:r>
      <w:r>
        <w:t xml:space="preserve"> and the Protocol. G</w:t>
      </w:r>
      <w:r w:rsidRPr="002A5095">
        <w:t xml:space="preserve">iven that the Law </w:t>
      </w:r>
      <w:r>
        <w:t>was</w:t>
      </w:r>
      <w:r w:rsidRPr="002A5095">
        <w:t xml:space="preserve"> adopted, and secondary legislation was under preparation, a hearing was no longer required.</w:t>
      </w:r>
    </w:p>
    <w:p w14:paraId="1D65D658" w14:textId="77777777" w:rsidR="00F478EE" w:rsidRDefault="00F478EE" w:rsidP="00F478EE">
      <w:pPr>
        <w:pStyle w:val="SingleTxtG"/>
      </w:pPr>
      <w:r>
        <w:t>21.</w:t>
      </w:r>
      <w:r>
        <w:tab/>
      </w:r>
      <w:bookmarkStart w:id="6" w:name="_Hlk46664945"/>
      <w:r>
        <w:t>By decision IS/1c, the Meeting of the Parties urged Azerbaijan to ensure that its environmental impact assessment legislation fully complied with the Convention and requested the Committee to evaluate the compliance of the environmental impact assessment legislation of Azerbaijan with the Convention</w:t>
      </w:r>
      <w:bookmarkEnd w:id="6"/>
      <w:r>
        <w:t xml:space="preserve">. </w:t>
      </w:r>
    </w:p>
    <w:p w14:paraId="66DCB6CC" w14:textId="77777777" w:rsidR="00F478EE" w:rsidRDefault="00F478EE" w:rsidP="00F478EE">
      <w:pPr>
        <w:pStyle w:val="SingleTxtG"/>
      </w:pPr>
      <w:r>
        <w:t>22.</w:t>
      </w:r>
      <w:r>
        <w:tab/>
      </w:r>
      <w:bookmarkStart w:id="7" w:name="_Hlk46665076"/>
      <w:r>
        <w:t xml:space="preserve">In 2019, Azerbaijan reported that it intended to </w:t>
      </w:r>
      <w:r w:rsidRPr="00AA0F7F">
        <w:t>address</w:t>
      </w:r>
      <w:r>
        <w:t xml:space="preserve"> the existing</w:t>
      </w:r>
      <w:r w:rsidRPr="00AA0F7F">
        <w:t xml:space="preserve"> discrepancies</w:t>
      </w:r>
      <w:r>
        <w:t xml:space="preserve"> and deficiencies</w:t>
      </w:r>
      <w:r w:rsidRPr="00AA0F7F">
        <w:t xml:space="preserve"> </w:t>
      </w:r>
      <w:r>
        <w:t xml:space="preserve">through </w:t>
      </w:r>
      <w:r w:rsidRPr="00AA0F7F">
        <w:t>the secondary legislation</w:t>
      </w:r>
      <w:r>
        <w:t xml:space="preserve">. According to Azerbaijan, in August 2020 it addressed a majority of the deficiencies in the revised drafts of secondary legislation on environmental impact assessment and strategic environmental assessment, including concerning the definition referred to in article 1 (v) of the Convention and ensuring proper public participation under articles 2 (6), 3 (8) and 4 (2) of the Convention. It intended to </w:t>
      </w:r>
      <w:r w:rsidRPr="00491E34">
        <w:t xml:space="preserve">adopt </w:t>
      </w:r>
      <w:r>
        <w:t xml:space="preserve">the drafts </w:t>
      </w:r>
      <w:r w:rsidRPr="00491E34">
        <w:t>in advance of the eighth session of the Meeting of the Parties</w:t>
      </w:r>
      <w:r>
        <w:t>.</w:t>
      </w:r>
    </w:p>
    <w:p w14:paraId="3C5D9F3B" w14:textId="2CA2BD95" w:rsidR="00F478EE" w:rsidRDefault="00F478EE" w:rsidP="00F478EE">
      <w:pPr>
        <w:pStyle w:val="SingleTxtG"/>
      </w:pPr>
      <w:r>
        <w:t>23</w:t>
      </w:r>
      <w:r w:rsidRPr="00CA2019">
        <w:t>.</w:t>
      </w:r>
      <w:r w:rsidRPr="00CA2019">
        <w:tab/>
      </w:r>
      <w:r>
        <w:t>In d</w:t>
      </w:r>
      <w:r w:rsidRPr="00CA2019">
        <w:t>raft decision VIII/4b</w:t>
      </w:r>
      <w:r>
        <w:t xml:space="preserve">, the Committee recommended that the Meeting of the Parties endorse its finding </w:t>
      </w:r>
      <w:r w:rsidRPr="00CA2019">
        <w:t>that</w:t>
      </w:r>
      <w:r>
        <w:t>,</w:t>
      </w:r>
      <w:r w:rsidRPr="00CA2019">
        <w:t xml:space="preserve"> </w:t>
      </w:r>
      <w:r>
        <w:t xml:space="preserve">pending adoption of its </w:t>
      </w:r>
      <w:r w:rsidRPr="00715AA7">
        <w:t>secondary legislation</w:t>
      </w:r>
      <w:r>
        <w:t xml:space="preserve">, Azerbaijan had not </w:t>
      </w:r>
      <w:r>
        <w:lastRenderedPageBreak/>
        <w:t xml:space="preserve">fulfilled the </w:t>
      </w:r>
      <w:r w:rsidRPr="00ED282B">
        <w:t>request</w:t>
      </w:r>
      <w:r>
        <w:t xml:space="preserve">s addressed to it in </w:t>
      </w:r>
      <w:r w:rsidRPr="0012703D">
        <w:t>decision IS/1c</w:t>
      </w:r>
      <w:r>
        <w:t>. T</w:t>
      </w:r>
      <w:r w:rsidRPr="0012703D">
        <w:t>herefore</w:t>
      </w:r>
      <w:r w:rsidRPr="00447D6E">
        <w:t xml:space="preserve">, </w:t>
      </w:r>
      <w:r w:rsidRPr="000806AF">
        <w:t xml:space="preserve">Azerbaijan </w:t>
      </w:r>
      <w:r w:rsidRPr="00ED282B">
        <w:t>remained in non-</w:t>
      </w:r>
      <w:r w:rsidRPr="00CA2019">
        <w:t>compliance with article 2 (2) of the Convention.</w:t>
      </w:r>
      <w:r>
        <w:t xml:space="preserve"> </w:t>
      </w:r>
    </w:p>
    <w:bookmarkEnd w:id="7"/>
    <w:p w14:paraId="6EB25C38" w14:textId="77777777" w:rsidR="00F478EE" w:rsidRPr="001545EB" w:rsidRDefault="00F478EE" w:rsidP="00F478EE">
      <w:pPr>
        <w:pStyle w:val="H1G"/>
      </w:pPr>
      <w:r>
        <w:tab/>
        <w:t>C</w:t>
      </w:r>
      <w:r w:rsidRPr="001545EB">
        <w:t>.</w:t>
      </w:r>
      <w:r w:rsidRPr="001545EB">
        <w:tab/>
        <w:t>Belarus</w:t>
      </w:r>
    </w:p>
    <w:p w14:paraId="4B88BC9D" w14:textId="77777777" w:rsidR="00F478EE" w:rsidRPr="008D1BF4" w:rsidRDefault="00F478EE" w:rsidP="00F478EE">
      <w:pPr>
        <w:pStyle w:val="H4G"/>
        <w:rPr>
          <w:iCs/>
        </w:rPr>
      </w:pPr>
      <w:r w:rsidRPr="001545EB">
        <w:tab/>
      </w:r>
      <w:r w:rsidRPr="001545EB">
        <w:tab/>
      </w:r>
      <w:r w:rsidRPr="009C50D7">
        <w:rPr>
          <w:lang w:val="it-IT"/>
        </w:rPr>
        <w:t>EIA/IC/S/4</w:t>
      </w:r>
      <w:r w:rsidRPr="008D1BF4">
        <w:rPr>
          <w:iCs/>
        </w:rPr>
        <w:t xml:space="preserve"> </w:t>
      </w:r>
    </w:p>
    <w:p w14:paraId="57B8BF01" w14:textId="77777777" w:rsidR="00F478EE" w:rsidRDefault="00F478EE" w:rsidP="00F478EE">
      <w:pPr>
        <w:pStyle w:val="SingleTxtG"/>
        <w:ind w:left="1170"/>
        <w:rPr>
          <w:rFonts w:eastAsia="Calibri"/>
        </w:rPr>
      </w:pPr>
      <w:r>
        <w:rPr>
          <w:rFonts w:eastAsia="Calibri"/>
        </w:rPr>
        <w:t>24.</w:t>
      </w:r>
      <w:r>
        <w:rPr>
          <w:rFonts w:eastAsia="Calibri"/>
        </w:rPr>
        <w:tab/>
        <w:t xml:space="preserve">Under the chairmanship of its </w:t>
      </w:r>
      <w:r w:rsidRPr="00574D2A">
        <w:rPr>
          <w:rFonts w:eastAsia="Calibri"/>
        </w:rPr>
        <w:t>first Vice-Chair</w:t>
      </w:r>
      <w:r>
        <w:rPr>
          <w:rFonts w:eastAsia="Calibri"/>
        </w:rPr>
        <w:t xml:space="preserve">, </w:t>
      </w:r>
      <w:r w:rsidRPr="00E547E9">
        <w:rPr>
          <w:rFonts w:eastAsia="Calibri"/>
        </w:rPr>
        <w:t xml:space="preserve">the Committee </w:t>
      </w:r>
      <w:r>
        <w:rPr>
          <w:rFonts w:eastAsia="Calibri"/>
        </w:rPr>
        <w:t>–</w:t>
      </w:r>
      <w:r w:rsidRPr="00962C95">
        <w:t xml:space="preserve"> </w:t>
      </w:r>
      <w:r>
        <w:t xml:space="preserve">further to its deliberations </w:t>
      </w:r>
      <w:r>
        <w:rPr>
          <w:rFonts w:eastAsia="Calibri"/>
        </w:rPr>
        <w:t>d</w:t>
      </w:r>
      <w:r w:rsidRPr="00E547E9">
        <w:rPr>
          <w:rFonts w:eastAsia="Calibri"/>
        </w:rPr>
        <w:t>uring the intersessional period 2014</w:t>
      </w:r>
      <w:r>
        <w:rPr>
          <w:rFonts w:eastAsia="Calibri"/>
        </w:rPr>
        <w:t>–</w:t>
      </w:r>
      <w:r w:rsidRPr="00E547E9">
        <w:rPr>
          <w:rFonts w:eastAsia="Calibri"/>
        </w:rPr>
        <w:t>2017</w:t>
      </w:r>
      <w:r>
        <w:rPr>
          <w:rFonts w:eastAsia="Calibri"/>
        </w:rPr>
        <w:t xml:space="preserve"> – </w:t>
      </w:r>
      <w:r w:rsidRPr="00E547E9">
        <w:rPr>
          <w:rFonts w:eastAsia="Calibri"/>
        </w:rPr>
        <w:t>continued consideration of its follow-up to decision VI/2 (paras. 48–64)</w:t>
      </w:r>
      <w:r>
        <w:rPr>
          <w:rFonts w:eastAsia="Calibri"/>
        </w:rPr>
        <w:t xml:space="preserve"> concerning</w:t>
      </w:r>
      <w:r w:rsidRPr="00E547E9">
        <w:rPr>
          <w:rFonts w:eastAsia="Calibri"/>
        </w:rPr>
        <w:t xml:space="preserve"> the Belarusian nuclear power plant in </w:t>
      </w:r>
      <w:proofErr w:type="spellStart"/>
      <w:r w:rsidRPr="00E547E9">
        <w:rPr>
          <w:rFonts w:eastAsia="Calibri"/>
        </w:rPr>
        <w:t>Ostrovets</w:t>
      </w:r>
      <w:proofErr w:type="spellEnd"/>
      <w:r>
        <w:rPr>
          <w:rFonts w:eastAsia="Calibri"/>
        </w:rPr>
        <w:t xml:space="preserve">. </w:t>
      </w:r>
      <w:r w:rsidRPr="006A2EE4">
        <w:rPr>
          <w:rFonts w:eastAsia="Calibri"/>
        </w:rPr>
        <w:t xml:space="preserve">It </w:t>
      </w:r>
      <w:r w:rsidRPr="006A2EE4">
        <w:t>reviewed and revised</w:t>
      </w:r>
      <w:r>
        <w:t xml:space="preserve"> paragraphs 54–65 of </w:t>
      </w:r>
      <w:r w:rsidRPr="000D06D7">
        <w:t>draft decision VII/2</w:t>
      </w:r>
      <w:r>
        <w:t>,</w:t>
      </w:r>
      <w:r w:rsidRPr="000D06D7">
        <w:t xml:space="preserve"> </w:t>
      </w:r>
      <w:r w:rsidRPr="00574D2A">
        <w:rPr>
          <w:rFonts w:eastAsia="Calibri"/>
        </w:rPr>
        <w:t>renam</w:t>
      </w:r>
      <w:r>
        <w:rPr>
          <w:rFonts w:eastAsia="Calibri"/>
        </w:rPr>
        <w:t>ed a</w:t>
      </w:r>
      <w:r w:rsidRPr="00574D2A">
        <w:rPr>
          <w:rFonts w:eastAsia="Calibri"/>
        </w:rPr>
        <w:t xml:space="preserve">s </w:t>
      </w:r>
      <w:r>
        <w:rPr>
          <w:rFonts w:eastAsia="Calibri"/>
        </w:rPr>
        <w:t xml:space="preserve">draft </w:t>
      </w:r>
      <w:r w:rsidRPr="00574D2A">
        <w:rPr>
          <w:rFonts w:eastAsia="Calibri"/>
        </w:rPr>
        <w:t>decision IS/1d</w:t>
      </w:r>
      <w:r>
        <w:rPr>
          <w:rFonts w:eastAsia="Calibri"/>
        </w:rPr>
        <w:t>, and considered its follow-up to decision IS/1d</w:t>
      </w:r>
      <w:r>
        <w:t xml:space="preserve"> (see </w:t>
      </w:r>
      <w:r w:rsidRPr="00702ACD">
        <w:t>paras</w:t>
      </w:r>
      <w:r>
        <w:t>.</w:t>
      </w:r>
      <w:r w:rsidRPr="00702ACD">
        <w:rPr>
          <w:rFonts w:eastAsia="Calibri"/>
        </w:rPr>
        <w:t xml:space="preserve"> 30</w:t>
      </w:r>
      <w:r>
        <w:rPr>
          <w:rFonts w:eastAsia="Calibri"/>
        </w:rPr>
        <w:t xml:space="preserve"> and </w:t>
      </w:r>
      <w:r w:rsidRPr="00702ACD">
        <w:rPr>
          <w:rFonts w:eastAsia="Calibri"/>
        </w:rPr>
        <w:t>31</w:t>
      </w:r>
      <w:r>
        <w:rPr>
          <w:rFonts w:eastAsia="Calibri"/>
        </w:rPr>
        <w:t xml:space="preserve"> below).</w:t>
      </w:r>
    </w:p>
    <w:p w14:paraId="65847FBF" w14:textId="77777777" w:rsidR="00F478EE" w:rsidRDefault="00F478EE" w:rsidP="00F478EE">
      <w:pPr>
        <w:pStyle w:val="SingleTxtG"/>
        <w:ind w:left="1170"/>
        <w:rPr>
          <w:rFonts w:eastAsia="Calibri"/>
        </w:rPr>
      </w:pPr>
      <w:r w:rsidRPr="00DB58D6">
        <w:rPr>
          <w:rFonts w:eastAsia="Calibri"/>
        </w:rPr>
        <w:t>2</w:t>
      </w:r>
      <w:r>
        <w:rPr>
          <w:rFonts w:eastAsia="Calibri"/>
        </w:rPr>
        <w:t>5</w:t>
      </w:r>
      <w:r w:rsidRPr="00DB58D6">
        <w:rPr>
          <w:rFonts w:eastAsia="Calibri"/>
        </w:rPr>
        <w:t>.</w:t>
      </w:r>
      <w:r>
        <w:rPr>
          <w:rFonts w:eastAsia="Calibri"/>
        </w:rPr>
        <w:tab/>
      </w:r>
      <w:r w:rsidRPr="0071053D">
        <w:rPr>
          <w:rFonts w:eastAsia="Calibri"/>
        </w:rPr>
        <w:t>Belarus and Lithuania submitted regular reports and information during the intersessional period</w:t>
      </w:r>
      <w:r>
        <w:rPr>
          <w:rFonts w:eastAsia="Calibri"/>
        </w:rPr>
        <w:t>, copying</w:t>
      </w:r>
      <w:r w:rsidRPr="0071053D">
        <w:rPr>
          <w:rFonts w:eastAsia="Calibri"/>
        </w:rPr>
        <w:t xml:space="preserve"> the Committee on their correspondence. </w:t>
      </w:r>
      <w:r>
        <w:rPr>
          <w:rFonts w:eastAsia="Calibri"/>
        </w:rPr>
        <w:t>A</w:t>
      </w:r>
      <w:r w:rsidRPr="0071053D">
        <w:rPr>
          <w:rFonts w:eastAsia="Calibri"/>
        </w:rPr>
        <w:t>t the request of Belarus and further to authorizations by both Parties, the Committee made all correspondence on the ongoing deliberations of the compliance matter available to both Parties.</w:t>
      </w:r>
      <w:r>
        <w:rPr>
          <w:rFonts w:eastAsia="Calibri"/>
        </w:rPr>
        <w:t xml:space="preserve"> </w:t>
      </w:r>
    </w:p>
    <w:p w14:paraId="2725C24B" w14:textId="77777777" w:rsidR="00F478EE" w:rsidRDefault="00F478EE" w:rsidP="00F478EE">
      <w:pPr>
        <w:pStyle w:val="SingleTxtG"/>
        <w:ind w:left="1170"/>
        <w:rPr>
          <w:rFonts w:eastAsia="Calibri"/>
        </w:rPr>
      </w:pPr>
      <w:r>
        <w:rPr>
          <w:rFonts w:eastAsia="Calibri"/>
        </w:rPr>
        <w:t>26.</w:t>
      </w:r>
      <w:r>
        <w:rPr>
          <w:rFonts w:eastAsia="Calibri"/>
        </w:rPr>
        <w:tab/>
        <w:t xml:space="preserve">When preparing the revised draft decision VII/2 on the matter, the Committee sought </w:t>
      </w:r>
      <w:r w:rsidRPr="00E547E9">
        <w:rPr>
          <w:rFonts w:eastAsia="Calibri"/>
        </w:rPr>
        <w:t>answer</w:t>
      </w:r>
      <w:r>
        <w:rPr>
          <w:rFonts w:eastAsia="Calibri"/>
        </w:rPr>
        <w:t>s to its</w:t>
      </w:r>
      <w:r w:rsidRPr="00E547E9">
        <w:rPr>
          <w:rFonts w:eastAsia="Calibri"/>
        </w:rPr>
        <w:t xml:space="preserve"> five questions on technical and scientific aspects of the </w:t>
      </w:r>
      <w:bookmarkStart w:id="8" w:name="_Hlk47958224"/>
      <w:r w:rsidRPr="00E547E9">
        <w:rPr>
          <w:rFonts w:eastAsia="Calibri"/>
        </w:rPr>
        <w:t>environmental impact assessment documentation</w:t>
      </w:r>
      <w:bookmarkEnd w:id="8"/>
      <w:r>
        <w:rPr>
          <w:rFonts w:eastAsia="Calibri"/>
        </w:rPr>
        <w:t>,</w:t>
      </w:r>
      <w:r w:rsidRPr="00E547E9">
        <w:rPr>
          <w:rFonts w:eastAsia="Calibri"/>
        </w:rPr>
        <w:t xml:space="preserve"> </w:t>
      </w:r>
      <w:r>
        <w:t xml:space="preserve">including on reasonable locational alternatives and the methodology and data used in determining the siting. It </w:t>
      </w:r>
      <w:r>
        <w:rPr>
          <w:rFonts w:eastAsia="Calibri"/>
        </w:rPr>
        <w:t xml:space="preserve">needed those answers to conclude whether the </w:t>
      </w:r>
      <w:r w:rsidRPr="00C64EBD">
        <w:rPr>
          <w:rFonts w:eastAsia="Calibri"/>
        </w:rPr>
        <w:t xml:space="preserve">environmental impact assessment documentation </w:t>
      </w:r>
      <w:r>
        <w:rPr>
          <w:rFonts w:eastAsia="Calibri"/>
        </w:rPr>
        <w:t xml:space="preserve">constituted a </w:t>
      </w:r>
      <w:proofErr w:type="gramStart"/>
      <w:r>
        <w:rPr>
          <w:rFonts w:eastAsia="Calibri"/>
        </w:rPr>
        <w:t>sufficient</w:t>
      </w:r>
      <w:proofErr w:type="gramEnd"/>
      <w:r>
        <w:rPr>
          <w:rFonts w:eastAsia="Calibri"/>
        </w:rPr>
        <w:t xml:space="preserve"> basis for Belarus to take the final decision </w:t>
      </w:r>
      <w:r w:rsidRPr="00C64EBD">
        <w:rPr>
          <w:rFonts w:eastAsia="Calibri"/>
        </w:rPr>
        <w:t xml:space="preserve">referred to in paragraph 51 of decision VI/2 </w:t>
      </w:r>
      <w:r>
        <w:rPr>
          <w:rFonts w:eastAsia="Calibri"/>
        </w:rPr>
        <w:t>to proceed with the implementation of the activity.</w:t>
      </w:r>
    </w:p>
    <w:p w14:paraId="6E9B6D0B" w14:textId="77777777" w:rsidR="00F478EE" w:rsidRDefault="00F478EE" w:rsidP="00F478EE">
      <w:pPr>
        <w:pStyle w:val="SingleTxtG"/>
        <w:ind w:left="1170"/>
      </w:pPr>
      <w:r>
        <w:t>27.</w:t>
      </w:r>
      <w:r>
        <w:tab/>
        <w:t xml:space="preserve">In doing so, the Committee re-examined the </w:t>
      </w:r>
      <w:r w:rsidRPr="00E438A8">
        <w:t>report of the Site and External Events Design mission conducted by the International Atomic Energy Agency in January 2017</w:t>
      </w:r>
      <w:r>
        <w:t xml:space="preserve"> that it initially studied at its ad hoc session in Minsk, on 12 June 2017, and made several </w:t>
      </w:r>
      <w:r>
        <w:rPr>
          <w:rFonts w:eastAsia="Calibri"/>
        </w:rPr>
        <w:t xml:space="preserve">attempts  to obtain </w:t>
      </w:r>
      <w:r w:rsidRPr="00D159DF">
        <w:rPr>
          <w:rFonts w:eastAsia="Calibri"/>
        </w:rPr>
        <w:t xml:space="preserve">resources and </w:t>
      </w:r>
      <w:r>
        <w:rPr>
          <w:rFonts w:eastAsia="Calibri"/>
        </w:rPr>
        <w:t xml:space="preserve">external </w:t>
      </w:r>
      <w:r w:rsidRPr="00D159DF">
        <w:rPr>
          <w:rFonts w:eastAsia="Calibri"/>
        </w:rPr>
        <w:t>specific expertise</w:t>
      </w:r>
      <w:r>
        <w:rPr>
          <w:rFonts w:eastAsia="Calibri"/>
        </w:rPr>
        <w:t xml:space="preserve">, including from </w:t>
      </w:r>
      <w:r>
        <w:t xml:space="preserve">the </w:t>
      </w:r>
      <w:r w:rsidRPr="00E438A8">
        <w:t>International Atomic Energy Agency</w:t>
      </w:r>
      <w:r>
        <w:t xml:space="preserve">. However, despite its efforts, several </w:t>
      </w:r>
      <w:r w:rsidRPr="00E547E9">
        <w:t>questions remained unanswered.</w:t>
      </w:r>
    </w:p>
    <w:p w14:paraId="5BB328DE" w14:textId="77777777" w:rsidR="00F478EE" w:rsidRDefault="00F478EE" w:rsidP="00F478EE">
      <w:pPr>
        <w:pStyle w:val="SingleTxtG"/>
      </w:pPr>
      <w:r>
        <w:t>28.</w:t>
      </w:r>
      <w:r>
        <w:tab/>
        <w:t xml:space="preserve">Having exhausted all avenues for receiving external expert advice, the Committee agreed to exceptionally examine by itself the documentation prepared by Belarus under the environmental impact assessment procedure. </w:t>
      </w:r>
      <w:r w:rsidRPr="00EE38DF">
        <w:t xml:space="preserve">In </w:t>
      </w:r>
      <w:r>
        <w:t xml:space="preserve">doing so, the </w:t>
      </w:r>
      <w:r w:rsidRPr="00EE38DF">
        <w:t xml:space="preserve">Committee </w:t>
      </w:r>
      <w:proofErr w:type="gramStart"/>
      <w:r>
        <w:t>took into account</w:t>
      </w:r>
      <w:proofErr w:type="gramEnd"/>
      <w:r>
        <w:t xml:space="preserve"> </w:t>
      </w:r>
      <w:r w:rsidRPr="00F407BC">
        <w:t xml:space="preserve">the answers to the Committee’s questions </w:t>
      </w:r>
      <w:r>
        <w:t xml:space="preserve">from </w:t>
      </w:r>
      <w:r w:rsidRPr="00F407BC">
        <w:t>Belarus</w:t>
      </w:r>
      <w:r>
        <w:t xml:space="preserve"> and the related </w:t>
      </w:r>
      <w:r w:rsidRPr="00F407BC">
        <w:t>views of Lithuania</w:t>
      </w:r>
      <w:r>
        <w:t xml:space="preserve">. </w:t>
      </w:r>
    </w:p>
    <w:p w14:paraId="0333BFD1" w14:textId="77777777" w:rsidR="00F478EE" w:rsidRDefault="00F478EE" w:rsidP="00F478EE">
      <w:pPr>
        <w:pStyle w:val="SingleTxtG"/>
      </w:pPr>
      <w:r>
        <w:t>29.</w:t>
      </w:r>
      <w:r>
        <w:tab/>
        <w:t xml:space="preserve">The Committee found that the environmental impact assessment documentation of Belarus on the nuclear power plant in </w:t>
      </w:r>
      <w:proofErr w:type="spellStart"/>
      <w:r>
        <w:t>Ostrovets</w:t>
      </w:r>
      <w:proofErr w:type="spellEnd"/>
      <w:r>
        <w:t xml:space="preserve"> included information that sufficiently addressed issues referred to in the Committee’s technical and scientific questions related specifically to the </w:t>
      </w:r>
      <w:proofErr w:type="spellStart"/>
      <w:r>
        <w:t>Ostrovets</w:t>
      </w:r>
      <w:proofErr w:type="spellEnd"/>
      <w:r>
        <w:t xml:space="preserve"> site, including regarding population density in the area around the nuclear power plant, water contamination and waste management. It also found that the documentation, which had been made available to the affected parties and the public, made a reference to locational alternatives for a nuclear power plant and to site selection criteria. However, it did not provide sufficient information under appendix II of the Convention about the reasons and considerations explaining the selection of the </w:t>
      </w:r>
      <w:proofErr w:type="spellStart"/>
      <w:r>
        <w:t>Ostrovets</w:t>
      </w:r>
      <w:proofErr w:type="spellEnd"/>
      <w:r>
        <w:t xml:space="preserve"> site over the alternative locations to be taken into account in the final decision on the activity in accordance with the Convention.</w:t>
      </w:r>
      <w:r>
        <w:rPr>
          <w:rStyle w:val="FootnoteReference"/>
        </w:rPr>
        <w:footnoteReference w:id="9"/>
      </w:r>
    </w:p>
    <w:p w14:paraId="73526F5E" w14:textId="77777777" w:rsidR="00F478EE" w:rsidRDefault="00F478EE" w:rsidP="00F478EE">
      <w:pPr>
        <w:pStyle w:val="SingleTxtG"/>
      </w:pPr>
      <w:r>
        <w:t>30.</w:t>
      </w:r>
      <w:r>
        <w:tab/>
        <w:t xml:space="preserve">By decision IS/1d, the Meeting of the Parties declared that Belarus failed to comply with articles 4 (1), 5 (a) and 6 (1) of the Convention. It urged Belarus to ensure that, in the context of any future decision-making regarding any planned activity falling under the Convention, the Convention be applied (para. 16) and encouraged both Parties </w:t>
      </w:r>
      <w:proofErr w:type="gramStart"/>
      <w:r>
        <w:t>to:</w:t>
      </w:r>
      <w:proofErr w:type="gramEnd"/>
      <w:r>
        <w:t xml:space="preserve"> accelerate preparation of a bilateral agreement for the Convention’s implementation under article 8 thereof (para. 17); continue bilateral expert consultations on issues of disagreement, including on matters that were beyond the Convention’s scope (para. 18); and continue working on the post-project analysis regarding the activity (para. 19).</w:t>
      </w:r>
    </w:p>
    <w:p w14:paraId="3C875D11" w14:textId="77777777" w:rsidR="00F478EE" w:rsidRDefault="00F478EE" w:rsidP="00F478EE">
      <w:pPr>
        <w:pStyle w:val="SingleTxtG"/>
      </w:pPr>
      <w:r>
        <w:lastRenderedPageBreak/>
        <w:t>31.</w:t>
      </w:r>
      <w:r>
        <w:tab/>
        <w:t xml:space="preserve">Based on the analysis of all information and comments provided to it by the Parties concerned since the intermediary session of the Meeting of the Parties, the Committee prepared </w:t>
      </w:r>
      <w:r w:rsidRPr="004C6A26">
        <w:t xml:space="preserve">draft decision VIII/4c </w:t>
      </w:r>
      <w:r>
        <w:t xml:space="preserve">recommending that </w:t>
      </w:r>
      <w:r w:rsidRPr="004C6A26">
        <w:t>the Meeting of the Parties</w:t>
      </w:r>
      <w:r>
        <w:t xml:space="preserve"> reaffirm its decision IS/1d and urge</w:t>
      </w:r>
      <w:r w:rsidRPr="004C6A26">
        <w:t xml:space="preserve"> </w:t>
      </w:r>
      <w:r w:rsidRPr="00E972FC">
        <w:t>Belarus to apply the Convention in the future regard</w:t>
      </w:r>
      <w:r>
        <w:t>ing</w:t>
      </w:r>
      <w:r w:rsidRPr="00E972FC">
        <w:t xml:space="preserve"> </w:t>
      </w:r>
      <w:r>
        <w:t xml:space="preserve">a </w:t>
      </w:r>
      <w:r w:rsidRPr="00E972FC">
        <w:t>proper evaluation of reasonable alternatives further to paragraph 16 of that decision</w:t>
      </w:r>
      <w:r>
        <w:t xml:space="preserve">. Additionally, the Committee recommended that the Meeting of the Parties note </w:t>
      </w:r>
      <w:r w:rsidRPr="004C6A26">
        <w:t xml:space="preserve">the limited progress made by the Parties concerned in addressing the requirements set out </w:t>
      </w:r>
      <w:r>
        <w:t xml:space="preserve">in </w:t>
      </w:r>
      <w:r w:rsidRPr="004C6A26">
        <w:t>paragraphs 17</w:t>
      </w:r>
      <w:r>
        <w:t>–</w:t>
      </w:r>
      <w:r w:rsidRPr="004C6A26">
        <w:t xml:space="preserve">19 </w:t>
      </w:r>
      <w:r>
        <w:t xml:space="preserve">of </w:t>
      </w:r>
      <w:r w:rsidRPr="004C6A26">
        <w:t>decision</w:t>
      </w:r>
      <w:r>
        <w:t xml:space="preserve"> IS/1d and again </w:t>
      </w:r>
      <w:r w:rsidRPr="004C6A26">
        <w:t>encourage Belarus and Lithuania to</w:t>
      </w:r>
      <w:r>
        <w:t xml:space="preserve"> </w:t>
      </w:r>
      <w:r w:rsidRPr="004C6A26">
        <w:t>address th</w:t>
      </w:r>
      <w:r>
        <w:t>ose</w:t>
      </w:r>
      <w:r w:rsidRPr="004C6A26">
        <w:t xml:space="preserve"> requirements by the ninth session of the Meeting of the Parties.</w:t>
      </w:r>
    </w:p>
    <w:p w14:paraId="300A1F95" w14:textId="77777777" w:rsidR="00F478EE" w:rsidRPr="00510045" w:rsidRDefault="00F478EE" w:rsidP="00F478EE">
      <w:pPr>
        <w:pStyle w:val="H1G"/>
        <w:rPr>
          <w:i/>
          <w:lang w:val="it-IT"/>
        </w:rPr>
      </w:pPr>
      <w:r>
        <w:tab/>
      </w:r>
      <w:r w:rsidRPr="00510045">
        <w:rPr>
          <w:lang w:val="it-IT"/>
        </w:rPr>
        <w:t>D.</w:t>
      </w:r>
      <w:r w:rsidRPr="00510045">
        <w:rPr>
          <w:lang w:val="it-IT"/>
        </w:rPr>
        <w:tab/>
        <w:t>Serbia</w:t>
      </w:r>
    </w:p>
    <w:p w14:paraId="0F6A58C5" w14:textId="77777777" w:rsidR="00F478EE" w:rsidRPr="00510045" w:rsidRDefault="00F478EE" w:rsidP="00F478EE">
      <w:pPr>
        <w:pStyle w:val="H4G"/>
        <w:rPr>
          <w:iCs/>
          <w:lang w:val="it-IT"/>
        </w:rPr>
      </w:pPr>
      <w:r w:rsidRPr="00510045">
        <w:rPr>
          <w:lang w:val="it-IT"/>
        </w:rPr>
        <w:tab/>
      </w:r>
      <w:r w:rsidRPr="00510045">
        <w:rPr>
          <w:lang w:val="it-IT"/>
        </w:rPr>
        <w:tab/>
      </w:r>
      <w:r w:rsidRPr="004930E7">
        <w:rPr>
          <w:lang w:val="it-IT"/>
        </w:rPr>
        <w:t>EIA/IC/CI/6</w:t>
      </w:r>
    </w:p>
    <w:p w14:paraId="7DDC3589" w14:textId="77777777" w:rsidR="00F478EE" w:rsidRPr="000C3B1E" w:rsidRDefault="00F478EE" w:rsidP="00F478EE">
      <w:pPr>
        <w:pStyle w:val="SingleTxtG"/>
        <w:ind w:left="1170"/>
      </w:pPr>
      <w:r>
        <w:t>32</w:t>
      </w:r>
      <w:r w:rsidRPr="000C3B1E">
        <w:t>.</w:t>
      </w:r>
      <w:r w:rsidRPr="000C3B1E">
        <w:tab/>
      </w:r>
      <w:r>
        <w:t>When reviewing and revising paragraphs 66–68 of draft decision VII/2</w:t>
      </w:r>
      <w:r w:rsidRPr="00B1085D">
        <w:t xml:space="preserve"> </w:t>
      </w:r>
      <w:r w:rsidRPr="000C3B1E">
        <w:t xml:space="preserve">regarding the planned construction by Serbia of the </w:t>
      </w:r>
      <w:proofErr w:type="spellStart"/>
      <w:r w:rsidRPr="000C3B1E">
        <w:t>Kostolac</w:t>
      </w:r>
      <w:proofErr w:type="spellEnd"/>
      <w:r w:rsidRPr="000C3B1E">
        <w:t xml:space="preserve"> lignite power plant</w:t>
      </w:r>
      <w:r>
        <w:t xml:space="preserve">, including an extension of the </w:t>
      </w:r>
      <w:r w:rsidRPr="000C3B1E">
        <w:t xml:space="preserve">open-pit mine at </w:t>
      </w:r>
      <w:proofErr w:type="spellStart"/>
      <w:r>
        <w:t>Drmno</w:t>
      </w:r>
      <w:proofErr w:type="spellEnd"/>
      <w:r w:rsidRPr="000C3B1E">
        <w:t xml:space="preserve">, the Committee </w:t>
      </w:r>
      <w:r>
        <w:t>re</w:t>
      </w:r>
      <w:r w:rsidRPr="000C3B1E">
        <w:t xml:space="preserve">confirmed its decision </w:t>
      </w:r>
      <w:r>
        <w:t>at</w:t>
      </w:r>
      <w:r w:rsidRPr="000C3B1E">
        <w:t xml:space="preserve"> its thirty-sixth session (</w:t>
      </w:r>
      <w:r>
        <w:t xml:space="preserve">Geneva, </w:t>
      </w:r>
      <w:r w:rsidRPr="000C3B1E">
        <w:t>5–7 September 2016) that</w:t>
      </w:r>
      <w:r>
        <w:t>,</w:t>
      </w:r>
      <w:r w:rsidRPr="000C3B1E">
        <w:t xml:space="preserve"> by notifying Romania, Serbia had brought the project into compliance with article 3</w:t>
      </w:r>
      <w:r>
        <w:t xml:space="preserve"> (1)</w:t>
      </w:r>
      <w:r w:rsidRPr="000C3B1E">
        <w:t xml:space="preserve"> of the Convention</w:t>
      </w:r>
      <w:r>
        <w:t xml:space="preserve"> and that </w:t>
      </w:r>
      <w:r w:rsidRPr="000C3B1E">
        <w:t xml:space="preserve">there was no need for it to pursue </w:t>
      </w:r>
      <w:r>
        <w:t xml:space="preserve">further </w:t>
      </w:r>
      <w:r w:rsidRPr="000C3B1E">
        <w:t>the Committee initiative opened in March 2015.</w:t>
      </w:r>
    </w:p>
    <w:p w14:paraId="03FEBCEA" w14:textId="77777777" w:rsidR="00F478EE" w:rsidRPr="000C3B1E" w:rsidRDefault="00F478EE" w:rsidP="00F478EE">
      <w:pPr>
        <w:pStyle w:val="SingleTxtG"/>
        <w:ind w:left="1170"/>
      </w:pPr>
      <w:r>
        <w:t>33.</w:t>
      </w:r>
      <w:r>
        <w:tab/>
      </w:r>
      <w:r w:rsidRPr="000C3B1E">
        <w:t xml:space="preserve">Further to comments made by the non-governmental organization </w:t>
      </w:r>
      <w:r>
        <w:t xml:space="preserve">(NGO) </w:t>
      </w:r>
      <w:proofErr w:type="spellStart"/>
      <w:r w:rsidRPr="000C3B1E">
        <w:t>ClientEarth</w:t>
      </w:r>
      <w:proofErr w:type="spellEnd"/>
      <w:r w:rsidRPr="000C3B1E">
        <w:t xml:space="preserve"> at the seventh meeting of the Working Group and information from </w:t>
      </w:r>
      <w:r>
        <w:t>it</w:t>
      </w:r>
      <w:r w:rsidRPr="000C3B1E">
        <w:t xml:space="preserve"> dated 18 June 2018 </w:t>
      </w:r>
      <w:r>
        <w:t>concerning</w:t>
      </w:r>
      <w:r w:rsidRPr="000C3B1E">
        <w:t xml:space="preserve"> the extension of the </w:t>
      </w:r>
      <w:proofErr w:type="spellStart"/>
      <w:r>
        <w:t>Drmno</w:t>
      </w:r>
      <w:proofErr w:type="spellEnd"/>
      <w:r>
        <w:t xml:space="preserve"> </w:t>
      </w:r>
      <w:r w:rsidRPr="000C3B1E">
        <w:t xml:space="preserve">open-pit mine, the Committee revised </w:t>
      </w:r>
      <w:r>
        <w:t xml:space="preserve">the related </w:t>
      </w:r>
      <w:r w:rsidRPr="000C3B1E">
        <w:t>paragraphs of draft decision VII/2 renam</w:t>
      </w:r>
      <w:r>
        <w:t xml:space="preserve">ed </w:t>
      </w:r>
      <w:r w:rsidRPr="000C3B1E">
        <w:t xml:space="preserve">as draft decision IS/1e </w:t>
      </w:r>
      <w:r>
        <w:t>concerning</w:t>
      </w:r>
      <w:r w:rsidRPr="000C3B1E">
        <w:t xml:space="preserve"> the </w:t>
      </w:r>
      <w:proofErr w:type="spellStart"/>
      <w:r w:rsidRPr="000C3B1E">
        <w:t>Kostolac</w:t>
      </w:r>
      <w:proofErr w:type="spellEnd"/>
      <w:r w:rsidRPr="000C3B1E">
        <w:t xml:space="preserve"> lignite power plant.</w:t>
      </w:r>
    </w:p>
    <w:p w14:paraId="5EA1FF19" w14:textId="77777777" w:rsidR="00F478EE" w:rsidRDefault="00F478EE" w:rsidP="00F478EE">
      <w:pPr>
        <w:pStyle w:val="SingleTxtG"/>
        <w:ind w:left="1170"/>
      </w:pPr>
      <w:r>
        <w:t>34.</w:t>
      </w:r>
      <w:r>
        <w:tab/>
        <w:t xml:space="preserve">Considering that </w:t>
      </w:r>
      <w:r w:rsidRPr="000C3B1E">
        <w:t xml:space="preserve">the information from </w:t>
      </w:r>
      <w:proofErr w:type="spellStart"/>
      <w:r w:rsidRPr="000C3B1E">
        <w:t>ClientEarth</w:t>
      </w:r>
      <w:proofErr w:type="spellEnd"/>
      <w:r>
        <w:t xml:space="preserve"> </w:t>
      </w:r>
      <w:r w:rsidRPr="000C3B1E">
        <w:t xml:space="preserve">contained new facts </w:t>
      </w:r>
      <w:r>
        <w:t>regarding</w:t>
      </w:r>
      <w:r w:rsidRPr="000C3B1E">
        <w:t xml:space="preserve"> the procedure regarding the </w:t>
      </w:r>
      <w:proofErr w:type="spellStart"/>
      <w:r>
        <w:t>Drmno</w:t>
      </w:r>
      <w:proofErr w:type="spellEnd"/>
      <w:r>
        <w:t xml:space="preserve"> </w:t>
      </w:r>
      <w:proofErr w:type="gramStart"/>
      <w:r w:rsidRPr="000C3B1E">
        <w:t>open-pit</w:t>
      </w:r>
      <w:proofErr w:type="gramEnd"/>
      <w:r w:rsidRPr="000C3B1E">
        <w:t xml:space="preserve"> mine, the Committee </w:t>
      </w:r>
      <w:r>
        <w:t>initiated</w:t>
      </w:r>
      <w:r w:rsidRPr="000C3B1E">
        <w:t xml:space="preserve"> </w:t>
      </w:r>
      <w:r>
        <w:t>information-</w:t>
      </w:r>
      <w:r w:rsidRPr="000C3B1E">
        <w:t xml:space="preserve">gathering </w:t>
      </w:r>
      <w:r>
        <w:t>concerning</w:t>
      </w:r>
      <w:r w:rsidRPr="000C3B1E">
        <w:t xml:space="preserve"> the mine (see </w:t>
      </w:r>
      <w:r w:rsidRPr="00702ACD">
        <w:t>para</w:t>
      </w:r>
      <w:r>
        <w:t>.</w:t>
      </w:r>
      <w:r w:rsidRPr="00702ACD">
        <w:t xml:space="preserve"> 76 below</w:t>
      </w:r>
      <w:r w:rsidRPr="000C3B1E">
        <w:t>).</w:t>
      </w:r>
    </w:p>
    <w:p w14:paraId="11F3139A" w14:textId="77777777" w:rsidR="00F478EE" w:rsidRPr="00C9091D" w:rsidRDefault="00F478EE" w:rsidP="004105DE">
      <w:pPr>
        <w:pStyle w:val="H1G"/>
        <w:rPr>
          <w:b w:val="0"/>
        </w:rPr>
      </w:pPr>
      <w:r w:rsidRPr="00C9091D">
        <w:tab/>
      </w:r>
      <w:r w:rsidRPr="004105DE">
        <w:rPr>
          <w:lang w:val="it-IT"/>
        </w:rPr>
        <w:t>E.</w:t>
      </w:r>
      <w:r w:rsidRPr="004105DE">
        <w:rPr>
          <w:lang w:val="it-IT"/>
        </w:rPr>
        <w:tab/>
        <w:t>Ukraine</w:t>
      </w:r>
    </w:p>
    <w:p w14:paraId="3543BEFB" w14:textId="77777777" w:rsidR="00F478EE" w:rsidRPr="004930E7" w:rsidRDefault="00F478EE" w:rsidP="004930E7">
      <w:pPr>
        <w:pStyle w:val="H4G"/>
        <w:rPr>
          <w:lang w:val="it-IT"/>
        </w:rPr>
      </w:pPr>
      <w:r w:rsidRPr="001545EB">
        <w:tab/>
      </w:r>
      <w:r w:rsidRPr="001545EB">
        <w:tab/>
      </w:r>
      <w:r w:rsidRPr="004930E7">
        <w:rPr>
          <w:lang w:val="it-IT"/>
        </w:rPr>
        <w:t>EIA/IC/S/1</w:t>
      </w:r>
    </w:p>
    <w:p w14:paraId="03027A54" w14:textId="737B198C" w:rsidR="00F478EE" w:rsidRPr="00A85EC1" w:rsidRDefault="00F478EE" w:rsidP="00A85EC1">
      <w:pPr>
        <w:pStyle w:val="SingleTxtG"/>
      </w:pPr>
      <w:r w:rsidRPr="00A85EC1">
        <w:t>35.</w:t>
      </w:r>
      <w:r w:rsidR="00A85EC1">
        <w:tab/>
      </w:r>
      <w:r w:rsidRPr="00A85EC1">
        <w:t xml:space="preserve">The issue of compliance by Ukraine with its obligations under the Convention regarding its legislation and the </w:t>
      </w:r>
      <w:proofErr w:type="spellStart"/>
      <w:r w:rsidRPr="00A85EC1">
        <w:t>Bystroe</w:t>
      </w:r>
      <w:proofErr w:type="spellEnd"/>
      <w:r w:rsidRPr="00A85EC1">
        <w:t xml:space="preserve"> Canal Project has been under the Committee’s consideration since 2004. In the intersessional period 2014–2017, the Committee concluded that it had no basis to recommend that the Meeting of the Parties revise its recommendations set out in decisions V/4 and VI/2 concerning compliance by Ukraine and that the caution issued at the fourth session of the Meeting of the Parties should remain effective (ECE/MP.EIA/IC/2009/4, para. 16). Draft decision VII/2 (paras. 13–28) contained reiterated requests to Ukraine to adopt the relevant legislation and to bring the </w:t>
      </w:r>
      <w:proofErr w:type="spellStart"/>
      <w:r w:rsidRPr="00A85EC1">
        <w:t>Bystroe</w:t>
      </w:r>
      <w:proofErr w:type="spellEnd"/>
      <w:r w:rsidRPr="00A85EC1">
        <w:t xml:space="preserve"> Canal Project into full compliance with the Convention by the end of 2018. </w:t>
      </w:r>
    </w:p>
    <w:p w14:paraId="111BA583" w14:textId="0E118B3A" w:rsidR="00F478EE" w:rsidRPr="00A85EC1" w:rsidRDefault="00F478EE" w:rsidP="00A85EC1">
      <w:pPr>
        <w:pStyle w:val="SingleTxtG"/>
      </w:pPr>
      <w:r w:rsidRPr="00A85EC1">
        <w:t>36.</w:t>
      </w:r>
      <w:bookmarkStart w:id="9" w:name="_Hlk46665558"/>
      <w:r w:rsidR="00A85EC1">
        <w:tab/>
      </w:r>
      <w:r w:rsidRPr="00A85EC1">
        <w:t xml:space="preserve">By decision IS/1 f, the Meeting of the Parties welcomed the adoption by Ukraine of the Law on Environmental Impact Assessment in May 2017, the declaration of Ukraine of its genuine wish to bring the </w:t>
      </w:r>
      <w:proofErr w:type="spellStart"/>
      <w:r w:rsidRPr="00A85EC1">
        <w:t>Bystroe</w:t>
      </w:r>
      <w:proofErr w:type="spellEnd"/>
      <w:r w:rsidRPr="00A85EC1">
        <w:t xml:space="preserve"> Canal Project into full compliance with the Convention and the intended steps to be taken by Ukraine in this regard, as stipulated in the road map developed by Ukraine to bring the project into full compliance with the Convention, such as repealing the final decision, conducting an assessment of damage to the environment and developing a plan for compensatory and mitigation measures. Decision IS/1f also contained various recommendations and requests to Ukraine addressing the country’s persistent non-compliance with the Convention. Ukraine and Romania were encouraged to continue their cooperation in preparing a bilateral agreement or other arrangement to support further their implementation of the Convention, as set out in article 8 thereof.  </w:t>
      </w:r>
    </w:p>
    <w:bookmarkEnd w:id="9"/>
    <w:p w14:paraId="6CA94085" w14:textId="06AA13EC" w:rsidR="00F478EE" w:rsidRPr="00A85EC1" w:rsidRDefault="00F478EE" w:rsidP="00A85EC1">
      <w:pPr>
        <w:pStyle w:val="SingleTxtG"/>
      </w:pPr>
      <w:r w:rsidRPr="00A85EC1">
        <w:t>37.</w:t>
      </w:r>
      <w:r w:rsidR="00A85EC1">
        <w:tab/>
      </w:r>
      <w:bookmarkStart w:id="10" w:name="_Hlk46665663"/>
      <w:r w:rsidRPr="00A85EC1">
        <w:t xml:space="preserve">After the intermediary session of the Meeting of the Parties, the Committee continued its follow-up on the steps taken by Ukraine to bring about compliance with the Convention. It also continued taking additional steps to assist Ukraine in addressing its long-standing non-compliance with the Convention, including by providing Ukraine with a list of specific </w:t>
      </w:r>
      <w:r w:rsidRPr="00A85EC1">
        <w:lastRenderedPageBreak/>
        <w:t xml:space="preserve">questions to help it summarize all required information for the reporting on progress made and holding additional informal consultations with Ukraine at its forty-sixth session (Geneva, 10–13 December 2019) and in advance of the Committee’s forty–eighth session. </w:t>
      </w:r>
    </w:p>
    <w:bookmarkEnd w:id="10"/>
    <w:p w14:paraId="341D2C6C" w14:textId="77777777" w:rsidR="00F478EE" w:rsidRDefault="00F478EE" w:rsidP="00F478EE">
      <w:pPr>
        <w:pStyle w:val="SingleTxtG"/>
        <w:ind w:left="1170"/>
      </w:pPr>
      <w:r>
        <w:t>38.</w:t>
      </w:r>
      <w:r>
        <w:tab/>
        <w:t xml:space="preserve">In September 2020, </w:t>
      </w:r>
      <w:r w:rsidRPr="001E3AC3">
        <w:t>Committee noted the information from Ukraine regard</w:t>
      </w:r>
      <w:r>
        <w:t>ing</w:t>
      </w:r>
      <w:r w:rsidRPr="001E3AC3">
        <w:t xml:space="preserve"> </w:t>
      </w:r>
      <w:r>
        <w:t>adopting its secondary legislation to implement the Convention and implementing</w:t>
      </w:r>
      <w:r w:rsidRPr="001E3AC3">
        <w:t xml:space="preserve"> </w:t>
      </w:r>
      <w:r>
        <w:t>various</w:t>
      </w:r>
      <w:r w:rsidRPr="001E3AC3">
        <w:t xml:space="preserve"> steps listed in the road map, </w:t>
      </w:r>
      <w:r>
        <w:t xml:space="preserve">including </w:t>
      </w:r>
      <w:r w:rsidRPr="001E3AC3">
        <w:t xml:space="preserve">carrying out an assessment of damage to the environment </w:t>
      </w:r>
      <w:r w:rsidRPr="00116A83">
        <w:t>result</w:t>
      </w:r>
      <w:r>
        <w:t>ing</w:t>
      </w:r>
      <w:r w:rsidRPr="00116A83">
        <w:t xml:space="preserve"> from works under Phases I and II of the </w:t>
      </w:r>
      <w:proofErr w:type="spellStart"/>
      <w:r w:rsidRPr="00116A83">
        <w:t>Bystroe</w:t>
      </w:r>
      <w:proofErr w:type="spellEnd"/>
      <w:r w:rsidRPr="00116A83">
        <w:t xml:space="preserve"> Canal Project</w:t>
      </w:r>
      <w:r w:rsidRPr="001E3AC3">
        <w:t xml:space="preserve"> and developing a draft plan of compensatory or mitigation measures</w:t>
      </w:r>
      <w:r>
        <w:t>. Ukraine had also begun developing a new “</w:t>
      </w:r>
      <w:proofErr w:type="spellStart"/>
      <w:r>
        <w:t>Bystroe</w:t>
      </w:r>
      <w:proofErr w:type="spellEnd"/>
      <w:r>
        <w:t xml:space="preserve"> Route” project, intended to cover Phases I and II of the </w:t>
      </w:r>
      <w:proofErr w:type="spellStart"/>
      <w:r>
        <w:t>Bystroe</w:t>
      </w:r>
      <w:proofErr w:type="spellEnd"/>
      <w:r>
        <w:t xml:space="preserve"> Canal Project, and had notified Romania under the Convention. </w:t>
      </w:r>
    </w:p>
    <w:p w14:paraId="5E3DF9AF" w14:textId="242AF991" w:rsidR="00F478EE" w:rsidRDefault="00F478EE" w:rsidP="00F478EE">
      <w:pPr>
        <w:pStyle w:val="SingleTxtG"/>
        <w:ind w:left="1170"/>
      </w:pPr>
      <w:r>
        <w:t>39.</w:t>
      </w:r>
      <w:r>
        <w:tab/>
        <w:t>Romania</w:t>
      </w:r>
      <w:r w:rsidRPr="001E3AC3">
        <w:t xml:space="preserve"> had confirmed its intent to participate in the transboundary procedure under the Convention regard</w:t>
      </w:r>
      <w:r>
        <w:t>ing</w:t>
      </w:r>
      <w:r w:rsidRPr="001E3AC3">
        <w:t xml:space="preserve"> the new “</w:t>
      </w:r>
      <w:proofErr w:type="spellStart"/>
      <w:r w:rsidRPr="001E3AC3">
        <w:t>Bystroe</w:t>
      </w:r>
      <w:proofErr w:type="spellEnd"/>
      <w:r w:rsidRPr="001E3AC3">
        <w:t xml:space="preserve"> Route” project and its readiness to closely cooperate with Ukraine concerning assessment of damage to the environment and development of compensatory or mitigation measures</w:t>
      </w:r>
      <w:r>
        <w:t>.</w:t>
      </w:r>
      <w:bookmarkStart w:id="11" w:name="_Hlk46665789"/>
    </w:p>
    <w:bookmarkEnd w:id="11"/>
    <w:p w14:paraId="0AA08F3C" w14:textId="1B47B745" w:rsidR="00F478EE" w:rsidRPr="00BF7A11" w:rsidRDefault="00F478EE" w:rsidP="00BF7A11">
      <w:pPr>
        <w:pStyle w:val="SingleTxtG"/>
        <w:rPr>
          <w:highlight w:val="yellow"/>
        </w:rPr>
      </w:pPr>
      <w:r w:rsidRPr="00BF7A11">
        <w:t>40</w:t>
      </w:r>
      <w:bookmarkStart w:id="12" w:name="_Hlk46665843"/>
      <w:r w:rsidRPr="00BF7A11">
        <w:t>.</w:t>
      </w:r>
      <w:r w:rsidR="00BF7A11">
        <w:tab/>
      </w:r>
      <w:r w:rsidRPr="00BF7A11">
        <w:t>The Committee concluded, that despite progress made, Ukraine had not to date fulfilled all its obligations under paragraphs 9 and 11 of decision IV/2, paragraphs 17 and 19 of decision V/4, paragraphs 24, 25 and 26 of decision VI/2 and paragraphs 5, 14, 15 and 17 of decision IS/1f, Subsequently, the Committee could not recommend that the Meeting of the Parties lift the caution issued to the Government of Ukraine at its fourth session (ECE/MP.EIA/10, decision IV/2, para. 10).</w:t>
      </w:r>
    </w:p>
    <w:bookmarkEnd w:id="12"/>
    <w:p w14:paraId="4CA3B069" w14:textId="77777777" w:rsidR="00F478EE" w:rsidRPr="00360CE7" w:rsidRDefault="00F478EE" w:rsidP="004930E7">
      <w:pPr>
        <w:pStyle w:val="H4G"/>
        <w:rPr>
          <w:iCs/>
        </w:rPr>
      </w:pPr>
      <w:r w:rsidRPr="001545EB">
        <w:tab/>
      </w:r>
      <w:r w:rsidRPr="001545EB">
        <w:tab/>
      </w:r>
      <w:r w:rsidRPr="004930E7">
        <w:rPr>
          <w:lang w:val="it-IT"/>
        </w:rPr>
        <w:t>EIA/IC/CI/4</w:t>
      </w:r>
    </w:p>
    <w:p w14:paraId="3EB38E27" w14:textId="77777777" w:rsidR="00F478EE" w:rsidRDefault="00F478EE" w:rsidP="00F478EE">
      <w:pPr>
        <w:pStyle w:val="SingleTxtG"/>
        <w:ind w:left="1170"/>
      </w:pPr>
      <w:r>
        <w:t>41</w:t>
      </w:r>
      <w:r w:rsidRPr="001545EB">
        <w:t>.</w:t>
      </w:r>
      <w:r w:rsidRPr="001545EB">
        <w:tab/>
      </w:r>
      <w:r>
        <w:t xml:space="preserve">During its follow-up to decision </w:t>
      </w:r>
      <w:r w:rsidRPr="001545EB">
        <w:t xml:space="preserve">VI/2 </w:t>
      </w:r>
      <w:r>
        <w:t xml:space="preserve">(paras. 68–71) </w:t>
      </w:r>
      <w:r w:rsidRPr="001545EB">
        <w:t>regarding extension of the lifetime of reactors 1 and 2 of the Rivne nuclear power plant by Ukraine</w:t>
      </w:r>
      <w:r>
        <w:t xml:space="preserve"> in the intersessional period 2014–2017, </w:t>
      </w:r>
      <w:r w:rsidRPr="001545EB">
        <w:t xml:space="preserve">the Committee noted that </w:t>
      </w:r>
      <w:r>
        <w:t>the d</w:t>
      </w:r>
      <w:r w:rsidRPr="001545EB">
        <w:t>ecision did not provide clear guidance for Ukraine on how to bring the activity into compliance with the Convention. Therefore</w:t>
      </w:r>
      <w:r>
        <w:t xml:space="preserve">, </w:t>
      </w:r>
      <w:r w:rsidRPr="001545EB">
        <w:t xml:space="preserve">in </w:t>
      </w:r>
      <w:r>
        <w:t xml:space="preserve">draft </w:t>
      </w:r>
      <w:r w:rsidRPr="001545EB">
        <w:t xml:space="preserve">decision VII/2 </w:t>
      </w:r>
      <w:r>
        <w:t>(paras.</w:t>
      </w:r>
      <w:r w:rsidRPr="00F90295">
        <w:t xml:space="preserve"> </w:t>
      </w:r>
      <w:r>
        <w:t>29–37),</w:t>
      </w:r>
      <w:r w:rsidRPr="001545EB">
        <w:t xml:space="preserve"> </w:t>
      </w:r>
      <w:r>
        <w:t xml:space="preserve">it </w:t>
      </w:r>
      <w:r w:rsidRPr="001545EB">
        <w:t>recommended th</w:t>
      </w:r>
      <w:r>
        <w:t>at</w:t>
      </w:r>
      <w:r w:rsidRPr="001545EB">
        <w:t xml:space="preserve"> </w:t>
      </w:r>
      <w:r>
        <w:t xml:space="preserve">the </w:t>
      </w:r>
      <w:r w:rsidRPr="001545EB">
        <w:t>Meeting of the Parties outline specific measures that would assist Ukraine</w:t>
      </w:r>
      <w:r>
        <w:t xml:space="preserve"> </w:t>
      </w:r>
      <w:r w:rsidRPr="001545EB">
        <w:t xml:space="preserve">in addressing its non-compliance with </w:t>
      </w:r>
      <w:r>
        <w:t>the Convention regarding the activity</w:t>
      </w:r>
      <w:r w:rsidRPr="001545EB">
        <w:t xml:space="preserve">. </w:t>
      </w:r>
    </w:p>
    <w:p w14:paraId="09613820" w14:textId="294E882B" w:rsidR="00F478EE" w:rsidRDefault="00F478EE" w:rsidP="00F478EE">
      <w:pPr>
        <w:pStyle w:val="SingleTxtG"/>
        <w:ind w:left="1170"/>
      </w:pPr>
      <w:r>
        <w:t>42.</w:t>
      </w:r>
      <w:r>
        <w:tab/>
        <w:t>P</w:t>
      </w:r>
      <w:r w:rsidRPr="005912BC">
        <w:t>ending consideration by the Meeting of the Parties of draft decision VII/2 at the intermediary session</w:t>
      </w:r>
      <w:r>
        <w:t>,</w:t>
      </w:r>
      <w:r w:rsidRPr="005912BC">
        <w:t xml:space="preserve"> the Committee</w:t>
      </w:r>
      <w:r>
        <w:t xml:space="preserve">, in September 2017, </w:t>
      </w:r>
      <w:r w:rsidRPr="005912BC">
        <w:t>decided</w:t>
      </w:r>
      <w:r>
        <w:t xml:space="preserve"> – </w:t>
      </w:r>
      <w:r w:rsidRPr="005912BC">
        <w:t xml:space="preserve">further to Committee operating rule 14 (b) </w:t>
      </w:r>
      <w:r>
        <w:t xml:space="preserve">– </w:t>
      </w:r>
      <w:r w:rsidRPr="005912BC">
        <w:t xml:space="preserve">to make </w:t>
      </w:r>
      <w:r>
        <w:t xml:space="preserve">direct </w:t>
      </w:r>
      <w:r w:rsidRPr="005912BC">
        <w:t>recommendations to Ukraine</w:t>
      </w:r>
      <w:r>
        <w:t>. In particular, the Committee recommended that Ukraine notify all potentially affected Parties regarding the activity under article 3 of the Convention and take the subsequent steps of the transboundary environmental impact assessment procedure under the Convention.</w:t>
      </w:r>
    </w:p>
    <w:p w14:paraId="71B2E1D0" w14:textId="402073D7" w:rsidR="00F478EE" w:rsidRDefault="00F478EE" w:rsidP="00F478EE">
      <w:pPr>
        <w:pStyle w:val="SingleTxtG"/>
        <w:ind w:left="1170"/>
      </w:pPr>
      <w:r>
        <w:t>43.</w:t>
      </w:r>
      <w:r>
        <w:tab/>
        <w:t xml:space="preserve">In January 2018, Ukraine notified potentially affected Parties –Austria, Belarus, Hungary, Poland, the Republic of Moldova, Romania and Slovakia – regarding the activity. Further to the notification, some of the potentially affected Parties requested Ukraine to provide additional information, including information listed in article 3 (2) of the Convention. </w:t>
      </w:r>
    </w:p>
    <w:p w14:paraId="768DDF9F" w14:textId="443BAB1E" w:rsidR="00F478EE" w:rsidRPr="00BF7A11" w:rsidRDefault="00F478EE" w:rsidP="00BF7A11">
      <w:pPr>
        <w:pStyle w:val="SingleTxtG"/>
      </w:pPr>
      <w:r w:rsidRPr="00BF7A11">
        <w:t>44.</w:t>
      </w:r>
      <w:r w:rsidR="00BF7A11">
        <w:tab/>
      </w:r>
      <w:r w:rsidRPr="00BF7A11">
        <w:t>In September 2018, the Committee reviewed and revised paragraphs 29–37 of draft decision VII/2 concerning the matter, renamed as decision IS/1g, further to the updated information provided to it by the Parties concerned</w:t>
      </w:r>
      <w:r w:rsidRPr="00BF7A11">
        <w:rPr>
          <w:rFonts w:eastAsia="Calibri"/>
        </w:rPr>
        <w:t>.</w:t>
      </w:r>
    </w:p>
    <w:p w14:paraId="3BC8C8BA" w14:textId="3808E60F" w:rsidR="00F478EE" w:rsidRDefault="00F478EE" w:rsidP="00F478EE">
      <w:pPr>
        <w:pStyle w:val="SingleTxtG"/>
        <w:ind w:left="1170"/>
      </w:pPr>
      <w:r>
        <w:t>45.</w:t>
      </w:r>
      <w:bookmarkStart w:id="13" w:name="_Hlk46666020"/>
      <w:r>
        <w:tab/>
        <w:t xml:space="preserve">By decision IS/1g, the Meeting of the Parties endorsed the Committee’s finding that Ukraine remained in non-compliance with its obligations under the Convention, as referred to in paragraph 70 of decision VI/2, and requested Ukraine to bring the activity into compliance with the Convention by continuing the transboundary procedure with the Parties wishing to participate therein. </w:t>
      </w:r>
    </w:p>
    <w:bookmarkEnd w:id="13"/>
    <w:p w14:paraId="20C96C0D" w14:textId="486E96F4" w:rsidR="00F478EE" w:rsidRDefault="00F478EE" w:rsidP="00F478EE">
      <w:pPr>
        <w:pStyle w:val="SingleTxtG"/>
        <w:ind w:left="1170"/>
      </w:pPr>
      <w:r>
        <w:t>46.</w:t>
      </w:r>
      <w:bookmarkStart w:id="14" w:name="_Hlk46666138"/>
      <w:r>
        <w:tab/>
        <w:t xml:space="preserve">Based on its assessment of </w:t>
      </w:r>
      <w:r w:rsidRPr="0084556E">
        <w:t>the steps taken by Ukraine</w:t>
      </w:r>
      <w:r>
        <w:t xml:space="preserve"> since the intermediary session</w:t>
      </w:r>
      <w:r w:rsidRPr="0084556E">
        <w:t xml:space="preserve"> to </w:t>
      </w:r>
      <w:r>
        <w:t>implement the recommendations of decision IS/1g, the Committee</w:t>
      </w:r>
      <w:r w:rsidRPr="0084556E">
        <w:t xml:space="preserve"> </w:t>
      </w:r>
      <w:r>
        <w:t xml:space="preserve">– in draft decision VIII/4e – recommended that the Meeting of the Parties endorse its finding that Ukraine remained in non-compliance with its obligations under the Convention pending adoption of the remaining pieces of its secondary legislation on environmental impact assessment and completion of the transboundary procedure under the Convention as </w:t>
      </w:r>
      <w:r w:rsidRPr="00B94800">
        <w:t xml:space="preserve">referred to in paragraphs </w:t>
      </w:r>
      <w:r>
        <w:t xml:space="preserve">4, </w:t>
      </w:r>
      <w:r w:rsidRPr="00B94800">
        <w:t>7 (a), (b) and (c) and 8 of decision IS/1g</w:t>
      </w:r>
      <w:r>
        <w:t xml:space="preserve">. </w:t>
      </w:r>
    </w:p>
    <w:bookmarkEnd w:id="14"/>
    <w:p w14:paraId="6A42F873" w14:textId="77777777" w:rsidR="00F478EE" w:rsidRPr="001545EB" w:rsidRDefault="00F478EE" w:rsidP="00F478EE">
      <w:pPr>
        <w:pStyle w:val="H1G"/>
      </w:pPr>
      <w:r>
        <w:lastRenderedPageBreak/>
        <w:tab/>
      </w:r>
      <w:r w:rsidRPr="004105DE">
        <w:rPr>
          <w:lang w:val="it-IT"/>
        </w:rPr>
        <w:t>F.</w:t>
      </w:r>
      <w:r w:rsidRPr="004105DE">
        <w:rPr>
          <w:lang w:val="it-IT"/>
        </w:rPr>
        <w:tab/>
        <w:t>United Kingdom of Great Britain and Northern Ireland</w:t>
      </w:r>
    </w:p>
    <w:p w14:paraId="264249CB" w14:textId="77777777" w:rsidR="00F478EE" w:rsidRPr="001545EB" w:rsidRDefault="00F478EE" w:rsidP="00F478EE">
      <w:pPr>
        <w:pStyle w:val="H4G"/>
      </w:pPr>
      <w:r w:rsidRPr="001545EB">
        <w:tab/>
      </w:r>
      <w:r w:rsidRPr="001545EB">
        <w:tab/>
      </w:r>
      <w:r w:rsidRPr="004930E7">
        <w:rPr>
          <w:lang w:val="it-IT"/>
        </w:rPr>
        <w:t>EIA/IC/CI/5</w:t>
      </w:r>
    </w:p>
    <w:p w14:paraId="5815A771" w14:textId="77777777" w:rsidR="00F478EE" w:rsidRPr="001545EB" w:rsidRDefault="00F478EE" w:rsidP="00F478EE">
      <w:pPr>
        <w:pStyle w:val="SingleTxtG"/>
        <w:ind w:left="1170"/>
      </w:pPr>
      <w:r>
        <w:t>47</w:t>
      </w:r>
      <w:r w:rsidRPr="001545EB">
        <w:t>.</w:t>
      </w:r>
      <w:r w:rsidRPr="001545EB">
        <w:tab/>
      </w:r>
      <w:r>
        <w:t>T</w:t>
      </w:r>
      <w:r w:rsidRPr="001545EB">
        <w:t>he Committee decided to begin a Committee initiative in February 2014</w:t>
      </w:r>
      <w:r>
        <w:t xml:space="preserve"> f</w:t>
      </w:r>
      <w:r w:rsidRPr="001545EB">
        <w:t>urther to information regarding the planned construction of a</w:t>
      </w:r>
      <w:r>
        <w:t xml:space="preserve"> nuclear power plant </w:t>
      </w:r>
      <w:r w:rsidRPr="001545EB">
        <w:t>at Hinkley Point C by the United Kingdom</w:t>
      </w:r>
      <w:r>
        <w:t xml:space="preserve"> of Great Britain and Northern Ireland</w:t>
      </w:r>
      <w:r w:rsidRPr="001545EB">
        <w:t xml:space="preserve"> provided by a German </w:t>
      </w:r>
      <w:r>
        <w:t>parliamentarian</w:t>
      </w:r>
      <w:r w:rsidRPr="001545EB">
        <w:t xml:space="preserve"> and by the </w:t>
      </w:r>
      <w:r>
        <w:t xml:space="preserve">NGO </w:t>
      </w:r>
      <w:r w:rsidRPr="001545EB">
        <w:t>Friends of the Irish Environment</w:t>
      </w:r>
      <w:r w:rsidRPr="001545EB" w:rsidDel="003E7585">
        <w:t xml:space="preserve"> </w:t>
      </w:r>
      <w:r w:rsidRPr="001545EB">
        <w:t xml:space="preserve">and additional information gathered from the Governments of Austria, Belgium, France, Germany, Ireland, the Netherlands, Norway, Spain and </w:t>
      </w:r>
      <w:r>
        <w:t xml:space="preserve">the </w:t>
      </w:r>
      <w:r w:rsidRPr="001545EB">
        <w:t>United Kingdom</w:t>
      </w:r>
      <w:r>
        <w:t xml:space="preserve"> </w:t>
      </w:r>
      <w:bookmarkStart w:id="15" w:name="_Hlk51155328"/>
      <w:r>
        <w:t>of Great Britain and Northern Ireland</w:t>
      </w:r>
      <w:bookmarkEnd w:id="15"/>
      <w:r w:rsidRPr="001545EB">
        <w:t xml:space="preserve">. </w:t>
      </w:r>
    </w:p>
    <w:p w14:paraId="51C58AD1" w14:textId="77777777" w:rsidR="00F478EE" w:rsidRDefault="00F478EE" w:rsidP="00F478EE">
      <w:pPr>
        <w:pStyle w:val="SingleTxtG"/>
        <w:ind w:left="1170"/>
      </w:pPr>
      <w:r>
        <w:t>48</w:t>
      </w:r>
      <w:r w:rsidRPr="001545EB">
        <w:t>.</w:t>
      </w:r>
      <w:r w:rsidRPr="001545EB">
        <w:tab/>
        <w:t>In March 2016</w:t>
      </w:r>
      <w:r>
        <w:t xml:space="preserve">, </w:t>
      </w:r>
      <w:r w:rsidRPr="001545EB">
        <w:t>the Committee finalized</w:t>
      </w:r>
      <w:r>
        <w:t>,</w:t>
      </w:r>
      <w:r w:rsidRPr="001545EB">
        <w:t xml:space="preserve"> </w:t>
      </w:r>
      <w:r>
        <w:t xml:space="preserve">in line with its structure and functions and operating rules, </w:t>
      </w:r>
      <w:r w:rsidRPr="001545EB">
        <w:t xml:space="preserve">its findings and recommendations </w:t>
      </w:r>
      <w:r>
        <w:t xml:space="preserve">regarding the matter </w:t>
      </w:r>
      <w:r w:rsidRPr="001545EB">
        <w:t xml:space="preserve">that were brought to the attention of the Party </w:t>
      </w:r>
      <w:r>
        <w:t xml:space="preserve">concerned </w:t>
      </w:r>
      <w:r w:rsidRPr="001545EB">
        <w:t>(see ECE/MP.EIA/IC/2016/2</w:t>
      </w:r>
      <w:r>
        <w:t>, annex</w:t>
      </w:r>
      <w:r w:rsidRPr="001545EB">
        <w:t xml:space="preserve">). </w:t>
      </w:r>
      <w:r>
        <w:t xml:space="preserve">Further to information from the </w:t>
      </w:r>
      <w:r w:rsidRPr="00251ACC">
        <w:t xml:space="preserve">United Kingdom </w:t>
      </w:r>
      <w:r w:rsidRPr="005F7C25">
        <w:t xml:space="preserve">of Great Britain and Northern Ireland </w:t>
      </w:r>
      <w:r>
        <w:t xml:space="preserve">in early 2017 on the steps it had taken to </w:t>
      </w:r>
      <w:r w:rsidRPr="00251ACC">
        <w:t>address the Committee’s recommendations</w:t>
      </w:r>
      <w:r>
        <w:t>, the Committee – at its thirty-eighth session (Geneva, 20–22 February 2017) – supplemented its findings and recommendations with additional ones, recommending that, if a potentially affected Party requested to be notified, the country should suspend works on the proposed activity until the transboundary environmental assessment procedure was finalized</w:t>
      </w:r>
      <w:r w:rsidRPr="005F7C25">
        <w:t xml:space="preserve"> </w:t>
      </w:r>
      <w:r>
        <w:t>(</w:t>
      </w:r>
      <w:r w:rsidRPr="005F7C25">
        <w:t>ECE/MP.EIA/IC/2017/2</w:t>
      </w:r>
      <w:r>
        <w:t xml:space="preserve">, para. 61). </w:t>
      </w:r>
    </w:p>
    <w:p w14:paraId="226B5BEE" w14:textId="77777777" w:rsidR="00F478EE" w:rsidRDefault="00F478EE" w:rsidP="00F478EE">
      <w:pPr>
        <w:pStyle w:val="SingleTxtG"/>
        <w:ind w:left="1170"/>
      </w:pPr>
      <w:r>
        <w:t>49.</w:t>
      </w:r>
      <w:r>
        <w:tab/>
        <w:t xml:space="preserve">In the current intersessional period, the </w:t>
      </w:r>
      <w:r w:rsidRPr="00251ACC">
        <w:t xml:space="preserve">Committee reviewed </w:t>
      </w:r>
      <w:r>
        <w:t xml:space="preserve">and revised </w:t>
      </w:r>
      <w:r w:rsidRPr="00251ACC">
        <w:t>its</w:t>
      </w:r>
      <w:r>
        <w:t xml:space="preserve"> 2016 </w:t>
      </w:r>
      <w:r w:rsidRPr="00251ACC">
        <w:t>recommendations as supplemented at its thirty-eighth session</w:t>
      </w:r>
      <w:r>
        <w:t>,</w:t>
      </w:r>
      <w:r w:rsidRPr="00A15C50">
        <w:t xml:space="preserve"> </w:t>
      </w:r>
      <w:r>
        <w:t xml:space="preserve">along with </w:t>
      </w:r>
      <w:r w:rsidRPr="00251ACC">
        <w:t>paragraphs 69</w:t>
      </w:r>
      <w:r>
        <w:t xml:space="preserve">– </w:t>
      </w:r>
      <w:r w:rsidRPr="00251ACC">
        <w:t>72 of draft decision VII/2</w:t>
      </w:r>
      <w:r>
        <w:t xml:space="preserve"> – renamed as decision IS/1h –</w:t>
      </w:r>
      <w:r w:rsidRPr="00251ACC">
        <w:t xml:space="preserve"> </w:t>
      </w:r>
      <w:r>
        <w:t>considering</w:t>
      </w:r>
      <w:r w:rsidRPr="00251ACC">
        <w:t xml:space="preserve"> </w:t>
      </w:r>
      <w:r>
        <w:t>information submitted from August 2017 to August 2018 by the United Kingdom of Great Britain and Northern Ireland, the potentially affected Parties (</w:t>
      </w:r>
      <w:r w:rsidRPr="00251ACC">
        <w:t>Austria</w:t>
      </w:r>
      <w:r>
        <w:t>,</w:t>
      </w:r>
      <w:r w:rsidRPr="00251ACC">
        <w:t xml:space="preserve"> Denmark, Germany, Ireland, Luxembourg, the Netherlands</w:t>
      </w:r>
      <w:r>
        <w:t xml:space="preserve"> and</w:t>
      </w:r>
      <w:r w:rsidRPr="00251ACC">
        <w:t xml:space="preserve"> Norway</w:t>
      </w:r>
      <w:r>
        <w:t xml:space="preserve">) and the Irish NGO </w:t>
      </w:r>
      <w:r w:rsidRPr="00251ACC">
        <w:t>Environmental Pillar</w:t>
      </w:r>
      <w:r>
        <w:t xml:space="preserve">. It finalized its findings and recommendations using its electronic decision-making procedure in November 2018 further to comments and representations received from the United Kingdom of Great Britain and Northern Ireland. </w:t>
      </w:r>
    </w:p>
    <w:p w14:paraId="0BB27170" w14:textId="55A1EFBF" w:rsidR="00F478EE" w:rsidRDefault="00F478EE" w:rsidP="00F478EE">
      <w:pPr>
        <w:pStyle w:val="SingleTxtG"/>
        <w:ind w:left="1170"/>
      </w:pPr>
      <w:r>
        <w:t>50</w:t>
      </w:r>
      <w:r w:rsidRPr="00116A69">
        <w:t>.</w:t>
      </w:r>
      <w:r w:rsidRPr="00116A69">
        <w:tab/>
      </w:r>
      <w:r>
        <w:t>B</w:t>
      </w:r>
      <w:r w:rsidRPr="00116A69">
        <w:t>y decision IS/1h</w:t>
      </w:r>
      <w:r>
        <w:t>,</w:t>
      </w:r>
      <w:r w:rsidRPr="00116A69">
        <w:t xml:space="preserve"> the Meeting of the Parties endorsed the Committee’s finding that the United Kingdom </w:t>
      </w:r>
      <w:r>
        <w:t xml:space="preserve">of Great Britain and Northern Ireland </w:t>
      </w:r>
      <w:r w:rsidRPr="00116A69">
        <w:t>failed to comply with the Convention by not notifying the potentially affected parties in accordance with article</w:t>
      </w:r>
      <w:r>
        <w:t>s</w:t>
      </w:r>
      <w:r w:rsidRPr="00116A69">
        <w:t xml:space="preserve"> 2</w:t>
      </w:r>
      <w:r>
        <w:t xml:space="preserve"> (</w:t>
      </w:r>
      <w:r w:rsidRPr="00116A69">
        <w:t>4</w:t>
      </w:r>
      <w:r>
        <w:t>)</w:t>
      </w:r>
      <w:r w:rsidRPr="00116A69">
        <w:t xml:space="preserve"> and 3 </w:t>
      </w:r>
      <w:r>
        <w:t>(</w:t>
      </w:r>
      <w:r w:rsidRPr="00116A69">
        <w:t>1</w:t>
      </w:r>
      <w:r>
        <w:t>)</w:t>
      </w:r>
      <w:r w:rsidRPr="00116A69">
        <w:t xml:space="preserve"> of the Convention </w:t>
      </w:r>
      <w:r>
        <w:t>concerning</w:t>
      </w:r>
      <w:r w:rsidRPr="00116A69">
        <w:t xml:space="preserve"> the Hinkley Point C nuclear power plant project. Although steps taken by the </w:t>
      </w:r>
      <w:r>
        <w:t>country</w:t>
      </w:r>
      <w:r w:rsidRPr="00116A69">
        <w:t xml:space="preserve"> did not remedy the breach of the Convention, no further action from the </w:t>
      </w:r>
      <w:r>
        <w:t>country</w:t>
      </w:r>
      <w:r w:rsidRPr="00116A69">
        <w:t xml:space="preserve"> was required on the grounds that the potentially affected Parties had accepted the consultation process offered by the United Kingdom </w:t>
      </w:r>
      <w:r>
        <w:t xml:space="preserve">of Great Britain and Northern Ireland </w:t>
      </w:r>
      <w:r w:rsidRPr="00116A69">
        <w:t>at the current stage of the activity and on the understanding that, in future, it would provide notification of planned nuclear power plants in accordance with the Convention.</w:t>
      </w:r>
      <w:r w:rsidRPr="005D3F86">
        <w:t xml:space="preserve"> </w:t>
      </w:r>
    </w:p>
    <w:p w14:paraId="568F7A17" w14:textId="62A5E0E9" w:rsidR="004105DE" w:rsidRPr="001545EB" w:rsidRDefault="004105DE" w:rsidP="00A51BA8">
      <w:pPr>
        <w:pStyle w:val="HChG"/>
      </w:pPr>
      <w:r>
        <w:tab/>
        <w:t>III.</w:t>
      </w:r>
      <w:r>
        <w:tab/>
      </w:r>
      <w:r w:rsidRPr="001545EB">
        <w:t>Examination of the outcome</w:t>
      </w:r>
      <w:r>
        <w:t>s</w:t>
      </w:r>
      <w:r w:rsidRPr="001545EB">
        <w:t xml:space="preserve"> of the reviews of implementation</w:t>
      </w:r>
    </w:p>
    <w:p w14:paraId="594BA4DD" w14:textId="77777777" w:rsidR="004105DE" w:rsidRPr="001545EB" w:rsidRDefault="004105DE" w:rsidP="004105DE">
      <w:pPr>
        <w:pStyle w:val="SingleTxtG"/>
        <w:ind w:left="1170"/>
      </w:pPr>
      <w:r>
        <w:t>51</w:t>
      </w:r>
      <w:r w:rsidRPr="001545EB">
        <w:t>.</w:t>
      </w:r>
      <w:r w:rsidRPr="001545EB">
        <w:tab/>
      </w:r>
      <w:r>
        <w:rPr>
          <w:rFonts w:eastAsia="Calibri"/>
        </w:rPr>
        <w:t>As</w:t>
      </w:r>
      <w:r w:rsidRPr="001545EB">
        <w:rPr>
          <w:rFonts w:eastAsia="Calibri"/>
        </w:rPr>
        <w:t xml:space="preserve"> requested in decision</w:t>
      </w:r>
      <w:r>
        <w:rPr>
          <w:rFonts w:eastAsia="Calibri"/>
        </w:rPr>
        <w:t xml:space="preserve"> </w:t>
      </w:r>
      <w:r w:rsidRPr="001545EB">
        <w:rPr>
          <w:rFonts w:eastAsia="Calibri"/>
        </w:rPr>
        <w:t>VI</w:t>
      </w:r>
      <w:r>
        <w:rPr>
          <w:rFonts w:eastAsia="Calibri"/>
        </w:rPr>
        <w:t>I</w:t>
      </w:r>
      <w:r w:rsidRPr="001545EB">
        <w:rPr>
          <w:rFonts w:eastAsia="Calibri"/>
        </w:rPr>
        <w:t>/1</w:t>
      </w:r>
      <w:r>
        <w:rPr>
          <w:rFonts w:eastAsia="Calibri"/>
        </w:rPr>
        <w:t xml:space="preserve"> (para. 4)</w:t>
      </w:r>
      <w:r w:rsidRPr="001545EB">
        <w:rPr>
          <w:rFonts w:eastAsia="Calibri"/>
        </w:rPr>
        <w:t xml:space="preserve"> of the Meeting of the Parties </w:t>
      </w:r>
      <w:r>
        <w:rPr>
          <w:rFonts w:eastAsia="Calibri"/>
        </w:rPr>
        <w:t xml:space="preserve">to the Convention </w:t>
      </w:r>
      <w:r w:rsidRPr="001545EB">
        <w:t>and decision II</w:t>
      </w:r>
      <w:r>
        <w:t>I</w:t>
      </w:r>
      <w:r w:rsidRPr="001545EB">
        <w:t>/1</w:t>
      </w:r>
      <w:r>
        <w:t xml:space="preserve"> (para. 4) </w:t>
      </w:r>
      <w:r w:rsidRPr="001545EB">
        <w:t>of the Meeting of the Parties to the Protocol</w:t>
      </w:r>
      <w:r>
        <w:t>, t</w:t>
      </w:r>
      <w:r w:rsidRPr="001545EB">
        <w:rPr>
          <w:rFonts w:eastAsia="Calibri"/>
        </w:rPr>
        <w:t xml:space="preserve">he Committee took </w:t>
      </w:r>
      <w:r>
        <w:rPr>
          <w:rFonts w:eastAsia="Calibri"/>
        </w:rPr>
        <w:t xml:space="preserve">into account in its work information from the secretariat on the </w:t>
      </w:r>
      <w:r w:rsidRPr="001545EB">
        <w:rPr>
          <w:rFonts w:eastAsia="Calibri"/>
        </w:rPr>
        <w:t xml:space="preserve">general and specific compliance issues identified </w:t>
      </w:r>
      <w:r>
        <w:rPr>
          <w:rFonts w:eastAsia="Calibri"/>
        </w:rPr>
        <w:t xml:space="preserve">in the </w:t>
      </w:r>
      <w:r w:rsidRPr="00243ABC">
        <w:rPr>
          <w:rFonts w:eastAsia="Calibri"/>
        </w:rPr>
        <w:t xml:space="preserve">fifth review of implementation of the Convention </w:t>
      </w:r>
      <w:r>
        <w:rPr>
          <w:rFonts w:eastAsia="Calibri"/>
        </w:rPr>
        <w:t>(</w:t>
      </w:r>
      <w:bookmarkStart w:id="16" w:name="_Hlk51156644"/>
      <w:r w:rsidRPr="00243ABC">
        <w:rPr>
          <w:rFonts w:eastAsia="Calibri"/>
        </w:rPr>
        <w:t>ECE/MP.EIA/2017/9</w:t>
      </w:r>
      <w:bookmarkEnd w:id="16"/>
      <w:r>
        <w:rPr>
          <w:rFonts w:eastAsia="Calibri"/>
        </w:rPr>
        <w:t xml:space="preserve">) </w:t>
      </w:r>
      <w:r w:rsidRPr="00243ABC">
        <w:rPr>
          <w:rFonts w:eastAsia="Calibri"/>
        </w:rPr>
        <w:t xml:space="preserve">and the second review of implementation of the Protocol </w:t>
      </w:r>
      <w:r>
        <w:rPr>
          <w:rFonts w:eastAsia="Calibri"/>
        </w:rPr>
        <w:t>(</w:t>
      </w:r>
      <w:r w:rsidRPr="00243ABC">
        <w:rPr>
          <w:rFonts w:eastAsia="Calibri"/>
        </w:rPr>
        <w:t>ECE/MP.EIA/SEA/2017/9)</w:t>
      </w:r>
      <w:r w:rsidRPr="001545EB">
        <w:t>.</w:t>
      </w:r>
    </w:p>
    <w:p w14:paraId="4600A154" w14:textId="77777777" w:rsidR="004105DE" w:rsidRPr="001545EB" w:rsidRDefault="004105DE" w:rsidP="004105DE">
      <w:pPr>
        <w:pStyle w:val="H1G"/>
      </w:pPr>
      <w:r w:rsidRPr="001545EB">
        <w:tab/>
        <w:t>A.</w:t>
      </w:r>
      <w:r w:rsidRPr="001545EB">
        <w:tab/>
        <w:t>General compliance issues</w:t>
      </w:r>
    </w:p>
    <w:p w14:paraId="2139F4B3" w14:textId="77777777" w:rsidR="004105DE" w:rsidRPr="001545EB" w:rsidRDefault="004105DE" w:rsidP="004105DE">
      <w:pPr>
        <w:pStyle w:val="SingleTxtG"/>
        <w:ind w:left="1170"/>
      </w:pPr>
      <w:r>
        <w:t>52</w:t>
      </w:r>
      <w:r w:rsidRPr="00423496">
        <w:t>.</w:t>
      </w:r>
      <w:r w:rsidRPr="00423496">
        <w:tab/>
      </w:r>
      <w:r>
        <w:t>The Committee</w:t>
      </w:r>
      <w:r w:rsidRPr="000F7EFA">
        <w:t xml:space="preserve"> noted some </w:t>
      </w:r>
      <w:r>
        <w:t xml:space="preserve">general </w:t>
      </w:r>
      <w:r w:rsidRPr="000F7EFA">
        <w:t xml:space="preserve">weaknesses or shortcomings in the Convention’s </w:t>
      </w:r>
      <w:r>
        <w:t xml:space="preserve">and Protocol’s </w:t>
      </w:r>
      <w:r w:rsidRPr="000F7EFA">
        <w:t>implementation by Parties</w:t>
      </w:r>
      <w:r>
        <w:t xml:space="preserve"> </w:t>
      </w:r>
      <w:r w:rsidRPr="000F7EFA">
        <w:t>identified in the fifth review of implementation of the Convention</w:t>
      </w:r>
      <w:r>
        <w:t xml:space="preserve"> and the </w:t>
      </w:r>
      <w:r w:rsidRPr="00423496">
        <w:t>second review of implementation</w:t>
      </w:r>
      <w:r>
        <w:t xml:space="preserve"> of the Protocol, respectively. It observed that some </w:t>
      </w:r>
      <w:r w:rsidRPr="00423496">
        <w:t xml:space="preserve">of </w:t>
      </w:r>
      <w:r>
        <w:t xml:space="preserve">those issues </w:t>
      </w:r>
      <w:r w:rsidRPr="00423496">
        <w:t>had already been recognized in previous reviews</w:t>
      </w:r>
      <w:r>
        <w:t xml:space="preserve">. </w:t>
      </w:r>
      <w:r>
        <w:lastRenderedPageBreak/>
        <w:t>Subsequently</w:t>
      </w:r>
      <w:r w:rsidRPr="00423496">
        <w:t>, the Committee propose</w:t>
      </w:r>
      <w:r>
        <w:t>d</w:t>
      </w:r>
      <w:r w:rsidRPr="00423496">
        <w:t xml:space="preserve"> </w:t>
      </w:r>
      <w:r>
        <w:t>that</w:t>
      </w:r>
      <w:r w:rsidRPr="00423496">
        <w:t xml:space="preserve"> the Bureau and the Working </w:t>
      </w:r>
      <w:r>
        <w:t>G</w:t>
      </w:r>
      <w:r w:rsidRPr="00423496">
        <w:t>roup inclu</w:t>
      </w:r>
      <w:r>
        <w:t>de</w:t>
      </w:r>
      <w:r w:rsidRPr="00423496">
        <w:t xml:space="preserve"> in the next work plan</w:t>
      </w:r>
      <w:r>
        <w:t xml:space="preserve"> </w:t>
      </w:r>
      <w:r w:rsidRPr="00423496">
        <w:t xml:space="preserve">activities to update the relevant parts of the available guidance documents on application of the Convention, starting with the </w:t>
      </w:r>
      <w:r w:rsidRPr="00BC5EE8">
        <w:rPr>
          <w:i/>
          <w:iCs/>
        </w:rPr>
        <w:t>Guidance on Public Participation in Environmental Impact Assessment in a Transboundary Context</w:t>
      </w:r>
      <w:r>
        <w:t>,</w:t>
      </w:r>
      <w:r>
        <w:rPr>
          <w:rStyle w:val="FootnoteReference"/>
        </w:rPr>
        <w:footnoteReference w:id="10"/>
      </w:r>
      <w:r>
        <w:t xml:space="preserve"> and to prepare</w:t>
      </w:r>
      <w:r w:rsidRPr="00423496">
        <w:t xml:space="preserve"> guidance or good practice recommendations on transboundary consultations under the Protocol.</w:t>
      </w:r>
    </w:p>
    <w:p w14:paraId="476D410E" w14:textId="77777777" w:rsidR="004105DE" w:rsidRPr="001545EB" w:rsidRDefault="004105DE" w:rsidP="004105DE">
      <w:pPr>
        <w:pStyle w:val="H1G"/>
      </w:pPr>
      <w:r w:rsidRPr="001545EB">
        <w:tab/>
        <w:t>B.</w:t>
      </w:r>
      <w:r w:rsidRPr="001545EB">
        <w:tab/>
        <w:t>Specific compliance issues</w:t>
      </w:r>
    </w:p>
    <w:p w14:paraId="4565A19C" w14:textId="77777777" w:rsidR="004105DE" w:rsidRDefault="004105DE" w:rsidP="004105DE">
      <w:pPr>
        <w:pStyle w:val="SingleTxtG"/>
        <w:ind w:left="1170"/>
      </w:pPr>
      <w:r>
        <w:t>53</w:t>
      </w:r>
      <w:r w:rsidRPr="001545EB">
        <w:t>.</w:t>
      </w:r>
      <w:r w:rsidRPr="001545EB">
        <w:tab/>
      </w:r>
      <w:r>
        <w:t xml:space="preserve">The specific compliance issues arising from the Convention and Protocol implementation reviews considered by the Committee in the intersessional period are </w:t>
      </w:r>
      <w:r w:rsidRPr="001545EB">
        <w:t xml:space="preserve">summarized in table </w:t>
      </w:r>
      <w:r>
        <w:t>2 below. In particular, t</w:t>
      </w:r>
      <w:r w:rsidRPr="001545EB">
        <w:t xml:space="preserve">he Committee examined </w:t>
      </w:r>
      <w:r>
        <w:t>three</w:t>
      </w:r>
      <w:r w:rsidRPr="001545EB">
        <w:t xml:space="preserve"> specific compliance issues</w:t>
      </w:r>
      <w:r>
        <w:t xml:space="preserve"> concerning</w:t>
      </w:r>
      <w:r w:rsidRPr="001545EB">
        <w:t xml:space="preserve"> the Convention</w:t>
      </w:r>
      <w:r>
        <w:t>,</w:t>
      </w:r>
      <w:r w:rsidRPr="001545EB">
        <w:t xml:space="preserve"> </w:t>
      </w:r>
      <w:r>
        <w:t>regarding 30 Parties,</w:t>
      </w:r>
      <w:r w:rsidRPr="001545EB">
        <w:t xml:space="preserve"> and </w:t>
      </w:r>
      <w:r>
        <w:t xml:space="preserve">one </w:t>
      </w:r>
      <w:r w:rsidRPr="00C176EB">
        <w:t>specific compliance issue</w:t>
      </w:r>
      <w:r>
        <w:t xml:space="preserve"> concerning</w:t>
      </w:r>
      <w:r w:rsidRPr="001545EB">
        <w:t xml:space="preserve"> the Protocol</w:t>
      </w:r>
      <w:r>
        <w:t>, regarding 2 Parties</w:t>
      </w:r>
      <w:r w:rsidRPr="001545EB">
        <w:t xml:space="preserve">. </w:t>
      </w:r>
      <w:r>
        <w:t>It also continued</w:t>
      </w:r>
      <w:r w:rsidRPr="00233F4A">
        <w:t xml:space="preserve"> consideration of the specific issue of compliance by the European Union with the Protocol identified in the first review of implementation of the Protocol (ECE/MP.EIA/SEA/2014/3</w:t>
      </w:r>
      <w:r>
        <w:t>, para. 5</w:t>
      </w:r>
      <w:r w:rsidRPr="00233F4A">
        <w:t>)</w:t>
      </w:r>
      <w:r>
        <w:t>.</w:t>
      </w:r>
    </w:p>
    <w:p w14:paraId="66F5AA3F" w14:textId="77777777" w:rsidR="004105DE" w:rsidRPr="001545EB" w:rsidRDefault="004105DE" w:rsidP="004105DE">
      <w:pPr>
        <w:pStyle w:val="H23G"/>
        <w:spacing w:after="0"/>
        <w:ind w:left="1140" w:right="1140" w:hanging="1140"/>
      </w:pPr>
      <w:r>
        <w:rPr>
          <w:b w:val="0"/>
        </w:rPr>
        <w:tab/>
      </w:r>
      <w:r>
        <w:rPr>
          <w:b w:val="0"/>
        </w:rPr>
        <w:tab/>
      </w:r>
      <w:r w:rsidRPr="001545EB">
        <w:rPr>
          <w:b w:val="0"/>
        </w:rPr>
        <w:t xml:space="preserve">Table </w:t>
      </w:r>
      <w:r>
        <w:rPr>
          <w:b w:val="0"/>
        </w:rPr>
        <w:t>2</w:t>
      </w:r>
    </w:p>
    <w:p w14:paraId="79912526" w14:textId="77777777" w:rsidR="004105DE" w:rsidRPr="001545EB" w:rsidRDefault="004105DE" w:rsidP="004105DE">
      <w:pPr>
        <w:pStyle w:val="H23G"/>
        <w:spacing w:before="0"/>
        <w:ind w:left="1138" w:right="1138" w:hanging="1138"/>
      </w:pPr>
      <w:r w:rsidRPr="001545EB">
        <w:tab/>
      </w:r>
      <w:r w:rsidRPr="001545EB">
        <w:tab/>
        <w:t>Specific compliance issues</w:t>
      </w:r>
    </w:p>
    <w:tbl>
      <w:tblPr>
        <w:tblW w:w="760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2"/>
        <w:gridCol w:w="1725"/>
        <w:gridCol w:w="4261"/>
      </w:tblGrid>
      <w:tr w:rsidR="004105DE" w:rsidRPr="001545EB" w14:paraId="10F0CAFF" w14:textId="77777777" w:rsidTr="001D3863">
        <w:trPr>
          <w:tblHeader/>
        </w:trPr>
        <w:tc>
          <w:tcPr>
            <w:tcW w:w="1622" w:type="dxa"/>
            <w:tcBorders>
              <w:top w:val="single" w:sz="4" w:space="0" w:color="auto"/>
              <w:bottom w:val="single" w:sz="12" w:space="0" w:color="auto"/>
            </w:tcBorders>
            <w:shd w:val="clear" w:color="auto" w:fill="auto"/>
            <w:vAlign w:val="bottom"/>
          </w:tcPr>
          <w:p w14:paraId="504B2315" w14:textId="77777777" w:rsidR="004105DE" w:rsidRPr="001545EB" w:rsidRDefault="004105DE" w:rsidP="001D3863">
            <w:pPr>
              <w:suppressAutoHyphens w:val="0"/>
              <w:spacing w:before="80" w:after="80" w:line="200" w:lineRule="exact"/>
              <w:ind w:right="113"/>
              <w:rPr>
                <w:i/>
                <w:sz w:val="16"/>
              </w:rPr>
            </w:pPr>
            <w:r w:rsidRPr="001545EB">
              <w:rPr>
                <w:i/>
                <w:sz w:val="16"/>
              </w:rPr>
              <w:t>Committee reference</w:t>
            </w:r>
          </w:p>
        </w:tc>
        <w:tc>
          <w:tcPr>
            <w:tcW w:w="1725" w:type="dxa"/>
            <w:tcBorders>
              <w:top w:val="single" w:sz="4" w:space="0" w:color="auto"/>
              <w:bottom w:val="single" w:sz="12" w:space="0" w:color="auto"/>
            </w:tcBorders>
            <w:shd w:val="clear" w:color="auto" w:fill="auto"/>
            <w:vAlign w:val="bottom"/>
          </w:tcPr>
          <w:p w14:paraId="6D8DB544" w14:textId="77777777" w:rsidR="004105DE" w:rsidRPr="001545EB" w:rsidRDefault="004105DE" w:rsidP="001D3863">
            <w:pPr>
              <w:suppressAutoHyphens w:val="0"/>
              <w:spacing w:before="80" w:after="80" w:line="200" w:lineRule="exact"/>
              <w:ind w:right="113"/>
              <w:rPr>
                <w:i/>
                <w:sz w:val="16"/>
              </w:rPr>
            </w:pPr>
            <w:r w:rsidRPr="001545EB">
              <w:rPr>
                <w:i/>
                <w:sz w:val="16"/>
              </w:rPr>
              <w:t>Party concerned</w:t>
            </w:r>
          </w:p>
        </w:tc>
        <w:tc>
          <w:tcPr>
            <w:tcW w:w="4261" w:type="dxa"/>
            <w:tcBorders>
              <w:top w:val="single" w:sz="4" w:space="0" w:color="auto"/>
              <w:bottom w:val="single" w:sz="12" w:space="0" w:color="auto"/>
            </w:tcBorders>
            <w:shd w:val="clear" w:color="auto" w:fill="auto"/>
            <w:vAlign w:val="bottom"/>
          </w:tcPr>
          <w:p w14:paraId="706FED55" w14:textId="77777777" w:rsidR="004105DE" w:rsidRPr="001545EB" w:rsidRDefault="004105DE" w:rsidP="001D3863">
            <w:pPr>
              <w:suppressAutoHyphens w:val="0"/>
              <w:spacing w:before="80" w:after="80" w:line="200" w:lineRule="exact"/>
              <w:ind w:right="113"/>
              <w:rPr>
                <w:i/>
                <w:sz w:val="16"/>
              </w:rPr>
            </w:pPr>
            <w:r w:rsidRPr="001545EB">
              <w:rPr>
                <w:i/>
                <w:sz w:val="16"/>
              </w:rPr>
              <w:t>Issue</w:t>
            </w:r>
          </w:p>
        </w:tc>
      </w:tr>
      <w:tr w:rsidR="004105DE" w:rsidRPr="001545EB" w14:paraId="4E8561E6" w14:textId="77777777" w:rsidTr="001D3863">
        <w:trPr>
          <w:trHeight w:val="85"/>
          <w:tblHeader/>
        </w:trPr>
        <w:tc>
          <w:tcPr>
            <w:tcW w:w="1622" w:type="dxa"/>
            <w:tcBorders>
              <w:top w:val="single" w:sz="12" w:space="0" w:color="auto"/>
            </w:tcBorders>
            <w:shd w:val="clear" w:color="auto" w:fill="auto"/>
          </w:tcPr>
          <w:p w14:paraId="00A84885" w14:textId="77777777" w:rsidR="004105DE" w:rsidRPr="001545EB" w:rsidRDefault="004105DE" w:rsidP="001D3863">
            <w:pPr>
              <w:suppressAutoHyphens w:val="0"/>
              <w:spacing w:line="100" w:lineRule="exact"/>
              <w:ind w:right="113"/>
            </w:pPr>
          </w:p>
        </w:tc>
        <w:tc>
          <w:tcPr>
            <w:tcW w:w="1725" w:type="dxa"/>
            <w:tcBorders>
              <w:top w:val="single" w:sz="12" w:space="0" w:color="auto"/>
            </w:tcBorders>
            <w:shd w:val="clear" w:color="auto" w:fill="auto"/>
          </w:tcPr>
          <w:p w14:paraId="52F2CC6A" w14:textId="77777777" w:rsidR="004105DE" w:rsidRPr="001545EB" w:rsidRDefault="004105DE" w:rsidP="001D3863">
            <w:pPr>
              <w:suppressAutoHyphens w:val="0"/>
              <w:spacing w:line="100" w:lineRule="exact"/>
              <w:ind w:right="113"/>
            </w:pPr>
          </w:p>
        </w:tc>
        <w:tc>
          <w:tcPr>
            <w:tcW w:w="4261" w:type="dxa"/>
            <w:tcBorders>
              <w:top w:val="single" w:sz="12" w:space="0" w:color="auto"/>
            </w:tcBorders>
            <w:shd w:val="clear" w:color="auto" w:fill="auto"/>
          </w:tcPr>
          <w:p w14:paraId="4798DDE4" w14:textId="77777777" w:rsidR="004105DE" w:rsidRPr="001545EB" w:rsidRDefault="004105DE" w:rsidP="001D3863">
            <w:pPr>
              <w:suppressAutoHyphens w:val="0"/>
              <w:spacing w:line="100" w:lineRule="exact"/>
              <w:ind w:right="113"/>
            </w:pPr>
          </w:p>
        </w:tc>
      </w:tr>
      <w:tr w:rsidR="004105DE" w:rsidRPr="001545EB" w14:paraId="053EF1E5" w14:textId="77777777" w:rsidTr="001D3863">
        <w:tc>
          <w:tcPr>
            <w:tcW w:w="1622" w:type="dxa"/>
            <w:shd w:val="clear" w:color="auto" w:fill="auto"/>
          </w:tcPr>
          <w:p w14:paraId="6E0987DF" w14:textId="77777777" w:rsidR="004105DE" w:rsidRPr="001545EB" w:rsidRDefault="004105DE" w:rsidP="001D3863">
            <w:pPr>
              <w:suppressAutoHyphens w:val="0"/>
              <w:spacing w:before="40" w:after="120"/>
              <w:ind w:right="113"/>
            </w:pPr>
            <w:r w:rsidRPr="001545EB">
              <w:t>EIA/IC/SCI/</w:t>
            </w:r>
            <w:r>
              <w:t>5</w:t>
            </w:r>
            <w:r w:rsidRPr="001545EB">
              <w:t>/1</w:t>
            </w:r>
          </w:p>
        </w:tc>
        <w:tc>
          <w:tcPr>
            <w:tcW w:w="1725" w:type="dxa"/>
            <w:shd w:val="clear" w:color="auto" w:fill="auto"/>
          </w:tcPr>
          <w:p w14:paraId="7EAE759C" w14:textId="77777777" w:rsidR="004105DE" w:rsidRPr="001545EB" w:rsidRDefault="004105DE" w:rsidP="001D3863">
            <w:pPr>
              <w:suppressAutoHyphens w:val="0"/>
              <w:spacing w:before="40" w:after="120"/>
              <w:ind w:right="113"/>
            </w:pPr>
            <w:r w:rsidRPr="00BC5EE8">
              <w:rPr>
                <w:lang w:val="it-IT"/>
              </w:rPr>
              <w:t xml:space="preserve">a. Albania </w:t>
            </w:r>
            <w:r w:rsidRPr="00BC5EE8">
              <w:rPr>
                <w:lang w:val="it-IT"/>
              </w:rPr>
              <w:br/>
              <w:t xml:space="preserve">b. Austria </w:t>
            </w:r>
            <w:r w:rsidRPr="00BC5EE8">
              <w:rPr>
                <w:lang w:val="it-IT"/>
              </w:rPr>
              <w:br/>
              <w:t xml:space="preserve">c. Azerbaijan </w:t>
            </w:r>
            <w:r w:rsidRPr="00BC5EE8">
              <w:rPr>
                <w:lang w:val="it-IT"/>
              </w:rPr>
              <w:br/>
              <w:t xml:space="preserve">d. Belgium </w:t>
            </w:r>
            <w:r w:rsidRPr="00BC5EE8">
              <w:rPr>
                <w:lang w:val="it-IT"/>
              </w:rPr>
              <w:br/>
              <w:t xml:space="preserve">e. Croatia </w:t>
            </w:r>
            <w:r w:rsidRPr="00BC5EE8">
              <w:rPr>
                <w:lang w:val="it-IT"/>
              </w:rPr>
              <w:br/>
              <w:t xml:space="preserve">f. Cyprus </w:t>
            </w:r>
            <w:r w:rsidRPr="00BC5EE8">
              <w:rPr>
                <w:lang w:val="it-IT"/>
              </w:rPr>
              <w:br/>
              <w:t xml:space="preserve">g. Czechia </w:t>
            </w:r>
            <w:r w:rsidRPr="00BC5EE8">
              <w:rPr>
                <w:lang w:val="it-IT"/>
              </w:rPr>
              <w:br/>
              <w:t xml:space="preserve">h. Denmark </w:t>
            </w:r>
            <w:r w:rsidRPr="00BC5EE8">
              <w:rPr>
                <w:lang w:val="it-IT"/>
              </w:rPr>
              <w:br/>
              <w:t xml:space="preserve">i. </w:t>
            </w:r>
            <w:r>
              <w:t xml:space="preserve">Finland </w:t>
            </w:r>
            <w:r>
              <w:br/>
              <w:t xml:space="preserve">j. Greece </w:t>
            </w:r>
            <w:r>
              <w:br/>
              <w:t xml:space="preserve">k. Ireland </w:t>
            </w:r>
            <w:r>
              <w:br/>
              <w:t>l. Italy</w:t>
            </w:r>
            <w:r>
              <w:br/>
              <w:t xml:space="preserve">m. Latvia </w:t>
            </w:r>
            <w:r>
              <w:br/>
              <w:t>n. Liechtenstein</w:t>
            </w:r>
            <w:r>
              <w:br/>
              <w:t>o. Luxembourg</w:t>
            </w:r>
            <w:r>
              <w:br/>
              <w:t xml:space="preserve">p. Montenegro </w:t>
            </w:r>
            <w:r>
              <w:br/>
              <w:t>q. Norway</w:t>
            </w:r>
            <w:r>
              <w:br/>
              <w:t>r. Portugal</w:t>
            </w:r>
            <w:r>
              <w:br/>
              <w:t xml:space="preserve">s. Rep. of Moldova </w:t>
            </w:r>
            <w:r>
              <w:br/>
              <w:t>t. North Macedonia</w:t>
            </w:r>
            <w:r>
              <w:br/>
              <w:t xml:space="preserve">u. Slovakia </w:t>
            </w:r>
            <w:r>
              <w:br/>
              <w:t>v. Spain</w:t>
            </w:r>
            <w:r>
              <w:br/>
              <w:t>w. Sweden</w:t>
            </w:r>
            <w:r>
              <w:br/>
              <w:t>x. Ukraine</w:t>
            </w:r>
          </w:p>
        </w:tc>
        <w:tc>
          <w:tcPr>
            <w:tcW w:w="4261" w:type="dxa"/>
            <w:shd w:val="clear" w:color="auto" w:fill="auto"/>
          </w:tcPr>
          <w:p w14:paraId="05E2EEC4" w14:textId="77777777" w:rsidR="004105DE" w:rsidRDefault="004105DE" w:rsidP="001D3863">
            <w:pPr>
              <w:suppressAutoHyphens w:val="0"/>
              <w:spacing w:before="40" w:after="120"/>
              <w:ind w:right="113"/>
              <w:jc w:val="both"/>
            </w:pPr>
            <w:r>
              <w:t>The Committee sought clarification on how the Parties, as affected Parties, ensured public involvement in the environmental impact assessment procedure under articles 3 (8) and 4 (2) of the Convention</w:t>
            </w:r>
          </w:p>
          <w:p w14:paraId="6DEE89E0" w14:textId="77777777" w:rsidR="004105DE" w:rsidRDefault="004105DE" w:rsidP="001D3863">
            <w:pPr>
              <w:suppressAutoHyphens w:val="0"/>
              <w:spacing w:before="40" w:after="120"/>
              <w:ind w:right="113"/>
            </w:pPr>
          </w:p>
          <w:p w14:paraId="732C4AD0" w14:textId="77777777" w:rsidR="004105DE" w:rsidRPr="001545EB" w:rsidRDefault="004105DE" w:rsidP="001D3863">
            <w:pPr>
              <w:suppressAutoHyphens w:val="0"/>
              <w:spacing w:before="40" w:after="120"/>
              <w:ind w:right="113"/>
            </w:pPr>
          </w:p>
        </w:tc>
      </w:tr>
      <w:tr w:rsidR="004105DE" w:rsidRPr="001545EB" w14:paraId="781741A1" w14:textId="77777777" w:rsidTr="001D3863">
        <w:tc>
          <w:tcPr>
            <w:tcW w:w="1622" w:type="dxa"/>
            <w:shd w:val="clear" w:color="auto" w:fill="auto"/>
          </w:tcPr>
          <w:p w14:paraId="5AD29A0F" w14:textId="77777777" w:rsidR="004105DE" w:rsidRPr="001545EB" w:rsidRDefault="004105DE" w:rsidP="001D3863">
            <w:pPr>
              <w:suppressAutoHyphens w:val="0"/>
              <w:spacing w:before="40" w:after="120"/>
              <w:ind w:right="113"/>
            </w:pPr>
            <w:r>
              <w:t>EIA</w:t>
            </w:r>
            <w:r w:rsidRPr="001545EB">
              <w:t>/IC/SCI/</w:t>
            </w:r>
            <w:r>
              <w:t>5</w:t>
            </w:r>
            <w:r w:rsidRPr="001545EB">
              <w:t>/</w:t>
            </w:r>
            <w:r>
              <w:t>2</w:t>
            </w:r>
          </w:p>
        </w:tc>
        <w:tc>
          <w:tcPr>
            <w:tcW w:w="1725" w:type="dxa"/>
            <w:shd w:val="clear" w:color="auto" w:fill="auto"/>
          </w:tcPr>
          <w:p w14:paraId="5C6D104F" w14:textId="77777777" w:rsidR="004105DE" w:rsidRPr="004F781C" w:rsidRDefault="004105DE" w:rsidP="001D3863">
            <w:pPr>
              <w:suppressAutoHyphens w:val="0"/>
              <w:spacing w:before="40" w:after="120"/>
              <w:ind w:right="113"/>
            </w:pPr>
            <w:r w:rsidRPr="004F781C">
              <w:t xml:space="preserve">a. Italy </w:t>
            </w:r>
            <w:r w:rsidRPr="004F781C">
              <w:br/>
              <w:t>b. Luxembourg</w:t>
            </w:r>
            <w:r w:rsidRPr="004F781C">
              <w:br/>
              <w:t>c. Malta</w:t>
            </w:r>
            <w:r w:rsidRPr="004F781C">
              <w:br/>
              <w:t>d. Slovakia</w:t>
            </w:r>
          </w:p>
          <w:p w14:paraId="5F177EE3" w14:textId="77777777" w:rsidR="004105DE" w:rsidRPr="004F781C" w:rsidRDefault="004105DE" w:rsidP="001D3863">
            <w:pPr>
              <w:suppressAutoHyphens w:val="0"/>
              <w:spacing w:before="40" w:after="120"/>
              <w:ind w:right="113"/>
              <w:jc w:val="center"/>
            </w:pPr>
          </w:p>
        </w:tc>
        <w:tc>
          <w:tcPr>
            <w:tcW w:w="4261" w:type="dxa"/>
            <w:shd w:val="clear" w:color="auto" w:fill="auto"/>
          </w:tcPr>
          <w:p w14:paraId="236BC2A7" w14:textId="77777777" w:rsidR="004105DE" w:rsidRPr="001545EB" w:rsidRDefault="004105DE" w:rsidP="001D3863">
            <w:pPr>
              <w:suppressAutoHyphens w:val="0"/>
              <w:spacing w:before="40" w:after="120"/>
              <w:ind w:right="113"/>
              <w:jc w:val="both"/>
            </w:pPr>
            <w:r w:rsidRPr="00935A34">
              <w:t xml:space="preserve">The Committee </w:t>
            </w:r>
            <w:r>
              <w:t xml:space="preserve">sought clarifications on </w:t>
            </w:r>
            <w:r w:rsidRPr="00935A34">
              <w:t>how article 4</w:t>
            </w:r>
            <w:r>
              <w:t xml:space="preserve"> </w:t>
            </w:r>
            <w:r w:rsidRPr="00935A34">
              <w:t>(1)</w:t>
            </w:r>
            <w:r>
              <w:t xml:space="preserve">, including appendix II, of the Convention concerning </w:t>
            </w:r>
            <w:r w:rsidRPr="00935A34">
              <w:t xml:space="preserve">environmental impact assessment documentation </w:t>
            </w:r>
            <w:r>
              <w:t xml:space="preserve">was </w:t>
            </w:r>
            <w:r w:rsidRPr="00935A34">
              <w:t>implemented within the</w:t>
            </w:r>
            <w:r>
              <w:t xml:space="preserve"> Parties’</w:t>
            </w:r>
            <w:r w:rsidRPr="00935A34">
              <w:t xml:space="preserve"> national legal and administrative frameworks</w:t>
            </w:r>
          </w:p>
        </w:tc>
      </w:tr>
      <w:tr w:rsidR="004105DE" w:rsidRPr="001545EB" w14:paraId="16050642" w14:textId="77777777" w:rsidTr="001D3863">
        <w:tc>
          <w:tcPr>
            <w:tcW w:w="1622" w:type="dxa"/>
            <w:tcBorders>
              <w:bottom w:val="nil"/>
            </w:tcBorders>
            <w:shd w:val="clear" w:color="auto" w:fill="auto"/>
          </w:tcPr>
          <w:p w14:paraId="2F3DA9D6" w14:textId="77777777" w:rsidR="004105DE" w:rsidRPr="001545EB" w:rsidRDefault="004105DE" w:rsidP="001D3863">
            <w:pPr>
              <w:suppressAutoHyphens w:val="0"/>
              <w:spacing w:before="40" w:after="120"/>
              <w:ind w:right="113"/>
            </w:pPr>
            <w:r>
              <w:t>EIA</w:t>
            </w:r>
            <w:r w:rsidRPr="001545EB">
              <w:t>IC/SCI/</w:t>
            </w:r>
            <w:r>
              <w:t>5</w:t>
            </w:r>
            <w:r w:rsidRPr="001545EB">
              <w:t>/</w:t>
            </w:r>
            <w:r>
              <w:t>3</w:t>
            </w:r>
          </w:p>
        </w:tc>
        <w:tc>
          <w:tcPr>
            <w:tcW w:w="1725" w:type="dxa"/>
            <w:tcBorders>
              <w:bottom w:val="nil"/>
            </w:tcBorders>
            <w:shd w:val="clear" w:color="auto" w:fill="auto"/>
          </w:tcPr>
          <w:p w14:paraId="6BA94364" w14:textId="77777777" w:rsidR="004105DE" w:rsidRPr="001545EB" w:rsidRDefault="004105DE" w:rsidP="001D3863">
            <w:pPr>
              <w:suppressAutoHyphens w:val="0"/>
              <w:spacing w:before="40" w:after="120"/>
              <w:ind w:right="113"/>
            </w:pPr>
            <w:r>
              <w:t>France</w:t>
            </w:r>
          </w:p>
        </w:tc>
        <w:tc>
          <w:tcPr>
            <w:tcW w:w="4261" w:type="dxa"/>
            <w:tcBorders>
              <w:bottom w:val="nil"/>
            </w:tcBorders>
            <w:shd w:val="clear" w:color="auto" w:fill="auto"/>
          </w:tcPr>
          <w:p w14:paraId="578B4C90" w14:textId="77777777" w:rsidR="004105DE" w:rsidRPr="001545EB" w:rsidRDefault="004105DE" w:rsidP="001D3863">
            <w:pPr>
              <w:suppressAutoHyphens w:val="0"/>
              <w:spacing w:before="40" w:after="120"/>
              <w:ind w:right="113"/>
              <w:jc w:val="both"/>
            </w:pPr>
            <w:r>
              <w:t xml:space="preserve">Seemed to lack a referral in its national legislation to a list of </w:t>
            </w:r>
            <w:r w:rsidRPr="00A029B1">
              <w:t>elements to be covered by a final decision referred to in article 6</w:t>
            </w:r>
            <w:r>
              <w:t xml:space="preserve"> </w:t>
            </w:r>
            <w:r w:rsidRPr="00A029B1">
              <w:t xml:space="preserve">(1) of the Convention </w:t>
            </w:r>
          </w:p>
        </w:tc>
      </w:tr>
      <w:tr w:rsidR="004105DE" w:rsidRPr="001545EB" w14:paraId="493B8A5A" w14:textId="77777777" w:rsidTr="001D3863">
        <w:tc>
          <w:tcPr>
            <w:tcW w:w="1622" w:type="dxa"/>
            <w:tcBorders>
              <w:bottom w:val="nil"/>
            </w:tcBorders>
            <w:shd w:val="clear" w:color="auto" w:fill="auto"/>
          </w:tcPr>
          <w:p w14:paraId="1F2E23B3" w14:textId="77777777" w:rsidR="004105DE" w:rsidRDefault="004105DE" w:rsidP="001D3863">
            <w:pPr>
              <w:suppressAutoHyphens w:val="0"/>
              <w:spacing w:before="40" w:after="120"/>
              <w:ind w:right="113"/>
            </w:pPr>
            <w:r>
              <w:lastRenderedPageBreak/>
              <w:br w:type="page"/>
            </w:r>
            <w:r>
              <w:br w:type="page"/>
            </w:r>
          </w:p>
          <w:p w14:paraId="59CDD290" w14:textId="10B231D3" w:rsidR="004105DE" w:rsidRPr="00935A34" w:rsidRDefault="004105DE" w:rsidP="001D3863">
            <w:pPr>
              <w:suppressAutoHyphens w:val="0"/>
              <w:spacing w:before="40" w:after="120"/>
              <w:ind w:right="113"/>
              <w:rPr>
                <w:b/>
                <w:bCs/>
              </w:rPr>
            </w:pPr>
            <w:r w:rsidRPr="00935A34">
              <w:rPr>
                <w:b/>
                <w:bCs/>
              </w:rPr>
              <w:t>Protocol matters</w:t>
            </w:r>
          </w:p>
        </w:tc>
        <w:tc>
          <w:tcPr>
            <w:tcW w:w="1725" w:type="dxa"/>
            <w:tcBorders>
              <w:bottom w:val="nil"/>
            </w:tcBorders>
            <w:shd w:val="clear" w:color="auto" w:fill="auto"/>
          </w:tcPr>
          <w:p w14:paraId="4813CE2E" w14:textId="77777777" w:rsidR="004105DE" w:rsidRDefault="004105DE" w:rsidP="001D3863">
            <w:pPr>
              <w:suppressAutoHyphens w:val="0"/>
              <w:spacing w:before="40" w:after="120"/>
              <w:ind w:right="113"/>
            </w:pPr>
          </w:p>
        </w:tc>
        <w:tc>
          <w:tcPr>
            <w:tcW w:w="4261" w:type="dxa"/>
            <w:tcBorders>
              <w:bottom w:val="nil"/>
            </w:tcBorders>
            <w:shd w:val="clear" w:color="auto" w:fill="auto"/>
          </w:tcPr>
          <w:p w14:paraId="3AD99BD2" w14:textId="77777777" w:rsidR="004105DE" w:rsidRPr="001545EB" w:rsidRDefault="004105DE" w:rsidP="001D3863">
            <w:pPr>
              <w:suppressAutoHyphens w:val="0"/>
              <w:spacing w:before="40" w:after="120"/>
              <w:ind w:right="113"/>
            </w:pPr>
          </w:p>
        </w:tc>
      </w:tr>
      <w:tr w:rsidR="004105DE" w:rsidRPr="001545EB" w14:paraId="55776177" w14:textId="77777777" w:rsidTr="001D3863">
        <w:tc>
          <w:tcPr>
            <w:tcW w:w="1622" w:type="dxa"/>
            <w:tcBorders>
              <w:top w:val="nil"/>
              <w:bottom w:val="nil"/>
            </w:tcBorders>
            <w:shd w:val="clear" w:color="auto" w:fill="auto"/>
          </w:tcPr>
          <w:p w14:paraId="0C3767FB" w14:textId="77777777" w:rsidR="004105DE" w:rsidRPr="001545EB" w:rsidRDefault="004105DE" w:rsidP="001D3863">
            <w:pPr>
              <w:suppressAutoHyphens w:val="0"/>
              <w:spacing w:before="40" w:after="120"/>
              <w:ind w:right="113"/>
            </w:pPr>
            <w:r w:rsidRPr="001545EB">
              <w:t>SEA/IC/SCI/</w:t>
            </w:r>
            <w:r>
              <w:t>2</w:t>
            </w:r>
            <w:r w:rsidRPr="001545EB">
              <w:t>/</w:t>
            </w:r>
            <w:r>
              <w:t>1</w:t>
            </w:r>
          </w:p>
        </w:tc>
        <w:tc>
          <w:tcPr>
            <w:tcW w:w="1725" w:type="dxa"/>
            <w:tcBorders>
              <w:top w:val="nil"/>
              <w:bottom w:val="nil"/>
            </w:tcBorders>
            <w:shd w:val="clear" w:color="auto" w:fill="auto"/>
          </w:tcPr>
          <w:p w14:paraId="449CAE06" w14:textId="77777777" w:rsidR="004105DE" w:rsidRPr="001545EB" w:rsidRDefault="004105DE" w:rsidP="001D3863">
            <w:pPr>
              <w:suppressAutoHyphens w:val="0"/>
              <w:spacing w:before="40" w:after="120"/>
              <w:ind w:right="113"/>
            </w:pPr>
            <w:r>
              <w:t>a. Italy</w:t>
            </w:r>
            <w:r>
              <w:br/>
              <w:t>b. Serbia</w:t>
            </w:r>
          </w:p>
        </w:tc>
        <w:tc>
          <w:tcPr>
            <w:tcW w:w="4261" w:type="dxa"/>
            <w:tcBorders>
              <w:top w:val="nil"/>
              <w:bottom w:val="nil"/>
            </w:tcBorders>
            <w:shd w:val="clear" w:color="auto" w:fill="auto"/>
          </w:tcPr>
          <w:p w14:paraId="49CCEB9A" w14:textId="77777777" w:rsidR="004105DE" w:rsidRPr="001545EB" w:rsidRDefault="004105DE" w:rsidP="001D3863">
            <w:pPr>
              <w:suppressAutoHyphens w:val="0"/>
              <w:spacing w:before="40" w:after="120"/>
              <w:ind w:right="113"/>
              <w:jc w:val="both"/>
            </w:pPr>
            <w:r>
              <w:t xml:space="preserve">Seemed to lack an </w:t>
            </w:r>
            <w:r w:rsidRPr="00BE19D3">
              <w:t>environmental report quality</w:t>
            </w:r>
            <w:r>
              <w:t xml:space="preserve"> control system </w:t>
            </w:r>
            <w:r w:rsidRPr="00BE19D3">
              <w:t xml:space="preserve">to </w:t>
            </w:r>
            <w:r>
              <w:t xml:space="preserve">ensure full </w:t>
            </w:r>
            <w:r w:rsidRPr="00BE19D3">
              <w:t>implement</w:t>
            </w:r>
            <w:r>
              <w:t>ation of</w:t>
            </w:r>
            <w:r w:rsidRPr="00BE19D3">
              <w:t xml:space="preserve"> article 7</w:t>
            </w:r>
            <w:r>
              <w:t xml:space="preserve"> </w:t>
            </w:r>
            <w:r w:rsidRPr="00BE19D3">
              <w:t xml:space="preserve">(3) of the </w:t>
            </w:r>
            <w:r>
              <w:t>Protocol</w:t>
            </w:r>
          </w:p>
        </w:tc>
      </w:tr>
      <w:tr w:rsidR="004105DE" w:rsidRPr="001545EB" w14:paraId="61A70FA3" w14:textId="77777777" w:rsidTr="001D3863">
        <w:tc>
          <w:tcPr>
            <w:tcW w:w="1622" w:type="dxa"/>
            <w:tcBorders>
              <w:top w:val="nil"/>
            </w:tcBorders>
            <w:shd w:val="clear" w:color="auto" w:fill="auto"/>
          </w:tcPr>
          <w:p w14:paraId="5FE2E8FF" w14:textId="77777777" w:rsidR="004105DE" w:rsidRPr="001545EB" w:rsidRDefault="004105DE" w:rsidP="001D3863">
            <w:pPr>
              <w:suppressAutoHyphens w:val="0"/>
              <w:spacing w:before="40" w:after="120"/>
              <w:ind w:right="113"/>
            </w:pPr>
            <w:r w:rsidRPr="001545EB">
              <w:t>SEA/IC/SCI/1/4</w:t>
            </w:r>
          </w:p>
        </w:tc>
        <w:tc>
          <w:tcPr>
            <w:tcW w:w="1725" w:type="dxa"/>
            <w:tcBorders>
              <w:top w:val="nil"/>
            </w:tcBorders>
            <w:shd w:val="clear" w:color="auto" w:fill="auto"/>
          </w:tcPr>
          <w:p w14:paraId="1F116584" w14:textId="77777777" w:rsidR="004105DE" w:rsidRPr="001545EB" w:rsidRDefault="004105DE" w:rsidP="001D3863">
            <w:pPr>
              <w:suppressAutoHyphens w:val="0"/>
              <w:spacing w:before="40" w:after="120"/>
              <w:ind w:right="113"/>
            </w:pPr>
            <w:r w:rsidRPr="001545EB">
              <w:t>European Union</w:t>
            </w:r>
          </w:p>
        </w:tc>
        <w:tc>
          <w:tcPr>
            <w:tcW w:w="4261" w:type="dxa"/>
            <w:tcBorders>
              <w:top w:val="nil"/>
            </w:tcBorders>
            <w:shd w:val="clear" w:color="auto" w:fill="auto"/>
          </w:tcPr>
          <w:p w14:paraId="79703B7C" w14:textId="77777777" w:rsidR="004105DE" w:rsidRPr="001545EB" w:rsidRDefault="004105DE" w:rsidP="001D3863">
            <w:pPr>
              <w:suppressAutoHyphens w:val="0"/>
              <w:spacing w:before="40" w:after="120"/>
              <w:ind w:right="113"/>
              <w:jc w:val="both"/>
            </w:pPr>
            <w:r w:rsidRPr="001545EB">
              <w:t>Did not complete and return the questionnaire on its implementation of the Protocol in the period 2010</w:t>
            </w:r>
            <w:r>
              <w:softHyphen/>
              <w:t>–</w:t>
            </w:r>
            <w:r w:rsidRPr="001545EB">
              <w:t>2012, according to the obligation set in article 14</w:t>
            </w:r>
            <w:r>
              <w:t xml:space="preserve"> (7) </w:t>
            </w:r>
            <w:r w:rsidRPr="001545EB">
              <w:t>of the Protocol</w:t>
            </w:r>
          </w:p>
        </w:tc>
      </w:tr>
    </w:tbl>
    <w:p w14:paraId="35ABE260" w14:textId="761094C8" w:rsidR="004105DE" w:rsidRPr="00C176EB" w:rsidRDefault="004105DE" w:rsidP="004105DE">
      <w:pPr>
        <w:pStyle w:val="H23G"/>
      </w:pPr>
      <w:r>
        <w:tab/>
        <w:t>1</w:t>
      </w:r>
      <w:r w:rsidRPr="00C176EB">
        <w:t>.</w:t>
      </w:r>
      <w:r>
        <w:tab/>
      </w:r>
      <w:r w:rsidRPr="00C176EB">
        <w:t>Conventions matters</w:t>
      </w:r>
    </w:p>
    <w:p w14:paraId="1E185990" w14:textId="1F28F3D4" w:rsidR="004105DE" w:rsidRPr="004419AE" w:rsidRDefault="0077496D" w:rsidP="0077496D">
      <w:pPr>
        <w:pStyle w:val="H4G"/>
      </w:pPr>
      <w:r>
        <w:tab/>
      </w:r>
      <w:r>
        <w:tab/>
      </w:r>
      <w:r w:rsidR="004105DE" w:rsidRPr="004419AE">
        <w:t>(a)</w:t>
      </w:r>
      <w:r w:rsidR="004105DE" w:rsidRPr="004419AE">
        <w:tab/>
        <w:t>Ensuring, as an affected Party, public involvement in the environmental impact assessment procedure under articles 3 (8) and 4 (2) of the Convention</w:t>
      </w:r>
    </w:p>
    <w:p w14:paraId="12F27568" w14:textId="187EDE94" w:rsidR="004105DE" w:rsidRPr="004419AE" w:rsidRDefault="0077496D" w:rsidP="0077496D">
      <w:pPr>
        <w:pStyle w:val="H4G"/>
      </w:pPr>
      <w:r>
        <w:tab/>
      </w:r>
      <w:r>
        <w:tab/>
      </w:r>
      <w:r w:rsidR="004105DE" w:rsidRPr="004419AE">
        <w:t>EIA/IC/SCI/5/1(a–x)</w:t>
      </w:r>
    </w:p>
    <w:p w14:paraId="5356B31F" w14:textId="77777777" w:rsidR="004105DE" w:rsidRDefault="004105DE" w:rsidP="004105DE">
      <w:pPr>
        <w:pStyle w:val="SingleTxtG"/>
        <w:ind w:left="1170"/>
      </w:pPr>
      <w:r>
        <w:t>54</w:t>
      </w:r>
      <w:r w:rsidRPr="00A75C08">
        <w:t>.</w:t>
      </w:r>
      <w:r w:rsidRPr="00A75C08">
        <w:tab/>
        <w:t xml:space="preserve">The Committee </w:t>
      </w:r>
      <w:r w:rsidRPr="000F7EFA">
        <w:t xml:space="preserve">sought clarification </w:t>
      </w:r>
      <w:r>
        <w:t xml:space="preserve">on </w:t>
      </w:r>
      <w:r w:rsidRPr="000F7EFA">
        <w:t>how the Parties</w:t>
      </w:r>
      <w:r>
        <w:t xml:space="preserve"> without </w:t>
      </w:r>
      <w:r w:rsidRPr="00A75C08">
        <w:t>relevant provisions in their national environmental impact assessment legislation requiring the organization of public hearings</w:t>
      </w:r>
      <w:r w:rsidRPr="000F7EFA">
        <w:t>, ensured</w:t>
      </w:r>
      <w:r>
        <w:t>,</w:t>
      </w:r>
      <w:r w:rsidRPr="000F7EFA">
        <w:t xml:space="preserve"> as affected Parties, public involvement in the environmental impact assessment procedure under articles 3 (8) and 4 (2) of the Convention</w:t>
      </w:r>
      <w:r>
        <w:t>.</w:t>
      </w:r>
      <w:r w:rsidRPr="00A75C08">
        <w:t xml:space="preserve"> </w:t>
      </w:r>
      <w:r>
        <w:t>It expressed</w:t>
      </w:r>
      <w:r w:rsidRPr="00EB59E3">
        <w:t xml:space="preserve"> satisf</w:t>
      </w:r>
      <w:r>
        <w:t>action</w:t>
      </w:r>
      <w:r w:rsidRPr="00EB59E3">
        <w:t xml:space="preserve"> with the clarifications provided by Albania, Austria, Azerbaijan, Belgium, Croatia, Cyprus, Czechia, Denmark, Finland, Greece, Ireland, Italy, Latvia, Liechtenstein, Luxembourg</w:t>
      </w:r>
      <w:r>
        <w:t>,</w:t>
      </w:r>
      <w:r w:rsidRPr="00EB59E3">
        <w:t xml:space="preserve"> Montenegro, Norway, Portugal, </w:t>
      </w:r>
      <w:r>
        <w:t>t</w:t>
      </w:r>
      <w:r w:rsidRPr="00EB59E3">
        <w:t>he Republic of Moldova, Slovakia, Spain, Sweden</w:t>
      </w:r>
      <w:r>
        <w:t xml:space="preserve"> and</w:t>
      </w:r>
      <w:r w:rsidRPr="00EB59E3">
        <w:t xml:space="preserve"> Ukraine</w:t>
      </w:r>
      <w:r>
        <w:t xml:space="preserve"> on</w:t>
      </w:r>
      <w:r w:rsidRPr="00A75C08">
        <w:t xml:space="preserve"> </w:t>
      </w:r>
      <w:r>
        <w:t>the matter</w:t>
      </w:r>
      <w:r w:rsidRPr="00A75C08">
        <w:t>.</w:t>
      </w:r>
      <w:r>
        <w:t xml:space="preserve"> It </w:t>
      </w:r>
      <w:r w:rsidRPr="00EB59E3">
        <w:t>regretted</w:t>
      </w:r>
      <w:r>
        <w:t xml:space="preserve">, however, </w:t>
      </w:r>
      <w:r w:rsidRPr="00EB59E3">
        <w:t>that North Macedonia</w:t>
      </w:r>
      <w:r>
        <w:t xml:space="preserve"> had failed to respond to the Committee’s reiterated requests since April 2019 </w:t>
      </w:r>
      <w:r w:rsidRPr="00EB59E3">
        <w:t xml:space="preserve">and that it needed to postpone </w:t>
      </w:r>
      <w:r>
        <w:t>c</w:t>
      </w:r>
      <w:r w:rsidRPr="00EB59E3">
        <w:t xml:space="preserve">onsideration of the </w:t>
      </w:r>
      <w:r>
        <w:t>matter</w:t>
      </w:r>
      <w:r w:rsidRPr="00EB59E3">
        <w:t xml:space="preserve"> on that Party </w:t>
      </w:r>
      <w:r>
        <w:t>to the next intersessional period.</w:t>
      </w:r>
    </w:p>
    <w:p w14:paraId="40228EF1" w14:textId="35E8660C" w:rsidR="004105DE" w:rsidRPr="0077496D" w:rsidRDefault="00A70654" w:rsidP="0077496D">
      <w:pPr>
        <w:pStyle w:val="H4G"/>
      </w:pPr>
      <w:r>
        <w:tab/>
      </w:r>
      <w:r>
        <w:tab/>
      </w:r>
      <w:r w:rsidR="004105DE" w:rsidRPr="0077496D">
        <w:t>(b)</w:t>
      </w:r>
      <w:r w:rsidR="001D3863" w:rsidRPr="0077496D">
        <w:tab/>
      </w:r>
      <w:r w:rsidR="004105DE" w:rsidRPr="0077496D">
        <w:t xml:space="preserve">Ensuring environmental impact assessment documentation was of </w:t>
      </w:r>
      <w:proofErr w:type="gramStart"/>
      <w:r w:rsidR="004105DE" w:rsidRPr="0077496D">
        <w:t>sufficient</w:t>
      </w:r>
      <w:proofErr w:type="gramEnd"/>
      <w:r w:rsidR="004105DE" w:rsidRPr="0077496D">
        <w:t xml:space="preserve"> quality to fully implement article 4 (1) of the Convention</w:t>
      </w:r>
    </w:p>
    <w:p w14:paraId="08D295DC" w14:textId="1E074C3C" w:rsidR="004105DE" w:rsidRPr="0077496D" w:rsidRDefault="00A70654" w:rsidP="0077496D">
      <w:pPr>
        <w:pStyle w:val="H4G"/>
      </w:pPr>
      <w:r>
        <w:tab/>
      </w:r>
      <w:r>
        <w:tab/>
      </w:r>
      <w:r w:rsidR="004105DE" w:rsidRPr="0077496D">
        <w:t>EIA/IC/SCI/5/2 (a–d)</w:t>
      </w:r>
    </w:p>
    <w:p w14:paraId="54392209" w14:textId="77777777" w:rsidR="004105DE" w:rsidRDefault="004105DE" w:rsidP="004105DE">
      <w:pPr>
        <w:pStyle w:val="SingleTxtG"/>
        <w:ind w:left="1170"/>
      </w:pPr>
      <w:r>
        <w:t>55.</w:t>
      </w:r>
      <w:r>
        <w:tab/>
      </w:r>
      <w:r w:rsidRPr="005E2D8C">
        <w:t xml:space="preserve">The Committee noted that Italy, Luxembourg and Malta, when acting as Parties of origin, did not have specific mechanisms to ensure that environmental impact assessment documentation was of </w:t>
      </w:r>
      <w:proofErr w:type="gramStart"/>
      <w:r w:rsidRPr="005E2D8C">
        <w:t>sufficient</w:t>
      </w:r>
      <w:proofErr w:type="gramEnd"/>
      <w:r w:rsidRPr="005E2D8C">
        <w:t xml:space="preserve"> quality, while Slovakia had not provided a response in that regard. </w:t>
      </w:r>
      <w:r w:rsidRPr="007617F5">
        <w:t xml:space="preserve">The Committee </w:t>
      </w:r>
      <w:r>
        <w:t>declared its satisfaction with clarifications provided by the Parties concerned</w:t>
      </w:r>
      <w:r w:rsidRPr="007617F5">
        <w:t xml:space="preserve"> on how article 4</w:t>
      </w:r>
      <w:r>
        <w:t xml:space="preserve"> </w:t>
      </w:r>
      <w:r w:rsidRPr="007617F5">
        <w:t>(1)</w:t>
      </w:r>
      <w:r>
        <w:t xml:space="preserve">, including appendix II, </w:t>
      </w:r>
      <w:r w:rsidRPr="007617F5">
        <w:t>of the Convention concerning preparation of environmental impact assessment documentation was implemented within their national legal and administrative frameworks</w:t>
      </w:r>
      <w:r>
        <w:t xml:space="preserve"> and </w:t>
      </w:r>
      <w:r w:rsidRPr="001545EB">
        <w:t>decided not to pursue the specific compliance issue</w:t>
      </w:r>
      <w:r w:rsidRPr="007617F5">
        <w:t xml:space="preserve"> </w:t>
      </w:r>
      <w:r>
        <w:t>further.</w:t>
      </w:r>
    </w:p>
    <w:p w14:paraId="2EDB8578" w14:textId="574E6E7E" w:rsidR="004105DE" w:rsidRPr="0077496D" w:rsidRDefault="00A70654" w:rsidP="0077496D">
      <w:pPr>
        <w:pStyle w:val="H4G"/>
      </w:pPr>
      <w:r>
        <w:tab/>
      </w:r>
      <w:r>
        <w:tab/>
      </w:r>
      <w:r w:rsidR="004105DE" w:rsidRPr="0077496D">
        <w:t>(c)</w:t>
      </w:r>
      <w:r w:rsidR="004105DE" w:rsidRPr="0077496D">
        <w:tab/>
        <w:t xml:space="preserve">Elements to be covered by the final decision further to article 6 (1) of the Convention </w:t>
      </w:r>
    </w:p>
    <w:p w14:paraId="369C0A09" w14:textId="3559761E" w:rsidR="004105DE" w:rsidRPr="0077496D" w:rsidRDefault="00A70654" w:rsidP="0077496D">
      <w:pPr>
        <w:pStyle w:val="H4G"/>
      </w:pPr>
      <w:r>
        <w:tab/>
      </w:r>
      <w:r>
        <w:tab/>
      </w:r>
      <w:r w:rsidR="004105DE" w:rsidRPr="0077496D">
        <w:t>EIA/IC/SCI/5/3</w:t>
      </w:r>
    </w:p>
    <w:p w14:paraId="1460E878" w14:textId="77777777" w:rsidR="004105DE" w:rsidRDefault="004105DE" w:rsidP="004105DE">
      <w:pPr>
        <w:pStyle w:val="SingleTxtG"/>
        <w:ind w:left="1170"/>
      </w:pPr>
      <w:r>
        <w:t>56.</w:t>
      </w:r>
      <w:r>
        <w:tab/>
      </w:r>
      <w:r w:rsidRPr="00AD7E2B">
        <w:t xml:space="preserve">The Committee also noted that France did not have an exhaustive list of elements to be covered in the decisions authorizing projects subject to an environmental impact assessment and thus could not indicate elements to be covered by a final decision </w:t>
      </w:r>
      <w:r>
        <w:t xml:space="preserve">as </w:t>
      </w:r>
      <w:r w:rsidRPr="00AD7E2B">
        <w:t>referred to in article 6</w:t>
      </w:r>
      <w:r>
        <w:t xml:space="preserve"> </w:t>
      </w:r>
      <w:r w:rsidRPr="00AD7E2B">
        <w:t xml:space="preserve">(1) of the Convention. </w:t>
      </w:r>
      <w:r>
        <w:t xml:space="preserve">The </w:t>
      </w:r>
      <w:r w:rsidRPr="007617F5">
        <w:t xml:space="preserve">Committee </w:t>
      </w:r>
      <w:r>
        <w:t>was satisfied with</w:t>
      </w:r>
      <w:r w:rsidRPr="007617F5">
        <w:t xml:space="preserve"> a reply from France clarif</w:t>
      </w:r>
      <w:r>
        <w:t xml:space="preserve">ying </w:t>
      </w:r>
      <w:r w:rsidRPr="007617F5">
        <w:t>how article 6</w:t>
      </w:r>
      <w:r>
        <w:t xml:space="preserve"> </w:t>
      </w:r>
      <w:r w:rsidRPr="007617F5">
        <w:t>(1) of the Convention had been implemented in national legislation.</w:t>
      </w:r>
    </w:p>
    <w:p w14:paraId="5EDD9855" w14:textId="04C5E436" w:rsidR="001D3863" w:rsidRPr="00A70654" w:rsidRDefault="00A70654" w:rsidP="00A70654">
      <w:pPr>
        <w:pStyle w:val="H23G"/>
      </w:pPr>
      <w:r>
        <w:lastRenderedPageBreak/>
        <w:tab/>
      </w:r>
      <w:r w:rsidR="001D3863" w:rsidRPr="00A70654">
        <w:t>2.</w:t>
      </w:r>
      <w:r w:rsidR="001D3863" w:rsidRPr="00A70654">
        <w:tab/>
        <w:t>Protocol matters</w:t>
      </w:r>
    </w:p>
    <w:p w14:paraId="7629D442" w14:textId="7CAACAEE" w:rsidR="001D3863" w:rsidRPr="0077496D" w:rsidRDefault="00A70654" w:rsidP="0077496D">
      <w:pPr>
        <w:pStyle w:val="H4G"/>
      </w:pPr>
      <w:r>
        <w:tab/>
      </w:r>
      <w:r>
        <w:tab/>
      </w:r>
      <w:r w:rsidR="001D3863" w:rsidRPr="0077496D">
        <w:t>(a)</w:t>
      </w:r>
      <w:r w:rsidR="001D3863" w:rsidRPr="0077496D">
        <w:tab/>
        <w:t>Ensuring quality of the environmental report to ensure full implementation of article 7 (3) of the Protocol</w:t>
      </w:r>
    </w:p>
    <w:p w14:paraId="3DC0F0F2" w14:textId="63FD0AEB" w:rsidR="001D3863" w:rsidRPr="0077496D" w:rsidRDefault="00A70654" w:rsidP="0077496D">
      <w:pPr>
        <w:pStyle w:val="H4G"/>
      </w:pPr>
      <w:r>
        <w:tab/>
      </w:r>
      <w:r>
        <w:tab/>
      </w:r>
      <w:r w:rsidR="001D3863" w:rsidRPr="0077496D">
        <w:t>SEA/IC/SCI/2/1 (a and b)</w:t>
      </w:r>
    </w:p>
    <w:p w14:paraId="2DE84F41" w14:textId="77777777" w:rsidR="001D3863" w:rsidRDefault="001D3863" w:rsidP="001D3863">
      <w:pPr>
        <w:pStyle w:val="SingleTxtG"/>
        <w:ind w:left="1170"/>
      </w:pPr>
      <w:r>
        <w:t>57.</w:t>
      </w:r>
      <w:r>
        <w:tab/>
        <w:t xml:space="preserve">Further to responses to the questionnaires on implementation of the Protocol in the reporting period 2016–2018 by Italy and Serbia, the Committee </w:t>
      </w:r>
      <w:r w:rsidRPr="00D566F6">
        <w:t>s</w:t>
      </w:r>
      <w:r>
        <w:t>ought</w:t>
      </w:r>
      <w:r w:rsidRPr="00D566F6">
        <w:t xml:space="preserve"> clarification on implementation </w:t>
      </w:r>
      <w:r>
        <w:t xml:space="preserve">by those Parties </w:t>
      </w:r>
      <w:r w:rsidRPr="00D566F6">
        <w:t>of article 7</w:t>
      </w:r>
      <w:r>
        <w:t xml:space="preserve"> </w:t>
      </w:r>
      <w:r w:rsidRPr="00D566F6">
        <w:t xml:space="preserve">(3) of the Protocol, particularly on how they ensured that reports were of sufficient quality and whether the procedure followed in practice met the </w:t>
      </w:r>
      <w:r>
        <w:t xml:space="preserve">Protocol’s </w:t>
      </w:r>
      <w:r w:rsidRPr="00D566F6">
        <w:t>requirements.</w:t>
      </w:r>
      <w:r>
        <w:t xml:space="preserve"> </w:t>
      </w:r>
      <w:r w:rsidRPr="00D566F6">
        <w:t xml:space="preserve">The </w:t>
      </w:r>
      <w:r>
        <w:t>C</w:t>
      </w:r>
      <w:r w:rsidRPr="00D566F6">
        <w:t xml:space="preserve">ommittee </w:t>
      </w:r>
      <w:r>
        <w:t xml:space="preserve">was satisfied with </w:t>
      </w:r>
      <w:r w:rsidRPr="00D566F6">
        <w:t>the clarification by Italy</w:t>
      </w:r>
      <w:r>
        <w:t>. Concerning Serbia, t</w:t>
      </w:r>
      <w:r w:rsidRPr="00D566F6">
        <w:t xml:space="preserve">he Committee </w:t>
      </w:r>
      <w:r>
        <w:t xml:space="preserve">noted that </w:t>
      </w:r>
      <w:r w:rsidRPr="00D566F6">
        <w:t xml:space="preserve">specific requirements for the content of the environmental report as set out by the Serbian </w:t>
      </w:r>
      <w:r>
        <w:t>L</w:t>
      </w:r>
      <w:r w:rsidRPr="00D566F6">
        <w:t xml:space="preserve">aw on </w:t>
      </w:r>
      <w:r>
        <w:t>S</w:t>
      </w:r>
      <w:r w:rsidRPr="00D566F6">
        <w:t xml:space="preserve">trategic </w:t>
      </w:r>
      <w:r>
        <w:t>E</w:t>
      </w:r>
      <w:r w:rsidRPr="00D566F6">
        <w:t xml:space="preserve">nvironmental </w:t>
      </w:r>
      <w:r>
        <w:t>A</w:t>
      </w:r>
      <w:r w:rsidRPr="00D566F6">
        <w:t>ssessment, particularly article 12 thereof</w:t>
      </w:r>
      <w:r>
        <w:t xml:space="preserve">, </w:t>
      </w:r>
      <w:r w:rsidRPr="00D566F6">
        <w:t xml:space="preserve">seemed to be more general than those required by annex IV to the Protocol. </w:t>
      </w:r>
      <w:r>
        <w:t>Serbia</w:t>
      </w:r>
      <w:r w:rsidRPr="00D566F6">
        <w:t xml:space="preserve"> </w:t>
      </w:r>
      <w:r>
        <w:t xml:space="preserve">had been expected to, but did not, provide clarifications </w:t>
      </w:r>
      <w:r w:rsidRPr="00D566F6">
        <w:t>on implementation of article 7</w:t>
      </w:r>
      <w:r>
        <w:t xml:space="preserve"> </w:t>
      </w:r>
      <w:r w:rsidRPr="00D566F6">
        <w:t>(2)</w:t>
      </w:r>
      <w:r>
        <w:t xml:space="preserve"> of</w:t>
      </w:r>
      <w:r w:rsidRPr="00D566F6">
        <w:t xml:space="preserve"> and annex IV (in particular, paras. 1–5 and 11) to the Protocol regarding information to be included in the environmental report</w:t>
      </w:r>
      <w:r>
        <w:t xml:space="preserve">, along with </w:t>
      </w:r>
      <w:r w:rsidRPr="00D566F6">
        <w:t>a copy of its law and possible secondary legislation related to strategic environmental assessment</w:t>
      </w:r>
      <w:r>
        <w:t xml:space="preserve">. The </w:t>
      </w:r>
      <w:r w:rsidRPr="00D566F6">
        <w:t xml:space="preserve">Committee </w:t>
      </w:r>
      <w:r>
        <w:t>regretted that it needed to postpone its consideration of the matter to the next intersessional period d</w:t>
      </w:r>
      <w:r w:rsidRPr="00D566F6">
        <w:t xml:space="preserve">ue to </w:t>
      </w:r>
      <w:r>
        <w:t xml:space="preserve">the </w:t>
      </w:r>
      <w:r w:rsidRPr="00D566F6">
        <w:t xml:space="preserve">lack of response by </w:t>
      </w:r>
      <w:r>
        <w:t xml:space="preserve">Serbia. </w:t>
      </w:r>
    </w:p>
    <w:p w14:paraId="44353433" w14:textId="77777777" w:rsidR="001D3863" w:rsidRPr="0077496D" w:rsidRDefault="001D3863" w:rsidP="0077496D">
      <w:pPr>
        <w:pStyle w:val="H4G"/>
      </w:pPr>
      <w:r w:rsidRPr="001545EB">
        <w:tab/>
      </w:r>
      <w:r>
        <w:tab/>
      </w:r>
      <w:r w:rsidRPr="0077496D">
        <w:t>(b)</w:t>
      </w:r>
      <w:r w:rsidRPr="0077496D">
        <w:tab/>
        <w:t xml:space="preserve">European Union </w:t>
      </w:r>
    </w:p>
    <w:p w14:paraId="48205C39" w14:textId="77777777" w:rsidR="001D3863" w:rsidRPr="001545EB" w:rsidRDefault="001D3863" w:rsidP="001D3863">
      <w:pPr>
        <w:pStyle w:val="H4G"/>
      </w:pPr>
      <w:r w:rsidRPr="001545EB">
        <w:tab/>
      </w:r>
      <w:r w:rsidRPr="001545EB">
        <w:tab/>
      </w:r>
      <w:bookmarkStart w:id="17" w:name="_Hlk45636597"/>
      <w:r w:rsidRPr="0077496D">
        <w:t>SEA/IC/SCI/1/4</w:t>
      </w:r>
      <w:bookmarkEnd w:id="17"/>
    </w:p>
    <w:p w14:paraId="1C7ECC6D" w14:textId="77777777" w:rsidR="001D3863" w:rsidRDefault="001D3863" w:rsidP="001D3863">
      <w:pPr>
        <w:pStyle w:val="SingleTxtG"/>
        <w:ind w:left="1170"/>
      </w:pPr>
      <w:r>
        <w:t>58</w:t>
      </w:r>
      <w:r w:rsidRPr="001545EB">
        <w:t>.</w:t>
      </w:r>
      <w:r w:rsidRPr="001545EB">
        <w:tab/>
      </w:r>
      <w:r>
        <w:t xml:space="preserve">In the intersessional period, the Committee continued to consider the information it had gathered concerning </w:t>
      </w:r>
      <w:bookmarkStart w:id="18" w:name="_Hlk46656898"/>
      <w:r>
        <w:t>the specific issue of compliance by the European Union with the Protocol identified in the first review of implementation of the Protocol (</w:t>
      </w:r>
      <w:bookmarkStart w:id="19" w:name="_Hlk51487344"/>
      <w:r>
        <w:t>ECE/MP.EIA/SEA/2014/3</w:t>
      </w:r>
      <w:bookmarkEnd w:id="19"/>
      <w:r>
        <w:t>, para. 5), focusing on the following three main aspects of the matter:</w:t>
      </w:r>
    </w:p>
    <w:p w14:paraId="477543A5" w14:textId="77777777" w:rsidR="001D3863" w:rsidRDefault="001D3863" w:rsidP="001D3863">
      <w:pPr>
        <w:pStyle w:val="SingleTxtG"/>
        <w:ind w:left="1170" w:firstLine="531"/>
      </w:pPr>
      <w:r>
        <w:t>(a)</w:t>
      </w:r>
      <w:r>
        <w:tab/>
        <w:t>The Protocol’s applicability to plans/programmes adopted at European Union level;</w:t>
      </w:r>
    </w:p>
    <w:p w14:paraId="78B0E6CE" w14:textId="77777777" w:rsidR="001D3863" w:rsidRDefault="001D3863" w:rsidP="001D3863">
      <w:pPr>
        <w:pStyle w:val="SingleTxtG"/>
        <w:ind w:left="1170" w:firstLine="531"/>
      </w:pPr>
      <w:r>
        <w:t>(b)</w:t>
      </w:r>
      <w:r>
        <w:tab/>
        <w:t>Limited applicability of the current reporting format on the implementation of the Protocol by individual Parties for reporting by the regional economic integration organizations referred to in article 21 of the Protocol, such as the European Union;</w:t>
      </w:r>
    </w:p>
    <w:p w14:paraId="3593732F" w14:textId="7D98D54D" w:rsidR="001D3863" w:rsidRDefault="001D3863" w:rsidP="001D3863">
      <w:pPr>
        <w:pStyle w:val="SingleTxtG"/>
        <w:ind w:left="1170" w:firstLine="531"/>
      </w:pPr>
      <w:r>
        <w:t>(c)</w:t>
      </w:r>
      <w:r>
        <w:tab/>
        <w:t>Possible discrepancies between the Protocol and the European Union Strategic Environmental Assessment Directive.</w:t>
      </w:r>
      <w:r>
        <w:rPr>
          <w:rStyle w:val="FootnoteReference"/>
        </w:rPr>
        <w:footnoteReference w:id="11"/>
      </w:r>
      <w:r>
        <w:t xml:space="preserve"> </w:t>
      </w:r>
    </w:p>
    <w:bookmarkEnd w:id="18"/>
    <w:p w14:paraId="74B69FC6" w14:textId="77777777" w:rsidR="001D3863" w:rsidRDefault="001D3863" w:rsidP="001D3863">
      <w:pPr>
        <w:pStyle w:val="SingleTxtG"/>
        <w:ind w:left="1170"/>
      </w:pPr>
      <w:r>
        <w:t>59.</w:t>
      </w:r>
      <w:r>
        <w:tab/>
        <w:t xml:space="preserve">The Committee considered that the </w:t>
      </w:r>
      <w:r w:rsidRPr="002C58DE">
        <w:t>transport</w:t>
      </w:r>
      <w:r>
        <w:t>-</w:t>
      </w:r>
      <w:r w:rsidRPr="002C58DE">
        <w:t>, energy</w:t>
      </w:r>
      <w:r>
        <w:t>-</w:t>
      </w:r>
      <w:r w:rsidRPr="002C58DE">
        <w:t xml:space="preserve"> and fisheries</w:t>
      </w:r>
      <w:r>
        <w:t xml:space="preserve">-related </w:t>
      </w:r>
      <w:r w:rsidRPr="002C58DE">
        <w:t xml:space="preserve">plans/programmes </w:t>
      </w:r>
      <w:bookmarkStart w:id="20" w:name="_Hlk46657246"/>
      <w:r w:rsidRPr="002C58DE">
        <w:t>adopted at the European Union level</w:t>
      </w:r>
      <w:r>
        <w:t xml:space="preserve"> it had examined so far </w:t>
      </w:r>
      <w:bookmarkEnd w:id="20"/>
      <w:r>
        <w:t>could not be regarded as plans and programmes under article 4 (2) of the Protocol</w:t>
      </w:r>
      <w:bookmarkStart w:id="21" w:name="_Hlk46656975"/>
      <w:r>
        <w:t xml:space="preserve">. In the Committee’s view, those documents </w:t>
      </w:r>
      <w:r w:rsidRPr="00AF2232">
        <w:t>constituted</w:t>
      </w:r>
      <w:r w:rsidRPr="001117DC">
        <w:t xml:space="preserve"> guidance documents of a political nature </w:t>
      </w:r>
      <w:r w:rsidRPr="00BC5EE8">
        <w:t xml:space="preserve">that </w:t>
      </w:r>
      <w:r w:rsidRPr="00AF2232">
        <w:t>should be regarded as policies falling under article 13 of the Protocol</w:t>
      </w:r>
      <w:r>
        <w:t>. The Committee agreed that there was no need for it to pursue further its information-gathering activities regarding the Protocol’s applicability to plans/programmes adopted at European Union level.</w:t>
      </w:r>
      <w:bookmarkEnd w:id="21"/>
      <w:r w:rsidRPr="00A932C2">
        <w:t xml:space="preserve"> </w:t>
      </w:r>
      <w:r>
        <w:t>It requested its Chair to draw the attention of the European Union to article 13 of the Protocol, including to paragraph 13 (4) on reporting.</w:t>
      </w:r>
    </w:p>
    <w:p w14:paraId="1D1C56A2" w14:textId="77777777" w:rsidR="001D3863" w:rsidRDefault="001D3863" w:rsidP="001D3863">
      <w:pPr>
        <w:pStyle w:val="SingleTxtG"/>
        <w:ind w:left="1170"/>
      </w:pPr>
      <w:r>
        <w:t>60.</w:t>
      </w:r>
      <w:r>
        <w:tab/>
        <w:t>T</w:t>
      </w:r>
      <w:r w:rsidRPr="00EB5F3D">
        <w:t xml:space="preserve">he Committee agreed to </w:t>
      </w:r>
      <w:r>
        <w:t>finalize its work on preparing the reporting format for r</w:t>
      </w:r>
      <w:r w:rsidRPr="003121B0">
        <w:t>egional economic integration organizations</w:t>
      </w:r>
      <w:r>
        <w:t xml:space="preserve"> for the next reporting round on the period 2019–2021 and </w:t>
      </w:r>
      <w:r w:rsidRPr="00EB5F3D">
        <w:t xml:space="preserve">to continue monitoring how discrepancies between the Directive and the Protocol </w:t>
      </w:r>
      <w:r>
        <w:t>were</w:t>
      </w:r>
      <w:r w:rsidRPr="00EB5F3D">
        <w:t xml:space="preserve"> addressed, </w:t>
      </w:r>
      <w:r w:rsidRPr="008C2A33">
        <w:t>particularly regarding the identified uncertainty surrounding its scope</w:t>
      </w:r>
      <w:r>
        <w:t xml:space="preserve"> </w:t>
      </w:r>
      <w:r w:rsidRPr="00A35E7C">
        <w:t>that was being  reviewed by the E</w:t>
      </w:r>
      <w:r>
        <w:t>uropean Union.</w:t>
      </w:r>
    </w:p>
    <w:p w14:paraId="63344750" w14:textId="77777777" w:rsidR="001D3863" w:rsidRPr="001545EB" w:rsidRDefault="001D3863" w:rsidP="001D3863">
      <w:pPr>
        <w:pStyle w:val="HChG"/>
      </w:pPr>
      <w:r>
        <w:lastRenderedPageBreak/>
        <w:tab/>
      </w:r>
      <w:r w:rsidRPr="001545EB">
        <w:t>IV.</w:t>
      </w:r>
      <w:r w:rsidRPr="001545EB">
        <w:tab/>
        <w:t>Submissions by Parties</w:t>
      </w:r>
    </w:p>
    <w:p w14:paraId="67A0A652" w14:textId="71785499" w:rsidR="001D3863" w:rsidRDefault="001D3863" w:rsidP="001D3863">
      <w:pPr>
        <w:pStyle w:val="SingleTxtG"/>
        <w:ind w:left="1170"/>
      </w:pPr>
      <w:r>
        <w:t>61</w:t>
      </w:r>
      <w:r w:rsidRPr="00015EEF">
        <w:t>.</w:t>
      </w:r>
      <w:r w:rsidR="00A70654">
        <w:tab/>
      </w:r>
      <w:r w:rsidRPr="00015EEF">
        <w:t xml:space="preserve">There were </w:t>
      </w:r>
      <w:r>
        <w:t>two</w:t>
      </w:r>
      <w:r w:rsidRPr="00015EEF">
        <w:t xml:space="preserve"> submissions by</w:t>
      </w:r>
      <w:r>
        <w:t xml:space="preserve"> </w:t>
      </w:r>
      <w:r w:rsidRPr="00015EEF">
        <w:t>Part</w:t>
      </w:r>
      <w:r>
        <w:t>ies</w:t>
      </w:r>
      <w:r w:rsidRPr="00015EEF">
        <w:t xml:space="preserve"> having concerns about another Part</w:t>
      </w:r>
      <w:r>
        <w:t>y</w:t>
      </w:r>
      <w:r w:rsidRPr="00015EEF">
        <w:t>’</w:t>
      </w:r>
      <w:r>
        <w:t>s</w:t>
      </w:r>
      <w:r w:rsidRPr="00015EEF">
        <w:t xml:space="preserve"> compliance, as summarized in table </w:t>
      </w:r>
      <w:r>
        <w:t>3</w:t>
      </w:r>
      <w:r w:rsidRPr="00015EEF">
        <w:t xml:space="preserve"> and paragraphs 63</w:t>
      </w:r>
      <w:r>
        <w:t>–</w:t>
      </w:r>
      <w:r w:rsidRPr="00015EEF">
        <w:t xml:space="preserve">65 below. </w:t>
      </w:r>
    </w:p>
    <w:p w14:paraId="191984F6" w14:textId="77777777" w:rsidR="001D3863" w:rsidRPr="001545EB" w:rsidRDefault="001D3863" w:rsidP="001D3863">
      <w:pPr>
        <w:pStyle w:val="H23G"/>
      </w:pPr>
      <w:r>
        <w:rPr>
          <w:b w:val="0"/>
        </w:rPr>
        <w:tab/>
      </w:r>
      <w:r>
        <w:rPr>
          <w:b w:val="0"/>
        </w:rPr>
        <w:tab/>
      </w:r>
      <w:bookmarkStart w:id="22" w:name="_Hlk50549515"/>
      <w:r w:rsidRPr="001545EB">
        <w:rPr>
          <w:b w:val="0"/>
        </w:rPr>
        <w:t xml:space="preserve">Table </w:t>
      </w:r>
      <w:r>
        <w:rPr>
          <w:b w:val="0"/>
        </w:rPr>
        <w:t>3</w:t>
      </w:r>
      <w:r w:rsidRPr="001545EB">
        <w:br/>
      </w:r>
      <w:bookmarkStart w:id="23" w:name="_Hlk45028974"/>
      <w:r>
        <w:t xml:space="preserve">Submissions </w:t>
      </w:r>
      <w:bookmarkEnd w:id="23"/>
    </w:p>
    <w:tbl>
      <w:tblPr>
        <w:tblW w:w="741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96"/>
        <w:gridCol w:w="1253"/>
        <w:gridCol w:w="1267"/>
        <w:gridCol w:w="3600"/>
      </w:tblGrid>
      <w:tr w:rsidR="001D3863" w:rsidRPr="001545EB" w14:paraId="604C4936" w14:textId="77777777" w:rsidTr="001D3863">
        <w:trPr>
          <w:tblHeader/>
        </w:trPr>
        <w:tc>
          <w:tcPr>
            <w:tcW w:w="1296" w:type="dxa"/>
            <w:tcBorders>
              <w:top w:val="single" w:sz="4" w:space="0" w:color="auto"/>
              <w:bottom w:val="single" w:sz="12" w:space="0" w:color="auto"/>
            </w:tcBorders>
            <w:shd w:val="clear" w:color="auto" w:fill="auto"/>
            <w:vAlign w:val="bottom"/>
          </w:tcPr>
          <w:p w14:paraId="030E9DCC" w14:textId="77777777" w:rsidR="001D3863" w:rsidRPr="001545EB" w:rsidRDefault="001D3863" w:rsidP="001D3863">
            <w:pPr>
              <w:suppressAutoHyphens w:val="0"/>
              <w:spacing w:before="80" w:after="80" w:line="200" w:lineRule="exact"/>
              <w:ind w:right="113"/>
              <w:rPr>
                <w:i/>
                <w:sz w:val="16"/>
              </w:rPr>
            </w:pPr>
            <w:r w:rsidRPr="001545EB">
              <w:rPr>
                <w:i/>
                <w:sz w:val="16"/>
              </w:rPr>
              <w:t>Committee reference</w:t>
            </w:r>
          </w:p>
        </w:tc>
        <w:tc>
          <w:tcPr>
            <w:tcW w:w="1253" w:type="dxa"/>
            <w:tcBorders>
              <w:top w:val="single" w:sz="4" w:space="0" w:color="auto"/>
              <w:bottom w:val="single" w:sz="12" w:space="0" w:color="auto"/>
            </w:tcBorders>
            <w:shd w:val="clear" w:color="auto" w:fill="auto"/>
            <w:vAlign w:val="bottom"/>
          </w:tcPr>
          <w:p w14:paraId="62C85913" w14:textId="77777777" w:rsidR="001D3863" w:rsidRPr="001545EB" w:rsidRDefault="001D3863" w:rsidP="001D3863">
            <w:pPr>
              <w:suppressAutoHyphens w:val="0"/>
              <w:spacing w:before="80" w:after="80" w:line="200" w:lineRule="exact"/>
              <w:ind w:right="113"/>
              <w:rPr>
                <w:i/>
                <w:sz w:val="16"/>
              </w:rPr>
            </w:pPr>
            <w:r w:rsidRPr="001545EB">
              <w:rPr>
                <w:i/>
                <w:sz w:val="16"/>
              </w:rPr>
              <w:t>Party concerned</w:t>
            </w:r>
          </w:p>
        </w:tc>
        <w:tc>
          <w:tcPr>
            <w:tcW w:w="1267" w:type="dxa"/>
            <w:tcBorders>
              <w:top w:val="single" w:sz="4" w:space="0" w:color="auto"/>
              <w:bottom w:val="single" w:sz="12" w:space="0" w:color="auto"/>
            </w:tcBorders>
          </w:tcPr>
          <w:p w14:paraId="3B0E1010" w14:textId="77777777" w:rsidR="001D3863" w:rsidRPr="001545EB" w:rsidRDefault="001D3863" w:rsidP="001D3863">
            <w:pPr>
              <w:suppressAutoHyphens w:val="0"/>
              <w:spacing w:before="80" w:after="80" w:line="200" w:lineRule="exact"/>
              <w:ind w:right="113"/>
              <w:rPr>
                <w:i/>
                <w:sz w:val="16"/>
              </w:rPr>
            </w:pPr>
            <w:r w:rsidRPr="00442FEF">
              <w:rPr>
                <w:i/>
                <w:sz w:val="16"/>
              </w:rPr>
              <w:t>Submitted by</w:t>
            </w:r>
          </w:p>
        </w:tc>
        <w:tc>
          <w:tcPr>
            <w:tcW w:w="3600" w:type="dxa"/>
            <w:tcBorders>
              <w:top w:val="single" w:sz="4" w:space="0" w:color="auto"/>
              <w:bottom w:val="single" w:sz="12" w:space="0" w:color="auto"/>
            </w:tcBorders>
            <w:shd w:val="clear" w:color="auto" w:fill="auto"/>
            <w:vAlign w:val="bottom"/>
          </w:tcPr>
          <w:p w14:paraId="258AFE58" w14:textId="77777777" w:rsidR="001D3863" w:rsidRPr="001545EB" w:rsidRDefault="001D3863" w:rsidP="001D3863">
            <w:pPr>
              <w:suppressAutoHyphens w:val="0"/>
              <w:spacing w:before="80" w:after="80" w:line="200" w:lineRule="exact"/>
              <w:ind w:right="113"/>
              <w:rPr>
                <w:i/>
                <w:sz w:val="16"/>
              </w:rPr>
            </w:pPr>
            <w:r w:rsidRPr="001545EB">
              <w:rPr>
                <w:i/>
                <w:sz w:val="16"/>
              </w:rPr>
              <w:t>Issue</w:t>
            </w:r>
          </w:p>
        </w:tc>
      </w:tr>
      <w:tr w:rsidR="001D3863" w:rsidRPr="001545EB" w14:paraId="7928DBDF" w14:textId="77777777" w:rsidTr="001D3863">
        <w:trPr>
          <w:trHeight w:val="101"/>
          <w:tblHeader/>
        </w:trPr>
        <w:tc>
          <w:tcPr>
            <w:tcW w:w="1296" w:type="dxa"/>
            <w:tcBorders>
              <w:top w:val="single" w:sz="12" w:space="0" w:color="auto"/>
              <w:bottom w:val="nil"/>
            </w:tcBorders>
            <w:shd w:val="clear" w:color="auto" w:fill="auto"/>
          </w:tcPr>
          <w:p w14:paraId="69A19540" w14:textId="77777777" w:rsidR="001D3863" w:rsidRPr="001545EB" w:rsidRDefault="001D3863" w:rsidP="001D3863">
            <w:pPr>
              <w:suppressAutoHyphens w:val="0"/>
              <w:spacing w:line="100" w:lineRule="exact"/>
              <w:ind w:right="113"/>
            </w:pPr>
          </w:p>
        </w:tc>
        <w:tc>
          <w:tcPr>
            <w:tcW w:w="1253" w:type="dxa"/>
            <w:tcBorders>
              <w:top w:val="single" w:sz="12" w:space="0" w:color="auto"/>
              <w:bottom w:val="nil"/>
            </w:tcBorders>
            <w:shd w:val="clear" w:color="auto" w:fill="auto"/>
          </w:tcPr>
          <w:p w14:paraId="76E7A305" w14:textId="77777777" w:rsidR="001D3863" w:rsidRPr="001545EB" w:rsidRDefault="001D3863" w:rsidP="001D3863">
            <w:pPr>
              <w:suppressAutoHyphens w:val="0"/>
              <w:spacing w:line="100" w:lineRule="exact"/>
              <w:ind w:right="113"/>
            </w:pPr>
          </w:p>
        </w:tc>
        <w:tc>
          <w:tcPr>
            <w:tcW w:w="1267" w:type="dxa"/>
            <w:tcBorders>
              <w:top w:val="single" w:sz="12" w:space="0" w:color="auto"/>
              <w:bottom w:val="nil"/>
            </w:tcBorders>
          </w:tcPr>
          <w:p w14:paraId="2F65F0CD" w14:textId="77777777" w:rsidR="001D3863" w:rsidRPr="001545EB" w:rsidRDefault="001D3863" w:rsidP="001D3863">
            <w:pPr>
              <w:suppressAutoHyphens w:val="0"/>
              <w:spacing w:line="100" w:lineRule="exact"/>
              <w:ind w:right="113"/>
            </w:pPr>
          </w:p>
        </w:tc>
        <w:tc>
          <w:tcPr>
            <w:tcW w:w="3600" w:type="dxa"/>
            <w:tcBorders>
              <w:top w:val="single" w:sz="12" w:space="0" w:color="auto"/>
              <w:bottom w:val="nil"/>
            </w:tcBorders>
            <w:shd w:val="clear" w:color="auto" w:fill="auto"/>
          </w:tcPr>
          <w:p w14:paraId="74D3B738" w14:textId="77777777" w:rsidR="001D3863" w:rsidRPr="001545EB" w:rsidRDefault="001D3863" w:rsidP="001D3863">
            <w:pPr>
              <w:suppressAutoHyphens w:val="0"/>
              <w:spacing w:line="100" w:lineRule="exact"/>
              <w:ind w:right="113"/>
            </w:pPr>
          </w:p>
        </w:tc>
      </w:tr>
      <w:tr w:rsidR="001D3863" w:rsidRPr="001545EB" w14:paraId="30759988" w14:textId="77777777" w:rsidTr="001D3863">
        <w:tc>
          <w:tcPr>
            <w:tcW w:w="1296" w:type="dxa"/>
            <w:tcBorders>
              <w:top w:val="nil"/>
              <w:bottom w:val="nil"/>
            </w:tcBorders>
            <w:shd w:val="clear" w:color="auto" w:fill="auto"/>
          </w:tcPr>
          <w:p w14:paraId="2F87F605" w14:textId="77777777" w:rsidR="001D3863" w:rsidRPr="001545EB" w:rsidRDefault="001D3863" w:rsidP="001D3863">
            <w:pPr>
              <w:suppressAutoHyphens w:val="0"/>
              <w:spacing w:before="40" w:after="120"/>
              <w:ind w:right="113"/>
            </w:pPr>
            <w:r w:rsidRPr="0010345E">
              <w:t>EIA/IC/S/6</w:t>
            </w:r>
          </w:p>
        </w:tc>
        <w:tc>
          <w:tcPr>
            <w:tcW w:w="1253" w:type="dxa"/>
            <w:tcBorders>
              <w:top w:val="nil"/>
              <w:bottom w:val="nil"/>
            </w:tcBorders>
            <w:shd w:val="clear" w:color="auto" w:fill="auto"/>
          </w:tcPr>
          <w:p w14:paraId="0DF5E8F9" w14:textId="77777777" w:rsidR="001D3863" w:rsidRPr="001545EB" w:rsidRDefault="001D3863" w:rsidP="001D3863">
            <w:pPr>
              <w:suppressAutoHyphens w:val="0"/>
              <w:spacing w:before="40" w:after="120"/>
              <w:ind w:right="113"/>
            </w:pPr>
            <w:r>
              <w:t xml:space="preserve">Serbia </w:t>
            </w:r>
          </w:p>
        </w:tc>
        <w:tc>
          <w:tcPr>
            <w:tcW w:w="1267" w:type="dxa"/>
            <w:tcBorders>
              <w:top w:val="nil"/>
              <w:bottom w:val="nil"/>
            </w:tcBorders>
          </w:tcPr>
          <w:p w14:paraId="2DF7530D" w14:textId="77777777" w:rsidR="001D3863" w:rsidRPr="001545EB" w:rsidRDefault="001D3863" w:rsidP="001D3863">
            <w:pPr>
              <w:suppressAutoHyphens w:val="0"/>
              <w:spacing w:before="40" w:after="120"/>
              <w:ind w:right="113"/>
            </w:pPr>
            <w:r>
              <w:t>Bulgaria</w:t>
            </w:r>
          </w:p>
        </w:tc>
        <w:tc>
          <w:tcPr>
            <w:tcW w:w="3600" w:type="dxa"/>
            <w:tcBorders>
              <w:top w:val="nil"/>
              <w:bottom w:val="nil"/>
            </w:tcBorders>
            <w:shd w:val="clear" w:color="auto" w:fill="auto"/>
          </w:tcPr>
          <w:p w14:paraId="0439F537" w14:textId="77777777" w:rsidR="001D3863" w:rsidRDefault="001D3863" w:rsidP="001D3863">
            <w:pPr>
              <w:suppressAutoHyphens w:val="0"/>
              <w:spacing w:before="40" w:after="120"/>
              <w:ind w:right="113"/>
              <w:jc w:val="both"/>
            </w:pPr>
            <w:r>
              <w:t>Several m</w:t>
            </w:r>
            <w:r w:rsidRPr="0010345E">
              <w:t>ining activitie</w:t>
            </w:r>
            <w:r>
              <w:t>s:</w:t>
            </w:r>
          </w:p>
          <w:p w14:paraId="3E80EA24" w14:textId="77777777" w:rsidR="001D3863" w:rsidRDefault="001D3863" w:rsidP="001D3863">
            <w:pPr>
              <w:suppressAutoHyphens w:val="0"/>
              <w:spacing w:before="40" w:after="120"/>
              <w:ind w:right="113"/>
              <w:jc w:val="both"/>
            </w:pPr>
            <w:r>
              <w:t xml:space="preserve">(a) Construction of experimental facility to test flotation technology for processing copper, lead and zinc ore in </w:t>
            </w:r>
            <w:proofErr w:type="spellStart"/>
            <w:r>
              <w:t>Karamanica</w:t>
            </w:r>
            <w:proofErr w:type="spellEnd"/>
            <w:r>
              <w:t>;</w:t>
            </w:r>
          </w:p>
          <w:p w14:paraId="72A33287" w14:textId="77777777" w:rsidR="001D3863" w:rsidRDefault="001D3863" w:rsidP="001D3863">
            <w:pPr>
              <w:suppressAutoHyphens w:val="0"/>
              <w:spacing w:before="40" w:after="120"/>
              <w:ind w:right="113"/>
              <w:jc w:val="both"/>
            </w:pPr>
            <w:r>
              <w:t xml:space="preserve">(b) Ore exploitation and mining at </w:t>
            </w:r>
            <w:proofErr w:type="spellStart"/>
            <w:r>
              <w:t>Podvirovi</w:t>
            </w:r>
            <w:proofErr w:type="spellEnd"/>
            <w:r>
              <w:t xml:space="preserve"> and </w:t>
            </w:r>
            <w:proofErr w:type="spellStart"/>
            <w:r>
              <w:t>Popovica</w:t>
            </w:r>
            <w:proofErr w:type="spellEnd"/>
            <w:r>
              <w:t xml:space="preserve"> mines;</w:t>
            </w:r>
          </w:p>
          <w:p w14:paraId="79D661DF" w14:textId="77777777" w:rsidR="001D3863" w:rsidRPr="00371310" w:rsidRDefault="001D3863" w:rsidP="001D3863">
            <w:pPr>
              <w:suppressAutoHyphens w:val="0"/>
              <w:spacing w:before="40" w:after="120"/>
              <w:ind w:right="113"/>
              <w:jc w:val="both"/>
            </w:pPr>
            <w:r>
              <w:t>(c) Extending production of zinc, lead and other metals at Grot mine.</w:t>
            </w:r>
          </w:p>
        </w:tc>
      </w:tr>
      <w:tr w:rsidR="001D3863" w:rsidRPr="001545EB" w14:paraId="0688B1A2" w14:textId="77777777" w:rsidTr="001D3863">
        <w:tc>
          <w:tcPr>
            <w:tcW w:w="1296" w:type="dxa"/>
            <w:tcBorders>
              <w:top w:val="nil"/>
            </w:tcBorders>
            <w:shd w:val="clear" w:color="auto" w:fill="auto"/>
          </w:tcPr>
          <w:p w14:paraId="2A8FB114" w14:textId="77777777" w:rsidR="001D3863" w:rsidRPr="001545EB" w:rsidRDefault="001D3863" w:rsidP="001D3863">
            <w:pPr>
              <w:suppressAutoHyphens w:val="0"/>
              <w:spacing w:before="40" w:after="120"/>
              <w:ind w:right="113"/>
            </w:pPr>
            <w:r w:rsidRPr="0010345E">
              <w:t>EIA</w:t>
            </w:r>
            <w:r>
              <w:t>/</w:t>
            </w:r>
            <w:r w:rsidRPr="0010345E">
              <w:t>IC</w:t>
            </w:r>
            <w:r>
              <w:t>/</w:t>
            </w:r>
            <w:r w:rsidRPr="0010345E">
              <w:t>S</w:t>
            </w:r>
            <w:r>
              <w:t>/</w:t>
            </w:r>
            <w:r w:rsidRPr="0010345E">
              <w:t>7</w:t>
            </w:r>
          </w:p>
        </w:tc>
        <w:tc>
          <w:tcPr>
            <w:tcW w:w="1253" w:type="dxa"/>
            <w:tcBorders>
              <w:top w:val="nil"/>
            </w:tcBorders>
            <w:shd w:val="clear" w:color="auto" w:fill="auto"/>
          </w:tcPr>
          <w:p w14:paraId="6589085B" w14:textId="77777777" w:rsidR="001D3863" w:rsidRPr="001545EB" w:rsidRDefault="001D3863" w:rsidP="001D3863">
            <w:pPr>
              <w:suppressAutoHyphens w:val="0"/>
              <w:spacing w:before="40" w:after="120"/>
              <w:ind w:right="113"/>
            </w:pPr>
            <w:r>
              <w:t xml:space="preserve">Albania </w:t>
            </w:r>
          </w:p>
        </w:tc>
        <w:tc>
          <w:tcPr>
            <w:tcW w:w="1267" w:type="dxa"/>
            <w:tcBorders>
              <w:top w:val="nil"/>
            </w:tcBorders>
          </w:tcPr>
          <w:p w14:paraId="55127ED2" w14:textId="77777777" w:rsidR="001D3863" w:rsidRPr="001545EB" w:rsidRDefault="001D3863" w:rsidP="001D3863">
            <w:pPr>
              <w:suppressAutoHyphens w:val="0"/>
              <w:spacing w:before="40" w:after="120"/>
              <w:ind w:right="113"/>
            </w:pPr>
            <w:r>
              <w:t>Montenegro</w:t>
            </w:r>
          </w:p>
        </w:tc>
        <w:tc>
          <w:tcPr>
            <w:tcW w:w="3600" w:type="dxa"/>
            <w:tcBorders>
              <w:top w:val="nil"/>
            </w:tcBorders>
            <w:shd w:val="clear" w:color="auto" w:fill="auto"/>
          </w:tcPr>
          <w:p w14:paraId="4198307B" w14:textId="77777777" w:rsidR="001D3863" w:rsidRPr="001545EB" w:rsidRDefault="001D3863" w:rsidP="001D3863">
            <w:pPr>
              <w:suppressAutoHyphens w:val="0"/>
              <w:spacing w:before="40" w:after="120"/>
              <w:ind w:right="113"/>
              <w:jc w:val="both"/>
            </w:pPr>
            <w:r>
              <w:t>C</w:t>
            </w:r>
            <w:r w:rsidRPr="0010345E">
              <w:t xml:space="preserve">onstruction of </w:t>
            </w:r>
            <w:r>
              <w:t>several</w:t>
            </w:r>
            <w:r w:rsidRPr="0010345E">
              <w:t xml:space="preserve"> small hydropower plants on </w:t>
            </w:r>
            <w:proofErr w:type="spellStart"/>
            <w:r w:rsidRPr="0010345E">
              <w:t>Cijevna</w:t>
            </w:r>
            <w:proofErr w:type="spellEnd"/>
            <w:r w:rsidRPr="0010345E">
              <w:t xml:space="preserve"> River</w:t>
            </w:r>
          </w:p>
        </w:tc>
      </w:tr>
    </w:tbl>
    <w:bookmarkEnd w:id="22"/>
    <w:p w14:paraId="45134A40" w14:textId="77777777" w:rsidR="001D3863" w:rsidRDefault="001D3863" w:rsidP="001D3863">
      <w:pPr>
        <w:pStyle w:val="H23G"/>
        <w:ind w:left="0" w:firstLine="0"/>
      </w:pPr>
      <w:r>
        <w:tab/>
      </w:r>
      <w:r>
        <w:tab/>
        <w:t>Serbia</w:t>
      </w:r>
    </w:p>
    <w:p w14:paraId="10144E26" w14:textId="62016A83" w:rsidR="001D3863" w:rsidRPr="0077496D" w:rsidRDefault="00A70654" w:rsidP="0077496D">
      <w:pPr>
        <w:pStyle w:val="H4G"/>
      </w:pPr>
      <w:r>
        <w:tab/>
      </w:r>
      <w:r>
        <w:tab/>
      </w:r>
      <w:r w:rsidR="001D3863" w:rsidRPr="0077496D">
        <w:t>EIA/IC/S/6</w:t>
      </w:r>
    </w:p>
    <w:p w14:paraId="7606B38F" w14:textId="5E7B8042" w:rsidR="001D3863" w:rsidRDefault="001D3863" w:rsidP="001D3863">
      <w:pPr>
        <w:pStyle w:val="SingleTxtG"/>
        <w:ind w:left="1170"/>
      </w:pPr>
      <w:r>
        <w:t>62.</w:t>
      </w:r>
      <w:r w:rsidR="00A70654">
        <w:tab/>
      </w:r>
      <w:r>
        <w:t>Bulgaria made a submission to the Committee expressing concerns about compliance by Serbia with its obligations under the Convention regarding s</w:t>
      </w:r>
      <w:r w:rsidRPr="002A6957">
        <w:t>everal mining activities</w:t>
      </w:r>
      <w:r>
        <w:t xml:space="preserve"> listed in table 3, close to Bulgaria. The secretariat received the submission on 31 May 2019 and </w:t>
      </w:r>
      <w:r w:rsidRPr="002A6957">
        <w:t xml:space="preserve">corroborating information </w:t>
      </w:r>
      <w:r>
        <w:t>–</w:t>
      </w:r>
      <w:r w:rsidRPr="002A6957">
        <w:t xml:space="preserve"> on 13 June and 28 June 2019</w:t>
      </w:r>
      <w:r>
        <w:t xml:space="preserve">. It forwarded the submission and corroborating information to the focal point of Serbia on </w:t>
      </w:r>
      <w:r w:rsidRPr="002A6957">
        <w:t>19 June and 8 July 2019 respectively</w:t>
      </w:r>
      <w:r>
        <w:t>. The response by the Government of Serbia to the submission was received on</w:t>
      </w:r>
      <w:r w:rsidRPr="002A6957">
        <w:t xml:space="preserve"> 8 November 2019</w:t>
      </w:r>
      <w:r>
        <w:t xml:space="preserve"> and additional clarifications on 23 November 2019. </w:t>
      </w:r>
    </w:p>
    <w:p w14:paraId="7A237825" w14:textId="42F44D67" w:rsidR="001D3863" w:rsidRDefault="001D3863" w:rsidP="001D3863">
      <w:pPr>
        <w:pStyle w:val="SingleTxtG"/>
        <w:ind w:left="1170"/>
      </w:pPr>
      <w:r>
        <w:t>63.</w:t>
      </w:r>
      <w:r>
        <w:tab/>
        <w:t xml:space="preserve">For </w:t>
      </w:r>
      <w:r w:rsidRPr="00E630F9">
        <w:t xml:space="preserve">its further deliberations on the submission, </w:t>
      </w:r>
      <w:r>
        <w:t>the Committee</w:t>
      </w:r>
      <w:r w:rsidRPr="00E630F9">
        <w:t xml:space="preserve"> </w:t>
      </w:r>
      <w:r>
        <w:t>sought</w:t>
      </w:r>
      <w:r w:rsidRPr="00E630F9">
        <w:t xml:space="preserve"> additional information from Serbia </w:t>
      </w:r>
      <w:r>
        <w:t xml:space="preserve">based on a list of questions on </w:t>
      </w:r>
      <w:r w:rsidRPr="00E630F9">
        <w:t>each activit</w:t>
      </w:r>
      <w:r>
        <w:t xml:space="preserve">y </w:t>
      </w:r>
      <w:r w:rsidRPr="00E630F9">
        <w:t>under consideration and the related environmental impact assessments and decision-making procedures</w:t>
      </w:r>
      <w:r w:rsidRPr="00FA49DC">
        <w:t xml:space="preserve"> </w:t>
      </w:r>
      <w:r>
        <w:t>agreed by the Committee at its forty-seventh and forty-eighth sessions</w:t>
      </w:r>
      <w:r w:rsidRPr="00E630F9">
        <w:t>.</w:t>
      </w:r>
      <w:r>
        <w:t xml:space="preserve"> The Committee agreed to consider</w:t>
      </w:r>
      <w:r w:rsidRPr="00E630F9">
        <w:t xml:space="preserve"> scheduling the discussions with the Parties concerned, to be organized further to paragraph 9 of the Committee’s structure and functions, </w:t>
      </w:r>
      <w:r>
        <w:t>for</w:t>
      </w:r>
      <w:r w:rsidRPr="00E630F9">
        <w:t xml:space="preserve"> its </w:t>
      </w:r>
      <w:r>
        <w:t>subsequent</w:t>
      </w:r>
      <w:r w:rsidRPr="00E630F9">
        <w:t xml:space="preserve"> session</w:t>
      </w:r>
      <w:r>
        <w:t>s</w:t>
      </w:r>
      <w:r w:rsidRPr="00E630F9">
        <w:t>.</w:t>
      </w:r>
    </w:p>
    <w:p w14:paraId="3DC525BE" w14:textId="1E4E59D7" w:rsidR="001D3863" w:rsidRPr="00A70654" w:rsidRDefault="00A70654" w:rsidP="00A70654">
      <w:pPr>
        <w:pStyle w:val="H23G"/>
        <w:ind w:left="0" w:firstLine="0"/>
      </w:pPr>
      <w:r>
        <w:tab/>
      </w:r>
      <w:r>
        <w:tab/>
      </w:r>
      <w:r w:rsidR="001D3863" w:rsidRPr="00A70654">
        <w:t>Albania</w:t>
      </w:r>
    </w:p>
    <w:p w14:paraId="4F45BF11" w14:textId="06616C3C" w:rsidR="001D3863" w:rsidRPr="0077496D" w:rsidRDefault="00A70654" w:rsidP="0077496D">
      <w:pPr>
        <w:pStyle w:val="H4G"/>
      </w:pPr>
      <w:r>
        <w:tab/>
      </w:r>
      <w:r>
        <w:tab/>
      </w:r>
      <w:r w:rsidR="001D3863" w:rsidRPr="0077496D">
        <w:t>EIA/IC/S/7</w:t>
      </w:r>
    </w:p>
    <w:p w14:paraId="41BFCF3C" w14:textId="77777777" w:rsidR="001D3863" w:rsidRDefault="001D3863" w:rsidP="001D3863">
      <w:pPr>
        <w:pStyle w:val="SingleTxtG"/>
        <w:ind w:left="1170"/>
      </w:pPr>
      <w:bookmarkStart w:id="24" w:name="_Hlk50470245"/>
      <w:r>
        <w:t>64.</w:t>
      </w:r>
      <w:r>
        <w:tab/>
        <w:t>Montenegro</w:t>
      </w:r>
      <w:r w:rsidRPr="0006474D">
        <w:t xml:space="preserve"> made a submission to the Committee expressing concerns about compliance</w:t>
      </w:r>
      <w:r>
        <w:t xml:space="preserve"> by Albania </w:t>
      </w:r>
      <w:r w:rsidRPr="0006474D">
        <w:t xml:space="preserve">with its obligations under the Convention </w:t>
      </w:r>
      <w:r>
        <w:t>regarding</w:t>
      </w:r>
      <w:r w:rsidRPr="0006474D">
        <w:t xml:space="preserve"> </w:t>
      </w:r>
      <w:r w:rsidRPr="00B933CA">
        <w:t xml:space="preserve">the planned construction of </w:t>
      </w:r>
      <w:r>
        <w:t>several</w:t>
      </w:r>
      <w:r w:rsidRPr="00B933CA">
        <w:t xml:space="preserve"> small hydropower plants by Albania on the </w:t>
      </w:r>
      <w:proofErr w:type="spellStart"/>
      <w:r w:rsidRPr="00B933CA">
        <w:t>Cijevna</w:t>
      </w:r>
      <w:proofErr w:type="spellEnd"/>
      <w:r w:rsidRPr="00B933CA">
        <w:t xml:space="preserve"> River</w:t>
      </w:r>
      <w:r w:rsidRPr="0006474D">
        <w:t xml:space="preserve">. The secretariat received the submission on </w:t>
      </w:r>
      <w:r>
        <w:t>2</w:t>
      </w:r>
      <w:r w:rsidRPr="0006474D">
        <w:t xml:space="preserve">5 </w:t>
      </w:r>
      <w:r>
        <w:t>September</w:t>
      </w:r>
      <w:r w:rsidRPr="0006474D">
        <w:t xml:space="preserve"> 201</w:t>
      </w:r>
      <w:r>
        <w:t>9</w:t>
      </w:r>
      <w:r w:rsidRPr="0006474D">
        <w:t xml:space="preserve"> and</w:t>
      </w:r>
      <w:r>
        <w:t xml:space="preserve"> on 30 September 2019</w:t>
      </w:r>
      <w:r w:rsidRPr="0006474D">
        <w:t>, forwarded it to the focal point of A</w:t>
      </w:r>
      <w:r>
        <w:t>lbania</w:t>
      </w:r>
      <w:r w:rsidRPr="0006474D">
        <w:t xml:space="preserve">. </w:t>
      </w:r>
      <w:r>
        <w:t>The Committee initiated its consideration of the submission at its forty-seventh session further to the response to the submission by t</w:t>
      </w:r>
      <w:r w:rsidRPr="0006474D">
        <w:t xml:space="preserve">he Government of </w:t>
      </w:r>
      <w:r>
        <w:t>Albania</w:t>
      </w:r>
      <w:r w:rsidRPr="0006474D">
        <w:t xml:space="preserve"> </w:t>
      </w:r>
      <w:r>
        <w:t>of</w:t>
      </w:r>
      <w:r w:rsidRPr="0006474D">
        <w:t xml:space="preserve"> </w:t>
      </w:r>
      <w:r>
        <w:t xml:space="preserve">30 December </w:t>
      </w:r>
      <w:r w:rsidRPr="0006474D">
        <w:t>201</w:t>
      </w:r>
      <w:r>
        <w:t>9</w:t>
      </w:r>
      <w:r w:rsidRPr="0006474D">
        <w:t>.</w:t>
      </w:r>
      <w:r>
        <w:t xml:space="preserve"> </w:t>
      </w:r>
      <w:bookmarkStart w:id="25" w:name="_Hlk50470697"/>
      <w:r>
        <w:t xml:space="preserve">In September 2020, the Committee noted that small hydropower plants under its consideration were not listed in appendix I of the Convention and that, further to article 2 (5) of the Convention concerning such activities, the two Parties had entered into discussions on whether the proposed activities were likely to cause a significant adverse transboundary impact. It welcomed the assistance to be provided in this regard by the Implementation Committee under the </w:t>
      </w:r>
      <w:bookmarkStart w:id="26" w:name="_Hlk51488430"/>
      <w:r w:rsidRPr="004470F2">
        <w:t>Convention on the Protection and Use of Transboundary Watercourses and International Lakes</w:t>
      </w:r>
      <w:r>
        <w:t xml:space="preserve"> </w:t>
      </w:r>
      <w:bookmarkEnd w:id="26"/>
      <w:r>
        <w:t xml:space="preserve">(Water Convention) and </w:t>
      </w:r>
      <w:r>
        <w:lastRenderedPageBreak/>
        <w:t>encouraged the two Parties to ensure that the cumulative impacts of the proposed activities are assessed in the process. It also noted that the Espoo Convention should apply in case significant impact from the proposed activities cannot be excluded and offered the Parties</w:t>
      </w:r>
      <w:r w:rsidRPr="00E43F50">
        <w:t xml:space="preserve"> </w:t>
      </w:r>
      <w:r>
        <w:t>its assistance in implementing the Convention,</w:t>
      </w:r>
      <w:r w:rsidRPr="00E43F50">
        <w:t xml:space="preserve"> </w:t>
      </w:r>
      <w:r>
        <w:t xml:space="preserve">as needed. </w:t>
      </w:r>
      <w:bookmarkEnd w:id="24"/>
      <w:bookmarkEnd w:id="25"/>
    </w:p>
    <w:p w14:paraId="767E0563" w14:textId="77777777" w:rsidR="001D3863" w:rsidRPr="001545EB" w:rsidRDefault="001D3863" w:rsidP="001D3863">
      <w:pPr>
        <w:pStyle w:val="HChG"/>
      </w:pPr>
      <w:r>
        <w:tab/>
      </w:r>
      <w:r w:rsidRPr="001545EB">
        <w:t>V.</w:t>
      </w:r>
      <w:r w:rsidRPr="001545EB">
        <w:tab/>
        <w:t>Information from other sources (information</w:t>
      </w:r>
      <w:r>
        <w:t>-</w:t>
      </w:r>
      <w:r w:rsidRPr="001545EB">
        <w:t xml:space="preserve"> gathering</w:t>
      </w:r>
      <w:r>
        <w:t> </w:t>
      </w:r>
      <w:r w:rsidRPr="00D26BFF">
        <w:t>cases)</w:t>
      </w:r>
    </w:p>
    <w:p w14:paraId="5BA1A9F0" w14:textId="77777777" w:rsidR="001D3863" w:rsidRDefault="001D3863" w:rsidP="001D3863">
      <w:pPr>
        <w:pStyle w:val="SingleTxtG"/>
        <w:ind w:left="1170"/>
      </w:pPr>
      <w:r>
        <w:t>65</w:t>
      </w:r>
      <w:r w:rsidRPr="001545EB">
        <w:t>.</w:t>
      </w:r>
      <w:r w:rsidRPr="001545EB">
        <w:tab/>
      </w:r>
      <w:r>
        <w:t xml:space="preserve">During the intersessional period, the Committee also </w:t>
      </w:r>
      <w:r w:rsidRPr="00515A1C">
        <w:t>considered information received from sources other than Parties</w:t>
      </w:r>
      <w:r>
        <w:t xml:space="preserve"> –</w:t>
      </w:r>
      <w:r w:rsidRPr="00515A1C">
        <w:t xml:space="preserve"> further to </w:t>
      </w:r>
      <w:r>
        <w:t xml:space="preserve">operating </w:t>
      </w:r>
      <w:r w:rsidRPr="00515A1C">
        <w:t xml:space="preserve">rule 15 </w:t>
      </w:r>
      <w:r>
        <w:t>(</w:t>
      </w:r>
      <w:r w:rsidRPr="00515A1C">
        <w:t>1</w:t>
      </w:r>
      <w:r>
        <w:t>) – on a total of</w:t>
      </w:r>
      <w:r w:rsidRPr="00515A1C">
        <w:t xml:space="preserve"> </w:t>
      </w:r>
      <w:r>
        <w:t>25</w:t>
      </w:r>
      <w:r w:rsidRPr="00515A1C">
        <w:t xml:space="preserve"> </w:t>
      </w:r>
      <w:r>
        <w:t>matters: 22 on the Convention’s application and 3 on the Protocol’s application (summarized in table 4)</w:t>
      </w:r>
      <w:r w:rsidRPr="001545EB">
        <w:t>.</w:t>
      </w:r>
      <w:r>
        <w:t xml:space="preserve"> </w:t>
      </w:r>
    </w:p>
    <w:p w14:paraId="64014982" w14:textId="77777777" w:rsidR="001D3863" w:rsidRPr="001545EB" w:rsidRDefault="001D3863" w:rsidP="001D3863">
      <w:pPr>
        <w:pStyle w:val="H23G"/>
      </w:pPr>
      <w:r>
        <w:rPr>
          <w:b w:val="0"/>
        </w:rPr>
        <w:tab/>
      </w:r>
      <w:r>
        <w:rPr>
          <w:b w:val="0"/>
        </w:rPr>
        <w:tab/>
      </w:r>
      <w:r w:rsidRPr="001545EB">
        <w:rPr>
          <w:b w:val="0"/>
        </w:rPr>
        <w:t xml:space="preserve">Table </w:t>
      </w:r>
      <w:r>
        <w:rPr>
          <w:b w:val="0"/>
        </w:rPr>
        <w:t xml:space="preserve">4 </w:t>
      </w:r>
      <w:r w:rsidRPr="001545EB">
        <w:br/>
      </w:r>
      <w:bookmarkStart w:id="27" w:name="_Hlk45028841"/>
      <w:r w:rsidRPr="001545EB">
        <w:t>Information from other sources</w:t>
      </w:r>
      <w:bookmarkEnd w:id="27"/>
    </w:p>
    <w:tbl>
      <w:tblPr>
        <w:tblW w:w="8183"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7"/>
        <w:gridCol w:w="1339"/>
        <w:gridCol w:w="1170"/>
        <w:gridCol w:w="3827"/>
      </w:tblGrid>
      <w:tr w:rsidR="001D3863" w:rsidRPr="001545EB" w14:paraId="5DC6113C" w14:textId="77777777" w:rsidTr="001D3863">
        <w:tc>
          <w:tcPr>
            <w:tcW w:w="1847" w:type="dxa"/>
            <w:tcBorders>
              <w:top w:val="single" w:sz="4" w:space="0" w:color="auto"/>
              <w:bottom w:val="single" w:sz="12" w:space="0" w:color="auto"/>
            </w:tcBorders>
            <w:shd w:val="clear" w:color="auto" w:fill="auto"/>
            <w:vAlign w:val="bottom"/>
          </w:tcPr>
          <w:p w14:paraId="206DDA98" w14:textId="77777777" w:rsidR="001D3863" w:rsidRPr="001545EB" w:rsidRDefault="001D3863" w:rsidP="001D3863">
            <w:pPr>
              <w:keepLines/>
              <w:suppressAutoHyphens w:val="0"/>
              <w:spacing w:before="80" w:after="80" w:line="200" w:lineRule="exact"/>
              <w:ind w:right="113"/>
              <w:rPr>
                <w:i/>
                <w:sz w:val="16"/>
              </w:rPr>
            </w:pPr>
            <w:r w:rsidRPr="001545EB">
              <w:rPr>
                <w:i/>
                <w:sz w:val="16"/>
              </w:rPr>
              <w:t>Committee reference</w:t>
            </w:r>
          </w:p>
        </w:tc>
        <w:tc>
          <w:tcPr>
            <w:tcW w:w="1339" w:type="dxa"/>
            <w:tcBorders>
              <w:top w:val="single" w:sz="4" w:space="0" w:color="auto"/>
              <w:bottom w:val="single" w:sz="12" w:space="0" w:color="auto"/>
            </w:tcBorders>
            <w:shd w:val="clear" w:color="auto" w:fill="auto"/>
            <w:vAlign w:val="bottom"/>
          </w:tcPr>
          <w:p w14:paraId="3167AEF2" w14:textId="77777777" w:rsidR="001D3863" w:rsidRPr="001545EB" w:rsidRDefault="001D3863" w:rsidP="001D3863">
            <w:pPr>
              <w:keepLines/>
              <w:suppressAutoHyphens w:val="0"/>
              <w:spacing w:before="80" w:after="80" w:line="200" w:lineRule="exact"/>
              <w:ind w:right="113"/>
              <w:rPr>
                <w:i/>
                <w:sz w:val="16"/>
              </w:rPr>
            </w:pPr>
            <w:r w:rsidRPr="001545EB">
              <w:rPr>
                <w:i/>
                <w:sz w:val="16"/>
              </w:rPr>
              <w:t xml:space="preserve">Party </w:t>
            </w:r>
            <w:r>
              <w:rPr>
                <w:i/>
                <w:sz w:val="16"/>
              </w:rPr>
              <w:t>concerned</w:t>
            </w:r>
          </w:p>
        </w:tc>
        <w:tc>
          <w:tcPr>
            <w:tcW w:w="1170" w:type="dxa"/>
            <w:tcBorders>
              <w:top w:val="single" w:sz="4" w:space="0" w:color="auto"/>
              <w:bottom w:val="single" w:sz="12" w:space="0" w:color="auto"/>
            </w:tcBorders>
          </w:tcPr>
          <w:p w14:paraId="71AF3674" w14:textId="77777777" w:rsidR="001D3863" w:rsidRPr="001545EB" w:rsidRDefault="001D3863" w:rsidP="001D3863">
            <w:pPr>
              <w:keepLines/>
              <w:suppressAutoHyphens w:val="0"/>
              <w:spacing w:before="80" w:after="80" w:line="200" w:lineRule="exact"/>
              <w:ind w:left="-178" w:right="113" w:firstLine="178"/>
              <w:rPr>
                <w:i/>
                <w:sz w:val="16"/>
              </w:rPr>
            </w:pPr>
            <w:r>
              <w:rPr>
                <w:i/>
                <w:sz w:val="16"/>
              </w:rPr>
              <w:t>Status</w:t>
            </w:r>
          </w:p>
        </w:tc>
        <w:tc>
          <w:tcPr>
            <w:tcW w:w="3827" w:type="dxa"/>
            <w:tcBorders>
              <w:top w:val="single" w:sz="4" w:space="0" w:color="auto"/>
              <w:bottom w:val="single" w:sz="12" w:space="0" w:color="auto"/>
            </w:tcBorders>
            <w:shd w:val="clear" w:color="auto" w:fill="auto"/>
            <w:vAlign w:val="bottom"/>
          </w:tcPr>
          <w:p w14:paraId="69C8F759" w14:textId="77777777" w:rsidR="001D3863" w:rsidRPr="001545EB" w:rsidRDefault="001D3863" w:rsidP="001D3863">
            <w:pPr>
              <w:keepLines/>
              <w:suppressAutoHyphens w:val="0"/>
              <w:spacing w:before="80" w:after="80" w:line="200" w:lineRule="exact"/>
              <w:ind w:right="113"/>
              <w:jc w:val="both"/>
              <w:rPr>
                <w:i/>
                <w:sz w:val="16"/>
              </w:rPr>
            </w:pPr>
            <w:r w:rsidRPr="001545EB">
              <w:rPr>
                <w:i/>
                <w:sz w:val="16"/>
              </w:rPr>
              <w:t>Issue</w:t>
            </w:r>
          </w:p>
        </w:tc>
      </w:tr>
      <w:tr w:rsidR="001D3863" w:rsidRPr="001545EB" w14:paraId="351FC136" w14:textId="77777777" w:rsidTr="001D3863">
        <w:trPr>
          <w:trHeight w:val="87"/>
        </w:trPr>
        <w:tc>
          <w:tcPr>
            <w:tcW w:w="1847" w:type="dxa"/>
            <w:tcBorders>
              <w:top w:val="single" w:sz="12" w:space="0" w:color="auto"/>
              <w:bottom w:val="nil"/>
            </w:tcBorders>
            <w:shd w:val="clear" w:color="auto" w:fill="auto"/>
          </w:tcPr>
          <w:p w14:paraId="129006F6" w14:textId="77777777" w:rsidR="001D3863" w:rsidRPr="001545EB" w:rsidRDefault="001D3863" w:rsidP="001D3863">
            <w:pPr>
              <w:suppressAutoHyphens w:val="0"/>
              <w:spacing w:line="100" w:lineRule="exact"/>
              <w:ind w:right="113"/>
            </w:pPr>
          </w:p>
        </w:tc>
        <w:tc>
          <w:tcPr>
            <w:tcW w:w="1339" w:type="dxa"/>
            <w:tcBorders>
              <w:top w:val="single" w:sz="12" w:space="0" w:color="auto"/>
              <w:bottom w:val="nil"/>
            </w:tcBorders>
            <w:shd w:val="clear" w:color="auto" w:fill="auto"/>
          </w:tcPr>
          <w:p w14:paraId="3A67CEE1" w14:textId="77777777" w:rsidR="001D3863" w:rsidRPr="001545EB" w:rsidRDefault="001D3863" w:rsidP="001D3863">
            <w:pPr>
              <w:suppressAutoHyphens w:val="0"/>
              <w:spacing w:line="100" w:lineRule="exact"/>
              <w:ind w:right="113"/>
            </w:pPr>
          </w:p>
        </w:tc>
        <w:tc>
          <w:tcPr>
            <w:tcW w:w="1170" w:type="dxa"/>
            <w:tcBorders>
              <w:top w:val="single" w:sz="12" w:space="0" w:color="auto"/>
              <w:bottom w:val="nil"/>
            </w:tcBorders>
          </w:tcPr>
          <w:p w14:paraId="3B785A77" w14:textId="77777777" w:rsidR="001D3863" w:rsidRPr="001545EB" w:rsidRDefault="001D3863" w:rsidP="001D3863">
            <w:pPr>
              <w:suppressAutoHyphens w:val="0"/>
              <w:spacing w:line="100" w:lineRule="exact"/>
              <w:ind w:right="113"/>
            </w:pPr>
          </w:p>
        </w:tc>
        <w:tc>
          <w:tcPr>
            <w:tcW w:w="3827" w:type="dxa"/>
            <w:tcBorders>
              <w:top w:val="single" w:sz="12" w:space="0" w:color="auto"/>
              <w:bottom w:val="nil"/>
            </w:tcBorders>
            <w:shd w:val="clear" w:color="auto" w:fill="auto"/>
          </w:tcPr>
          <w:p w14:paraId="13336113" w14:textId="77777777" w:rsidR="001D3863" w:rsidRPr="001545EB" w:rsidRDefault="001D3863" w:rsidP="001D3863">
            <w:pPr>
              <w:suppressAutoHyphens w:val="0"/>
              <w:spacing w:line="100" w:lineRule="exact"/>
              <w:ind w:right="113"/>
              <w:jc w:val="both"/>
            </w:pPr>
          </w:p>
        </w:tc>
      </w:tr>
      <w:tr w:rsidR="001D3863" w:rsidRPr="001545EB" w14:paraId="11102302" w14:textId="77777777" w:rsidTr="001D3863">
        <w:tc>
          <w:tcPr>
            <w:tcW w:w="1847" w:type="dxa"/>
            <w:tcBorders>
              <w:top w:val="nil"/>
              <w:bottom w:val="nil"/>
            </w:tcBorders>
            <w:shd w:val="clear" w:color="auto" w:fill="auto"/>
          </w:tcPr>
          <w:p w14:paraId="1E440E02" w14:textId="77777777" w:rsidR="001D3863" w:rsidRPr="001545EB" w:rsidRDefault="001D3863" w:rsidP="001D3863">
            <w:pPr>
              <w:suppressAutoHyphens w:val="0"/>
              <w:spacing w:before="40" w:after="120" w:line="220" w:lineRule="exact"/>
              <w:ind w:right="113"/>
              <w:rPr>
                <w:i/>
              </w:rPr>
            </w:pPr>
            <w:r w:rsidRPr="001545EB">
              <w:rPr>
                <w:i/>
              </w:rPr>
              <w:t>Convention matters</w:t>
            </w:r>
          </w:p>
        </w:tc>
        <w:tc>
          <w:tcPr>
            <w:tcW w:w="1339" w:type="dxa"/>
            <w:tcBorders>
              <w:top w:val="nil"/>
              <w:bottom w:val="nil"/>
            </w:tcBorders>
            <w:shd w:val="clear" w:color="auto" w:fill="auto"/>
          </w:tcPr>
          <w:p w14:paraId="33DA30F4" w14:textId="77777777" w:rsidR="001D3863" w:rsidRPr="001545EB" w:rsidRDefault="001D3863" w:rsidP="001D3863">
            <w:pPr>
              <w:suppressAutoHyphens w:val="0"/>
              <w:spacing w:before="40" w:after="120" w:line="220" w:lineRule="exact"/>
              <w:ind w:right="113"/>
              <w:rPr>
                <w:i/>
              </w:rPr>
            </w:pPr>
          </w:p>
        </w:tc>
        <w:tc>
          <w:tcPr>
            <w:tcW w:w="1170" w:type="dxa"/>
            <w:tcBorders>
              <w:top w:val="nil"/>
              <w:bottom w:val="nil"/>
            </w:tcBorders>
          </w:tcPr>
          <w:p w14:paraId="5494CC64" w14:textId="77777777" w:rsidR="001D3863" w:rsidRPr="001545EB" w:rsidRDefault="001D3863" w:rsidP="001D3863">
            <w:pPr>
              <w:suppressAutoHyphens w:val="0"/>
              <w:spacing w:before="40" w:after="120" w:line="220" w:lineRule="exact"/>
              <w:ind w:right="113"/>
              <w:rPr>
                <w:i/>
              </w:rPr>
            </w:pPr>
          </w:p>
        </w:tc>
        <w:tc>
          <w:tcPr>
            <w:tcW w:w="3827" w:type="dxa"/>
            <w:tcBorders>
              <w:top w:val="nil"/>
              <w:bottom w:val="nil"/>
            </w:tcBorders>
            <w:shd w:val="clear" w:color="auto" w:fill="auto"/>
          </w:tcPr>
          <w:p w14:paraId="6B720AAB" w14:textId="77777777" w:rsidR="001D3863" w:rsidRPr="001545EB" w:rsidRDefault="001D3863" w:rsidP="001D3863">
            <w:pPr>
              <w:suppressAutoHyphens w:val="0"/>
              <w:spacing w:before="40" w:after="120" w:line="220" w:lineRule="exact"/>
              <w:ind w:right="113"/>
              <w:jc w:val="both"/>
              <w:rPr>
                <w:i/>
              </w:rPr>
            </w:pPr>
          </w:p>
        </w:tc>
      </w:tr>
      <w:tr w:rsidR="001D3863" w:rsidRPr="001545EB" w14:paraId="112FE879" w14:textId="77777777" w:rsidTr="001D3863">
        <w:tc>
          <w:tcPr>
            <w:tcW w:w="1847" w:type="dxa"/>
            <w:tcBorders>
              <w:top w:val="nil"/>
              <w:bottom w:val="nil"/>
            </w:tcBorders>
            <w:shd w:val="clear" w:color="auto" w:fill="auto"/>
          </w:tcPr>
          <w:p w14:paraId="331BB1F5" w14:textId="77777777" w:rsidR="001D3863" w:rsidRPr="001545EB" w:rsidRDefault="001D3863" w:rsidP="001D3863">
            <w:pPr>
              <w:suppressAutoHyphens w:val="0"/>
              <w:spacing w:before="40" w:after="120"/>
              <w:ind w:right="113"/>
            </w:pPr>
            <w:r w:rsidRPr="001545EB">
              <w:t>EIA/IC/INFO/10</w:t>
            </w:r>
          </w:p>
        </w:tc>
        <w:tc>
          <w:tcPr>
            <w:tcW w:w="1339" w:type="dxa"/>
            <w:tcBorders>
              <w:top w:val="nil"/>
              <w:bottom w:val="nil"/>
            </w:tcBorders>
            <w:shd w:val="clear" w:color="auto" w:fill="auto"/>
          </w:tcPr>
          <w:p w14:paraId="4886E09D" w14:textId="77777777" w:rsidR="001D3863" w:rsidRPr="001545EB" w:rsidRDefault="001D3863" w:rsidP="001D3863">
            <w:pPr>
              <w:suppressAutoHyphens w:val="0"/>
              <w:spacing w:before="40" w:after="120"/>
              <w:ind w:right="113"/>
            </w:pPr>
            <w:r w:rsidRPr="001545EB">
              <w:t>Ukraine</w:t>
            </w:r>
          </w:p>
        </w:tc>
        <w:tc>
          <w:tcPr>
            <w:tcW w:w="1170" w:type="dxa"/>
            <w:tcBorders>
              <w:top w:val="nil"/>
              <w:bottom w:val="nil"/>
            </w:tcBorders>
          </w:tcPr>
          <w:p w14:paraId="7963D45A" w14:textId="77777777" w:rsidR="001D3863" w:rsidRPr="001545EB" w:rsidRDefault="001D3863" w:rsidP="001D3863">
            <w:pPr>
              <w:suppressAutoHyphens w:val="0"/>
              <w:spacing w:before="40" w:after="120"/>
              <w:ind w:right="113"/>
            </w:pPr>
            <w:r>
              <w:t>reopened in 2018</w:t>
            </w:r>
          </w:p>
        </w:tc>
        <w:tc>
          <w:tcPr>
            <w:tcW w:w="3827" w:type="dxa"/>
            <w:tcBorders>
              <w:top w:val="nil"/>
              <w:bottom w:val="nil"/>
            </w:tcBorders>
            <w:shd w:val="clear" w:color="auto" w:fill="auto"/>
          </w:tcPr>
          <w:p w14:paraId="05D6816D" w14:textId="77777777" w:rsidR="001D3863" w:rsidRPr="001545EB" w:rsidRDefault="001D3863" w:rsidP="001D3863">
            <w:pPr>
              <w:suppressAutoHyphens w:val="0"/>
              <w:spacing w:before="40" w:after="120"/>
              <w:ind w:right="113"/>
              <w:jc w:val="both"/>
            </w:pPr>
            <w:r w:rsidRPr="001545EB">
              <w:t xml:space="preserve">Planned construction of nuclear reactors 3 and 4 at </w:t>
            </w:r>
            <w:proofErr w:type="spellStart"/>
            <w:r w:rsidRPr="001545EB">
              <w:t>Khmelnytsky</w:t>
            </w:r>
            <w:proofErr w:type="spellEnd"/>
            <w:r>
              <w:t xml:space="preserve"> nuclear power plant</w:t>
            </w:r>
          </w:p>
        </w:tc>
      </w:tr>
      <w:tr w:rsidR="001D3863" w:rsidRPr="001545EB" w14:paraId="22A2BAFF" w14:textId="77777777" w:rsidTr="001D3863">
        <w:tc>
          <w:tcPr>
            <w:tcW w:w="1847" w:type="dxa"/>
            <w:tcBorders>
              <w:top w:val="nil"/>
            </w:tcBorders>
            <w:shd w:val="clear" w:color="auto" w:fill="auto"/>
          </w:tcPr>
          <w:p w14:paraId="75F6346F" w14:textId="77777777" w:rsidR="001D3863" w:rsidRPr="001545EB" w:rsidRDefault="001D3863" w:rsidP="001D3863">
            <w:pPr>
              <w:suppressAutoHyphens w:val="0"/>
              <w:spacing w:before="40" w:after="120" w:line="240" w:lineRule="auto"/>
              <w:ind w:right="113"/>
            </w:pPr>
            <w:r w:rsidRPr="001545EB">
              <w:t>EIA/IC/INFO/13</w:t>
            </w:r>
          </w:p>
        </w:tc>
        <w:tc>
          <w:tcPr>
            <w:tcW w:w="1339" w:type="dxa"/>
            <w:tcBorders>
              <w:top w:val="nil"/>
            </w:tcBorders>
            <w:shd w:val="clear" w:color="auto" w:fill="auto"/>
          </w:tcPr>
          <w:p w14:paraId="0146754C" w14:textId="77777777" w:rsidR="001D3863" w:rsidRPr="001545EB" w:rsidRDefault="001D3863" w:rsidP="001D3863">
            <w:pPr>
              <w:suppressAutoHyphens w:val="0"/>
              <w:spacing w:before="40" w:after="120" w:line="240" w:lineRule="auto"/>
              <w:ind w:right="113"/>
            </w:pPr>
            <w:r w:rsidRPr="001545EB">
              <w:t>Ukraine</w:t>
            </w:r>
          </w:p>
        </w:tc>
        <w:tc>
          <w:tcPr>
            <w:tcW w:w="1170" w:type="dxa"/>
            <w:tcBorders>
              <w:top w:val="nil"/>
            </w:tcBorders>
          </w:tcPr>
          <w:p w14:paraId="070E988A" w14:textId="77777777" w:rsidR="001D3863" w:rsidRPr="001545EB" w:rsidRDefault="001D3863" w:rsidP="001D3863">
            <w:pPr>
              <w:suppressAutoHyphens w:val="0"/>
              <w:spacing w:before="40" w:after="120" w:line="240" w:lineRule="auto"/>
              <w:ind w:right="113"/>
            </w:pPr>
            <w:r>
              <w:t>reopened in September 2020</w:t>
            </w:r>
          </w:p>
        </w:tc>
        <w:tc>
          <w:tcPr>
            <w:tcW w:w="3827" w:type="dxa"/>
            <w:tcBorders>
              <w:top w:val="nil"/>
            </w:tcBorders>
            <w:shd w:val="clear" w:color="auto" w:fill="auto"/>
          </w:tcPr>
          <w:p w14:paraId="55FE94E3" w14:textId="77777777" w:rsidR="001D3863" w:rsidRPr="001545EB" w:rsidRDefault="001D3863" w:rsidP="001D3863">
            <w:pPr>
              <w:suppressAutoHyphens w:val="0"/>
              <w:spacing w:before="40" w:after="120" w:line="240" w:lineRule="auto"/>
              <w:ind w:right="113"/>
              <w:jc w:val="both"/>
            </w:pPr>
            <w:r w:rsidRPr="001545EB">
              <w:t xml:space="preserve">Planned construction and operation </w:t>
            </w:r>
            <w:r>
              <w:t xml:space="preserve">at </w:t>
            </w:r>
            <w:proofErr w:type="spellStart"/>
            <w:r w:rsidRPr="001545EB">
              <w:t>Muzhiyevo</w:t>
            </w:r>
            <w:proofErr w:type="spellEnd"/>
            <w:r w:rsidRPr="001545EB">
              <w:t xml:space="preserve"> gold</w:t>
            </w:r>
            <w:r>
              <w:t xml:space="preserve"> </w:t>
            </w:r>
            <w:r w:rsidRPr="001545EB">
              <w:t>mine</w:t>
            </w:r>
          </w:p>
        </w:tc>
      </w:tr>
      <w:tr w:rsidR="001D3863" w:rsidRPr="001545EB" w14:paraId="2F110893" w14:textId="77777777" w:rsidTr="001D3863">
        <w:tc>
          <w:tcPr>
            <w:tcW w:w="1847" w:type="dxa"/>
            <w:shd w:val="clear" w:color="auto" w:fill="auto"/>
          </w:tcPr>
          <w:p w14:paraId="57EC816E" w14:textId="77777777" w:rsidR="001D3863" w:rsidRPr="001545EB" w:rsidRDefault="001D3863" w:rsidP="001D3863">
            <w:pPr>
              <w:suppressAutoHyphens w:val="0"/>
              <w:spacing w:before="40" w:after="120" w:line="240" w:lineRule="auto"/>
              <w:ind w:right="113"/>
            </w:pPr>
            <w:r w:rsidRPr="001545EB">
              <w:t>EIA/IC/INFO/16</w:t>
            </w:r>
          </w:p>
        </w:tc>
        <w:tc>
          <w:tcPr>
            <w:tcW w:w="1339" w:type="dxa"/>
            <w:shd w:val="clear" w:color="auto" w:fill="auto"/>
          </w:tcPr>
          <w:p w14:paraId="272E4D07" w14:textId="77777777" w:rsidR="001D3863" w:rsidRPr="001545EB" w:rsidRDefault="001D3863" w:rsidP="001D3863">
            <w:pPr>
              <w:suppressAutoHyphens w:val="0"/>
              <w:spacing w:before="40" w:after="120" w:line="240" w:lineRule="auto"/>
              <w:ind w:right="113"/>
            </w:pPr>
            <w:r w:rsidRPr="001545EB">
              <w:t>Bosnia and Herzegovina</w:t>
            </w:r>
          </w:p>
        </w:tc>
        <w:tc>
          <w:tcPr>
            <w:tcW w:w="1170" w:type="dxa"/>
          </w:tcPr>
          <w:p w14:paraId="364DC6E2" w14:textId="77777777" w:rsidR="001D3863" w:rsidRPr="001545EB" w:rsidRDefault="001D3863" w:rsidP="001D3863">
            <w:pPr>
              <w:suppressAutoHyphens w:val="0"/>
              <w:spacing w:before="40" w:after="120" w:line="240" w:lineRule="auto"/>
              <w:ind w:right="113"/>
            </w:pPr>
            <w:r>
              <w:t>ongoing since September 2014</w:t>
            </w:r>
          </w:p>
        </w:tc>
        <w:tc>
          <w:tcPr>
            <w:tcW w:w="3827" w:type="dxa"/>
            <w:shd w:val="clear" w:color="auto" w:fill="auto"/>
          </w:tcPr>
          <w:p w14:paraId="60D38E90" w14:textId="77777777" w:rsidR="001D3863" w:rsidRPr="001545EB" w:rsidRDefault="001D3863" w:rsidP="001D3863">
            <w:pPr>
              <w:suppressAutoHyphens w:val="0"/>
              <w:spacing w:before="40" w:after="120" w:line="240" w:lineRule="auto"/>
              <w:ind w:right="113"/>
              <w:jc w:val="both"/>
            </w:pPr>
            <w:r w:rsidRPr="001545EB">
              <w:t xml:space="preserve">Planned construction of third block for </w:t>
            </w:r>
            <w:proofErr w:type="spellStart"/>
            <w:r w:rsidRPr="001545EB">
              <w:t>Ugljevik</w:t>
            </w:r>
            <w:proofErr w:type="spellEnd"/>
            <w:r w:rsidRPr="001545EB">
              <w:t xml:space="preserve"> thermo-power plant</w:t>
            </w:r>
          </w:p>
        </w:tc>
      </w:tr>
      <w:tr w:rsidR="001D3863" w:rsidRPr="001545EB" w14:paraId="583CDC97" w14:textId="77777777" w:rsidTr="001D3863">
        <w:tc>
          <w:tcPr>
            <w:tcW w:w="1847" w:type="dxa"/>
            <w:shd w:val="clear" w:color="auto" w:fill="auto"/>
          </w:tcPr>
          <w:p w14:paraId="3B82B636" w14:textId="77777777" w:rsidR="001D3863" w:rsidRPr="001545EB" w:rsidRDefault="001D3863" w:rsidP="001D3863">
            <w:pPr>
              <w:suppressAutoHyphens w:val="0"/>
              <w:spacing w:before="40" w:after="120" w:line="240" w:lineRule="auto"/>
              <w:ind w:right="113"/>
            </w:pPr>
            <w:bookmarkStart w:id="28" w:name="_Hlk45810332"/>
            <w:r w:rsidRPr="001545EB">
              <w:t>EIA/IC/INFO/17</w:t>
            </w:r>
            <w:bookmarkEnd w:id="28"/>
          </w:p>
        </w:tc>
        <w:tc>
          <w:tcPr>
            <w:tcW w:w="1339" w:type="dxa"/>
            <w:shd w:val="clear" w:color="auto" w:fill="auto"/>
          </w:tcPr>
          <w:p w14:paraId="2095020C" w14:textId="77777777" w:rsidR="001D3863" w:rsidRPr="001545EB" w:rsidRDefault="001D3863" w:rsidP="001D3863">
            <w:pPr>
              <w:suppressAutoHyphens w:val="0"/>
              <w:spacing w:before="40" w:after="120" w:line="240" w:lineRule="auto"/>
              <w:ind w:right="113"/>
            </w:pPr>
            <w:r w:rsidRPr="001545EB">
              <w:t>Bosnia and Herzegovina</w:t>
            </w:r>
          </w:p>
        </w:tc>
        <w:tc>
          <w:tcPr>
            <w:tcW w:w="1170" w:type="dxa"/>
          </w:tcPr>
          <w:p w14:paraId="0F7C4454" w14:textId="77777777" w:rsidR="001D3863" w:rsidRPr="001545EB" w:rsidRDefault="001D3863" w:rsidP="001D3863">
            <w:pPr>
              <w:suppressAutoHyphens w:val="0"/>
              <w:spacing w:before="40" w:after="120" w:line="240" w:lineRule="auto"/>
              <w:ind w:right="113"/>
            </w:pPr>
            <w:r>
              <w:t>closed in December 2019</w:t>
            </w:r>
          </w:p>
        </w:tc>
        <w:tc>
          <w:tcPr>
            <w:tcW w:w="3827" w:type="dxa"/>
            <w:shd w:val="clear" w:color="auto" w:fill="auto"/>
          </w:tcPr>
          <w:p w14:paraId="2D56064F" w14:textId="77777777" w:rsidR="001D3863" w:rsidRPr="001545EB" w:rsidRDefault="001D3863" w:rsidP="001D3863">
            <w:pPr>
              <w:suppressAutoHyphens w:val="0"/>
              <w:spacing w:before="40" w:after="120" w:line="240" w:lineRule="auto"/>
              <w:ind w:right="113"/>
              <w:jc w:val="both"/>
            </w:pPr>
            <w:r w:rsidRPr="001545EB">
              <w:t xml:space="preserve">Planned construction of new thermo-power plant in </w:t>
            </w:r>
            <w:proofErr w:type="spellStart"/>
            <w:r w:rsidRPr="001545EB">
              <w:t>Stanari</w:t>
            </w:r>
            <w:proofErr w:type="spellEnd"/>
          </w:p>
        </w:tc>
      </w:tr>
      <w:tr w:rsidR="001D3863" w:rsidRPr="001545EB" w14:paraId="328C8732" w14:textId="77777777" w:rsidTr="001D3863">
        <w:tc>
          <w:tcPr>
            <w:tcW w:w="1847" w:type="dxa"/>
            <w:shd w:val="clear" w:color="auto" w:fill="auto"/>
          </w:tcPr>
          <w:p w14:paraId="31E7692B" w14:textId="77777777" w:rsidR="001D3863" w:rsidRPr="001545EB" w:rsidRDefault="001D3863" w:rsidP="001D3863">
            <w:pPr>
              <w:suppressAutoHyphens w:val="0"/>
              <w:spacing w:before="40" w:after="120" w:line="240" w:lineRule="auto"/>
              <w:ind w:right="113"/>
            </w:pPr>
            <w:r w:rsidRPr="001545EB">
              <w:t>EIA/IC/INFO/21</w:t>
            </w:r>
          </w:p>
        </w:tc>
        <w:tc>
          <w:tcPr>
            <w:tcW w:w="1339" w:type="dxa"/>
            <w:shd w:val="clear" w:color="auto" w:fill="auto"/>
          </w:tcPr>
          <w:p w14:paraId="15BA6812" w14:textId="77777777" w:rsidR="001D3863" w:rsidRPr="001545EB" w:rsidRDefault="001D3863" w:rsidP="001D3863">
            <w:pPr>
              <w:suppressAutoHyphens w:val="0"/>
              <w:spacing w:before="40" w:after="120" w:line="240" w:lineRule="auto"/>
              <w:ind w:right="113"/>
            </w:pPr>
            <w:r w:rsidRPr="001545EB">
              <w:t>Belarus</w:t>
            </w:r>
          </w:p>
        </w:tc>
        <w:tc>
          <w:tcPr>
            <w:tcW w:w="1170" w:type="dxa"/>
          </w:tcPr>
          <w:p w14:paraId="2B373F06" w14:textId="77777777" w:rsidR="001D3863" w:rsidRPr="001545EB" w:rsidRDefault="001D3863" w:rsidP="001D3863">
            <w:pPr>
              <w:suppressAutoHyphens w:val="0"/>
              <w:spacing w:before="40" w:after="120" w:line="240" w:lineRule="auto"/>
              <w:ind w:right="113"/>
            </w:pPr>
            <w:r>
              <w:t>ongoing since September 2017</w:t>
            </w:r>
          </w:p>
        </w:tc>
        <w:tc>
          <w:tcPr>
            <w:tcW w:w="3827" w:type="dxa"/>
            <w:shd w:val="clear" w:color="auto" w:fill="auto"/>
          </w:tcPr>
          <w:p w14:paraId="0179A3C6" w14:textId="77777777" w:rsidR="001D3863" w:rsidRPr="001545EB" w:rsidRDefault="001D3863" w:rsidP="001D3863">
            <w:pPr>
              <w:suppressAutoHyphens w:val="0"/>
              <w:spacing w:before="40" w:after="120" w:line="240" w:lineRule="auto"/>
              <w:ind w:right="113"/>
              <w:jc w:val="both"/>
            </w:pPr>
            <w:r w:rsidRPr="001545EB">
              <w:t>L</w:t>
            </w:r>
            <w:r w:rsidRPr="00BD75C9">
              <w:t xml:space="preserve">aw and subsequent regulations on </w:t>
            </w:r>
            <w:r>
              <w:t>environmental impact assessment</w:t>
            </w:r>
            <w:r w:rsidRPr="00BD75C9">
              <w:t xml:space="preserve">, strategic environmental assessment and </w:t>
            </w:r>
            <w:r>
              <w:t>S</w:t>
            </w:r>
            <w:r w:rsidRPr="00BD75C9">
              <w:t>tate ecological expertise</w:t>
            </w:r>
          </w:p>
        </w:tc>
      </w:tr>
      <w:tr w:rsidR="001D3863" w:rsidRPr="001545EB" w14:paraId="24AF6776" w14:textId="77777777" w:rsidTr="001D3863">
        <w:tc>
          <w:tcPr>
            <w:tcW w:w="1847" w:type="dxa"/>
            <w:shd w:val="clear" w:color="auto" w:fill="auto"/>
          </w:tcPr>
          <w:p w14:paraId="542B5FB5" w14:textId="77777777" w:rsidR="001D3863" w:rsidRPr="001545EB" w:rsidRDefault="001D3863" w:rsidP="001D3863">
            <w:pPr>
              <w:suppressAutoHyphens w:val="0"/>
              <w:spacing w:before="40" w:after="120" w:line="240" w:lineRule="auto"/>
              <w:ind w:right="113"/>
            </w:pPr>
            <w:r w:rsidRPr="001545EB">
              <w:t>EIA/IC/INFO/22</w:t>
            </w:r>
          </w:p>
        </w:tc>
        <w:tc>
          <w:tcPr>
            <w:tcW w:w="1339" w:type="dxa"/>
            <w:shd w:val="clear" w:color="auto" w:fill="auto"/>
          </w:tcPr>
          <w:p w14:paraId="1F03803B" w14:textId="77777777" w:rsidR="001D3863" w:rsidRPr="001545EB" w:rsidRDefault="001D3863" w:rsidP="001D3863">
            <w:pPr>
              <w:suppressAutoHyphens w:val="0"/>
              <w:spacing w:before="40" w:after="120" w:line="240" w:lineRule="auto"/>
              <w:ind w:right="113"/>
            </w:pPr>
            <w:r w:rsidRPr="001545EB">
              <w:t xml:space="preserve">Spain </w:t>
            </w:r>
          </w:p>
        </w:tc>
        <w:tc>
          <w:tcPr>
            <w:tcW w:w="1170" w:type="dxa"/>
          </w:tcPr>
          <w:p w14:paraId="645B0E94" w14:textId="77777777" w:rsidR="001D3863" w:rsidRPr="001545EB" w:rsidRDefault="001D3863" w:rsidP="001D3863">
            <w:pPr>
              <w:suppressAutoHyphens w:val="0"/>
              <w:spacing w:before="40" w:after="120" w:line="240" w:lineRule="auto"/>
              <w:ind w:right="113"/>
            </w:pPr>
            <w:r>
              <w:t>closed in September 2019</w:t>
            </w:r>
          </w:p>
        </w:tc>
        <w:tc>
          <w:tcPr>
            <w:tcW w:w="3827" w:type="dxa"/>
            <w:shd w:val="clear" w:color="auto" w:fill="auto"/>
          </w:tcPr>
          <w:p w14:paraId="144B37FB" w14:textId="77777777" w:rsidR="001D3863" w:rsidRPr="001545EB" w:rsidRDefault="001D3863" w:rsidP="001D3863">
            <w:pPr>
              <w:suppressAutoHyphens w:val="0"/>
              <w:spacing w:before="40" w:after="120" w:line="240" w:lineRule="auto"/>
              <w:ind w:right="113"/>
              <w:jc w:val="both"/>
            </w:pPr>
            <w:r w:rsidRPr="001545EB">
              <w:t xml:space="preserve">Planned construction of temporary storage for radioactive waste at Almaraz </w:t>
            </w:r>
            <w:r>
              <w:t>nuclear power plant</w:t>
            </w:r>
          </w:p>
        </w:tc>
      </w:tr>
      <w:tr w:rsidR="001D3863" w:rsidRPr="001545EB" w14:paraId="21E223BE" w14:textId="77777777" w:rsidTr="001D3863">
        <w:tc>
          <w:tcPr>
            <w:tcW w:w="1847" w:type="dxa"/>
            <w:shd w:val="clear" w:color="auto" w:fill="auto"/>
          </w:tcPr>
          <w:p w14:paraId="7820D415" w14:textId="77777777" w:rsidR="001D3863" w:rsidRPr="00516A9B" w:rsidRDefault="001D3863" w:rsidP="001D3863">
            <w:pPr>
              <w:suppressAutoHyphens w:val="0"/>
              <w:spacing w:before="40" w:after="120" w:line="240" w:lineRule="auto"/>
              <w:ind w:right="113"/>
              <w:rPr>
                <w:lang w:val="es-ES"/>
              </w:rPr>
            </w:pPr>
            <w:r w:rsidRPr="00516A9B">
              <w:rPr>
                <w:lang w:val="es-ES"/>
              </w:rPr>
              <w:t>ECE/IC/INFO/23</w:t>
            </w:r>
          </w:p>
          <w:p w14:paraId="1E752F01" w14:textId="77777777" w:rsidR="001D3863" w:rsidRPr="00516A9B" w:rsidRDefault="001D3863" w:rsidP="001D3863">
            <w:pPr>
              <w:suppressAutoHyphens w:val="0"/>
              <w:spacing w:before="40" w:after="120" w:line="240" w:lineRule="auto"/>
              <w:ind w:right="113"/>
              <w:rPr>
                <w:lang w:val="es-ES"/>
              </w:rPr>
            </w:pPr>
          </w:p>
        </w:tc>
        <w:tc>
          <w:tcPr>
            <w:tcW w:w="1339" w:type="dxa"/>
            <w:shd w:val="clear" w:color="auto" w:fill="auto"/>
          </w:tcPr>
          <w:p w14:paraId="1098F921" w14:textId="77777777" w:rsidR="001D3863" w:rsidRDefault="001D3863" w:rsidP="001D3863">
            <w:pPr>
              <w:suppressAutoHyphens w:val="0"/>
              <w:spacing w:before="40" w:after="120" w:line="240" w:lineRule="auto"/>
              <w:ind w:right="113"/>
            </w:pPr>
            <w:r w:rsidRPr="00220E02">
              <w:t>Bosnia and Herzegovina</w:t>
            </w:r>
          </w:p>
          <w:p w14:paraId="579A3091" w14:textId="77777777" w:rsidR="001D3863" w:rsidRPr="001545EB" w:rsidRDefault="001D3863" w:rsidP="001D3863">
            <w:pPr>
              <w:suppressAutoHyphens w:val="0"/>
              <w:spacing w:before="40" w:after="120" w:line="240" w:lineRule="auto"/>
              <w:ind w:right="113"/>
            </w:pPr>
          </w:p>
        </w:tc>
        <w:tc>
          <w:tcPr>
            <w:tcW w:w="1170" w:type="dxa"/>
          </w:tcPr>
          <w:p w14:paraId="514612C0" w14:textId="77777777" w:rsidR="001D3863" w:rsidRDefault="001D3863" w:rsidP="001D3863">
            <w:pPr>
              <w:suppressAutoHyphens w:val="0"/>
              <w:spacing w:before="40" w:after="120" w:line="240" w:lineRule="auto"/>
              <w:ind w:right="113"/>
            </w:pPr>
            <w:r>
              <w:t>ongoing since December 2018</w:t>
            </w:r>
          </w:p>
        </w:tc>
        <w:tc>
          <w:tcPr>
            <w:tcW w:w="3827" w:type="dxa"/>
            <w:shd w:val="clear" w:color="auto" w:fill="auto"/>
          </w:tcPr>
          <w:p w14:paraId="084A350F" w14:textId="77777777" w:rsidR="001D3863" w:rsidRPr="001545EB" w:rsidRDefault="001D3863" w:rsidP="001D3863">
            <w:pPr>
              <w:suppressAutoHyphens w:val="0"/>
              <w:spacing w:before="40" w:after="120" w:line="240" w:lineRule="auto"/>
              <w:ind w:right="113"/>
              <w:jc w:val="both"/>
            </w:pPr>
            <w:r>
              <w:t>P</w:t>
            </w:r>
            <w:r w:rsidRPr="00516A9B">
              <w:t xml:space="preserve">lanned construction of new thermal power plant in </w:t>
            </w:r>
            <w:proofErr w:type="spellStart"/>
            <w:r w:rsidRPr="00516A9B">
              <w:t>Banovici</w:t>
            </w:r>
            <w:proofErr w:type="spellEnd"/>
          </w:p>
        </w:tc>
      </w:tr>
      <w:tr w:rsidR="001D3863" w:rsidRPr="001545EB" w14:paraId="0C6B82D4" w14:textId="77777777" w:rsidTr="001D3863">
        <w:tc>
          <w:tcPr>
            <w:tcW w:w="1847" w:type="dxa"/>
            <w:shd w:val="clear" w:color="auto" w:fill="auto"/>
          </w:tcPr>
          <w:p w14:paraId="7B81F8B3" w14:textId="77777777" w:rsidR="001D3863" w:rsidRPr="00516A9B" w:rsidRDefault="001D3863" w:rsidP="001D3863">
            <w:pPr>
              <w:suppressAutoHyphens w:val="0"/>
              <w:spacing w:before="40" w:after="120" w:line="240" w:lineRule="auto"/>
              <w:ind w:right="113"/>
              <w:rPr>
                <w:lang w:val="es-ES"/>
              </w:rPr>
            </w:pPr>
            <w:r w:rsidRPr="00516A9B">
              <w:rPr>
                <w:lang w:val="es-ES"/>
              </w:rPr>
              <w:t xml:space="preserve">ECE/IC/INFO/24 </w:t>
            </w:r>
          </w:p>
          <w:p w14:paraId="442EF293" w14:textId="77777777" w:rsidR="001D3863" w:rsidRPr="00516A9B" w:rsidRDefault="001D3863" w:rsidP="001D3863">
            <w:pPr>
              <w:suppressAutoHyphens w:val="0"/>
              <w:spacing w:before="40" w:after="120" w:line="240" w:lineRule="auto"/>
              <w:ind w:right="113"/>
              <w:rPr>
                <w:lang w:val="es-ES"/>
              </w:rPr>
            </w:pPr>
          </w:p>
        </w:tc>
        <w:tc>
          <w:tcPr>
            <w:tcW w:w="1339" w:type="dxa"/>
            <w:shd w:val="clear" w:color="auto" w:fill="auto"/>
          </w:tcPr>
          <w:p w14:paraId="581CBB81" w14:textId="77777777" w:rsidR="001D3863" w:rsidRDefault="001D3863" w:rsidP="001D3863">
            <w:pPr>
              <w:suppressAutoHyphens w:val="0"/>
              <w:spacing w:before="40" w:line="240" w:lineRule="auto"/>
              <w:ind w:right="113"/>
            </w:pPr>
            <w:r>
              <w:t>B</w:t>
            </w:r>
            <w:r w:rsidRPr="00516A9B">
              <w:t>osnia and Herzegovina</w:t>
            </w:r>
          </w:p>
          <w:p w14:paraId="6152365A" w14:textId="77777777" w:rsidR="001D3863" w:rsidRPr="00220E02" w:rsidRDefault="001D3863" w:rsidP="001D3863">
            <w:pPr>
              <w:suppressAutoHyphens w:val="0"/>
              <w:spacing w:before="40" w:after="120" w:line="240" w:lineRule="auto"/>
              <w:ind w:right="113"/>
            </w:pPr>
          </w:p>
        </w:tc>
        <w:tc>
          <w:tcPr>
            <w:tcW w:w="1170" w:type="dxa"/>
          </w:tcPr>
          <w:p w14:paraId="29FC0984" w14:textId="77777777" w:rsidR="001D3863" w:rsidRDefault="001D3863" w:rsidP="001D3863">
            <w:pPr>
              <w:suppressAutoHyphens w:val="0"/>
              <w:spacing w:before="40" w:after="120" w:line="240" w:lineRule="auto"/>
              <w:ind w:right="113"/>
            </w:pPr>
            <w:r>
              <w:t>ongoing since December 2018</w:t>
            </w:r>
          </w:p>
        </w:tc>
        <w:tc>
          <w:tcPr>
            <w:tcW w:w="3827" w:type="dxa"/>
            <w:shd w:val="clear" w:color="auto" w:fill="auto"/>
          </w:tcPr>
          <w:p w14:paraId="4505D93B" w14:textId="77777777" w:rsidR="001D3863" w:rsidRDefault="001D3863" w:rsidP="001D3863">
            <w:pPr>
              <w:suppressAutoHyphens w:val="0"/>
              <w:spacing w:before="40" w:after="120" w:line="240" w:lineRule="auto"/>
              <w:ind w:right="113"/>
              <w:jc w:val="both"/>
            </w:pPr>
            <w:r>
              <w:t>P</w:t>
            </w:r>
            <w:r w:rsidRPr="00516A9B">
              <w:t xml:space="preserve">lanned construction of unit 7 of </w:t>
            </w:r>
            <w:r>
              <w:t xml:space="preserve">Tuzla </w:t>
            </w:r>
            <w:r w:rsidRPr="00516A9B">
              <w:t>thermal power plant</w:t>
            </w:r>
          </w:p>
        </w:tc>
      </w:tr>
      <w:tr w:rsidR="001D3863" w:rsidRPr="001545EB" w14:paraId="5AB6A630" w14:textId="77777777" w:rsidTr="001D3863">
        <w:tc>
          <w:tcPr>
            <w:tcW w:w="1847" w:type="dxa"/>
            <w:shd w:val="clear" w:color="auto" w:fill="auto"/>
          </w:tcPr>
          <w:p w14:paraId="1386C30E" w14:textId="77777777" w:rsidR="001D3863" w:rsidRPr="00516A9B" w:rsidRDefault="001D3863" w:rsidP="001D3863">
            <w:pPr>
              <w:suppressAutoHyphens w:val="0"/>
              <w:spacing w:before="40" w:after="120" w:line="240" w:lineRule="auto"/>
              <w:ind w:right="113"/>
              <w:rPr>
                <w:lang w:val="es-ES"/>
              </w:rPr>
            </w:pPr>
            <w:r w:rsidRPr="00743C85">
              <w:rPr>
                <w:lang w:val="es-ES"/>
              </w:rPr>
              <w:t>ECE/IC/INFO/25</w:t>
            </w:r>
          </w:p>
        </w:tc>
        <w:tc>
          <w:tcPr>
            <w:tcW w:w="1339" w:type="dxa"/>
            <w:shd w:val="clear" w:color="auto" w:fill="auto"/>
          </w:tcPr>
          <w:p w14:paraId="33F5A0DE" w14:textId="77777777" w:rsidR="001D3863" w:rsidRDefault="001D3863" w:rsidP="001D3863">
            <w:pPr>
              <w:suppressAutoHyphens w:val="0"/>
              <w:spacing w:before="40" w:line="240" w:lineRule="auto"/>
              <w:ind w:right="113"/>
            </w:pPr>
            <w:r>
              <w:t>Switzerland</w:t>
            </w:r>
          </w:p>
        </w:tc>
        <w:tc>
          <w:tcPr>
            <w:tcW w:w="1170" w:type="dxa"/>
          </w:tcPr>
          <w:p w14:paraId="712921A3" w14:textId="77777777" w:rsidR="001D3863" w:rsidRDefault="001D3863" w:rsidP="001D3863">
            <w:pPr>
              <w:suppressAutoHyphens w:val="0"/>
              <w:spacing w:before="40" w:after="120" w:line="240" w:lineRule="auto"/>
              <w:ind w:right="113"/>
            </w:pPr>
            <w:r>
              <w:t>ongoing since December 2018</w:t>
            </w:r>
          </w:p>
        </w:tc>
        <w:tc>
          <w:tcPr>
            <w:tcW w:w="3827" w:type="dxa"/>
            <w:shd w:val="clear" w:color="auto" w:fill="auto"/>
          </w:tcPr>
          <w:p w14:paraId="51FC64DF" w14:textId="77777777" w:rsidR="001D3863" w:rsidRDefault="001D3863" w:rsidP="001D3863">
            <w:pPr>
              <w:suppressAutoHyphens w:val="0"/>
              <w:spacing w:before="40" w:after="120" w:line="240" w:lineRule="auto"/>
              <w:ind w:right="113"/>
              <w:jc w:val="both"/>
            </w:pPr>
            <w:r>
              <w:t>P</w:t>
            </w:r>
            <w:r w:rsidRPr="00644C3F">
              <w:t xml:space="preserve">lanned changes at Zurich airport, </w:t>
            </w:r>
            <w:r>
              <w:t>(extension</w:t>
            </w:r>
            <w:r w:rsidRPr="00644C3F">
              <w:t xml:space="preserve"> of </w:t>
            </w:r>
            <w:r>
              <w:t xml:space="preserve">two </w:t>
            </w:r>
            <w:r w:rsidRPr="00644C3F">
              <w:t>taxiways and changes in operating regulations</w:t>
            </w:r>
            <w:r>
              <w:t>)</w:t>
            </w:r>
          </w:p>
        </w:tc>
      </w:tr>
      <w:tr w:rsidR="001D3863" w:rsidRPr="001545EB" w14:paraId="05EE142D" w14:textId="77777777" w:rsidTr="001D3863">
        <w:tc>
          <w:tcPr>
            <w:tcW w:w="1847" w:type="dxa"/>
            <w:shd w:val="clear" w:color="auto" w:fill="auto"/>
          </w:tcPr>
          <w:p w14:paraId="2C125DD9" w14:textId="77777777" w:rsidR="001D3863" w:rsidRPr="00644C3F" w:rsidRDefault="001D3863" w:rsidP="001D3863">
            <w:pPr>
              <w:suppressAutoHyphens w:val="0"/>
              <w:spacing w:before="40" w:after="120" w:line="240" w:lineRule="auto"/>
              <w:ind w:right="113"/>
            </w:pPr>
            <w:r w:rsidRPr="00F84EBF">
              <w:lastRenderedPageBreak/>
              <w:t>ECE/IC/INFO/27</w:t>
            </w:r>
          </w:p>
        </w:tc>
        <w:tc>
          <w:tcPr>
            <w:tcW w:w="1339" w:type="dxa"/>
            <w:shd w:val="clear" w:color="auto" w:fill="auto"/>
          </w:tcPr>
          <w:p w14:paraId="57A72293" w14:textId="77777777" w:rsidR="001D3863" w:rsidRDefault="001D3863" w:rsidP="001D3863">
            <w:pPr>
              <w:suppressAutoHyphens w:val="0"/>
              <w:spacing w:before="40" w:line="240" w:lineRule="auto"/>
              <w:ind w:right="113"/>
            </w:pPr>
            <w:r>
              <w:t>Serbia</w:t>
            </w:r>
          </w:p>
        </w:tc>
        <w:tc>
          <w:tcPr>
            <w:tcW w:w="1170" w:type="dxa"/>
          </w:tcPr>
          <w:p w14:paraId="41E64BF3" w14:textId="77777777" w:rsidR="001D3863" w:rsidRDefault="001D3863" w:rsidP="001D3863">
            <w:pPr>
              <w:suppressAutoHyphens w:val="0"/>
              <w:spacing w:before="40" w:after="120" w:line="240" w:lineRule="auto"/>
              <w:ind w:right="113"/>
            </w:pPr>
            <w:r>
              <w:t>closed in December 2019</w:t>
            </w:r>
          </w:p>
        </w:tc>
        <w:tc>
          <w:tcPr>
            <w:tcW w:w="3827" w:type="dxa"/>
            <w:shd w:val="clear" w:color="auto" w:fill="auto"/>
          </w:tcPr>
          <w:p w14:paraId="3AFC8E5B" w14:textId="77777777" w:rsidR="001D3863" w:rsidRDefault="001D3863" w:rsidP="001D3863">
            <w:pPr>
              <w:suppressAutoHyphens w:val="0"/>
              <w:spacing w:before="40" w:after="120" w:line="240" w:lineRule="auto"/>
              <w:ind w:right="113"/>
              <w:jc w:val="both"/>
            </w:pPr>
            <w:r>
              <w:t>E</w:t>
            </w:r>
            <w:r w:rsidRPr="00F84EBF">
              <w:t xml:space="preserve">xtension of </w:t>
            </w:r>
            <w:proofErr w:type="spellStart"/>
            <w:r>
              <w:t>Drmno</w:t>
            </w:r>
            <w:proofErr w:type="spellEnd"/>
            <w:r w:rsidRPr="00F84EBF">
              <w:t xml:space="preserve"> open</w:t>
            </w:r>
            <w:r>
              <w:t xml:space="preserve"> </w:t>
            </w:r>
            <w:r w:rsidRPr="00F84EBF">
              <w:t>pit mine</w:t>
            </w:r>
          </w:p>
        </w:tc>
      </w:tr>
      <w:tr w:rsidR="001D3863" w:rsidRPr="001545EB" w14:paraId="3DC2CD58" w14:textId="77777777" w:rsidTr="001D3863">
        <w:tc>
          <w:tcPr>
            <w:tcW w:w="1847" w:type="dxa"/>
            <w:shd w:val="clear" w:color="auto" w:fill="auto"/>
          </w:tcPr>
          <w:p w14:paraId="1988B108" w14:textId="77777777" w:rsidR="001D3863" w:rsidRPr="00F84EBF" w:rsidRDefault="001D3863" w:rsidP="001D3863">
            <w:pPr>
              <w:suppressAutoHyphens w:val="0"/>
              <w:spacing w:before="40" w:after="120" w:line="240" w:lineRule="auto"/>
              <w:ind w:right="113"/>
            </w:pPr>
            <w:bookmarkStart w:id="29" w:name="_Hlk51594675"/>
            <w:r w:rsidRPr="000A7216">
              <w:t>EIA/IC/INFO/29</w:t>
            </w:r>
            <w:bookmarkEnd w:id="29"/>
          </w:p>
        </w:tc>
        <w:tc>
          <w:tcPr>
            <w:tcW w:w="1339" w:type="dxa"/>
            <w:shd w:val="clear" w:color="auto" w:fill="auto"/>
          </w:tcPr>
          <w:p w14:paraId="2BFC399A" w14:textId="77777777" w:rsidR="001D3863" w:rsidRDefault="001D3863" w:rsidP="001D3863">
            <w:pPr>
              <w:suppressAutoHyphens w:val="0"/>
              <w:spacing w:before="40" w:line="240" w:lineRule="auto"/>
              <w:ind w:right="113"/>
            </w:pPr>
            <w:r>
              <w:t xml:space="preserve">Ukraine </w:t>
            </w:r>
          </w:p>
        </w:tc>
        <w:tc>
          <w:tcPr>
            <w:tcW w:w="1170" w:type="dxa"/>
          </w:tcPr>
          <w:p w14:paraId="063A9D8B" w14:textId="77777777" w:rsidR="001D3863" w:rsidRDefault="001D3863" w:rsidP="001D3863">
            <w:pPr>
              <w:suppressAutoHyphens w:val="0"/>
              <w:spacing w:before="40" w:after="120" w:line="240" w:lineRule="auto"/>
              <w:ind w:right="113"/>
            </w:pPr>
            <w:r>
              <w:t>opened in December 2018/closed</w:t>
            </w:r>
            <w:r w:rsidRPr="00A42C88">
              <w:rPr>
                <w:iCs/>
              </w:rPr>
              <w:t xml:space="preserve"> </w:t>
            </w:r>
            <w:r>
              <w:rPr>
                <w:iCs/>
              </w:rPr>
              <w:t xml:space="preserve">in September 2020 /lead </w:t>
            </w:r>
            <w:r w:rsidRPr="00A42C88">
              <w:rPr>
                <w:iCs/>
              </w:rPr>
              <w:t xml:space="preserve">to </w:t>
            </w:r>
            <w:r>
              <w:rPr>
                <w:iCs/>
              </w:rPr>
              <w:t>EIA</w:t>
            </w:r>
            <w:r w:rsidRPr="00125564">
              <w:rPr>
                <w:iCs/>
              </w:rPr>
              <w:t>/IC/CI/</w:t>
            </w:r>
            <w:r>
              <w:rPr>
                <w:iCs/>
              </w:rPr>
              <w:t>7</w:t>
            </w:r>
          </w:p>
        </w:tc>
        <w:tc>
          <w:tcPr>
            <w:tcW w:w="3827" w:type="dxa"/>
            <w:shd w:val="clear" w:color="auto" w:fill="auto"/>
          </w:tcPr>
          <w:p w14:paraId="11BA93BF" w14:textId="77777777" w:rsidR="001D3863" w:rsidRDefault="001D3863" w:rsidP="001D3863">
            <w:pPr>
              <w:suppressAutoHyphens w:val="0"/>
              <w:spacing w:before="40" w:after="120" w:line="240" w:lineRule="auto"/>
              <w:ind w:right="113"/>
              <w:jc w:val="both"/>
            </w:pPr>
            <w:r>
              <w:t>C</w:t>
            </w:r>
            <w:r w:rsidRPr="000A7216">
              <w:t xml:space="preserve">onstruction of large tourism complex in </w:t>
            </w:r>
            <w:proofErr w:type="spellStart"/>
            <w:r w:rsidRPr="000A7216">
              <w:t>Svydovets</w:t>
            </w:r>
            <w:proofErr w:type="spellEnd"/>
            <w:r w:rsidRPr="000A7216">
              <w:t xml:space="preserve"> mountain</w:t>
            </w:r>
            <w:r>
              <w:t xml:space="preserve">s </w:t>
            </w:r>
          </w:p>
        </w:tc>
      </w:tr>
      <w:tr w:rsidR="001D3863" w:rsidRPr="001545EB" w14:paraId="7278B02A" w14:textId="77777777" w:rsidTr="001D3863">
        <w:tc>
          <w:tcPr>
            <w:tcW w:w="1847" w:type="dxa"/>
            <w:shd w:val="clear" w:color="auto" w:fill="auto"/>
          </w:tcPr>
          <w:p w14:paraId="754C8354" w14:textId="77777777" w:rsidR="001D3863" w:rsidRPr="000A7216" w:rsidRDefault="001D3863" w:rsidP="001D3863">
            <w:pPr>
              <w:suppressAutoHyphens w:val="0"/>
              <w:spacing w:before="40" w:after="120" w:line="240" w:lineRule="auto"/>
              <w:ind w:right="113"/>
            </w:pPr>
            <w:r w:rsidRPr="00755444">
              <w:t>EIA/IC/INFO/30</w:t>
            </w:r>
          </w:p>
        </w:tc>
        <w:tc>
          <w:tcPr>
            <w:tcW w:w="1339" w:type="dxa"/>
            <w:shd w:val="clear" w:color="auto" w:fill="auto"/>
          </w:tcPr>
          <w:p w14:paraId="13572FF8" w14:textId="77777777" w:rsidR="001D3863" w:rsidRDefault="001D3863" w:rsidP="001D3863">
            <w:pPr>
              <w:suppressAutoHyphens w:val="0"/>
              <w:spacing w:before="40" w:line="240" w:lineRule="auto"/>
              <w:ind w:right="113"/>
            </w:pPr>
            <w:r>
              <w:t>Denmark</w:t>
            </w:r>
          </w:p>
        </w:tc>
        <w:tc>
          <w:tcPr>
            <w:tcW w:w="1170" w:type="dxa"/>
          </w:tcPr>
          <w:p w14:paraId="12D7F9B7" w14:textId="77777777" w:rsidR="001D3863" w:rsidRDefault="001D3863" w:rsidP="001D3863">
            <w:pPr>
              <w:suppressAutoHyphens w:val="0"/>
              <w:spacing w:before="40" w:after="120" w:line="240" w:lineRule="auto"/>
              <w:ind w:right="113"/>
            </w:pPr>
            <w:r>
              <w:t>ongoing since March 2019</w:t>
            </w:r>
          </w:p>
        </w:tc>
        <w:tc>
          <w:tcPr>
            <w:tcW w:w="3827" w:type="dxa"/>
            <w:shd w:val="clear" w:color="auto" w:fill="auto"/>
          </w:tcPr>
          <w:p w14:paraId="029392F0" w14:textId="77777777" w:rsidR="001D3863" w:rsidRDefault="001D3863" w:rsidP="001D3863">
            <w:pPr>
              <w:suppressAutoHyphens w:val="0"/>
              <w:spacing w:before="40" w:after="120" w:line="240" w:lineRule="auto"/>
              <w:ind w:right="113"/>
              <w:jc w:val="both"/>
            </w:pPr>
            <w:r>
              <w:t>C</w:t>
            </w:r>
            <w:r w:rsidRPr="00755444">
              <w:t>onstruction of natural gas pipeline (Nord Stream 2 project</w:t>
            </w:r>
            <w:r>
              <w:t>)</w:t>
            </w:r>
          </w:p>
        </w:tc>
      </w:tr>
      <w:tr w:rsidR="001D3863" w:rsidRPr="001545EB" w14:paraId="6161C119" w14:textId="77777777" w:rsidTr="001D3863">
        <w:tc>
          <w:tcPr>
            <w:tcW w:w="1847" w:type="dxa"/>
            <w:shd w:val="clear" w:color="auto" w:fill="auto"/>
          </w:tcPr>
          <w:p w14:paraId="1B0B3732" w14:textId="77777777" w:rsidR="001D3863" w:rsidRPr="00755444" w:rsidRDefault="001D3863" w:rsidP="001D3863">
            <w:pPr>
              <w:suppressAutoHyphens w:val="0"/>
              <w:spacing w:before="40" w:after="120" w:line="240" w:lineRule="auto"/>
              <w:ind w:right="113"/>
            </w:pPr>
            <w:r w:rsidRPr="000C232F">
              <w:t>EIA/IC/INFO/31</w:t>
            </w:r>
            <w:r>
              <w:br/>
            </w:r>
          </w:p>
        </w:tc>
        <w:tc>
          <w:tcPr>
            <w:tcW w:w="1339" w:type="dxa"/>
            <w:shd w:val="clear" w:color="auto" w:fill="auto"/>
          </w:tcPr>
          <w:p w14:paraId="18512DFE" w14:textId="77777777" w:rsidR="001D3863" w:rsidRDefault="001D3863" w:rsidP="001D3863">
            <w:pPr>
              <w:suppressAutoHyphens w:val="0"/>
              <w:spacing w:before="40" w:line="240" w:lineRule="auto"/>
              <w:ind w:right="113"/>
            </w:pPr>
            <w:r>
              <w:t>Serbia</w:t>
            </w:r>
          </w:p>
        </w:tc>
        <w:tc>
          <w:tcPr>
            <w:tcW w:w="1170" w:type="dxa"/>
          </w:tcPr>
          <w:p w14:paraId="7D5E1EEB" w14:textId="77777777" w:rsidR="001D3863" w:rsidRPr="005E675C" w:rsidRDefault="001D3863" w:rsidP="001D3863">
            <w:pPr>
              <w:suppressAutoHyphens w:val="0"/>
              <w:spacing w:before="40" w:after="120" w:line="240" w:lineRule="auto"/>
              <w:ind w:right="113"/>
            </w:pPr>
            <w:r>
              <w:t xml:space="preserve">closed in December 2019 further to </w:t>
            </w:r>
            <w:r w:rsidRPr="0010345E">
              <w:t>EIA/IC/S/6</w:t>
            </w:r>
          </w:p>
        </w:tc>
        <w:tc>
          <w:tcPr>
            <w:tcW w:w="3827" w:type="dxa"/>
            <w:shd w:val="clear" w:color="auto" w:fill="auto"/>
          </w:tcPr>
          <w:p w14:paraId="1ED51FAC" w14:textId="77777777" w:rsidR="001D3863" w:rsidRDefault="001D3863" w:rsidP="001D3863">
            <w:pPr>
              <w:suppressAutoHyphens w:val="0"/>
              <w:spacing w:before="40" w:after="120" w:line="240" w:lineRule="auto"/>
              <w:ind w:right="113"/>
              <w:jc w:val="both"/>
            </w:pPr>
            <w:r>
              <w:t xml:space="preserve">Construction of experimental facility to test flotation technology for processing copper, lead and zinc ore in </w:t>
            </w:r>
            <w:proofErr w:type="spellStart"/>
            <w:r>
              <w:t>Karamanica</w:t>
            </w:r>
            <w:proofErr w:type="spellEnd"/>
            <w:r>
              <w:t>.</w:t>
            </w:r>
          </w:p>
          <w:p w14:paraId="712CDE86" w14:textId="77777777" w:rsidR="001D3863" w:rsidRDefault="001D3863" w:rsidP="001D3863">
            <w:pPr>
              <w:pStyle w:val="CommentText"/>
              <w:jc w:val="both"/>
            </w:pPr>
          </w:p>
        </w:tc>
      </w:tr>
      <w:tr w:rsidR="001D3863" w:rsidRPr="001545EB" w14:paraId="14A623FD" w14:textId="77777777" w:rsidTr="001D3863">
        <w:tc>
          <w:tcPr>
            <w:tcW w:w="1847" w:type="dxa"/>
            <w:shd w:val="clear" w:color="auto" w:fill="auto"/>
          </w:tcPr>
          <w:p w14:paraId="7E39D730" w14:textId="77777777" w:rsidR="001D3863" w:rsidRPr="000C232F" w:rsidRDefault="001D3863" w:rsidP="001D3863">
            <w:pPr>
              <w:suppressAutoHyphens w:val="0"/>
              <w:spacing w:before="40" w:after="120" w:line="240" w:lineRule="auto"/>
              <w:ind w:right="113"/>
            </w:pPr>
            <w:r w:rsidRPr="00807DA4">
              <w:t>EIA/IC/INFO/33</w:t>
            </w:r>
          </w:p>
        </w:tc>
        <w:tc>
          <w:tcPr>
            <w:tcW w:w="1339" w:type="dxa"/>
            <w:shd w:val="clear" w:color="auto" w:fill="auto"/>
          </w:tcPr>
          <w:p w14:paraId="0C0136FD" w14:textId="77777777" w:rsidR="001D3863" w:rsidRDefault="001D3863" w:rsidP="001D3863">
            <w:pPr>
              <w:suppressAutoHyphens w:val="0"/>
              <w:spacing w:before="40" w:line="240" w:lineRule="auto"/>
              <w:ind w:right="113"/>
            </w:pPr>
            <w:r>
              <w:t>B</w:t>
            </w:r>
            <w:r w:rsidRPr="00516A9B">
              <w:t>osnia and Herzegovina</w:t>
            </w:r>
          </w:p>
        </w:tc>
        <w:tc>
          <w:tcPr>
            <w:tcW w:w="1170" w:type="dxa"/>
          </w:tcPr>
          <w:p w14:paraId="25A746C7" w14:textId="77777777" w:rsidR="001D3863" w:rsidRDefault="001D3863" w:rsidP="001D3863">
            <w:pPr>
              <w:suppressAutoHyphens w:val="0"/>
              <w:spacing w:before="40" w:after="120" w:line="240" w:lineRule="auto"/>
              <w:ind w:right="113"/>
            </w:pPr>
            <w:r>
              <w:t>ongoing since September 2020</w:t>
            </w:r>
          </w:p>
        </w:tc>
        <w:tc>
          <w:tcPr>
            <w:tcW w:w="3827" w:type="dxa"/>
            <w:shd w:val="clear" w:color="auto" w:fill="auto"/>
          </w:tcPr>
          <w:p w14:paraId="1D5302FB" w14:textId="77777777" w:rsidR="001D3863" w:rsidRPr="000C232F" w:rsidRDefault="001D3863" w:rsidP="001D3863">
            <w:pPr>
              <w:suppressAutoHyphens w:val="0"/>
              <w:spacing w:before="40" w:after="120" w:line="240" w:lineRule="auto"/>
              <w:ind w:right="113"/>
              <w:jc w:val="both"/>
              <w:rPr>
                <w:highlight w:val="yellow"/>
              </w:rPr>
            </w:pPr>
            <w:r>
              <w:t>C</w:t>
            </w:r>
            <w:r w:rsidRPr="00807DA4">
              <w:t xml:space="preserve">onstruction of Buk </w:t>
            </w:r>
            <w:proofErr w:type="spellStart"/>
            <w:r w:rsidRPr="00807DA4">
              <w:t>Bijela</w:t>
            </w:r>
            <w:proofErr w:type="spellEnd"/>
            <w:r w:rsidRPr="00807DA4">
              <w:t xml:space="preserve"> hydropower plant</w:t>
            </w:r>
            <w:r>
              <w:t>.</w:t>
            </w:r>
          </w:p>
        </w:tc>
      </w:tr>
      <w:tr w:rsidR="001D3863" w:rsidRPr="001545EB" w14:paraId="7C207F9B" w14:textId="77777777" w:rsidTr="001D3863">
        <w:tc>
          <w:tcPr>
            <w:tcW w:w="8183" w:type="dxa"/>
            <w:gridSpan w:val="4"/>
            <w:shd w:val="clear" w:color="auto" w:fill="auto"/>
          </w:tcPr>
          <w:p w14:paraId="44BF5B5B" w14:textId="77777777" w:rsidR="001D3863" w:rsidRPr="00B11FBD" w:rsidRDefault="001D3863" w:rsidP="001D3863">
            <w:pPr>
              <w:suppressAutoHyphens w:val="0"/>
              <w:spacing w:before="40" w:after="120" w:line="240" w:lineRule="auto"/>
              <w:ind w:right="113"/>
              <w:jc w:val="both"/>
              <w:rPr>
                <w:i/>
                <w:iCs/>
              </w:rPr>
            </w:pPr>
            <w:r w:rsidRPr="00B11FBD">
              <w:rPr>
                <w:i/>
                <w:iCs/>
              </w:rPr>
              <w:t>Convention</w:t>
            </w:r>
            <w:r>
              <w:rPr>
                <w:i/>
                <w:iCs/>
              </w:rPr>
              <w:t xml:space="preserve"> matters on </w:t>
            </w:r>
            <w:r w:rsidRPr="00B11FBD">
              <w:rPr>
                <w:i/>
                <w:iCs/>
              </w:rPr>
              <w:t>lifetime extensions of nuclear power plants</w:t>
            </w:r>
          </w:p>
        </w:tc>
      </w:tr>
      <w:tr w:rsidR="001D3863" w:rsidRPr="001545EB" w14:paraId="4FA424AF" w14:textId="77777777" w:rsidTr="001D3863">
        <w:tc>
          <w:tcPr>
            <w:tcW w:w="1847" w:type="dxa"/>
            <w:shd w:val="clear" w:color="auto" w:fill="auto"/>
          </w:tcPr>
          <w:p w14:paraId="05CC5D71" w14:textId="77777777" w:rsidR="001D3863" w:rsidRPr="001545EB" w:rsidRDefault="001D3863" w:rsidP="001D3863">
            <w:pPr>
              <w:suppressAutoHyphens w:val="0"/>
              <w:spacing w:before="40" w:after="120" w:line="240" w:lineRule="auto"/>
              <w:ind w:right="113"/>
            </w:pPr>
            <w:r w:rsidRPr="001545EB">
              <w:t>EIA/IC/INFO/15</w:t>
            </w:r>
          </w:p>
        </w:tc>
        <w:tc>
          <w:tcPr>
            <w:tcW w:w="1339" w:type="dxa"/>
            <w:shd w:val="clear" w:color="auto" w:fill="auto"/>
          </w:tcPr>
          <w:p w14:paraId="0C295C8B" w14:textId="77777777" w:rsidR="001D3863" w:rsidRPr="001545EB" w:rsidRDefault="001D3863" w:rsidP="001D3863">
            <w:pPr>
              <w:suppressAutoHyphens w:val="0"/>
              <w:spacing w:before="40" w:after="120" w:line="240" w:lineRule="auto"/>
              <w:ind w:right="113"/>
            </w:pPr>
            <w:r w:rsidRPr="001545EB">
              <w:t>Netherlands</w:t>
            </w:r>
          </w:p>
        </w:tc>
        <w:tc>
          <w:tcPr>
            <w:tcW w:w="1170" w:type="dxa"/>
          </w:tcPr>
          <w:p w14:paraId="29D00595" w14:textId="77777777" w:rsidR="001D3863" w:rsidRPr="001545EB" w:rsidRDefault="001D3863" w:rsidP="001D3863">
            <w:pPr>
              <w:suppressAutoHyphens w:val="0"/>
              <w:spacing w:before="40" w:after="120" w:line="240" w:lineRule="auto"/>
              <w:ind w:right="113"/>
            </w:pPr>
            <w:r>
              <w:t>ongoing since September 2014</w:t>
            </w:r>
          </w:p>
        </w:tc>
        <w:tc>
          <w:tcPr>
            <w:tcW w:w="3827" w:type="dxa"/>
            <w:shd w:val="clear" w:color="auto" w:fill="auto"/>
          </w:tcPr>
          <w:p w14:paraId="2C72EABD" w14:textId="77777777" w:rsidR="001D3863" w:rsidRPr="001545EB" w:rsidRDefault="001D3863" w:rsidP="001D3863">
            <w:pPr>
              <w:suppressAutoHyphens w:val="0"/>
              <w:spacing w:before="40" w:after="120" w:line="240" w:lineRule="auto"/>
              <w:ind w:right="113"/>
              <w:jc w:val="both"/>
            </w:pPr>
            <w:r>
              <w:t>1 unit</w:t>
            </w:r>
            <w:r w:rsidRPr="001545EB">
              <w:t xml:space="preserve"> </w:t>
            </w:r>
            <w:r>
              <w:t xml:space="preserve">of </w:t>
            </w:r>
            <w:proofErr w:type="spellStart"/>
            <w:r w:rsidRPr="001545EB">
              <w:t>Borssele</w:t>
            </w:r>
            <w:proofErr w:type="spellEnd"/>
            <w:r>
              <w:t xml:space="preserve"> nuclear power plant</w:t>
            </w:r>
          </w:p>
        </w:tc>
      </w:tr>
      <w:tr w:rsidR="001D3863" w:rsidRPr="001545EB" w14:paraId="392CC4C3" w14:textId="77777777" w:rsidTr="001D3863">
        <w:tc>
          <w:tcPr>
            <w:tcW w:w="1847" w:type="dxa"/>
            <w:shd w:val="clear" w:color="auto" w:fill="auto"/>
          </w:tcPr>
          <w:p w14:paraId="6720271D" w14:textId="77777777" w:rsidR="001D3863" w:rsidRPr="001545EB" w:rsidRDefault="001D3863" w:rsidP="001D3863">
            <w:pPr>
              <w:suppressAutoHyphens w:val="0"/>
              <w:spacing w:before="40" w:after="120" w:line="240" w:lineRule="auto"/>
              <w:ind w:right="113"/>
            </w:pPr>
            <w:r w:rsidRPr="001545EB">
              <w:t>EIA/IC/INFO/18</w:t>
            </w:r>
          </w:p>
        </w:tc>
        <w:tc>
          <w:tcPr>
            <w:tcW w:w="1339" w:type="dxa"/>
            <w:shd w:val="clear" w:color="auto" w:fill="auto"/>
          </w:tcPr>
          <w:p w14:paraId="57895FB2" w14:textId="77777777" w:rsidR="001D3863" w:rsidRPr="001545EB" w:rsidRDefault="001D3863" w:rsidP="001D3863">
            <w:pPr>
              <w:suppressAutoHyphens w:val="0"/>
              <w:spacing w:before="40" w:after="120" w:line="240" w:lineRule="auto"/>
              <w:ind w:right="113"/>
            </w:pPr>
            <w:r w:rsidRPr="001545EB">
              <w:t>Belgium</w:t>
            </w:r>
          </w:p>
        </w:tc>
        <w:tc>
          <w:tcPr>
            <w:tcW w:w="1170" w:type="dxa"/>
          </w:tcPr>
          <w:p w14:paraId="4C29198A" w14:textId="77777777" w:rsidR="001D3863" w:rsidRPr="001545EB" w:rsidRDefault="001D3863" w:rsidP="001D3863">
            <w:pPr>
              <w:suppressAutoHyphens w:val="0"/>
              <w:spacing w:before="40" w:after="120" w:line="240" w:lineRule="auto"/>
              <w:ind w:right="113"/>
            </w:pPr>
            <w:r>
              <w:t>ongoing since September 2016</w:t>
            </w:r>
          </w:p>
        </w:tc>
        <w:tc>
          <w:tcPr>
            <w:tcW w:w="3827" w:type="dxa"/>
            <w:shd w:val="clear" w:color="auto" w:fill="auto"/>
          </w:tcPr>
          <w:p w14:paraId="5FC58FDC" w14:textId="77777777" w:rsidR="001D3863" w:rsidRPr="001545EB" w:rsidRDefault="001D3863" w:rsidP="001D3863">
            <w:pPr>
              <w:suppressAutoHyphens w:val="0"/>
              <w:spacing w:before="40" w:after="120" w:line="240" w:lineRule="auto"/>
              <w:ind w:right="113"/>
              <w:jc w:val="both"/>
            </w:pPr>
            <w:r>
              <w:t xml:space="preserve">2 units of </w:t>
            </w:r>
            <w:r w:rsidRPr="001545EB">
              <w:t xml:space="preserve">Doel </w:t>
            </w:r>
            <w:r>
              <w:t>nuclear power plant,</w:t>
            </w:r>
            <w:r>
              <w:br/>
              <w:t xml:space="preserve">1 unit of </w:t>
            </w:r>
            <w:proofErr w:type="spellStart"/>
            <w:r w:rsidRPr="001545EB">
              <w:t>Tihange</w:t>
            </w:r>
            <w:proofErr w:type="spellEnd"/>
            <w:r w:rsidRPr="001545EB">
              <w:t xml:space="preserve"> </w:t>
            </w:r>
            <w:r>
              <w:t>nuclear power plant</w:t>
            </w:r>
          </w:p>
        </w:tc>
      </w:tr>
      <w:tr w:rsidR="001D3863" w:rsidRPr="001545EB" w14:paraId="6BD75188" w14:textId="77777777" w:rsidTr="001D3863">
        <w:tc>
          <w:tcPr>
            <w:tcW w:w="1847" w:type="dxa"/>
            <w:shd w:val="clear" w:color="auto" w:fill="auto"/>
          </w:tcPr>
          <w:p w14:paraId="05853E84" w14:textId="77777777" w:rsidR="001D3863" w:rsidRPr="001545EB" w:rsidRDefault="001D3863" w:rsidP="001D3863">
            <w:pPr>
              <w:suppressAutoHyphens w:val="0"/>
              <w:spacing w:before="40" w:after="120" w:line="240" w:lineRule="auto"/>
              <w:ind w:right="113"/>
            </w:pPr>
            <w:r w:rsidRPr="001545EB">
              <w:t>EIA/IC/INFO/19</w:t>
            </w:r>
          </w:p>
        </w:tc>
        <w:tc>
          <w:tcPr>
            <w:tcW w:w="1339" w:type="dxa"/>
            <w:shd w:val="clear" w:color="auto" w:fill="auto"/>
          </w:tcPr>
          <w:p w14:paraId="63BC00FA" w14:textId="77777777" w:rsidR="001D3863" w:rsidRPr="001545EB" w:rsidRDefault="001D3863" w:rsidP="001D3863">
            <w:pPr>
              <w:suppressAutoHyphens w:val="0"/>
              <w:spacing w:before="40" w:after="120" w:line="240" w:lineRule="auto"/>
              <w:ind w:right="113"/>
            </w:pPr>
            <w:r w:rsidRPr="001545EB">
              <w:t>Czech</w:t>
            </w:r>
            <w:r>
              <w:t>ia</w:t>
            </w:r>
          </w:p>
        </w:tc>
        <w:tc>
          <w:tcPr>
            <w:tcW w:w="1170" w:type="dxa"/>
          </w:tcPr>
          <w:p w14:paraId="3E7E6B69" w14:textId="77777777" w:rsidR="001D3863" w:rsidRPr="001545EB" w:rsidRDefault="001D3863" w:rsidP="001D3863">
            <w:pPr>
              <w:suppressAutoHyphens w:val="0"/>
              <w:spacing w:before="40" w:after="120" w:line="240" w:lineRule="auto"/>
              <w:ind w:right="113"/>
            </w:pPr>
            <w:r>
              <w:t>ongoing since December 2016</w:t>
            </w:r>
          </w:p>
        </w:tc>
        <w:tc>
          <w:tcPr>
            <w:tcW w:w="3827" w:type="dxa"/>
            <w:shd w:val="clear" w:color="auto" w:fill="auto"/>
          </w:tcPr>
          <w:p w14:paraId="12EB66E6" w14:textId="77777777" w:rsidR="001D3863" w:rsidRPr="001545EB" w:rsidRDefault="001D3863" w:rsidP="001D3863">
            <w:pPr>
              <w:suppressAutoHyphens w:val="0"/>
              <w:spacing w:before="40" w:after="120" w:line="240" w:lineRule="auto"/>
              <w:ind w:right="113"/>
              <w:jc w:val="both"/>
            </w:pPr>
            <w:r>
              <w:t xml:space="preserve">4 units of </w:t>
            </w:r>
            <w:proofErr w:type="spellStart"/>
            <w:r w:rsidRPr="001545EB">
              <w:t>Dukovany</w:t>
            </w:r>
            <w:proofErr w:type="spellEnd"/>
            <w:r w:rsidRPr="001545EB">
              <w:t xml:space="preserve"> nuclear power plant</w:t>
            </w:r>
          </w:p>
        </w:tc>
      </w:tr>
      <w:tr w:rsidR="001D3863" w:rsidRPr="001545EB" w14:paraId="0AD96806" w14:textId="77777777" w:rsidTr="001D3863">
        <w:tc>
          <w:tcPr>
            <w:tcW w:w="1847" w:type="dxa"/>
            <w:shd w:val="clear" w:color="auto" w:fill="auto"/>
          </w:tcPr>
          <w:p w14:paraId="3E5FAF4A" w14:textId="77777777" w:rsidR="001D3863" w:rsidRPr="001545EB" w:rsidRDefault="001D3863" w:rsidP="001D3863">
            <w:pPr>
              <w:suppressAutoHyphens w:val="0"/>
              <w:spacing w:before="40" w:after="120" w:line="240" w:lineRule="auto"/>
              <w:ind w:right="113"/>
            </w:pPr>
            <w:r w:rsidRPr="001545EB">
              <w:t>EIA/IC/INFO/20</w:t>
            </w:r>
          </w:p>
        </w:tc>
        <w:tc>
          <w:tcPr>
            <w:tcW w:w="1339" w:type="dxa"/>
            <w:shd w:val="clear" w:color="auto" w:fill="auto"/>
          </w:tcPr>
          <w:p w14:paraId="77D47E79" w14:textId="77777777" w:rsidR="001D3863" w:rsidRPr="001545EB" w:rsidRDefault="001D3863" w:rsidP="001D3863">
            <w:pPr>
              <w:suppressAutoHyphens w:val="0"/>
              <w:spacing w:before="40" w:after="120" w:line="240" w:lineRule="auto"/>
              <w:ind w:right="113"/>
            </w:pPr>
            <w:r w:rsidRPr="001545EB">
              <w:t>Ukraine</w:t>
            </w:r>
          </w:p>
        </w:tc>
        <w:tc>
          <w:tcPr>
            <w:tcW w:w="1170" w:type="dxa"/>
          </w:tcPr>
          <w:p w14:paraId="2E04EAEF" w14:textId="77777777" w:rsidR="001D3863" w:rsidRPr="001545EB" w:rsidRDefault="001D3863" w:rsidP="001D3863">
            <w:pPr>
              <w:suppressAutoHyphens w:val="0"/>
              <w:spacing w:before="40" w:after="120" w:line="240" w:lineRule="auto"/>
              <w:ind w:right="113"/>
            </w:pPr>
            <w:r>
              <w:t>ongoing since September 2016</w:t>
            </w:r>
          </w:p>
        </w:tc>
        <w:tc>
          <w:tcPr>
            <w:tcW w:w="3827" w:type="dxa"/>
            <w:shd w:val="clear" w:color="auto" w:fill="auto"/>
          </w:tcPr>
          <w:p w14:paraId="0DB599C9" w14:textId="77777777" w:rsidR="001D3863" w:rsidRPr="001545EB" w:rsidRDefault="001D3863" w:rsidP="001D3863">
            <w:pPr>
              <w:suppressAutoHyphens w:val="0"/>
              <w:spacing w:before="40" w:after="120" w:line="240" w:lineRule="auto"/>
              <w:ind w:right="113"/>
              <w:jc w:val="both"/>
            </w:pPr>
            <w:r>
              <w:t xml:space="preserve">3 units of </w:t>
            </w:r>
            <w:r w:rsidRPr="001545EB">
              <w:t>South Ukrainian</w:t>
            </w:r>
            <w:r>
              <w:t xml:space="preserve"> </w:t>
            </w:r>
            <w:r w:rsidRPr="001545EB">
              <w:t xml:space="preserve">nuclear power plant </w:t>
            </w:r>
            <w:r>
              <w:br/>
              <w:t xml:space="preserve">2 units of </w:t>
            </w:r>
            <w:proofErr w:type="spellStart"/>
            <w:r w:rsidRPr="001545EB">
              <w:t>Khmelnitskiy</w:t>
            </w:r>
            <w:proofErr w:type="spellEnd"/>
            <w:r>
              <w:t xml:space="preserve"> </w:t>
            </w:r>
            <w:r w:rsidRPr="001545EB">
              <w:t>nuclear power plant</w:t>
            </w:r>
            <w:r>
              <w:t xml:space="preserve"> </w:t>
            </w:r>
            <w:r>
              <w:br/>
              <w:t xml:space="preserve">2 units of Rivne </w:t>
            </w:r>
            <w:r w:rsidRPr="001545EB">
              <w:t>nuclear power plant</w:t>
            </w:r>
            <w:r>
              <w:t xml:space="preserve"> </w:t>
            </w:r>
            <w:r>
              <w:br/>
              <w:t xml:space="preserve">5 units of </w:t>
            </w:r>
            <w:proofErr w:type="spellStart"/>
            <w:r w:rsidRPr="001545EB">
              <w:t>Z</w:t>
            </w:r>
            <w:r>
              <w:t>a</w:t>
            </w:r>
            <w:r w:rsidRPr="001545EB">
              <w:t>prizhia</w:t>
            </w:r>
            <w:proofErr w:type="spellEnd"/>
            <w:r>
              <w:t xml:space="preserve"> </w:t>
            </w:r>
            <w:r w:rsidRPr="001545EB">
              <w:t>nuclear power plant</w:t>
            </w:r>
          </w:p>
        </w:tc>
      </w:tr>
      <w:tr w:rsidR="001D3863" w14:paraId="22BFDDED" w14:textId="77777777" w:rsidTr="001D3863">
        <w:tc>
          <w:tcPr>
            <w:tcW w:w="1847" w:type="dxa"/>
            <w:shd w:val="clear" w:color="auto" w:fill="auto"/>
          </w:tcPr>
          <w:p w14:paraId="517863E7" w14:textId="77777777" w:rsidR="001D3863" w:rsidRPr="00743C85" w:rsidRDefault="001D3863" w:rsidP="001D3863">
            <w:pPr>
              <w:suppressAutoHyphens w:val="0"/>
              <w:spacing w:before="40" w:after="120" w:line="240" w:lineRule="auto"/>
              <w:ind w:right="113"/>
              <w:rPr>
                <w:lang w:val="es-ES"/>
              </w:rPr>
            </w:pPr>
            <w:r w:rsidRPr="00644C3F">
              <w:rPr>
                <w:lang w:val="es-ES"/>
              </w:rPr>
              <w:t>ECE/IC/INFO/26</w:t>
            </w:r>
          </w:p>
        </w:tc>
        <w:tc>
          <w:tcPr>
            <w:tcW w:w="1339" w:type="dxa"/>
            <w:shd w:val="clear" w:color="auto" w:fill="auto"/>
          </w:tcPr>
          <w:p w14:paraId="129D77D4" w14:textId="77777777" w:rsidR="001D3863" w:rsidRDefault="001D3863" w:rsidP="001D3863">
            <w:pPr>
              <w:suppressAutoHyphens w:val="0"/>
              <w:spacing w:before="40" w:line="240" w:lineRule="auto"/>
              <w:ind w:right="113"/>
            </w:pPr>
            <w:r>
              <w:t>Spain</w:t>
            </w:r>
          </w:p>
        </w:tc>
        <w:tc>
          <w:tcPr>
            <w:tcW w:w="1170" w:type="dxa"/>
          </w:tcPr>
          <w:p w14:paraId="3E0AAA80" w14:textId="77777777" w:rsidR="001D3863" w:rsidRDefault="001D3863" w:rsidP="001D3863">
            <w:pPr>
              <w:suppressAutoHyphens w:val="0"/>
              <w:spacing w:before="40" w:after="120" w:line="240" w:lineRule="auto"/>
              <w:ind w:right="113"/>
            </w:pPr>
            <w:r>
              <w:t xml:space="preserve">closed in March 2019 </w:t>
            </w:r>
          </w:p>
        </w:tc>
        <w:tc>
          <w:tcPr>
            <w:tcW w:w="3827" w:type="dxa"/>
            <w:shd w:val="clear" w:color="auto" w:fill="auto"/>
          </w:tcPr>
          <w:p w14:paraId="3A3BC9F7" w14:textId="77777777" w:rsidR="001D3863" w:rsidRDefault="001D3863" w:rsidP="001D3863">
            <w:pPr>
              <w:suppressAutoHyphens w:val="0"/>
              <w:spacing w:before="40" w:after="120" w:line="240" w:lineRule="auto"/>
              <w:ind w:right="113"/>
              <w:jc w:val="both"/>
            </w:pPr>
            <w:r>
              <w:t xml:space="preserve">1 unit of </w:t>
            </w:r>
            <w:r w:rsidRPr="00644C3F">
              <w:t xml:space="preserve">Santa Maria de </w:t>
            </w:r>
            <w:proofErr w:type="spellStart"/>
            <w:r w:rsidRPr="00644C3F">
              <w:t>Garoña</w:t>
            </w:r>
            <w:proofErr w:type="spellEnd"/>
            <w:r w:rsidRPr="00644C3F">
              <w:t xml:space="preserve"> nuclear power plant</w:t>
            </w:r>
          </w:p>
        </w:tc>
      </w:tr>
      <w:tr w:rsidR="001D3863" w14:paraId="140712B6" w14:textId="77777777" w:rsidTr="001D3863">
        <w:tc>
          <w:tcPr>
            <w:tcW w:w="1847" w:type="dxa"/>
            <w:shd w:val="clear" w:color="auto" w:fill="auto"/>
          </w:tcPr>
          <w:p w14:paraId="35B194BB" w14:textId="77777777" w:rsidR="001D3863" w:rsidRPr="00644C3F" w:rsidRDefault="001D3863" w:rsidP="001D3863">
            <w:pPr>
              <w:suppressAutoHyphens w:val="0"/>
              <w:spacing w:before="40" w:after="120" w:line="240" w:lineRule="auto"/>
              <w:ind w:right="113"/>
            </w:pPr>
            <w:r w:rsidRPr="00B66274">
              <w:t>ECE/IC/INFO/28</w:t>
            </w:r>
          </w:p>
          <w:p w14:paraId="78A39648" w14:textId="77777777" w:rsidR="001D3863" w:rsidRPr="00F84EBF" w:rsidRDefault="001D3863" w:rsidP="001D3863">
            <w:pPr>
              <w:suppressAutoHyphens w:val="0"/>
              <w:spacing w:before="40" w:after="120" w:line="240" w:lineRule="auto"/>
              <w:ind w:right="113"/>
            </w:pPr>
          </w:p>
        </w:tc>
        <w:tc>
          <w:tcPr>
            <w:tcW w:w="1339" w:type="dxa"/>
            <w:shd w:val="clear" w:color="auto" w:fill="auto"/>
          </w:tcPr>
          <w:p w14:paraId="36C94BE2" w14:textId="77777777" w:rsidR="001D3863" w:rsidRDefault="001D3863" w:rsidP="001D3863">
            <w:pPr>
              <w:suppressAutoHyphens w:val="0"/>
              <w:spacing w:before="40" w:line="240" w:lineRule="auto"/>
              <w:ind w:right="113"/>
            </w:pPr>
            <w:r>
              <w:t>Bulgaria</w:t>
            </w:r>
          </w:p>
        </w:tc>
        <w:tc>
          <w:tcPr>
            <w:tcW w:w="1170" w:type="dxa"/>
          </w:tcPr>
          <w:p w14:paraId="6370DD2A" w14:textId="77777777" w:rsidR="001D3863" w:rsidRDefault="001D3863" w:rsidP="001D3863">
            <w:pPr>
              <w:suppressAutoHyphens w:val="0"/>
              <w:spacing w:before="40" w:after="120" w:line="240" w:lineRule="auto"/>
              <w:ind w:right="113"/>
            </w:pPr>
            <w:r>
              <w:t>ongoing since March 2019</w:t>
            </w:r>
          </w:p>
        </w:tc>
        <w:tc>
          <w:tcPr>
            <w:tcW w:w="3827" w:type="dxa"/>
            <w:shd w:val="clear" w:color="auto" w:fill="auto"/>
          </w:tcPr>
          <w:p w14:paraId="7BE179B5" w14:textId="77777777" w:rsidR="001D3863" w:rsidRDefault="001D3863" w:rsidP="001D3863">
            <w:pPr>
              <w:suppressAutoHyphens w:val="0"/>
              <w:spacing w:before="40" w:after="120" w:line="240" w:lineRule="auto"/>
              <w:ind w:right="113"/>
              <w:jc w:val="both"/>
            </w:pPr>
            <w:r>
              <w:t xml:space="preserve">2 units of </w:t>
            </w:r>
            <w:proofErr w:type="spellStart"/>
            <w:r w:rsidRPr="00B66274">
              <w:t>Kozloduy</w:t>
            </w:r>
            <w:proofErr w:type="spellEnd"/>
            <w:r w:rsidRPr="00B66274">
              <w:t xml:space="preserve"> nuclear power plant</w:t>
            </w:r>
          </w:p>
        </w:tc>
      </w:tr>
      <w:tr w:rsidR="001D3863" w:rsidRPr="000C232F" w14:paraId="19794800" w14:textId="77777777" w:rsidTr="001D3863">
        <w:tc>
          <w:tcPr>
            <w:tcW w:w="1847" w:type="dxa"/>
            <w:shd w:val="clear" w:color="auto" w:fill="auto"/>
          </w:tcPr>
          <w:p w14:paraId="6E6590A1" w14:textId="77777777" w:rsidR="001D3863" w:rsidRPr="000C232F" w:rsidRDefault="001D3863" w:rsidP="001D3863">
            <w:pPr>
              <w:suppressAutoHyphens w:val="0"/>
              <w:spacing w:before="40" w:after="120" w:line="240" w:lineRule="auto"/>
              <w:ind w:right="113"/>
            </w:pPr>
            <w:r w:rsidRPr="00D41882">
              <w:t>EIA/IC/INFO/32</w:t>
            </w:r>
          </w:p>
        </w:tc>
        <w:tc>
          <w:tcPr>
            <w:tcW w:w="1339" w:type="dxa"/>
            <w:shd w:val="clear" w:color="auto" w:fill="auto"/>
          </w:tcPr>
          <w:p w14:paraId="496A5963" w14:textId="77777777" w:rsidR="001D3863" w:rsidRDefault="001D3863" w:rsidP="001D3863">
            <w:pPr>
              <w:suppressAutoHyphens w:val="0"/>
              <w:spacing w:before="40" w:line="240" w:lineRule="auto"/>
              <w:ind w:right="113"/>
            </w:pPr>
            <w:r>
              <w:t>France</w:t>
            </w:r>
          </w:p>
        </w:tc>
        <w:tc>
          <w:tcPr>
            <w:tcW w:w="1170" w:type="dxa"/>
          </w:tcPr>
          <w:p w14:paraId="0FF41032" w14:textId="77777777" w:rsidR="001D3863" w:rsidRDefault="001D3863" w:rsidP="001D3863">
            <w:pPr>
              <w:suppressAutoHyphens w:val="0"/>
              <w:spacing w:before="40" w:after="120" w:line="240" w:lineRule="auto"/>
              <w:ind w:right="113"/>
            </w:pPr>
            <w:r>
              <w:t>ongoing since March 2020</w:t>
            </w:r>
          </w:p>
        </w:tc>
        <w:tc>
          <w:tcPr>
            <w:tcW w:w="3827" w:type="dxa"/>
            <w:shd w:val="clear" w:color="auto" w:fill="auto"/>
          </w:tcPr>
          <w:p w14:paraId="211E10DA" w14:textId="77777777" w:rsidR="001D3863" w:rsidRPr="000C232F" w:rsidRDefault="001D3863" w:rsidP="001D3863">
            <w:pPr>
              <w:suppressAutoHyphens w:val="0"/>
              <w:spacing w:before="40" w:after="120" w:line="240" w:lineRule="auto"/>
              <w:ind w:right="113"/>
              <w:jc w:val="both"/>
              <w:rPr>
                <w:highlight w:val="yellow"/>
              </w:rPr>
            </w:pPr>
            <w:r>
              <w:t xml:space="preserve">4 units of </w:t>
            </w:r>
            <w:proofErr w:type="spellStart"/>
            <w:r>
              <w:t>Blayais</w:t>
            </w:r>
            <w:proofErr w:type="spellEnd"/>
            <w:r>
              <w:t xml:space="preserve"> </w:t>
            </w:r>
            <w:r w:rsidRPr="001545EB">
              <w:t>nuclear power plant</w:t>
            </w:r>
            <w:r>
              <w:t xml:space="preserve"> </w:t>
            </w:r>
            <w:r>
              <w:br/>
              <w:t xml:space="preserve">4 units of </w:t>
            </w:r>
            <w:proofErr w:type="spellStart"/>
            <w:r w:rsidRPr="002267F3">
              <w:t>Bugey</w:t>
            </w:r>
            <w:proofErr w:type="spellEnd"/>
            <w:r>
              <w:t xml:space="preserve"> </w:t>
            </w:r>
            <w:r w:rsidRPr="001545EB">
              <w:t>nuclear power plant</w:t>
            </w:r>
            <w:r>
              <w:t xml:space="preserve"> </w:t>
            </w:r>
            <w:r>
              <w:br/>
              <w:t xml:space="preserve">4 units of </w:t>
            </w:r>
            <w:proofErr w:type="spellStart"/>
            <w:r w:rsidRPr="002267F3">
              <w:t>Chinon</w:t>
            </w:r>
            <w:proofErr w:type="spellEnd"/>
            <w:r>
              <w:t xml:space="preserve"> </w:t>
            </w:r>
            <w:r w:rsidRPr="001545EB">
              <w:t>nuclear power plant</w:t>
            </w:r>
            <w:r>
              <w:t xml:space="preserve"> </w:t>
            </w:r>
            <w:r>
              <w:br/>
              <w:t xml:space="preserve">4 units of </w:t>
            </w:r>
            <w:proofErr w:type="spellStart"/>
            <w:r w:rsidRPr="002267F3">
              <w:t>Cruas</w:t>
            </w:r>
            <w:proofErr w:type="spellEnd"/>
            <w:r>
              <w:t xml:space="preserve"> </w:t>
            </w:r>
            <w:r w:rsidRPr="001545EB">
              <w:t>nuclear power plant</w:t>
            </w:r>
            <w:r>
              <w:t xml:space="preserve"> </w:t>
            </w:r>
            <w:r>
              <w:br/>
              <w:t>4 units of</w:t>
            </w:r>
            <w:r w:rsidRPr="002267F3">
              <w:t xml:space="preserve"> </w:t>
            </w:r>
            <w:proofErr w:type="spellStart"/>
            <w:r w:rsidRPr="002267F3">
              <w:t>Dampierre</w:t>
            </w:r>
            <w:proofErr w:type="spellEnd"/>
            <w:r>
              <w:t xml:space="preserve"> </w:t>
            </w:r>
            <w:r w:rsidRPr="001545EB">
              <w:t>nuclear power plant</w:t>
            </w:r>
            <w:r>
              <w:t xml:space="preserve"> </w:t>
            </w:r>
            <w:r>
              <w:br/>
              <w:t>6 units of</w:t>
            </w:r>
            <w:r w:rsidRPr="002267F3">
              <w:t xml:space="preserve"> </w:t>
            </w:r>
            <w:proofErr w:type="spellStart"/>
            <w:r w:rsidRPr="002267F3">
              <w:t>Gravelines</w:t>
            </w:r>
            <w:proofErr w:type="spellEnd"/>
            <w:r>
              <w:t xml:space="preserve"> </w:t>
            </w:r>
            <w:r w:rsidRPr="001545EB">
              <w:t>nuclear power plant</w:t>
            </w:r>
            <w:r>
              <w:t xml:space="preserve"> </w:t>
            </w:r>
            <w:r>
              <w:br/>
              <w:t>2 units of</w:t>
            </w:r>
            <w:r w:rsidRPr="002267F3">
              <w:t xml:space="preserve"> St. Laurent</w:t>
            </w:r>
            <w:r>
              <w:t xml:space="preserve"> </w:t>
            </w:r>
            <w:r w:rsidRPr="001545EB">
              <w:t>nuclear power plant</w:t>
            </w:r>
            <w:r>
              <w:t xml:space="preserve"> </w:t>
            </w:r>
            <w:r>
              <w:br/>
              <w:t xml:space="preserve">4  units of </w:t>
            </w:r>
            <w:proofErr w:type="spellStart"/>
            <w:r w:rsidRPr="002267F3">
              <w:t>Tricastin</w:t>
            </w:r>
            <w:proofErr w:type="spellEnd"/>
            <w:r w:rsidRPr="002267F3">
              <w:t xml:space="preserve"> </w:t>
            </w:r>
            <w:r w:rsidRPr="001545EB">
              <w:t>nuclear power plant</w:t>
            </w:r>
          </w:p>
        </w:tc>
      </w:tr>
      <w:tr w:rsidR="001D3863" w:rsidRPr="000C232F" w14:paraId="6CBED09D" w14:textId="77777777" w:rsidTr="001D3863">
        <w:tc>
          <w:tcPr>
            <w:tcW w:w="1847" w:type="dxa"/>
            <w:shd w:val="clear" w:color="auto" w:fill="auto"/>
          </w:tcPr>
          <w:p w14:paraId="5CCBE271" w14:textId="77777777" w:rsidR="001D3863" w:rsidRPr="00D41882" w:rsidRDefault="001D3863" w:rsidP="001D3863">
            <w:pPr>
              <w:suppressAutoHyphens w:val="0"/>
              <w:spacing w:before="40" w:after="120" w:line="240" w:lineRule="auto"/>
              <w:ind w:right="113"/>
            </w:pPr>
            <w:r w:rsidRPr="00D41882">
              <w:lastRenderedPageBreak/>
              <w:t>EIA/IC/INFO/3</w:t>
            </w:r>
            <w:r>
              <w:t>4</w:t>
            </w:r>
          </w:p>
        </w:tc>
        <w:tc>
          <w:tcPr>
            <w:tcW w:w="1339" w:type="dxa"/>
            <w:shd w:val="clear" w:color="auto" w:fill="auto"/>
          </w:tcPr>
          <w:p w14:paraId="14BAFCF8" w14:textId="77777777" w:rsidR="001D3863" w:rsidRDefault="001D3863" w:rsidP="001D3863">
            <w:pPr>
              <w:suppressAutoHyphens w:val="0"/>
              <w:spacing w:before="40" w:line="240" w:lineRule="auto"/>
              <w:ind w:right="113"/>
            </w:pPr>
            <w:r>
              <w:t>Spain</w:t>
            </w:r>
          </w:p>
        </w:tc>
        <w:tc>
          <w:tcPr>
            <w:tcW w:w="1170" w:type="dxa"/>
          </w:tcPr>
          <w:p w14:paraId="6487697E" w14:textId="77777777" w:rsidR="001D3863" w:rsidRDefault="001D3863" w:rsidP="001D3863">
            <w:pPr>
              <w:suppressAutoHyphens w:val="0"/>
              <w:spacing w:before="40" w:after="120" w:line="240" w:lineRule="auto"/>
              <w:ind w:right="113"/>
            </w:pPr>
            <w:r>
              <w:t>ongoing since September 2020</w:t>
            </w:r>
          </w:p>
        </w:tc>
        <w:tc>
          <w:tcPr>
            <w:tcW w:w="3827" w:type="dxa"/>
            <w:shd w:val="clear" w:color="auto" w:fill="auto"/>
          </w:tcPr>
          <w:p w14:paraId="39E6F7D7" w14:textId="77777777" w:rsidR="001D3863" w:rsidRDefault="001D3863" w:rsidP="001D3863">
            <w:pPr>
              <w:suppressAutoHyphens w:val="0"/>
              <w:spacing w:before="40" w:after="120" w:line="240" w:lineRule="auto"/>
              <w:ind w:right="113"/>
              <w:jc w:val="both"/>
            </w:pPr>
            <w:r>
              <w:t>2 units of Almaraz nuclear power plant</w:t>
            </w:r>
          </w:p>
        </w:tc>
      </w:tr>
      <w:tr w:rsidR="001D3863" w:rsidRPr="001545EB" w14:paraId="3422F1B4" w14:textId="77777777" w:rsidTr="001D3863">
        <w:tc>
          <w:tcPr>
            <w:tcW w:w="1847" w:type="dxa"/>
            <w:shd w:val="clear" w:color="auto" w:fill="auto"/>
          </w:tcPr>
          <w:p w14:paraId="6F560B3F" w14:textId="77777777" w:rsidR="001D3863" w:rsidRPr="001545EB" w:rsidRDefault="001D3863" w:rsidP="001D3863">
            <w:pPr>
              <w:suppressAutoHyphens w:val="0"/>
              <w:spacing w:before="40" w:after="120" w:line="240" w:lineRule="auto"/>
              <w:ind w:right="113"/>
              <w:rPr>
                <w:i/>
              </w:rPr>
            </w:pPr>
            <w:r w:rsidRPr="001545EB">
              <w:rPr>
                <w:i/>
              </w:rPr>
              <w:t>Protocol matters</w:t>
            </w:r>
          </w:p>
        </w:tc>
        <w:tc>
          <w:tcPr>
            <w:tcW w:w="1339" w:type="dxa"/>
            <w:shd w:val="clear" w:color="auto" w:fill="auto"/>
          </w:tcPr>
          <w:p w14:paraId="52FA6599" w14:textId="77777777" w:rsidR="001D3863" w:rsidRPr="001545EB" w:rsidRDefault="001D3863" w:rsidP="001D3863">
            <w:pPr>
              <w:suppressAutoHyphens w:val="0"/>
              <w:spacing w:before="40" w:after="120" w:line="240" w:lineRule="auto"/>
              <w:ind w:right="113"/>
              <w:rPr>
                <w:i/>
              </w:rPr>
            </w:pPr>
          </w:p>
        </w:tc>
        <w:tc>
          <w:tcPr>
            <w:tcW w:w="1170" w:type="dxa"/>
          </w:tcPr>
          <w:p w14:paraId="6B188635" w14:textId="77777777" w:rsidR="001D3863" w:rsidRPr="001545EB" w:rsidRDefault="001D3863" w:rsidP="001D3863">
            <w:pPr>
              <w:suppressAutoHyphens w:val="0"/>
              <w:spacing w:before="40" w:after="120" w:line="240" w:lineRule="auto"/>
              <w:ind w:right="113"/>
              <w:rPr>
                <w:i/>
              </w:rPr>
            </w:pPr>
          </w:p>
        </w:tc>
        <w:tc>
          <w:tcPr>
            <w:tcW w:w="3827" w:type="dxa"/>
            <w:shd w:val="clear" w:color="auto" w:fill="auto"/>
          </w:tcPr>
          <w:p w14:paraId="26E1811D" w14:textId="77777777" w:rsidR="001D3863" w:rsidRPr="001545EB" w:rsidRDefault="001D3863" w:rsidP="001D3863">
            <w:pPr>
              <w:suppressAutoHyphens w:val="0"/>
              <w:spacing w:before="40" w:after="120" w:line="240" w:lineRule="auto"/>
              <w:ind w:right="113"/>
              <w:jc w:val="both"/>
              <w:rPr>
                <w:i/>
              </w:rPr>
            </w:pPr>
          </w:p>
        </w:tc>
      </w:tr>
      <w:tr w:rsidR="001D3863" w:rsidRPr="001545EB" w14:paraId="362C31EE" w14:textId="77777777" w:rsidTr="001D3863">
        <w:tc>
          <w:tcPr>
            <w:tcW w:w="1847" w:type="dxa"/>
            <w:shd w:val="clear" w:color="auto" w:fill="auto"/>
          </w:tcPr>
          <w:p w14:paraId="3B9F5AC3" w14:textId="77777777" w:rsidR="001D3863" w:rsidRPr="00A42C88" w:rsidRDefault="001D3863" w:rsidP="001D3863">
            <w:pPr>
              <w:suppressAutoHyphens w:val="0"/>
              <w:spacing w:before="40" w:after="120" w:line="240" w:lineRule="auto"/>
              <w:ind w:right="113"/>
              <w:rPr>
                <w:iCs/>
              </w:rPr>
            </w:pPr>
            <w:r w:rsidRPr="00A42C88">
              <w:rPr>
                <w:iCs/>
              </w:rPr>
              <w:t>SEA/IC/INFO/1</w:t>
            </w:r>
            <w:r>
              <w:rPr>
                <w:iCs/>
              </w:rPr>
              <w:t xml:space="preserve"> opened further to </w:t>
            </w:r>
            <w:r w:rsidRPr="00A42C88">
              <w:rPr>
                <w:iCs/>
              </w:rPr>
              <w:t>EIA/IC/INFO/14</w:t>
            </w:r>
          </w:p>
        </w:tc>
        <w:tc>
          <w:tcPr>
            <w:tcW w:w="1339" w:type="dxa"/>
            <w:shd w:val="clear" w:color="auto" w:fill="auto"/>
          </w:tcPr>
          <w:p w14:paraId="6B69B28B" w14:textId="77777777" w:rsidR="001D3863" w:rsidRPr="00A42C88" w:rsidRDefault="001D3863" w:rsidP="001D3863">
            <w:pPr>
              <w:suppressAutoHyphens w:val="0"/>
              <w:spacing w:before="40" w:after="120" w:line="240" w:lineRule="auto"/>
              <w:ind w:right="113"/>
              <w:rPr>
                <w:iCs/>
              </w:rPr>
            </w:pPr>
            <w:r>
              <w:rPr>
                <w:iCs/>
              </w:rPr>
              <w:t>Serbia</w:t>
            </w:r>
          </w:p>
        </w:tc>
        <w:tc>
          <w:tcPr>
            <w:tcW w:w="1170" w:type="dxa"/>
          </w:tcPr>
          <w:p w14:paraId="50F3782E" w14:textId="77777777" w:rsidR="001D3863" w:rsidRPr="00A42C88" w:rsidRDefault="001D3863" w:rsidP="001D3863">
            <w:pPr>
              <w:suppressAutoHyphens w:val="0"/>
              <w:spacing w:before="40" w:after="120" w:line="240" w:lineRule="auto"/>
              <w:ind w:right="113"/>
              <w:rPr>
                <w:iCs/>
              </w:rPr>
            </w:pPr>
            <w:r>
              <w:t>closed</w:t>
            </w:r>
            <w:r w:rsidRPr="00A42C88">
              <w:rPr>
                <w:iCs/>
              </w:rPr>
              <w:t xml:space="preserve"> </w:t>
            </w:r>
            <w:r>
              <w:rPr>
                <w:iCs/>
              </w:rPr>
              <w:t xml:space="preserve">in December 2019 / lead </w:t>
            </w:r>
            <w:r w:rsidRPr="00A42C88">
              <w:rPr>
                <w:iCs/>
              </w:rPr>
              <w:t xml:space="preserve">to </w:t>
            </w:r>
            <w:bookmarkStart w:id="30" w:name="_Hlk50545036"/>
            <w:r w:rsidRPr="00125564">
              <w:rPr>
                <w:iCs/>
              </w:rPr>
              <w:t>SEA/IC/CI/</w:t>
            </w:r>
            <w:r>
              <w:rPr>
                <w:iCs/>
              </w:rPr>
              <w:t>1</w:t>
            </w:r>
            <w:bookmarkEnd w:id="30"/>
            <w:r>
              <w:rPr>
                <w:iCs/>
              </w:rPr>
              <w:br/>
            </w:r>
          </w:p>
        </w:tc>
        <w:tc>
          <w:tcPr>
            <w:tcW w:w="3827" w:type="dxa"/>
            <w:shd w:val="clear" w:color="auto" w:fill="auto"/>
          </w:tcPr>
          <w:p w14:paraId="275655F4" w14:textId="77777777" w:rsidR="001D3863" w:rsidRPr="00A42C88" w:rsidRDefault="001D3863" w:rsidP="001D3863">
            <w:pPr>
              <w:suppressAutoHyphens w:val="0"/>
              <w:spacing w:before="40" w:after="120" w:line="240" w:lineRule="auto"/>
              <w:ind w:right="113"/>
              <w:jc w:val="both"/>
              <w:rPr>
                <w:iCs/>
              </w:rPr>
            </w:pPr>
            <w:r w:rsidRPr="00701442">
              <w:rPr>
                <w:iCs/>
              </w:rPr>
              <w:t>Energy Sector Development Strategy for the Period up to 2025 with Projections up to 2030 and the Strategy’s implementation programme for the Period 2017–2023</w:t>
            </w:r>
          </w:p>
        </w:tc>
      </w:tr>
      <w:tr w:rsidR="001D3863" w:rsidRPr="001545EB" w14:paraId="242F0AC8" w14:textId="77777777" w:rsidTr="001D3863">
        <w:tc>
          <w:tcPr>
            <w:tcW w:w="1847" w:type="dxa"/>
            <w:tcBorders>
              <w:bottom w:val="nil"/>
            </w:tcBorders>
            <w:shd w:val="clear" w:color="auto" w:fill="auto"/>
          </w:tcPr>
          <w:p w14:paraId="58844B74" w14:textId="77777777" w:rsidR="001D3863" w:rsidRPr="001545EB" w:rsidRDefault="001D3863" w:rsidP="001D3863">
            <w:pPr>
              <w:suppressAutoHyphens w:val="0"/>
              <w:spacing w:before="40" w:after="120" w:line="240" w:lineRule="auto"/>
              <w:ind w:right="113"/>
            </w:pPr>
            <w:r w:rsidRPr="00E85668">
              <w:t>SEA/IC/INFO/3</w:t>
            </w:r>
          </w:p>
        </w:tc>
        <w:tc>
          <w:tcPr>
            <w:tcW w:w="1339" w:type="dxa"/>
            <w:tcBorders>
              <w:bottom w:val="nil"/>
            </w:tcBorders>
            <w:shd w:val="clear" w:color="auto" w:fill="auto"/>
          </w:tcPr>
          <w:p w14:paraId="664F92BB" w14:textId="77777777" w:rsidR="001D3863" w:rsidRPr="001545EB" w:rsidRDefault="001D3863" w:rsidP="001D3863">
            <w:pPr>
              <w:suppressAutoHyphens w:val="0"/>
              <w:spacing w:before="40" w:after="120" w:line="240" w:lineRule="auto"/>
              <w:ind w:right="113"/>
            </w:pPr>
            <w:r>
              <w:t>Ukraine</w:t>
            </w:r>
          </w:p>
        </w:tc>
        <w:tc>
          <w:tcPr>
            <w:tcW w:w="1170" w:type="dxa"/>
            <w:tcBorders>
              <w:bottom w:val="nil"/>
            </w:tcBorders>
          </w:tcPr>
          <w:p w14:paraId="15BCF7DD" w14:textId="77777777" w:rsidR="001D3863" w:rsidRPr="00E85668" w:rsidRDefault="001D3863" w:rsidP="001D3863">
            <w:pPr>
              <w:suppressAutoHyphens w:val="0"/>
              <w:spacing w:before="40" w:after="120" w:line="240" w:lineRule="auto"/>
              <w:ind w:right="113"/>
            </w:pPr>
            <w:r>
              <w:t xml:space="preserve">closed </w:t>
            </w:r>
            <w:r>
              <w:rPr>
                <w:iCs/>
              </w:rPr>
              <w:t>in December 2019</w:t>
            </w:r>
          </w:p>
        </w:tc>
        <w:tc>
          <w:tcPr>
            <w:tcW w:w="3827" w:type="dxa"/>
            <w:tcBorders>
              <w:bottom w:val="nil"/>
            </w:tcBorders>
            <w:shd w:val="clear" w:color="auto" w:fill="auto"/>
          </w:tcPr>
          <w:p w14:paraId="0D7D8A4B" w14:textId="77777777" w:rsidR="001D3863" w:rsidRPr="001545EB" w:rsidRDefault="001D3863" w:rsidP="001D3863">
            <w:pPr>
              <w:suppressAutoHyphens w:val="0"/>
              <w:spacing w:before="40" w:after="120" w:line="240" w:lineRule="auto"/>
              <w:ind w:right="113"/>
              <w:jc w:val="both"/>
            </w:pPr>
            <w:r w:rsidRPr="00E85668">
              <w:t>Programme for Hydro Energy Development for the Period until 2026</w:t>
            </w:r>
            <w:r>
              <w:t>.</w:t>
            </w:r>
          </w:p>
        </w:tc>
      </w:tr>
      <w:tr w:rsidR="001D3863" w:rsidRPr="001545EB" w14:paraId="271C31EF" w14:textId="77777777" w:rsidTr="001D3863">
        <w:tc>
          <w:tcPr>
            <w:tcW w:w="1847" w:type="dxa"/>
            <w:tcBorders>
              <w:top w:val="nil"/>
              <w:bottom w:val="single" w:sz="12" w:space="0" w:color="auto"/>
            </w:tcBorders>
            <w:shd w:val="clear" w:color="auto" w:fill="auto"/>
          </w:tcPr>
          <w:p w14:paraId="3BBD6297" w14:textId="77777777" w:rsidR="001D3863" w:rsidRPr="001545EB" w:rsidRDefault="001D3863" w:rsidP="001D3863">
            <w:pPr>
              <w:suppressAutoHyphens w:val="0"/>
              <w:spacing w:before="40" w:after="120" w:line="240" w:lineRule="auto"/>
              <w:ind w:right="113"/>
            </w:pPr>
            <w:r w:rsidRPr="00A42C88">
              <w:t>SEA/IC/INFO/4</w:t>
            </w:r>
          </w:p>
        </w:tc>
        <w:tc>
          <w:tcPr>
            <w:tcW w:w="1339" w:type="dxa"/>
            <w:tcBorders>
              <w:top w:val="nil"/>
              <w:bottom w:val="single" w:sz="12" w:space="0" w:color="auto"/>
            </w:tcBorders>
            <w:shd w:val="clear" w:color="auto" w:fill="auto"/>
          </w:tcPr>
          <w:p w14:paraId="6B7BFCB7" w14:textId="77777777" w:rsidR="001D3863" w:rsidRPr="001545EB" w:rsidRDefault="001D3863" w:rsidP="001D3863">
            <w:pPr>
              <w:suppressAutoHyphens w:val="0"/>
              <w:spacing w:before="40" w:after="120" w:line="240" w:lineRule="auto"/>
              <w:ind w:right="113"/>
            </w:pPr>
            <w:r>
              <w:t>Poland</w:t>
            </w:r>
          </w:p>
        </w:tc>
        <w:tc>
          <w:tcPr>
            <w:tcW w:w="1170" w:type="dxa"/>
            <w:tcBorders>
              <w:top w:val="nil"/>
              <w:bottom w:val="single" w:sz="12" w:space="0" w:color="auto"/>
            </w:tcBorders>
          </w:tcPr>
          <w:p w14:paraId="0E9AEBB9" w14:textId="77777777" w:rsidR="001D3863" w:rsidRDefault="001D3863" w:rsidP="001D3863">
            <w:pPr>
              <w:suppressAutoHyphens w:val="0"/>
              <w:spacing w:before="40" w:after="120" w:line="240" w:lineRule="auto"/>
              <w:ind w:right="113"/>
            </w:pPr>
            <w:r>
              <w:t>ongoing since September 2020</w:t>
            </w:r>
          </w:p>
        </w:tc>
        <w:tc>
          <w:tcPr>
            <w:tcW w:w="3827" w:type="dxa"/>
            <w:tcBorders>
              <w:top w:val="nil"/>
              <w:bottom w:val="single" w:sz="12" w:space="0" w:color="auto"/>
            </w:tcBorders>
            <w:shd w:val="clear" w:color="auto" w:fill="auto"/>
          </w:tcPr>
          <w:p w14:paraId="6851D9C4" w14:textId="77777777" w:rsidR="001D3863" w:rsidRPr="001545EB" w:rsidRDefault="001D3863" w:rsidP="001D3863">
            <w:pPr>
              <w:suppressAutoHyphens w:val="0"/>
              <w:spacing w:before="40" w:after="120" w:line="240" w:lineRule="auto"/>
              <w:ind w:right="113"/>
              <w:jc w:val="both"/>
            </w:pPr>
            <w:r>
              <w:t>D</w:t>
            </w:r>
            <w:r w:rsidRPr="00A42C88">
              <w:t>raft of the Energy Policy until 2040</w:t>
            </w:r>
            <w:r>
              <w:t xml:space="preserve">. </w:t>
            </w:r>
          </w:p>
        </w:tc>
      </w:tr>
    </w:tbl>
    <w:p w14:paraId="7FB46FB8" w14:textId="77777777" w:rsidR="001D3863" w:rsidRDefault="001D3863" w:rsidP="001D3863">
      <w:pPr>
        <w:pStyle w:val="H1G"/>
      </w:pPr>
      <w:r>
        <w:tab/>
      </w:r>
      <w:r w:rsidRPr="001545EB">
        <w:t>A.</w:t>
      </w:r>
      <w:r w:rsidRPr="001545EB">
        <w:tab/>
        <w:t>Convention matters</w:t>
      </w:r>
    </w:p>
    <w:p w14:paraId="482ED423" w14:textId="53763529" w:rsidR="001D3863" w:rsidRDefault="00A70654" w:rsidP="00A70654">
      <w:pPr>
        <w:pStyle w:val="H23G"/>
      </w:pPr>
      <w:r>
        <w:tab/>
      </w:r>
      <w:r w:rsidR="001D3863">
        <w:t>1.</w:t>
      </w:r>
      <w:r>
        <w:tab/>
      </w:r>
      <w:r w:rsidR="001D3863" w:rsidRPr="113E6D9A">
        <w:t>Belarus</w:t>
      </w:r>
      <w:r w:rsidR="001D3863">
        <w:t xml:space="preserve"> </w:t>
      </w:r>
    </w:p>
    <w:p w14:paraId="478D2AF1" w14:textId="1F56793F" w:rsidR="001D3863" w:rsidRDefault="00A70654" w:rsidP="0077496D">
      <w:pPr>
        <w:pStyle w:val="H4G"/>
      </w:pPr>
      <w:r>
        <w:tab/>
      </w:r>
      <w:r>
        <w:tab/>
      </w:r>
      <w:r w:rsidR="001D3863" w:rsidRPr="0077496D">
        <w:t xml:space="preserve"> </w:t>
      </w:r>
      <w:r w:rsidR="001D3863" w:rsidRPr="001545EB">
        <w:t>EIA/IC/INFO/21</w:t>
      </w:r>
    </w:p>
    <w:p w14:paraId="0DB52C6E" w14:textId="77777777" w:rsidR="001D3863" w:rsidRDefault="001D3863" w:rsidP="001D3863">
      <w:pPr>
        <w:pStyle w:val="SingleTxtG"/>
      </w:pPr>
      <w:r>
        <w:t>66.</w:t>
      </w:r>
      <w:r>
        <w:tab/>
        <w:t>The Committee agreed to monitor ongoing revision by Belarus of national environmental assessment legislation with a view to addressing its deficiencies and shortcomings vis-à-vis the Convention and Protocol.</w:t>
      </w:r>
    </w:p>
    <w:p w14:paraId="7A76395F" w14:textId="5A6C93BD" w:rsidR="001D3863" w:rsidRDefault="00A70654" w:rsidP="00A70654">
      <w:pPr>
        <w:pStyle w:val="H23G"/>
      </w:pPr>
      <w:r>
        <w:tab/>
      </w:r>
      <w:r w:rsidR="001D3863" w:rsidRPr="00A70654">
        <w:t>2.</w:t>
      </w:r>
      <w:r>
        <w:tab/>
      </w:r>
      <w:r w:rsidR="001D3863" w:rsidRPr="00A70654">
        <w:t>Bosnia and Herzegovina</w:t>
      </w:r>
    </w:p>
    <w:p w14:paraId="2483E14F" w14:textId="1BB69555" w:rsidR="001D3863" w:rsidRDefault="00A70654" w:rsidP="0077496D">
      <w:pPr>
        <w:pStyle w:val="H4G"/>
      </w:pPr>
      <w:r>
        <w:tab/>
      </w:r>
      <w:r>
        <w:tab/>
      </w:r>
      <w:r w:rsidR="001D3863" w:rsidRPr="001545EB">
        <w:t>EIA/IC/INFO/</w:t>
      </w:r>
      <w:r w:rsidR="001D3863">
        <w:t>16</w:t>
      </w:r>
    </w:p>
    <w:p w14:paraId="72674779" w14:textId="77777777" w:rsidR="001D3863" w:rsidRDefault="001D3863" w:rsidP="001D3863">
      <w:pPr>
        <w:pStyle w:val="SingleTxtG"/>
      </w:pPr>
      <w:r>
        <w:t>67.</w:t>
      </w:r>
      <w:r>
        <w:tab/>
        <w:t>A</w:t>
      </w:r>
      <w:r w:rsidRPr="00073339">
        <w:t xml:space="preserve">t </w:t>
      </w:r>
      <w:r>
        <w:t>its</w:t>
      </w:r>
      <w:r w:rsidRPr="00073339">
        <w:t xml:space="preserve"> forty-eighth session, the Committee agreed to </w:t>
      </w:r>
      <w:r>
        <w:t xml:space="preserve">continue </w:t>
      </w:r>
      <w:r w:rsidRPr="00073339">
        <w:t>monitor</w:t>
      </w:r>
      <w:r>
        <w:t>ing</w:t>
      </w:r>
      <w:r w:rsidRPr="00073339">
        <w:t xml:space="preserve"> the </w:t>
      </w:r>
      <w:r>
        <w:t xml:space="preserve">ongoing </w:t>
      </w:r>
      <w:r w:rsidRPr="00073339">
        <w:t xml:space="preserve">transboundary procedure under the Convention </w:t>
      </w:r>
      <w:r>
        <w:t>regarding</w:t>
      </w:r>
      <w:r w:rsidRPr="00073339">
        <w:t xml:space="preserve"> planned construction of the </w:t>
      </w:r>
      <w:proofErr w:type="spellStart"/>
      <w:r w:rsidRPr="00073339">
        <w:t>Ugljevik</w:t>
      </w:r>
      <w:proofErr w:type="spellEnd"/>
      <w:r w:rsidRPr="00073339">
        <w:t xml:space="preserve"> thermal power </w:t>
      </w:r>
      <w:r>
        <w:t xml:space="preserve">initiated </w:t>
      </w:r>
      <w:r w:rsidRPr="00073339">
        <w:t>by Bosnia and Herzegovina in October 2019</w:t>
      </w:r>
      <w:r>
        <w:t xml:space="preserve"> by</w:t>
      </w:r>
      <w:r w:rsidRPr="00073339">
        <w:t xml:space="preserve"> notif</w:t>
      </w:r>
      <w:r>
        <w:t xml:space="preserve">ying </w:t>
      </w:r>
      <w:r w:rsidRPr="00073339">
        <w:t>Serbia</w:t>
      </w:r>
      <w:r>
        <w:t xml:space="preserve"> further to the outcomes of the informal consultations referred to in paragraph 69 below.</w:t>
      </w:r>
      <w:r w:rsidRPr="00073339">
        <w:t xml:space="preserve"> </w:t>
      </w:r>
    </w:p>
    <w:p w14:paraId="7F2DDA80" w14:textId="6E48DA4B" w:rsidR="001D3863" w:rsidRDefault="00A70654" w:rsidP="0077496D">
      <w:pPr>
        <w:pStyle w:val="H4G"/>
      </w:pPr>
      <w:r>
        <w:tab/>
      </w:r>
      <w:r>
        <w:tab/>
      </w:r>
      <w:r w:rsidR="001D3863" w:rsidRPr="001545EB">
        <w:t>EIA/IC/INFO/</w:t>
      </w:r>
      <w:r w:rsidR="001D3863">
        <w:t>17</w:t>
      </w:r>
    </w:p>
    <w:p w14:paraId="1D244FEC" w14:textId="77777777" w:rsidR="001D3863" w:rsidRPr="00073339" w:rsidRDefault="001D3863" w:rsidP="001D3863">
      <w:pPr>
        <w:pStyle w:val="SingleTxtG"/>
      </w:pPr>
      <w:r>
        <w:t>68.</w:t>
      </w:r>
      <w:r>
        <w:tab/>
        <w:t>At its forty-sixth session, the Committee agreed that there were no grounds for it continuing its information gathering activities concerning</w:t>
      </w:r>
      <w:r w:rsidRPr="0074631E">
        <w:t xml:space="preserve"> planned construction </w:t>
      </w:r>
      <w:r>
        <w:t xml:space="preserve">by Bosnia and Herzegovina </w:t>
      </w:r>
      <w:r w:rsidRPr="0074631E">
        <w:t xml:space="preserve">of a new thermo-power plant in </w:t>
      </w:r>
      <w:proofErr w:type="spellStart"/>
      <w:r w:rsidRPr="0074631E">
        <w:t>Stanari</w:t>
      </w:r>
      <w:proofErr w:type="spellEnd"/>
      <w:r>
        <w:t>, close to Croatia</w:t>
      </w:r>
      <w:r w:rsidRPr="0074631E">
        <w:t xml:space="preserve">. </w:t>
      </w:r>
      <w:r>
        <w:t xml:space="preserve">The Parties concerned </w:t>
      </w:r>
      <w:r w:rsidRPr="00EA2D33">
        <w:t xml:space="preserve">had not demonstrated willingness to </w:t>
      </w:r>
      <w:r>
        <w:t xml:space="preserve">apply the Convention for the activity, also under </w:t>
      </w:r>
      <w:r w:rsidRPr="00EA2D33">
        <w:t>article 3</w:t>
      </w:r>
      <w:r>
        <w:t xml:space="preserve"> </w:t>
      </w:r>
      <w:r w:rsidRPr="00EA2D33">
        <w:t>(7)</w:t>
      </w:r>
      <w:r>
        <w:t>, as recommended by the Committee.</w:t>
      </w:r>
    </w:p>
    <w:p w14:paraId="151AC81C" w14:textId="1078D377" w:rsidR="001D3863" w:rsidRPr="00017ADF" w:rsidRDefault="00A70654" w:rsidP="0077496D">
      <w:pPr>
        <w:pStyle w:val="H4G"/>
      </w:pPr>
      <w:r>
        <w:tab/>
      </w:r>
      <w:r>
        <w:tab/>
      </w:r>
      <w:r w:rsidR="001D3863" w:rsidRPr="00017ADF">
        <w:t>ECE/IC/INFO/23 and</w:t>
      </w:r>
      <w:r w:rsidR="001D3863">
        <w:t xml:space="preserve"> </w:t>
      </w:r>
      <w:r w:rsidR="001D3863" w:rsidRPr="00917E75">
        <w:t>ECE/IC/INFO/2</w:t>
      </w:r>
      <w:r w:rsidR="001D3863">
        <w:t>4</w:t>
      </w:r>
    </w:p>
    <w:p w14:paraId="3F7B9690" w14:textId="06552751" w:rsidR="001D3863" w:rsidRDefault="001D3863" w:rsidP="001D3863">
      <w:pPr>
        <w:pStyle w:val="SingleTxtG"/>
      </w:pPr>
      <w:r>
        <w:t>69.</w:t>
      </w:r>
      <w:r>
        <w:tab/>
        <w:t xml:space="preserve">To address information gaps and clarify the Parties’ positions regarding application of the Convention to the planned construction of the </w:t>
      </w:r>
      <w:proofErr w:type="spellStart"/>
      <w:r>
        <w:t>Banovici</w:t>
      </w:r>
      <w:proofErr w:type="spellEnd"/>
      <w:r>
        <w:t xml:space="preserve"> </w:t>
      </w:r>
      <w:r w:rsidRPr="000A1B1F">
        <w:t xml:space="preserve">and </w:t>
      </w:r>
      <w:r w:rsidRPr="006A42F8">
        <w:t>Tuzl</w:t>
      </w:r>
      <w:r w:rsidRPr="000A1B1F">
        <w:t>a</w:t>
      </w:r>
      <w:r>
        <w:t xml:space="preserve"> thermal power plants, close to Croatia and Serbia, the Committee invited the three Parties concerned to informal consultations at its forty-seventh session. Due to COVID-19-related circumstances the informal consultations had been postponed to the </w:t>
      </w:r>
      <w:r w:rsidRPr="00A07FF5">
        <w:t>Committee’s forty-eighth session. However, Bosnia and Herzegovina and Serbia were unable to participate at that session. At the two Parties</w:t>
      </w:r>
      <w:r>
        <w:t xml:space="preserve">’ request, </w:t>
      </w:r>
      <w:r w:rsidRPr="00A07FF5">
        <w:t>the Committee agreed to hold</w:t>
      </w:r>
      <w:r>
        <w:t xml:space="preserve"> informal consultations at an additional online session on 29 October 2020.</w:t>
      </w:r>
    </w:p>
    <w:p w14:paraId="034BFB97" w14:textId="152C4F3C" w:rsidR="001D3863" w:rsidRDefault="00A70654" w:rsidP="0077496D">
      <w:pPr>
        <w:pStyle w:val="H4G"/>
      </w:pPr>
      <w:r>
        <w:lastRenderedPageBreak/>
        <w:tab/>
      </w:r>
      <w:r>
        <w:tab/>
      </w:r>
      <w:r w:rsidR="001D3863" w:rsidRPr="00807DA4">
        <w:t>EIA/IC/INFO/33</w:t>
      </w:r>
    </w:p>
    <w:p w14:paraId="14FF8B34" w14:textId="77777777" w:rsidR="001D3863" w:rsidRPr="00A95F2D" w:rsidRDefault="001D3863" w:rsidP="001D3863">
      <w:pPr>
        <w:pStyle w:val="SingleTxtG"/>
        <w:rPr>
          <w:highlight w:val="yellow"/>
        </w:rPr>
      </w:pPr>
      <w:r>
        <w:t>70.</w:t>
      </w:r>
      <w:r>
        <w:tab/>
        <w:t>At its session in September 2020, further to information of 15 May 2020 submitted jointly by two NGOs from Bosnia and Herzegovina (</w:t>
      </w:r>
      <w:r w:rsidRPr="006A42F8">
        <w:t>Aarhus</w:t>
      </w:r>
      <w:r>
        <w:t xml:space="preserve"> C</w:t>
      </w:r>
      <w:r w:rsidRPr="006A42F8">
        <w:t>entar</w:t>
      </w:r>
      <w:r>
        <w:t xml:space="preserve"> and</w:t>
      </w:r>
      <w:r w:rsidRPr="006A42F8">
        <w:t xml:space="preserve"> Centre</w:t>
      </w:r>
      <w:r>
        <w:t xml:space="preserve"> </w:t>
      </w:r>
      <w:r w:rsidRPr="006A42F8">
        <w:t>for Environment</w:t>
      </w:r>
      <w:r>
        <w:t>) and by two NGOs from Montenegro (</w:t>
      </w:r>
      <w:r w:rsidRPr="006A42F8">
        <w:t>Green</w:t>
      </w:r>
      <w:r>
        <w:t xml:space="preserve"> </w:t>
      </w:r>
      <w:r w:rsidRPr="006A42F8">
        <w:t>Home and Ozon</w:t>
      </w:r>
      <w:r>
        <w:t>), the Committee agreed to initiate gathering information on planned c</w:t>
      </w:r>
      <w:r w:rsidRPr="00807DA4">
        <w:t xml:space="preserve">onstruction of Buk </w:t>
      </w:r>
      <w:proofErr w:type="spellStart"/>
      <w:r w:rsidRPr="00807DA4">
        <w:t>Bijela</w:t>
      </w:r>
      <w:proofErr w:type="spellEnd"/>
      <w:r w:rsidRPr="00807DA4">
        <w:t xml:space="preserve"> hydropower plant</w:t>
      </w:r>
      <w:r>
        <w:t>, close to Montenegro.</w:t>
      </w:r>
    </w:p>
    <w:p w14:paraId="2A8BF7FA" w14:textId="7E8AC60C" w:rsidR="001D3863" w:rsidRDefault="00A70654" w:rsidP="00A70654">
      <w:pPr>
        <w:pStyle w:val="H23G"/>
      </w:pPr>
      <w:r>
        <w:tab/>
      </w:r>
      <w:r w:rsidR="001D3863" w:rsidRPr="00A70654">
        <w:t>3.</w:t>
      </w:r>
      <w:r>
        <w:tab/>
      </w:r>
      <w:r w:rsidR="001D3863" w:rsidRPr="00A70654">
        <w:t>Denmark</w:t>
      </w:r>
      <w:r w:rsidR="001D3863">
        <w:t xml:space="preserve"> </w:t>
      </w:r>
    </w:p>
    <w:p w14:paraId="56B4F122" w14:textId="29500AAF" w:rsidR="001D3863" w:rsidRPr="0077496D" w:rsidRDefault="00A70654" w:rsidP="0077496D">
      <w:pPr>
        <w:pStyle w:val="H4G"/>
      </w:pPr>
      <w:r>
        <w:tab/>
      </w:r>
      <w:r>
        <w:tab/>
      </w:r>
      <w:r w:rsidR="001D3863" w:rsidRPr="0077496D">
        <w:t>EIA/IC/INFO/30</w:t>
      </w:r>
    </w:p>
    <w:p w14:paraId="769391D8" w14:textId="77777777" w:rsidR="001D3863" w:rsidRDefault="001D3863" w:rsidP="001D3863">
      <w:pPr>
        <w:pStyle w:val="SingleTxtG"/>
      </w:pPr>
      <w:r>
        <w:t>71.</w:t>
      </w:r>
      <w:r>
        <w:tab/>
        <w:t>The Committee agreed to continue its consideration of the matter initiated further to the request of Ukraine from January 2019 to establish an inquiry Commission</w:t>
      </w:r>
      <w:r w:rsidRPr="00B629E5">
        <w:t xml:space="preserve"> </w:t>
      </w:r>
      <w:r>
        <w:t xml:space="preserve">regarding the Nord Stream 2 Project. The Committee clarified preconditions for establishing an inquiry commission under </w:t>
      </w:r>
      <w:r w:rsidRPr="00B629E5">
        <w:t>article 3</w:t>
      </w:r>
      <w:r>
        <w:t xml:space="preserve"> </w:t>
      </w:r>
      <w:r w:rsidRPr="00B629E5">
        <w:t xml:space="preserve">(7) and </w:t>
      </w:r>
      <w:r>
        <w:t>a</w:t>
      </w:r>
      <w:r w:rsidRPr="00B629E5">
        <w:t>ppendix IV</w:t>
      </w:r>
      <w:r>
        <w:t xml:space="preserve">, explaining steps to be taken and documentation to be provided by both Parties in that regard (see draft decision VIII/4, para 12 (a)). At its subsequent sessions, it will consider the information expected from Denmark and Ukraine on the outcomes of their discussions under article 3 (7) on whether there was likely to be a significant adverse impact from Nord Stream 2 on the territory of Ukraine. </w:t>
      </w:r>
    </w:p>
    <w:p w14:paraId="164F0C46" w14:textId="726BB966" w:rsidR="001D3863" w:rsidRPr="00A70654" w:rsidRDefault="00A70654" w:rsidP="00A70654">
      <w:pPr>
        <w:pStyle w:val="H23G"/>
      </w:pPr>
      <w:r>
        <w:tab/>
      </w:r>
      <w:r w:rsidR="001D3863" w:rsidRPr="00A70654">
        <w:t>4.</w:t>
      </w:r>
      <w:r>
        <w:tab/>
      </w:r>
      <w:r w:rsidR="001D3863" w:rsidRPr="00A70654">
        <w:t>Switzerland</w:t>
      </w:r>
    </w:p>
    <w:p w14:paraId="71969632" w14:textId="0CC6D6DE" w:rsidR="001D3863" w:rsidRPr="0077496D" w:rsidRDefault="00A70654" w:rsidP="0077496D">
      <w:pPr>
        <w:pStyle w:val="H4G"/>
      </w:pPr>
      <w:r>
        <w:tab/>
      </w:r>
      <w:r>
        <w:tab/>
      </w:r>
      <w:r w:rsidR="001D3863" w:rsidRPr="0077496D">
        <w:t xml:space="preserve">ECE/IC/INFO/25 </w:t>
      </w:r>
    </w:p>
    <w:p w14:paraId="390CE1EB" w14:textId="4BC4DA64" w:rsidR="001D3863" w:rsidRDefault="001D3863" w:rsidP="001D3863">
      <w:pPr>
        <w:pStyle w:val="SingleTxtG"/>
      </w:pPr>
      <w:r>
        <w:t>72.</w:t>
      </w:r>
      <w:r>
        <w:tab/>
        <w:t>F</w:t>
      </w:r>
      <w:r w:rsidRPr="006741E6">
        <w:t>or its further consideration of the compliance matter concerning planned extension activities at Zurich airport, the Committee</w:t>
      </w:r>
      <w:r>
        <w:t xml:space="preserve">, </w:t>
      </w:r>
      <w:r w:rsidRPr="006741E6">
        <w:t>in September 2020</w:t>
      </w:r>
      <w:r>
        <w:t>,</w:t>
      </w:r>
      <w:r w:rsidRPr="006741E6">
        <w:t xml:space="preserve"> requested additional information from Switzerland and agreed to continue its consideration of the matter at its subsequent sessions</w:t>
      </w:r>
      <w:r>
        <w:t xml:space="preserve">. </w:t>
      </w:r>
    </w:p>
    <w:p w14:paraId="4867D504" w14:textId="5F52C267" w:rsidR="001D3863" w:rsidRDefault="00A70654" w:rsidP="00A70654">
      <w:pPr>
        <w:pStyle w:val="H23G"/>
      </w:pPr>
      <w:r>
        <w:tab/>
      </w:r>
      <w:r w:rsidR="001D3863" w:rsidRPr="00A70654">
        <w:t>5.</w:t>
      </w:r>
      <w:r>
        <w:tab/>
      </w:r>
      <w:r w:rsidR="001D3863" w:rsidRPr="00A70654">
        <w:t>Ukraine</w:t>
      </w:r>
      <w:r w:rsidR="001D3863" w:rsidRPr="004B02C8">
        <w:t xml:space="preserve"> </w:t>
      </w:r>
    </w:p>
    <w:p w14:paraId="5263D5A4" w14:textId="5B751273" w:rsidR="001D3863" w:rsidRDefault="00A70654" w:rsidP="0077496D">
      <w:pPr>
        <w:pStyle w:val="H4G"/>
      </w:pPr>
      <w:r>
        <w:tab/>
      </w:r>
      <w:r>
        <w:tab/>
      </w:r>
      <w:r w:rsidR="001D3863" w:rsidRPr="0077496D">
        <w:t>EIA/IC/INFO/10</w:t>
      </w:r>
      <w:r w:rsidR="001D3863">
        <w:t xml:space="preserve"> </w:t>
      </w:r>
    </w:p>
    <w:p w14:paraId="5B07D097" w14:textId="77777777" w:rsidR="001D3863" w:rsidRPr="00073339" w:rsidRDefault="001D3863" w:rsidP="001D3863">
      <w:pPr>
        <w:pStyle w:val="SingleTxtG"/>
      </w:pPr>
      <w:r>
        <w:t>73.</w:t>
      </w:r>
      <w:r>
        <w:tab/>
      </w:r>
      <w:r w:rsidRPr="00073339">
        <w:t xml:space="preserve">The Committee </w:t>
      </w:r>
      <w:r>
        <w:t xml:space="preserve">agreed to continue its consideration on whether </w:t>
      </w:r>
      <w:r w:rsidRPr="00073339">
        <w:t xml:space="preserve">Ukraine </w:t>
      </w:r>
      <w:r>
        <w:t xml:space="preserve">had afforded the right to </w:t>
      </w:r>
      <w:r w:rsidRPr="00073339">
        <w:t xml:space="preserve">Hungary, </w:t>
      </w:r>
      <w:r>
        <w:t xml:space="preserve">the </w:t>
      </w:r>
      <w:r w:rsidRPr="00073339">
        <w:t>Republic of Moldova</w:t>
      </w:r>
      <w:r>
        <w:t xml:space="preserve"> and</w:t>
      </w:r>
      <w:r w:rsidRPr="00073339">
        <w:t xml:space="preserve"> Romania </w:t>
      </w:r>
      <w:r>
        <w:t xml:space="preserve">to participate </w:t>
      </w:r>
      <w:r w:rsidRPr="00073339">
        <w:t xml:space="preserve">in the ongoing transboundary procedure on the </w:t>
      </w:r>
      <w:r w:rsidRPr="002C5060">
        <w:t xml:space="preserve">planned construction of </w:t>
      </w:r>
      <w:r>
        <w:t>units</w:t>
      </w:r>
      <w:r w:rsidRPr="002C5060">
        <w:t xml:space="preserve"> 3 and 4 at Khmeln</w:t>
      </w:r>
      <w:r>
        <w:t>i</w:t>
      </w:r>
      <w:r w:rsidRPr="002C5060">
        <w:t xml:space="preserve">tsky </w:t>
      </w:r>
      <w:r>
        <w:t>nuclear power plant</w:t>
      </w:r>
      <w:r w:rsidRPr="00073339">
        <w:t>.</w:t>
      </w:r>
    </w:p>
    <w:p w14:paraId="55DA0CCB" w14:textId="1B1F9723" w:rsidR="001D3863" w:rsidRDefault="00A70654" w:rsidP="0077496D">
      <w:pPr>
        <w:pStyle w:val="H4G"/>
      </w:pPr>
      <w:r>
        <w:tab/>
      </w:r>
      <w:r>
        <w:tab/>
      </w:r>
      <w:r w:rsidR="001D3863" w:rsidRPr="000A7216">
        <w:t>EIA/IC/INFO/29</w:t>
      </w:r>
    </w:p>
    <w:p w14:paraId="29299CB7" w14:textId="77777777" w:rsidR="001D3863" w:rsidRDefault="001D3863" w:rsidP="001D3863">
      <w:pPr>
        <w:pStyle w:val="SingleTxtG"/>
      </w:pPr>
      <w:r>
        <w:t>74.</w:t>
      </w:r>
      <w:r>
        <w:tab/>
        <w:t xml:space="preserve">At its forty-eighth session, the Committee decided to begin a Committee initiative </w:t>
      </w:r>
      <w:r w:rsidRPr="003201AE">
        <w:t>further to paragraph 6 of the Committee’s structure and functions</w:t>
      </w:r>
      <w:r>
        <w:t xml:space="preserve"> (see para. 87 below) based on a profound suspicion of non-compliance by Ukraine with its obligations </w:t>
      </w:r>
      <w:r w:rsidRPr="003201AE">
        <w:t>under</w:t>
      </w:r>
      <w:r>
        <w:t xml:space="preserve"> the Convention concerning </w:t>
      </w:r>
      <w:bookmarkStart w:id="31" w:name="_Hlk50550566"/>
      <w:r>
        <w:t xml:space="preserve">construction of a </w:t>
      </w:r>
      <w:r w:rsidRPr="003201AE">
        <w:t xml:space="preserve">large tourism complex in the </w:t>
      </w:r>
      <w:proofErr w:type="spellStart"/>
      <w:r w:rsidRPr="003201AE">
        <w:t>Svydovets</w:t>
      </w:r>
      <w:proofErr w:type="spellEnd"/>
      <w:r w:rsidRPr="003201AE">
        <w:t xml:space="preserve"> mountain</w:t>
      </w:r>
      <w:r>
        <w:t>s</w:t>
      </w:r>
      <w:bookmarkEnd w:id="31"/>
      <w:r>
        <w:t xml:space="preserve">. </w:t>
      </w:r>
      <w:proofErr w:type="gramStart"/>
      <w:r>
        <w:t>In particular, based</w:t>
      </w:r>
      <w:proofErr w:type="gramEnd"/>
      <w:r>
        <w:t xml:space="preserve"> on information made available to it by the Parties concerned, the Committee noted that Ukraine had not:</w:t>
      </w:r>
    </w:p>
    <w:p w14:paraId="3C6DF192" w14:textId="77777777" w:rsidR="001D3863" w:rsidRDefault="001D3863" w:rsidP="001D3863">
      <w:pPr>
        <w:pStyle w:val="SingleTxtG"/>
      </w:pPr>
      <w:r>
        <w:t>(a) Notified Hungary and Romania regarding the activity further to articles 2 (4) and 3 (1) of the Convention despite their requests;</w:t>
      </w:r>
    </w:p>
    <w:p w14:paraId="60D946C1" w14:textId="77777777" w:rsidR="001D3863" w:rsidRDefault="001D3863" w:rsidP="001D3863">
      <w:pPr>
        <w:pStyle w:val="SingleTxtG"/>
      </w:pPr>
      <w:r>
        <w:t xml:space="preserve">(b) Responded to reiterated requests of Romania under article 3 (7) of the Convention to exchange </w:t>
      </w:r>
      <w:proofErr w:type="gramStart"/>
      <w:r>
        <w:t>sufficient</w:t>
      </w:r>
      <w:proofErr w:type="gramEnd"/>
      <w:r>
        <w:t xml:space="preserve"> information and enter into discussions on the likelihood of a significant adverse transboundary impact. </w:t>
      </w:r>
    </w:p>
    <w:p w14:paraId="0A7C365B" w14:textId="2A877F33" w:rsidR="001D3863" w:rsidRDefault="00A70654" w:rsidP="0077496D">
      <w:pPr>
        <w:pStyle w:val="H4G"/>
      </w:pPr>
      <w:r>
        <w:tab/>
      </w:r>
      <w:r>
        <w:tab/>
      </w:r>
      <w:r w:rsidR="001D3863" w:rsidRPr="0077496D">
        <w:t>EIA/IC/INFO/13</w:t>
      </w:r>
    </w:p>
    <w:p w14:paraId="5A3DE52C" w14:textId="77777777" w:rsidR="001D3863" w:rsidRDefault="001D3863" w:rsidP="001D3863">
      <w:pPr>
        <w:pStyle w:val="SingleTxtG"/>
      </w:pPr>
      <w:r>
        <w:t>75.</w:t>
      </w:r>
      <w:r>
        <w:tab/>
        <w:t xml:space="preserve">Further to new information provided by Hungary on 25 February 2020, the Committee agreed at its forty-eighth session to reopen its information gathering on the </w:t>
      </w:r>
      <w:r w:rsidRPr="00073339">
        <w:t xml:space="preserve">planned reopening </w:t>
      </w:r>
      <w:r>
        <w:t xml:space="preserve">by Ukraine </w:t>
      </w:r>
      <w:r w:rsidRPr="00073339">
        <w:t xml:space="preserve">of a gold mine in </w:t>
      </w:r>
      <w:proofErr w:type="spellStart"/>
      <w:r w:rsidRPr="00073339">
        <w:t>Muzhiyevo</w:t>
      </w:r>
      <w:proofErr w:type="spellEnd"/>
      <w:r>
        <w:t>.</w:t>
      </w:r>
    </w:p>
    <w:p w14:paraId="138DB7F5" w14:textId="4C787DDC" w:rsidR="001D3863" w:rsidRPr="00A70654" w:rsidRDefault="00A70654" w:rsidP="00A70654">
      <w:pPr>
        <w:pStyle w:val="H23G"/>
      </w:pPr>
      <w:r>
        <w:lastRenderedPageBreak/>
        <w:tab/>
      </w:r>
      <w:r w:rsidR="001D3863" w:rsidRPr="00A70654">
        <w:t>6.</w:t>
      </w:r>
      <w:r>
        <w:tab/>
      </w:r>
      <w:r w:rsidR="001D3863" w:rsidRPr="00A70654">
        <w:t>Serbia</w:t>
      </w:r>
    </w:p>
    <w:p w14:paraId="3ED6E5DB" w14:textId="08CC671F" w:rsidR="001D3863" w:rsidRDefault="00A70654" w:rsidP="0077496D">
      <w:pPr>
        <w:pStyle w:val="H4G"/>
      </w:pPr>
      <w:r>
        <w:tab/>
      </w:r>
      <w:r>
        <w:tab/>
      </w:r>
      <w:r w:rsidR="001D3863" w:rsidRPr="0077496D">
        <w:t>ECE/IC/INFO/27</w:t>
      </w:r>
    </w:p>
    <w:p w14:paraId="553CD0B5" w14:textId="77777777" w:rsidR="001D3863" w:rsidRDefault="001D3863" w:rsidP="001D3863">
      <w:pPr>
        <w:pStyle w:val="SingleTxtG"/>
      </w:pPr>
      <w:r>
        <w:t>76.</w:t>
      </w:r>
      <w:r>
        <w:tab/>
        <w:t xml:space="preserve">The Committee agreed that there was no need for it to continue its information gathering activity concerning </w:t>
      </w:r>
      <w:r w:rsidRPr="00BE4602">
        <w:t xml:space="preserve">the extension of </w:t>
      </w:r>
      <w:proofErr w:type="spellStart"/>
      <w:r>
        <w:t>Drmno</w:t>
      </w:r>
      <w:proofErr w:type="spellEnd"/>
      <w:r>
        <w:t xml:space="preserve"> </w:t>
      </w:r>
      <w:r w:rsidRPr="00BE4602">
        <w:t>open pit mine</w:t>
      </w:r>
      <w:r>
        <w:t xml:space="preserve">. </w:t>
      </w:r>
      <w:r w:rsidRPr="00BE4602">
        <w:t xml:space="preserve">Romania, as an affected Party, had expressed its satisfaction with the </w:t>
      </w:r>
      <w:r>
        <w:t xml:space="preserve">related </w:t>
      </w:r>
      <w:r w:rsidRPr="00BE4602">
        <w:t>transboundary environmental impact assessment procedure</w:t>
      </w:r>
      <w:r>
        <w:t xml:space="preserve"> </w:t>
      </w:r>
      <w:r w:rsidRPr="00BE4602">
        <w:t>carried out by Serbia and its outcomes, including regard</w:t>
      </w:r>
      <w:r>
        <w:t>ing</w:t>
      </w:r>
      <w:r w:rsidRPr="00BE4602">
        <w:t xml:space="preserve"> public participation.</w:t>
      </w:r>
    </w:p>
    <w:p w14:paraId="191F9AE7" w14:textId="2BE308C9" w:rsidR="001D3863" w:rsidRPr="0077496D" w:rsidRDefault="00A70654" w:rsidP="0077496D">
      <w:pPr>
        <w:pStyle w:val="H4G"/>
      </w:pPr>
      <w:r>
        <w:tab/>
      </w:r>
      <w:r>
        <w:tab/>
      </w:r>
      <w:r w:rsidR="001D3863" w:rsidRPr="0077496D">
        <w:t>EIA/IC/INFO/31</w:t>
      </w:r>
      <w:bookmarkStart w:id="32" w:name="_Hlk45916432"/>
    </w:p>
    <w:p w14:paraId="6C866004" w14:textId="77777777" w:rsidR="001D3863" w:rsidRDefault="001D3863" w:rsidP="001D3863">
      <w:pPr>
        <w:pStyle w:val="SingleTxtG"/>
      </w:pPr>
      <w:r w:rsidRPr="00DB58D6">
        <w:tab/>
      </w:r>
      <w:r>
        <w:t>77.</w:t>
      </w:r>
      <w:r>
        <w:tab/>
      </w:r>
      <w:r w:rsidRPr="00DB58D6">
        <w:t xml:space="preserve">Following the official submission by Bulgaria regarding Serbia, the Committee agreed to consider </w:t>
      </w:r>
      <w:r>
        <w:t xml:space="preserve">thereunder </w:t>
      </w:r>
      <w:r w:rsidRPr="002A6957">
        <w:t xml:space="preserve">the information </w:t>
      </w:r>
      <w:r>
        <w:t>of</w:t>
      </w:r>
      <w:r w:rsidRPr="002A6957">
        <w:t xml:space="preserve"> 10 February 2019 </w:t>
      </w:r>
      <w:r>
        <w:t xml:space="preserve">submitted </w:t>
      </w:r>
      <w:r w:rsidRPr="002A6957">
        <w:t xml:space="preserve">by Bulgarian </w:t>
      </w:r>
      <w:r>
        <w:t>NGO</w:t>
      </w:r>
      <w:r w:rsidRPr="002A6957">
        <w:t xml:space="preserve"> the </w:t>
      </w:r>
      <w:proofErr w:type="spellStart"/>
      <w:r w:rsidRPr="002A6957">
        <w:t>Balkanka</w:t>
      </w:r>
      <w:proofErr w:type="spellEnd"/>
      <w:r w:rsidRPr="002A6957">
        <w:t xml:space="preserve"> Association concerning construction of an experimental facility in </w:t>
      </w:r>
      <w:proofErr w:type="spellStart"/>
      <w:r w:rsidRPr="002A6957">
        <w:t>Karamanica</w:t>
      </w:r>
      <w:proofErr w:type="spellEnd"/>
      <w:r>
        <w:t xml:space="preserve"> by Serbia (see paras. </w:t>
      </w:r>
      <w:r w:rsidRPr="00AB2E48">
        <w:t>62</w:t>
      </w:r>
      <w:r>
        <w:t xml:space="preserve"> and </w:t>
      </w:r>
      <w:r w:rsidRPr="00AB2E48">
        <w:t>63</w:t>
      </w:r>
      <w:r>
        <w:t xml:space="preserve"> above).</w:t>
      </w:r>
    </w:p>
    <w:bookmarkEnd w:id="32"/>
    <w:p w14:paraId="7A1E59F5" w14:textId="73D9A89F" w:rsidR="001D3863" w:rsidRDefault="00A70654" w:rsidP="00A70654">
      <w:pPr>
        <w:pStyle w:val="H23G"/>
      </w:pPr>
      <w:r>
        <w:tab/>
      </w:r>
      <w:r w:rsidR="001D3863" w:rsidRPr="00A70654">
        <w:t>7</w:t>
      </w:r>
      <w:r w:rsidR="001D3863">
        <w:t>.</w:t>
      </w:r>
      <w:r>
        <w:tab/>
      </w:r>
      <w:r w:rsidR="001D3863" w:rsidRPr="00A70654">
        <w:t>Spain</w:t>
      </w:r>
      <w:r w:rsidR="001D3863" w:rsidRPr="0074631E">
        <w:t xml:space="preserve"> </w:t>
      </w:r>
    </w:p>
    <w:p w14:paraId="796E0A68" w14:textId="6AEEA5C9" w:rsidR="001D3863" w:rsidRDefault="00A70654" w:rsidP="0077496D">
      <w:pPr>
        <w:pStyle w:val="H4G"/>
      </w:pPr>
      <w:r>
        <w:tab/>
      </w:r>
      <w:r>
        <w:tab/>
      </w:r>
      <w:r w:rsidR="001D3863" w:rsidRPr="00D41882">
        <w:t>EIA/IC/INFO/</w:t>
      </w:r>
      <w:r w:rsidR="001D3863">
        <w:t>26</w:t>
      </w:r>
    </w:p>
    <w:p w14:paraId="0D92221C" w14:textId="77777777" w:rsidR="001D3863" w:rsidRDefault="001D3863" w:rsidP="001D3863">
      <w:pPr>
        <w:pStyle w:val="SingleTxtG"/>
      </w:pPr>
      <w:r>
        <w:t>78.</w:t>
      </w:r>
      <w:r>
        <w:tab/>
        <w:t>The Committee agreed that there was no ground for it to continue its information gathering activities concerning</w:t>
      </w:r>
      <w:r w:rsidRPr="0074631E">
        <w:t xml:space="preserve"> the planned construction </w:t>
      </w:r>
      <w:r>
        <w:t xml:space="preserve">by Spain </w:t>
      </w:r>
      <w:r w:rsidRPr="0074631E">
        <w:t>of a temporary storage for radioactive waste at the Almaraz nuclear power plant</w:t>
      </w:r>
      <w:r w:rsidRPr="00AE766B">
        <w:t xml:space="preserve">. </w:t>
      </w:r>
      <w:r>
        <w:t xml:space="preserve">Although Portugal, as an affected Party, </w:t>
      </w:r>
      <w:r w:rsidRPr="00AE766B">
        <w:t>would have preferred to be officially notified</w:t>
      </w:r>
      <w:r>
        <w:t xml:space="preserve"> by Spain</w:t>
      </w:r>
      <w:r w:rsidRPr="00AE766B">
        <w:t xml:space="preserve"> under the Convention</w:t>
      </w:r>
      <w:r>
        <w:t xml:space="preserve">, it had </w:t>
      </w:r>
      <w:r w:rsidRPr="00AE766B">
        <w:t>accepted</w:t>
      </w:r>
      <w:r>
        <w:t xml:space="preserve">, </w:t>
      </w:r>
      <w:r w:rsidRPr="00AE766B">
        <w:t>on an exceptional basis</w:t>
      </w:r>
      <w:r>
        <w:t>,</w:t>
      </w:r>
      <w:r w:rsidRPr="00AE766B">
        <w:t xml:space="preserve"> </w:t>
      </w:r>
      <w:r>
        <w:t>an</w:t>
      </w:r>
      <w:r w:rsidRPr="00AE766B">
        <w:t xml:space="preserve"> alternative procedure</w:t>
      </w:r>
      <w:r>
        <w:t xml:space="preserve"> under </w:t>
      </w:r>
      <w:r w:rsidRPr="00AE766B">
        <w:t xml:space="preserve">an </w:t>
      </w:r>
      <w:r>
        <w:t xml:space="preserve">amicable </w:t>
      </w:r>
      <w:r w:rsidRPr="00AE766B">
        <w:t xml:space="preserve">agreement </w:t>
      </w:r>
      <w:r>
        <w:t>reached between the Parties concerned in</w:t>
      </w:r>
      <w:r w:rsidRPr="00AE766B">
        <w:t xml:space="preserve"> 2017 </w:t>
      </w:r>
      <w:r>
        <w:t>t</w:t>
      </w:r>
      <w:r w:rsidRPr="00AE766B">
        <w:t xml:space="preserve">hrough a </w:t>
      </w:r>
      <w:r>
        <w:t xml:space="preserve">European Union-led </w:t>
      </w:r>
      <w:r w:rsidRPr="00AE766B">
        <w:t>mediation exercis</w:t>
      </w:r>
      <w:r>
        <w:t>e. Under that</w:t>
      </w:r>
      <w:r w:rsidRPr="00AE766B">
        <w:t xml:space="preserve"> procedure the two Parties had been able to exchange information and views regarding the activity and to foresee mitigation measures</w:t>
      </w:r>
      <w:r>
        <w:t>.</w:t>
      </w:r>
    </w:p>
    <w:p w14:paraId="3A33360F" w14:textId="1F81589B" w:rsidR="001D3863" w:rsidRPr="00A70654" w:rsidRDefault="00A70654" w:rsidP="00A70654">
      <w:pPr>
        <w:pStyle w:val="H23G"/>
      </w:pPr>
      <w:r>
        <w:tab/>
      </w:r>
      <w:r w:rsidR="001D3863" w:rsidRPr="00A70654">
        <w:t>8.</w:t>
      </w:r>
      <w:r>
        <w:tab/>
      </w:r>
      <w:r w:rsidR="001D3863" w:rsidRPr="00A70654">
        <w:t>Lifetime extensions of nuclear power plants by Belgium, Bulgaria, Czechia, France, the Netherlands, Spain and Ukraine</w:t>
      </w:r>
    </w:p>
    <w:p w14:paraId="75B42234" w14:textId="33F3E7C1" w:rsidR="001D3863" w:rsidRPr="0077496D" w:rsidRDefault="00A70654" w:rsidP="0077496D">
      <w:pPr>
        <w:pStyle w:val="H4G"/>
      </w:pPr>
      <w:r>
        <w:tab/>
      </w:r>
      <w:r>
        <w:tab/>
      </w:r>
      <w:r w:rsidR="001D3863" w:rsidRPr="0077496D">
        <w:t>EIA/IC/INFO/15, EIA/IC/INFO/18, EIA/IC/INFO/19, EIA/IC/INFO/20, EIA/IC/INFO/26. EIA/IC/INFO/28. EIA/IC/INFO/32, EIA/IC/INFO/34</w:t>
      </w:r>
    </w:p>
    <w:p w14:paraId="1A910FE4" w14:textId="77777777" w:rsidR="001D3863" w:rsidRDefault="001D3863" w:rsidP="001D3863">
      <w:pPr>
        <w:pStyle w:val="SingleTxtG"/>
      </w:pPr>
      <w:r>
        <w:t>79.</w:t>
      </w:r>
      <w:r>
        <w:tab/>
        <w:t xml:space="preserve">Further to decision IS/2, paragraph 10, the Committee continued gathering information on eight cases </w:t>
      </w:r>
      <w:r w:rsidRPr="00A41375">
        <w:t>relate</w:t>
      </w:r>
      <w:r>
        <w:t>d</w:t>
      </w:r>
      <w:r w:rsidRPr="00A41375">
        <w:t xml:space="preserve"> to concerns of the public regarding non-application of the Convention to planned lifetime extensions of nuclear power plants</w:t>
      </w:r>
      <w:r>
        <w:t xml:space="preserve"> </w:t>
      </w:r>
      <w:r w:rsidRPr="00F14AC1">
        <w:t>by</w:t>
      </w:r>
      <w:r w:rsidRPr="00F14AC1">
        <w:rPr>
          <w:b/>
          <w:bCs/>
        </w:rPr>
        <w:t xml:space="preserve"> </w:t>
      </w:r>
      <w:r w:rsidRPr="00EA6A33">
        <w:t>Belgium, Bulgaria, Czechia, France, the Netherlands, Spain (two issues) and Ukraine</w:t>
      </w:r>
      <w:r>
        <w:t xml:space="preserve"> as summarized in table 4 above. In particular, the Committee: </w:t>
      </w:r>
    </w:p>
    <w:p w14:paraId="4A1B5FFD" w14:textId="43CCAC1B" w:rsidR="001D3863" w:rsidRDefault="001D3863" w:rsidP="001D3863">
      <w:pPr>
        <w:pStyle w:val="SingleTxtG"/>
        <w:ind w:firstLine="567"/>
      </w:pPr>
      <w:r>
        <w:t>(a)</w:t>
      </w:r>
      <w:r w:rsidR="00A70654">
        <w:tab/>
      </w:r>
      <w:r>
        <w:t>Focussed on filling in remaining information gaps on pending matters, particularly on lifetime extension of 12 units of four</w:t>
      </w:r>
      <w:r w:rsidRPr="00325706">
        <w:t xml:space="preserve"> </w:t>
      </w:r>
      <w:r>
        <w:t>nuclear power plants in Ukraine;</w:t>
      </w:r>
    </w:p>
    <w:p w14:paraId="173E55AA" w14:textId="25CAAB72" w:rsidR="001D3863" w:rsidRDefault="001D3863" w:rsidP="001D3863">
      <w:pPr>
        <w:pStyle w:val="SingleTxtG"/>
        <w:ind w:firstLine="567"/>
      </w:pPr>
      <w:r>
        <w:t>(b)</w:t>
      </w:r>
      <w:r w:rsidR="00A70654">
        <w:tab/>
      </w:r>
      <w:r>
        <w:t>Initiated information gathering concerning new matters, including two units of one nuclear power plant in Bulgaria, 32 units of eight nuclear power plants in France, and three units of two nuclear power plants in Spain.</w:t>
      </w:r>
    </w:p>
    <w:p w14:paraId="4D690BAF" w14:textId="77777777" w:rsidR="001D3863" w:rsidRDefault="001D3863" w:rsidP="001D3863">
      <w:pPr>
        <w:pStyle w:val="SingleTxtG"/>
      </w:pPr>
      <w:r>
        <w:t>80.</w:t>
      </w:r>
      <w:r>
        <w:tab/>
        <w:t xml:space="preserve">Further to its deliberations, the Committee agreed that there was no need for it to pursue its information gathering concerning Santa Maria de </w:t>
      </w:r>
      <w:proofErr w:type="spellStart"/>
      <w:r>
        <w:t>Garoña</w:t>
      </w:r>
      <w:proofErr w:type="spellEnd"/>
      <w:r>
        <w:t xml:space="preserve"> nuclear power plant in Spain, as Spain had declared the permanent cessation of the plant’s operation (Committee ref.: </w:t>
      </w:r>
      <w:r w:rsidRPr="001545EB">
        <w:t>EIA/IC/INFO/</w:t>
      </w:r>
      <w:r>
        <w:t xml:space="preserve">26). </w:t>
      </w:r>
    </w:p>
    <w:p w14:paraId="51F229DD" w14:textId="77777777" w:rsidR="001D3863" w:rsidRDefault="001D3863" w:rsidP="001D3863">
      <w:pPr>
        <w:pStyle w:val="SingleTxtG"/>
      </w:pPr>
      <w:r>
        <w:t>81.</w:t>
      </w:r>
      <w:r>
        <w:tab/>
        <w:t>The Committee provided inputs to the ad hoc working group on preparing</w:t>
      </w:r>
      <w:r w:rsidRPr="00EA5651">
        <w:t xml:space="preserve"> draft guidance </w:t>
      </w:r>
      <w:r>
        <w:t xml:space="preserve">on </w:t>
      </w:r>
      <w:r w:rsidRPr="00EA5651">
        <w:t xml:space="preserve">the </w:t>
      </w:r>
      <w:r>
        <w:t xml:space="preserve">applicability of the Convention to the lifetime extension of nuclear power plants, including a </w:t>
      </w:r>
      <w:r w:rsidRPr="00EA5651">
        <w:t>description of all</w:t>
      </w:r>
      <w:r>
        <w:t xml:space="preserve"> related</w:t>
      </w:r>
      <w:r w:rsidRPr="00EA5651">
        <w:t xml:space="preserve"> compliance cases under the Committee’s consideration and clarifications on interpretation of article 2 (2) and (3) of the Convention.</w:t>
      </w:r>
      <w:r>
        <w:t xml:space="preserve"> Further to its deliberations, the Committee noted that several Parties find themselves potentially affected by those activities and would wish to participate in the related transboundary procedure under the Convention. On numerous occasions, it stressed that </w:t>
      </w:r>
      <w:r w:rsidRPr="0074631E">
        <w:t xml:space="preserve">Parties urgently need </w:t>
      </w:r>
      <w:r>
        <w:t xml:space="preserve">such </w:t>
      </w:r>
      <w:r w:rsidRPr="0074631E">
        <w:t xml:space="preserve">guidance </w:t>
      </w:r>
      <w:r>
        <w:t xml:space="preserve">to properly apply the Convention to their ongoing activities and that </w:t>
      </w:r>
      <w:r w:rsidRPr="0074631E">
        <w:t xml:space="preserve">the Committee itself </w:t>
      </w:r>
      <w:r>
        <w:t xml:space="preserve">also </w:t>
      </w:r>
      <w:r w:rsidRPr="0074631E">
        <w:t xml:space="preserve">urgently needs guidance to proceed with the </w:t>
      </w:r>
      <w:r w:rsidRPr="0074631E">
        <w:lastRenderedPageBreak/>
        <w:t xml:space="preserve">consideration and development of findings regarding present and future cases. Many of the </w:t>
      </w:r>
      <w:r>
        <w:t>current</w:t>
      </w:r>
      <w:r w:rsidRPr="0074631E">
        <w:t xml:space="preserve"> cases ha</w:t>
      </w:r>
      <w:r>
        <w:t xml:space="preserve">d </w:t>
      </w:r>
      <w:r w:rsidRPr="0074631E">
        <w:t xml:space="preserve">been pending before the Committee for several years in </w:t>
      </w:r>
      <w:r>
        <w:t xml:space="preserve">the </w:t>
      </w:r>
      <w:r w:rsidRPr="0074631E">
        <w:t xml:space="preserve">absence of guidance and </w:t>
      </w:r>
      <w:r>
        <w:t>could</w:t>
      </w:r>
      <w:r w:rsidRPr="0074631E">
        <w:t xml:space="preserve"> no longer wait to be concluded.</w:t>
      </w:r>
    </w:p>
    <w:p w14:paraId="523CF5B3" w14:textId="77777777" w:rsidR="001D3863" w:rsidRPr="00EA6A33" w:rsidRDefault="001D3863" w:rsidP="001D3863">
      <w:pPr>
        <w:pStyle w:val="H1G"/>
        <w:rPr>
          <w:lang w:val="it-IT"/>
        </w:rPr>
      </w:pPr>
      <w:r w:rsidRPr="001545EB">
        <w:tab/>
      </w:r>
      <w:r w:rsidRPr="00EA6A33">
        <w:rPr>
          <w:lang w:val="it-IT"/>
        </w:rPr>
        <w:t>B.</w:t>
      </w:r>
      <w:r w:rsidRPr="00EA6A33">
        <w:rPr>
          <w:lang w:val="it-IT"/>
        </w:rPr>
        <w:tab/>
        <w:t>Protocol matters</w:t>
      </w:r>
    </w:p>
    <w:p w14:paraId="07AABBE2" w14:textId="7DEB488D" w:rsidR="001D3863" w:rsidRPr="00882DD3" w:rsidRDefault="00A70654" w:rsidP="00A70654">
      <w:pPr>
        <w:pStyle w:val="H23G"/>
        <w:rPr>
          <w:lang w:val="es-ES"/>
        </w:rPr>
      </w:pPr>
      <w:r w:rsidRPr="00882DD3">
        <w:rPr>
          <w:lang w:val="es-ES"/>
        </w:rPr>
        <w:tab/>
      </w:r>
      <w:r w:rsidR="001D3863" w:rsidRPr="00882DD3">
        <w:rPr>
          <w:lang w:val="es-ES"/>
        </w:rPr>
        <w:t>1.</w:t>
      </w:r>
      <w:r w:rsidRPr="00882DD3">
        <w:rPr>
          <w:lang w:val="es-ES"/>
        </w:rPr>
        <w:tab/>
      </w:r>
      <w:r w:rsidR="001D3863" w:rsidRPr="00882DD3">
        <w:rPr>
          <w:lang w:val="es-ES"/>
        </w:rPr>
        <w:t>Serbia (SEA/IC/INFO/1)</w:t>
      </w:r>
    </w:p>
    <w:p w14:paraId="79454FBB" w14:textId="77777777" w:rsidR="001D3863" w:rsidRDefault="001D3863" w:rsidP="001D3863">
      <w:pPr>
        <w:pStyle w:val="SingleTxtG"/>
        <w:ind w:left="1170"/>
      </w:pPr>
      <w:r>
        <w:t>82</w:t>
      </w:r>
      <w:r w:rsidRPr="001545EB">
        <w:t>.</w:t>
      </w:r>
      <w:r w:rsidRPr="001545EB">
        <w:tab/>
      </w:r>
      <w:r>
        <w:t xml:space="preserve">The Committee continued its consideration of </w:t>
      </w:r>
      <w:r w:rsidRPr="00F81C4E">
        <w:t xml:space="preserve">compliance by Serbia with the Protocol regarding </w:t>
      </w:r>
      <w:bookmarkStart w:id="33" w:name="_Hlk46162321"/>
      <w:r>
        <w:t xml:space="preserve">its </w:t>
      </w:r>
      <w:r w:rsidRPr="00F81C4E">
        <w:t xml:space="preserve">Energy Sector Development Strategy for the </w:t>
      </w:r>
      <w:r>
        <w:t>p</w:t>
      </w:r>
      <w:r w:rsidRPr="00F81C4E">
        <w:t>eriod up to 2025 with Projections up to 2030</w:t>
      </w:r>
      <w:bookmarkEnd w:id="33"/>
      <w:r w:rsidRPr="00F81C4E">
        <w:t xml:space="preserve">, the Strategy’s implementation programme for the Period 2017–2023 and </w:t>
      </w:r>
      <w:r>
        <w:t>its</w:t>
      </w:r>
      <w:r w:rsidRPr="00F81C4E">
        <w:t xml:space="preserve"> second Spatial Plan</w:t>
      </w:r>
      <w:r>
        <w:t xml:space="preserve">. Based on the information provided by Serbia and </w:t>
      </w:r>
      <w:r w:rsidRPr="00F81C4E">
        <w:t>Bosnia and Herzegovina, Bulgaria, Croatia, Hungary</w:t>
      </w:r>
      <w:r>
        <w:t>,</w:t>
      </w:r>
      <w:r w:rsidRPr="00F81C4E">
        <w:t xml:space="preserve"> Montenegro</w:t>
      </w:r>
      <w:r>
        <w:t xml:space="preserve">, </w:t>
      </w:r>
      <w:r w:rsidRPr="00F81C4E">
        <w:t>North Macedonia and Romania</w:t>
      </w:r>
      <w:r>
        <w:t>, the Committee decided:</w:t>
      </w:r>
    </w:p>
    <w:p w14:paraId="7310A6DA" w14:textId="528E9DDC" w:rsidR="001D3863" w:rsidRDefault="001D3863" w:rsidP="001D3863">
      <w:pPr>
        <w:pStyle w:val="SingleTxtG"/>
        <w:ind w:left="1170" w:firstLine="531"/>
      </w:pPr>
      <w:r>
        <w:t>(a)</w:t>
      </w:r>
      <w:r w:rsidR="00A70654">
        <w:tab/>
      </w:r>
      <w:r>
        <w:t xml:space="preserve">That there was no need for it to </w:t>
      </w:r>
      <w:r w:rsidRPr="001A3AA8">
        <w:t xml:space="preserve">continue gathering information </w:t>
      </w:r>
      <w:r>
        <w:t>concerning the second Spatial Plan. Considering general time frames for preparing spatial plans and the fact that the Plan had entered into force on 1 December 2010, the Committee concluded that the first formal preparatory act for the Plan had been executed before the Protocol’s entry into force for Serbia on 6 October 2010.</w:t>
      </w:r>
      <w:r w:rsidRPr="001A3AA8">
        <w:t xml:space="preserve"> </w:t>
      </w:r>
      <w:r>
        <w:t>Referring to article 24 (4) of the Protocol, the Committee concluded that the Protocol was not applicable to the Plan;</w:t>
      </w:r>
    </w:p>
    <w:p w14:paraId="60DDE504" w14:textId="07835355" w:rsidR="001D3863" w:rsidRDefault="001D3863" w:rsidP="001D3863">
      <w:pPr>
        <w:pStyle w:val="SingleTxtG"/>
        <w:ind w:firstLine="567"/>
      </w:pPr>
      <w:r>
        <w:t>(b)</w:t>
      </w:r>
      <w:r w:rsidR="00A70654">
        <w:tab/>
      </w:r>
      <w:r>
        <w:t>T</w:t>
      </w:r>
      <w:r w:rsidRPr="00F81C4E">
        <w:t>o begin a Committee initiative further to paragraph 6 of the Committee’s structure and functions</w:t>
      </w:r>
      <w:r>
        <w:t xml:space="preserve"> based on </w:t>
      </w:r>
      <w:r w:rsidRPr="00F81C4E">
        <w:t>a profound suspicion of non-compliance by Serbia</w:t>
      </w:r>
      <w:r>
        <w:t xml:space="preserve"> w</w:t>
      </w:r>
      <w:r w:rsidRPr="00F81C4E">
        <w:t>ith its obligations under</w:t>
      </w:r>
      <w:r>
        <w:t>:</w:t>
      </w:r>
    </w:p>
    <w:p w14:paraId="3BA7B2FB" w14:textId="7B6F41F0" w:rsidR="001D3863" w:rsidRDefault="001D3863" w:rsidP="001D3863">
      <w:pPr>
        <w:pStyle w:val="SingleTxtG"/>
        <w:ind w:left="1701"/>
      </w:pPr>
      <w:r>
        <w:t>(i)</w:t>
      </w:r>
      <w:r w:rsidR="00A70654">
        <w:tab/>
      </w:r>
      <w:r w:rsidRPr="00F81C4E">
        <w:t>10</w:t>
      </w:r>
      <w:r>
        <w:t xml:space="preserve"> </w:t>
      </w:r>
      <w:r w:rsidRPr="00F81C4E">
        <w:t>(1) and (2) of the Protocol</w:t>
      </w:r>
      <w:r>
        <w:t>,</w:t>
      </w:r>
      <w:r w:rsidRPr="00F81C4E">
        <w:t xml:space="preserve"> </w:t>
      </w:r>
      <w:r>
        <w:t xml:space="preserve">due to a lack of evidence that Serbia had notified </w:t>
      </w:r>
      <w:r w:rsidRPr="008479DC">
        <w:t>Croatia, Hungary and Romania</w:t>
      </w:r>
      <w:r>
        <w:t xml:space="preserve"> regarding the Energy Strategy;</w:t>
      </w:r>
    </w:p>
    <w:p w14:paraId="2B8A0992" w14:textId="56F12041" w:rsidR="001D3863" w:rsidRDefault="001D3863" w:rsidP="001D3863">
      <w:pPr>
        <w:pStyle w:val="SingleTxtG"/>
        <w:ind w:left="1701"/>
      </w:pPr>
      <w:r>
        <w:t>(ii)</w:t>
      </w:r>
      <w:r w:rsidR="00A70654">
        <w:tab/>
      </w:r>
      <w:r>
        <w:t xml:space="preserve">Article 10 (4) of the Protocol, as Serbia, </w:t>
      </w:r>
      <w:r w:rsidRPr="003007C9">
        <w:t>before adopti</w:t>
      </w:r>
      <w:r>
        <w:t xml:space="preserve">ng the </w:t>
      </w:r>
      <w:r w:rsidRPr="00BB6B36">
        <w:t xml:space="preserve">Strategy’s implementation </w:t>
      </w:r>
      <w:r>
        <w:t>Programme, had failed to respond to the request of Hungary to a</w:t>
      </w:r>
      <w:r w:rsidRPr="008479DC">
        <w:t xml:space="preserve">gree on </w:t>
      </w:r>
      <w:r w:rsidRPr="003007C9">
        <w:t>the language regime</w:t>
      </w:r>
      <w:r>
        <w:t>, consequently</w:t>
      </w:r>
      <w:r w:rsidRPr="003007C9">
        <w:t xml:space="preserve"> hindering participation</w:t>
      </w:r>
      <w:r>
        <w:t xml:space="preserve"> of Hungary</w:t>
      </w:r>
      <w:r w:rsidRPr="003007C9">
        <w:t xml:space="preserve"> in consultations </w:t>
      </w:r>
      <w:r>
        <w:t>on the</w:t>
      </w:r>
      <w:r w:rsidRPr="00423FB2">
        <w:t xml:space="preserve"> </w:t>
      </w:r>
      <w:r>
        <w:t xml:space="preserve">Programme under </w:t>
      </w:r>
      <w:r w:rsidRPr="003007C9">
        <w:t>article 10</w:t>
      </w:r>
      <w:r>
        <w:t xml:space="preserve"> </w:t>
      </w:r>
      <w:r w:rsidRPr="003007C9">
        <w:t>(3) of the Protocol</w:t>
      </w:r>
      <w:r>
        <w:t>;</w:t>
      </w:r>
      <w:r w:rsidRPr="00D2635A">
        <w:t xml:space="preserve"> </w:t>
      </w:r>
    </w:p>
    <w:p w14:paraId="699DFD54" w14:textId="4E25A3CB" w:rsidR="001D3863" w:rsidRDefault="001D3863" w:rsidP="003F6533">
      <w:pPr>
        <w:pStyle w:val="SingleTxtG"/>
        <w:ind w:left="1701"/>
      </w:pPr>
      <w:r>
        <w:t>(iii)</w:t>
      </w:r>
      <w:r w:rsidR="00A70654">
        <w:tab/>
      </w:r>
      <w:r>
        <w:t>A</w:t>
      </w:r>
      <w:r w:rsidRPr="00D2635A">
        <w:t>rticle 11</w:t>
      </w:r>
      <w:r>
        <w:t xml:space="preserve"> </w:t>
      </w:r>
      <w:r w:rsidRPr="00D2635A">
        <w:t>(2)</w:t>
      </w:r>
      <w:r>
        <w:t xml:space="preserve"> of the Protocol, as </w:t>
      </w:r>
      <w:r w:rsidRPr="00D2635A">
        <w:t xml:space="preserve">the potentially affected Parties, including Hungary and Montenegro, had not been informed of the </w:t>
      </w:r>
      <w:r>
        <w:t xml:space="preserve">Programme’s </w:t>
      </w:r>
      <w:r w:rsidRPr="00D2635A">
        <w:t>adoption</w:t>
      </w:r>
      <w:r>
        <w:t xml:space="preserve"> </w:t>
      </w:r>
      <w:r w:rsidRPr="00D2635A">
        <w:t>in October 2017</w:t>
      </w:r>
      <w:r>
        <w:t xml:space="preserve"> (see para. 86 below).</w:t>
      </w:r>
    </w:p>
    <w:p w14:paraId="11508141" w14:textId="6FA4F574" w:rsidR="001D3863" w:rsidRPr="00A70654" w:rsidRDefault="00A70654" w:rsidP="00A70654">
      <w:pPr>
        <w:pStyle w:val="H23G"/>
      </w:pPr>
      <w:r>
        <w:tab/>
        <w:t>2.</w:t>
      </w:r>
      <w:r>
        <w:tab/>
      </w:r>
      <w:r w:rsidR="001D3863" w:rsidRPr="00A70654">
        <w:t>Ukraine (SEA/IC/INFO/3)</w:t>
      </w:r>
    </w:p>
    <w:p w14:paraId="587B5C2D" w14:textId="77777777" w:rsidR="001D3863" w:rsidRPr="001545EB" w:rsidRDefault="001D3863" w:rsidP="001D3863">
      <w:pPr>
        <w:pStyle w:val="SingleTxtG"/>
        <w:ind w:left="1170"/>
      </w:pPr>
      <w:bookmarkStart w:id="34" w:name="_Hlk46239743"/>
      <w:r>
        <w:t>83.</w:t>
      </w:r>
      <w:r>
        <w:tab/>
      </w:r>
      <w:r w:rsidRPr="00EE5C33">
        <w:t xml:space="preserve">The Committee agreed that there was no need for it to continue gathering </w:t>
      </w:r>
      <w:r>
        <w:t xml:space="preserve">information </w:t>
      </w:r>
      <w:r w:rsidRPr="00EE5C33">
        <w:t>concerning</w:t>
      </w:r>
      <w:r>
        <w:t xml:space="preserve"> the application of the Protocol by Ukraine to its</w:t>
      </w:r>
      <w:r w:rsidRPr="00EE5C33">
        <w:t xml:space="preserve"> Programme for Hydro Energy Development for the Period until 2026</w:t>
      </w:r>
      <w:r>
        <w:t xml:space="preserve">. </w:t>
      </w:r>
      <w:r w:rsidRPr="00EE5C33">
        <w:t xml:space="preserve">According to Ukraine, the country had initiated the development of the Programme prior </w:t>
      </w:r>
      <w:r>
        <w:t>to entry into force of the Protocol on 1 March 2016</w:t>
      </w:r>
      <w:r w:rsidRPr="00EE5C33">
        <w:t xml:space="preserve">, following the adoption of the Energy Strategy of Ukraine for the period up to 2030 by the Government of Ukraine in 2013. Ukraine referred to the minutes for the meeting of relevant </w:t>
      </w:r>
      <w:bookmarkStart w:id="35" w:name="_Hlk46239760"/>
      <w:bookmarkEnd w:id="34"/>
      <w:r w:rsidRPr="00EE5C33">
        <w:t xml:space="preserve">units of the Ministry of Energy and Coal Industry of Ukraine held on 28 December 2015 as constituting the first formal preparatory act for the Programme. Following that </w:t>
      </w:r>
      <w:proofErr w:type="gramStart"/>
      <w:r w:rsidRPr="00EE5C33">
        <w:t>clarification, and</w:t>
      </w:r>
      <w:proofErr w:type="gramEnd"/>
      <w:r w:rsidRPr="00EE5C33">
        <w:t xml:space="preserve"> </w:t>
      </w:r>
      <w:r>
        <w:t>considering</w:t>
      </w:r>
      <w:r w:rsidRPr="00EE5C33">
        <w:t xml:space="preserve"> the usual time frames needed for preparation of national plans and programmes, including time for consultations, the Committee</w:t>
      </w:r>
      <w:r>
        <w:t>, r</w:t>
      </w:r>
      <w:r w:rsidRPr="00C45239">
        <w:t>eferring to article 24</w:t>
      </w:r>
      <w:r>
        <w:t xml:space="preserve"> </w:t>
      </w:r>
      <w:r w:rsidRPr="00C45239">
        <w:t>(4) of the Protocol</w:t>
      </w:r>
      <w:r>
        <w:t xml:space="preserve">, </w:t>
      </w:r>
      <w:r w:rsidRPr="00C45239">
        <w:t>concluded that the Protocol was not applicable to the P</w:t>
      </w:r>
      <w:r>
        <w:t>rogramme</w:t>
      </w:r>
      <w:r w:rsidRPr="00EE5C33">
        <w:t>.</w:t>
      </w:r>
      <w:bookmarkEnd w:id="35"/>
    </w:p>
    <w:p w14:paraId="0F8C01B8" w14:textId="5E7503E8" w:rsidR="001D3863" w:rsidRPr="00FB66D0" w:rsidRDefault="00FB66D0" w:rsidP="00FB66D0">
      <w:pPr>
        <w:pStyle w:val="H23G"/>
      </w:pPr>
      <w:r>
        <w:tab/>
      </w:r>
      <w:r w:rsidR="001D3863">
        <w:t>3</w:t>
      </w:r>
      <w:r w:rsidR="001D3863" w:rsidRPr="00FB66D0">
        <w:t>.</w:t>
      </w:r>
      <w:r>
        <w:tab/>
      </w:r>
      <w:r w:rsidR="001D3863" w:rsidRPr="00FB66D0">
        <w:t>Poland (SEA/IC/INFO/4)</w:t>
      </w:r>
    </w:p>
    <w:p w14:paraId="092A9B61" w14:textId="77777777" w:rsidR="001D3863" w:rsidRPr="00E73670" w:rsidRDefault="001D3863" w:rsidP="001D3863">
      <w:pPr>
        <w:pStyle w:val="SingleTxtG"/>
        <w:ind w:left="1170"/>
      </w:pPr>
      <w:r w:rsidRPr="00E73670">
        <w:t>8</w:t>
      </w:r>
      <w:r>
        <w:t>4</w:t>
      </w:r>
      <w:r w:rsidRPr="00E73670">
        <w:t>.</w:t>
      </w:r>
      <w:r w:rsidRPr="00E73670">
        <w:tab/>
        <w:t>The Committee agreed to continue at its subsequent session</w:t>
      </w:r>
      <w:r>
        <w:t xml:space="preserve"> </w:t>
      </w:r>
      <w:r w:rsidRPr="00E73670">
        <w:t xml:space="preserve">gathering information further to information provided on 11 February 2020 by a </w:t>
      </w:r>
      <w:r>
        <w:t>German parliamentarian</w:t>
      </w:r>
      <w:r w:rsidRPr="00E73670">
        <w:t xml:space="preserve"> expressing concerns about non</w:t>
      </w:r>
      <w:r>
        <w:t>-</w:t>
      </w:r>
      <w:r w:rsidRPr="00E73670">
        <w:t>application of article 10 of the Protocol (on transboundary consultations) by Poland regard</w:t>
      </w:r>
      <w:r>
        <w:t>ing</w:t>
      </w:r>
      <w:r w:rsidRPr="00E73670">
        <w:t xml:space="preserve"> the draft Energy Policy of Poland until 2040.</w:t>
      </w:r>
      <w:r>
        <w:t xml:space="preserve"> </w:t>
      </w:r>
    </w:p>
    <w:p w14:paraId="4297A02B" w14:textId="77777777" w:rsidR="001D3863" w:rsidRPr="001545EB" w:rsidRDefault="001D3863" w:rsidP="001D3863">
      <w:pPr>
        <w:pStyle w:val="HChG"/>
      </w:pPr>
      <w:r w:rsidRPr="001545EB">
        <w:lastRenderedPageBreak/>
        <w:tab/>
        <w:t>VI.</w:t>
      </w:r>
      <w:r w:rsidRPr="001545EB">
        <w:tab/>
        <w:t>Committee initiatives</w:t>
      </w:r>
    </w:p>
    <w:p w14:paraId="4DE879D9" w14:textId="77777777" w:rsidR="001D3863" w:rsidRPr="004B1D04" w:rsidRDefault="001D3863" w:rsidP="001D3863">
      <w:pPr>
        <w:pStyle w:val="SingleTxtG"/>
        <w:ind w:left="1170"/>
      </w:pPr>
      <w:r>
        <w:t>85. F</w:t>
      </w:r>
      <w:r w:rsidRPr="00EE5BC2">
        <w:t>urther to operating rule 15</w:t>
      </w:r>
      <w:r>
        <w:t xml:space="preserve"> (2), t</w:t>
      </w:r>
      <w:r w:rsidRPr="004B1D04">
        <w:t>he Committe</w:t>
      </w:r>
      <w:r>
        <w:t>e decided to begin two Committee initiatives: on Serbia concerning Protocol matters; and on Ukraine concerning Convention matters.</w:t>
      </w:r>
    </w:p>
    <w:p w14:paraId="6A9746B5" w14:textId="48712BD3" w:rsidR="001D3863" w:rsidRPr="00FB66D0" w:rsidRDefault="00FB66D0" w:rsidP="00FB66D0">
      <w:pPr>
        <w:pStyle w:val="H23G"/>
      </w:pPr>
      <w:r>
        <w:tab/>
      </w:r>
      <w:r>
        <w:tab/>
      </w:r>
      <w:r w:rsidR="001D3863" w:rsidRPr="00FB66D0">
        <w:t>Serbia (SEA/IC/CI/1)</w:t>
      </w:r>
    </w:p>
    <w:p w14:paraId="48807588" w14:textId="77777777" w:rsidR="001D3863" w:rsidRDefault="001D3863" w:rsidP="001D3863">
      <w:pPr>
        <w:pStyle w:val="SingleTxtG"/>
        <w:ind w:left="1170"/>
      </w:pPr>
      <w:r>
        <w:t xml:space="preserve">86. Under the Committee initiative on application by Serbia of the Protocol concerning its </w:t>
      </w:r>
      <w:r w:rsidRPr="00423044">
        <w:t>Energy Sector Development Strategy for the Period up to 2025 with Projections up to 2030</w:t>
      </w:r>
      <w:r>
        <w:t xml:space="preserve"> and</w:t>
      </w:r>
      <w:r w:rsidRPr="00423044">
        <w:t xml:space="preserve"> the Strategy’s implementation programme for the Period 2017–2023</w:t>
      </w:r>
      <w:r>
        <w:t xml:space="preserve"> (see para. </w:t>
      </w:r>
      <w:r w:rsidRPr="00AB2E48">
        <w:t>82</w:t>
      </w:r>
      <w:r>
        <w:t xml:space="preserve"> </w:t>
      </w:r>
      <w:r w:rsidRPr="00AB2E48">
        <w:t>(b)</w:t>
      </w:r>
      <w:r>
        <w:t xml:space="preserve"> above</w:t>
      </w:r>
      <w:r w:rsidRPr="00E5405C">
        <w:t>)</w:t>
      </w:r>
      <w:r>
        <w:t xml:space="preserve">, </w:t>
      </w:r>
      <w:r w:rsidRPr="00E5405C">
        <w:t>Serbia</w:t>
      </w:r>
      <w:r>
        <w:t xml:space="preserve">, further to </w:t>
      </w:r>
      <w:r w:rsidRPr="007155AB">
        <w:t>paragraph 9 of the Committee’s structure and functions</w:t>
      </w:r>
      <w:r>
        <w:t>,</w:t>
      </w:r>
      <w:r w:rsidRPr="007155AB">
        <w:t xml:space="preserve"> </w:t>
      </w:r>
      <w:r w:rsidRPr="00E5405C">
        <w:t xml:space="preserve">was invited to the Committee’s </w:t>
      </w:r>
      <w:r>
        <w:t xml:space="preserve">forty-eighth </w:t>
      </w:r>
      <w:r w:rsidRPr="00E5405C">
        <w:t xml:space="preserve">session to participate in the discussion and to present the Committee with information and opinions on the matter under consideration. </w:t>
      </w:r>
      <w:r>
        <w:t xml:space="preserve">At the request of Serbia, which was unable to participate at that </w:t>
      </w:r>
      <w:r w:rsidRPr="00E5405C">
        <w:t>session</w:t>
      </w:r>
      <w:r>
        <w:t>, the Committee exceptionally agreed to postpone the hearings and organize for that purpose a special</w:t>
      </w:r>
      <w:r w:rsidRPr="00E5405C">
        <w:t xml:space="preserve"> online session </w:t>
      </w:r>
      <w:r>
        <w:t>on 10 November</w:t>
      </w:r>
      <w:r w:rsidRPr="00E5405C">
        <w:t xml:space="preserve"> 2020. Further to the </w:t>
      </w:r>
      <w:r>
        <w:t xml:space="preserve">discussions’ </w:t>
      </w:r>
      <w:r w:rsidRPr="00E5405C">
        <w:t>outcomes, the Committee agreed to prepare its draft findings and recommendations on the matter at its forty-ninth session in February 2021 and to finali</w:t>
      </w:r>
      <w:r>
        <w:t>z</w:t>
      </w:r>
      <w:r w:rsidRPr="00E5405C">
        <w:t>e them at its fiftie</w:t>
      </w:r>
      <w:r>
        <w:t>th</w:t>
      </w:r>
      <w:r w:rsidRPr="00E5405C">
        <w:t xml:space="preserve"> session in May 2021</w:t>
      </w:r>
      <w:r>
        <w:t xml:space="preserve"> </w:t>
      </w:r>
      <w:r w:rsidRPr="00E5405C">
        <w:t>further to the comments and representations to be submitted by Serbia in advance of that session.</w:t>
      </w:r>
      <w:r>
        <w:t xml:space="preserve"> </w:t>
      </w:r>
    </w:p>
    <w:p w14:paraId="0329ABD7" w14:textId="18717A46" w:rsidR="001D3863" w:rsidRPr="00FB66D0" w:rsidRDefault="00FB66D0" w:rsidP="00FB66D0">
      <w:pPr>
        <w:pStyle w:val="H23G"/>
      </w:pPr>
      <w:r>
        <w:tab/>
      </w:r>
      <w:r>
        <w:tab/>
      </w:r>
      <w:r w:rsidR="001D3863" w:rsidRPr="00FB66D0">
        <w:t>Ukraine (EIA/IC/CI/7)</w:t>
      </w:r>
    </w:p>
    <w:p w14:paraId="70B20AE1" w14:textId="77777777" w:rsidR="001D3863" w:rsidRDefault="001D3863" w:rsidP="001D3863">
      <w:pPr>
        <w:pStyle w:val="SingleTxtG"/>
      </w:pPr>
      <w:r>
        <w:t xml:space="preserve">87. The </w:t>
      </w:r>
      <w:r w:rsidRPr="004654C0">
        <w:t xml:space="preserve">Committee </w:t>
      </w:r>
      <w:r>
        <w:t xml:space="preserve">begun its </w:t>
      </w:r>
      <w:r w:rsidRPr="004654C0">
        <w:t xml:space="preserve">initiative </w:t>
      </w:r>
      <w:r>
        <w:t xml:space="preserve">on </w:t>
      </w:r>
      <w:r w:rsidRPr="004654C0">
        <w:t xml:space="preserve">application by </w:t>
      </w:r>
      <w:r>
        <w:t>Ukraine</w:t>
      </w:r>
      <w:r w:rsidRPr="004654C0">
        <w:t xml:space="preserve"> of the </w:t>
      </w:r>
      <w:r>
        <w:t>Convention</w:t>
      </w:r>
      <w:r w:rsidRPr="004654C0">
        <w:t xml:space="preserve"> </w:t>
      </w:r>
      <w:r>
        <w:t xml:space="preserve">concerning </w:t>
      </w:r>
      <w:r w:rsidRPr="004654C0">
        <w:t xml:space="preserve">construction of a large tourism complex in the </w:t>
      </w:r>
      <w:proofErr w:type="spellStart"/>
      <w:r w:rsidRPr="004654C0">
        <w:t>Svydovets</w:t>
      </w:r>
      <w:proofErr w:type="spellEnd"/>
      <w:r w:rsidRPr="004654C0">
        <w:t xml:space="preserve"> mountain</w:t>
      </w:r>
      <w:r>
        <w:t xml:space="preserve">s, in September 2020 (see para. 74 above). It agreed that, at its forty-ninth session, it would consider timing for </w:t>
      </w:r>
      <w:r w:rsidRPr="00EF6137">
        <w:t>schedul</w:t>
      </w:r>
      <w:r>
        <w:t>ing</w:t>
      </w:r>
      <w:r w:rsidRPr="00EF6137">
        <w:t xml:space="preserve"> discussions with the Parties concerned</w:t>
      </w:r>
      <w:r>
        <w:t xml:space="preserve"> under</w:t>
      </w:r>
      <w:r w:rsidRPr="00EF6137">
        <w:t xml:space="preserve"> paragraph 9 of the Committee’s structure and functions</w:t>
      </w:r>
      <w:r>
        <w:t xml:space="preserve"> and</w:t>
      </w:r>
      <w:r w:rsidRPr="000A19DD">
        <w:t xml:space="preserve"> </w:t>
      </w:r>
      <w:r>
        <w:t>requested Ukraine to update it on the activity’s status in advance of that session.</w:t>
      </w:r>
    </w:p>
    <w:p w14:paraId="79584748" w14:textId="77777777" w:rsidR="001D3863" w:rsidRPr="001545EB" w:rsidRDefault="001D3863" w:rsidP="00FB66D0">
      <w:pPr>
        <w:pStyle w:val="HChG"/>
      </w:pPr>
      <w:r>
        <w:tab/>
      </w:r>
      <w:r w:rsidRPr="001545EB">
        <w:t>VII.</w:t>
      </w:r>
      <w:r w:rsidRPr="001545EB">
        <w:tab/>
        <w:t>Revised questionnaires and reviews of implementation</w:t>
      </w:r>
    </w:p>
    <w:p w14:paraId="4AB39B81" w14:textId="77777777" w:rsidR="001D3863" w:rsidRPr="001545EB" w:rsidRDefault="001D3863" w:rsidP="001D3863">
      <w:pPr>
        <w:pStyle w:val="H1G"/>
      </w:pPr>
      <w:r w:rsidRPr="001545EB">
        <w:tab/>
      </w:r>
      <w:r>
        <w:tab/>
      </w:r>
      <w:r w:rsidRPr="001545EB">
        <w:t>Modification of the questionnaires</w:t>
      </w:r>
    </w:p>
    <w:p w14:paraId="67617190" w14:textId="77777777" w:rsidR="001D3863" w:rsidRPr="001545EB" w:rsidRDefault="001D3863" w:rsidP="001D3863">
      <w:pPr>
        <w:pStyle w:val="SingleTxtG"/>
        <w:ind w:left="1170"/>
      </w:pPr>
      <w:r>
        <w:t>88</w:t>
      </w:r>
      <w:r w:rsidRPr="00967C35">
        <w:t>.</w:t>
      </w:r>
      <w:r w:rsidRPr="00967C35">
        <w:tab/>
        <w:t>The Committee agreed on</w:t>
      </w:r>
      <w:r>
        <w:t xml:space="preserve"> minor</w:t>
      </w:r>
      <w:r w:rsidRPr="00967C35">
        <w:t xml:space="preserve"> modifications to the questionnaires for the sixth review of the implementation of the Convention and the third review of the implementation of the Protocol </w:t>
      </w:r>
      <w:r>
        <w:t>considering</w:t>
      </w:r>
      <w:r w:rsidRPr="00967C35">
        <w:t xml:space="preserve"> suggestions for improving the questionnaire from Parties</w:t>
      </w:r>
      <w:r>
        <w:t>.</w:t>
      </w:r>
      <w:r>
        <w:rPr>
          <w:rStyle w:val="FootnoteReference"/>
        </w:rPr>
        <w:footnoteReference w:id="12"/>
      </w:r>
      <w:r w:rsidRPr="00967C35">
        <w:t xml:space="preserve"> In May 2018, the Working Group approved the </w:t>
      </w:r>
      <w:r>
        <w:t xml:space="preserve">revised </w:t>
      </w:r>
      <w:r w:rsidRPr="00967C35">
        <w:t>questionnaires (ECE</w:t>
      </w:r>
      <w:r w:rsidRPr="007B7CED">
        <w:t>/MP.EIA/WG.2/2018/2</w:t>
      </w:r>
      <w:r w:rsidRPr="002815A1">
        <w:t>, annexes I</w:t>
      </w:r>
      <w:r>
        <w:t>I</w:t>
      </w:r>
      <w:r w:rsidRPr="002815A1">
        <w:t xml:space="preserve"> and I</w:t>
      </w:r>
      <w:r>
        <w:t>I</w:t>
      </w:r>
      <w:r w:rsidRPr="002815A1">
        <w:t>I</w:t>
      </w:r>
      <w:r>
        <w:t>).</w:t>
      </w:r>
    </w:p>
    <w:p w14:paraId="204E8904" w14:textId="77777777" w:rsidR="001D3863" w:rsidRPr="001545EB" w:rsidRDefault="001D3863" w:rsidP="001D3863">
      <w:pPr>
        <w:pStyle w:val="H1G"/>
      </w:pPr>
      <w:r w:rsidRPr="001545EB">
        <w:tab/>
      </w:r>
      <w:r>
        <w:tab/>
      </w:r>
      <w:r w:rsidRPr="001545EB">
        <w:t>Reviews of implementation</w:t>
      </w:r>
    </w:p>
    <w:p w14:paraId="7FEB20E9" w14:textId="77777777" w:rsidR="001D3863" w:rsidRDefault="001D3863" w:rsidP="001D3863">
      <w:pPr>
        <w:pStyle w:val="SingleTxtG"/>
        <w:ind w:left="1170"/>
      </w:pPr>
      <w:r>
        <w:t>89</w:t>
      </w:r>
      <w:r w:rsidRPr="001545EB">
        <w:t>.</w:t>
      </w:r>
      <w:r w:rsidRPr="001545EB">
        <w:tab/>
        <w:t>In accordance with the timetable agreed by the Working Group</w:t>
      </w:r>
      <w:r>
        <w:t xml:space="preserve"> (ECE/MP.EIA/WG.2/2018/INF.5)</w:t>
      </w:r>
      <w:r w:rsidRPr="001545EB">
        <w:t>, the secretariat sent the Convention and Protocol questionnaires to the Parties at the end of October 201</w:t>
      </w:r>
      <w:r>
        <w:t>8,</w:t>
      </w:r>
      <w:r w:rsidRPr="001545EB">
        <w:t xml:space="preserve"> for completion by 31 March 20</w:t>
      </w:r>
      <w:r>
        <w:t>19</w:t>
      </w:r>
      <w:r w:rsidRPr="001545EB">
        <w:t>.</w:t>
      </w:r>
      <w:r>
        <w:t xml:space="preserve"> </w:t>
      </w:r>
      <w:r w:rsidRPr="00B17BFA">
        <w:t xml:space="preserve">The Committee </w:t>
      </w:r>
      <w:r>
        <w:t>noted</w:t>
      </w:r>
      <w:r w:rsidRPr="00B17BFA">
        <w:t xml:space="preserve"> the findings of the draft sixth review of implementation of the Convention (ECE/MP.EIA/WG.2/2019/3) and the draft third review of implementation of the Protocol (ECE/MP.EIA/WG.2/2019/4) </w:t>
      </w:r>
      <w:r>
        <w:t xml:space="preserve">prepared by the secretariat with consultants’ assistance; and </w:t>
      </w:r>
      <w:r w:rsidRPr="00B17BFA">
        <w:t xml:space="preserve">the </w:t>
      </w:r>
      <w:r>
        <w:t xml:space="preserve">Parties’ and consultants’ </w:t>
      </w:r>
      <w:r w:rsidRPr="00B17BFA">
        <w:t xml:space="preserve">suggestions for improvement of the questionnaires </w:t>
      </w:r>
      <w:r>
        <w:t>for the next reporting round</w:t>
      </w:r>
      <w:r w:rsidRPr="00B17BFA">
        <w:t>.</w:t>
      </w:r>
    </w:p>
    <w:p w14:paraId="7A5A8F44" w14:textId="77777777" w:rsidR="001D3863" w:rsidRPr="001545EB" w:rsidRDefault="001D3863" w:rsidP="001D3863">
      <w:pPr>
        <w:pStyle w:val="HChG"/>
      </w:pPr>
      <w:r w:rsidRPr="001545EB">
        <w:tab/>
        <w:t>VIII.</w:t>
      </w:r>
      <w:r w:rsidRPr="001545EB">
        <w:tab/>
        <w:t>Structure and functions and operating rules</w:t>
      </w:r>
    </w:p>
    <w:p w14:paraId="7F371105" w14:textId="77777777" w:rsidR="001D3863" w:rsidRDefault="001D3863" w:rsidP="001D3863">
      <w:pPr>
        <w:pStyle w:val="SingleTxtG"/>
        <w:ind w:left="1170"/>
      </w:pPr>
      <w:r>
        <w:t>90</w:t>
      </w:r>
      <w:r w:rsidRPr="001545EB">
        <w:t>.</w:t>
      </w:r>
      <w:r w:rsidRPr="001545EB">
        <w:tab/>
        <w:t xml:space="preserve">The Committee </w:t>
      </w:r>
      <w:r>
        <w:t>reviewed its working methods and practice, highlighting that its</w:t>
      </w:r>
      <w:r w:rsidRPr="00E2287F">
        <w:t xml:space="preserve"> work </w:t>
      </w:r>
      <w:r>
        <w:t xml:space="preserve">had been </w:t>
      </w:r>
      <w:r w:rsidRPr="00E2287F">
        <w:t xml:space="preserve">hindered by lateness and insufficient quality of responses by some Parties </w:t>
      </w:r>
      <w:r w:rsidRPr="00E2287F">
        <w:lastRenderedPageBreak/>
        <w:t>concerned, and, in some cases, also by their refusal to respond and cooperate</w:t>
      </w:r>
      <w:r>
        <w:t xml:space="preserve">. It </w:t>
      </w:r>
      <w:r w:rsidRPr="00AF2336">
        <w:t>clarif</w:t>
      </w:r>
      <w:r>
        <w:t>ied</w:t>
      </w:r>
      <w:r w:rsidRPr="00AF2336">
        <w:t xml:space="preserve"> its operating rules on handling conflict of interest by its members</w:t>
      </w:r>
      <w:r>
        <w:t>, proposed some ways to increase its effectiveness and efficiency to tackle the constantly growing number of compliance cases before it</w:t>
      </w:r>
      <w:r>
        <w:rPr>
          <w:rStyle w:val="FootnoteReference"/>
        </w:rPr>
        <w:footnoteReference w:id="13"/>
      </w:r>
      <w:r w:rsidRPr="00E2287F">
        <w:t xml:space="preserve"> </w:t>
      </w:r>
      <w:r>
        <w:t xml:space="preserve">and agreed to continue its efforts with a view to revising, during the 2021–2023 intersessional period, the Committee’s structure and functions and its operating rules for the consideration of the Meeting of the Parties at its ninth session. As a matter of priority, it also suggested an adjustment to its operating rule 11 (4) regarding the deadline for the delivery of information by Parties (see draft decision VIII/4, annex). </w:t>
      </w:r>
    </w:p>
    <w:p w14:paraId="7E94ED9D" w14:textId="77777777" w:rsidR="001D3863" w:rsidRPr="0039713A" w:rsidRDefault="001D3863" w:rsidP="001D3863">
      <w:pPr>
        <w:pStyle w:val="HChG"/>
      </w:pPr>
      <w:r w:rsidRPr="001545EB">
        <w:tab/>
      </w:r>
      <w:r w:rsidRPr="0039713A">
        <w:t>IX.</w:t>
      </w:r>
      <w:r w:rsidRPr="0039713A">
        <w:tab/>
        <w:t>Workload</w:t>
      </w:r>
    </w:p>
    <w:p w14:paraId="326CA988" w14:textId="77777777" w:rsidR="001D3863" w:rsidRPr="009821AA" w:rsidRDefault="001D3863" w:rsidP="001D3863">
      <w:pPr>
        <w:pStyle w:val="SingleTxtG"/>
        <w:ind w:left="1170"/>
      </w:pPr>
      <w:r>
        <w:t>91.</w:t>
      </w:r>
      <w:r>
        <w:tab/>
        <w:t xml:space="preserve">The Committee’s workload continued to grow in the intersessional period 2017–2020 due to the constantly increasing number of compliance issues before it and their complexity. As indicated in sections II–VI above, the Committee </w:t>
      </w:r>
      <w:bookmarkStart w:id="36" w:name="_Hlk46574471"/>
      <w:r>
        <w:t xml:space="preserve">had been considering 36 compliance issues (5 cases to follow-up on previous decisions of the Meeting of the Parties, 5 specific compliance issues arising from reviews of implementation of the Convention, 2 submissions, and 24 information gathering cases, with 1 case leading to a Committee initiative). </w:t>
      </w:r>
      <w:bookmarkEnd w:id="36"/>
      <w:r>
        <w:t>Moreover, the Committee’s workload significantly increased further to the Meeting of the Parties’ request to revise draft decision VII/2 for its intermediary session. Subsequently, the Committee’s consideration of numerous pending issues and new compliance issues had been delayed for almost a year.</w:t>
      </w:r>
    </w:p>
    <w:p w14:paraId="0DB085E0" w14:textId="77777777" w:rsidR="001D3863" w:rsidRDefault="001D3863" w:rsidP="001D3863">
      <w:pPr>
        <w:pStyle w:val="SingleTxtG"/>
        <w:ind w:left="1170"/>
      </w:pPr>
      <w:r>
        <w:t>92.</w:t>
      </w:r>
      <w:r>
        <w:tab/>
        <w:t>T</w:t>
      </w:r>
      <w:r w:rsidRPr="009821AA">
        <w:t>o tackle its considerable workload, the Committee, in agreement with the Bureau, had extend</w:t>
      </w:r>
      <w:r>
        <w:t>ed</w:t>
      </w:r>
      <w:r w:rsidRPr="009821AA">
        <w:t xml:space="preserve"> the duration of its sessions from three to four days and</w:t>
      </w:r>
      <w:r>
        <w:t>,</w:t>
      </w:r>
      <w:r w:rsidRPr="009821AA">
        <w:t xml:space="preserve"> </w:t>
      </w:r>
      <w:r>
        <w:t>as mentioned in paragraph 6 above, held</w:t>
      </w:r>
      <w:r w:rsidRPr="009821AA">
        <w:t xml:space="preserve"> ten </w:t>
      </w:r>
      <w:r>
        <w:t>sessions</w:t>
      </w:r>
      <w:r w:rsidRPr="009821AA">
        <w:t xml:space="preserve">, instead of </w:t>
      </w:r>
      <w:r>
        <w:t xml:space="preserve">the </w:t>
      </w:r>
      <w:r w:rsidRPr="009821AA">
        <w:t>nine foreseen</w:t>
      </w:r>
      <w:r>
        <w:t xml:space="preserve"> by the</w:t>
      </w:r>
      <w:r w:rsidRPr="009821AA">
        <w:t xml:space="preserve"> 2017</w:t>
      </w:r>
      <w:r>
        <w:t>–</w:t>
      </w:r>
      <w:r w:rsidRPr="009821AA">
        <w:t xml:space="preserve">2020 </w:t>
      </w:r>
      <w:r>
        <w:t>workplan.</w:t>
      </w:r>
      <w:r>
        <w:rPr>
          <w:rStyle w:val="FootnoteReference"/>
        </w:rPr>
        <w:footnoteReference w:id="14"/>
      </w:r>
      <w:r w:rsidRPr="009821AA">
        <w:t xml:space="preserve"> </w:t>
      </w:r>
      <w:r>
        <w:t>I</w:t>
      </w:r>
      <w:r w:rsidRPr="009821AA">
        <w:t>n</w:t>
      </w:r>
      <w:r w:rsidRPr="001545EB">
        <w:t xml:space="preserve"> order to fulfil its mandate, </w:t>
      </w:r>
      <w:r>
        <w:t>the Committee</w:t>
      </w:r>
      <w:r w:rsidRPr="001545EB">
        <w:t xml:space="preserve"> </w:t>
      </w:r>
      <w:r>
        <w:t xml:space="preserve">also </w:t>
      </w:r>
      <w:r w:rsidRPr="001545EB">
        <w:t>carr</w:t>
      </w:r>
      <w:r>
        <w:t>ied</w:t>
      </w:r>
      <w:r w:rsidRPr="001545EB">
        <w:t xml:space="preserve"> out</w:t>
      </w:r>
      <w:r>
        <w:t>,</w:t>
      </w:r>
      <w:r w:rsidRPr="001545EB">
        <w:t xml:space="preserve"> in accordance with </w:t>
      </w:r>
      <w:r>
        <w:t xml:space="preserve">its operating </w:t>
      </w:r>
      <w:r w:rsidRPr="001545EB">
        <w:t>rule 19</w:t>
      </w:r>
      <w:r>
        <w:t>,</w:t>
      </w:r>
      <w:r w:rsidRPr="001545EB">
        <w:t xml:space="preserve"> consultations by email between its sessions </w:t>
      </w:r>
      <w:r>
        <w:t xml:space="preserve">and </w:t>
      </w:r>
      <w:r w:rsidRPr="001545EB">
        <w:t>h</w:t>
      </w:r>
      <w:r>
        <w:t>e</w:t>
      </w:r>
      <w:r w:rsidRPr="001545EB">
        <w:t xml:space="preserve">ld </w:t>
      </w:r>
      <w:r>
        <w:t xml:space="preserve">three additional </w:t>
      </w:r>
      <w:r w:rsidRPr="001545EB">
        <w:t>meetings</w:t>
      </w:r>
      <w:r>
        <w:t xml:space="preserve"> using videoconferencing. </w:t>
      </w:r>
    </w:p>
    <w:p w14:paraId="480C9015" w14:textId="6A39A458" w:rsidR="00B976C5" w:rsidRDefault="001D3863" w:rsidP="001D3863">
      <w:pPr>
        <w:pStyle w:val="SingleTxtG"/>
        <w:ind w:left="1170"/>
      </w:pPr>
      <w:r>
        <w:t>93.</w:t>
      </w:r>
      <w:r>
        <w:tab/>
      </w:r>
      <w:r w:rsidRPr="001545EB">
        <w:t xml:space="preserve">Table </w:t>
      </w:r>
      <w:r>
        <w:t>5</w:t>
      </w:r>
      <w:r w:rsidRPr="001545EB">
        <w:t xml:space="preserve"> provides an approximate overview of the time spent by the Committee on its various tasks as described in this document.</w:t>
      </w:r>
    </w:p>
    <w:p w14:paraId="4062AA19" w14:textId="77777777" w:rsidR="00B976C5" w:rsidRDefault="00B976C5">
      <w:pPr>
        <w:suppressAutoHyphens w:val="0"/>
        <w:spacing w:line="240" w:lineRule="auto"/>
      </w:pPr>
      <w:r>
        <w:br w:type="page"/>
      </w:r>
    </w:p>
    <w:p w14:paraId="250047D4" w14:textId="77777777" w:rsidR="001D3863" w:rsidRPr="001545EB" w:rsidRDefault="001D3863" w:rsidP="001D3863">
      <w:pPr>
        <w:pStyle w:val="H23G"/>
        <w:tabs>
          <w:tab w:val="left" w:pos="1800"/>
        </w:tabs>
      </w:pPr>
      <w:r w:rsidRPr="001545EB">
        <w:lastRenderedPageBreak/>
        <w:tab/>
      </w:r>
      <w:r w:rsidRPr="001545EB">
        <w:tab/>
      </w:r>
      <w:r w:rsidRPr="001545EB">
        <w:rPr>
          <w:b w:val="0"/>
        </w:rPr>
        <w:t xml:space="preserve">Table </w:t>
      </w:r>
      <w:r>
        <w:rPr>
          <w:b w:val="0"/>
        </w:rPr>
        <w:t>5</w:t>
      </w:r>
      <w:r w:rsidRPr="001545EB">
        <w:br/>
        <w:t>Overview of time spent by the Committee on its key tasks</w:t>
      </w:r>
    </w:p>
    <w:tbl>
      <w:tblPr>
        <w:tblW w:w="7370" w:type="dxa"/>
        <w:tblInd w:w="1134" w:type="dxa"/>
        <w:tblLayout w:type="fixed"/>
        <w:tblCellMar>
          <w:left w:w="0" w:type="dxa"/>
          <w:right w:w="0" w:type="dxa"/>
        </w:tblCellMar>
        <w:tblLook w:val="01E0" w:firstRow="1" w:lastRow="1" w:firstColumn="1" w:lastColumn="1" w:noHBand="0" w:noVBand="0"/>
      </w:tblPr>
      <w:tblGrid>
        <w:gridCol w:w="5245"/>
        <w:gridCol w:w="2125"/>
      </w:tblGrid>
      <w:tr w:rsidR="001D3863" w:rsidRPr="00B05EEB" w14:paraId="1CC49444" w14:textId="77777777" w:rsidTr="00B05EEB">
        <w:trPr>
          <w:tblHeader/>
        </w:trPr>
        <w:tc>
          <w:tcPr>
            <w:tcW w:w="5245" w:type="dxa"/>
            <w:tcBorders>
              <w:top w:val="single" w:sz="4" w:space="0" w:color="auto"/>
              <w:bottom w:val="single" w:sz="12" w:space="0" w:color="auto"/>
            </w:tcBorders>
            <w:shd w:val="clear" w:color="auto" w:fill="auto"/>
            <w:vAlign w:val="bottom"/>
          </w:tcPr>
          <w:p w14:paraId="16D04D76" w14:textId="77777777" w:rsidR="001D3863" w:rsidRPr="00B05EEB" w:rsidRDefault="001D3863" w:rsidP="00B05EEB">
            <w:pPr>
              <w:spacing w:before="80" w:after="80" w:line="200" w:lineRule="exact"/>
              <w:ind w:right="113"/>
              <w:rPr>
                <w:i/>
                <w:sz w:val="16"/>
              </w:rPr>
            </w:pPr>
            <w:r w:rsidRPr="00B05EEB">
              <w:rPr>
                <w:i/>
                <w:sz w:val="16"/>
              </w:rPr>
              <w:t xml:space="preserve">Task </w:t>
            </w:r>
          </w:p>
        </w:tc>
        <w:tc>
          <w:tcPr>
            <w:tcW w:w="2125" w:type="dxa"/>
            <w:tcBorders>
              <w:top w:val="single" w:sz="4" w:space="0" w:color="auto"/>
              <w:bottom w:val="single" w:sz="12" w:space="0" w:color="auto"/>
            </w:tcBorders>
            <w:shd w:val="clear" w:color="auto" w:fill="auto"/>
            <w:vAlign w:val="bottom"/>
          </w:tcPr>
          <w:p w14:paraId="5038593F" w14:textId="77777777" w:rsidR="001D3863" w:rsidRPr="00B05EEB" w:rsidRDefault="001D3863" w:rsidP="00B05EEB">
            <w:pPr>
              <w:spacing w:before="80" w:after="80" w:line="200" w:lineRule="exact"/>
              <w:ind w:right="113"/>
              <w:rPr>
                <w:i/>
                <w:sz w:val="16"/>
              </w:rPr>
            </w:pPr>
            <w:r w:rsidRPr="00B05EEB">
              <w:rPr>
                <w:i/>
                <w:sz w:val="16"/>
              </w:rPr>
              <w:t>Approximate proportion of Committee session time (percentage)</w:t>
            </w:r>
          </w:p>
        </w:tc>
      </w:tr>
      <w:tr w:rsidR="00B05EEB" w:rsidRPr="00B05EEB" w14:paraId="6A319FEF" w14:textId="77777777" w:rsidTr="00B05EEB">
        <w:trPr>
          <w:trHeight w:hRule="exact" w:val="113"/>
          <w:tblHeader/>
        </w:trPr>
        <w:tc>
          <w:tcPr>
            <w:tcW w:w="5245" w:type="dxa"/>
            <w:tcBorders>
              <w:top w:val="single" w:sz="12" w:space="0" w:color="auto"/>
            </w:tcBorders>
            <w:shd w:val="clear" w:color="auto" w:fill="auto"/>
          </w:tcPr>
          <w:p w14:paraId="2E148D9D" w14:textId="77777777" w:rsidR="00B05EEB" w:rsidRPr="00B05EEB" w:rsidRDefault="00B05EEB" w:rsidP="00B05EEB">
            <w:pPr>
              <w:spacing w:before="40" w:after="120"/>
              <w:ind w:right="113"/>
            </w:pPr>
          </w:p>
        </w:tc>
        <w:tc>
          <w:tcPr>
            <w:tcW w:w="2125" w:type="dxa"/>
            <w:tcBorders>
              <w:top w:val="single" w:sz="12" w:space="0" w:color="auto"/>
            </w:tcBorders>
            <w:shd w:val="clear" w:color="auto" w:fill="auto"/>
          </w:tcPr>
          <w:p w14:paraId="6589954D" w14:textId="77777777" w:rsidR="00B05EEB" w:rsidRPr="00B05EEB" w:rsidRDefault="00B05EEB" w:rsidP="00B05EEB">
            <w:pPr>
              <w:spacing w:before="40" w:after="120"/>
              <w:ind w:right="113"/>
            </w:pPr>
          </w:p>
        </w:tc>
      </w:tr>
      <w:tr w:rsidR="001D3863" w:rsidRPr="00B05EEB" w14:paraId="687FBB35" w14:textId="77777777" w:rsidTr="00B05EEB">
        <w:trPr>
          <w:tblHeader/>
        </w:trPr>
        <w:tc>
          <w:tcPr>
            <w:tcW w:w="5245" w:type="dxa"/>
            <w:shd w:val="clear" w:color="auto" w:fill="auto"/>
          </w:tcPr>
          <w:p w14:paraId="3C78A808" w14:textId="77777777" w:rsidR="001D3863" w:rsidRPr="00B05EEB" w:rsidRDefault="001D3863" w:rsidP="00B05EEB">
            <w:pPr>
              <w:spacing w:before="40" w:after="120"/>
              <w:ind w:right="113"/>
              <w:rPr>
                <w:szCs w:val="18"/>
              </w:rPr>
            </w:pPr>
          </w:p>
        </w:tc>
        <w:tc>
          <w:tcPr>
            <w:tcW w:w="2125" w:type="dxa"/>
            <w:shd w:val="clear" w:color="auto" w:fill="auto"/>
          </w:tcPr>
          <w:p w14:paraId="7BD2FEA3" w14:textId="77777777" w:rsidR="001D3863" w:rsidRPr="00B05EEB" w:rsidRDefault="001D3863" w:rsidP="00B05EEB">
            <w:pPr>
              <w:spacing w:before="40" w:after="120"/>
              <w:ind w:right="113"/>
              <w:rPr>
                <w:szCs w:val="18"/>
              </w:rPr>
            </w:pPr>
          </w:p>
        </w:tc>
      </w:tr>
      <w:tr w:rsidR="001D3863" w:rsidRPr="00B05EEB" w14:paraId="4F4F53AB" w14:textId="77777777" w:rsidTr="00B05EEB">
        <w:tc>
          <w:tcPr>
            <w:tcW w:w="5245" w:type="dxa"/>
            <w:shd w:val="clear" w:color="auto" w:fill="auto"/>
          </w:tcPr>
          <w:p w14:paraId="073DD42C" w14:textId="77777777" w:rsidR="001D3863" w:rsidRPr="00B05EEB" w:rsidRDefault="001D3863" w:rsidP="00B05EEB">
            <w:pPr>
              <w:spacing w:before="40" w:after="120"/>
              <w:ind w:right="113"/>
              <w:rPr>
                <w:szCs w:val="18"/>
              </w:rPr>
            </w:pPr>
            <w:r w:rsidRPr="00B05EEB">
              <w:rPr>
                <w:szCs w:val="18"/>
              </w:rPr>
              <w:t>Follow-up to decision VI/2 and revision of draft decision VII/2</w:t>
            </w:r>
          </w:p>
        </w:tc>
        <w:tc>
          <w:tcPr>
            <w:tcW w:w="2125" w:type="dxa"/>
            <w:shd w:val="clear" w:color="auto" w:fill="auto"/>
          </w:tcPr>
          <w:p w14:paraId="6A014F62" w14:textId="77777777" w:rsidR="001D3863" w:rsidRPr="00B05EEB" w:rsidRDefault="001D3863" w:rsidP="00B05EEB">
            <w:pPr>
              <w:spacing w:before="40" w:after="120"/>
              <w:ind w:right="113"/>
              <w:rPr>
                <w:szCs w:val="18"/>
              </w:rPr>
            </w:pPr>
            <w:r w:rsidRPr="00B05EEB">
              <w:rPr>
                <w:szCs w:val="18"/>
              </w:rPr>
              <w:t>37</w:t>
            </w:r>
          </w:p>
        </w:tc>
      </w:tr>
      <w:tr w:rsidR="001D3863" w:rsidRPr="00B05EEB" w14:paraId="657DD0AA" w14:textId="77777777" w:rsidTr="00B05EEB">
        <w:tc>
          <w:tcPr>
            <w:tcW w:w="5245" w:type="dxa"/>
            <w:shd w:val="clear" w:color="auto" w:fill="auto"/>
          </w:tcPr>
          <w:p w14:paraId="3149A4A2" w14:textId="77777777" w:rsidR="001D3863" w:rsidRPr="00B05EEB" w:rsidRDefault="001D3863" w:rsidP="00B05EEB">
            <w:pPr>
              <w:spacing w:before="40" w:after="120"/>
              <w:ind w:right="113"/>
              <w:rPr>
                <w:szCs w:val="18"/>
              </w:rPr>
            </w:pPr>
            <w:r w:rsidRPr="00B05EEB">
              <w:rPr>
                <w:szCs w:val="18"/>
              </w:rPr>
              <w:t>Follow up to decisions IS/1 a, c, d, g and f</w:t>
            </w:r>
          </w:p>
        </w:tc>
        <w:tc>
          <w:tcPr>
            <w:tcW w:w="2125" w:type="dxa"/>
            <w:shd w:val="clear" w:color="auto" w:fill="auto"/>
          </w:tcPr>
          <w:p w14:paraId="713DA8B3" w14:textId="77777777" w:rsidR="001D3863" w:rsidRPr="00B05EEB" w:rsidRDefault="001D3863" w:rsidP="00B05EEB">
            <w:pPr>
              <w:spacing w:before="40" w:after="120"/>
              <w:ind w:right="113"/>
              <w:rPr>
                <w:szCs w:val="18"/>
              </w:rPr>
            </w:pPr>
            <w:r w:rsidRPr="00B05EEB">
              <w:rPr>
                <w:szCs w:val="18"/>
              </w:rPr>
              <w:t>13</w:t>
            </w:r>
          </w:p>
        </w:tc>
      </w:tr>
      <w:tr w:rsidR="001D3863" w:rsidRPr="00B05EEB" w14:paraId="260E42F2" w14:textId="77777777" w:rsidTr="00B05EEB">
        <w:tc>
          <w:tcPr>
            <w:tcW w:w="5245" w:type="dxa"/>
            <w:shd w:val="clear" w:color="auto" w:fill="auto"/>
          </w:tcPr>
          <w:p w14:paraId="26BAEA7E" w14:textId="77777777" w:rsidR="001D3863" w:rsidRPr="00B05EEB" w:rsidRDefault="001D3863" w:rsidP="00B05EEB">
            <w:pPr>
              <w:spacing w:before="40" w:after="120"/>
              <w:ind w:right="113"/>
              <w:rPr>
                <w:szCs w:val="18"/>
              </w:rPr>
            </w:pPr>
            <w:r w:rsidRPr="00B05EEB">
              <w:rPr>
                <w:szCs w:val="18"/>
              </w:rPr>
              <w:t>Examination of the outcome of the reviews of implementation</w:t>
            </w:r>
          </w:p>
        </w:tc>
        <w:tc>
          <w:tcPr>
            <w:tcW w:w="2125" w:type="dxa"/>
            <w:shd w:val="clear" w:color="auto" w:fill="auto"/>
          </w:tcPr>
          <w:p w14:paraId="6BC2AA5B" w14:textId="77777777" w:rsidR="001D3863" w:rsidRPr="00B05EEB" w:rsidRDefault="001D3863" w:rsidP="00B05EEB">
            <w:pPr>
              <w:spacing w:before="40" w:after="120"/>
              <w:ind w:right="113"/>
              <w:rPr>
                <w:szCs w:val="18"/>
              </w:rPr>
            </w:pPr>
            <w:r w:rsidRPr="00B05EEB">
              <w:rPr>
                <w:szCs w:val="18"/>
              </w:rPr>
              <w:t>4</w:t>
            </w:r>
          </w:p>
        </w:tc>
      </w:tr>
      <w:tr w:rsidR="001D3863" w:rsidRPr="00B05EEB" w14:paraId="75897AEE" w14:textId="77777777" w:rsidTr="00B05EEB">
        <w:tc>
          <w:tcPr>
            <w:tcW w:w="5245" w:type="dxa"/>
            <w:shd w:val="clear" w:color="auto" w:fill="auto"/>
          </w:tcPr>
          <w:p w14:paraId="0C2B0852" w14:textId="77777777" w:rsidR="001D3863" w:rsidRPr="00B05EEB" w:rsidRDefault="001D3863" w:rsidP="00B05EEB">
            <w:pPr>
              <w:spacing w:before="40" w:after="120"/>
              <w:ind w:right="113"/>
              <w:rPr>
                <w:szCs w:val="18"/>
              </w:rPr>
            </w:pPr>
            <w:r w:rsidRPr="00B05EEB">
              <w:rPr>
                <w:szCs w:val="18"/>
              </w:rPr>
              <w:t>Consideration of submissions by Parties</w:t>
            </w:r>
          </w:p>
        </w:tc>
        <w:tc>
          <w:tcPr>
            <w:tcW w:w="2125" w:type="dxa"/>
            <w:shd w:val="clear" w:color="auto" w:fill="auto"/>
          </w:tcPr>
          <w:p w14:paraId="69EAF36D" w14:textId="77777777" w:rsidR="001D3863" w:rsidRPr="00B05EEB" w:rsidRDefault="001D3863" w:rsidP="00B05EEB">
            <w:pPr>
              <w:spacing w:before="40" w:after="120"/>
              <w:ind w:right="113"/>
              <w:rPr>
                <w:szCs w:val="18"/>
              </w:rPr>
            </w:pPr>
            <w:r w:rsidRPr="00B05EEB">
              <w:rPr>
                <w:szCs w:val="18"/>
              </w:rPr>
              <w:t>5</w:t>
            </w:r>
          </w:p>
        </w:tc>
      </w:tr>
      <w:tr w:rsidR="001D3863" w:rsidRPr="00B05EEB" w14:paraId="2A9C97B2" w14:textId="77777777" w:rsidTr="00B05EEB">
        <w:tc>
          <w:tcPr>
            <w:tcW w:w="5245" w:type="dxa"/>
            <w:shd w:val="clear" w:color="auto" w:fill="auto"/>
          </w:tcPr>
          <w:p w14:paraId="363DF09A" w14:textId="77777777" w:rsidR="001D3863" w:rsidRPr="00B05EEB" w:rsidRDefault="001D3863" w:rsidP="00B05EEB">
            <w:pPr>
              <w:spacing w:before="40" w:after="120"/>
              <w:ind w:right="113"/>
              <w:rPr>
                <w:szCs w:val="18"/>
              </w:rPr>
            </w:pPr>
            <w:r w:rsidRPr="00B05EEB">
              <w:rPr>
                <w:szCs w:val="18"/>
              </w:rPr>
              <w:t>Consideration of information from other sources</w:t>
            </w:r>
          </w:p>
        </w:tc>
        <w:tc>
          <w:tcPr>
            <w:tcW w:w="2125" w:type="dxa"/>
            <w:shd w:val="clear" w:color="auto" w:fill="auto"/>
          </w:tcPr>
          <w:p w14:paraId="01440C68" w14:textId="77777777" w:rsidR="001D3863" w:rsidRPr="00B05EEB" w:rsidRDefault="001D3863" w:rsidP="00B05EEB">
            <w:pPr>
              <w:spacing w:before="40" w:after="120"/>
              <w:ind w:right="113"/>
              <w:rPr>
                <w:szCs w:val="18"/>
              </w:rPr>
            </w:pPr>
            <w:r w:rsidRPr="00B05EEB">
              <w:rPr>
                <w:szCs w:val="18"/>
              </w:rPr>
              <w:t>18</w:t>
            </w:r>
          </w:p>
        </w:tc>
      </w:tr>
      <w:tr w:rsidR="001D3863" w:rsidRPr="00B05EEB" w14:paraId="06828D4E" w14:textId="77777777" w:rsidTr="00B05EEB">
        <w:tc>
          <w:tcPr>
            <w:tcW w:w="5245" w:type="dxa"/>
            <w:shd w:val="clear" w:color="auto" w:fill="auto"/>
          </w:tcPr>
          <w:p w14:paraId="54745E0E" w14:textId="77777777" w:rsidR="001D3863" w:rsidRPr="00B05EEB" w:rsidRDefault="001D3863" w:rsidP="00B05EEB">
            <w:pPr>
              <w:spacing w:before="40" w:after="120"/>
              <w:ind w:right="113"/>
              <w:rPr>
                <w:szCs w:val="18"/>
              </w:rPr>
            </w:pPr>
            <w:r w:rsidRPr="00B05EEB">
              <w:rPr>
                <w:szCs w:val="18"/>
              </w:rPr>
              <w:t>Committee initiative</w:t>
            </w:r>
          </w:p>
        </w:tc>
        <w:tc>
          <w:tcPr>
            <w:tcW w:w="2125" w:type="dxa"/>
            <w:shd w:val="clear" w:color="auto" w:fill="auto"/>
          </w:tcPr>
          <w:p w14:paraId="0F4934FD" w14:textId="77777777" w:rsidR="001D3863" w:rsidRPr="00B05EEB" w:rsidRDefault="001D3863" w:rsidP="00B05EEB">
            <w:pPr>
              <w:spacing w:before="40" w:after="120"/>
              <w:ind w:right="113"/>
              <w:rPr>
                <w:szCs w:val="18"/>
              </w:rPr>
            </w:pPr>
            <w:r w:rsidRPr="00B05EEB">
              <w:rPr>
                <w:szCs w:val="18"/>
              </w:rPr>
              <w:t>&lt;3</w:t>
            </w:r>
          </w:p>
        </w:tc>
      </w:tr>
      <w:tr w:rsidR="001D3863" w:rsidRPr="00B05EEB" w14:paraId="40CDEAC6" w14:textId="77777777" w:rsidTr="00B05EEB">
        <w:tc>
          <w:tcPr>
            <w:tcW w:w="5245" w:type="dxa"/>
            <w:shd w:val="clear" w:color="auto" w:fill="auto"/>
          </w:tcPr>
          <w:p w14:paraId="59739013" w14:textId="77777777" w:rsidR="001D3863" w:rsidRPr="00B05EEB" w:rsidRDefault="001D3863" w:rsidP="00B05EEB">
            <w:pPr>
              <w:spacing w:before="40" w:after="120"/>
              <w:ind w:right="113"/>
              <w:rPr>
                <w:szCs w:val="18"/>
              </w:rPr>
            </w:pPr>
            <w:r w:rsidRPr="00B05EEB">
              <w:rPr>
                <w:szCs w:val="18"/>
              </w:rPr>
              <w:t>Modification of the questionnaires</w:t>
            </w:r>
          </w:p>
        </w:tc>
        <w:tc>
          <w:tcPr>
            <w:tcW w:w="2125" w:type="dxa"/>
            <w:shd w:val="clear" w:color="auto" w:fill="auto"/>
          </w:tcPr>
          <w:p w14:paraId="416AFF38" w14:textId="77777777" w:rsidR="001D3863" w:rsidRPr="00B05EEB" w:rsidRDefault="001D3863" w:rsidP="00B05EEB">
            <w:pPr>
              <w:spacing w:before="40" w:after="120"/>
              <w:ind w:right="113"/>
              <w:rPr>
                <w:szCs w:val="18"/>
              </w:rPr>
            </w:pPr>
            <w:r w:rsidRPr="00B05EEB">
              <w:rPr>
                <w:szCs w:val="18"/>
              </w:rPr>
              <w:t>&lt;1</w:t>
            </w:r>
          </w:p>
        </w:tc>
      </w:tr>
      <w:tr w:rsidR="001D3863" w:rsidRPr="00B05EEB" w14:paraId="66047378" w14:textId="77777777" w:rsidTr="00B05EEB">
        <w:tc>
          <w:tcPr>
            <w:tcW w:w="5245" w:type="dxa"/>
            <w:shd w:val="clear" w:color="auto" w:fill="auto"/>
          </w:tcPr>
          <w:p w14:paraId="36B48931" w14:textId="77777777" w:rsidR="001D3863" w:rsidRPr="00B05EEB" w:rsidRDefault="001D3863" w:rsidP="00B05EEB">
            <w:pPr>
              <w:spacing w:before="40" w:after="120"/>
              <w:ind w:right="113"/>
              <w:rPr>
                <w:szCs w:val="18"/>
              </w:rPr>
            </w:pPr>
            <w:r w:rsidRPr="00B05EEB">
              <w:rPr>
                <w:szCs w:val="18"/>
              </w:rPr>
              <w:t>Review of the Committee’s structure, functions and operating rules</w:t>
            </w:r>
          </w:p>
        </w:tc>
        <w:tc>
          <w:tcPr>
            <w:tcW w:w="2125" w:type="dxa"/>
            <w:shd w:val="clear" w:color="auto" w:fill="auto"/>
          </w:tcPr>
          <w:p w14:paraId="46FFFFC8" w14:textId="77777777" w:rsidR="001D3863" w:rsidRPr="00B05EEB" w:rsidRDefault="001D3863" w:rsidP="00B05EEB">
            <w:pPr>
              <w:spacing w:before="40" w:after="120"/>
              <w:ind w:right="113"/>
              <w:rPr>
                <w:szCs w:val="18"/>
              </w:rPr>
            </w:pPr>
            <w:r w:rsidRPr="00B05EEB">
              <w:rPr>
                <w:szCs w:val="18"/>
              </w:rPr>
              <w:t>5</w:t>
            </w:r>
          </w:p>
        </w:tc>
      </w:tr>
      <w:tr w:rsidR="001D3863" w:rsidRPr="00B05EEB" w14:paraId="42AF499B" w14:textId="77777777" w:rsidTr="00B05EEB">
        <w:tc>
          <w:tcPr>
            <w:tcW w:w="5245" w:type="dxa"/>
            <w:shd w:val="clear" w:color="auto" w:fill="auto"/>
          </w:tcPr>
          <w:p w14:paraId="53CEBE4D" w14:textId="77777777" w:rsidR="001D3863" w:rsidRPr="00B05EEB" w:rsidRDefault="001D3863" w:rsidP="00B05EEB">
            <w:pPr>
              <w:spacing w:before="40" w:after="120"/>
              <w:ind w:right="113"/>
              <w:rPr>
                <w:szCs w:val="18"/>
              </w:rPr>
            </w:pPr>
            <w:r w:rsidRPr="00B05EEB">
              <w:rPr>
                <w:szCs w:val="18"/>
              </w:rPr>
              <w:t>Preparation for the seventh session of the Meeting of the Parties to the Convention and the third session of the Meeting of the Parties to the Protocol</w:t>
            </w:r>
          </w:p>
        </w:tc>
        <w:tc>
          <w:tcPr>
            <w:tcW w:w="2125" w:type="dxa"/>
            <w:shd w:val="clear" w:color="auto" w:fill="auto"/>
          </w:tcPr>
          <w:p w14:paraId="3D67658B" w14:textId="77777777" w:rsidR="001D3863" w:rsidRPr="00B05EEB" w:rsidRDefault="001D3863" w:rsidP="00B05EEB">
            <w:pPr>
              <w:spacing w:before="40" w:after="120"/>
              <w:ind w:right="113"/>
              <w:rPr>
                <w:szCs w:val="18"/>
              </w:rPr>
            </w:pPr>
            <w:r w:rsidRPr="00B05EEB">
              <w:rPr>
                <w:szCs w:val="18"/>
              </w:rPr>
              <w:t>14</w:t>
            </w:r>
          </w:p>
        </w:tc>
      </w:tr>
      <w:tr w:rsidR="001D3863" w:rsidRPr="00B05EEB" w14:paraId="05846D7B" w14:textId="77777777" w:rsidTr="00B05EEB">
        <w:tc>
          <w:tcPr>
            <w:tcW w:w="5245" w:type="dxa"/>
            <w:tcBorders>
              <w:bottom w:val="single" w:sz="12" w:space="0" w:color="auto"/>
            </w:tcBorders>
            <w:shd w:val="clear" w:color="auto" w:fill="auto"/>
          </w:tcPr>
          <w:p w14:paraId="59A79D6B" w14:textId="77777777" w:rsidR="001D3863" w:rsidRPr="00B05EEB" w:rsidRDefault="001D3863" w:rsidP="00B05EEB">
            <w:pPr>
              <w:spacing w:before="40" w:after="120"/>
              <w:ind w:right="113"/>
              <w:rPr>
                <w:b/>
                <w:bCs/>
                <w:szCs w:val="18"/>
              </w:rPr>
            </w:pPr>
            <w:r w:rsidRPr="00B05EEB">
              <w:rPr>
                <w:b/>
                <w:bCs/>
                <w:szCs w:val="18"/>
              </w:rPr>
              <w:tab/>
              <w:t>Total</w:t>
            </w:r>
          </w:p>
        </w:tc>
        <w:tc>
          <w:tcPr>
            <w:tcW w:w="2125" w:type="dxa"/>
            <w:tcBorders>
              <w:bottom w:val="single" w:sz="12" w:space="0" w:color="auto"/>
            </w:tcBorders>
            <w:shd w:val="clear" w:color="auto" w:fill="auto"/>
          </w:tcPr>
          <w:p w14:paraId="0E4EF11C" w14:textId="77777777" w:rsidR="001D3863" w:rsidRPr="00B05EEB" w:rsidRDefault="001D3863" w:rsidP="00B05EEB">
            <w:pPr>
              <w:spacing w:before="40" w:after="120"/>
              <w:ind w:right="113"/>
              <w:rPr>
                <w:b/>
                <w:bCs/>
                <w:szCs w:val="18"/>
              </w:rPr>
            </w:pPr>
            <w:r w:rsidRPr="00B05EEB">
              <w:rPr>
                <w:b/>
                <w:bCs/>
                <w:szCs w:val="18"/>
              </w:rPr>
              <w:t>100</w:t>
            </w:r>
          </w:p>
        </w:tc>
      </w:tr>
    </w:tbl>
    <w:p w14:paraId="4468C4E6" w14:textId="77777777" w:rsidR="001D3863" w:rsidRPr="001D18F5" w:rsidRDefault="001D3863" w:rsidP="001D3863">
      <w:pPr>
        <w:pStyle w:val="SingleTxtG"/>
        <w:spacing w:before="120" w:line="220" w:lineRule="exact"/>
        <w:ind w:firstLine="142"/>
        <w:rPr>
          <w:sz w:val="18"/>
          <w:szCs w:val="18"/>
        </w:rPr>
      </w:pPr>
      <w:r w:rsidRPr="001D18F5">
        <w:rPr>
          <w:i/>
          <w:sz w:val="18"/>
          <w:szCs w:val="18"/>
        </w:rPr>
        <w:t>Abbreviations</w:t>
      </w:r>
      <w:r w:rsidRPr="001D18F5">
        <w:rPr>
          <w:sz w:val="18"/>
          <w:szCs w:val="18"/>
        </w:rPr>
        <w:t>:</w:t>
      </w:r>
      <w:r w:rsidRPr="0003186D">
        <w:rPr>
          <w:sz w:val="18"/>
          <w:szCs w:val="18"/>
        </w:rPr>
        <w:t xml:space="preserve"> </w:t>
      </w:r>
      <w:r>
        <w:rPr>
          <w:sz w:val="18"/>
          <w:szCs w:val="18"/>
        </w:rPr>
        <w:t>The symbol (&lt;) means less than</w:t>
      </w:r>
      <w:r w:rsidRPr="001D18F5">
        <w:rPr>
          <w:sz w:val="18"/>
          <w:szCs w:val="18"/>
        </w:rPr>
        <w:t>.</w:t>
      </w:r>
    </w:p>
    <w:p w14:paraId="025694C2" w14:textId="77777777" w:rsidR="001D3863" w:rsidRPr="001545EB" w:rsidRDefault="001D3863" w:rsidP="001D3863">
      <w:pPr>
        <w:pStyle w:val="HChG"/>
      </w:pPr>
      <w:r w:rsidRPr="001545EB">
        <w:tab/>
        <w:t>X.</w:t>
      </w:r>
      <w:r w:rsidRPr="001545EB">
        <w:tab/>
        <w:t>Outreach</w:t>
      </w:r>
    </w:p>
    <w:p w14:paraId="4E958ADA" w14:textId="77777777" w:rsidR="001D3863" w:rsidRDefault="001D3863" w:rsidP="001D3863">
      <w:pPr>
        <w:pStyle w:val="SingleTxtG"/>
        <w:ind w:left="1170"/>
      </w:pPr>
      <w:r w:rsidRPr="001545EB">
        <w:t>9</w:t>
      </w:r>
      <w:r>
        <w:t>4</w:t>
      </w:r>
      <w:r w:rsidRPr="001545EB">
        <w:t>.</w:t>
      </w:r>
      <w:r w:rsidRPr="001545EB">
        <w:tab/>
      </w:r>
      <w:r>
        <w:t>T</w:t>
      </w:r>
      <w:r w:rsidRPr="001545EB">
        <w:t>he Committee undertook efforts to raise awareness of its work and assist Parties in implement</w:t>
      </w:r>
      <w:r>
        <w:t>ing</w:t>
      </w:r>
      <w:r w:rsidRPr="001545EB">
        <w:t xml:space="preserve"> the Convention. </w:t>
      </w:r>
      <w:proofErr w:type="gramStart"/>
      <w:r>
        <w:t>In particular, i</w:t>
      </w:r>
      <w:r w:rsidRPr="001545EB">
        <w:t>t</w:t>
      </w:r>
      <w:proofErr w:type="gramEnd"/>
      <w:r w:rsidRPr="001545EB">
        <w:t xml:space="preserve"> continued to request publication on the Convention website of the Committee’s correspondence and information related to compliance issues</w:t>
      </w:r>
      <w:r>
        <w:t>. The Chair of the Committee regularly exchanged experiences with the Chair of the Compliance Committee under the Convention on Access to Information, Public Participation in Decision-making and Access to Justice in Environmental Matters and, together with a Committee member, participated (by videoconference) in a meetings of the Implementation Committee under the Water Convention (19 May 2020).</w:t>
      </w:r>
    </w:p>
    <w:p w14:paraId="64C2F6EB" w14:textId="17C0EE4D" w:rsidR="004105DE" w:rsidRPr="00B976C5" w:rsidRDefault="00B976C5" w:rsidP="00B976C5">
      <w:pPr>
        <w:spacing w:before="240"/>
        <w:jc w:val="center"/>
        <w:rPr>
          <w:u w:val="single"/>
        </w:rPr>
      </w:pPr>
      <w:r>
        <w:rPr>
          <w:u w:val="single"/>
        </w:rPr>
        <w:tab/>
      </w:r>
      <w:r>
        <w:rPr>
          <w:u w:val="single"/>
        </w:rPr>
        <w:tab/>
      </w:r>
      <w:r>
        <w:rPr>
          <w:u w:val="single"/>
        </w:rPr>
        <w:tab/>
      </w:r>
    </w:p>
    <w:sectPr w:rsidR="004105DE" w:rsidRPr="00B976C5" w:rsidSect="003F7BB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888A" w14:textId="77777777" w:rsidR="00882DD3" w:rsidRDefault="00882DD3"/>
  </w:endnote>
  <w:endnote w:type="continuationSeparator" w:id="0">
    <w:p w14:paraId="2952F133" w14:textId="77777777" w:rsidR="00882DD3" w:rsidRDefault="00882DD3"/>
  </w:endnote>
  <w:endnote w:type="continuationNotice" w:id="1">
    <w:p w14:paraId="75C08FAF" w14:textId="77777777" w:rsidR="00882DD3" w:rsidRDefault="00882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E716" w14:textId="069AA87B" w:rsidR="00882DD3" w:rsidRPr="003F7BBD" w:rsidRDefault="00882DD3" w:rsidP="003F7BBD">
    <w:pPr>
      <w:pStyle w:val="Footer"/>
      <w:tabs>
        <w:tab w:val="right" w:pos="9638"/>
      </w:tabs>
      <w:rPr>
        <w:sz w:val="18"/>
      </w:rPr>
    </w:pPr>
    <w:r w:rsidRPr="003F7BBD">
      <w:rPr>
        <w:b/>
        <w:sz w:val="18"/>
      </w:rPr>
      <w:fldChar w:fldCharType="begin"/>
    </w:r>
    <w:r w:rsidRPr="003F7BBD">
      <w:rPr>
        <w:b/>
        <w:sz w:val="18"/>
      </w:rPr>
      <w:instrText xml:space="preserve"> PAGE  \* MERGEFORMAT </w:instrText>
    </w:r>
    <w:r w:rsidRPr="003F7BBD">
      <w:rPr>
        <w:b/>
        <w:sz w:val="18"/>
      </w:rPr>
      <w:fldChar w:fldCharType="separate"/>
    </w:r>
    <w:r w:rsidRPr="003F7BBD">
      <w:rPr>
        <w:b/>
        <w:noProof/>
        <w:sz w:val="18"/>
      </w:rPr>
      <w:t>2</w:t>
    </w:r>
    <w:r w:rsidRPr="003F7B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5847" w14:textId="4370BD0C" w:rsidR="00882DD3" w:rsidRPr="003F7BBD" w:rsidRDefault="00882DD3" w:rsidP="003F7BBD">
    <w:pPr>
      <w:pStyle w:val="Footer"/>
      <w:tabs>
        <w:tab w:val="right" w:pos="9638"/>
      </w:tabs>
      <w:rPr>
        <w:b/>
        <w:sz w:val="18"/>
      </w:rPr>
    </w:pPr>
    <w:r>
      <w:tab/>
    </w:r>
    <w:r w:rsidRPr="003F7BBD">
      <w:rPr>
        <w:b/>
        <w:sz w:val="18"/>
      </w:rPr>
      <w:fldChar w:fldCharType="begin"/>
    </w:r>
    <w:r w:rsidRPr="003F7BBD">
      <w:rPr>
        <w:b/>
        <w:sz w:val="18"/>
      </w:rPr>
      <w:instrText xml:space="preserve"> PAGE  \* MERGEFORMAT </w:instrText>
    </w:r>
    <w:r w:rsidRPr="003F7BBD">
      <w:rPr>
        <w:b/>
        <w:sz w:val="18"/>
      </w:rPr>
      <w:fldChar w:fldCharType="separate"/>
    </w:r>
    <w:r w:rsidRPr="003F7BBD">
      <w:rPr>
        <w:b/>
        <w:noProof/>
        <w:sz w:val="18"/>
      </w:rPr>
      <w:t>3</w:t>
    </w:r>
    <w:r w:rsidRPr="003F7B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4D98" w14:textId="77777777" w:rsidR="00882DD3" w:rsidRDefault="00882DD3" w:rsidP="00882DD3">
    <w:pPr>
      <w:pStyle w:val="Footer"/>
    </w:pPr>
    <w:r>
      <w:rPr>
        <w:rFonts w:ascii="C39T30Lfz" w:hAnsi="C39T30Lfz"/>
        <w:noProof/>
        <w:sz w:val="56"/>
      </w:rPr>
      <w:drawing>
        <wp:anchor distT="0" distB="0" distL="114300" distR="114300" simplePos="0" relativeHeight="251660288" behindDoc="0" locked="0" layoutInCell="1" allowOverlap="1" wp14:anchorId="79709A70" wp14:editId="557A38EC">
          <wp:simplePos x="0" y="0"/>
          <wp:positionH relativeFrom="margin">
            <wp:posOffset>5515174</wp:posOffset>
          </wp:positionH>
          <wp:positionV relativeFrom="margin">
            <wp:posOffset>8776553</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3583CBA" wp14:editId="62D2B42D">
          <wp:simplePos x="0" y="0"/>
          <wp:positionH relativeFrom="margin">
            <wp:posOffset>4361180</wp:posOffset>
          </wp:positionH>
          <wp:positionV relativeFrom="margin">
            <wp:posOffset>9013190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A8B7066" w14:textId="77777777" w:rsidR="00882DD3" w:rsidRDefault="00882DD3" w:rsidP="00882DD3">
    <w:pPr>
      <w:pStyle w:val="Footer"/>
      <w:ind w:right="1134"/>
      <w:rPr>
        <w:sz w:val="20"/>
      </w:rPr>
    </w:pPr>
    <w:r>
      <w:rPr>
        <w:sz w:val="20"/>
      </w:rPr>
      <w:t>GE.20-12422(E)</w:t>
    </w:r>
  </w:p>
  <w:p w14:paraId="7263CB06" w14:textId="77777777" w:rsidR="00882DD3" w:rsidRPr="00A33A05" w:rsidRDefault="00882DD3" w:rsidP="00882DD3">
    <w:pPr>
      <w:pStyle w:val="Footer"/>
      <w:ind w:right="1134"/>
      <w:rPr>
        <w:rFonts w:ascii="C39T30Lfz" w:hAnsi="C39T30Lfz"/>
        <w:sz w:val="56"/>
      </w:rPr>
    </w:pPr>
    <w:r>
      <w:rPr>
        <w:rFonts w:ascii="C39T30Lfz" w:hAnsi="C39T30Lfz" w:hint="eastAsia"/>
        <w:sz w:val="56"/>
      </w:rPr>
      <w:t>*2012422*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F6D2" w14:textId="77777777" w:rsidR="00882DD3" w:rsidRPr="000B175B" w:rsidRDefault="00882DD3" w:rsidP="000B175B">
      <w:pPr>
        <w:tabs>
          <w:tab w:val="right" w:pos="2155"/>
        </w:tabs>
        <w:spacing w:after="80"/>
        <w:ind w:left="680"/>
        <w:rPr>
          <w:u w:val="single"/>
        </w:rPr>
      </w:pPr>
      <w:r>
        <w:rPr>
          <w:u w:val="single"/>
        </w:rPr>
        <w:tab/>
      </w:r>
    </w:p>
  </w:footnote>
  <w:footnote w:type="continuationSeparator" w:id="0">
    <w:p w14:paraId="2EEBD8F7" w14:textId="77777777" w:rsidR="00882DD3" w:rsidRPr="00FC68B7" w:rsidRDefault="00882DD3" w:rsidP="00FC68B7">
      <w:pPr>
        <w:tabs>
          <w:tab w:val="left" w:pos="2155"/>
        </w:tabs>
        <w:spacing w:after="80"/>
        <w:ind w:left="680"/>
        <w:rPr>
          <w:u w:val="single"/>
        </w:rPr>
      </w:pPr>
      <w:r>
        <w:rPr>
          <w:u w:val="single"/>
        </w:rPr>
        <w:tab/>
      </w:r>
    </w:p>
  </w:footnote>
  <w:footnote w:type="continuationNotice" w:id="1">
    <w:p w14:paraId="7D349BEE" w14:textId="77777777" w:rsidR="00882DD3" w:rsidRDefault="00882DD3"/>
  </w:footnote>
  <w:footnote w:id="2">
    <w:p w14:paraId="3C433EBA" w14:textId="77777777" w:rsidR="00882DD3" w:rsidRPr="00410F45" w:rsidRDefault="00882DD3" w:rsidP="005559F9">
      <w:pPr>
        <w:pStyle w:val="FootnoteText"/>
        <w:widowControl w:val="0"/>
        <w:tabs>
          <w:tab w:val="clear" w:pos="1021"/>
          <w:tab w:val="right" w:pos="1020"/>
        </w:tabs>
        <w:rPr>
          <w:lang w:val="en-US"/>
        </w:rPr>
      </w:pPr>
      <w:r w:rsidRPr="00843567">
        <w:tab/>
      </w:r>
      <w:r>
        <w:rPr>
          <w:rStyle w:val="FootnoteReference"/>
        </w:rPr>
        <w:footnoteRef/>
      </w:r>
      <w:r>
        <w:tab/>
      </w:r>
      <w:r w:rsidRPr="004460AA">
        <w:t xml:space="preserve">For rules on election processes, see </w:t>
      </w:r>
      <w:r w:rsidRPr="008562FC">
        <w:t>decision V/6–I/6</w:t>
      </w:r>
      <w:r>
        <w:t xml:space="preserve">, </w:t>
      </w:r>
      <w:r w:rsidRPr="004460AA">
        <w:t>paras</w:t>
      </w:r>
      <w:r>
        <w:t>.</w:t>
      </w:r>
      <w:r w:rsidRPr="004460AA">
        <w:t xml:space="preserve"> 2 and 3.</w:t>
      </w:r>
      <w:r>
        <w:t xml:space="preserve"> </w:t>
      </w:r>
    </w:p>
  </w:footnote>
  <w:footnote w:id="3">
    <w:p w14:paraId="7ACA3C8F" w14:textId="77777777" w:rsidR="00882DD3" w:rsidRDefault="00882DD3" w:rsidP="005559F9">
      <w:pPr>
        <w:pStyle w:val="FootnoteText"/>
      </w:pPr>
      <w:r>
        <w:tab/>
      </w:r>
      <w:r>
        <w:rPr>
          <w:rStyle w:val="FootnoteReference"/>
        </w:rPr>
        <w:footnoteRef/>
      </w:r>
      <w:r>
        <w:tab/>
      </w:r>
      <w:r>
        <w:rPr>
          <w:lang w:val="en-US"/>
        </w:rPr>
        <w:t>See decision IV/2, annex IV (see ECE/MP.EIA/10), as amended by decisions V/4, annex (see ECE/MP.EIA/15) and VI/2, annex II (see ECE/MP.EIA/20/Add.1–ECE/MP.EIA/SEA/4/Add.1).</w:t>
      </w:r>
    </w:p>
  </w:footnote>
  <w:footnote w:id="4">
    <w:p w14:paraId="3B8235BB" w14:textId="622A15FA" w:rsidR="00882DD3" w:rsidRPr="00E858CB" w:rsidRDefault="00882DD3" w:rsidP="005559F9">
      <w:pPr>
        <w:pStyle w:val="FootnoteText"/>
        <w:rPr>
          <w:lang w:val="en-US"/>
        </w:rPr>
      </w:pPr>
      <w:r>
        <w:tab/>
      </w:r>
      <w:r>
        <w:rPr>
          <w:rStyle w:val="FootnoteReference"/>
        </w:rPr>
        <w:footnoteRef/>
      </w:r>
      <w:r w:rsidRPr="00DF3CEE">
        <w:rPr>
          <w:lang w:val="es-ES"/>
        </w:rPr>
        <w:tab/>
        <w:t xml:space="preserve">ECE/MP.EIA/23.Add.1–ECE/MP.EIA/SEA/7.Add.1, </w:t>
      </w:r>
      <w:r>
        <w:rPr>
          <w:lang w:val="es-ES"/>
        </w:rPr>
        <w:t>d</w:t>
      </w:r>
      <w:r w:rsidRPr="00DF3CEE">
        <w:rPr>
          <w:lang w:val="es-ES"/>
        </w:rPr>
        <w:t xml:space="preserve">ecision VII/3–III/3, para. </w:t>
      </w:r>
      <w:r>
        <w:rPr>
          <w:lang w:val="en-US"/>
        </w:rPr>
        <w:t>7.</w:t>
      </w:r>
    </w:p>
  </w:footnote>
  <w:footnote w:id="5">
    <w:p w14:paraId="0D542379" w14:textId="673B01D7" w:rsidR="00882DD3" w:rsidRPr="00BB3C0E" w:rsidRDefault="00882DD3" w:rsidP="005559F9">
      <w:pPr>
        <w:pStyle w:val="FootnoteText"/>
        <w:rPr>
          <w:lang w:val="en-US"/>
        </w:rPr>
      </w:pPr>
      <w:r>
        <w:tab/>
      </w:r>
      <w:r>
        <w:rPr>
          <w:rStyle w:val="FootnoteReference"/>
        </w:rPr>
        <w:footnoteRef/>
      </w:r>
      <w:r>
        <w:tab/>
      </w:r>
      <w:r>
        <w:rPr>
          <w:lang w:val="en-US"/>
        </w:rPr>
        <w:t>A report on the Committee’s additional meetings held on 26 May and 10 June 2020 is annexed to the Committee’s report on its forty-eighth session (ECE/MP.EIA/IC/2020/4, annex).</w:t>
      </w:r>
    </w:p>
  </w:footnote>
  <w:footnote w:id="6">
    <w:p w14:paraId="6FE198F1" w14:textId="5DC2808D" w:rsidR="00882DD3" w:rsidRPr="00E60A93" w:rsidRDefault="00882DD3" w:rsidP="005559F9">
      <w:pPr>
        <w:pStyle w:val="FootnoteText"/>
        <w:rPr>
          <w:lang w:val="en-US"/>
        </w:rPr>
      </w:pPr>
      <w:r>
        <w:tab/>
      </w:r>
      <w:r>
        <w:rPr>
          <w:rStyle w:val="FootnoteReference"/>
        </w:rPr>
        <w:footnoteRef/>
      </w:r>
      <w:r>
        <w:tab/>
        <w:t xml:space="preserve">The reports on the Committee’s sessions are available at </w:t>
      </w:r>
      <w:hyperlink r:id="rId1" w:anchor="/0/0/0/28089/19940" w:history="1">
        <w:r w:rsidRPr="00C53A7C">
          <w:rPr>
            <w:rStyle w:val="Hyperlink"/>
          </w:rPr>
          <w:t>www.unece.org/environmental-policy/conventions/environmental-assessment/meetings-and-events.html#/0/0/0/28089/19940</w:t>
        </w:r>
      </w:hyperlink>
      <w:r>
        <w:rPr>
          <w:rStyle w:val="Hyperlink"/>
        </w:rPr>
        <w:t>.</w:t>
      </w:r>
    </w:p>
  </w:footnote>
  <w:footnote w:id="7">
    <w:p w14:paraId="3CB55A66" w14:textId="09CA8D33" w:rsidR="00882DD3" w:rsidRPr="00015EEF" w:rsidRDefault="00882DD3" w:rsidP="005559F9">
      <w:pPr>
        <w:pStyle w:val="FootnoteText"/>
        <w:rPr>
          <w:lang w:val="en-US"/>
        </w:rPr>
      </w:pPr>
      <w:r>
        <w:tab/>
      </w:r>
      <w:r>
        <w:rPr>
          <w:rStyle w:val="FootnoteReference"/>
        </w:rPr>
        <w:footnoteRef/>
      </w:r>
      <w:r>
        <w:tab/>
      </w:r>
      <w:r w:rsidRPr="00015EEF">
        <w:t xml:space="preserve">See </w:t>
      </w:r>
      <w:hyperlink r:id="rId2" w:history="1">
        <w:r w:rsidRPr="00843567">
          <w:rPr>
            <w:rStyle w:val="Hyperlink"/>
          </w:rPr>
          <w:t>www.unece.org/env/eia/implementation/implementation_committee.html</w:t>
        </w:r>
      </w:hyperlink>
      <w:r>
        <w:t>.</w:t>
      </w:r>
    </w:p>
  </w:footnote>
  <w:footnote w:id="8">
    <w:p w14:paraId="1459D6D8" w14:textId="3A978730" w:rsidR="00882DD3" w:rsidRPr="00DF3CEE" w:rsidRDefault="00882DD3" w:rsidP="005559F9">
      <w:pPr>
        <w:pStyle w:val="FootnoteText"/>
      </w:pPr>
      <w:r>
        <w:tab/>
      </w:r>
      <w:r>
        <w:rPr>
          <w:rStyle w:val="FootnoteReference"/>
        </w:rPr>
        <w:footnoteRef/>
      </w:r>
      <w:r w:rsidRPr="00843567">
        <w:tab/>
      </w:r>
      <w:r w:rsidRPr="00DF3CEE">
        <w:t xml:space="preserve">See </w:t>
      </w:r>
      <w:hyperlink r:id="rId3" w:history="1">
        <w:r w:rsidRPr="00FF5922">
          <w:rPr>
            <w:rStyle w:val="Hyperlink"/>
          </w:rPr>
          <w:t>www.unece.org/env/eia/implementation/implementation_committee.html</w:t>
        </w:r>
      </w:hyperlink>
      <w:r>
        <w:t>.</w:t>
      </w:r>
    </w:p>
  </w:footnote>
  <w:footnote w:id="9">
    <w:p w14:paraId="57B67D19" w14:textId="54FF398B" w:rsidR="00882DD3" w:rsidRPr="0010163C" w:rsidRDefault="00882DD3" w:rsidP="00F478EE">
      <w:pPr>
        <w:pStyle w:val="FootnoteText"/>
        <w:rPr>
          <w:lang w:val="en-US"/>
        </w:rPr>
      </w:pPr>
      <w:r w:rsidRPr="00227CC3">
        <w:tab/>
      </w:r>
      <w:r>
        <w:rPr>
          <w:rStyle w:val="FootnoteReference"/>
        </w:rPr>
        <w:footnoteRef/>
      </w:r>
      <w:r>
        <w:tab/>
      </w:r>
      <w:r>
        <w:rPr>
          <w:lang w:val="en-US"/>
        </w:rPr>
        <w:t>For more details see ECE/MP.EIA/IC/2018/4, annex.</w:t>
      </w:r>
    </w:p>
  </w:footnote>
  <w:footnote w:id="10">
    <w:p w14:paraId="26877F79" w14:textId="77777777" w:rsidR="00882DD3" w:rsidRPr="00B1666B" w:rsidRDefault="00882DD3" w:rsidP="004105DE">
      <w:pPr>
        <w:pStyle w:val="FootnoteText"/>
      </w:pPr>
      <w:r>
        <w:tab/>
      </w:r>
      <w:r>
        <w:rPr>
          <w:rStyle w:val="FootnoteReference"/>
        </w:rPr>
        <w:footnoteRef/>
      </w:r>
      <w:r>
        <w:t xml:space="preserve"> </w:t>
      </w:r>
      <w:r>
        <w:tab/>
      </w:r>
      <w:r w:rsidRPr="00BC5EE8">
        <w:t>United Nations publication, ECE/MP.EIA/7</w:t>
      </w:r>
      <w:r>
        <w:t>.</w:t>
      </w:r>
    </w:p>
  </w:footnote>
  <w:footnote w:id="11">
    <w:p w14:paraId="4C700F24" w14:textId="77777777" w:rsidR="00882DD3" w:rsidRPr="00F85A22" w:rsidRDefault="00882DD3" w:rsidP="001D3863">
      <w:pPr>
        <w:pStyle w:val="FootnoteText"/>
      </w:pPr>
      <w:r>
        <w:tab/>
      </w:r>
      <w:r>
        <w:rPr>
          <w:rStyle w:val="FootnoteReference"/>
        </w:rPr>
        <w:footnoteRef/>
      </w:r>
      <w:r>
        <w:t xml:space="preserve"> </w:t>
      </w:r>
      <w:r>
        <w:tab/>
      </w:r>
      <w:r w:rsidRPr="00F3149B">
        <w:t>See https://ec.europa.eu/environment/eia/sea-legalcontext.htm</w:t>
      </w:r>
      <w:r>
        <w:t>.</w:t>
      </w:r>
    </w:p>
  </w:footnote>
  <w:footnote w:id="12">
    <w:p w14:paraId="0201C81A" w14:textId="343B00A1" w:rsidR="00882DD3" w:rsidRPr="0039713A" w:rsidRDefault="00882DD3" w:rsidP="001D3863">
      <w:pPr>
        <w:pStyle w:val="FootnoteText"/>
        <w:rPr>
          <w:lang w:val="es-ES_tradnl"/>
        </w:rPr>
      </w:pPr>
      <w:r>
        <w:tab/>
      </w:r>
      <w:r>
        <w:rPr>
          <w:rStyle w:val="FootnoteReference"/>
        </w:rPr>
        <w:footnoteRef/>
      </w:r>
      <w:r w:rsidRPr="0039713A">
        <w:rPr>
          <w:lang w:val="es-ES_tradnl"/>
        </w:rPr>
        <w:tab/>
      </w:r>
      <w:r w:rsidRPr="006E2774">
        <w:rPr>
          <w:lang w:val="es-ES_tradnl"/>
        </w:rPr>
        <w:t>ECE/MP.EIA/23.Add.2–ECE/MP.EIA/SEA/7.Add.2,</w:t>
      </w:r>
      <w:r>
        <w:rPr>
          <w:lang w:val="es-ES_tradnl"/>
        </w:rPr>
        <w:t xml:space="preserve"> </w:t>
      </w:r>
      <w:r>
        <w:rPr>
          <w:lang w:val="es-ES_tradnl"/>
        </w:rPr>
        <w:t>d</w:t>
      </w:r>
      <w:r w:rsidRPr="0039713A">
        <w:rPr>
          <w:lang w:val="es-ES_tradnl"/>
        </w:rPr>
        <w:t>ecision VII/</w:t>
      </w:r>
      <w:r>
        <w:rPr>
          <w:lang w:val="es-ES_tradnl"/>
        </w:rPr>
        <w:t>1</w:t>
      </w:r>
      <w:r w:rsidRPr="0039713A">
        <w:rPr>
          <w:lang w:val="es-ES_tradnl"/>
        </w:rPr>
        <w:t>, para.</w:t>
      </w:r>
      <w:r>
        <w:rPr>
          <w:lang w:val="es-ES_tradnl"/>
        </w:rPr>
        <w:t xml:space="preserve"> </w:t>
      </w:r>
      <w:r w:rsidRPr="0039713A">
        <w:rPr>
          <w:lang w:val="es-ES_tradnl"/>
        </w:rPr>
        <w:t>6.</w:t>
      </w:r>
    </w:p>
  </w:footnote>
  <w:footnote w:id="13">
    <w:p w14:paraId="19662FC4" w14:textId="546C8BBF" w:rsidR="00882DD3" w:rsidRPr="00A341F6" w:rsidRDefault="00882DD3" w:rsidP="001D3863">
      <w:pPr>
        <w:pStyle w:val="FootnoteText"/>
        <w:rPr>
          <w:lang w:val="es-ES_tradnl"/>
        </w:rPr>
      </w:pPr>
      <w:r>
        <w:rPr>
          <w:lang w:val="es-ES_tradnl"/>
        </w:rPr>
        <w:tab/>
      </w:r>
      <w:r>
        <w:rPr>
          <w:rStyle w:val="FootnoteReference"/>
        </w:rPr>
        <w:footnoteRef/>
      </w:r>
      <w:r>
        <w:rPr>
          <w:lang w:val="es-ES_tradnl"/>
        </w:rPr>
        <w:tab/>
      </w:r>
      <w:r>
        <w:rPr>
          <w:lang w:val="es-ES_tradnl"/>
        </w:rPr>
        <w:tab/>
      </w:r>
      <w:r w:rsidRPr="00A341F6">
        <w:rPr>
          <w:lang w:val="es-ES_tradnl"/>
        </w:rPr>
        <w:t>ECE/MP.EIA/IC/2019/4, paras</w:t>
      </w:r>
      <w:r>
        <w:rPr>
          <w:lang w:val="es-ES_tradnl"/>
        </w:rPr>
        <w:t>. 120–130.</w:t>
      </w:r>
    </w:p>
  </w:footnote>
  <w:footnote w:id="14">
    <w:p w14:paraId="00432D07" w14:textId="633A00B1" w:rsidR="00882DD3" w:rsidRPr="004A4159" w:rsidRDefault="00882DD3" w:rsidP="001D3863">
      <w:pPr>
        <w:ind w:left="567" w:firstLine="333"/>
        <w:rPr>
          <w:lang w:val="es-ES_tradnl"/>
        </w:rPr>
      </w:pPr>
      <w:r>
        <w:rPr>
          <w:rStyle w:val="FootnoteReference"/>
        </w:rPr>
        <w:footnoteRef/>
      </w:r>
      <w:r>
        <w:rPr>
          <w:lang w:val="es-ES_tradnl"/>
        </w:rPr>
        <w:tab/>
      </w:r>
      <w:r w:rsidRPr="004A4159">
        <w:rPr>
          <w:lang w:val="es-ES_tradnl"/>
        </w:rPr>
        <w:t>ECE/MP.EIA/27–ECE/MP.EIA/SEA/11</w:t>
      </w:r>
      <w:r>
        <w:rPr>
          <w:lang w:val="es-ES_tradnl"/>
        </w:rPr>
        <w:t>, para. 43.</w:t>
      </w:r>
    </w:p>
    <w:p w14:paraId="2C232037" w14:textId="77777777" w:rsidR="00882DD3" w:rsidRPr="004A4159" w:rsidRDefault="00882DD3" w:rsidP="001D3863">
      <w:pPr>
        <w:rPr>
          <w:lang w:val="es-ES_tradnl"/>
        </w:rPr>
      </w:pPr>
    </w:p>
    <w:p w14:paraId="5A979A13" w14:textId="77777777" w:rsidR="00882DD3" w:rsidRPr="009821AA" w:rsidRDefault="00882DD3" w:rsidP="001D3863">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6E0" w14:textId="4DB7EC33" w:rsidR="00882DD3" w:rsidRPr="00882DD3" w:rsidRDefault="00882DD3">
    <w:pPr>
      <w:pStyle w:val="Header"/>
      <w:rPr>
        <w:lang w:val="es-ES"/>
      </w:rPr>
    </w:pPr>
    <w:r w:rsidRPr="00882DD3">
      <w:rPr>
        <w:lang w:val="es-ES"/>
      </w:rPr>
      <w:t>ECE/MP.EIA/2020/4</w:t>
    </w:r>
    <w:r w:rsidRPr="00882DD3">
      <w:rPr>
        <w:lang w:val="es-ES"/>
      </w:rPr>
      <w:br/>
      <w:t>ECE/MP.EIA/SEA/2020/4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B050" w14:textId="30C9E47D" w:rsidR="00882DD3" w:rsidRPr="00882DD3" w:rsidRDefault="00882DD3" w:rsidP="003F7BBD">
    <w:pPr>
      <w:pStyle w:val="Header"/>
      <w:jc w:val="right"/>
      <w:rPr>
        <w:lang w:val="es-ES"/>
      </w:rPr>
    </w:pPr>
    <w:r w:rsidRPr="00882DD3">
      <w:rPr>
        <w:lang w:val="es-ES"/>
      </w:rPr>
      <w:t>ECE/MP.EIA/2020/4</w:t>
    </w:r>
    <w:r w:rsidRPr="00882DD3">
      <w:rPr>
        <w:lang w:val="es-ES"/>
      </w:rPr>
      <w:br/>
      <w:t>ECE/MP.EIA/SEA/2020/4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B8496B"/>
    <w:multiLevelType w:val="hybridMultilevel"/>
    <w:tmpl w:val="833287CE"/>
    <w:lvl w:ilvl="0" w:tplc="270C5EFC">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15:restartNumberingAfterBreak="0">
    <w:nsid w:val="04D346A7"/>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45C32B0"/>
    <w:multiLevelType w:val="hybridMultilevel"/>
    <w:tmpl w:val="1610D01E"/>
    <w:lvl w:ilvl="0" w:tplc="BBC4F59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15AC2112"/>
    <w:multiLevelType w:val="hybridMultilevel"/>
    <w:tmpl w:val="7060AAB2"/>
    <w:lvl w:ilvl="0" w:tplc="4B4289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96406"/>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DA4752"/>
    <w:multiLevelType w:val="hybridMultilevel"/>
    <w:tmpl w:val="6F3258D6"/>
    <w:lvl w:ilvl="0" w:tplc="4AF4FE2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1FF65F43"/>
    <w:multiLevelType w:val="hybridMultilevel"/>
    <w:tmpl w:val="0B5C337E"/>
    <w:lvl w:ilvl="0" w:tplc="9DE619E2">
      <w:start w:val="1"/>
      <w:numFmt w:val="lowerLetter"/>
      <w:lvlText w:val="(%1)"/>
      <w:lvlJc w:val="left"/>
      <w:pPr>
        <w:ind w:left="2160" w:hanging="360"/>
      </w:pPr>
      <w:rPr>
        <w:rFonts w:hint="default"/>
      </w:rPr>
    </w:lvl>
    <w:lvl w:ilvl="1" w:tplc="B75E4686">
      <w:start w:val="9"/>
      <w:numFmt w:val="lowerLetter"/>
      <w:lvlText w:val="%2."/>
      <w:lvlJc w:val="left"/>
      <w:pPr>
        <w:ind w:left="2250" w:hanging="360"/>
      </w:pPr>
      <w:rPr>
        <w:rFonts w:hint="default"/>
      </w:r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4" w15:restartNumberingAfterBreak="0">
    <w:nsid w:val="27285104"/>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A36CFA"/>
    <w:multiLevelType w:val="hybridMultilevel"/>
    <w:tmpl w:val="EF58B096"/>
    <w:lvl w:ilvl="0" w:tplc="9DE619E2">
      <w:start w:val="1"/>
      <w:numFmt w:val="lowerLetter"/>
      <w:lvlText w:val="(%1)"/>
      <w:lvlJc w:val="left"/>
      <w:pPr>
        <w:ind w:left="2160" w:hanging="360"/>
      </w:pPr>
      <w:rPr>
        <w:rFonts w:hint="default"/>
      </w:rPr>
    </w:lvl>
    <w:lvl w:ilvl="1" w:tplc="0809001B">
      <w:start w:val="1"/>
      <w:numFmt w:val="lowerRoman"/>
      <w:lvlText w:val="%2."/>
      <w:lvlJc w:val="right"/>
      <w:pPr>
        <w:ind w:left="2250" w:hanging="360"/>
      </w:pPr>
      <w:rPr>
        <w:rFonts w:hint="default"/>
      </w:rPr>
    </w:lvl>
    <w:lvl w:ilvl="2" w:tplc="0809001B">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8" w15:restartNumberingAfterBreak="0">
    <w:nsid w:val="37200C01"/>
    <w:multiLevelType w:val="hybridMultilevel"/>
    <w:tmpl w:val="42DA19E6"/>
    <w:lvl w:ilvl="0" w:tplc="91D62ADA">
      <w:start w:val="1"/>
      <w:numFmt w:val="decimal"/>
      <w:lvlText w:val="%1."/>
      <w:lvlJc w:val="left"/>
      <w:pPr>
        <w:ind w:left="253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7BA1CBA"/>
    <w:multiLevelType w:val="hybridMultilevel"/>
    <w:tmpl w:val="E7703162"/>
    <w:lvl w:ilvl="0" w:tplc="2D4ADB26">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0" w15:restartNumberingAfterBreak="0">
    <w:nsid w:val="395076F1"/>
    <w:multiLevelType w:val="hybridMultilevel"/>
    <w:tmpl w:val="42DA19E6"/>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39EB22E4"/>
    <w:multiLevelType w:val="hybridMultilevel"/>
    <w:tmpl w:val="D7768866"/>
    <w:lvl w:ilvl="0" w:tplc="265E326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E2B4A77"/>
    <w:multiLevelType w:val="hybridMultilevel"/>
    <w:tmpl w:val="45C4EC64"/>
    <w:lvl w:ilvl="0" w:tplc="114014E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3FFC73C6"/>
    <w:multiLevelType w:val="hybridMultilevel"/>
    <w:tmpl w:val="56EE734C"/>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55445280"/>
    <w:multiLevelType w:val="hybridMultilevel"/>
    <w:tmpl w:val="2B361B4A"/>
    <w:lvl w:ilvl="0" w:tplc="FF420D4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58917D0A"/>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C7B31D2"/>
    <w:multiLevelType w:val="hybridMultilevel"/>
    <w:tmpl w:val="26D8797E"/>
    <w:lvl w:ilvl="0" w:tplc="36E2DC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8A6C81"/>
    <w:multiLevelType w:val="hybridMultilevel"/>
    <w:tmpl w:val="86944280"/>
    <w:lvl w:ilvl="0" w:tplc="A5A05A52">
      <w:start w:val="29"/>
      <w:numFmt w:val="bullet"/>
      <w:lvlText w:val="-"/>
      <w:lvlJc w:val="left"/>
      <w:pPr>
        <w:ind w:left="1494" w:hanging="360"/>
      </w:pPr>
      <w:rPr>
        <w:rFonts w:ascii="Times New Roman" w:eastAsia="Calibr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2AB5"/>
    <w:multiLevelType w:val="hybridMultilevel"/>
    <w:tmpl w:val="73E8F356"/>
    <w:lvl w:ilvl="0" w:tplc="9B7447AE">
      <w:start w:val="1"/>
      <w:numFmt w:val="upp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1" w15:restartNumberingAfterBreak="0">
    <w:nsid w:val="6FB70285"/>
    <w:multiLevelType w:val="hybridMultilevel"/>
    <w:tmpl w:val="C0F4E9A6"/>
    <w:styleLink w:val="Numbered"/>
    <w:lvl w:ilvl="0" w:tplc="434057D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0F62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CA6D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60A9C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B64AD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6CFBF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264B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21A2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60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1E7751A"/>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2B141F3"/>
    <w:multiLevelType w:val="hybridMultilevel"/>
    <w:tmpl w:val="B3508E5C"/>
    <w:lvl w:ilvl="0" w:tplc="8B9C660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8C6"/>
    <w:multiLevelType w:val="hybridMultilevel"/>
    <w:tmpl w:val="7004C68C"/>
    <w:lvl w:ilvl="0" w:tplc="A27AA876">
      <w:start w:val="1"/>
      <w:numFmt w:val="decimal"/>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6" w15:restartNumberingAfterBreak="0">
    <w:nsid w:val="78EE1BBC"/>
    <w:multiLevelType w:val="hybridMultilevel"/>
    <w:tmpl w:val="A11414CA"/>
    <w:lvl w:ilvl="0" w:tplc="91D62ADA">
      <w:start w:val="1"/>
      <w:numFmt w:val="decimal"/>
      <w:lvlText w:val="%1."/>
      <w:lvlJc w:val="left"/>
      <w:pPr>
        <w:ind w:left="1725" w:hanging="555"/>
      </w:pPr>
      <w:rPr>
        <w:rFonts w:hint="default"/>
      </w:rPr>
    </w:lvl>
    <w:lvl w:ilvl="1" w:tplc="08090019">
      <w:start w:val="1"/>
      <w:numFmt w:val="lowerLetter"/>
      <w:lvlText w:val="%2."/>
      <w:lvlJc w:val="left"/>
      <w:pPr>
        <w:ind w:left="2214" w:hanging="360"/>
      </w:pPr>
    </w:lvl>
    <w:lvl w:ilvl="2" w:tplc="130E629C">
      <w:start w:val="1"/>
      <w:numFmt w:val="lowerLetter"/>
      <w:lvlText w:val="(%3)"/>
      <w:lvlJc w:val="left"/>
      <w:pPr>
        <w:ind w:left="3879" w:hanging="1125"/>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D4F10B2"/>
    <w:multiLevelType w:val="hybridMultilevel"/>
    <w:tmpl w:val="12083D14"/>
    <w:lvl w:ilvl="0" w:tplc="6DA2774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0"/>
  </w:num>
  <w:num w:numId="14">
    <w:abstractNumId w:val="19"/>
  </w:num>
  <w:num w:numId="15">
    <w:abstractNumId w:val="26"/>
  </w:num>
  <w:num w:numId="16">
    <w:abstractNumId w:val="20"/>
  </w:num>
  <w:num w:numId="17">
    <w:abstractNumId w:val="39"/>
  </w:num>
  <w:num w:numId="18">
    <w:abstractNumId w:val="44"/>
  </w:num>
  <w:num w:numId="19">
    <w:abstractNumId w:val="14"/>
  </w:num>
  <w:num w:numId="20">
    <w:abstractNumId w:val="37"/>
  </w:num>
  <w:num w:numId="21">
    <w:abstractNumId w:val="17"/>
  </w:num>
  <w:num w:numId="22">
    <w:abstractNumId w:val="13"/>
  </w:num>
  <w:num w:numId="23">
    <w:abstractNumId w:val="24"/>
  </w:num>
  <w:num w:numId="24">
    <w:abstractNumId w:val="38"/>
  </w:num>
  <w:num w:numId="25">
    <w:abstractNumId w:val="28"/>
  </w:num>
  <w:num w:numId="26">
    <w:abstractNumId w:val="45"/>
  </w:num>
  <w:num w:numId="27">
    <w:abstractNumId w:val="30"/>
  </w:num>
  <w:num w:numId="28">
    <w:abstractNumId w:val="41"/>
  </w:num>
  <w:num w:numId="29">
    <w:abstractNumId w:val="18"/>
  </w:num>
  <w:num w:numId="30">
    <w:abstractNumId w:val="35"/>
  </w:num>
  <w:num w:numId="31">
    <w:abstractNumId w:val="46"/>
  </w:num>
  <w:num w:numId="32">
    <w:abstractNumId w:val="12"/>
  </w:num>
  <w:num w:numId="33">
    <w:abstractNumId w:val="42"/>
  </w:num>
  <w:num w:numId="34">
    <w:abstractNumId w:val="43"/>
  </w:num>
  <w:num w:numId="35">
    <w:abstractNumId w:val="47"/>
  </w:num>
  <w:num w:numId="36">
    <w:abstractNumId w:val="16"/>
  </w:num>
  <w:num w:numId="37">
    <w:abstractNumId w:val="34"/>
  </w:num>
  <w:num w:numId="38">
    <w:abstractNumId w:val="36"/>
  </w:num>
  <w:num w:numId="39">
    <w:abstractNumId w:val="29"/>
  </w:num>
  <w:num w:numId="40">
    <w:abstractNumId w:val="33"/>
  </w:num>
  <w:num w:numId="41">
    <w:abstractNumId w:val="23"/>
  </w:num>
  <w:num w:numId="42">
    <w:abstractNumId w:val="40"/>
  </w:num>
  <w:num w:numId="43">
    <w:abstractNumId w:val="11"/>
  </w:num>
  <w:num w:numId="44">
    <w:abstractNumId w:val="15"/>
  </w:num>
  <w:num w:numId="45">
    <w:abstractNumId w:val="31"/>
  </w:num>
  <w:num w:numId="46">
    <w:abstractNumId w:val="27"/>
  </w:num>
  <w:num w:numId="47">
    <w:abstractNumId w:val="22"/>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3F7BB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3863"/>
    <w:rsid w:val="001E4B34"/>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533"/>
    <w:rsid w:val="003F7BBD"/>
    <w:rsid w:val="004105DE"/>
    <w:rsid w:val="00413520"/>
    <w:rsid w:val="004325CB"/>
    <w:rsid w:val="00440A07"/>
    <w:rsid w:val="004419AE"/>
    <w:rsid w:val="00462880"/>
    <w:rsid w:val="00476F24"/>
    <w:rsid w:val="004930E7"/>
    <w:rsid w:val="004C55B0"/>
    <w:rsid w:val="004F6BA0"/>
    <w:rsid w:val="00503962"/>
    <w:rsid w:val="00503BEA"/>
    <w:rsid w:val="00533616"/>
    <w:rsid w:val="00535ABA"/>
    <w:rsid w:val="0053768B"/>
    <w:rsid w:val="005420F2"/>
    <w:rsid w:val="0054285C"/>
    <w:rsid w:val="005559F9"/>
    <w:rsid w:val="00584173"/>
    <w:rsid w:val="00595520"/>
    <w:rsid w:val="005A44B9"/>
    <w:rsid w:val="005B1BA0"/>
    <w:rsid w:val="005B3DB3"/>
    <w:rsid w:val="005D15CA"/>
    <w:rsid w:val="005E569B"/>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7496D"/>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2DD3"/>
    <w:rsid w:val="008879CB"/>
    <w:rsid w:val="008979B1"/>
    <w:rsid w:val="008A561E"/>
    <w:rsid w:val="008A6B25"/>
    <w:rsid w:val="008A6C4F"/>
    <w:rsid w:val="008B389E"/>
    <w:rsid w:val="008D045E"/>
    <w:rsid w:val="008D3F25"/>
    <w:rsid w:val="008D4D82"/>
    <w:rsid w:val="008E0E46"/>
    <w:rsid w:val="008E7116"/>
    <w:rsid w:val="008F005F"/>
    <w:rsid w:val="008F143B"/>
    <w:rsid w:val="008F3882"/>
    <w:rsid w:val="008F4B7C"/>
    <w:rsid w:val="00926E47"/>
    <w:rsid w:val="009444A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50D7"/>
    <w:rsid w:val="009D01C0"/>
    <w:rsid w:val="009D0E94"/>
    <w:rsid w:val="009D6A08"/>
    <w:rsid w:val="009E0A16"/>
    <w:rsid w:val="009E5A6B"/>
    <w:rsid w:val="009E6CB7"/>
    <w:rsid w:val="009E7970"/>
    <w:rsid w:val="009F2EAC"/>
    <w:rsid w:val="009F57E3"/>
    <w:rsid w:val="00A10F4F"/>
    <w:rsid w:val="00A11067"/>
    <w:rsid w:val="00A1704A"/>
    <w:rsid w:val="00A425EB"/>
    <w:rsid w:val="00A51BA8"/>
    <w:rsid w:val="00A70654"/>
    <w:rsid w:val="00A72F22"/>
    <w:rsid w:val="00A733BC"/>
    <w:rsid w:val="00A748A6"/>
    <w:rsid w:val="00A76A69"/>
    <w:rsid w:val="00A85EC1"/>
    <w:rsid w:val="00A879A4"/>
    <w:rsid w:val="00A91A3C"/>
    <w:rsid w:val="00AA0FF8"/>
    <w:rsid w:val="00AC0F2C"/>
    <w:rsid w:val="00AC502A"/>
    <w:rsid w:val="00AF58C1"/>
    <w:rsid w:val="00B04A3F"/>
    <w:rsid w:val="00B05EEB"/>
    <w:rsid w:val="00B06643"/>
    <w:rsid w:val="00B15055"/>
    <w:rsid w:val="00B20551"/>
    <w:rsid w:val="00B30179"/>
    <w:rsid w:val="00B33FC7"/>
    <w:rsid w:val="00B37B15"/>
    <w:rsid w:val="00B45C02"/>
    <w:rsid w:val="00B70B63"/>
    <w:rsid w:val="00B72A1E"/>
    <w:rsid w:val="00B75363"/>
    <w:rsid w:val="00B81E12"/>
    <w:rsid w:val="00B976C5"/>
    <w:rsid w:val="00BA339B"/>
    <w:rsid w:val="00BC1E7E"/>
    <w:rsid w:val="00BC74E9"/>
    <w:rsid w:val="00BE36A9"/>
    <w:rsid w:val="00BE618E"/>
    <w:rsid w:val="00BE7BEC"/>
    <w:rsid w:val="00BF0A5A"/>
    <w:rsid w:val="00BF0E63"/>
    <w:rsid w:val="00BF12A3"/>
    <w:rsid w:val="00BF16D7"/>
    <w:rsid w:val="00BF2373"/>
    <w:rsid w:val="00BF7A11"/>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75CEC"/>
    <w:rsid w:val="00D978C6"/>
    <w:rsid w:val="00DA0956"/>
    <w:rsid w:val="00DA357F"/>
    <w:rsid w:val="00DA3E12"/>
    <w:rsid w:val="00DC18AD"/>
    <w:rsid w:val="00DF1118"/>
    <w:rsid w:val="00DF7CAE"/>
    <w:rsid w:val="00E3469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15D4F"/>
    <w:rsid w:val="00F21786"/>
    <w:rsid w:val="00F3742B"/>
    <w:rsid w:val="00F41FDB"/>
    <w:rsid w:val="00F478EE"/>
    <w:rsid w:val="00F56D63"/>
    <w:rsid w:val="00F609A9"/>
    <w:rsid w:val="00F80C99"/>
    <w:rsid w:val="00F867EC"/>
    <w:rsid w:val="00F91B2B"/>
    <w:rsid w:val="00FB66D0"/>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2B28D"/>
  <w15:docId w15:val="{370C256A-3BE4-4D4B-B7DA-9131F568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uiPriority w:val="99"/>
    <w:rsid w:val="00D75CEC"/>
    <w:rPr>
      <w:lang w:val="en-GB"/>
    </w:rPr>
  </w:style>
  <w:style w:type="character" w:customStyle="1" w:styleId="HChGChar">
    <w:name w:val="_ H _Ch_G Char"/>
    <w:link w:val="HChG"/>
    <w:rsid w:val="005559F9"/>
    <w:rPr>
      <w:b/>
      <w:sz w:val="28"/>
      <w:lang w:val="en-GB"/>
    </w:rPr>
  </w:style>
  <w:style w:type="character" w:customStyle="1" w:styleId="H1GChar">
    <w:name w:val="_ H_1_G Char"/>
    <w:link w:val="H1G"/>
    <w:rsid w:val="005559F9"/>
    <w:rPr>
      <w:b/>
      <w:sz w:val="24"/>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Fußnote Char"/>
    <w:link w:val="FootnoteText"/>
    <w:rsid w:val="005559F9"/>
    <w:rPr>
      <w:sz w:val="18"/>
      <w:lang w:val="en-GB"/>
    </w:rPr>
  </w:style>
  <w:style w:type="paragraph" w:styleId="PlainText">
    <w:name w:val="Plain Text"/>
    <w:basedOn w:val="Normal"/>
    <w:link w:val="PlainTextChar"/>
    <w:uiPriority w:val="99"/>
    <w:semiHidden/>
    <w:rsid w:val="001D3863"/>
    <w:rPr>
      <w:lang w:eastAsia="x-none"/>
    </w:rPr>
  </w:style>
  <w:style w:type="character" w:customStyle="1" w:styleId="PlainTextChar">
    <w:name w:val="Plain Text Char"/>
    <w:basedOn w:val="DefaultParagraphFont"/>
    <w:link w:val="PlainText"/>
    <w:uiPriority w:val="99"/>
    <w:semiHidden/>
    <w:rsid w:val="001D3863"/>
    <w:rPr>
      <w:lang w:val="en-GB" w:eastAsia="x-none"/>
    </w:rPr>
  </w:style>
  <w:style w:type="paragraph" w:styleId="BodyText">
    <w:name w:val="Body Text"/>
    <w:basedOn w:val="Normal"/>
    <w:next w:val="Normal"/>
    <w:link w:val="BodyTextChar"/>
    <w:semiHidden/>
    <w:rsid w:val="001D3863"/>
    <w:rPr>
      <w:lang w:eastAsia="en-US"/>
    </w:rPr>
  </w:style>
  <w:style w:type="character" w:customStyle="1" w:styleId="BodyTextChar">
    <w:name w:val="Body Text Char"/>
    <w:basedOn w:val="DefaultParagraphFont"/>
    <w:link w:val="BodyText"/>
    <w:semiHidden/>
    <w:rsid w:val="001D3863"/>
    <w:rPr>
      <w:lang w:val="en-GB" w:eastAsia="en-US"/>
    </w:rPr>
  </w:style>
  <w:style w:type="paragraph" w:styleId="BodyTextIndent">
    <w:name w:val="Body Text Indent"/>
    <w:basedOn w:val="Normal"/>
    <w:link w:val="BodyTextIndentChar"/>
    <w:semiHidden/>
    <w:rsid w:val="001D3863"/>
    <w:pPr>
      <w:spacing w:after="120"/>
      <w:ind w:left="283"/>
    </w:pPr>
    <w:rPr>
      <w:lang w:eastAsia="en-US"/>
    </w:rPr>
  </w:style>
  <w:style w:type="character" w:customStyle="1" w:styleId="BodyTextIndentChar">
    <w:name w:val="Body Text Indent Char"/>
    <w:basedOn w:val="DefaultParagraphFont"/>
    <w:link w:val="BodyTextIndent"/>
    <w:semiHidden/>
    <w:rsid w:val="001D3863"/>
    <w:rPr>
      <w:lang w:val="en-GB" w:eastAsia="en-US"/>
    </w:rPr>
  </w:style>
  <w:style w:type="paragraph" w:styleId="BlockText">
    <w:name w:val="Block Text"/>
    <w:basedOn w:val="Normal"/>
    <w:semiHidden/>
    <w:rsid w:val="001D3863"/>
    <w:pPr>
      <w:ind w:left="1440" w:right="1440"/>
    </w:pPr>
    <w:rPr>
      <w:lang w:eastAsia="en-US"/>
    </w:rPr>
  </w:style>
  <w:style w:type="character" w:styleId="CommentReference">
    <w:name w:val="annotation reference"/>
    <w:uiPriority w:val="99"/>
    <w:rsid w:val="001D3863"/>
    <w:rPr>
      <w:sz w:val="6"/>
    </w:rPr>
  </w:style>
  <w:style w:type="paragraph" w:styleId="CommentText">
    <w:name w:val="annotation text"/>
    <w:basedOn w:val="Normal"/>
    <w:link w:val="CommentTextChar"/>
    <w:uiPriority w:val="99"/>
    <w:rsid w:val="001D3863"/>
    <w:rPr>
      <w:lang w:val="x-none" w:eastAsia="en-US"/>
    </w:rPr>
  </w:style>
  <w:style w:type="character" w:customStyle="1" w:styleId="CommentTextChar">
    <w:name w:val="Comment Text Char"/>
    <w:basedOn w:val="DefaultParagraphFont"/>
    <w:link w:val="CommentText"/>
    <w:uiPriority w:val="99"/>
    <w:rsid w:val="001D3863"/>
    <w:rPr>
      <w:lang w:val="x-none" w:eastAsia="en-US"/>
    </w:rPr>
  </w:style>
  <w:style w:type="character" w:styleId="LineNumber">
    <w:name w:val="line number"/>
    <w:semiHidden/>
    <w:rsid w:val="001D3863"/>
    <w:rPr>
      <w:sz w:val="14"/>
    </w:rPr>
  </w:style>
  <w:style w:type="numbering" w:styleId="111111">
    <w:name w:val="Outline List 2"/>
    <w:basedOn w:val="NoList"/>
    <w:semiHidden/>
    <w:rsid w:val="001D3863"/>
    <w:pPr>
      <w:numPr>
        <w:numId w:val="20"/>
      </w:numPr>
    </w:pPr>
  </w:style>
  <w:style w:type="numbering" w:styleId="1ai">
    <w:name w:val="Outline List 1"/>
    <w:basedOn w:val="NoList"/>
    <w:semiHidden/>
    <w:rsid w:val="001D3863"/>
    <w:pPr>
      <w:numPr>
        <w:numId w:val="21"/>
      </w:numPr>
    </w:pPr>
  </w:style>
  <w:style w:type="numbering" w:styleId="ArticleSection">
    <w:name w:val="Outline List 3"/>
    <w:basedOn w:val="NoList"/>
    <w:semiHidden/>
    <w:rsid w:val="001D3863"/>
    <w:pPr>
      <w:numPr>
        <w:numId w:val="22"/>
      </w:numPr>
    </w:pPr>
  </w:style>
  <w:style w:type="paragraph" w:styleId="BodyText2">
    <w:name w:val="Body Text 2"/>
    <w:basedOn w:val="Normal"/>
    <w:link w:val="BodyText2Char"/>
    <w:semiHidden/>
    <w:rsid w:val="001D3863"/>
    <w:pPr>
      <w:spacing w:after="120" w:line="480" w:lineRule="auto"/>
    </w:pPr>
    <w:rPr>
      <w:lang w:eastAsia="en-US"/>
    </w:rPr>
  </w:style>
  <w:style w:type="character" w:customStyle="1" w:styleId="BodyText2Char">
    <w:name w:val="Body Text 2 Char"/>
    <w:basedOn w:val="DefaultParagraphFont"/>
    <w:link w:val="BodyText2"/>
    <w:semiHidden/>
    <w:rsid w:val="001D3863"/>
    <w:rPr>
      <w:lang w:val="en-GB" w:eastAsia="en-US"/>
    </w:rPr>
  </w:style>
  <w:style w:type="paragraph" w:styleId="BodyText3">
    <w:name w:val="Body Text 3"/>
    <w:basedOn w:val="Normal"/>
    <w:link w:val="BodyText3Char"/>
    <w:semiHidden/>
    <w:rsid w:val="001D3863"/>
    <w:pPr>
      <w:spacing w:after="120"/>
    </w:pPr>
    <w:rPr>
      <w:sz w:val="16"/>
      <w:szCs w:val="16"/>
      <w:lang w:eastAsia="en-US"/>
    </w:rPr>
  </w:style>
  <w:style w:type="character" w:customStyle="1" w:styleId="BodyText3Char">
    <w:name w:val="Body Text 3 Char"/>
    <w:basedOn w:val="DefaultParagraphFont"/>
    <w:link w:val="BodyText3"/>
    <w:semiHidden/>
    <w:rsid w:val="001D3863"/>
    <w:rPr>
      <w:sz w:val="16"/>
      <w:szCs w:val="16"/>
      <w:lang w:val="en-GB" w:eastAsia="en-US"/>
    </w:rPr>
  </w:style>
  <w:style w:type="paragraph" w:styleId="BodyTextFirstIndent">
    <w:name w:val="Body Text First Indent"/>
    <w:basedOn w:val="BodyText"/>
    <w:link w:val="BodyTextFirstIndentChar"/>
    <w:rsid w:val="001D3863"/>
    <w:pPr>
      <w:spacing w:after="120"/>
      <w:ind w:firstLine="210"/>
    </w:pPr>
  </w:style>
  <w:style w:type="character" w:customStyle="1" w:styleId="BodyTextFirstIndentChar">
    <w:name w:val="Body Text First Indent Char"/>
    <w:basedOn w:val="BodyTextChar"/>
    <w:link w:val="BodyTextFirstIndent"/>
    <w:rsid w:val="001D3863"/>
    <w:rPr>
      <w:lang w:val="en-GB" w:eastAsia="en-US"/>
    </w:rPr>
  </w:style>
  <w:style w:type="paragraph" w:styleId="BodyTextFirstIndent2">
    <w:name w:val="Body Text First Indent 2"/>
    <w:basedOn w:val="BodyTextIndent"/>
    <w:link w:val="BodyTextFirstIndent2Char"/>
    <w:semiHidden/>
    <w:rsid w:val="001D3863"/>
    <w:pPr>
      <w:ind w:firstLine="210"/>
    </w:pPr>
  </w:style>
  <w:style w:type="character" w:customStyle="1" w:styleId="BodyTextFirstIndent2Char">
    <w:name w:val="Body Text First Indent 2 Char"/>
    <w:basedOn w:val="BodyTextIndentChar"/>
    <w:link w:val="BodyTextFirstIndent2"/>
    <w:semiHidden/>
    <w:rsid w:val="001D3863"/>
    <w:rPr>
      <w:lang w:val="en-GB" w:eastAsia="en-US"/>
    </w:rPr>
  </w:style>
  <w:style w:type="paragraph" w:styleId="BodyTextIndent2">
    <w:name w:val="Body Text Indent 2"/>
    <w:basedOn w:val="Normal"/>
    <w:link w:val="BodyTextIndent2Char"/>
    <w:semiHidden/>
    <w:rsid w:val="001D3863"/>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1D3863"/>
    <w:rPr>
      <w:lang w:val="en-GB" w:eastAsia="en-US"/>
    </w:rPr>
  </w:style>
  <w:style w:type="paragraph" w:styleId="BodyTextIndent3">
    <w:name w:val="Body Text Indent 3"/>
    <w:basedOn w:val="Normal"/>
    <w:link w:val="BodyTextIndent3Char"/>
    <w:semiHidden/>
    <w:rsid w:val="001D3863"/>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1D3863"/>
    <w:rPr>
      <w:sz w:val="16"/>
      <w:szCs w:val="16"/>
      <w:lang w:val="en-GB" w:eastAsia="en-US"/>
    </w:rPr>
  </w:style>
  <w:style w:type="paragraph" w:styleId="Closing">
    <w:name w:val="Closing"/>
    <w:basedOn w:val="Normal"/>
    <w:link w:val="ClosingChar"/>
    <w:semiHidden/>
    <w:rsid w:val="001D3863"/>
    <w:pPr>
      <w:ind w:left="4252"/>
    </w:pPr>
    <w:rPr>
      <w:lang w:eastAsia="en-US"/>
    </w:rPr>
  </w:style>
  <w:style w:type="character" w:customStyle="1" w:styleId="ClosingChar">
    <w:name w:val="Closing Char"/>
    <w:basedOn w:val="DefaultParagraphFont"/>
    <w:link w:val="Closing"/>
    <w:semiHidden/>
    <w:rsid w:val="001D3863"/>
    <w:rPr>
      <w:lang w:val="en-GB" w:eastAsia="en-US"/>
    </w:rPr>
  </w:style>
  <w:style w:type="paragraph" w:styleId="Date">
    <w:name w:val="Date"/>
    <w:basedOn w:val="Normal"/>
    <w:next w:val="Normal"/>
    <w:link w:val="DateChar"/>
    <w:rsid w:val="001D3863"/>
    <w:rPr>
      <w:lang w:eastAsia="en-US"/>
    </w:rPr>
  </w:style>
  <w:style w:type="character" w:customStyle="1" w:styleId="DateChar">
    <w:name w:val="Date Char"/>
    <w:basedOn w:val="DefaultParagraphFont"/>
    <w:link w:val="Date"/>
    <w:rsid w:val="001D3863"/>
    <w:rPr>
      <w:lang w:val="en-GB" w:eastAsia="en-US"/>
    </w:rPr>
  </w:style>
  <w:style w:type="paragraph" w:styleId="E-mailSignature">
    <w:name w:val="E-mail Signature"/>
    <w:basedOn w:val="Normal"/>
    <w:link w:val="E-mailSignatureChar"/>
    <w:semiHidden/>
    <w:rsid w:val="001D3863"/>
    <w:rPr>
      <w:lang w:eastAsia="en-US"/>
    </w:rPr>
  </w:style>
  <w:style w:type="character" w:customStyle="1" w:styleId="E-mailSignatureChar">
    <w:name w:val="E-mail Signature Char"/>
    <w:basedOn w:val="DefaultParagraphFont"/>
    <w:link w:val="E-mailSignature"/>
    <w:semiHidden/>
    <w:rsid w:val="001D3863"/>
    <w:rPr>
      <w:lang w:val="en-GB" w:eastAsia="en-US"/>
    </w:rPr>
  </w:style>
  <w:style w:type="character" w:styleId="Emphasis">
    <w:name w:val="Emphasis"/>
    <w:qFormat/>
    <w:rsid w:val="001D3863"/>
    <w:rPr>
      <w:i/>
      <w:iCs/>
    </w:rPr>
  </w:style>
  <w:style w:type="paragraph" w:styleId="EnvelopeReturn">
    <w:name w:val="envelope return"/>
    <w:basedOn w:val="Normal"/>
    <w:semiHidden/>
    <w:rsid w:val="001D3863"/>
    <w:rPr>
      <w:rFonts w:ascii="Arial" w:hAnsi="Arial" w:cs="Arial"/>
      <w:lang w:eastAsia="en-US"/>
    </w:rPr>
  </w:style>
  <w:style w:type="character" w:styleId="HTMLAcronym">
    <w:name w:val="HTML Acronym"/>
    <w:basedOn w:val="DefaultParagraphFont"/>
    <w:semiHidden/>
    <w:rsid w:val="001D3863"/>
  </w:style>
  <w:style w:type="paragraph" w:styleId="HTMLAddress">
    <w:name w:val="HTML Address"/>
    <w:basedOn w:val="Normal"/>
    <w:link w:val="HTMLAddressChar"/>
    <w:semiHidden/>
    <w:rsid w:val="001D3863"/>
    <w:rPr>
      <w:i/>
      <w:iCs/>
      <w:lang w:eastAsia="en-US"/>
    </w:rPr>
  </w:style>
  <w:style w:type="character" w:customStyle="1" w:styleId="HTMLAddressChar">
    <w:name w:val="HTML Address Char"/>
    <w:basedOn w:val="DefaultParagraphFont"/>
    <w:link w:val="HTMLAddress"/>
    <w:semiHidden/>
    <w:rsid w:val="001D3863"/>
    <w:rPr>
      <w:i/>
      <w:iCs/>
      <w:lang w:val="en-GB" w:eastAsia="en-US"/>
    </w:rPr>
  </w:style>
  <w:style w:type="character" w:styleId="HTMLCite">
    <w:name w:val="HTML Cite"/>
    <w:semiHidden/>
    <w:rsid w:val="001D3863"/>
    <w:rPr>
      <w:i/>
      <w:iCs/>
    </w:rPr>
  </w:style>
  <w:style w:type="character" w:styleId="HTMLCode">
    <w:name w:val="HTML Code"/>
    <w:semiHidden/>
    <w:rsid w:val="001D3863"/>
    <w:rPr>
      <w:rFonts w:ascii="Courier New" w:hAnsi="Courier New" w:cs="Courier New"/>
      <w:sz w:val="20"/>
      <w:szCs w:val="20"/>
    </w:rPr>
  </w:style>
  <w:style w:type="character" w:styleId="HTMLDefinition">
    <w:name w:val="HTML Definition"/>
    <w:semiHidden/>
    <w:rsid w:val="001D3863"/>
    <w:rPr>
      <w:i/>
      <w:iCs/>
    </w:rPr>
  </w:style>
  <w:style w:type="character" w:styleId="HTMLKeyboard">
    <w:name w:val="HTML Keyboard"/>
    <w:semiHidden/>
    <w:rsid w:val="001D3863"/>
    <w:rPr>
      <w:rFonts w:ascii="Courier New" w:hAnsi="Courier New" w:cs="Courier New"/>
      <w:sz w:val="20"/>
      <w:szCs w:val="20"/>
    </w:rPr>
  </w:style>
  <w:style w:type="paragraph" w:styleId="HTMLPreformatted">
    <w:name w:val="HTML Preformatted"/>
    <w:basedOn w:val="Normal"/>
    <w:link w:val="HTMLPreformattedChar"/>
    <w:semiHidden/>
    <w:rsid w:val="001D3863"/>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1D3863"/>
    <w:rPr>
      <w:rFonts w:ascii="Courier New" w:hAnsi="Courier New" w:cs="Courier New"/>
      <w:lang w:val="en-GB" w:eastAsia="en-US"/>
    </w:rPr>
  </w:style>
  <w:style w:type="character" w:styleId="HTMLSample">
    <w:name w:val="HTML Sample"/>
    <w:semiHidden/>
    <w:rsid w:val="001D3863"/>
    <w:rPr>
      <w:rFonts w:ascii="Courier New" w:hAnsi="Courier New" w:cs="Courier New"/>
    </w:rPr>
  </w:style>
  <w:style w:type="character" w:styleId="HTMLTypewriter">
    <w:name w:val="HTML Typewriter"/>
    <w:semiHidden/>
    <w:rsid w:val="001D3863"/>
    <w:rPr>
      <w:rFonts w:ascii="Courier New" w:hAnsi="Courier New" w:cs="Courier New"/>
      <w:sz w:val="20"/>
      <w:szCs w:val="20"/>
    </w:rPr>
  </w:style>
  <w:style w:type="character" w:styleId="HTMLVariable">
    <w:name w:val="HTML Variable"/>
    <w:semiHidden/>
    <w:rsid w:val="001D3863"/>
    <w:rPr>
      <w:i/>
      <w:iCs/>
    </w:rPr>
  </w:style>
  <w:style w:type="paragraph" w:styleId="List">
    <w:name w:val="List"/>
    <w:basedOn w:val="Normal"/>
    <w:semiHidden/>
    <w:rsid w:val="001D3863"/>
    <w:pPr>
      <w:ind w:left="283" w:hanging="283"/>
    </w:pPr>
    <w:rPr>
      <w:lang w:eastAsia="en-US"/>
    </w:rPr>
  </w:style>
  <w:style w:type="paragraph" w:styleId="List2">
    <w:name w:val="List 2"/>
    <w:basedOn w:val="Normal"/>
    <w:semiHidden/>
    <w:rsid w:val="001D3863"/>
    <w:pPr>
      <w:ind w:left="566" w:hanging="283"/>
    </w:pPr>
    <w:rPr>
      <w:lang w:eastAsia="en-US"/>
    </w:rPr>
  </w:style>
  <w:style w:type="paragraph" w:styleId="List3">
    <w:name w:val="List 3"/>
    <w:basedOn w:val="Normal"/>
    <w:semiHidden/>
    <w:rsid w:val="001D3863"/>
    <w:pPr>
      <w:ind w:left="849" w:hanging="283"/>
    </w:pPr>
    <w:rPr>
      <w:lang w:eastAsia="en-US"/>
    </w:rPr>
  </w:style>
  <w:style w:type="paragraph" w:styleId="List4">
    <w:name w:val="List 4"/>
    <w:basedOn w:val="Normal"/>
    <w:rsid w:val="001D3863"/>
    <w:pPr>
      <w:ind w:left="1132" w:hanging="283"/>
    </w:pPr>
    <w:rPr>
      <w:lang w:eastAsia="en-US"/>
    </w:rPr>
  </w:style>
  <w:style w:type="paragraph" w:styleId="List5">
    <w:name w:val="List 5"/>
    <w:basedOn w:val="Normal"/>
    <w:rsid w:val="001D3863"/>
    <w:pPr>
      <w:ind w:left="1415" w:hanging="283"/>
    </w:pPr>
    <w:rPr>
      <w:lang w:eastAsia="en-US"/>
    </w:rPr>
  </w:style>
  <w:style w:type="paragraph" w:styleId="ListBullet">
    <w:name w:val="List Bullet"/>
    <w:basedOn w:val="Normal"/>
    <w:semiHidden/>
    <w:rsid w:val="001D3863"/>
    <w:pPr>
      <w:tabs>
        <w:tab w:val="num" w:pos="360"/>
      </w:tabs>
      <w:ind w:left="360" w:hanging="360"/>
    </w:pPr>
    <w:rPr>
      <w:lang w:eastAsia="en-US"/>
    </w:rPr>
  </w:style>
  <w:style w:type="paragraph" w:styleId="ListBullet2">
    <w:name w:val="List Bullet 2"/>
    <w:basedOn w:val="Normal"/>
    <w:semiHidden/>
    <w:rsid w:val="001D3863"/>
    <w:pPr>
      <w:tabs>
        <w:tab w:val="num" w:pos="643"/>
      </w:tabs>
      <w:ind w:left="643" w:hanging="360"/>
    </w:pPr>
    <w:rPr>
      <w:lang w:eastAsia="en-US"/>
    </w:rPr>
  </w:style>
  <w:style w:type="paragraph" w:styleId="ListBullet3">
    <w:name w:val="List Bullet 3"/>
    <w:basedOn w:val="Normal"/>
    <w:semiHidden/>
    <w:rsid w:val="001D3863"/>
    <w:pPr>
      <w:tabs>
        <w:tab w:val="num" w:pos="926"/>
      </w:tabs>
      <w:ind w:left="926" w:hanging="360"/>
    </w:pPr>
    <w:rPr>
      <w:lang w:eastAsia="en-US"/>
    </w:rPr>
  </w:style>
  <w:style w:type="paragraph" w:styleId="ListBullet4">
    <w:name w:val="List Bullet 4"/>
    <w:basedOn w:val="Normal"/>
    <w:semiHidden/>
    <w:rsid w:val="001D3863"/>
    <w:pPr>
      <w:tabs>
        <w:tab w:val="num" w:pos="1209"/>
      </w:tabs>
      <w:ind w:left="1209" w:hanging="360"/>
    </w:pPr>
    <w:rPr>
      <w:lang w:eastAsia="en-US"/>
    </w:rPr>
  </w:style>
  <w:style w:type="paragraph" w:styleId="ListBullet5">
    <w:name w:val="List Bullet 5"/>
    <w:basedOn w:val="Normal"/>
    <w:semiHidden/>
    <w:rsid w:val="001D3863"/>
    <w:pPr>
      <w:tabs>
        <w:tab w:val="num" w:pos="1492"/>
      </w:tabs>
      <w:ind w:left="1492" w:hanging="360"/>
    </w:pPr>
    <w:rPr>
      <w:lang w:eastAsia="en-US"/>
    </w:rPr>
  </w:style>
  <w:style w:type="paragraph" w:styleId="ListContinue">
    <w:name w:val="List Continue"/>
    <w:basedOn w:val="Normal"/>
    <w:semiHidden/>
    <w:rsid w:val="001D3863"/>
    <w:pPr>
      <w:spacing w:after="120"/>
      <w:ind w:left="283"/>
    </w:pPr>
    <w:rPr>
      <w:lang w:eastAsia="en-US"/>
    </w:rPr>
  </w:style>
  <w:style w:type="paragraph" w:styleId="ListContinue2">
    <w:name w:val="List Continue 2"/>
    <w:basedOn w:val="Normal"/>
    <w:semiHidden/>
    <w:rsid w:val="001D3863"/>
    <w:pPr>
      <w:spacing w:after="120"/>
      <w:ind w:left="566"/>
    </w:pPr>
    <w:rPr>
      <w:lang w:eastAsia="en-US"/>
    </w:rPr>
  </w:style>
  <w:style w:type="paragraph" w:styleId="ListContinue3">
    <w:name w:val="List Continue 3"/>
    <w:basedOn w:val="Normal"/>
    <w:semiHidden/>
    <w:rsid w:val="001D3863"/>
    <w:pPr>
      <w:spacing w:after="120"/>
      <w:ind w:left="849"/>
    </w:pPr>
    <w:rPr>
      <w:lang w:eastAsia="en-US"/>
    </w:rPr>
  </w:style>
  <w:style w:type="paragraph" w:styleId="ListContinue4">
    <w:name w:val="List Continue 4"/>
    <w:basedOn w:val="Normal"/>
    <w:semiHidden/>
    <w:rsid w:val="001D3863"/>
    <w:pPr>
      <w:spacing w:after="120"/>
      <w:ind w:left="1132"/>
    </w:pPr>
    <w:rPr>
      <w:lang w:eastAsia="en-US"/>
    </w:rPr>
  </w:style>
  <w:style w:type="paragraph" w:styleId="ListContinue5">
    <w:name w:val="List Continue 5"/>
    <w:basedOn w:val="Normal"/>
    <w:semiHidden/>
    <w:rsid w:val="001D3863"/>
    <w:pPr>
      <w:spacing w:after="120"/>
      <w:ind w:left="1415"/>
    </w:pPr>
    <w:rPr>
      <w:lang w:eastAsia="en-US"/>
    </w:rPr>
  </w:style>
  <w:style w:type="paragraph" w:styleId="ListNumber">
    <w:name w:val="List Number"/>
    <w:basedOn w:val="Normal"/>
    <w:rsid w:val="001D3863"/>
    <w:pPr>
      <w:tabs>
        <w:tab w:val="num" w:pos="360"/>
      </w:tabs>
      <w:ind w:left="360" w:hanging="360"/>
    </w:pPr>
    <w:rPr>
      <w:lang w:eastAsia="en-US"/>
    </w:rPr>
  </w:style>
  <w:style w:type="paragraph" w:styleId="ListNumber2">
    <w:name w:val="List Number 2"/>
    <w:basedOn w:val="Normal"/>
    <w:semiHidden/>
    <w:rsid w:val="001D3863"/>
    <w:pPr>
      <w:tabs>
        <w:tab w:val="num" w:pos="643"/>
      </w:tabs>
      <w:ind w:left="643" w:hanging="360"/>
    </w:pPr>
    <w:rPr>
      <w:lang w:eastAsia="en-US"/>
    </w:rPr>
  </w:style>
  <w:style w:type="paragraph" w:styleId="ListNumber3">
    <w:name w:val="List Number 3"/>
    <w:basedOn w:val="Normal"/>
    <w:semiHidden/>
    <w:rsid w:val="001D3863"/>
    <w:pPr>
      <w:tabs>
        <w:tab w:val="num" w:pos="926"/>
      </w:tabs>
      <w:ind w:left="926" w:hanging="360"/>
    </w:pPr>
    <w:rPr>
      <w:lang w:eastAsia="en-US"/>
    </w:rPr>
  </w:style>
  <w:style w:type="paragraph" w:styleId="ListNumber4">
    <w:name w:val="List Number 4"/>
    <w:basedOn w:val="Normal"/>
    <w:semiHidden/>
    <w:rsid w:val="001D3863"/>
    <w:pPr>
      <w:tabs>
        <w:tab w:val="num" w:pos="1209"/>
      </w:tabs>
      <w:ind w:left="1209" w:hanging="360"/>
    </w:pPr>
    <w:rPr>
      <w:lang w:eastAsia="en-US"/>
    </w:rPr>
  </w:style>
  <w:style w:type="paragraph" w:styleId="ListNumber5">
    <w:name w:val="List Number 5"/>
    <w:basedOn w:val="Normal"/>
    <w:semiHidden/>
    <w:rsid w:val="001D3863"/>
    <w:pPr>
      <w:tabs>
        <w:tab w:val="num" w:pos="1492"/>
      </w:tabs>
      <w:ind w:left="1492" w:hanging="360"/>
    </w:pPr>
    <w:rPr>
      <w:lang w:eastAsia="en-US"/>
    </w:rPr>
  </w:style>
  <w:style w:type="paragraph" w:styleId="MessageHeader">
    <w:name w:val="Message Header"/>
    <w:basedOn w:val="Normal"/>
    <w:link w:val="MessageHeaderChar"/>
    <w:semiHidden/>
    <w:rsid w:val="001D38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1D3863"/>
    <w:rPr>
      <w:rFonts w:ascii="Arial" w:hAnsi="Arial" w:cs="Arial"/>
      <w:sz w:val="24"/>
      <w:szCs w:val="24"/>
      <w:shd w:val="pct20" w:color="auto" w:fill="auto"/>
      <w:lang w:val="en-GB" w:eastAsia="en-US"/>
    </w:rPr>
  </w:style>
  <w:style w:type="paragraph" w:styleId="NormalWeb">
    <w:name w:val="Normal (Web)"/>
    <w:basedOn w:val="Normal"/>
    <w:uiPriority w:val="99"/>
    <w:semiHidden/>
    <w:rsid w:val="001D3863"/>
    <w:rPr>
      <w:sz w:val="24"/>
      <w:szCs w:val="24"/>
      <w:lang w:eastAsia="en-US"/>
    </w:rPr>
  </w:style>
  <w:style w:type="paragraph" w:styleId="NormalIndent">
    <w:name w:val="Normal Indent"/>
    <w:basedOn w:val="Normal"/>
    <w:semiHidden/>
    <w:rsid w:val="001D3863"/>
    <w:pPr>
      <w:ind w:left="567"/>
    </w:pPr>
    <w:rPr>
      <w:lang w:eastAsia="en-US"/>
    </w:rPr>
  </w:style>
  <w:style w:type="paragraph" w:styleId="NoteHeading">
    <w:name w:val="Note Heading"/>
    <w:basedOn w:val="Normal"/>
    <w:next w:val="Normal"/>
    <w:link w:val="NoteHeadingChar"/>
    <w:semiHidden/>
    <w:rsid w:val="001D3863"/>
    <w:rPr>
      <w:lang w:eastAsia="en-US"/>
    </w:rPr>
  </w:style>
  <w:style w:type="character" w:customStyle="1" w:styleId="NoteHeadingChar">
    <w:name w:val="Note Heading Char"/>
    <w:basedOn w:val="DefaultParagraphFont"/>
    <w:link w:val="NoteHeading"/>
    <w:semiHidden/>
    <w:rsid w:val="001D3863"/>
    <w:rPr>
      <w:lang w:val="en-GB" w:eastAsia="en-US"/>
    </w:rPr>
  </w:style>
  <w:style w:type="paragraph" w:styleId="Salutation">
    <w:name w:val="Salutation"/>
    <w:basedOn w:val="Normal"/>
    <w:next w:val="Normal"/>
    <w:link w:val="SalutationChar"/>
    <w:rsid w:val="001D3863"/>
    <w:rPr>
      <w:lang w:eastAsia="en-US"/>
    </w:rPr>
  </w:style>
  <w:style w:type="character" w:customStyle="1" w:styleId="SalutationChar">
    <w:name w:val="Salutation Char"/>
    <w:basedOn w:val="DefaultParagraphFont"/>
    <w:link w:val="Salutation"/>
    <w:rsid w:val="001D3863"/>
    <w:rPr>
      <w:lang w:val="en-GB" w:eastAsia="en-US"/>
    </w:rPr>
  </w:style>
  <w:style w:type="paragraph" w:styleId="Signature">
    <w:name w:val="Signature"/>
    <w:basedOn w:val="Normal"/>
    <w:link w:val="SignatureChar"/>
    <w:semiHidden/>
    <w:rsid w:val="001D3863"/>
    <w:pPr>
      <w:ind w:left="4252"/>
    </w:pPr>
    <w:rPr>
      <w:lang w:eastAsia="en-US"/>
    </w:rPr>
  </w:style>
  <w:style w:type="character" w:customStyle="1" w:styleId="SignatureChar">
    <w:name w:val="Signature Char"/>
    <w:basedOn w:val="DefaultParagraphFont"/>
    <w:link w:val="Signature"/>
    <w:semiHidden/>
    <w:rsid w:val="001D3863"/>
    <w:rPr>
      <w:lang w:val="en-GB" w:eastAsia="en-US"/>
    </w:rPr>
  </w:style>
  <w:style w:type="character" w:styleId="Strong">
    <w:name w:val="Strong"/>
    <w:uiPriority w:val="22"/>
    <w:qFormat/>
    <w:rsid w:val="001D3863"/>
    <w:rPr>
      <w:b/>
      <w:bCs/>
    </w:rPr>
  </w:style>
  <w:style w:type="paragraph" w:styleId="Subtitle">
    <w:name w:val="Subtitle"/>
    <w:basedOn w:val="Normal"/>
    <w:link w:val="SubtitleChar"/>
    <w:qFormat/>
    <w:rsid w:val="001D3863"/>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1D3863"/>
    <w:rPr>
      <w:rFonts w:ascii="Arial" w:hAnsi="Arial" w:cs="Arial"/>
      <w:sz w:val="24"/>
      <w:szCs w:val="24"/>
      <w:lang w:val="en-GB" w:eastAsia="en-US"/>
    </w:rPr>
  </w:style>
  <w:style w:type="table" w:styleId="Table3Deffects1">
    <w:name w:val="Table 3D effects 1"/>
    <w:basedOn w:val="TableNormal"/>
    <w:semiHidden/>
    <w:rsid w:val="001D3863"/>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D3863"/>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D3863"/>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D3863"/>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D3863"/>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D3863"/>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D3863"/>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D3863"/>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D3863"/>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D3863"/>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D3863"/>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D3863"/>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D3863"/>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D3863"/>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D3863"/>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D3863"/>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D3863"/>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D3863"/>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D3863"/>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D3863"/>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D3863"/>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D3863"/>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D3863"/>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D3863"/>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D3863"/>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D3863"/>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D3863"/>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D3863"/>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D3863"/>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D3863"/>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D3863"/>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D3863"/>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D3863"/>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D3863"/>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D3863"/>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D3863"/>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D3863"/>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D3863"/>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D3863"/>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3863"/>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D3863"/>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D3863"/>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3863"/>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D3863"/>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1D3863"/>
    <w:rPr>
      <w:rFonts w:ascii="Arial" w:hAnsi="Arial" w:cs="Arial"/>
      <w:b/>
      <w:bCs/>
      <w:kern w:val="28"/>
      <w:sz w:val="32"/>
      <w:szCs w:val="32"/>
      <w:lang w:val="en-GB" w:eastAsia="en-US"/>
    </w:rPr>
  </w:style>
  <w:style w:type="paragraph" w:styleId="EnvelopeAddress">
    <w:name w:val="envelope address"/>
    <w:basedOn w:val="Normal"/>
    <w:semiHidden/>
    <w:rsid w:val="001D3863"/>
    <w:pPr>
      <w:framePr w:w="7920" w:h="1980" w:hRule="exact" w:hSpace="180" w:wrap="auto" w:hAnchor="page" w:xAlign="center" w:yAlign="bottom"/>
      <w:ind w:left="2880"/>
    </w:pPr>
    <w:rPr>
      <w:rFonts w:ascii="Arial" w:hAnsi="Arial" w:cs="Arial"/>
      <w:sz w:val="24"/>
      <w:szCs w:val="24"/>
      <w:lang w:eastAsia="en-US"/>
    </w:rPr>
  </w:style>
  <w:style w:type="paragraph" w:styleId="ListParagraph">
    <w:name w:val="List Paragraph"/>
    <w:basedOn w:val="Normal"/>
    <w:qFormat/>
    <w:rsid w:val="001D3863"/>
    <w:pPr>
      <w:suppressAutoHyphens w:val="0"/>
      <w:spacing w:after="200" w:line="276" w:lineRule="auto"/>
      <w:ind w:left="720"/>
      <w:contextualSpacing/>
    </w:pPr>
    <w:rPr>
      <w:rFonts w:ascii="Calibri" w:hAnsi="Calibri" w:cs="Arial"/>
      <w:sz w:val="22"/>
      <w:szCs w:val="22"/>
      <w:lang w:val="nb-NO" w:eastAsia="en-US"/>
    </w:rPr>
  </w:style>
  <w:style w:type="paragraph" w:styleId="CommentSubject">
    <w:name w:val="annotation subject"/>
    <w:basedOn w:val="CommentText"/>
    <w:next w:val="CommentText"/>
    <w:link w:val="CommentSubjectChar"/>
    <w:semiHidden/>
    <w:rsid w:val="001D3863"/>
    <w:rPr>
      <w:b/>
      <w:bCs/>
    </w:rPr>
  </w:style>
  <w:style w:type="character" w:customStyle="1" w:styleId="CommentSubjectChar">
    <w:name w:val="Comment Subject Char"/>
    <w:basedOn w:val="CommentTextChar"/>
    <w:link w:val="CommentSubject"/>
    <w:semiHidden/>
    <w:rsid w:val="001D3863"/>
    <w:rPr>
      <w:b/>
      <w:bCs/>
      <w:lang w:val="x-none" w:eastAsia="en-US"/>
    </w:rPr>
  </w:style>
  <w:style w:type="character" w:customStyle="1" w:styleId="highlight">
    <w:name w:val="highlight"/>
    <w:rsid w:val="001D3863"/>
  </w:style>
  <w:style w:type="character" w:customStyle="1" w:styleId="HeaderChar">
    <w:name w:val="Header Char"/>
    <w:aliases w:val="6_G Char"/>
    <w:link w:val="Header"/>
    <w:rsid w:val="001D3863"/>
    <w:rPr>
      <w:b/>
      <w:sz w:val="18"/>
      <w:lang w:val="en-GB"/>
    </w:rPr>
  </w:style>
  <w:style w:type="paragraph" w:styleId="Revision">
    <w:name w:val="Revision"/>
    <w:hidden/>
    <w:uiPriority w:val="99"/>
    <w:semiHidden/>
    <w:rsid w:val="001D3863"/>
    <w:rPr>
      <w:lang w:val="en-GB" w:eastAsia="en-US"/>
    </w:rPr>
  </w:style>
  <w:style w:type="paragraph" w:customStyle="1" w:styleId="bodytext0">
    <w:name w:val="bodytext"/>
    <w:basedOn w:val="Normal"/>
    <w:rsid w:val="001D3863"/>
    <w:pPr>
      <w:suppressAutoHyphens w:val="0"/>
      <w:spacing w:before="100" w:beforeAutospacing="1" w:after="100" w:afterAutospacing="1" w:line="240" w:lineRule="auto"/>
    </w:pPr>
    <w:rPr>
      <w:sz w:val="24"/>
      <w:szCs w:val="24"/>
      <w:lang w:eastAsia="en-GB"/>
    </w:rPr>
  </w:style>
  <w:style w:type="paragraph" w:customStyle="1" w:styleId="Default">
    <w:name w:val="Default"/>
    <w:rsid w:val="001D3863"/>
    <w:pPr>
      <w:autoSpaceDE w:val="0"/>
      <w:autoSpaceDN w:val="0"/>
      <w:adjustRightInd w:val="0"/>
    </w:pPr>
    <w:rPr>
      <w:color w:val="000000"/>
      <w:sz w:val="24"/>
      <w:szCs w:val="24"/>
      <w:lang w:val="en-GB" w:eastAsia="en-GB"/>
    </w:rPr>
  </w:style>
  <w:style w:type="numbering" w:customStyle="1" w:styleId="Numbered">
    <w:name w:val="Numbered"/>
    <w:rsid w:val="001D3863"/>
    <w:pPr>
      <w:numPr>
        <w:numId w:val="28"/>
      </w:numPr>
    </w:pPr>
  </w:style>
  <w:style w:type="paragraph" w:customStyle="1" w:styleId="HeaderFooter">
    <w:name w:val="Header &amp; Footer"/>
    <w:rsid w:val="001D3863"/>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US" w:eastAsia="en-US"/>
    </w:rPr>
  </w:style>
  <w:style w:type="paragraph" w:customStyle="1" w:styleId="BodyB">
    <w:name w:val="Body B"/>
    <w:rsid w:val="001D386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style12">
    <w:name w:val="style12"/>
    <w:basedOn w:val="Normal"/>
    <w:rsid w:val="001D3863"/>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rsid w:val="001D3863"/>
  </w:style>
  <w:style w:type="character" w:styleId="UnresolvedMention">
    <w:name w:val="Unresolved Mention"/>
    <w:basedOn w:val="DefaultParagraphFont"/>
    <w:uiPriority w:val="99"/>
    <w:semiHidden/>
    <w:unhideWhenUsed/>
    <w:rsid w:val="001D3863"/>
    <w:rPr>
      <w:color w:val="605E5C"/>
      <w:shd w:val="clear" w:color="auto" w:fill="E1DFDD"/>
    </w:rPr>
  </w:style>
  <w:style w:type="character" w:customStyle="1" w:styleId="FooterChar">
    <w:name w:val="Footer Char"/>
    <w:aliases w:val="3_G Char"/>
    <w:basedOn w:val="DefaultParagraphFont"/>
    <w:link w:val="Footer"/>
    <w:rsid w:val="00882DD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C193-AD2F-415E-B0B8-93BD3896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10694</Words>
  <Characters>60961</Characters>
  <Application>Microsoft Office Word</Application>
  <DocSecurity>4</DocSecurity>
  <Lines>508</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ECE/MP.EIA/2020/4</vt:lpstr>
      <vt:lpstr/>
    </vt:vector>
  </TitlesOfParts>
  <Company>CSD</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ECE/MP.EIA/2020/4</dc:title>
  <dc:creator>Elizabeth James</dc:creator>
  <cp:keywords>ECE/MP.EIA/SEA/2020/4</cp:keywords>
  <cp:lastModifiedBy>Elisabeth James</cp:lastModifiedBy>
  <cp:revision>2</cp:revision>
  <cp:lastPrinted>2009-02-18T09:36:00Z</cp:lastPrinted>
  <dcterms:created xsi:type="dcterms:W3CDTF">2020-10-22T11:24:00Z</dcterms:created>
  <dcterms:modified xsi:type="dcterms:W3CDTF">2020-10-22T11:24:00Z</dcterms:modified>
</cp:coreProperties>
</file>