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1307AD">
            <w:bookmarkStart w:id="0" w:name="_GoBack"/>
            <w:bookmarkEnd w:id="0"/>
          </w:p>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1307AD" w:rsidP="001307AD">
            <w:pPr>
              <w:jc w:val="right"/>
            </w:pPr>
            <w:r w:rsidRPr="001307AD">
              <w:rPr>
                <w:sz w:val="40"/>
              </w:rPr>
              <w:t>ECE</w:t>
            </w:r>
            <w:r>
              <w:t>/MP.EIA/2020/13</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1307AD" w:rsidP="00DF5712">
            <w:pPr>
              <w:spacing w:before="240"/>
            </w:pPr>
            <w:proofErr w:type="spellStart"/>
            <w:r>
              <w:t>Distr</w:t>
            </w:r>
            <w:proofErr w:type="spellEnd"/>
            <w:r>
              <w:t xml:space="preserve">. </w:t>
            </w:r>
            <w:proofErr w:type="gramStart"/>
            <w:r>
              <w:t>générale</w:t>
            </w:r>
            <w:proofErr w:type="gramEnd"/>
          </w:p>
          <w:p w:rsidR="001307AD" w:rsidRDefault="001307AD" w:rsidP="001307AD">
            <w:pPr>
              <w:spacing w:line="240" w:lineRule="exact"/>
            </w:pPr>
            <w:r>
              <w:t>23 septembre 2020</w:t>
            </w:r>
          </w:p>
          <w:p w:rsidR="001307AD" w:rsidRDefault="001307AD" w:rsidP="001307AD">
            <w:pPr>
              <w:spacing w:line="240" w:lineRule="exact"/>
            </w:pPr>
            <w:r>
              <w:t>Français</w:t>
            </w:r>
          </w:p>
          <w:p w:rsidR="001307AD" w:rsidRPr="00DB58B5" w:rsidRDefault="001307AD" w:rsidP="001307AD">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1307AD" w:rsidRPr="00C554CE" w:rsidRDefault="001307AD" w:rsidP="001307AD">
      <w:pPr>
        <w:spacing w:before="120"/>
        <w:rPr>
          <w:sz w:val="28"/>
          <w:szCs w:val="28"/>
          <w:lang w:val="fr-FR"/>
        </w:rPr>
      </w:pPr>
      <w:r w:rsidRPr="00C554CE">
        <w:rPr>
          <w:sz w:val="28"/>
          <w:szCs w:val="28"/>
          <w:lang w:val="fr-FR"/>
        </w:rPr>
        <w:t>Réunion des Parties à la Convention sur</w:t>
      </w:r>
      <w:r w:rsidRPr="00C554CE">
        <w:rPr>
          <w:sz w:val="28"/>
          <w:szCs w:val="28"/>
          <w:lang w:val="fr-FR"/>
        </w:rPr>
        <w:br/>
      </w:r>
      <w:proofErr w:type="gramStart"/>
      <w:r w:rsidRPr="00C554CE">
        <w:rPr>
          <w:sz w:val="28"/>
          <w:szCs w:val="28"/>
          <w:lang w:val="fr-FR"/>
        </w:rPr>
        <w:t>l’évaluation</w:t>
      </w:r>
      <w:proofErr w:type="gramEnd"/>
      <w:r w:rsidRPr="00C554CE">
        <w:rPr>
          <w:sz w:val="28"/>
          <w:szCs w:val="28"/>
          <w:lang w:val="fr-FR"/>
        </w:rPr>
        <w:t xml:space="preserve"> de l’impact sur l’environnement</w:t>
      </w:r>
      <w:r w:rsidRPr="00C554CE">
        <w:rPr>
          <w:sz w:val="28"/>
          <w:szCs w:val="28"/>
          <w:lang w:val="fr-FR"/>
        </w:rPr>
        <w:br/>
        <w:t>dans un contexte transfrontière</w:t>
      </w:r>
    </w:p>
    <w:p w:rsidR="001307AD" w:rsidRPr="00BB72BD" w:rsidRDefault="001307AD" w:rsidP="001307AD">
      <w:pPr>
        <w:pStyle w:val="H23G"/>
        <w:keepNext w:val="0"/>
        <w:keepLines w:val="0"/>
        <w:spacing w:before="120" w:after="0" w:line="240" w:lineRule="atLeast"/>
        <w:ind w:left="0" w:right="0" w:firstLine="0"/>
        <w:rPr>
          <w:lang w:val="fr-FR"/>
        </w:rPr>
      </w:pPr>
      <w:r>
        <w:rPr>
          <w:bCs/>
          <w:lang w:val="fr-FR"/>
        </w:rPr>
        <w:t>Huitième session</w:t>
      </w:r>
    </w:p>
    <w:p w:rsidR="001307AD" w:rsidRPr="00BB72BD" w:rsidRDefault="001307AD" w:rsidP="001307AD">
      <w:pPr>
        <w:rPr>
          <w:lang w:val="fr-FR"/>
        </w:rPr>
      </w:pPr>
      <w:r>
        <w:rPr>
          <w:lang w:val="fr-FR"/>
        </w:rPr>
        <w:t>Vilnius, 8-11 décembre 2020</w:t>
      </w:r>
    </w:p>
    <w:p w:rsidR="001307AD" w:rsidRPr="00AE7F64" w:rsidRDefault="001307AD" w:rsidP="001307AD">
      <w:pPr>
        <w:spacing w:after="120"/>
        <w:rPr>
          <w:lang w:val="fr-FR"/>
        </w:rPr>
      </w:pPr>
      <w:r>
        <w:rPr>
          <w:lang w:val="fr-FR"/>
        </w:rPr>
        <w:t>Points 3 b) et 8 b) de l’ordre du jour provisoire</w:t>
      </w:r>
    </w:p>
    <w:p w:rsidR="005E5885" w:rsidRPr="00BB72BD" w:rsidRDefault="005E5885" w:rsidP="005E5885">
      <w:pPr>
        <w:spacing w:after="120" w:line="240" w:lineRule="auto"/>
        <w:rPr>
          <w:b/>
          <w:bCs/>
          <w:lang w:val="fr-FR"/>
        </w:rPr>
      </w:pPr>
      <w:r>
        <w:rPr>
          <w:b/>
          <w:bCs/>
          <w:lang w:val="fr-FR"/>
        </w:rPr>
        <w:t xml:space="preserve">Questions en suspens : projets de décision </w:t>
      </w:r>
      <w:r>
        <w:rPr>
          <w:b/>
          <w:bCs/>
          <w:lang w:val="fr-FR"/>
        </w:rPr>
        <w:br/>
        <w:t>soumis à la Réunion des Parties à la Convention</w:t>
      </w:r>
    </w:p>
    <w:p w:rsidR="005E5885" w:rsidRPr="00BB72BD" w:rsidRDefault="005E5885" w:rsidP="005E5885">
      <w:pPr>
        <w:spacing w:line="240" w:lineRule="auto"/>
        <w:rPr>
          <w:b/>
          <w:bCs/>
          <w:lang w:val="fr-FR"/>
        </w:rPr>
      </w:pPr>
      <w:r>
        <w:rPr>
          <w:b/>
          <w:bCs/>
          <w:lang w:val="fr-FR"/>
        </w:rPr>
        <w:t xml:space="preserve">Adoption des décisions : décisions à adopter </w:t>
      </w:r>
      <w:r>
        <w:rPr>
          <w:b/>
          <w:bCs/>
          <w:lang w:val="fr-FR"/>
        </w:rPr>
        <w:br/>
        <w:t>par la Réunion des Parties à la Convention</w:t>
      </w:r>
    </w:p>
    <w:p w:rsidR="001307AD" w:rsidRPr="00AE7F64" w:rsidRDefault="001307AD" w:rsidP="005E5885">
      <w:pPr>
        <w:pStyle w:val="HChG"/>
        <w:rPr>
          <w:lang w:val="fr-FR"/>
        </w:rPr>
      </w:pPr>
      <w:r>
        <w:rPr>
          <w:lang w:val="fr-FR"/>
        </w:rPr>
        <w:tab/>
      </w:r>
      <w:r>
        <w:rPr>
          <w:lang w:val="fr-FR"/>
        </w:rPr>
        <w:tab/>
        <w:t xml:space="preserve">Projet de décision VIII/4c concernant le respect </w:t>
      </w:r>
      <w:r w:rsidR="005E5885">
        <w:rPr>
          <w:lang w:val="fr-FR"/>
        </w:rPr>
        <w:br/>
      </w:r>
      <w:r>
        <w:rPr>
          <w:lang w:val="fr-FR"/>
        </w:rPr>
        <w:t xml:space="preserve">par le Bélarus des obligations qui lui incombent </w:t>
      </w:r>
      <w:r w:rsidR="005E5885">
        <w:rPr>
          <w:lang w:val="fr-FR"/>
        </w:rPr>
        <w:br/>
      </w:r>
      <w:r>
        <w:rPr>
          <w:lang w:val="fr-FR"/>
        </w:rPr>
        <w:t xml:space="preserve">en vertu de la Convention pour ce qui est de </w:t>
      </w:r>
      <w:r w:rsidR="005E5885">
        <w:rPr>
          <w:lang w:val="fr-FR"/>
        </w:rPr>
        <w:br/>
      </w:r>
      <w:r>
        <w:rPr>
          <w:lang w:val="fr-FR"/>
        </w:rPr>
        <w:t>la centrale nucléaire bélarussienne d’</w:t>
      </w:r>
      <w:proofErr w:type="spellStart"/>
      <w:r>
        <w:rPr>
          <w:lang w:val="fr-FR"/>
        </w:rPr>
        <w:t>Ostrovets</w:t>
      </w:r>
      <w:proofErr w:type="spellEnd"/>
    </w:p>
    <w:p w:rsidR="001307AD" w:rsidRDefault="001307AD" w:rsidP="005E5885">
      <w:pPr>
        <w:pStyle w:val="H1G"/>
        <w:rPr>
          <w:lang w:val="fr-FR"/>
        </w:rPr>
      </w:pPr>
      <w:r>
        <w:rPr>
          <w:lang w:val="fr-FR"/>
        </w:rPr>
        <w:tab/>
      </w:r>
      <w:r>
        <w:rPr>
          <w:lang w:val="fr-FR"/>
        </w:rPr>
        <w:tab/>
        <w:t>Document établi par le Comité d’application</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5E5885" w:rsidTr="00B82ED7">
        <w:trPr>
          <w:jc w:val="center"/>
        </w:trPr>
        <w:tc>
          <w:tcPr>
            <w:tcW w:w="9637" w:type="dxa"/>
            <w:shd w:val="clear" w:color="auto" w:fill="auto"/>
          </w:tcPr>
          <w:p w:rsidR="005E5885" w:rsidRDefault="005E5885" w:rsidP="00B82ED7">
            <w:pPr>
              <w:spacing w:before="240" w:after="120"/>
              <w:ind w:left="255"/>
              <w:rPr>
                <w:i/>
                <w:sz w:val="24"/>
              </w:rPr>
            </w:pPr>
            <w:r>
              <w:rPr>
                <w:i/>
                <w:sz w:val="24"/>
              </w:rPr>
              <w:t>Résumé</w:t>
            </w:r>
          </w:p>
        </w:tc>
      </w:tr>
      <w:tr w:rsidR="005E5885" w:rsidTr="00B82ED7">
        <w:trPr>
          <w:jc w:val="center"/>
        </w:trPr>
        <w:tc>
          <w:tcPr>
            <w:tcW w:w="9637" w:type="dxa"/>
            <w:shd w:val="clear" w:color="auto" w:fill="auto"/>
          </w:tcPr>
          <w:p w:rsidR="005E5885" w:rsidRDefault="005E5885" w:rsidP="00B82ED7">
            <w:pPr>
              <w:pStyle w:val="SingleTxtG"/>
              <w:ind w:firstLine="567"/>
            </w:pPr>
            <w:r>
              <w:rPr>
                <w:lang w:val="fr-FR"/>
              </w:rPr>
              <w:t>Le présent document contient le projet de décision VIII/4c concernant le respect par respect par le Bélarus des obligations qui lui incombent en vertu de la Convention pour ce qui est de la centrale nucléaire bélarussienne d’</w:t>
            </w:r>
            <w:proofErr w:type="spellStart"/>
            <w:r>
              <w:rPr>
                <w:lang w:val="fr-FR"/>
              </w:rPr>
              <w:t>Ostrovets</w:t>
            </w:r>
            <w:proofErr w:type="spellEnd"/>
            <w:r>
              <w:rPr>
                <w:lang w:val="fr-FR"/>
              </w:rPr>
              <w:t>. Il a été établi dans sa version définitive par le Comité d’application relevant de la Convention sur l’évaluation de l’impact sur l’environnement dans un contexte transfrontière et de son Protocole relatif à l’évaluation stratégique environnementale à sa quarante-huitième session (Genève, 1</w:t>
            </w:r>
            <w:r>
              <w:rPr>
                <w:vertAlign w:val="superscript"/>
                <w:lang w:val="fr-FR"/>
              </w:rPr>
              <w:t>er</w:t>
            </w:r>
            <w:r>
              <w:rPr>
                <w:lang w:val="fr-FR"/>
              </w:rPr>
              <w:noBreakHyphen/>
              <w:t>4 septembre 2020), compte tenu des informations et observations fournies par les Parties concernées avant cette session et des observations formulées par le Groupe de travail de l’évaluation de l’impact sur l’environnement et de l’évaluation stratégique environnementale pendant et après sa neuvième réunion (Genève, 24-26 août 2020).</w:t>
            </w:r>
          </w:p>
        </w:tc>
      </w:tr>
      <w:tr w:rsidR="005E5885" w:rsidTr="00B82ED7">
        <w:trPr>
          <w:jc w:val="center"/>
        </w:trPr>
        <w:tc>
          <w:tcPr>
            <w:tcW w:w="9637" w:type="dxa"/>
            <w:shd w:val="clear" w:color="auto" w:fill="auto"/>
          </w:tcPr>
          <w:p w:rsidR="005E5885" w:rsidRDefault="005E5885" w:rsidP="00B82ED7">
            <w:pPr>
              <w:pStyle w:val="SingleTxtG"/>
              <w:ind w:firstLine="567"/>
            </w:pPr>
            <w:r>
              <w:rPr>
                <w:lang w:val="fr-FR"/>
              </w:rPr>
              <w:t>La Réunion des Parties à la Convention devrait examiner le projet de décision et décider de l’adopter.</w:t>
            </w:r>
          </w:p>
        </w:tc>
      </w:tr>
      <w:tr w:rsidR="005E5885" w:rsidTr="00B82ED7">
        <w:trPr>
          <w:jc w:val="center"/>
        </w:trPr>
        <w:tc>
          <w:tcPr>
            <w:tcW w:w="9637" w:type="dxa"/>
            <w:shd w:val="clear" w:color="auto" w:fill="auto"/>
          </w:tcPr>
          <w:p w:rsidR="005E5885" w:rsidRDefault="005E5885" w:rsidP="00B82ED7"/>
        </w:tc>
      </w:tr>
    </w:tbl>
    <w:p w:rsidR="001307AD" w:rsidRPr="00AE7F64" w:rsidRDefault="001307AD" w:rsidP="001307AD">
      <w:pPr>
        <w:rPr>
          <w:lang w:val="fr-FR"/>
        </w:rPr>
      </w:pPr>
    </w:p>
    <w:p w:rsidR="001307AD" w:rsidRPr="00AE7F64" w:rsidRDefault="001307AD" w:rsidP="001307AD">
      <w:pPr>
        <w:pStyle w:val="SingleTxtG"/>
        <w:ind w:firstLine="567"/>
        <w:rPr>
          <w:lang w:val="fr-FR"/>
        </w:rPr>
      </w:pPr>
      <w:r>
        <w:rPr>
          <w:lang w:val="fr-FR"/>
        </w:rPr>
        <w:br w:type="page"/>
      </w:r>
      <w:r>
        <w:rPr>
          <w:i/>
          <w:iCs/>
          <w:lang w:val="fr-FR"/>
        </w:rPr>
        <w:lastRenderedPageBreak/>
        <w:t>La Réunion des Parties à la Convention</w:t>
      </w:r>
      <w:r>
        <w:rPr>
          <w:lang w:val="fr-FR"/>
        </w:rPr>
        <w:t>,</w:t>
      </w:r>
    </w:p>
    <w:p w:rsidR="001307AD" w:rsidRPr="00AE7F64" w:rsidRDefault="001307AD" w:rsidP="001307AD">
      <w:pPr>
        <w:pStyle w:val="SingleTxtG"/>
        <w:ind w:firstLine="567"/>
        <w:rPr>
          <w:lang w:val="fr-FR"/>
        </w:rPr>
      </w:pPr>
      <w:r>
        <w:rPr>
          <w:i/>
          <w:iCs/>
          <w:lang w:val="fr-FR"/>
        </w:rPr>
        <w:t xml:space="preserve">Rappelant </w:t>
      </w:r>
      <w:r>
        <w:rPr>
          <w:lang w:val="fr-FR"/>
        </w:rPr>
        <w:t>le paragraphe 2 de l’article 11 et l’article 14</w:t>
      </w:r>
      <w:r w:rsidR="00FD619E">
        <w:rPr>
          <w:lang w:val="fr-FR"/>
        </w:rPr>
        <w:t> </w:t>
      </w:r>
      <w:r w:rsidRPr="00FD619E">
        <w:rPr>
          <w:i/>
          <w:iCs/>
          <w:lang w:val="fr-FR"/>
        </w:rPr>
        <w:t>bis</w:t>
      </w:r>
      <w:r>
        <w:rPr>
          <w:lang w:val="fr-FR"/>
        </w:rPr>
        <w:t xml:space="preserve"> de la Convention sur l’évaluation de l’impact sur l’environnement dans un contexte transfrontière, </w:t>
      </w:r>
    </w:p>
    <w:p w:rsidR="001307AD" w:rsidRPr="00AE7F64" w:rsidRDefault="001307AD" w:rsidP="001307AD">
      <w:pPr>
        <w:pStyle w:val="SingleTxtG"/>
        <w:ind w:firstLine="567"/>
        <w:rPr>
          <w:lang w:val="fr-FR"/>
        </w:rPr>
      </w:pPr>
      <w:r>
        <w:rPr>
          <w:i/>
          <w:iCs/>
          <w:lang w:val="fr-FR"/>
        </w:rPr>
        <w:t>Rappelant également</w:t>
      </w:r>
      <w:r>
        <w:rPr>
          <w:lang w:val="fr-FR"/>
        </w:rPr>
        <w:t xml:space="preserve"> les paragraphes 48 à 64 de sa décision VI/2</w:t>
      </w:r>
      <w:r w:rsidRPr="009D0E81">
        <w:rPr>
          <w:rStyle w:val="FootnoteReference"/>
        </w:rPr>
        <w:footnoteReference w:id="2"/>
      </w:r>
      <w:r>
        <w:rPr>
          <w:lang w:val="fr-FR"/>
        </w:rPr>
        <w:t xml:space="preserve"> et sa décision IS/1d</w:t>
      </w:r>
      <w:r w:rsidRPr="009D0E81">
        <w:rPr>
          <w:rStyle w:val="FootnoteReference"/>
        </w:rPr>
        <w:footnoteReference w:id="3"/>
      </w:r>
      <w:r>
        <w:rPr>
          <w:lang w:val="fr-FR"/>
        </w:rPr>
        <w:t xml:space="preserve"> concernant le respect par le Bélarus des obligations qui lui incombent en vertu de la Convention pour ce qui est de la construction de la centrale nucléaire bélarussienne d’</w:t>
      </w:r>
      <w:proofErr w:type="spellStart"/>
      <w:r>
        <w:rPr>
          <w:lang w:val="fr-FR"/>
        </w:rPr>
        <w:t>Ostrovets</w:t>
      </w:r>
      <w:proofErr w:type="spellEnd"/>
      <w:r>
        <w:rPr>
          <w:lang w:val="fr-FR"/>
        </w:rPr>
        <w:t xml:space="preserve">, </w:t>
      </w:r>
    </w:p>
    <w:p w:rsidR="001307AD" w:rsidRPr="00AE7F64" w:rsidRDefault="001307AD" w:rsidP="001307AD">
      <w:pPr>
        <w:pStyle w:val="SingleTxtG"/>
        <w:ind w:firstLine="567"/>
        <w:rPr>
          <w:lang w:val="fr-FR"/>
        </w:rPr>
      </w:pPr>
      <w:bookmarkStart w:id="2" w:name="_Hlk51082619"/>
      <w:r>
        <w:rPr>
          <w:i/>
          <w:iCs/>
          <w:lang w:val="fr-FR"/>
        </w:rPr>
        <w:t>Rappelant en outre</w:t>
      </w:r>
      <w:r>
        <w:rPr>
          <w:lang w:val="fr-FR"/>
        </w:rPr>
        <w:t xml:space="preserve"> sa décision VIII/4</w:t>
      </w:r>
      <w:r w:rsidRPr="009D0E81">
        <w:rPr>
          <w:rStyle w:val="FootnoteReference"/>
        </w:rPr>
        <w:footnoteReference w:id="4"/>
      </w:r>
      <w:r>
        <w:rPr>
          <w:lang w:val="fr-FR"/>
        </w:rPr>
        <w:t xml:space="preserve"> sur les questions générales concernant le respect des dispositions de la Convention, adoptée à la huitième session,</w:t>
      </w:r>
    </w:p>
    <w:bookmarkEnd w:id="2"/>
    <w:p w:rsidR="001307AD" w:rsidRPr="00AE7F64" w:rsidRDefault="001307AD" w:rsidP="001307AD">
      <w:pPr>
        <w:pStyle w:val="SingleTxtG"/>
        <w:ind w:firstLine="567"/>
        <w:rPr>
          <w:lang w:val="fr-FR"/>
        </w:rPr>
      </w:pPr>
      <w:r>
        <w:rPr>
          <w:i/>
          <w:iCs/>
          <w:lang w:val="fr-FR"/>
        </w:rPr>
        <w:t>Ayant examiné</w:t>
      </w:r>
      <w:r>
        <w:rPr>
          <w:lang w:val="fr-FR"/>
        </w:rPr>
        <w:t xml:space="preserve"> la section concernant le Bélarus dans le rapport sur les activités du Comité d’application qui lui a été soumis à sa huitième session</w:t>
      </w:r>
      <w:r w:rsidRPr="009D0E81">
        <w:rPr>
          <w:rStyle w:val="FootnoteReference"/>
        </w:rPr>
        <w:footnoteReference w:id="5"/>
      </w:r>
      <w:r>
        <w:rPr>
          <w:lang w:val="fr-FR"/>
        </w:rPr>
        <w:t>,</w:t>
      </w:r>
    </w:p>
    <w:p w:rsidR="001307AD" w:rsidRPr="00AE7F64" w:rsidRDefault="001307AD" w:rsidP="001307AD">
      <w:pPr>
        <w:pStyle w:val="SingleTxtG"/>
        <w:ind w:firstLine="567"/>
        <w:rPr>
          <w:lang w:val="fr-FR"/>
        </w:rPr>
      </w:pPr>
      <w:r>
        <w:rPr>
          <w:lang w:val="fr-FR"/>
        </w:rPr>
        <w:t>1.</w:t>
      </w:r>
      <w:r>
        <w:rPr>
          <w:lang w:val="fr-FR"/>
        </w:rPr>
        <w:tab/>
      </w:r>
      <w:r>
        <w:rPr>
          <w:i/>
          <w:iCs/>
          <w:lang w:val="fr-FR"/>
        </w:rPr>
        <w:t xml:space="preserve">Réaffirme </w:t>
      </w:r>
      <w:r>
        <w:rPr>
          <w:lang w:val="fr-FR"/>
        </w:rPr>
        <w:t>sa décision IS/1d concernant le respect par le Bélarus des obligations qui lui incombent en vertu de la Convention pour ce qui est de la centrale nucléaire bélarussienne d’</w:t>
      </w:r>
      <w:proofErr w:type="spellStart"/>
      <w:r>
        <w:rPr>
          <w:lang w:val="fr-FR"/>
        </w:rPr>
        <w:t>Ostrovets</w:t>
      </w:r>
      <w:proofErr w:type="spellEnd"/>
      <w:r>
        <w:rPr>
          <w:lang w:val="fr-FR"/>
        </w:rPr>
        <w:t xml:space="preserve"> et prie instamment le Bélarus de procéder, dans le contexte de toute activité future, à une évaluation en bonne et due forme des solutions de remplacement raisonnablement envisageables, conformément à la Convention et au paragraphe 16 de cette décision ;</w:t>
      </w:r>
    </w:p>
    <w:p w:rsidR="001307AD" w:rsidRPr="00AE7F64" w:rsidRDefault="001307AD" w:rsidP="001307AD">
      <w:pPr>
        <w:pStyle w:val="SingleTxtG"/>
        <w:ind w:firstLine="567"/>
        <w:rPr>
          <w:lang w:val="fr-FR"/>
        </w:rPr>
      </w:pPr>
      <w:r>
        <w:rPr>
          <w:lang w:val="fr-FR"/>
        </w:rPr>
        <w:t>2.</w:t>
      </w:r>
      <w:r>
        <w:rPr>
          <w:lang w:val="fr-FR"/>
        </w:rPr>
        <w:tab/>
      </w:r>
      <w:r>
        <w:rPr>
          <w:i/>
          <w:iCs/>
          <w:lang w:val="fr-FR"/>
        </w:rPr>
        <w:t>Prend note</w:t>
      </w:r>
      <w:r>
        <w:rPr>
          <w:lang w:val="fr-FR"/>
        </w:rPr>
        <w:t xml:space="preserve"> des rapports annuels que le Bélarus et la Lituanie ont soumis en application du paragraphe 59 de la décision VI/2 et du paragraphe 20 de la décision IS/1d ;</w:t>
      </w:r>
    </w:p>
    <w:p w:rsidR="001307AD" w:rsidRPr="00AE7F64" w:rsidRDefault="001307AD" w:rsidP="001307AD">
      <w:pPr>
        <w:pStyle w:val="SingleTxtG"/>
        <w:ind w:firstLine="567"/>
        <w:rPr>
          <w:iCs/>
          <w:lang w:val="fr-FR"/>
        </w:rPr>
      </w:pPr>
      <w:r>
        <w:rPr>
          <w:lang w:val="fr-FR"/>
        </w:rPr>
        <w:t>3.</w:t>
      </w:r>
      <w:r>
        <w:rPr>
          <w:lang w:val="fr-FR"/>
        </w:rPr>
        <w:tab/>
      </w:r>
      <w:r>
        <w:rPr>
          <w:i/>
          <w:iCs/>
          <w:lang w:val="fr-FR"/>
        </w:rPr>
        <w:t>Prend note également</w:t>
      </w:r>
      <w:r>
        <w:rPr>
          <w:lang w:val="fr-FR"/>
        </w:rPr>
        <w:t xml:space="preserve"> des mesures prises par le Bélarus et la Lituanie depuis sa session intermédiaire (Genève, 5-7 février 2019) en application des paragraphes 16 à 20 de la décision IS/1d, mais se déclare préoccupée par la timidité des progrès réalisés par les Parties concernées en vue du respect des exigences énoncées aux paragraphes 17, 18 et 19 de cette décision ; </w:t>
      </w:r>
    </w:p>
    <w:p w:rsidR="001307AD" w:rsidRPr="00AE7F64" w:rsidRDefault="001307AD" w:rsidP="001307AD">
      <w:pPr>
        <w:pStyle w:val="SingleTxtG"/>
        <w:ind w:firstLine="567"/>
        <w:rPr>
          <w:iCs/>
          <w:lang w:val="fr-FR"/>
        </w:rPr>
      </w:pPr>
      <w:r>
        <w:rPr>
          <w:lang w:val="fr-FR"/>
        </w:rPr>
        <w:t>4.</w:t>
      </w:r>
      <w:r>
        <w:rPr>
          <w:lang w:val="fr-FR"/>
        </w:rPr>
        <w:tab/>
      </w:r>
      <w:r>
        <w:rPr>
          <w:i/>
          <w:iCs/>
          <w:lang w:val="fr-FR"/>
        </w:rPr>
        <w:t>Fait sienne</w:t>
      </w:r>
      <w:r>
        <w:rPr>
          <w:lang w:val="fr-FR"/>
        </w:rPr>
        <w:t xml:space="preserve"> la conclusion du Comité d’application selon laquelle le Bélarus et la Lituanie n’ont pas encore satisfait aux exigences énoncées aux paragraphes 17 à 19 de la décision IS/1d et encourage à nouveau les deux Parties à s’y conformer d’ici à sa neuvième session en vue de : </w:t>
      </w:r>
    </w:p>
    <w:p w:rsidR="001307AD" w:rsidRPr="00AE7F64" w:rsidRDefault="001307AD" w:rsidP="001307AD">
      <w:pPr>
        <w:pStyle w:val="SingleTxtG"/>
        <w:ind w:firstLine="567"/>
        <w:rPr>
          <w:lang w:val="fr-FR"/>
        </w:rPr>
      </w:pPr>
      <w:r>
        <w:rPr>
          <w:lang w:val="fr-FR"/>
        </w:rPr>
        <w:t>a)</w:t>
      </w:r>
      <w:r>
        <w:rPr>
          <w:lang w:val="fr-FR"/>
        </w:rPr>
        <w:tab/>
        <w:t>Conclure l’accord bilatéral pour l’application de la Convention conformément à l’article 8 de la Convention ;</w:t>
      </w:r>
    </w:p>
    <w:p w:rsidR="001307AD" w:rsidRPr="00AE7F64" w:rsidRDefault="001307AD" w:rsidP="001307AD">
      <w:pPr>
        <w:pStyle w:val="SingleTxtG"/>
        <w:ind w:firstLine="567"/>
        <w:rPr>
          <w:lang w:val="fr-FR"/>
        </w:rPr>
      </w:pPr>
      <w:r>
        <w:rPr>
          <w:lang w:val="fr-FR"/>
        </w:rPr>
        <w:t>b)</w:t>
      </w:r>
      <w:r>
        <w:rPr>
          <w:lang w:val="fr-FR"/>
        </w:rPr>
        <w:tab/>
        <w:t>Procéder à une analyse a posteriori, qui suppose que les deux Parties se mettent d’accord pour établir un organe bilatéral commun et élaborer les procédures selon lesquelles cette analyse sera réalisée, en particulier afin d’assurer une participation suffisante du public</w:t>
      </w:r>
      <w:r w:rsidR="00FD619E">
        <w:rPr>
          <w:lang w:val="fr-FR"/>
        </w:rPr>
        <w:t> </w:t>
      </w:r>
      <w:r>
        <w:rPr>
          <w:lang w:val="fr-FR"/>
        </w:rPr>
        <w:t>;</w:t>
      </w:r>
    </w:p>
    <w:p w:rsidR="001307AD" w:rsidRPr="00AE7F64" w:rsidRDefault="001307AD" w:rsidP="001307AD">
      <w:pPr>
        <w:pStyle w:val="SingleTxtG"/>
        <w:ind w:firstLine="567"/>
        <w:rPr>
          <w:lang w:val="fr-FR"/>
        </w:rPr>
      </w:pPr>
      <w:r>
        <w:rPr>
          <w:lang w:val="fr-FR"/>
        </w:rPr>
        <w:t>c)</w:t>
      </w:r>
      <w:r>
        <w:rPr>
          <w:lang w:val="fr-FR"/>
        </w:rPr>
        <w:tab/>
        <w:t>Poursuivre les consultations bilatérales d’experts sur les points de désaccord, y compris sur les questions qui n’entrent pas dans le champ d’application de la Convention</w:t>
      </w:r>
      <w:r w:rsidR="00FD619E">
        <w:rPr>
          <w:lang w:val="fr-FR"/>
        </w:rPr>
        <w:t> </w:t>
      </w:r>
      <w:r>
        <w:rPr>
          <w:lang w:val="fr-FR"/>
        </w:rPr>
        <w:t>;</w:t>
      </w:r>
    </w:p>
    <w:p w:rsidR="001307AD" w:rsidRPr="00AE7F64" w:rsidRDefault="001307AD" w:rsidP="001307AD">
      <w:pPr>
        <w:pStyle w:val="SingleTxtG"/>
        <w:ind w:firstLine="567"/>
        <w:rPr>
          <w:lang w:val="fr-FR"/>
        </w:rPr>
      </w:pPr>
      <w:r>
        <w:rPr>
          <w:lang w:val="fr-FR"/>
        </w:rPr>
        <w:t>5.</w:t>
      </w:r>
      <w:r>
        <w:rPr>
          <w:lang w:val="fr-FR"/>
        </w:rPr>
        <w:tab/>
      </w:r>
      <w:r>
        <w:rPr>
          <w:i/>
          <w:iCs/>
          <w:lang w:val="fr-FR"/>
        </w:rPr>
        <w:t xml:space="preserve">Demande </w:t>
      </w:r>
      <w:r>
        <w:rPr>
          <w:lang w:val="fr-FR"/>
        </w:rPr>
        <w:t>aux Gouvernements bélarussien et lituanien de faire rapport au Comité d’application, avant la fin de chaque année, sur les progrès accomplis dans la mise en conformité avec les exigences énoncées aux paragraphes 17 à 19 de la décision IS/1d</w:t>
      </w:r>
      <w:r w:rsidR="00FD619E">
        <w:rPr>
          <w:lang w:val="fr-FR"/>
        </w:rPr>
        <w:t> </w:t>
      </w:r>
      <w:r>
        <w:rPr>
          <w:lang w:val="fr-FR"/>
        </w:rPr>
        <w:t>;</w:t>
      </w:r>
    </w:p>
    <w:p w:rsidR="005F26E5" w:rsidRDefault="001307AD" w:rsidP="001307AD">
      <w:pPr>
        <w:pStyle w:val="SingleTxtG"/>
        <w:ind w:firstLine="567"/>
        <w:rPr>
          <w:lang w:val="fr-FR"/>
        </w:rPr>
      </w:pPr>
      <w:r>
        <w:rPr>
          <w:lang w:val="fr-FR"/>
        </w:rPr>
        <w:t>6.</w:t>
      </w:r>
      <w:r>
        <w:rPr>
          <w:lang w:val="fr-FR"/>
        </w:rPr>
        <w:tab/>
      </w:r>
      <w:r>
        <w:rPr>
          <w:i/>
          <w:iCs/>
          <w:lang w:val="fr-FR"/>
        </w:rPr>
        <w:t xml:space="preserve">Demande </w:t>
      </w:r>
      <w:r>
        <w:rPr>
          <w:lang w:val="fr-FR"/>
        </w:rPr>
        <w:t>au Comité d’application de lui rendre compte des progrès accomplis à sa neuvième session.</w:t>
      </w:r>
    </w:p>
    <w:p w:rsidR="00FD619E" w:rsidRPr="00FD619E" w:rsidRDefault="00FD619E" w:rsidP="00FD619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D619E" w:rsidRPr="00FD619E" w:rsidSect="001307A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3D2" w:rsidRDefault="00BB13D2" w:rsidP="00F95C08">
      <w:pPr>
        <w:spacing w:line="240" w:lineRule="auto"/>
      </w:pPr>
    </w:p>
  </w:endnote>
  <w:endnote w:type="continuationSeparator" w:id="0">
    <w:p w:rsidR="00BB13D2" w:rsidRPr="00AC3823" w:rsidRDefault="00BB13D2" w:rsidP="00AC3823">
      <w:pPr>
        <w:pStyle w:val="Footer"/>
      </w:pPr>
    </w:p>
  </w:endnote>
  <w:endnote w:type="continuationNotice" w:id="1">
    <w:p w:rsidR="00BB13D2" w:rsidRDefault="00BB13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7AD" w:rsidRPr="001307AD" w:rsidRDefault="001307AD" w:rsidP="001307AD">
    <w:pPr>
      <w:pStyle w:val="Footer"/>
      <w:tabs>
        <w:tab w:val="right" w:pos="9638"/>
      </w:tabs>
    </w:pPr>
    <w:r w:rsidRPr="001307AD">
      <w:rPr>
        <w:b/>
        <w:sz w:val="18"/>
      </w:rPr>
      <w:fldChar w:fldCharType="begin"/>
    </w:r>
    <w:r w:rsidRPr="001307AD">
      <w:rPr>
        <w:b/>
        <w:sz w:val="18"/>
      </w:rPr>
      <w:instrText xml:space="preserve"> PAGE  \* MERGEFORMAT </w:instrText>
    </w:r>
    <w:r w:rsidRPr="001307AD">
      <w:rPr>
        <w:b/>
        <w:sz w:val="18"/>
      </w:rPr>
      <w:fldChar w:fldCharType="separate"/>
    </w:r>
    <w:r w:rsidRPr="001307AD">
      <w:rPr>
        <w:b/>
        <w:noProof/>
        <w:sz w:val="18"/>
      </w:rPr>
      <w:t>2</w:t>
    </w:r>
    <w:r w:rsidRPr="001307AD">
      <w:rPr>
        <w:b/>
        <w:sz w:val="18"/>
      </w:rPr>
      <w:fldChar w:fldCharType="end"/>
    </w:r>
    <w:r>
      <w:rPr>
        <w:b/>
        <w:sz w:val="18"/>
      </w:rPr>
      <w:tab/>
    </w:r>
    <w:r>
      <w:t>GE.20-12417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7AD" w:rsidRPr="001307AD" w:rsidRDefault="001307AD" w:rsidP="001307AD">
    <w:pPr>
      <w:pStyle w:val="Footer"/>
      <w:tabs>
        <w:tab w:val="right" w:pos="9638"/>
      </w:tabs>
      <w:rPr>
        <w:b/>
        <w:sz w:val="18"/>
      </w:rPr>
    </w:pPr>
    <w:r>
      <w:t>GE.20-12417</w:t>
    </w:r>
    <w:r>
      <w:tab/>
    </w:r>
    <w:r w:rsidRPr="001307AD">
      <w:rPr>
        <w:b/>
        <w:sz w:val="18"/>
      </w:rPr>
      <w:fldChar w:fldCharType="begin"/>
    </w:r>
    <w:r w:rsidRPr="001307AD">
      <w:rPr>
        <w:b/>
        <w:sz w:val="18"/>
      </w:rPr>
      <w:instrText xml:space="preserve"> PAGE  \* MERGEFORMAT </w:instrText>
    </w:r>
    <w:r w:rsidRPr="001307AD">
      <w:rPr>
        <w:b/>
        <w:sz w:val="18"/>
      </w:rPr>
      <w:fldChar w:fldCharType="separate"/>
    </w:r>
    <w:r w:rsidRPr="001307AD">
      <w:rPr>
        <w:b/>
        <w:noProof/>
        <w:sz w:val="18"/>
      </w:rPr>
      <w:t>3</w:t>
    </w:r>
    <w:r w:rsidRPr="001307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1307AD" w:rsidRDefault="001307AD" w:rsidP="001307AD">
    <w:pPr>
      <w:pStyle w:val="Footer"/>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12417  (</w:t>
    </w:r>
    <w:proofErr w:type="gramEnd"/>
    <w:r>
      <w:rPr>
        <w:sz w:val="20"/>
      </w:rPr>
      <w:t>F)    141020    161020</w:t>
    </w:r>
    <w:r>
      <w:rPr>
        <w:sz w:val="20"/>
      </w:rPr>
      <w:br/>
    </w:r>
    <w:r w:rsidRPr="001307AD">
      <w:rPr>
        <w:rFonts w:ascii="C39T30Lfz" w:hAnsi="C39T30Lfz"/>
        <w:sz w:val="56"/>
      </w:rPr>
      <w:t>*2012417*</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3D2" w:rsidRPr="00AC3823" w:rsidRDefault="00BB13D2" w:rsidP="00AC3823">
      <w:pPr>
        <w:pStyle w:val="Footer"/>
        <w:tabs>
          <w:tab w:val="right" w:pos="2155"/>
        </w:tabs>
        <w:spacing w:after="80" w:line="240" w:lineRule="atLeast"/>
        <w:ind w:left="680"/>
        <w:rPr>
          <w:u w:val="single"/>
        </w:rPr>
      </w:pPr>
      <w:r>
        <w:rPr>
          <w:u w:val="single"/>
        </w:rPr>
        <w:tab/>
      </w:r>
    </w:p>
  </w:footnote>
  <w:footnote w:type="continuationSeparator" w:id="0">
    <w:p w:rsidR="00BB13D2" w:rsidRPr="00AC3823" w:rsidRDefault="00BB13D2" w:rsidP="00AC3823">
      <w:pPr>
        <w:pStyle w:val="Footer"/>
        <w:tabs>
          <w:tab w:val="right" w:pos="2155"/>
        </w:tabs>
        <w:spacing w:after="80" w:line="240" w:lineRule="atLeast"/>
        <w:ind w:left="680"/>
        <w:rPr>
          <w:u w:val="single"/>
        </w:rPr>
      </w:pPr>
      <w:r>
        <w:rPr>
          <w:u w:val="single"/>
        </w:rPr>
        <w:tab/>
      </w:r>
    </w:p>
  </w:footnote>
  <w:footnote w:type="continuationNotice" w:id="1">
    <w:p w:rsidR="00BB13D2" w:rsidRPr="00AC3823" w:rsidRDefault="00BB13D2">
      <w:pPr>
        <w:spacing w:line="240" w:lineRule="auto"/>
        <w:rPr>
          <w:sz w:val="2"/>
          <w:szCs w:val="2"/>
        </w:rPr>
      </w:pPr>
    </w:p>
  </w:footnote>
  <w:footnote w:id="2">
    <w:p w:rsidR="001307AD" w:rsidRPr="00AE7F64" w:rsidRDefault="001307AD" w:rsidP="001307AD">
      <w:pPr>
        <w:pStyle w:val="FootnoteText"/>
        <w:rPr>
          <w:lang w:val="es-ES"/>
        </w:rPr>
      </w:pPr>
      <w:r w:rsidRPr="00F42009">
        <w:rPr>
          <w:lang w:val="fr-FR"/>
        </w:rPr>
        <w:tab/>
      </w:r>
      <w:r w:rsidRPr="009D0E81">
        <w:rPr>
          <w:rStyle w:val="FootnoteReference"/>
        </w:rPr>
        <w:footnoteRef/>
      </w:r>
      <w:r w:rsidRPr="00AE7F64">
        <w:rPr>
          <w:lang w:val="es-ES"/>
        </w:rPr>
        <w:tab/>
        <w:t>Voir ECE/MP.EIA/20/Add.1</w:t>
      </w:r>
      <w:r w:rsidR="00FD619E">
        <w:rPr>
          <w:lang w:val="es-ES"/>
        </w:rPr>
        <w:t>-</w:t>
      </w:r>
      <w:r w:rsidRPr="00AE7F64">
        <w:rPr>
          <w:lang w:val="es-ES"/>
        </w:rPr>
        <w:t>ECE/MP.EIA/SEA/4/Add.1.</w:t>
      </w:r>
      <w:bookmarkStart w:id="1" w:name="_Hlk51410298"/>
      <w:bookmarkEnd w:id="1"/>
    </w:p>
  </w:footnote>
  <w:footnote w:id="3">
    <w:p w:rsidR="001307AD" w:rsidRPr="00AE7F64" w:rsidRDefault="001307AD" w:rsidP="001307AD">
      <w:pPr>
        <w:pStyle w:val="FootnoteText"/>
        <w:rPr>
          <w:lang w:val="es-ES"/>
        </w:rPr>
      </w:pPr>
      <w:r w:rsidRPr="00AE7F64">
        <w:rPr>
          <w:lang w:val="es-ES"/>
        </w:rPr>
        <w:tab/>
      </w:r>
      <w:r w:rsidRPr="009D0E81">
        <w:rPr>
          <w:rStyle w:val="FootnoteReference"/>
        </w:rPr>
        <w:footnoteRef/>
      </w:r>
      <w:r w:rsidRPr="00AE7F64">
        <w:rPr>
          <w:lang w:val="es-ES"/>
        </w:rPr>
        <w:t xml:space="preserve"> </w:t>
      </w:r>
      <w:r w:rsidRPr="00AE7F64">
        <w:rPr>
          <w:lang w:val="es-ES"/>
        </w:rPr>
        <w:tab/>
      </w:r>
      <w:r w:rsidRPr="00AE7F64">
        <w:rPr>
          <w:lang w:val="es-ES"/>
        </w:rPr>
        <w:t>Voir ECE/MP.EIA/27/Add.1</w:t>
      </w:r>
      <w:r w:rsidR="00FD619E">
        <w:rPr>
          <w:lang w:val="es-ES"/>
        </w:rPr>
        <w:t>-</w:t>
      </w:r>
      <w:r w:rsidRPr="00AE7F64">
        <w:rPr>
          <w:lang w:val="es-ES"/>
        </w:rPr>
        <w:t>ECE/MP.EIA/SEA/11/Add.1.</w:t>
      </w:r>
    </w:p>
  </w:footnote>
  <w:footnote w:id="4">
    <w:p w:rsidR="001307AD" w:rsidRPr="00AE7F64" w:rsidRDefault="001307AD" w:rsidP="001307AD">
      <w:pPr>
        <w:pStyle w:val="FootnoteText"/>
        <w:rPr>
          <w:lang w:val="fr-FR"/>
        </w:rPr>
      </w:pPr>
      <w:r w:rsidRPr="00AE7F64">
        <w:rPr>
          <w:lang w:val="es-ES"/>
        </w:rPr>
        <w:tab/>
      </w:r>
      <w:r w:rsidRPr="009D0E81">
        <w:rPr>
          <w:rStyle w:val="FootnoteReference"/>
        </w:rPr>
        <w:footnoteRef/>
      </w:r>
      <w:r>
        <w:rPr>
          <w:lang w:val="fr-FR"/>
        </w:rPr>
        <w:t xml:space="preserve"> </w:t>
      </w:r>
      <w:r>
        <w:rPr>
          <w:lang w:val="fr-FR"/>
        </w:rPr>
        <w:tab/>
        <w:t>[Cote du document dans lequel figure la décision adoptée]</w:t>
      </w:r>
      <w:r w:rsidR="00FD619E">
        <w:rPr>
          <w:lang w:val="fr-FR"/>
        </w:rPr>
        <w:t>.</w:t>
      </w:r>
    </w:p>
  </w:footnote>
  <w:footnote w:id="5">
    <w:p w:rsidR="001307AD" w:rsidRPr="00AE7F64" w:rsidRDefault="001307AD" w:rsidP="001307AD">
      <w:pPr>
        <w:pStyle w:val="FootnoteText"/>
        <w:rPr>
          <w:lang w:val="es-ES"/>
        </w:rPr>
      </w:pPr>
      <w:r w:rsidRPr="00C75AF6">
        <w:rPr>
          <w:lang w:val="fr-FR"/>
        </w:rPr>
        <w:tab/>
      </w:r>
      <w:r w:rsidRPr="009D0E81">
        <w:rPr>
          <w:rStyle w:val="FootnoteReference"/>
        </w:rPr>
        <w:footnoteRef/>
      </w:r>
      <w:r w:rsidRPr="00AE7F64">
        <w:rPr>
          <w:lang w:val="es-ES"/>
        </w:rPr>
        <w:tab/>
        <w:t>ECE/MP.EIA/2020/4</w:t>
      </w:r>
      <w:r w:rsidR="00FD619E">
        <w:rPr>
          <w:lang w:val="es-ES"/>
        </w:rPr>
        <w:t>-</w:t>
      </w:r>
      <w:r w:rsidRPr="00AE7F64">
        <w:rPr>
          <w:lang w:val="es-ES"/>
        </w:rPr>
        <w:t>ECE/MP.EIA/SEA/2020/4, par.</w:t>
      </w:r>
      <w:r w:rsidR="00FD619E">
        <w:rPr>
          <w:lang w:val="es-ES"/>
        </w:rPr>
        <w:t> </w:t>
      </w:r>
      <w:r w:rsidRPr="00AE7F64">
        <w:rPr>
          <w:lang w:val="es-ES"/>
        </w:rPr>
        <w:t>24 à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7AD" w:rsidRPr="001307AD" w:rsidRDefault="00374468">
    <w:pPr>
      <w:pStyle w:val="Header"/>
    </w:pPr>
    <w:r>
      <w:fldChar w:fldCharType="begin"/>
    </w:r>
    <w:r>
      <w:instrText xml:space="preserve"> TITLE  \* MERGEFORMAT </w:instrText>
    </w:r>
    <w:r>
      <w:fldChar w:fldCharType="separate"/>
    </w:r>
    <w:r w:rsidR="001307AD">
      <w:t>ECE/MP.EIA/2020/13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7AD" w:rsidRPr="001307AD" w:rsidRDefault="00374468" w:rsidP="001307AD">
    <w:pPr>
      <w:pStyle w:val="Header"/>
      <w:jc w:val="right"/>
    </w:pPr>
    <w:r>
      <w:fldChar w:fldCharType="begin"/>
    </w:r>
    <w:r>
      <w:instrText xml:space="preserve"> TITLE  \* MERGEFORMAT </w:instrText>
    </w:r>
    <w:r>
      <w:fldChar w:fldCharType="separate"/>
    </w:r>
    <w:r w:rsidR="001307AD">
      <w:t>ECE/MP.EIA/2020/13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13D2"/>
    <w:rsid w:val="00017F94"/>
    <w:rsid w:val="00023842"/>
    <w:rsid w:val="00031189"/>
    <w:rsid w:val="000334F9"/>
    <w:rsid w:val="0007796D"/>
    <w:rsid w:val="000B7790"/>
    <w:rsid w:val="00111F2F"/>
    <w:rsid w:val="001307AD"/>
    <w:rsid w:val="0014365E"/>
    <w:rsid w:val="00176178"/>
    <w:rsid w:val="001F525A"/>
    <w:rsid w:val="00223272"/>
    <w:rsid w:val="0024779E"/>
    <w:rsid w:val="002832AC"/>
    <w:rsid w:val="002B40F9"/>
    <w:rsid w:val="002D7C93"/>
    <w:rsid w:val="00374468"/>
    <w:rsid w:val="00441C3B"/>
    <w:rsid w:val="00446FE5"/>
    <w:rsid w:val="00452396"/>
    <w:rsid w:val="004E468C"/>
    <w:rsid w:val="005505B7"/>
    <w:rsid w:val="00573BE5"/>
    <w:rsid w:val="00586ED3"/>
    <w:rsid w:val="00596AA9"/>
    <w:rsid w:val="005D6D16"/>
    <w:rsid w:val="005E5885"/>
    <w:rsid w:val="005F26E5"/>
    <w:rsid w:val="006C0E3B"/>
    <w:rsid w:val="0071601D"/>
    <w:rsid w:val="007A5FC4"/>
    <w:rsid w:val="007A62E6"/>
    <w:rsid w:val="0080684C"/>
    <w:rsid w:val="00871C75"/>
    <w:rsid w:val="008776DC"/>
    <w:rsid w:val="008D6B3F"/>
    <w:rsid w:val="0090540F"/>
    <w:rsid w:val="009705C8"/>
    <w:rsid w:val="009C1CF4"/>
    <w:rsid w:val="00A14420"/>
    <w:rsid w:val="00A30353"/>
    <w:rsid w:val="00AC3823"/>
    <w:rsid w:val="00AE323C"/>
    <w:rsid w:val="00B00181"/>
    <w:rsid w:val="00B00B0D"/>
    <w:rsid w:val="00B765F7"/>
    <w:rsid w:val="00BA0CA9"/>
    <w:rsid w:val="00BB13D2"/>
    <w:rsid w:val="00C02897"/>
    <w:rsid w:val="00C554CE"/>
    <w:rsid w:val="00CE26D2"/>
    <w:rsid w:val="00D3439C"/>
    <w:rsid w:val="00D503D3"/>
    <w:rsid w:val="00DB1831"/>
    <w:rsid w:val="00DD3BFD"/>
    <w:rsid w:val="00DF5712"/>
    <w:rsid w:val="00DF6678"/>
    <w:rsid w:val="00E96BD6"/>
    <w:rsid w:val="00EE22F9"/>
    <w:rsid w:val="00EF2E22"/>
    <w:rsid w:val="00F660DF"/>
    <w:rsid w:val="00F76F26"/>
    <w:rsid w:val="00F95C08"/>
    <w:rsid w:val="00FD619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FFCAA1-2A56-4206-91A7-CD48586F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FD619E"/>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H23GChar">
    <w:name w:val="_ H_2/3_G Char"/>
    <w:link w:val="H23G"/>
    <w:rsid w:val="001307AD"/>
    <w:rPr>
      <w:rFonts w:ascii="Times New Roman" w:eastAsiaTheme="minorHAnsi" w:hAnsi="Times New Roman" w:cs="Times New Roman"/>
      <w:b/>
      <w:sz w:val="20"/>
      <w:szCs w:val="20"/>
      <w:lang w:eastAsia="en-US"/>
    </w:rPr>
  </w:style>
  <w:style w:type="character" w:customStyle="1" w:styleId="HChGChar">
    <w:name w:val="_ H _Ch_G Char"/>
    <w:link w:val="HChG"/>
    <w:rsid w:val="001307AD"/>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1307A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4057</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ECE/MP.EIA/2020/13</dc:title>
  <dc:subject/>
  <dc:creator>Nathalie VITTOZ</dc:creator>
  <cp:keywords/>
  <cp:lastModifiedBy>Elisabeth James</cp:lastModifiedBy>
  <cp:revision>2</cp:revision>
  <cp:lastPrinted>2014-05-14T10:59:00Z</cp:lastPrinted>
  <dcterms:created xsi:type="dcterms:W3CDTF">2020-10-16T09:40:00Z</dcterms:created>
  <dcterms:modified xsi:type="dcterms:W3CDTF">2020-10-16T09:40:00Z</dcterms:modified>
</cp:coreProperties>
</file>