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0659B948" w14:textId="77777777" w:rsidTr="00DF5712">
        <w:trPr>
          <w:trHeight w:hRule="exact" w:val="851"/>
        </w:trPr>
        <w:tc>
          <w:tcPr>
            <w:tcW w:w="1276" w:type="dxa"/>
            <w:tcBorders>
              <w:bottom w:val="single" w:sz="4" w:space="0" w:color="auto"/>
            </w:tcBorders>
          </w:tcPr>
          <w:p w14:paraId="00728D11" w14:textId="77777777" w:rsidR="00A14420" w:rsidRPr="00DB58B5" w:rsidRDefault="00A14420" w:rsidP="007A0148">
            <w:bookmarkStart w:id="0" w:name="_GoBack"/>
            <w:bookmarkEnd w:id="0"/>
          </w:p>
        </w:tc>
        <w:tc>
          <w:tcPr>
            <w:tcW w:w="2268" w:type="dxa"/>
            <w:tcBorders>
              <w:bottom w:val="single" w:sz="4" w:space="0" w:color="auto"/>
            </w:tcBorders>
            <w:vAlign w:val="bottom"/>
          </w:tcPr>
          <w:p w14:paraId="459A67A5"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F86EDB3" w14:textId="77777777" w:rsidR="00A14420" w:rsidRPr="00DB58B5" w:rsidRDefault="007A0148" w:rsidP="007A0148">
            <w:pPr>
              <w:jc w:val="right"/>
            </w:pPr>
            <w:r w:rsidRPr="007A0148">
              <w:rPr>
                <w:sz w:val="40"/>
              </w:rPr>
              <w:t>ECE</w:t>
            </w:r>
            <w:r>
              <w:t>/MP.EIA/2020/11</w:t>
            </w:r>
          </w:p>
        </w:tc>
      </w:tr>
      <w:tr w:rsidR="00A14420" w:rsidRPr="00DB58B5" w14:paraId="3C59D96D" w14:textId="77777777" w:rsidTr="00DF5712">
        <w:trPr>
          <w:trHeight w:hRule="exact" w:val="2835"/>
        </w:trPr>
        <w:tc>
          <w:tcPr>
            <w:tcW w:w="1276" w:type="dxa"/>
            <w:tcBorders>
              <w:top w:val="single" w:sz="4" w:space="0" w:color="auto"/>
              <w:bottom w:val="single" w:sz="12" w:space="0" w:color="auto"/>
            </w:tcBorders>
          </w:tcPr>
          <w:p w14:paraId="3B25BD0C" w14:textId="77777777" w:rsidR="00A14420" w:rsidRPr="00DB58B5" w:rsidRDefault="00A14420" w:rsidP="00DF5712">
            <w:pPr>
              <w:spacing w:before="120"/>
              <w:jc w:val="center"/>
            </w:pPr>
            <w:r>
              <w:rPr>
                <w:noProof/>
                <w:lang w:eastAsia="fr-CH"/>
              </w:rPr>
              <w:drawing>
                <wp:inline distT="0" distB="0" distL="0" distR="0" wp14:anchorId="5FC6381E" wp14:editId="5263B11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D2508C"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C68E6DE" w14:textId="77777777" w:rsidR="00A14420" w:rsidRDefault="007A0148" w:rsidP="00DF5712">
            <w:pPr>
              <w:spacing w:before="240"/>
            </w:pPr>
            <w:r>
              <w:t xml:space="preserve">Distr. </w:t>
            </w:r>
            <w:proofErr w:type="gramStart"/>
            <w:r>
              <w:t>générale</w:t>
            </w:r>
            <w:proofErr w:type="gramEnd"/>
          </w:p>
          <w:p w14:paraId="0F6DD4F4" w14:textId="77777777" w:rsidR="007A0148" w:rsidRDefault="007A0148" w:rsidP="007A0148">
            <w:pPr>
              <w:spacing w:line="240" w:lineRule="exact"/>
            </w:pPr>
            <w:r>
              <w:t>24 septembre 2020</w:t>
            </w:r>
          </w:p>
          <w:p w14:paraId="038F4353" w14:textId="77777777" w:rsidR="007A0148" w:rsidRDefault="007A0148" w:rsidP="007A0148">
            <w:pPr>
              <w:spacing w:line="240" w:lineRule="exact"/>
            </w:pPr>
            <w:r>
              <w:t>Français</w:t>
            </w:r>
          </w:p>
          <w:p w14:paraId="2A1680D9" w14:textId="77777777" w:rsidR="007A0148" w:rsidRPr="00DB58B5" w:rsidRDefault="007A0148" w:rsidP="007A0148">
            <w:pPr>
              <w:spacing w:line="240" w:lineRule="exact"/>
            </w:pPr>
            <w:r>
              <w:t>Original : anglais</w:t>
            </w:r>
          </w:p>
        </w:tc>
      </w:tr>
    </w:tbl>
    <w:p w14:paraId="5DF70735" w14:textId="77777777" w:rsidR="00C554CE" w:rsidRDefault="00C554CE" w:rsidP="00C554CE">
      <w:pPr>
        <w:spacing w:before="120"/>
        <w:rPr>
          <w:b/>
          <w:sz w:val="28"/>
          <w:szCs w:val="28"/>
        </w:rPr>
      </w:pPr>
      <w:r w:rsidRPr="000312C0">
        <w:rPr>
          <w:b/>
          <w:sz w:val="28"/>
          <w:szCs w:val="28"/>
        </w:rPr>
        <w:t>Commission économique pour l’Europe</w:t>
      </w:r>
    </w:p>
    <w:p w14:paraId="68DC6992" w14:textId="77777777" w:rsidR="007A0148" w:rsidRPr="00003E73" w:rsidRDefault="007A0148" w:rsidP="00003E73">
      <w:pPr>
        <w:spacing w:before="120"/>
        <w:rPr>
          <w:bCs/>
          <w:sz w:val="28"/>
          <w:szCs w:val="28"/>
          <w:lang w:val="fr-FR"/>
        </w:rPr>
      </w:pPr>
      <w:r w:rsidRPr="00003E73">
        <w:rPr>
          <w:sz w:val="28"/>
          <w:szCs w:val="28"/>
          <w:lang w:val="fr-FR"/>
        </w:rPr>
        <w:t xml:space="preserve">Réunion des Parties à la Convention sur l’évaluation </w:t>
      </w:r>
      <w:r w:rsidR="00003E73">
        <w:rPr>
          <w:sz w:val="28"/>
          <w:szCs w:val="28"/>
          <w:lang w:val="fr-FR"/>
        </w:rPr>
        <w:br/>
      </w:r>
      <w:proofErr w:type="gramStart"/>
      <w:r w:rsidRPr="00003E73">
        <w:rPr>
          <w:sz w:val="28"/>
          <w:szCs w:val="28"/>
          <w:lang w:val="fr-FR"/>
        </w:rPr>
        <w:t>de</w:t>
      </w:r>
      <w:proofErr w:type="gramEnd"/>
      <w:r w:rsidRPr="00003E73">
        <w:rPr>
          <w:sz w:val="28"/>
          <w:szCs w:val="28"/>
          <w:lang w:val="fr-FR"/>
        </w:rPr>
        <w:t xml:space="preserve"> l’impact sur l’environnement dans un contexte </w:t>
      </w:r>
      <w:r w:rsidR="00003E73">
        <w:rPr>
          <w:sz w:val="28"/>
          <w:szCs w:val="28"/>
          <w:lang w:val="fr-FR"/>
        </w:rPr>
        <w:br/>
      </w:r>
      <w:r w:rsidRPr="00003E73">
        <w:rPr>
          <w:sz w:val="28"/>
          <w:szCs w:val="28"/>
          <w:lang w:val="fr-FR"/>
        </w:rPr>
        <w:t xml:space="preserve">transfrontière agissant comme réunion des Parties </w:t>
      </w:r>
      <w:r w:rsidR="00003E73">
        <w:rPr>
          <w:sz w:val="28"/>
          <w:szCs w:val="28"/>
          <w:lang w:val="fr-FR"/>
        </w:rPr>
        <w:br/>
      </w:r>
      <w:r w:rsidRPr="00003E73">
        <w:rPr>
          <w:sz w:val="28"/>
          <w:szCs w:val="28"/>
          <w:lang w:val="fr-FR"/>
        </w:rPr>
        <w:t xml:space="preserve">au Protocole relatif à l’évaluation </w:t>
      </w:r>
      <w:r w:rsidR="00003E73">
        <w:rPr>
          <w:sz w:val="28"/>
          <w:szCs w:val="28"/>
          <w:lang w:val="fr-FR"/>
        </w:rPr>
        <w:br/>
      </w:r>
      <w:r w:rsidRPr="00003E73">
        <w:rPr>
          <w:sz w:val="28"/>
          <w:szCs w:val="28"/>
          <w:lang w:val="fr-FR"/>
        </w:rPr>
        <w:t>stratégique environnementale</w:t>
      </w:r>
    </w:p>
    <w:p w14:paraId="6ACB06C3" w14:textId="77777777" w:rsidR="007A0148" w:rsidRPr="00003E73" w:rsidRDefault="007A0148" w:rsidP="00003E73">
      <w:pPr>
        <w:spacing w:before="120"/>
        <w:rPr>
          <w:b/>
          <w:lang w:val="fr-FR"/>
        </w:rPr>
      </w:pPr>
      <w:r w:rsidRPr="00003E73">
        <w:rPr>
          <w:b/>
          <w:bCs/>
          <w:lang w:val="fr-FR"/>
        </w:rPr>
        <w:t>Quatrième session</w:t>
      </w:r>
    </w:p>
    <w:p w14:paraId="09CF694B" w14:textId="77777777" w:rsidR="007A0148" w:rsidRPr="00003E73" w:rsidRDefault="007A0148" w:rsidP="00003E73">
      <w:pPr>
        <w:spacing w:before="120"/>
        <w:rPr>
          <w:lang w:val="fr-FR"/>
        </w:rPr>
      </w:pPr>
      <w:r w:rsidRPr="00003E73">
        <w:rPr>
          <w:lang w:val="fr-FR"/>
        </w:rPr>
        <w:t>Vilnius, 8-11</w:t>
      </w:r>
      <w:r w:rsidR="00003E73">
        <w:rPr>
          <w:lang w:val="fr-FR"/>
        </w:rPr>
        <w:t> </w:t>
      </w:r>
      <w:r w:rsidRPr="00003E73">
        <w:rPr>
          <w:lang w:val="fr-FR"/>
        </w:rPr>
        <w:t xml:space="preserve">décembre 2020 </w:t>
      </w:r>
    </w:p>
    <w:p w14:paraId="75071EDC" w14:textId="77777777" w:rsidR="007A0148" w:rsidRPr="00003E73" w:rsidRDefault="007A0148" w:rsidP="007A0148">
      <w:pPr>
        <w:rPr>
          <w:lang w:val="fr-FR"/>
        </w:rPr>
      </w:pPr>
      <w:r w:rsidRPr="00003E73">
        <w:rPr>
          <w:lang w:val="fr-FR"/>
        </w:rPr>
        <w:t>Points</w:t>
      </w:r>
      <w:r w:rsidR="00003E73">
        <w:rPr>
          <w:lang w:val="fr-FR"/>
        </w:rPr>
        <w:t> </w:t>
      </w:r>
      <w:r w:rsidRPr="00003E73">
        <w:rPr>
          <w:lang w:val="fr-FR"/>
        </w:rPr>
        <w:t>3</w:t>
      </w:r>
      <w:r w:rsidR="00003E73">
        <w:rPr>
          <w:lang w:val="fr-FR"/>
        </w:rPr>
        <w:t> </w:t>
      </w:r>
      <w:r w:rsidRPr="00003E73">
        <w:rPr>
          <w:lang w:val="fr-FR"/>
        </w:rPr>
        <w:t>b) et 8</w:t>
      </w:r>
      <w:r w:rsidR="00003E73">
        <w:rPr>
          <w:lang w:val="fr-FR"/>
        </w:rPr>
        <w:t> </w:t>
      </w:r>
      <w:r w:rsidRPr="00003E73">
        <w:rPr>
          <w:lang w:val="fr-FR"/>
        </w:rPr>
        <w:t>b) de l’ordre du jour provisoire</w:t>
      </w:r>
    </w:p>
    <w:p w14:paraId="2D37DC1A" w14:textId="77777777" w:rsidR="007A0148" w:rsidRPr="00003E73" w:rsidRDefault="007A0148" w:rsidP="007A0148">
      <w:pPr>
        <w:rPr>
          <w:b/>
          <w:bCs/>
          <w:lang w:val="fr-FR"/>
        </w:rPr>
      </w:pPr>
      <w:r w:rsidRPr="00003E73">
        <w:rPr>
          <w:b/>
          <w:bCs/>
          <w:lang w:val="fr-FR"/>
        </w:rPr>
        <w:t>Questions en suspens</w:t>
      </w:r>
      <w:r w:rsidR="00003E73">
        <w:rPr>
          <w:b/>
          <w:bCs/>
          <w:lang w:val="fr-FR"/>
        </w:rPr>
        <w:t> </w:t>
      </w:r>
      <w:r w:rsidRPr="00003E73">
        <w:rPr>
          <w:b/>
          <w:bCs/>
          <w:lang w:val="fr-FR"/>
        </w:rPr>
        <w:t xml:space="preserve">: projets de décision soumis </w:t>
      </w:r>
      <w:r w:rsidR="00003E73">
        <w:rPr>
          <w:b/>
          <w:bCs/>
          <w:lang w:val="fr-FR"/>
        </w:rPr>
        <w:br/>
      </w:r>
      <w:r w:rsidRPr="00003E73">
        <w:rPr>
          <w:b/>
          <w:bCs/>
          <w:lang w:val="fr-FR"/>
        </w:rPr>
        <w:t>à la Réunion des Parties à la Convention</w:t>
      </w:r>
    </w:p>
    <w:p w14:paraId="5303A6CA" w14:textId="77777777" w:rsidR="007A0148" w:rsidRPr="00003E73" w:rsidRDefault="007A0148" w:rsidP="00003E73">
      <w:pPr>
        <w:spacing w:before="120"/>
        <w:rPr>
          <w:b/>
          <w:bCs/>
          <w:lang w:val="fr-FR"/>
        </w:rPr>
      </w:pPr>
      <w:r w:rsidRPr="00003E73">
        <w:rPr>
          <w:b/>
          <w:bCs/>
          <w:lang w:val="fr-FR"/>
        </w:rPr>
        <w:t>Adoption des décisions</w:t>
      </w:r>
      <w:r w:rsidR="00003E73">
        <w:rPr>
          <w:b/>
          <w:bCs/>
          <w:lang w:val="fr-FR"/>
        </w:rPr>
        <w:t> </w:t>
      </w:r>
      <w:r w:rsidRPr="00003E73">
        <w:rPr>
          <w:b/>
          <w:bCs/>
          <w:lang w:val="fr-FR"/>
        </w:rPr>
        <w:t xml:space="preserve">: décisions à adopter </w:t>
      </w:r>
      <w:r w:rsidR="00003E73">
        <w:rPr>
          <w:b/>
          <w:bCs/>
          <w:lang w:val="fr-FR"/>
        </w:rPr>
        <w:br/>
      </w:r>
      <w:r w:rsidRPr="00003E73">
        <w:rPr>
          <w:b/>
          <w:bCs/>
          <w:lang w:val="fr-FR"/>
        </w:rPr>
        <w:t>par la Réunion des Parties à la Convention</w:t>
      </w:r>
    </w:p>
    <w:p w14:paraId="4E2268F3" w14:textId="77777777" w:rsidR="007A0148" w:rsidRPr="008F3C6A" w:rsidRDefault="007A0148" w:rsidP="00003E73">
      <w:pPr>
        <w:pStyle w:val="HChG"/>
        <w:rPr>
          <w:lang w:val="fr-FR"/>
        </w:rPr>
      </w:pPr>
      <w:r>
        <w:rPr>
          <w:lang w:val="fr-FR"/>
        </w:rPr>
        <w:tab/>
      </w:r>
      <w:r>
        <w:rPr>
          <w:lang w:val="fr-FR"/>
        </w:rPr>
        <w:tab/>
        <w:t>P</w:t>
      </w:r>
      <w:r w:rsidRPr="001A1BB5">
        <w:rPr>
          <w:lang w:val="fr-FR"/>
        </w:rPr>
        <w:t xml:space="preserve">rojet de décision VIII/4a </w:t>
      </w:r>
      <w:r>
        <w:rPr>
          <w:lang w:val="fr-FR"/>
        </w:rPr>
        <w:t>concernant</w:t>
      </w:r>
      <w:r w:rsidRPr="001A1BB5">
        <w:rPr>
          <w:lang w:val="fr-FR"/>
        </w:rPr>
        <w:t xml:space="preserve"> le respect par l</w:t>
      </w:r>
      <w:r>
        <w:rPr>
          <w:lang w:val="fr-FR"/>
        </w:rPr>
        <w:t>’</w:t>
      </w:r>
      <w:r w:rsidRPr="001A1BB5">
        <w:rPr>
          <w:lang w:val="fr-FR"/>
        </w:rPr>
        <w:t xml:space="preserve">Arménie des obligations qui lui incombent en vertu </w:t>
      </w:r>
      <w:r w:rsidR="00003E73">
        <w:rPr>
          <w:lang w:val="fr-FR"/>
        </w:rPr>
        <w:br/>
      </w:r>
      <w:r w:rsidRPr="001A1BB5">
        <w:rPr>
          <w:lang w:val="fr-FR"/>
        </w:rPr>
        <w:t>de la Convention pour ce qui est de sa législation nationale</w:t>
      </w:r>
    </w:p>
    <w:p w14:paraId="19211CC1" w14:textId="77777777" w:rsidR="007A0148" w:rsidRDefault="007A0148" w:rsidP="00003E73">
      <w:pPr>
        <w:pStyle w:val="H1G"/>
        <w:rPr>
          <w:lang w:val="fr-FR"/>
        </w:rPr>
      </w:pPr>
      <w:r>
        <w:rPr>
          <w:lang w:val="fr-FR"/>
        </w:rPr>
        <w:tab/>
      </w:r>
      <w:r>
        <w:rPr>
          <w:lang w:val="fr-FR"/>
        </w:rPr>
        <w:tab/>
        <w:t xml:space="preserve">Document établi par le Comité d’application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03E73" w14:paraId="382B0A28" w14:textId="77777777">
        <w:trPr>
          <w:jc w:val="center"/>
        </w:trPr>
        <w:tc>
          <w:tcPr>
            <w:tcW w:w="9637" w:type="dxa"/>
            <w:shd w:val="clear" w:color="auto" w:fill="auto"/>
          </w:tcPr>
          <w:p w14:paraId="2658CFDD" w14:textId="77777777" w:rsidR="00003E73" w:rsidRDefault="00003E73">
            <w:pPr>
              <w:spacing w:before="240" w:after="120"/>
              <w:ind w:left="255"/>
              <w:rPr>
                <w:i/>
                <w:sz w:val="24"/>
              </w:rPr>
            </w:pPr>
            <w:r>
              <w:rPr>
                <w:i/>
                <w:sz w:val="24"/>
              </w:rPr>
              <w:t>Résumé</w:t>
            </w:r>
          </w:p>
        </w:tc>
      </w:tr>
      <w:tr w:rsidR="00003E73" w14:paraId="126A091C" w14:textId="77777777">
        <w:trPr>
          <w:jc w:val="center"/>
        </w:trPr>
        <w:tc>
          <w:tcPr>
            <w:tcW w:w="9637" w:type="dxa"/>
            <w:shd w:val="clear" w:color="auto" w:fill="auto"/>
          </w:tcPr>
          <w:p w14:paraId="66317533" w14:textId="77777777" w:rsidR="00003E73" w:rsidRDefault="00003E73" w:rsidP="00003E73">
            <w:pPr>
              <w:pStyle w:val="SingleTxtG"/>
              <w:ind w:firstLine="567"/>
            </w:pPr>
            <w:r w:rsidRPr="00003E73">
              <w:t xml:space="preserve">Le présent document contient le projet de décision VIII/4a concernant le respect par l’Arménie des obligations qui lui incombent en vertu de la Convention pour ce qui est de sa législation nationale. Il a été établi dans sa version définitive par le Comité d’application </w:t>
            </w:r>
            <w:r w:rsidR="008448B6">
              <w:t>relevant de</w:t>
            </w:r>
            <w:r w:rsidRPr="00003E73">
              <w:t xml:space="preserve"> la Convention sur l’évaluation de l’impact sur l’environnement dans un contexte transfrontière et de son protocole relatif à l’évaluation stratégique environnementale à sa quarante</w:t>
            </w:r>
            <w:r>
              <w:noBreakHyphen/>
            </w:r>
            <w:r w:rsidRPr="00003E73">
              <w:t>huitième session (Genève, 1-4</w:t>
            </w:r>
            <w:r>
              <w:t> </w:t>
            </w:r>
            <w:r w:rsidRPr="00003E73">
              <w:t>septembre 2020), compte tenu des informations et observations fournies par les Parties concernées avant cette session et des observations formulées par le Groupe de travail de l’évaluation de l’impact sur l’environnement et de l’évaluation stratégique environnementale pendant et après sa neuvième réunion (Genève, 24-26</w:t>
            </w:r>
            <w:r>
              <w:t> </w:t>
            </w:r>
            <w:r w:rsidRPr="00003E73">
              <w:t>août 2020).</w:t>
            </w:r>
          </w:p>
        </w:tc>
      </w:tr>
      <w:tr w:rsidR="00003E73" w14:paraId="697A3976" w14:textId="77777777">
        <w:trPr>
          <w:jc w:val="center"/>
        </w:trPr>
        <w:tc>
          <w:tcPr>
            <w:tcW w:w="9637" w:type="dxa"/>
            <w:shd w:val="clear" w:color="auto" w:fill="auto"/>
          </w:tcPr>
          <w:p w14:paraId="08EC3A03" w14:textId="77777777" w:rsidR="00003E73" w:rsidRDefault="00003E73" w:rsidP="00003E73">
            <w:pPr>
              <w:pStyle w:val="SingleTxtG"/>
              <w:ind w:firstLine="567"/>
            </w:pPr>
            <w:r w:rsidRPr="00003E73">
              <w:t>La Réunion des Parties à la Convention devrait examiner le projet de décision et décider de l’adopter</w:t>
            </w:r>
            <w:r>
              <w:t>.</w:t>
            </w:r>
          </w:p>
        </w:tc>
      </w:tr>
      <w:tr w:rsidR="00003E73" w14:paraId="1709FA6A" w14:textId="77777777">
        <w:trPr>
          <w:jc w:val="center"/>
        </w:trPr>
        <w:tc>
          <w:tcPr>
            <w:tcW w:w="9637" w:type="dxa"/>
            <w:shd w:val="clear" w:color="auto" w:fill="auto"/>
          </w:tcPr>
          <w:p w14:paraId="10FB62CD" w14:textId="77777777" w:rsidR="00003E73" w:rsidRDefault="00003E73"/>
        </w:tc>
      </w:tr>
    </w:tbl>
    <w:p w14:paraId="74D860DD" w14:textId="77777777" w:rsidR="007A0148" w:rsidRPr="008F3C6A" w:rsidRDefault="007A0148" w:rsidP="00003E73">
      <w:pPr>
        <w:pStyle w:val="SingleTxtG"/>
        <w:ind w:firstLine="567"/>
        <w:rPr>
          <w:lang w:val="fr-FR"/>
        </w:rPr>
      </w:pPr>
      <w:r w:rsidRPr="008F3C6A">
        <w:rPr>
          <w:lang w:val="fr-FR"/>
        </w:rPr>
        <w:br w:type="page"/>
      </w:r>
      <w:r w:rsidRPr="00003E73">
        <w:rPr>
          <w:i/>
          <w:iCs/>
          <w:lang w:val="fr-FR"/>
        </w:rPr>
        <w:lastRenderedPageBreak/>
        <w:t>La Réunion des Parties à la Convention</w:t>
      </w:r>
      <w:r>
        <w:rPr>
          <w:lang w:val="fr-FR"/>
        </w:rPr>
        <w:t xml:space="preserve">, </w:t>
      </w:r>
    </w:p>
    <w:p w14:paraId="2C08EC82" w14:textId="77777777" w:rsidR="007A0148" w:rsidRPr="008F3C6A" w:rsidRDefault="007A0148" w:rsidP="00003E73">
      <w:pPr>
        <w:pStyle w:val="SingleTxtG"/>
        <w:ind w:firstLine="567"/>
        <w:rPr>
          <w:lang w:val="fr-FR"/>
        </w:rPr>
      </w:pPr>
      <w:r w:rsidRPr="00B83AEE">
        <w:rPr>
          <w:i/>
          <w:iCs/>
          <w:lang w:val="fr-FR"/>
        </w:rPr>
        <w:t>Rappelant</w:t>
      </w:r>
      <w:r>
        <w:rPr>
          <w:lang w:val="fr-FR"/>
        </w:rPr>
        <w:t xml:space="preserve"> le paragraphe</w:t>
      </w:r>
      <w:r w:rsidR="00003E73">
        <w:rPr>
          <w:lang w:val="fr-FR"/>
        </w:rPr>
        <w:t> </w:t>
      </w:r>
      <w:r>
        <w:rPr>
          <w:lang w:val="fr-FR"/>
        </w:rPr>
        <w:t>2 de l’article</w:t>
      </w:r>
      <w:r w:rsidR="00003E73">
        <w:rPr>
          <w:lang w:val="fr-FR"/>
        </w:rPr>
        <w:t> </w:t>
      </w:r>
      <w:r>
        <w:rPr>
          <w:lang w:val="fr-FR"/>
        </w:rPr>
        <w:t>11 et l’article</w:t>
      </w:r>
      <w:r w:rsidR="00003E73">
        <w:rPr>
          <w:lang w:val="fr-FR"/>
        </w:rPr>
        <w:t> </w:t>
      </w:r>
      <w:r>
        <w:rPr>
          <w:lang w:val="fr-FR"/>
        </w:rPr>
        <w:t>14</w:t>
      </w:r>
      <w:r w:rsidR="00003E73">
        <w:rPr>
          <w:lang w:val="fr-FR"/>
        </w:rPr>
        <w:t> </w:t>
      </w:r>
      <w:r w:rsidRPr="002C2CF9">
        <w:rPr>
          <w:i/>
          <w:iCs/>
          <w:lang w:val="fr-FR"/>
        </w:rPr>
        <w:t>bis</w:t>
      </w:r>
      <w:r>
        <w:rPr>
          <w:lang w:val="fr-FR"/>
        </w:rPr>
        <w:t xml:space="preserve"> de la Convention sur l’évaluation de l’impact sur l’environnement dans un contexte transfrontière,</w:t>
      </w:r>
    </w:p>
    <w:p w14:paraId="6D65F231" w14:textId="77777777" w:rsidR="007A0148" w:rsidRPr="008F3C6A" w:rsidRDefault="007A0148" w:rsidP="00003E73">
      <w:pPr>
        <w:pStyle w:val="SingleTxtG"/>
        <w:ind w:firstLine="567"/>
        <w:rPr>
          <w:lang w:val="fr-FR"/>
        </w:rPr>
      </w:pPr>
      <w:r w:rsidRPr="00CE4BD6">
        <w:rPr>
          <w:i/>
          <w:iCs/>
          <w:lang w:val="fr-FR"/>
        </w:rPr>
        <w:t>Rappelant</w:t>
      </w:r>
      <w:r>
        <w:rPr>
          <w:lang w:val="fr-FR"/>
        </w:rPr>
        <w:t xml:space="preserve"> </w:t>
      </w:r>
      <w:r w:rsidRPr="00CE4BD6">
        <w:rPr>
          <w:i/>
          <w:iCs/>
          <w:lang w:val="fr-FR"/>
        </w:rPr>
        <w:t>également</w:t>
      </w:r>
      <w:r>
        <w:rPr>
          <w:lang w:val="fr-FR"/>
        </w:rPr>
        <w:t xml:space="preserve"> les paragraphes</w:t>
      </w:r>
      <w:r w:rsidR="00003E73">
        <w:rPr>
          <w:lang w:val="fr-FR"/>
        </w:rPr>
        <w:t> </w:t>
      </w:r>
      <w:r>
        <w:rPr>
          <w:lang w:val="fr-FR"/>
        </w:rPr>
        <w:t>15 à 19 de sa décision IV/2</w:t>
      </w:r>
      <w:r w:rsidRPr="000B10EB">
        <w:rPr>
          <w:rStyle w:val="FootnoteReference"/>
        </w:rPr>
        <w:footnoteReference w:id="2"/>
      </w:r>
      <w:r>
        <w:rPr>
          <w:lang w:val="fr-FR"/>
        </w:rPr>
        <w:t>, les paragraphes</w:t>
      </w:r>
      <w:r w:rsidR="00003E73">
        <w:rPr>
          <w:lang w:val="fr-FR"/>
        </w:rPr>
        <w:t> </w:t>
      </w:r>
      <w:r>
        <w:rPr>
          <w:lang w:val="fr-FR"/>
        </w:rPr>
        <w:t>27 et 28 de sa décision V/4</w:t>
      </w:r>
      <w:r w:rsidRPr="000B10EB">
        <w:rPr>
          <w:rStyle w:val="FootnoteReference"/>
        </w:rPr>
        <w:footnoteReference w:id="3"/>
      </w:r>
      <w:r>
        <w:rPr>
          <w:lang w:val="fr-FR"/>
        </w:rPr>
        <w:t>, les paragraphes</w:t>
      </w:r>
      <w:r w:rsidR="00003E73">
        <w:rPr>
          <w:lang w:val="fr-FR"/>
        </w:rPr>
        <w:t> </w:t>
      </w:r>
      <w:r>
        <w:rPr>
          <w:lang w:val="fr-FR"/>
        </w:rPr>
        <w:t xml:space="preserve">29 à 35 de sa </w:t>
      </w:r>
      <w:r w:rsidRPr="006A1285">
        <w:rPr>
          <w:lang w:val="fr-FR"/>
        </w:rPr>
        <w:t>décision VI/2</w:t>
      </w:r>
      <w:r w:rsidRPr="000B10EB">
        <w:rPr>
          <w:rStyle w:val="FootnoteReference"/>
        </w:rPr>
        <w:footnoteReference w:id="4"/>
      </w:r>
      <w:r w:rsidRPr="006A1285">
        <w:rPr>
          <w:lang w:val="fr-FR"/>
        </w:rPr>
        <w:t xml:space="preserve"> et </w:t>
      </w:r>
      <w:r>
        <w:rPr>
          <w:lang w:val="fr-FR"/>
        </w:rPr>
        <w:t>sa décision</w:t>
      </w:r>
      <w:r w:rsidRPr="006A1285">
        <w:rPr>
          <w:lang w:val="fr-FR"/>
        </w:rPr>
        <w:t xml:space="preserve"> IS/1a</w:t>
      </w:r>
      <w:r w:rsidRPr="000B10EB">
        <w:rPr>
          <w:rStyle w:val="FootnoteReference"/>
        </w:rPr>
        <w:footnoteReference w:id="5"/>
      </w:r>
      <w:r>
        <w:rPr>
          <w:lang w:val="fr-FR"/>
        </w:rPr>
        <w:t xml:space="preserve"> </w:t>
      </w:r>
      <w:r w:rsidRPr="006A1285">
        <w:rPr>
          <w:lang w:val="fr-FR"/>
        </w:rPr>
        <w:t>concernant le respect des dispositions par l</w:t>
      </w:r>
      <w:r>
        <w:rPr>
          <w:lang w:val="fr-FR"/>
        </w:rPr>
        <w:t>’</w:t>
      </w:r>
      <w:r w:rsidRPr="006A1285">
        <w:rPr>
          <w:lang w:val="fr-FR"/>
        </w:rPr>
        <w:t>Arménie pour ce qui est de sa législation nationale aux fins de l</w:t>
      </w:r>
      <w:r>
        <w:rPr>
          <w:lang w:val="fr-FR"/>
        </w:rPr>
        <w:t>’</w:t>
      </w:r>
      <w:r w:rsidRPr="006A1285">
        <w:rPr>
          <w:lang w:val="fr-FR"/>
        </w:rPr>
        <w:t>application de la Convention</w:t>
      </w:r>
      <w:r>
        <w:rPr>
          <w:lang w:val="fr-FR"/>
        </w:rPr>
        <w:t xml:space="preserve">, </w:t>
      </w:r>
    </w:p>
    <w:p w14:paraId="7B094020" w14:textId="77777777" w:rsidR="007A0148" w:rsidRPr="008F3C6A" w:rsidRDefault="007A0148" w:rsidP="00003E73">
      <w:pPr>
        <w:pStyle w:val="SingleTxtG"/>
        <w:ind w:firstLine="567"/>
        <w:rPr>
          <w:lang w:val="fr-FR"/>
        </w:rPr>
      </w:pPr>
      <w:r w:rsidRPr="00CE4BD6">
        <w:rPr>
          <w:i/>
          <w:iCs/>
          <w:lang w:val="fr-FR"/>
        </w:rPr>
        <w:t>Rappelant</w:t>
      </w:r>
      <w:r>
        <w:rPr>
          <w:lang w:val="fr-FR"/>
        </w:rPr>
        <w:t xml:space="preserve"> </w:t>
      </w:r>
      <w:r w:rsidRPr="00CE4BD6">
        <w:rPr>
          <w:i/>
          <w:iCs/>
          <w:lang w:val="fr-FR"/>
        </w:rPr>
        <w:t>en outre</w:t>
      </w:r>
      <w:r>
        <w:rPr>
          <w:lang w:val="fr-FR"/>
        </w:rPr>
        <w:t xml:space="preserve"> sa décision VIII/4</w:t>
      </w:r>
      <w:r w:rsidRPr="000B10EB">
        <w:rPr>
          <w:rStyle w:val="FootnoteReference"/>
        </w:rPr>
        <w:footnoteReference w:id="6"/>
      </w:r>
      <w:r>
        <w:rPr>
          <w:lang w:val="fr-FR"/>
        </w:rPr>
        <w:t xml:space="preserve"> sur les questions générales concernant le respect des dispositions de la Convention, adoptée à la huitième session,</w:t>
      </w:r>
    </w:p>
    <w:p w14:paraId="2CEE156B" w14:textId="77777777" w:rsidR="007A0148" w:rsidRPr="008F3C6A" w:rsidRDefault="007A0148" w:rsidP="00003E73">
      <w:pPr>
        <w:pStyle w:val="SingleTxtG"/>
        <w:ind w:firstLine="567"/>
        <w:rPr>
          <w:lang w:val="fr-FR"/>
        </w:rPr>
      </w:pPr>
      <w:r w:rsidRPr="00CE4BD6">
        <w:rPr>
          <w:i/>
          <w:iCs/>
          <w:lang w:val="fr-FR"/>
        </w:rPr>
        <w:t>Ayant examiné</w:t>
      </w:r>
      <w:r>
        <w:rPr>
          <w:lang w:val="fr-FR"/>
        </w:rPr>
        <w:t xml:space="preserve"> le rapport sur les activités du Comité d’application soumis à la Réunion des Parties à la Convention à sa huitième session, en particulier la section concernant les mesures prises par l’Arménie pour donner suite à la décision IS/1a</w:t>
      </w:r>
      <w:r w:rsidRPr="000B10EB">
        <w:rPr>
          <w:rStyle w:val="FootnoteReference"/>
        </w:rPr>
        <w:footnoteReference w:id="7"/>
      </w:r>
      <w:r>
        <w:rPr>
          <w:lang w:val="fr-FR"/>
        </w:rPr>
        <w:t>,</w:t>
      </w:r>
    </w:p>
    <w:p w14:paraId="44B88535" w14:textId="77777777" w:rsidR="007A0148" w:rsidRPr="008F3C6A" w:rsidRDefault="007A0148" w:rsidP="00003E73">
      <w:pPr>
        <w:pStyle w:val="SingleTxtG"/>
        <w:ind w:firstLine="567"/>
        <w:rPr>
          <w:lang w:val="fr-FR"/>
        </w:rPr>
      </w:pPr>
      <w:r w:rsidRPr="00CE4BD6">
        <w:rPr>
          <w:i/>
          <w:iCs/>
          <w:lang w:val="fr-FR"/>
        </w:rPr>
        <w:t>Considérant</w:t>
      </w:r>
      <w:r>
        <w:rPr>
          <w:lang w:val="fr-FR"/>
        </w:rPr>
        <w:t xml:space="preserve"> les conseils techniques que le secrétariat a fournis au Gouvernement arménien pour aider le pays à rendre sa législation conforme aux dispositions de la Convention et du Protocole relatif à l’évaluation stratégique environnementale, comme </w:t>
      </w:r>
      <w:proofErr w:type="gramStart"/>
      <w:r>
        <w:rPr>
          <w:lang w:val="fr-FR"/>
        </w:rPr>
        <w:t>suite au</w:t>
      </w:r>
      <w:proofErr w:type="gramEnd"/>
      <w:r>
        <w:rPr>
          <w:lang w:val="fr-FR"/>
        </w:rPr>
        <w:t xml:space="preserve"> paragraphe</w:t>
      </w:r>
      <w:r w:rsidR="00003E73">
        <w:rPr>
          <w:lang w:val="fr-FR"/>
        </w:rPr>
        <w:t> </w:t>
      </w:r>
      <w:r>
        <w:rPr>
          <w:lang w:val="fr-FR"/>
        </w:rPr>
        <w:t>35 de la décision VI/2,</w:t>
      </w:r>
    </w:p>
    <w:p w14:paraId="75DB2C33" w14:textId="77777777" w:rsidR="007A0148" w:rsidRPr="008F3C6A" w:rsidRDefault="007A0148" w:rsidP="00003E73">
      <w:pPr>
        <w:pStyle w:val="SingleTxtG"/>
        <w:ind w:firstLine="567"/>
        <w:rPr>
          <w:lang w:val="fr-FR"/>
        </w:rPr>
      </w:pPr>
      <w:r>
        <w:rPr>
          <w:lang w:val="fr-FR"/>
        </w:rPr>
        <w:t>1.</w:t>
      </w:r>
      <w:r>
        <w:rPr>
          <w:lang w:val="fr-FR"/>
        </w:rPr>
        <w:tab/>
      </w:r>
      <w:r w:rsidRPr="00CE4BD6">
        <w:rPr>
          <w:i/>
          <w:iCs/>
          <w:lang w:val="fr-FR"/>
        </w:rPr>
        <w:t>Accueille avec intérêt</w:t>
      </w:r>
      <w:r>
        <w:rPr>
          <w:lang w:val="fr-FR"/>
        </w:rPr>
        <w:t xml:space="preserve"> les rapports régulièrement reçus du Gouvernement arménien et les mesures que celui-ci a prises pour donner suite à la décision IS/1a depuis la session intermédiaire de la Réunion des Parties (Genève, 5-7</w:t>
      </w:r>
      <w:r w:rsidR="00003E73">
        <w:rPr>
          <w:lang w:val="fr-FR"/>
        </w:rPr>
        <w:t> </w:t>
      </w:r>
      <w:r>
        <w:rPr>
          <w:lang w:val="fr-FR"/>
        </w:rPr>
        <w:t>février 2019)</w:t>
      </w:r>
      <w:r w:rsidR="00003E73">
        <w:rPr>
          <w:lang w:val="fr-FR"/>
        </w:rPr>
        <w:t> </w:t>
      </w:r>
      <w:r>
        <w:rPr>
          <w:lang w:val="fr-FR"/>
        </w:rPr>
        <w:t>;</w:t>
      </w:r>
    </w:p>
    <w:p w14:paraId="743B9A95" w14:textId="77777777" w:rsidR="007A0148" w:rsidRPr="008F3C6A" w:rsidRDefault="007A0148" w:rsidP="00003E73">
      <w:pPr>
        <w:pStyle w:val="SingleTxtG"/>
        <w:ind w:firstLine="567"/>
        <w:rPr>
          <w:lang w:val="fr-FR"/>
        </w:rPr>
      </w:pPr>
      <w:r>
        <w:rPr>
          <w:lang w:val="fr-FR"/>
        </w:rPr>
        <w:t>2.</w:t>
      </w:r>
      <w:r>
        <w:rPr>
          <w:lang w:val="fr-FR"/>
        </w:rPr>
        <w:tab/>
      </w:r>
      <w:r w:rsidRPr="00CE4BD6">
        <w:rPr>
          <w:i/>
          <w:iCs/>
          <w:lang w:val="fr-FR"/>
        </w:rPr>
        <w:t>Se félicite</w:t>
      </w:r>
      <w:r>
        <w:rPr>
          <w:lang w:val="fr-FR"/>
        </w:rPr>
        <w:t xml:space="preserve"> des informations fournies par le Gouvernement arménien selon lesquelles les modifications apportées à sa législation et les </w:t>
      </w:r>
      <w:r w:rsidR="00003E73">
        <w:rPr>
          <w:lang w:val="fr-FR"/>
        </w:rPr>
        <w:t>règlements</w:t>
      </w:r>
      <w:r>
        <w:rPr>
          <w:lang w:val="fr-FR"/>
        </w:rPr>
        <w:t xml:space="preserve"> d’application élaborés en vue de renforcer la mise en œuvre de la Convention et du Protocole ont été soumis à des consultations gouvernementales à plusieurs reprises depuis décembre 2019, avec pour objectif une adoption d’ici à décembre 2020</w:t>
      </w:r>
      <w:r w:rsidR="00003E73">
        <w:rPr>
          <w:lang w:val="fr-FR"/>
        </w:rPr>
        <w:t> </w:t>
      </w:r>
      <w:r>
        <w:rPr>
          <w:lang w:val="fr-FR"/>
        </w:rPr>
        <w:t>;</w:t>
      </w:r>
    </w:p>
    <w:p w14:paraId="2DA64249" w14:textId="77777777" w:rsidR="007A0148" w:rsidRPr="008F3C6A" w:rsidRDefault="007A0148" w:rsidP="00003E73">
      <w:pPr>
        <w:pStyle w:val="SingleTxtG"/>
        <w:ind w:firstLine="567"/>
        <w:rPr>
          <w:lang w:val="fr-FR"/>
        </w:rPr>
      </w:pPr>
      <w:r>
        <w:rPr>
          <w:lang w:val="fr-FR"/>
        </w:rPr>
        <w:t>3.</w:t>
      </w:r>
      <w:r>
        <w:rPr>
          <w:lang w:val="fr-FR"/>
        </w:rPr>
        <w:tab/>
      </w:r>
      <w:r w:rsidRPr="00CE4BD6">
        <w:rPr>
          <w:i/>
          <w:iCs/>
          <w:lang w:val="fr-FR"/>
        </w:rPr>
        <w:t>Approuve</w:t>
      </w:r>
      <w:r>
        <w:rPr>
          <w:lang w:val="fr-FR"/>
        </w:rPr>
        <w:t xml:space="preserve"> la conclusion du Comité d’application selon laquelle le Gouvernement arménien n’a pas encore adopté les modifications et les règlements d’application et, par conséquent, n’a pas encore satisfait aux demandes qui lui ont été adressées aux paragraphes</w:t>
      </w:r>
      <w:r w:rsidR="00003E73">
        <w:rPr>
          <w:lang w:val="fr-FR"/>
        </w:rPr>
        <w:t> </w:t>
      </w:r>
      <w:r>
        <w:rPr>
          <w:lang w:val="fr-FR"/>
        </w:rPr>
        <w:t>5 et 6 de la décision IS/1a, malgré les mesures prises depuis la session intermédiaire de la Réunion des Parties</w:t>
      </w:r>
      <w:r w:rsidR="00003E73">
        <w:rPr>
          <w:lang w:val="fr-FR"/>
        </w:rPr>
        <w:t> </w:t>
      </w:r>
      <w:r>
        <w:rPr>
          <w:lang w:val="fr-FR"/>
        </w:rPr>
        <w:t>;</w:t>
      </w:r>
    </w:p>
    <w:p w14:paraId="5E49C39C" w14:textId="77777777" w:rsidR="007A0148" w:rsidRPr="008F3C6A" w:rsidRDefault="007A0148" w:rsidP="00003E73">
      <w:pPr>
        <w:pStyle w:val="SingleTxtG"/>
        <w:ind w:firstLine="567"/>
        <w:rPr>
          <w:lang w:val="fr-FR"/>
        </w:rPr>
      </w:pPr>
      <w:r>
        <w:rPr>
          <w:lang w:val="fr-FR"/>
        </w:rPr>
        <w:t>4.</w:t>
      </w:r>
      <w:r>
        <w:rPr>
          <w:lang w:val="fr-FR"/>
        </w:rPr>
        <w:tab/>
      </w:r>
      <w:r w:rsidRPr="00CE4BD6">
        <w:rPr>
          <w:i/>
          <w:iCs/>
          <w:lang w:val="fr-FR"/>
        </w:rPr>
        <w:t>Réaffirme</w:t>
      </w:r>
      <w:r>
        <w:rPr>
          <w:lang w:val="fr-FR"/>
        </w:rPr>
        <w:t xml:space="preserve"> sa décision IS/1a et demande au Gouvernement arménien d’adopter dès que possible la législation modifiée et les règlements d’application correspondants en vue de rendre son cadre législatif pleinement conforme à la Convention et au Protocole</w:t>
      </w:r>
      <w:r w:rsidR="00003E73">
        <w:rPr>
          <w:lang w:val="fr-FR"/>
        </w:rPr>
        <w:t> </w:t>
      </w:r>
      <w:r>
        <w:rPr>
          <w:lang w:val="fr-FR"/>
        </w:rPr>
        <w:t>;</w:t>
      </w:r>
      <w:bookmarkStart w:id="2" w:name="_Hlk34319760"/>
      <w:bookmarkStart w:id="3" w:name="_Hlk34319793"/>
      <w:bookmarkEnd w:id="2"/>
      <w:bookmarkEnd w:id="3"/>
    </w:p>
    <w:p w14:paraId="4EE21063" w14:textId="77777777" w:rsidR="007A0148" w:rsidRPr="008F3C6A" w:rsidRDefault="007A0148" w:rsidP="00003E73">
      <w:pPr>
        <w:pStyle w:val="SingleTxtG"/>
        <w:ind w:firstLine="567"/>
        <w:rPr>
          <w:lang w:val="fr-FR"/>
        </w:rPr>
      </w:pPr>
      <w:r>
        <w:rPr>
          <w:lang w:val="fr-FR"/>
        </w:rPr>
        <w:t>5.</w:t>
      </w:r>
      <w:r>
        <w:rPr>
          <w:lang w:val="fr-FR"/>
        </w:rPr>
        <w:tab/>
      </w:r>
      <w:r w:rsidRPr="00CE4BD6">
        <w:rPr>
          <w:i/>
          <w:iCs/>
          <w:lang w:val="fr-FR"/>
        </w:rPr>
        <w:t>Demande également</w:t>
      </w:r>
      <w:r>
        <w:rPr>
          <w:lang w:val="fr-FR"/>
        </w:rPr>
        <w:t xml:space="preserve"> au Gouvernement arménien de fournir au Comité d’application le texte de la législation modifiée et celui des </w:t>
      </w:r>
      <w:r w:rsidR="00003E73">
        <w:rPr>
          <w:lang w:val="fr-FR"/>
        </w:rPr>
        <w:t>règlements</w:t>
      </w:r>
      <w:r>
        <w:rPr>
          <w:lang w:val="fr-FR"/>
        </w:rPr>
        <w:t xml:space="preserve"> d’application, une fois adoptés, ainsi que leur traduction en anglais</w:t>
      </w:r>
      <w:r w:rsidR="00003E73">
        <w:rPr>
          <w:lang w:val="fr-FR"/>
        </w:rPr>
        <w:t> </w:t>
      </w:r>
      <w:r>
        <w:rPr>
          <w:lang w:val="fr-FR"/>
        </w:rPr>
        <w:t>;</w:t>
      </w:r>
    </w:p>
    <w:p w14:paraId="519B8233" w14:textId="77777777" w:rsidR="007A0148" w:rsidRDefault="007A0148" w:rsidP="00003E73">
      <w:pPr>
        <w:pStyle w:val="SingleTxtG"/>
        <w:ind w:firstLine="567"/>
        <w:rPr>
          <w:lang w:val="fr-FR"/>
        </w:rPr>
      </w:pPr>
      <w:r>
        <w:rPr>
          <w:lang w:val="fr-FR"/>
        </w:rPr>
        <w:t>6.</w:t>
      </w:r>
      <w:r>
        <w:rPr>
          <w:lang w:val="fr-FR"/>
        </w:rPr>
        <w:tab/>
      </w:r>
      <w:r w:rsidRPr="00CE4BD6">
        <w:rPr>
          <w:i/>
          <w:iCs/>
          <w:lang w:val="fr-FR"/>
        </w:rPr>
        <w:t>Demande</w:t>
      </w:r>
      <w:r>
        <w:rPr>
          <w:lang w:val="fr-FR"/>
        </w:rPr>
        <w:t xml:space="preserve"> au Comité d’application d’évaluer les modifications de la législation et les règlements d’application, une fois adoptés, et de faire rapport à ce sujet à la Réunion des Parties à sa neuvième session.</w:t>
      </w:r>
    </w:p>
    <w:p w14:paraId="55DECF5E" w14:textId="77777777" w:rsidR="00003E73" w:rsidRPr="00003E73" w:rsidRDefault="00003E73" w:rsidP="00003E7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03E73" w:rsidRPr="00003E73" w:rsidSect="007A014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5D757" w14:textId="77777777" w:rsidR="006F23F0" w:rsidRDefault="006F23F0" w:rsidP="00F95C08">
      <w:pPr>
        <w:spacing w:line="240" w:lineRule="auto"/>
      </w:pPr>
    </w:p>
  </w:endnote>
  <w:endnote w:type="continuationSeparator" w:id="0">
    <w:p w14:paraId="14B36C42" w14:textId="77777777" w:rsidR="006F23F0" w:rsidRPr="00AC3823" w:rsidRDefault="006F23F0" w:rsidP="00AC3823">
      <w:pPr>
        <w:pStyle w:val="Footer"/>
      </w:pPr>
    </w:p>
  </w:endnote>
  <w:endnote w:type="continuationNotice" w:id="1">
    <w:p w14:paraId="17A3C2F6" w14:textId="77777777" w:rsidR="006F23F0" w:rsidRDefault="006F23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B41FB" w14:textId="77777777" w:rsidR="007A0148" w:rsidRPr="007A0148" w:rsidRDefault="007A0148" w:rsidP="007A0148">
    <w:pPr>
      <w:pStyle w:val="Footer"/>
      <w:tabs>
        <w:tab w:val="right" w:pos="9638"/>
      </w:tabs>
    </w:pPr>
    <w:r w:rsidRPr="007A0148">
      <w:rPr>
        <w:b/>
        <w:sz w:val="18"/>
      </w:rPr>
      <w:fldChar w:fldCharType="begin"/>
    </w:r>
    <w:r w:rsidRPr="007A0148">
      <w:rPr>
        <w:b/>
        <w:sz w:val="18"/>
      </w:rPr>
      <w:instrText xml:space="preserve"> PAGE  \* MERGEFORMAT </w:instrText>
    </w:r>
    <w:r w:rsidRPr="007A0148">
      <w:rPr>
        <w:b/>
        <w:sz w:val="18"/>
      </w:rPr>
      <w:fldChar w:fldCharType="separate"/>
    </w:r>
    <w:r w:rsidRPr="007A0148">
      <w:rPr>
        <w:b/>
        <w:noProof/>
        <w:sz w:val="18"/>
      </w:rPr>
      <w:t>2</w:t>
    </w:r>
    <w:r w:rsidRPr="007A0148">
      <w:rPr>
        <w:b/>
        <w:sz w:val="18"/>
      </w:rPr>
      <w:fldChar w:fldCharType="end"/>
    </w:r>
    <w:r>
      <w:rPr>
        <w:b/>
        <w:sz w:val="18"/>
      </w:rPr>
      <w:tab/>
    </w:r>
    <w:r>
      <w:t>GE.20-12415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458B" w14:textId="77777777" w:rsidR="007A0148" w:rsidRPr="007A0148" w:rsidRDefault="007A0148" w:rsidP="007A0148">
    <w:pPr>
      <w:pStyle w:val="Footer"/>
      <w:tabs>
        <w:tab w:val="right" w:pos="9638"/>
      </w:tabs>
      <w:rPr>
        <w:b/>
        <w:sz w:val="18"/>
      </w:rPr>
    </w:pPr>
    <w:r>
      <w:t>GE.20-12415</w:t>
    </w:r>
    <w:r>
      <w:tab/>
    </w:r>
    <w:r w:rsidRPr="007A0148">
      <w:rPr>
        <w:b/>
        <w:sz w:val="18"/>
      </w:rPr>
      <w:fldChar w:fldCharType="begin"/>
    </w:r>
    <w:r w:rsidRPr="007A0148">
      <w:rPr>
        <w:b/>
        <w:sz w:val="18"/>
      </w:rPr>
      <w:instrText xml:space="preserve"> PAGE  \* MERGEFORMAT </w:instrText>
    </w:r>
    <w:r w:rsidRPr="007A0148">
      <w:rPr>
        <w:b/>
        <w:sz w:val="18"/>
      </w:rPr>
      <w:fldChar w:fldCharType="separate"/>
    </w:r>
    <w:r w:rsidRPr="007A0148">
      <w:rPr>
        <w:b/>
        <w:noProof/>
        <w:sz w:val="18"/>
      </w:rPr>
      <w:t>3</w:t>
    </w:r>
    <w:r w:rsidRPr="007A01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568C8" w14:textId="77777777" w:rsidR="00A14420" w:rsidRPr="007A0148" w:rsidRDefault="007A0148" w:rsidP="007A0148">
    <w:pPr>
      <w:pStyle w:val="Footer"/>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4E5A8C28" wp14:editId="02BFB38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12415  (</w:t>
    </w:r>
    <w:proofErr w:type="gramEnd"/>
    <w:r>
      <w:rPr>
        <w:sz w:val="20"/>
      </w:rPr>
      <w:t>F)    091020    091020</w:t>
    </w:r>
    <w:r>
      <w:rPr>
        <w:sz w:val="20"/>
      </w:rPr>
      <w:br/>
    </w:r>
    <w:r w:rsidRPr="007A0148">
      <w:rPr>
        <w:rFonts w:ascii="C39T30Lfz" w:hAnsi="C39T30Lfz"/>
        <w:sz w:val="56"/>
      </w:rPr>
      <w:t>*2012415*</w:t>
    </w:r>
    <w:r>
      <w:rPr>
        <w:noProof/>
        <w:sz w:val="20"/>
      </w:rPr>
      <w:drawing>
        <wp:anchor distT="0" distB="0" distL="114300" distR="114300" simplePos="0" relativeHeight="251658240" behindDoc="0" locked="0" layoutInCell="1" allowOverlap="1" wp14:anchorId="0F57D39C" wp14:editId="375DC1A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7E84E" w14:textId="77777777" w:rsidR="006F23F0" w:rsidRPr="00AC3823" w:rsidRDefault="006F23F0" w:rsidP="00AC3823">
      <w:pPr>
        <w:pStyle w:val="Footer"/>
        <w:tabs>
          <w:tab w:val="right" w:pos="2155"/>
        </w:tabs>
        <w:spacing w:after="80" w:line="240" w:lineRule="atLeast"/>
        <w:ind w:left="680"/>
        <w:rPr>
          <w:u w:val="single"/>
        </w:rPr>
      </w:pPr>
      <w:r>
        <w:rPr>
          <w:u w:val="single"/>
        </w:rPr>
        <w:tab/>
      </w:r>
    </w:p>
  </w:footnote>
  <w:footnote w:type="continuationSeparator" w:id="0">
    <w:p w14:paraId="60E6AE82" w14:textId="77777777" w:rsidR="006F23F0" w:rsidRPr="00AC3823" w:rsidRDefault="006F23F0" w:rsidP="00AC3823">
      <w:pPr>
        <w:pStyle w:val="Footer"/>
        <w:tabs>
          <w:tab w:val="right" w:pos="2155"/>
        </w:tabs>
        <w:spacing w:after="80" w:line="240" w:lineRule="atLeast"/>
        <w:ind w:left="680"/>
        <w:rPr>
          <w:u w:val="single"/>
        </w:rPr>
      </w:pPr>
      <w:r>
        <w:rPr>
          <w:u w:val="single"/>
        </w:rPr>
        <w:tab/>
      </w:r>
    </w:p>
  </w:footnote>
  <w:footnote w:type="continuationNotice" w:id="1">
    <w:p w14:paraId="7A766086" w14:textId="77777777" w:rsidR="006F23F0" w:rsidRPr="00AC3823" w:rsidRDefault="006F23F0">
      <w:pPr>
        <w:spacing w:line="240" w:lineRule="auto"/>
        <w:rPr>
          <w:sz w:val="2"/>
          <w:szCs w:val="2"/>
        </w:rPr>
      </w:pPr>
    </w:p>
  </w:footnote>
  <w:footnote w:id="2">
    <w:p w14:paraId="22DB9E3B" w14:textId="77777777" w:rsidR="007A0148" w:rsidRPr="008F3C6A" w:rsidRDefault="007A0148" w:rsidP="00003E73">
      <w:pPr>
        <w:pStyle w:val="FootnoteText"/>
        <w:rPr>
          <w:lang w:val="fr-FR"/>
        </w:rPr>
      </w:pPr>
      <w:r w:rsidRPr="009A29DD">
        <w:rPr>
          <w:lang w:val="fr-FR"/>
        </w:rPr>
        <w:tab/>
      </w:r>
      <w:r w:rsidRPr="000B10EB">
        <w:rPr>
          <w:rStyle w:val="FootnoteReference"/>
        </w:rPr>
        <w:footnoteRef/>
      </w:r>
      <w:r>
        <w:rPr>
          <w:lang w:val="fr-FR"/>
        </w:rPr>
        <w:tab/>
        <w:t>Voir ECE/MP.EIA/10.</w:t>
      </w:r>
      <w:bookmarkStart w:id="1" w:name="_Hlk51416634"/>
      <w:bookmarkEnd w:id="1"/>
    </w:p>
  </w:footnote>
  <w:footnote w:id="3">
    <w:p w14:paraId="5E52007E" w14:textId="77777777" w:rsidR="007A0148" w:rsidRPr="008F3C6A" w:rsidRDefault="007A0148" w:rsidP="007A0148">
      <w:pPr>
        <w:pStyle w:val="FootnoteText"/>
        <w:rPr>
          <w:lang w:val="fr-FR"/>
        </w:rPr>
      </w:pPr>
      <w:r w:rsidRPr="005606B9">
        <w:rPr>
          <w:vertAlign w:val="superscript"/>
          <w:lang w:val="fr-FR"/>
        </w:rPr>
        <w:tab/>
      </w:r>
      <w:r w:rsidRPr="000B10EB">
        <w:rPr>
          <w:rStyle w:val="FootnoteReference"/>
        </w:rPr>
        <w:footnoteRef/>
      </w:r>
      <w:r>
        <w:rPr>
          <w:lang w:val="fr-FR"/>
        </w:rPr>
        <w:tab/>
        <w:t>Voir ECE/MP.EIA/15.</w:t>
      </w:r>
    </w:p>
  </w:footnote>
  <w:footnote w:id="4">
    <w:p w14:paraId="0AE9D16C" w14:textId="77777777" w:rsidR="007A0148" w:rsidRPr="000B10EB" w:rsidRDefault="007A0148" w:rsidP="007A0148">
      <w:pPr>
        <w:pStyle w:val="FootnoteText"/>
        <w:rPr>
          <w:lang w:val="es-ES"/>
        </w:rPr>
      </w:pPr>
      <w:r w:rsidRPr="005606B9">
        <w:rPr>
          <w:vertAlign w:val="superscript"/>
          <w:lang w:val="fr-FR"/>
        </w:rPr>
        <w:tab/>
      </w:r>
      <w:r w:rsidRPr="000B10EB">
        <w:rPr>
          <w:rStyle w:val="FootnoteReference"/>
        </w:rPr>
        <w:footnoteRef/>
      </w:r>
      <w:r w:rsidRPr="000B10EB">
        <w:rPr>
          <w:lang w:val="es-ES"/>
        </w:rPr>
        <w:tab/>
        <w:t>Voir ECE/MP.EIA/20/Add.1</w:t>
      </w:r>
      <w:r w:rsidR="00003E73">
        <w:rPr>
          <w:lang w:val="es-ES"/>
        </w:rPr>
        <w:noBreakHyphen/>
      </w:r>
      <w:r w:rsidRPr="000B10EB">
        <w:rPr>
          <w:lang w:val="es-ES"/>
        </w:rPr>
        <w:t>ECE/MP.EIA/SEA/4/Add.1.</w:t>
      </w:r>
    </w:p>
  </w:footnote>
  <w:footnote w:id="5">
    <w:p w14:paraId="4713C213" w14:textId="77777777" w:rsidR="007A0148" w:rsidRPr="000B10EB" w:rsidRDefault="007A0148" w:rsidP="007A0148">
      <w:pPr>
        <w:pStyle w:val="FootnoteText"/>
        <w:rPr>
          <w:lang w:val="es-ES"/>
        </w:rPr>
      </w:pPr>
      <w:r w:rsidRPr="000B10EB">
        <w:rPr>
          <w:lang w:val="es-ES"/>
        </w:rPr>
        <w:tab/>
      </w:r>
      <w:r w:rsidRPr="000B10EB">
        <w:rPr>
          <w:rStyle w:val="FootnoteReference"/>
        </w:rPr>
        <w:footnoteRef/>
      </w:r>
      <w:r w:rsidRPr="000B10EB">
        <w:rPr>
          <w:lang w:val="es-ES"/>
        </w:rPr>
        <w:tab/>
        <w:t>ECE/MP.EIA/27/Add.1</w:t>
      </w:r>
      <w:r w:rsidR="00003E73">
        <w:rPr>
          <w:lang w:val="es-ES"/>
        </w:rPr>
        <w:noBreakHyphen/>
      </w:r>
      <w:r w:rsidRPr="000B10EB">
        <w:rPr>
          <w:lang w:val="es-ES"/>
        </w:rPr>
        <w:t>ECE/MP.EIA/SEA/11/Add.1.</w:t>
      </w:r>
    </w:p>
  </w:footnote>
  <w:footnote w:id="6">
    <w:p w14:paraId="5C092253" w14:textId="77777777" w:rsidR="007A0148" w:rsidRPr="008F3C6A" w:rsidRDefault="007A0148" w:rsidP="006D3A67">
      <w:pPr>
        <w:pStyle w:val="FootnoteText"/>
        <w:rPr>
          <w:lang w:val="fr-FR"/>
        </w:rPr>
      </w:pPr>
      <w:r w:rsidRPr="000B10EB">
        <w:rPr>
          <w:lang w:val="es-ES"/>
        </w:rPr>
        <w:tab/>
      </w:r>
      <w:r w:rsidR="00003E73" w:rsidRPr="00003E73">
        <w:t>[</w:t>
      </w:r>
      <w:r w:rsidRPr="000B10EB">
        <w:rPr>
          <w:rStyle w:val="FootnoteReference"/>
        </w:rPr>
        <w:footnoteRef/>
      </w:r>
      <w:r>
        <w:rPr>
          <w:lang w:val="fr-FR"/>
        </w:rPr>
        <w:tab/>
      </w:r>
      <w:r w:rsidR="006D3A67">
        <w:t xml:space="preserve">Cote </w:t>
      </w:r>
      <w:r w:rsidR="006D3A67" w:rsidRPr="006D3A67">
        <w:t>du</w:t>
      </w:r>
      <w:r w:rsidR="006D3A67">
        <w:t xml:space="preserve"> document dans lequel figure la décision adoptée</w:t>
      </w:r>
      <w:r w:rsidR="00003E73">
        <w:rPr>
          <w:lang w:val="fr-FR"/>
        </w:rPr>
        <w:t>.</w:t>
      </w:r>
      <w:r>
        <w:rPr>
          <w:lang w:val="fr-FR"/>
        </w:rPr>
        <w:t>]</w:t>
      </w:r>
    </w:p>
  </w:footnote>
  <w:footnote w:id="7">
    <w:p w14:paraId="6576B8AB" w14:textId="77777777" w:rsidR="007A0148" w:rsidRPr="000B10EB" w:rsidRDefault="007A0148" w:rsidP="007A0148">
      <w:pPr>
        <w:pStyle w:val="FootnoteText"/>
        <w:rPr>
          <w:lang w:val="es-ES"/>
        </w:rPr>
      </w:pPr>
      <w:r w:rsidRPr="003A23BC">
        <w:rPr>
          <w:lang w:val="fr-FR"/>
        </w:rPr>
        <w:tab/>
      </w:r>
      <w:r w:rsidRPr="000B10EB">
        <w:rPr>
          <w:rStyle w:val="FootnoteReference"/>
        </w:rPr>
        <w:footnoteRef/>
      </w:r>
      <w:r w:rsidRPr="000B10EB">
        <w:rPr>
          <w:lang w:val="es-ES"/>
        </w:rPr>
        <w:tab/>
        <w:t>Voir ECE/MP.EIA/2020/4</w:t>
      </w:r>
      <w:r w:rsidR="00003E73">
        <w:rPr>
          <w:lang w:val="es-ES"/>
        </w:rPr>
        <w:noBreakHyphen/>
      </w:r>
      <w:r w:rsidRPr="000B10EB">
        <w:rPr>
          <w:lang w:val="es-ES"/>
        </w:rPr>
        <w:t>ECE/MP.EIA/SEA/2020/4.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4018" w14:textId="5C8F70BF" w:rsidR="007A0148" w:rsidRPr="007A0148" w:rsidRDefault="00676D9B">
    <w:pPr>
      <w:pStyle w:val="Header"/>
    </w:pPr>
    <w:fldSimple w:instr=" TITLE  \* MERGEFORMAT ">
      <w:r>
        <w:t>ECE/MP.EIA/2020/11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7BCB" w14:textId="43010C87" w:rsidR="007A0148" w:rsidRPr="007A0148" w:rsidRDefault="00676D9B" w:rsidP="007A0148">
    <w:pPr>
      <w:pStyle w:val="Header"/>
      <w:jc w:val="right"/>
    </w:pPr>
    <w:fldSimple w:instr=" TITLE  \* MERGEFORMAT ">
      <w:r>
        <w:t>ECE/MP.EIA/2020/11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23F0"/>
    <w:rsid w:val="00003E73"/>
    <w:rsid w:val="00017F94"/>
    <w:rsid w:val="00023842"/>
    <w:rsid w:val="00031189"/>
    <w:rsid w:val="000334F9"/>
    <w:rsid w:val="0007796D"/>
    <w:rsid w:val="000A69D0"/>
    <w:rsid w:val="000B7790"/>
    <w:rsid w:val="00111F2F"/>
    <w:rsid w:val="0014365E"/>
    <w:rsid w:val="00176178"/>
    <w:rsid w:val="001F525A"/>
    <w:rsid w:val="00223272"/>
    <w:rsid w:val="0024779E"/>
    <w:rsid w:val="002832AC"/>
    <w:rsid w:val="002B40F9"/>
    <w:rsid w:val="002D7C93"/>
    <w:rsid w:val="00441C3B"/>
    <w:rsid w:val="00446FE5"/>
    <w:rsid w:val="00452396"/>
    <w:rsid w:val="004E468C"/>
    <w:rsid w:val="00536F83"/>
    <w:rsid w:val="005505B7"/>
    <w:rsid w:val="00573BE5"/>
    <w:rsid w:val="00586ED3"/>
    <w:rsid w:val="00596AA9"/>
    <w:rsid w:val="005D6D16"/>
    <w:rsid w:val="005F26E5"/>
    <w:rsid w:val="00676D9B"/>
    <w:rsid w:val="006C0E3B"/>
    <w:rsid w:val="006D3A67"/>
    <w:rsid w:val="006F23F0"/>
    <w:rsid w:val="0071601D"/>
    <w:rsid w:val="007A0148"/>
    <w:rsid w:val="007A5FC4"/>
    <w:rsid w:val="007A62E6"/>
    <w:rsid w:val="0080684C"/>
    <w:rsid w:val="008448B6"/>
    <w:rsid w:val="00871C75"/>
    <w:rsid w:val="008776DC"/>
    <w:rsid w:val="008D6B3F"/>
    <w:rsid w:val="0090540F"/>
    <w:rsid w:val="009705C8"/>
    <w:rsid w:val="00975742"/>
    <w:rsid w:val="009C1CF4"/>
    <w:rsid w:val="00A14420"/>
    <w:rsid w:val="00A30353"/>
    <w:rsid w:val="00AC3823"/>
    <w:rsid w:val="00AE323C"/>
    <w:rsid w:val="00B00181"/>
    <w:rsid w:val="00B00B0D"/>
    <w:rsid w:val="00B765F7"/>
    <w:rsid w:val="00BA0CA9"/>
    <w:rsid w:val="00BA20D0"/>
    <w:rsid w:val="00C02897"/>
    <w:rsid w:val="00C554CE"/>
    <w:rsid w:val="00CE26D2"/>
    <w:rsid w:val="00D30CAD"/>
    <w:rsid w:val="00D3439C"/>
    <w:rsid w:val="00D503D3"/>
    <w:rsid w:val="00DB1831"/>
    <w:rsid w:val="00DD3BFD"/>
    <w:rsid w:val="00DF5712"/>
    <w:rsid w:val="00DF6678"/>
    <w:rsid w:val="00E96BD6"/>
    <w:rsid w:val="00EE22F9"/>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D5787"/>
  <w15:docId w15:val="{5B18741B-84F4-4D3B-AAB1-FAEB3D40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SingleTxtGChar">
    <w:name w:val="_ Single Txt_G Char"/>
    <w:link w:val="SingleTxtG"/>
    <w:rsid w:val="00003E7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4039</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ECE/MP.EIA/2020/11</dc:title>
  <dc:subject/>
  <dc:creator>Christine CHAUTAGNAT</dc:creator>
  <cp:keywords/>
  <cp:lastModifiedBy>Elisabeth James</cp:lastModifiedBy>
  <cp:revision>2</cp:revision>
  <cp:lastPrinted>2020-10-09T14:07:00Z</cp:lastPrinted>
  <dcterms:created xsi:type="dcterms:W3CDTF">2020-10-16T09:56:00Z</dcterms:created>
  <dcterms:modified xsi:type="dcterms:W3CDTF">2020-10-16T09:56:00Z</dcterms:modified>
</cp:coreProperties>
</file>