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95EB935" w14:textId="77777777" w:rsidTr="00B20551">
        <w:trPr>
          <w:cantSplit/>
          <w:trHeight w:hRule="exact" w:val="851"/>
        </w:trPr>
        <w:tc>
          <w:tcPr>
            <w:tcW w:w="1276" w:type="dxa"/>
            <w:tcBorders>
              <w:bottom w:val="single" w:sz="4" w:space="0" w:color="auto"/>
            </w:tcBorders>
            <w:vAlign w:val="bottom"/>
          </w:tcPr>
          <w:p w14:paraId="41C26180" w14:textId="77777777" w:rsidR="009E6CB7" w:rsidRDefault="009E6CB7" w:rsidP="00B20551">
            <w:pPr>
              <w:spacing w:after="80"/>
            </w:pPr>
            <w:bookmarkStart w:id="0" w:name="_GoBack"/>
            <w:bookmarkEnd w:id="0"/>
          </w:p>
        </w:tc>
        <w:tc>
          <w:tcPr>
            <w:tcW w:w="2268" w:type="dxa"/>
            <w:tcBorders>
              <w:bottom w:val="single" w:sz="4" w:space="0" w:color="auto"/>
            </w:tcBorders>
            <w:vAlign w:val="bottom"/>
          </w:tcPr>
          <w:p w14:paraId="59233D18"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7EBBA81" w14:textId="77777777" w:rsidR="009E6CB7" w:rsidRPr="00D47EEA" w:rsidRDefault="00EB2904" w:rsidP="00EB2904">
            <w:pPr>
              <w:jc w:val="right"/>
            </w:pPr>
            <w:r w:rsidRPr="00EB2904">
              <w:rPr>
                <w:sz w:val="40"/>
              </w:rPr>
              <w:t>ECE</w:t>
            </w:r>
            <w:r>
              <w:t>/MP.EIA/2020/11</w:t>
            </w:r>
          </w:p>
        </w:tc>
      </w:tr>
      <w:tr w:rsidR="009E6CB7" w14:paraId="1EB1B31A" w14:textId="77777777" w:rsidTr="00B20551">
        <w:trPr>
          <w:cantSplit/>
          <w:trHeight w:hRule="exact" w:val="2835"/>
        </w:trPr>
        <w:tc>
          <w:tcPr>
            <w:tcW w:w="1276" w:type="dxa"/>
            <w:tcBorders>
              <w:top w:val="single" w:sz="4" w:space="0" w:color="auto"/>
              <w:bottom w:val="single" w:sz="12" w:space="0" w:color="auto"/>
            </w:tcBorders>
          </w:tcPr>
          <w:p w14:paraId="71F417FE" w14:textId="77777777" w:rsidR="009E6CB7" w:rsidRDefault="00686A48" w:rsidP="00B20551">
            <w:pPr>
              <w:spacing w:before="120"/>
            </w:pPr>
            <w:r>
              <w:rPr>
                <w:noProof/>
                <w:lang w:val="fr-CH" w:eastAsia="fr-CH"/>
              </w:rPr>
              <w:drawing>
                <wp:inline distT="0" distB="0" distL="0" distR="0" wp14:anchorId="43143D20" wp14:editId="7A79C41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C496123"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6204AE9" w14:textId="77777777" w:rsidR="009E6CB7" w:rsidRDefault="00EB2904" w:rsidP="00EB2904">
            <w:pPr>
              <w:spacing w:before="240" w:line="240" w:lineRule="exact"/>
            </w:pPr>
            <w:r>
              <w:t>Distr.: General</w:t>
            </w:r>
          </w:p>
          <w:p w14:paraId="7FE6CC9E" w14:textId="07C3B796" w:rsidR="00EB2904" w:rsidRDefault="00EB2904" w:rsidP="00EB2904">
            <w:pPr>
              <w:spacing w:line="240" w:lineRule="exact"/>
            </w:pPr>
            <w:r>
              <w:t>2</w:t>
            </w:r>
            <w:r w:rsidR="00857224">
              <w:t>4</w:t>
            </w:r>
            <w:r>
              <w:t xml:space="preserve"> September 2020</w:t>
            </w:r>
          </w:p>
          <w:p w14:paraId="5444D2E4" w14:textId="77777777" w:rsidR="00EB2904" w:rsidRDefault="00EB2904" w:rsidP="00EB2904">
            <w:pPr>
              <w:spacing w:line="240" w:lineRule="exact"/>
            </w:pPr>
          </w:p>
          <w:p w14:paraId="6F5B5AA7" w14:textId="77777777" w:rsidR="00EB2904" w:rsidRDefault="00EB2904" w:rsidP="00EB2904">
            <w:pPr>
              <w:spacing w:line="240" w:lineRule="exact"/>
            </w:pPr>
            <w:r>
              <w:t>Original: English</w:t>
            </w:r>
          </w:p>
        </w:tc>
      </w:tr>
    </w:tbl>
    <w:p w14:paraId="53099078" w14:textId="77777777" w:rsidR="00EA2096" w:rsidRPr="004F41C2" w:rsidRDefault="00EA2096" w:rsidP="009E5A6B">
      <w:pPr>
        <w:spacing w:before="120"/>
        <w:rPr>
          <w:b/>
          <w:sz w:val="28"/>
          <w:szCs w:val="28"/>
        </w:rPr>
      </w:pPr>
      <w:r w:rsidRPr="004F41C2">
        <w:rPr>
          <w:b/>
          <w:sz w:val="28"/>
          <w:szCs w:val="28"/>
        </w:rPr>
        <w:t>Economic Commission for Europe</w:t>
      </w:r>
    </w:p>
    <w:p w14:paraId="30F81FD0" w14:textId="77777777" w:rsidR="00EA2096" w:rsidRPr="004F41C2" w:rsidRDefault="00EA2096" w:rsidP="009E5A6B">
      <w:pPr>
        <w:spacing w:before="120"/>
        <w:rPr>
          <w:bCs/>
          <w:sz w:val="28"/>
          <w:szCs w:val="28"/>
        </w:rPr>
      </w:pPr>
      <w:r w:rsidRPr="004F41C2">
        <w:rPr>
          <w:bCs/>
          <w:sz w:val="28"/>
          <w:szCs w:val="28"/>
        </w:rPr>
        <w:t xml:space="preserve">Meeting of the Parties to the Convention </w:t>
      </w:r>
      <w:r w:rsidRPr="004F41C2">
        <w:rPr>
          <w:bCs/>
          <w:sz w:val="28"/>
          <w:szCs w:val="28"/>
        </w:rPr>
        <w:br/>
        <w:t xml:space="preserve">on Environmental Impact Assessment in </w:t>
      </w:r>
      <w:r w:rsidRPr="004F41C2">
        <w:rPr>
          <w:bCs/>
          <w:sz w:val="28"/>
          <w:szCs w:val="28"/>
        </w:rPr>
        <w:br/>
        <w:t xml:space="preserve">a Transboundary Context serving as the </w:t>
      </w:r>
      <w:r w:rsidRPr="004F41C2">
        <w:rPr>
          <w:bCs/>
          <w:sz w:val="28"/>
          <w:szCs w:val="28"/>
        </w:rPr>
        <w:br/>
        <w:t xml:space="preserve">Meeting of the Parties to the Protocol on </w:t>
      </w:r>
      <w:r w:rsidRPr="004F41C2">
        <w:rPr>
          <w:bCs/>
          <w:sz w:val="28"/>
          <w:szCs w:val="28"/>
        </w:rPr>
        <w:br/>
        <w:t>Strategic Environmental Assessment</w:t>
      </w:r>
    </w:p>
    <w:p w14:paraId="39E94EB2" w14:textId="0F08BA92" w:rsidR="00EA2096" w:rsidRPr="004F41C2" w:rsidRDefault="00EA2096" w:rsidP="00EA2096">
      <w:pPr>
        <w:spacing w:before="120" w:after="120"/>
        <w:rPr>
          <w:b/>
        </w:rPr>
      </w:pPr>
      <w:r>
        <w:rPr>
          <w:b/>
        </w:rPr>
        <w:t xml:space="preserve">Fourth </w:t>
      </w:r>
      <w:r w:rsidRPr="004F41C2">
        <w:rPr>
          <w:b/>
        </w:rPr>
        <w:t>session</w:t>
      </w:r>
    </w:p>
    <w:p w14:paraId="6C054829" w14:textId="77777777" w:rsidR="00EA2096" w:rsidRDefault="00EA2096" w:rsidP="00EA2096">
      <w:pPr>
        <w:spacing w:after="120"/>
      </w:pPr>
      <w:r>
        <w:t>Vilnius</w:t>
      </w:r>
      <w:r w:rsidRPr="004F41C2">
        <w:t xml:space="preserve">, </w:t>
      </w:r>
      <w:r>
        <w:rPr>
          <w:lang w:val="en-US"/>
        </w:rPr>
        <w:t>8–11 December 2020</w:t>
      </w:r>
      <w:r>
        <w:rPr>
          <w:lang w:val="en-US"/>
        </w:rPr>
        <w:br/>
      </w:r>
      <w:r w:rsidRPr="004F41C2">
        <w:t>Item</w:t>
      </w:r>
      <w:r>
        <w:t xml:space="preserve"> 3 (b) and 8 (b) </w:t>
      </w:r>
      <w:r w:rsidRPr="004F41C2">
        <w:t>of the provisional agenda</w:t>
      </w:r>
    </w:p>
    <w:p w14:paraId="61FA3379" w14:textId="21AE46BB" w:rsidR="00EA2096" w:rsidRDefault="00EA2096" w:rsidP="00EA2096">
      <w:pPr>
        <w:spacing w:after="120"/>
        <w:rPr>
          <w:b/>
          <w:bCs/>
          <w:lang w:val="en-US"/>
        </w:rPr>
      </w:pPr>
      <w:r>
        <w:rPr>
          <w:b/>
          <w:bCs/>
          <w:lang w:val="en-US"/>
        </w:rPr>
        <w:t>Outstanding issues: draft decisions by the Meeting of the Parties</w:t>
      </w:r>
      <w:r>
        <w:rPr>
          <w:b/>
          <w:bCs/>
          <w:lang w:val="en-US"/>
        </w:rPr>
        <w:br/>
        <w:t>to the Convention</w:t>
      </w:r>
    </w:p>
    <w:p w14:paraId="5695839F" w14:textId="77777777" w:rsidR="00EA2096" w:rsidRPr="006A553B" w:rsidRDefault="00EA2096" w:rsidP="00EA2096">
      <w:pPr>
        <w:spacing w:line="240" w:lineRule="auto"/>
        <w:rPr>
          <w:b/>
          <w:bCs/>
          <w:lang w:val="en-US"/>
        </w:rPr>
      </w:pPr>
      <w:r>
        <w:rPr>
          <w:b/>
          <w:bCs/>
          <w:lang w:val="en-US"/>
        </w:rPr>
        <w:t xml:space="preserve">Adoption of decisions: decisions to be taken by the Meeting of </w:t>
      </w:r>
      <w:r>
        <w:rPr>
          <w:b/>
          <w:bCs/>
          <w:lang w:val="en-US"/>
        </w:rPr>
        <w:br/>
        <w:t>the Parties to the Convention</w:t>
      </w:r>
    </w:p>
    <w:p w14:paraId="26A177A3" w14:textId="09D2B086" w:rsidR="00EA2096" w:rsidRPr="007B7A39" w:rsidRDefault="00EA2096" w:rsidP="00EA2096">
      <w:pPr>
        <w:pStyle w:val="HChG"/>
        <w:rPr>
          <w:b w:val="0"/>
          <w:bCs/>
        </w:rPr>
      </w:pPr>
      <w:r>
        <w:tab/>
      </w:r>
      <w:r>
        <w:tab/>
        <w:t>D</w:t>
      </w:r>
      <w:r w:rsidRPr="003947C5">
        <w:t>raft decision VIII/4a on compliance by Armenia with its obligations under the Convention in respect of its national legislation</w:t>
      </w:r>
    </w:p>
    <w:p w14:paraId="1B776D27" w14:textId="75B04961" w:rsidR="00EA2096" w:rsidRDefault="00EA2096" w:rsidP="00EA2096">
      <w:pPr>
        <w:pStyle w:val="H1G"/>
      </w:pPr>
      <w:r>
        <w:tab/>
      </w:r>
      <w:r>
        <w:tab/>
      </w:r>
      <w:r w:rsidRPr="0043741B">
        <w:t xml:space="preserve">Prepared by the Implementation Committee </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EA2096" w14:paraId="4AA32430" w14:textId="77777777" w:rsidTr="006E5E26">
        <w:trPr>
          <w:jc w:val="center"/>
        </w:trPr>
        <w:tc>
          <w:tcPr>
            <w:tcW w:w="9637" w:type="dxa"/>
            <w:shd w:val="clear" w:color="auto" w:fill="auto"/>
          </w:tcPr>
          <w:p w14:paraId="0BB21A2F" w14:textId="77777777" w:rsidR="00EA2096" w:rsidRPr="00C6263E" w:rsidRDefault="00EA2096" w:rsidP="006E5E26">
            <w:pPr>
              <w:spacing w:before="240" w:after="120"/>
              <w:ind w:left="255"/>
              <w:rPr>
                <w:i/>
                <w:sz w:val="24"/>
              </w:rPr>
            </w:pPr>
            <w:r w:rsidRPr="00C6263E">
              <w:rPr>
                <w:i/>
                <w:sz w:val="24"/>
              </w:rPr>
              <w:t>Summary</w:t>
            </w:r>
          </w:p>
        </w:tc>
      </w:tr>
      <w:tr w:rsidR="00EA2096" w14:paraId="519E849F" w14:textId="77777777" w:rsidTr="006E5E26">
        <w:trPr>
          <w:jc w:val="center"/>
        </w:trPr>
        <w:tc>
          <w:tcPr>
            <w:tcW w:w="9637" w:type="dxa"/>
            <w:shd w:val="clear" w:color="auto" w:fill="auto"/>
          </w:tcPr>
          <w:p w14:paraId="3F5850F9" w14:textId="77777777" w:rsidR="00EA2096" w:rsidRDefault="00EA2096" w:rsidP="006E5E26">
            <w:pPr>
              <w:pStyle w:val="SingleTxtG"/>
            </w:pPr>
            <w:r>
              <w:tab/>
            </w:r>
            <w:r>
              <w:tab/>
            </w:r>
            <w:r w:rsidRPr="009A3684">
              <w:t>Th</w:t>
            </w:r>
            <w:r>
              <w:t>e present</w:t>
            </w:r>
            <w:r w:rsidRPr="009A3684">
              <w:t xml:space="preserve"> </w:t>
            </w:r>
            <w:r>
              <w:t>document contains d</w:t>
            </w:r>
            <w:r w:rsidRPr="003947C5">
              <w:t>raft decision VIII/4a on compliance by Armenia with its obligations under the Convention in respect of its national legislation</w:t>
            </w:r>
            <w:r>
              <w:t xml:space="preserve">. It was finalized by the Implementation Committee under the Convention on Environmental Impact Assessment in a Transboundary Context and its Protocol on Strategic Environmental Assessment at its forty-eighth session (Geneva, 1–4 September 2020) having taken into account information and comments provided by the Parties concerned in advance of that session and the comments provided by </w:t>
            </w:r>
            <w:r w:rsidRPr="005458EB">
              <w:t xml:space="preserve">the Working Group on </w:t>
            </w:r>
            <w:r>
              <w:t>Environmental Impact Assessment</w:t>
            </w:r>
            <w:r w:rsidRPr="005458EB">
              <w:t xml:space="preserve"> and </w:t>
            </w:r>
            <w:r>
              <w:t>Strategic Environmental Assessment during and after its ninth meeting (Geneva, 24–26 August 2020).</w:t>
            </w:r>
          </w:p>
          <w:p w14:paraId="6FB0183B" w14:textId="3835EB25" w:rsidR="00EA2096" w:rsidRDefault="00FE22FB" w:rsidP="006E5E26">
            <w:pPr>
              <w:pStyle w:val="SingleTxtG"/>
            </w:pPr>
            <w:r>
              <w:tab/>
            </w:r>
            <w:r>
              <w:tab/>
              <w:t>The Meeting of the Parties to the Convention is expected to review the draft decision and agree on its adoption.</w:t>
            </w:r>
          </w:p>
        </w:tc>
      </w:tr>
      <w:tr w:rsidR="00EA2096" w14:paraId="028CDCEE" w14:textId="77777777" w:rsidTr="006E5E26">
        <w:trPr>
          <w:jc w:val="center"/>
        </w:trPr>
        <w:tc>
          <w:tcPr>
            <w:tcW w:w="9637" w:type="dxa"/>
            <w:shd w:val="clear" w:color="auto" w:fill="auto"/>
          </w:tcPr>
          <w:p w14:paraId="4952A4E6" w14:textId="77777777" w:rsidR="00EA2096" w:rsidRDefault="00EA2096" w:rsidP="006E5E26"/>
        </w:tc>
      </w:tr>
    </w:tbl>
    <w:p w14:paraId="06FBF9FD" w14:textId="6541F8FE" w:rsidR="00FE22FB" w:rsidRDefault="00FE22FB" w:rsidP="00EA2096"/>
    <w:p w14:paraId="2EFA1B97" w14:textId="77777777" w:rsidR="00FE22FB" w:rsidRDefault="00FE22FB">
      <w:pPr>
        <w:suppressAutoHyphens w:val="0"/>
        <w:spacing w:line="240" w:lineRule="auto"/>
      </w:pPr>
      <w:r>
        <w:br w:type="page"/>
      </w:r>
    </w:p>
    <w:p w14:paraId="6D545917" w14:textId="77777777" w:rsidR="00FE22FB" w:rsidRDefault="00FE22FB" w:rsidP="00FE22FB">
      <w:pPr>
        <w:pStyle w:val="SingleTxtG"/>
        <w:spacing w:before="120"/>
        <w:ind w:firstLine="567"/>
      </w:pPr>
      <w:r>
        <w:rPr>
          <w:i/>
        </w:rPr>
        <w:lastRenderedPageBreak/>
        <w:t>The Meeting of the Parties to the Convention</w:t>
      </w:r>
      <w:r>
        <w:t xml:space="preserve">, </w:t>
      </w:r>
    </w:p>
    <w:p w14:paraId="57EAB81F" w14:textId="77777777" w:rsidR="00FE22FB" w:rsidRDefault="00FE22FB" w:rsidP="00FE22FB">
      <w:pPr>
        <w:pStyle w:val="SingleTxtG"/>
        <w:ind w:firstLine="567"/>
      </w:pPr>
      <w:r>
        <w:rPr>
          <w:i/>
        </w:rPr>
        <w:t>Recalling</w:t>
      </w:r>
      <w:r>
        <w:t xml:space="preserve"> article 11, paragraph 2, and article 14 bis of the Convention on Environmental Impact Assessment in a Transboundary Context,</w:t>
      </w:r>
    </w:p>
    <w:p w14:paraId="62A66556" w14:textId="77777777" w:rsidR="00FE22FB" w:rsidRDefault="00FE22FB" w:rsidP="00FE22FB">
      <w:pPr>
        <w:pStyle w:val="SingleTxtG"/>
        <w:ind w:firstLine="567"/>
      </w:pPr>
      <w:r>
        <w:rPr>
          <w:i/>
        </w:rPr>
        <w:t>Recalling also</w:t>
      </w:r>
      <w:r>
        <w:t xml:space="preserve"> its decisions IV/2, paragraphs 15–19,</w:t>
      </w:r>
      <w:r>
        <w:rPr>
          <w:rStyle w:val="FootnoteReference"/>
        </w:rPr>
        <w:footnoteReference w:id="2"/>
      </w:r>
      <w:r>
        <w:t xml:space="preserve"> V/4, paragraphs 27 and 28,</w:t>
      </w:r>
      <w:r>
        <w:rPr>
          <w:rStyle w:val="FootnoteReference"/>
        </w:rPr>
        <w:footnoteReference w:id="3"/>
      </w:r>
      <w:r>
        <w:t xml:space="preserve"> VI/2, paragraphs 29–35,</w:t>
      </w:r>
      <w:r>
        <w:rPr>
          <w:rStyle w:val="FootnoteReference"/>
        </w:rPr>
        <w:footnoteReference w:id="4"/>
      </w:r>
      <w:r>
        <w:t xml:space="preserve"> and IS/1a</w:t>
      </w:r>
      <w:r>
        <w:rPr>
          <w:rStyle w:val="FootnoteReference"/>
        </w:rPr>
        <w:footnoteReference w:id="5"/>
      </w:r>
      <w:r>
        <w:t xml:space="preserve"> concerning compliance by Armenia with regard to its national legislation for the implementation of the Convention,</w:t>
      </w:r>
    </w:p>
    <w:p w14:paraId="248A798C" w14:textId="77777777" w:rsidR="00FE22FB" w:rsidRDefault="00FE22FB" w:rsidP="00FE22FB">
      <w:pPr>
        <w:pStyle w:val="SingleTxtG"/>
        <w:ind w:firstLine="567"/>
      </w:pPr>
      <w:r>
        <w:rPr>
          <w:i/>
          <w:iCs/>
        </w:rPr>
        <w:t>Recalling</w:t>
      </w:r>
      <w:r>
        <w:t xml:space="preserve"> </w:t>
      </w:r>
      <w:r w:rsidRPr="007F276B">
        <w:rPr>
          <w:i/>
          <w:iCs/>
        </w:rPr>
        <w:t xml:space="preserve">further </w:t>
      </w:r>
      <w:r>
        <w:t>its decision VIII/4</w:t>
      </w:r>
      <w:r>
        <w:rPr>
          <w:rStyle w:val="FootnoteReference"/>
        </w:rPr>
        <w:footnoteReference w:id="6"/>
      </w:r>
      <w:r>
        <w:t xml:space="preserve"> on general issues of compliance with the Convention adopted at the eighth session,</w:t>
      </w:r>
    </w:p>
    <w:p w14:paraId="6F65B983" w14:textId="77777777" w:rsidR="00FE22FB" w:rsidRDefault="00FE22FB" w:rsidP="00FE22FB">
      <w:pPr>
        <w:pStyle w:val="SingleTxtG"/>
        <w:ind w:firstLine="567"/>
      </w:pPr>
      <w:r>
        <w:rPr>
          <w:i/>
        </w:rPr>
        <w:t>Having considered</w:t>
      </w:r>
      <w:r>
        <w:t xml:space="preserve"> the report on the activities of the Implementation Committee to the Meeting of the Parties to the Convention at its eighth session, </w:t>
      </w:r>
      <w:r w:rsidRPr="00EE478E">
        <w:t xml:space="preserve">in particular, the section concerning the steps taken by Armenia </w:t>
      </w:r>
      <w:r>
        <w:t xml:space="preserve">further to </w:t>
      </w:r>
      <w:r w:rsidRPr="00EE478E">
        <w:t>decision IS/1</w:t>
      </w:r>
      <w:r>
        <w:t>a,</w:t>
      </w:r>
      <w:r>
        <w:rPr>
          <w:rStyle w:val="FootnoteReference"/>
        </w:rPr>
        <w:footnoteReference w:id="7"/>
      </w:r>
    </w:p>
    <w:p w14:paraId="2C8AC5A3" w14:textId="77777777" w:rsidR="00FE22FB" w:rsidRDefault="00FE22FB" w:rsidP="00FE22FB">
      <w:pPr>
        <w:pStyle w:val="SingleTxtG"/>
        <w:ind w:firstLine="567"/>
      </w:pPr>
      <w:r>
        <w:rPr>
          <w:i/>
        </w:rPr>
        <w:t>Acknowledging</w:t>
      </w:r>
      <w:r>
        <w:t xml:space="preserve"> </w:t>
      </w:r>
      <w:r>
        <w:rPr>
          <w:rStyle w:val="SingleTxtGChar"/>
        </w:rPr>
        <w:t>the technical advice provided by the secretariat to the Government of Armenia to assist the country in bringing its legislation into line with the provisions of the Convention and the Protocol on Strategic Environmental Assessment, further to paragraph 35 of decision VI/2,</w:t>
      </w:r>
    </w:p>
    <w:p w14:paraId="62CCB92E" w14:textId="77777777" w:rsidR="00FE22FB" w:rsidRDefault="00FE22FB" w:rsidP="00FE22FB">
      <w:pPr>
        <w:pStyle w:val="SingleTxtG"/>
        <w:ind w:firstLine="567"/>
      </w:pPr>
      <w:r>
        <w:rPr>
          <w:rStyle w:val="SingleTxtGChar"/>
          <w:color w:val="000000"/>
        </w:rPr>
        <w:t>1.</w:t>
      </w:r>
      <w:r>
        <w:rPr>
          <w:rStyle w:val="SingleTxtGChar"/>
        </w:rPr>
        <w:tab/>
      </w:r>
      <w:r>
        <w:rPr>
          <w:rStyle w:val="SingleTxtGChar"/>
          <w:i/>
        </w:rPr>
        <w:t>Appreciates</w:t>
      </w:r>
      <w:r>
        <w:rPr>
          <w:rStyle w:val="SingleTxtGChar"/>
        </w:rPr>
        <w:t xml:space="preserve"> the regular reports received from </w:t>
      </w:r>
      <w:r w:rsidRPr="0032079C">
        <w:rPr>
          <w:rStyle w:val="SingleTxtGChar"/>
        </w:rPr>
        <w:t xml:space="preserve">and the steps taken by </w:t>
      </w:r>
      <w:r>
        <w:rPr>
          <w:rStyle w:val="SingleTxtGChar"/>
        </w:rPr>
        <w:t xml:space="preserve">the Government of Armenia further to decision IS/1a since the intermediary session of the Meeting of the Parties </w:t>
      </w:r>
      <w:r w:rsidRPr="00EF7EFE">
        <w:rPr>
          <w:rStyle w:val="SingleTxtGChar"/>
        </w:rPr>
        <w:t>(Geneva, 5–7 February 2019)</w:t>
      </w:r>
      <w:r>
        <w:rPr>
          <w:rStyle w:val="SingleTxtGChar"/>
        </w:rPr>
        <w:t>;</w:t>
      </w:r>
    </w:p>
    <w:p w14:paraId="62E9180A" w14:textId="77777777" w:rsidR="00FE22FB" w:rsidRDefault="00FE22FB" w:rsidP="00FE22FB">
      <w:pPr>
        <w:pStyle w:val="SingleTxtG"/>
        <w:ind w:firstLine="567"/>
      </w:pPr>
      <w:r>
        <w:t>2.</w:t>
      </w:r>
      <w:r>
        <w:rPr>
          <w:i/>
        </w:rPr>
        <w:tab/>
        <w:t>Welcomes</w:t>
      </w:r>
      <w:r>
        <w:t xml:space="preserve"> </w:t>
      </w:r>
      <w:r w:rsidRPr="0032079C">
        <w:t>the information from the Government of Armenia</w:t>
      </w:r>
      <w:r>
        <w:t xml:space="preserve"> </w:t>
      </w:r>
      <w:r w:rsidRPr="0032079C">
        <w:t xml:space="preserve"> that the amendments </w:t>
      </w:r>
      <w:r>
        <w:t>to its</w:t>
      </w:r>
      <w:r w:rsidRPr="0032079C">
        <w:t xml:space="preserve"> legislation</w:t>
      </w:r>
      <w:r>
        <w:t xml:space="preserve"> and</w:t>
      </w:r>
      <w:r w:rsidRPr="0032079C">
        <w:t xml:space="preserve"> the </w:t>
      </w:r>
      <w:r>
        <w:t xml:space="preserve">relevant </w:t>
      </w:r>
      <w:r w:rsidRPr="0032079C">
        <w:t xml:space="preserve">secondary legislation </w:t>
      </w:r>
      <w:r>
        <w:t xml:space="preserve">prepared to enhance the </w:t>
      </w:r>
      <w:r w:rsidRPr="0032079C">
        <w:t>implement</w:t>
      </w:r>
      <w:r>
        <w:t xml:space="preserve">ation of </w:t>
      </w:r>
      <w:r w:rsidRPr="0032079C">
        <w:t>the Convention</w:t>
      </w:r>
      <w:r>
        <w:t xml:space="preserve"> and the Protocol</w:t>
      </w:r>
      <w:r w:rsidRPr="0032079C">
        <w:t xml:space="preserve"> have been</w:t>
      </w:r>
      <w:r>
        <w:t xml:space="preserve"> </w:t>
      </w:r>
      <w:r w:rsidRPr="0032079C">
        <w:t xml:space="preserve">submitted </w:t>
      </w:r>
      <w:r>
        <w:t xml:space="preserve">for governmental consultations in multiple iterations since December 2019 </w:t>
      </w:r>
      <w:r>
        <w:rPr>
          <w:strike/>
        </w:rPr>
        <w:t xml:space="preserve">   </w:t>
      </w:r>
      <w:r w:rsidRPr="006E4FE4">
        <w:t xml:space="preserve">with a view to adopting </w:t>
      </w:r>
      <w:r>
        <w:t>their</w:t>
      </w:r>
      <w:r w:rsidRPr="006E4FE4">
        <w:t xml:space="preserve"> by December </w:t>
      </w:r>
      <w:r w:rsidRPr="00D90467">
        <w:t>2020</w:t>
      </w:r>
      <w:r w:rsidRPr="0032079C">
        <w:t>;</w:t>
      </w:r>
    </w:p>
    <w:p w14:paraId="234C1AEA" w14:textId="77777777" w:rsidR="00FE22FB" w:rsidRDefault="00FE22FB" w:rsidP="00FE22FB">
      <w:pPr>
        <w:pStyle w:val="SingleTxtG"/>
        <w:ind w:firstLine="567"/>
      </w:pPr>
      <w:r>
        <w:t>3.</w:t>
      </w:r>
      <w:r>
        <w:rPr>
          <w:i/>
        </w:rPr>
        <w:tab/>
        <w:t xml:space="preserve">Endorses </w:t>
      </w:r>
      <w:r w:rsidRPr="00F602A5">
        <w:rPr>
          <w:iCs/>
        </w:rPr>
        <w:t>the finding of the</w:t>
      </w:r>
      <w:r>
        <w:rPr>
          <w:i/>
        </w:rPr>
        <w:t xml:space="preserve"> </w:t>
      </w:r>
      <w:r>
        <w:rPr>
          <w:iCs/>
        </w:rPr>
        <w:t>Implementation Committee</w:t>
      </w:r>
      <w:r w:rsidRPr="0032079C">
        <w:rPr>
          <w:i/>
        </w:rPr>
        <w:t xml:space="preserve"> </w:t>
      </w:r>
      <w:r w:rsidRPr="0032079C">
        <w:t xml:space="preserve">that the Government of Armenia has not </w:t>
      </w:r>
      <w:r>
        <w:t xml:space="preserve">yet </w:t>
      </w:r>
      <w:r w:rsidRPr="00D82759">
        <w:t xml:space="preserve">adopted the amendments and the secondary legislation, and </w:t>
      </w:r>
      <w:r>
        <w:t xml:space="preserve">that, </w:t>
      </w:r>
      <w:r w:rsidRPr="00D82759">
        <w:t>therefore</w:t>
      </w:r>
      <w:r>
        <w:t>, it has not yet</w:t>
      </w:r>
      <w:r w:rsidRPr="00D82759">
        <w:t xml:space="preserve"> </w:t>
      </w:r>
      <w:r>
        <w:t xml:space="preserve">fulfilled the requests addressed to it under </w:t>
      </w:r>
      <w:r w:rsidRPr="0032079C">
        <w:t>paragraphs 5 and 6 of decision IS/1a</w:t>
      </w:r>
      <w:r>
        <w:t xml:space="preserve">, </w:t>
      </w:r>
      <w:r w:rsidRPr="006B58BC">
        <w:t>despite steps taken since the intermediary session of the Meeting of the Parties</w:t>
      </w:r>
      <w:r w:rsidRPr="0032079C">
        <w:t>;</w:t>
      </w:r>
    </w:p>
    <w:p w14:paraId="39B15056" w14:textId="77777777" w:rsidR="00FE22FB" w:rsidRDefault="00FE22FB" w:rsidP="00FE22FB">
      <w:pPr>
        <w:pStyle w:val="SingleTxtG"/>
        <w:ind w:firstLine="567"/>
      </w:pPr>
      <w:r>
        <w:t>4.</w:t>
      </w:r>
      <w:r>
        <w:tab/>
      </w:r>
      <w:bookmarkStart w:id="2" w:name="_Hlk34319760"/>
      <w:r w:rsidRPr="00F602A5">
        <w:rPr>
          <w:i/>
          <w:iCs/>
        </w:rPr>
        <w:t xml:space="preserve">Reaffirms </w:t>
      </w:r>
      <w:r>
        <w:rPr>
          <w:iCs/>
        </w:rPr>
        <w:t>its decision IS/1a, and requests</w:t>
      </w:r>
      <w:bookmarkEnd w:id="2"/>
      <w:r w:rsidRPr="0032079C">
        <w:rPr>
          <w:i/>
        </w:rPr>
        <w:t xml:space="preserve"> </w:t>
      </w:r>
      <w:r w:rsidRPr="0032079C">
        <w:t>the Government of Armenia</w:t>
      </w:r>
      <w:r>
        <w:t xml:space="preserve"> </w:t>
      </w:r>
      <w:r w:rsidRPr="0032079C">
        <w:t xml:space="preserve">to adopt </w:t>
      </w:r>
      <w:bookmarkStart w:id="3" w:name="_Hlk34319793"/>
      <w:r>
        <w:t>as soon as possible</w:t>
      </w:r>
      <w:r w:rsidRPr="0032079C">
        <w:t xml:space="preserve"> </w:t>
      </w:r>
      <w:bookmarkEnd w:id="3"/>
      <w:r w:rsidRPr="0032079C">
        <w:t>the amended</w:t>
      </w:r>
      <w:r>
        <w:t xml:space="preserve"> </w:t>
      </w:r>
      <w:r w:rsidRPr="0032079C">
        <w:t>legislation and the</w:t>
      </w:r>
      <w:r>
        <w:t xml:space="preserve"> relevant</w:t>
      </w:r>
      <w:r w:rsidRPr="0032079C">
        <w:t xml:space="preserve"> secondary </w:t>
      </w:r>
      <w:r>
        <w:t>legislation</w:t>
      </w:r>
      <w:r w:rsidRPr="0032079C">
        <w:t xml:space="preserve"> </w:t>
      </w:r>
      <w:r>
        <w:t>with a view to ensuring full compliance of its legislative framework with the Convention and the Protocol</w:t>
      </w:r>
      <w:r w:rsidRPr="0032079C">
        <w:t>;</w:t>
      </w:r>
    </w:p>
    <w:p w14:paraId="6263B819" w14:textId="77777777" w:rsidR="00FE22FB" w:rsidRDefault="00FE22FB" w:rsidP="00FE22FB">
      <w:pPr>
        <w:pStyle w:val="SingleTxtG"/>
        <w:ind w:firstLine="567"/>
      </w:pPr>
      <w:r>
        <w:t>5.</w:t>
      </w:r>
      <w:r>
        <w:tab/>
      </w:r>
      <w:r w:rsidRPr="00F21FE7">
        <w:rPr>
          <w:i/>
          <w:iCs/>
        </w:rPr>
        <w:t xml:space="preserve">Also </w:t>
      </w:r>
      <w:r>
        <w:rPr>
          <w:i/>
          <w:iCs/>
        </w:rPr>
        <w:t>r</w:t>
      </w:r>
      <w:r w:rsidRPr="00F602A5">
        <w:rPr>
          <w:i/>
          <w:iCs/>
        </w:rPr>
        <w:t>equests</w:t>
      </w:r>
      <w:r>
        <w:t xml:space="preserve"> the Government of Armenia to provide the Implementation Committee with the text of the amended legislation and the relevant secondary legislation, once adopted, together with the English translation thereof;</w:t>
      </w:r>
    </w:p>
    <w:p w14:paraId="269A9484" w14:textId="77777777" w:rsidR="00FE22FB" w:rsidRDefault="00FE22FB" w:rsidP="00FE22FB">
      <w:pPr>
        <w:pStyle w:val="SingleTxtG"/>
        <w:ind w:firstLine="567"/>
      </w:pPr>
      <w:r>
        <w:t>6.</w:t>
      </w:r>
      <w:r>
        <w:tab/>
      </w:r>
      <w:r w:rsidRPr="00F45BFE">
        <w:rPr>
          <w:i/>
          <w:iCs/>
        </w:rPr>
        <w:t xml:space="preserve">Requests </w:t>
      </w:r>
      <w:r w:rsidRPr="0032079C">
        <w:t xml:space="preserve">the Implementation Committee to evaluate the amendments to the legislation and the </w:t>
      </w:r>
      <w:r>
        <w:t xml:space="preserve">relevant </w:t>
      </w:r>
      <w:r w:rsidRPr="0032079C">
        <w:t xml:space="preserve">secondary </w:t>
      </w:r>
      <w:r>
        <w:t>legislation, once adopted,</w:t>
      </w:r>
      <w:r w:rsidRPr="0032079C">
        <w:t xml:space="preserve"> </w:t>
      </w:r>
      <w:r>
        <w:t xml:space="preserve">and </w:t>
      </w:r>
      <w:r w:rsidRPr="0032079C">
        <w:t>to report to the Meeting of the Parties at its ninth session thereon.</w:t>
      </w:r>
    </w:p>
    <w:p w14:paraId="70681D89" w14:textId="79162B2D" w:rsidR="00EA2096" w:rsidRPr="00FE22FB" w:rsidRDefault="00FE22FB" w:rsidP="00FE22FB">
      <w:pPr>
        <w:spacing w:before="240"/>
        <w:jc w:val="center"/>
        <w:rPr>
          <w:u w:val="single"/>
        </w:rPr>
      </w:pPr>
      <w:r>
        <w:rPr>
          <w:u w:val="single"/>
        </w:rPr>
        <w:tab/>
      </w:r>
      <w:r>
        <w:rPr>
          <w:u w:val="single"/>
        </w:rPr>
        <w:tab/>
      </w:r>
      <w:r>
        <w:rPr>
          <w:u w:val="single"/>
        </w:rPr>
        <w:tab/>
      </w:r>
    </w:p>
    <w:sectPr w:rsidR="00EA2096" w:rsidRPr="00FE22FB" w:rsidSect="00EB2904">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15991" w14:textId="77777777" w:rsidR="0097200E" w:rsidRDefault="0097200E"/>
  </w:endnote>
  <w:endnote w:type="continuationSeparator" w:id="0">
    <w:p w14:paraId="3A1539A9" w14:textId="77777777" w:rsidR="0097200E" w:rsidRDefault="0097200E"/>
  </w:endnote>
  <w:endnote w:type="continuationNotice" w:id="1">
    <w:p w14:paraId="6CA0A927" w14:textId="77777777" w:rsidR="0097200E" w:rsidRDefault="00972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A3367" w14:textId="77777777" w:rsidR="00EB2904" w:rsidRPr="00EB2904" w:rsidRDefault="00EB2904" w:rsidP="00EB2904">
    <w:pPr>
      <w:pStyle w:val="Footer"/>
      <w:tabs>
        <w:tab w:val="right" w:pos="9638"/>
      </w:tabs>
      <w:rPr>
        <w:sz w:val="18"/>
      </w:rPr>
    </w:pPr>
    <w:r w:rsidRPr="00EB2904">
      <w:rPr>
        <w:b/>
        <w:sz w:val="18"/>
      </w:rPr>
      <w:fldChar w:fldCharType="begin"/>
    </w:r>
    <w:r w:rsidRPr="00EB2904">
      <w:rPr>
        <w:b/>
        <w:sz w:val="18"/>
      </w:rPr>
      <w:instrText xml:space="preserve"> PAGE  \* MERGEFORMAT </w:instrText>
    </w:r>
    <w:r w:rsidRPr="00EB2904">
      <w:rPr>
        <w:b/>
        <w:sz w:val="18"/>
      </w:rPr>
      <w:fldChar w:fldCharType="separate"/>
    </w:r>
    <w:r w:rsidRPr="00EB2904">
      <w:rPr>
        <w:b/>
        <w:noProof/>
        <w:sz w:val="18"/>
      </w:rPr>
      <w:t>2</w:t>
    </w:r>
    <w:r w:rsidRPr="00EB290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413C3" w14:textId="77777777" w:rsidR="00EB2904" w:rsidRPr="00EB2904" w:rsidRDefault="00EB2904" w:rsidP="00EB2904">
    <w:pPr>
      <w:pStyle w:val="Footer"/>
      <w:tabs>
        <w:tab w:val="right" w:pos="9638"/>
      </w:tabs>
      <w:rPr>
        <w:b/>
        <w:sz w:val="18"/>
      </w:rPr>
    </w:pPr>
    <w:r>
      <w:tab/>
    </w:r>
    <w:r w:rsidRPr="00EB2904">
      <w:rPr>
        <w:b/>
        <w:sz w:val="18"/>
      </w:rPr>
      <w:fldChar w:fldCharType="begin"/>
    </w:r>
    <w:r w:rsidRPr="00EB2904">
      <w:rPr>
        <w:b/>
        <w:sz w:val="18"/>
      </w:rPr>
      <w:instrText xml:space="preserve"> PAGE  \* MERGEFORMAT </w:instrText>
    </w:r>
    <w:r w:rsidRPr="00EB2904">
      <w:rPr>
        <w:b/>
        <w:sz w:val="18"/>
      </w:rPr>
      <w:fldChar w:fldCharType="separate"/>
    </w:r>
    <w:r w:rsidRPr="00EB2904">
      <w:rPr>
        <w:b/>
        <w:noProof/>
        <w:sz w:val="18"/>
      </w:rPr>
      <w:t>3</w:t>
    </w:r>
    <w:r w:rsidRPr="00EB290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6229" w14:textId="3C6B4896" w:rsidR="0035223F" w:rsidRDefault="00334EBB" w:rsidP="00334EBB">
    <w:pPr>
      <w:pStyle w:val="Footer"/>
      <w:rPr>
        <w:sz w:val="20"/>
      </w:rPr>
    </w:pPr>
    <w:r w:rsidRPr="00334EBB">
      <w:rPr>
        <w:noProof/>
        <w:sz w:val="20"/>
        <w:lang w:eastAsia="zh-CN"/>
      </w:rPr>
      <w:drawing>
        <wp:anchor distT="0" distB="0" distL="114300" distR="114300" simplePos="0" relativeHeight="251659776" behindDoc="1" locked="1" layoutInCell="1" allowOverlap="1" wp14:anchorId="7077389E" wp14:editId="28C3EF20">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5446D77" w14:textId="38B9D2E0" w:rsidR="00334EBB" w:rsidRDefault="00334EBB" w:rsidP="00334EBB">
    <w:pPr>
      <w:pStyle w:val="Footer"/>
      <w:ind w:right="1134"/>
      <w:rPr>
        <w:sz w:val="20"/>
      </w:rPr>
    </w:pPr>
    <w:r>
      <w:rPr>
        <w:sz w:val="20"/>
      </w:rPr>
      <w:t>GE.20-12415(E)</w:t>
    </w:r>
  </w:p>
  <w:p w14:paraId="4BDBA28E" w14:textId="561B183C" w:rsidR="00334EBB" w:rsidRPr="00334EBB" w:rsidRDefault="00334EBB" w:rsidP="00334EBB">
    <w:pPr>
      <w:pStyle w:val="Footer"/>
      <w:ind w:right="1134"/>
      <w:rPr>
        <w:rFonts w:ascii="C39T30Lfz" w:hAnsi="C39T30Lfz"/>
        <w:sz w:val="56"/>
      </w:rPr>
    </w:pPr>
    <w:r>
      <w:rPr>
        <w:rFonts w:ascii="C39T30Lfz" w:hAnsi="C39T30Lfz"/>
        <w:sz w:val="56"/>
      </w:rPr>
      <w:t>*2012415*</w:t>
    </w:r>
    <w:r>
      <w:rPr>
        <w:rFonts w:ascii="C39T30Lfz" w:hAnsi="C39T30Lfz"/>
        <w:noProof/>
        <w:sz w:val="56"/>
      </w:rPr>
      <w:drawing>
        <wp:anchor distT="0" distB="0" distL="114300" distR="114300" simplePos="0" relativeHeight="251660800" behindDoc="0" locked="0" layoutInCell="1" allowOverlap="1" wp14:anchorId="27C20938" wp14:editId="49607E27">
          <wp:simplePos x="0" y="0"/>
          <wp:positionH relativeFrom="margin">
            <wp:posOffset>5478780</wp:posOffset>
          </wp:positionH>
          <wp:positionV relativeFrom="margin">
            <wp:posOffset>8794750</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AB37E" w14:textId="77777777" w:rsidR="0097200E" w:rsidRPr="000B175B" w:rsidRDefault="0097200E" w:rsidP="000B175B">
      <w:pPr>
        <w:tabs>
          <w:tab w:val="right" w:pos="2155"/>
        </w:tabs>
        <w:spacing w:after="80"/>
        <w:ind w:left="680"/>
        <w:rPr>
          <w:u w:val="single"/>
        </w:rPr>
      </w:pPr>
      <w:r>
        <w:rPr>
          <w:u w:val="single"/>
        </w:rPr>
        <w:tab/>
      </w:r>
    </w:p>
  </w:footnote>
  <w:footnote w:type="continuationSeparator" w:id="0">
    <w:p w14:paraId="7AD83DB3" w14:textId="77777777" w:rsidR="0097200E" w:rsidRPr="00FC68B7" w:rsidRDefault="0097200E" w:rsidP="00FC68B7">
      <w:pPr>
        <w:tabs>
          <w:tab w:val="left" w:pos="2155"/>
        </w:tabs>
        <w:spacing w:after="80"/>
        <w:ind w:left="680"/>
        <w:rPr>
          <w:u w:val="single"/>
        </w:rPr>
      </w:pPr>
      <w:r>
        <w:rPr>
          <w:u w:val="single"/>
        </w:rPr>
        <w:tab/>
      </w:r>
    </w:p>
  </w:footnote>
  <w:footnote w:type="continuationNotice" w:id="1">
    <w:p w14:paraId="7ED847EE" w14:textId="77777777" w:rsidR="0097200E" w:rsidRDefault="0097200E"/>
  </w:footnote>
  <w:footnote w:id="2">
    <w:p w14:paraId="134041FB" w14:textId="77777777" w:rsidR="00FE22FB" w:rsidRPr="005606B9" w:rsidRDefault="00FE22FB" w:rsidP="00FE22FB">
      <w:pPr>
        <w:pStyle w:val="FootnoteText"/>
      </w:pPr>
      <w:r w:rsidRPr="009A29DD">
        <w:tab/>
      </w:r>
      <w:r>
        <w:rPr>
          <w:rStyle w:val="FootnoteReference"/>
        </w:rPr>
        <w:footnoteRef/>
      </w:r>
      <w:r w:rsidRPr="005606B9">
        <w:tab/>
        <w:t xml:space="preserve">See </w:t>
      </w:r>
      <w:bookmarkStart w:id="1" w:name="_Hlk51416634"/>
      <w:r w:rsidRPr="005606B9">
        <w:t>ECE/MP.EIA/10</w:t>
      </w:r>
      <w:bookmarkEnd w:id="1"/>
      <w:r w:rsidRPr="005606B9">
        <w:t>.</w:t>
      </w:r>
    </w:p>
  </w:footnote>
  <w:footnote w:id="3">
    <w:p w14:paraId="232FEC3D" w14:textId="77777777" w:rsidR="00FE22FB" w:rsidRPr="005606B9" w:rsidRDefault="00FE22FB" w:rsidP="00FE22FB">
      <w:pPr>
        <w:pStyle w:val="FootnoteText"/>
      </w:pPr>
      <w:r w:rsidRPr="005606B9">
        <w:rPr>
          <w:vertAlign w:val="superscript"/>
        </w:rPr>
        <w:tab/>
      </w:r>
      <w:r>
        <w:rPr>
          <w:rStyle w:val="FootnoteReference"/>
        </w:rPr>
        <w:footnoteRef/>
      </w:r>
      <w:r w:rsidRPr="005606B9">
        <w:rPr>
          <w:vertAlign w:val="superscript"/>
        </w:rPr>
        <w:tab/>
      </w:r>
      <w:r w:rsidRPr="005606B9">
        <w:t>See ECE/MP.EIA/15.</w:t>
      </w:r>
    </w:p>
  </w:footnote>
  <w:footnote w:id="4">
    <w:p w14:paraId="0086A087" w14:textId="77777777" w:rsidR="00FE22FB" w:rsidRPr="004F620C" w:rsidRDefault="00FE22FB" w:rsidP="00FE22FB">
      <w:pPr>
        <w:pStyle w:val="FootnoteText"/>
        <w:rPr>
          <w:lang w:val="es-ES_tradnl"/>
        </w:rPr>
      </w:pPr>
      <w:r w:rsidRPr="005606B9">
        <w:rPr>
          <w:vertAlign w:val="superscript"/>
        </w:rPr>
        <w:tab/>
      </w:r>
      <w:r>
        <w:rPr>
          <w:rStyle w:val="FootnoteReference"/>
        </w:rPr>
        <w:footnoteRef/>
      </w:r>
      <w:r w:rsidRPr="00AC26B2">
        <w:rPr>
          <w:vertAlign w:val="superscript"/>
          <w:lang w:val="es-ES_tradnl"/>
        </w:rPr>
        <w:tab/>
      </w:r>
      <w:r w:rsidRPr="00AC26B2">
        <w:rPr>
          <w:lang w:val="es-ES_tradnl"/>
        </w:rPr>
        <w:t>See ECE/MP.EIA/20/Add.1</w:t>
      </w:r>
      <w:r w:rsidRPr="004F620C">
        <w:rPr>
          <w:lang w:val="es-ES_tradnl"/>
        </w:rPr>
        <w:t>–ECE/MP.EIA/SEA/4/Add.1.</w:t>
      </w:r>
    </w:p>
  </w:footnote>
  <w:footnote w:id="5">
    <w:p w14:paraId="47C90FA4" w14:textId="77777777" w:rsidR="00FE22FB" w:rsidRPr="004F620C" w:rsidRDefault="00FE22FB" w:rsidP="00FE22FB">
      <w:pPr>
        <w:pStyle w:val="FootnoteText"/>
        <w:rPr>
          <w:lang w:val="es-ES_tradnl"/>
        </w:rPr>
      </w:pPr>
      <w:r w:rsidRPr="00AC26B2">
        <w:rPr>
          <w:lang w:val="es-ES_tradnl"/>
        </w:rPr>
        <w:tab/>
      </w:r>
      <w:r>
        <w:rPr>
          <w:rStyle w:val="FootnoteReference"/>
        </w:rPr>
        <w:footnoteRef/>
      </w:r>
      <w:r w:rsidRPr="00AC26B2">
        <w:rPr>
          <w:lang w:val="es-ES_tradnl"/>
        </w:rPr>
        <w:tab/>
        <w:t>ECE/MP.EIA/27/Add.1–ECE/MP.EIA/SEA/11/Add.1</w:t>
      </w:r>
      <w:r w:rsidRPr="004F620C">
        <w:rPr>
          <w:lang w:val="es-ES_tradnl"/>
        </w:rPr>
        <w:t>.</w:t>
      </w:r>
    </w:p>
  </w:footnote>
  <w:footnote w:id="6">
    <w:p w14:paraId="0769F40E" w14:textId="77777777" w:rsidR="00FE22FB" w:rsidRPr="004F620C" w:rsidRDefault="00FE22FB" w:rsidP="00FE22FB">
      <w:pPr>
        <w:pStyle w:val="FootnoteText"/>
        <w:rPr>
          <w:lang w:val="en-US"/>
        </w:rPr>
      </w:pPr>
      <w:r w:rsidRPr="003A23BC">
        <w:rPr>
          <w:lang w:val="es-ES_tradnl"/>
        </w:rPr>
        <w:tab/>
      </w:r>
      <w:r>
        <w:rPr>
          <w:rStyle w:val="FootnoteReference"/>
        </w:rPr>
        <w:footnoteRef/>
      </w:r>
      <w:r>
        <w:t xml:space="preserve"> </w:t>
      </w:r>
      <w:r>
        <w:tab/>
      </w:r>
      <w:r>
        <w:rPr>
          <w:lang w:val="en-US"/>
        </w:rPr>
        <w:t>[Symbol of the adopted decision].</w:t>
      </w:r>
    </w:p>
  </w:footnote>
  <w:footnote w:id="7">
    <w:p w14:paraId="06C46421" w14:textId="77777777" w:rsidR="00FE22FB" w:rsidRPr="00857224" w:rsidRDefault="00FE22FB" w:rsidP="00FE22FB">
      <w:pPr>
        <w:pStyle w:val="FootnoteText"/>
        <w:rPr>
          <w:lang w:val="es-ES_tradnl"/>
        </w:rPr>
      </w:pPr>
      <w:r w:rsidRPr="003A23BC">
        <w:tab/>
      </w:r>
      <w:r>
        <w:rPr>
          <w:vertAlign w:val="superscript"/>
        </w:rPr>
        <w:footnoteRef/>
      </w:r>
      <w:r w:rsidRPr="00857224">
        <w:rPr>
          <w:lang w:val="es-ES_tradnl"/>
        </w:rPr>
        <w:tab/>
        <w:t>See ECE/MP.EIA/2020/4–ECE/MP.EIA/SEA/2020/4.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051C" w14:textId="089A257D" w:rsidR="00EB2904" w:rsidRPr="00EB2904" w:rsidRDefault="00EB2904">
    <w:pPr>
      <w:pStyle w:val="Header"/>
    </w:pPr>
    <w:r>
      <w:t>ECE/MP.EIA/2020/11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0D70" w14:textId="58559702" w:rsidR="00EB2904" w:rsidRPr="00EB2904" w:rsidRDefault="003513D2" w:rsidP="00EB2904">
    <w:pPr>
      <w:pStyle w:val="Header"/>
      <w:jc w:val="right"/>
    </w:pPr>
    <w:r>
      <w:fldChar w:fldCharType="begin"/>
    </w:r>
    <w:r>
      <w:instrText xml:space="preserve"> TITLE  \* MERGEFORMAT </w:instrText>
    </w:r>
    <w:r>
      <w:fldChar w:fldCharType="separate"/>
    </w:r>
    <w:r w:rsidR="00550C7F">
      <w:t>ECE/MP.EIA/2020/11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E6B8AC-E1B5-49CB-83B8-2CB7280B4E56}"/>
    <w:docVar w:name="dgnword-eventsink" w:val="637739216"/>
  </w:docVars>
  <w:rsids>
    <w:rsidRoot w:val="00EB2904"/>
    <w:rsid w:val="00002A7D"/>
    <w:rsid w:val="000038A8"/>
    <w:rsid w:val="00006790"/>
    <w:rsid w:val="00027624"/>
    <w:rsid w:val="00050F6B"/>
    <w:rsid w:val="000678CD"/>
    <w:rsid w:val="00072C8C"/>
    <w:rsid w:val="00081CE0"/>
    <w:rsid w:val="00084D30"/>
    <w:rsid w:val="00090320"/>
    <w:rsid w:val="000931C0"/>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1D0"/>
    <w:rsid w:val="002974E9"/>
    <w:rsid w:val="002A093E"/>
    <w:rsid w:val="002A7F94"/>
    <w:rsid w:val="002B109A"/>
    <w:rsid w:val="002C6D45"/>
    <w:rsid w:val="002D6E53"/>
    <w:rsid w:val="002F046D"/>
    <w:rsid w:val="002F3023"/>
    <w:rsid w:val="00301764"/>
    <w:rsid w:val="003229D8"/>
    <w:rsid w:val="00334EBB"/>
    <w:rsid w:val="00336C97"/>
    <w:rsid w:val="00337F88"/>
    <w:rsid w:val="00342432"/>
    <w:rsid w:val="003513D2"/>
    <w:rsid w:val="0035223F"/>
    <w:rsid w:val="00352D4B"/>
    <w:rsid w:val="0035638C"/>
    <w:rsid w:val="003A46BB"/>
    <w:rsid w:val="003A4EC7"/>
    <w:rsid w:val="003A7295"/>
    <w:rsid w:val="003B1F60"/>
    <w:rsid w:val="003C2CC4"/>
    <w:rsid w:val="003D22CC"/>
    <w:rsid w:val="003D4B23"/>
    <w:rsid w:val="003E278A"/>
    <w:rsid w:val="00413520"/>
    <w:rsid w:val="004325CB"/>
    <w:rsid w:val="00440A07"/>
    <w:rsid w:val="00462880"/>
    <w:rsid w:val="00476F24"/>
    <w:rsid w:val="004C55B0"/>
    <w:rsid w:val="004F6BA0"/>
    <w:rsid w:val="00503BEA"/>
    <w:rsid w:val="00533616"/>
    <w:rsid w:val="00535ABA"/>
    <w:rsid w:val="0053768B"/>
    <w:rsid w:val="005420F2"/>
    <w:rsid w:val="0054285C"/>
    <w:rsid w:val="00550C7F"/>
    <w:rsid w:val="00584173"/>
    <w:rsid w:val="00595520"/>
    <w:rsid w:val="005A44B9"/>
    <w:rsid w:val="005B1BA0"/>
    <w:rsid w:val="005B3DB3"/>
    <w:rsid w:val="005D15CA"/>
    <w:rsid w:val="005F08DF"/>
    <w:rsid w:val="005F3066"/>
    <w:rsid w:val="005F3E61"/>
    <w:rsid w:val="00604DDD"/>
    <w:rsid w:val="006115CC"/>
    <w:rsid w:val="00611FC4"/>
    <w:rsid w:val="006176FB"/>
    <w:rsid w:val="00630FCB"/>
    <w:rsid w:val="00640B26"/>
    <w:rsid w:val="0065766B"/>
    <w:rsid w:val="00666F2D"/>
    <w:rsid w:val="006770B2"/>
    <w:rsid w:val="00686A48"/>
    <w:rsid w:val="006940E1"/>
    <w:rsid w:val="006A3C72"/>
    <w:rsid w:val="006A7392"/>
    <w:rsid w:val="006B03A1"/>
    <w:rsid w:val="006B67D9"/>
    <w:rsid w:val="006C5535"/>
    <w:rsid w:val="006D0589"/>
    <w:rsid w:val="006E564B"/>
    <w:rsid w:val="006E7154"/>
    <w:rsid w:val="007003CD"/>
    <w:rsid w:val="00706D1A"/>
    <w:rsid w:val="0070701E"/>
    <w:rsid w:val="0072632A"/>
    <w:rsid w:val="007358E8"/>
    <w:rsid w:val="00736ECE"/>
    <w:rsid w:val="0074533B"/>
    <w:rsid w:val="007643BC"/>
    <w:rsid w:val="00780C68"/>
    <w:rsid w:val="00782629"/>
    <w:rsid w:val="007959FE"/>
    <w:rsid w:val="007A0CF1"/>
    <w:rsid w:val="007B6BA5"/>
    <w:rsid w:val="007C3390"/>
    <w:rsid w:val="007C42D8"/>
    <w:rsid w:val="007C4F4B"/>
    <w:rsid w:val="007D7362"/>
    <w:rsid w:val="007F5CE2"/>
    <w:rsid w:val="007F6611"/>
    <w:rsid w:val="00810BAC"/>
    <w:rsid w:val="008175E9"/>
    <w:rsid w:val="008242D7"/>
    <w:rsid w:val="0082577B"/>
    <w:rsid w:val="00857224"/>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4684F"/>
    <w:rsid w:val="00947162"/>
    <w:rsid w:val="009610D0"/>
    <w:rsid w:val="0096375C"/>
    <w:rsid w:val="00964FC2"/>
    <w:rsid w:val="009662E6"/>
    <w:rsid w:val="0097095E"/>
    <w:rsid w:val="0097200E"/>
    <w:rsid w:val="0098592B"/>
    <w:rsid w:val="00985FC4"/>
    <w:rsid w:val="00990766"/>
    <w:rsid w:val="00991261"/>
    <w:rsid w:val="00995079"/>
    <w:rsid w:val="009964C4"/>
    <w:rsid w:val="009A7B81"/>
    <w:rsid w:val="009D01C0"/>
    <w:rsid w:val="009D6A08"/>
    <w:rsid w:val="009E0A16"/>
    <w:rsid w:val="009E5A6B"/>
    <w:rsid w:val="009E6CB7"/>
    <w:rsid w:val="009E7970"/>
    <w:rsid w:val="009F2EAC"/>
    <w:rsid w:val="009F57E3"/>
    <w:rsid w:val="00A10F4F"/>
    <w:rsid w:val="00A11067"/>
    <w:rsid w:val="00A1704A"/>
    <w:rsid w:val="00A425EB"/>
    <w:rsid w:val="00A72F22"/>
    <w:rsid w:val="00A733BC"/>
    <w:rsid w:val="00A748A6"/>
    <w:rsid w:val="00A76A69"/>
    <w:rsid w:val="00A879A4"/>
    <w:rsid w:val="00A91A3C"/>
    <w:rsid w:val="00AA0FF8"/>
    <w:rsid w:val="00AC0F2C"/>
    <w:rsid w:val="00AC502A"/>
    <w:rsid w:val="00AF58C1"/>
    <w:rsid w:val="00B04A3F"/>
    <w:rsid w:val="00B06643"/>
    <w:rsid w:val="00B15055"/>
    <w:rsid w:val="00B20551"/>
    <w:rsid w:val="00B30179"/>
    <w:rsid w:val="00B33FC7"/>
    <w:rsid w:val="00B37B15"/>
    <w:rsid w:val="00B45C02"/>
    <w:rsid w:val="00B70B63"/>
    <w:rsid w:val="00B72A1E"/>
    <w:rsid w:val="00B75363"/>
    <w:rsid w:val="00B81E12"/>
    <w:rsid w:val="00BA339B"/>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65C34"/>
    <w:rsid w:val="00C745C3"/>
    <w:rsid w:val="00C978F5"/>
    <w:rsid w:val="00CA24A4"/>
    <w:rsid w:val="00CB348D"/>
    <w:rsid w:val="00CD46F5"/>
    <w:rsid w:val="00CE4602"/>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F7CAE"/>
    <w:rsid w:val="00E423C0"/>
    <w:rsid w:val="00E6414C"/>
    <w:rsid w:val="00E7260F"/>
    <w:rsid w:val="00E8702D"/>
    <w:rsid w:val="00E905F4"/>
    <w:rsid w:val="00E916A9"/>
    <w:rsid w:val="00E916DE"/>
    <w:rsid w:val="00E925AD"/>
    <w:rsid w:val="00E96630"/>
    <w:rsid w:val="00EA2096"/>
    <w:rsid w:val="00EB2904"/>
    <w:rsid w:val="00ED18DC"/>
    <w:rsid w:val="00ED6201"/>
    <w:rsid w:val="00ED7A2A"/>
    <w:rsid w:val="00EF1D7F"/>
    <w:rsid w:val="00F0137E"/>
    <w:rsid w:val="00F04977"/>
    <w:rsid w:val="00F21786"/>
    <w:rsid w:val="00F3742B"/>
    <w:rsid w:val="00F41FDB"/>
    <w:rsid w:val="00F56D63"/>
    <w:rsid w:val="00F609A9"/>
    <w:rsid w:val="00F80C99"/>
    <w:rsid w:val="00F867EC"/>
    <w:rsid w:val="00F91B2B"/>
    <w:rsid w:val="00FC03CD"/>
    <w:rsid w:val="00FC0646"/>
    <w:rsid w:val="00FC68B7"/>
    <w:rsid w:val="00FD207C"/>
    <w:rsid w:val="00FE22FB"/>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DA7ADC"/>
  <w15:docId w15:val="{2C493B6F-AFCA-476F-800F-74912DF1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4_GR,Footnote Reference Superscript,BVI fnr,Footnote symbol,Footnote call,SUPERS,(Footnote Reference),Footnote,Voetnootverwijzing,Times 10 Point,Exposant 3 Point,Footnote reference number,note TESI,Footnotes refss"/>
    <w:basedOn w:val="DefaultParagraphFont"/>
    <w:uiPriority w:val="99"/>
    <w:qFormat/>
    <w:rsid w:val="00E925AD"/>
    <w:rPr>
      <w:rFonts w:ascii="Times New Roman" w:hAnsi="Times New Roman"/>
      <w:sz w:val="18"/>
      <w:vertAlign w:val="superscript"/>
    </w:rPr>
  </w:style>
  <w:style w:type="paragraph" w:styleId="FootnoteText">
    <w:name w:val="footnote text"/>
    <w:aliases w:val="5_G,Fußnotentextf,Footnote text,fn,Schriftart: 9 pt,Schriftart: 10 pt,Schriftart: 8 pt,WB-Fußnotentext,o,Podrozdział,Schriftart: 8 p,Char,Tekst przypisu,WB-Fuﬂnotentext,Voetnoottekst Char,Voetnoottekst Char1"/>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2971D0"/>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2971D0"/>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H23GChar">
    <w:name w:val="_ H_2/3_G Char"/>
    <w:link w:val="H23G"/>
    <w:rsid w:val="00C65C34"/>
    <w:rPr>
      <w:b/>
      <w:lang w:val="en-GB" w:eastAsia="en-US"/>
    </w:rPr>
  </w:style>
  <w:style w:type="paragraph" w:customStyle="1" w:styleId="ParNoG">
    <w:name w:val="_ParNo_G"/>
    <w:basedOn w:val="SingleTxtG"/>
    <w:qFormat/>
    <w:rsid w:val="00F04977"/>
    <w:pPr>
      <w:numPr>
        <w:numId w:val="19"/>
      </w:numPr>
      <w:suppressAutoHyphens w:val="0"/>
    </w:pPr>
  </w:style>
  <w:style w:type="character" w:customStyle="1" w:styleId="HChGChar">
    <w:name w:val="_ H _Ch_G Char"/>
    <w:link w:val="HChG"/>
    <w:rsid w:val="00EA2096"/>
    <w:rPr>
      <w:b/>
      <w:sz w:val="28"/>
      <w:lang w:val="en-GB"/>
    </w:rPr>
  </w:style>
  <w:style w:type="character" w:customStyle="1" w:styleId="FootnoteTextChar">
    <w:name w:val="Footnote Text Char"/>
    <w:aliases w:val="5_G Char,Fußnotentextf Char,Footnote text Char,fn Char,Schriftart: 9 pt Char,Schriftart: 10 pt Char,Schriftart: 8 pt Char,WB-Fußnotentext Char,o Char,Podrozdział Char,Schriftart: 8 p Char,Char Char,Tekst przypisu Char"/>
    <w:basedOn w:val="DefaultParagraphFont"/>
    <w:link w:val="FootnoteText"/>
    <w:uiPriority w:val="99"/>
    <w:rsid w:val="00FE22FB"/>
    <w:rPr>
      <w:sz w:val="18"/>
      <w:lang w:val="en-GB"/>
    </w:rPr>
  </w:style>
  <w:style w:type="character" w:customStyle="1" w:styleId="SingleTxtGChar">
    <w:name w:val="_ Single Txt_G Char"/>
    <w:link w:val="SingleTxtG"/>
    <w:rsid w:val="00FE22F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9AD2D-C140-4ABD-B01B-3B760D20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3688</Characters>
  <Application>Microsoft Office Word</Application>
  <DocSecurity>4</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ECE/MP.EIA/2020/11</vt:lpstr>
      <vt:lpstr/>
    </vt:vector>
  </TitlesOfParts>
  <Company>CSD</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ECE/MP.EIA/2020/11</dc:title>
  <dc:subject>2012415</dc:subject>
  <dc:creator>Elizabeth James</dc:creator>
  <cp:keywords/>
  <dc:description/>
  <cp:lastModifiedBy>Elisabeth James</cp:lastModifiedBy>
  <cp:revision>2</cp:revision>
  <cp:lastPrinted>2020-09-24T09:44:00Z</cp:lastPrinted>
  <dcterms:created xsi:type="dcterms:W3CDTF">2020-10-16T09:56:00Z</dcterms:created>
  <dcterms:modified xsi:type="dcterms:W3CDTF">2020-10-16T09:56:00Z</dcterms:modified>
</cp:coreProperties>
</file>