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3FFCC34" w14:textId="77777777" w:rsidTr="00B20551">
        <w:trPr>
          <w:cantSplit/>
          <w:trHeight w:hRule="exact" w:val="851"/>
        </w:trPr>
        <w:tc>
          <w:tcPr>
            <w:tcW w:w="1276" w:type="dxa"/>
            <w:tcBorders>
              <w:bottom w:val="single" w:sz="4" w:space="0" w:color="auto"/>
            </w:tcBorders>
            <w:vAlign w:val="bottom"/>
          </w:tcPr>
          <w:p w14:paraId="7D9E258E" w14:textId="77777777" w:rsidR="009E6CB7" w:rsidRDefault="009E6CB7" w:rsidP="00B20551">
            <w:pPr>
              <w:spacing w:after="80"/>
            </w:pPr>
          </w:p>
        </w:tc>
        <w:tc>
          <w:tcPr>
            <w:tcW w:w="2268" w:type="dxa"/>
            <w:tcBorders>
              <w:bottom w:val="single" w:sz="4" w:space="0" w:color="auto"/>
            </w:tcBorders>
            <w:vAlign w:val="bottom"/>
          </w:tcPr>
          <w:p w14:paraId="3713B81D"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A8B105F" w14:textId="77777777" w:rsidR="009E6CB7" w:rsidRPr="00D47EEA" w:rsidRDefault="00801052" w:rsidP="00801052">
            <w:pPr>
              <w:jc w:val="right"/>
            </w:pPr>
            <w:r w:rsidRPr="00801052">
              <w:rPr>
                <w:sz w:val="40"/>
              </w:rPr>
              <w:t>ECE</w:t>
            </w:r>
            <w:r>
              <w:t>/MP.EIA/SEA/2020/9</w:t>
            </w:r>
          </w:p>
        </w:tc>
      </w:tr>
      <w:tr w:rsidR="009E6CB7" w14:paraId="38A51AA0" w14:textId="77777777" w:rsidTr="00B20551">
        <w:trPr>
          <w:cantSplit/>
          <w:trHeight w:hRule="exact" w:val="2835"/>
        </w:trPr>
        <w:tc>
          <w:tcPr>
            <w:tcW w:w="1276" w:type="dxa"/>
            <w:tcBorders>
              <w:top w:val="single" w:sz="4" w:space="0" w:color="auto"/>
              <w:bottom w:val="single" w:sz="12" w:space="0" w:color="auto"/>
            </w:tcBorders>
          </w:tcPr>
          <w:p w14:paraId="5749A980" w14:textId="77777777" w:rsidR="009E6CB7" w:rsidRDefault="00686A48" w:rsidP="00B20551">
            <w:pPr>
              <w:spacing w:before="120"/>
            </w:pPr>
            <w:r>
              <w:rPr>
                <w:noProof/>
                <w:lang w:val="fr-CH" w:eastAsia="fr-CH"/>
              </w:rPr>
              <w:drawing>
                <wp:inline distT="0" distB="0" distL="0" distR="0" wp14:anchorId="338F7CB4" wp14:editId="22AFDC9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F87FB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B47B498" w14:textId="77777777" w:rsidR="009E6CB7" w:rsidRDefault="00801052" w:rsidP="00801052">
            <w:pPr>
              <w:spacing w:before="240" w:line="240" w:lineRule="exact"/>
            </w:pPr>
            <w:r>
              <w:t>Distr.: General</w:t>
            </w:r>
          </w:p>
          <w:p w14:paraId="48E7F865" w14:textId="2FEE6C82" w:rsidR="00801052" w:rsidRDefault="00801052" w:rsidP="00801052">
            <w:pPr>
              <w:spacing w:line="240" w:lineRule="exact"/>
            </w:pPr>
            <w:r>
              <w:t>2</w:t>
            </w:r>
            <w:r w:rsidR="00E10EBC">
              <w:t>3</w:t>
            </w:r>
            <w:r>
              <w:t xml:space="preserve"> September 2020</w:t>
            </w:r>
          </w:p>
          <w:p w14:paraId="063117FB" w14:textId="77777777" w:rsidR="00801052" w:rsidRDefault="00801052" w:rsidP="00801052">
            <w:pPr>
              <w:spacing w:line="240" w:lineRule="exact"/>
            </w:pPr>
          </w:p>
          <w:p w14:paraId="2471B122" w14:textId="77777777" w:rsidR="00801052" w:rsidRDefault="00801052" w:rsidP="00801052">
            <w:pPr>
              <w:spacing w:line="240" w:lineRule="exact"/>
            </w:pPr>
            <w:r>
              <w:t>Original: English</w:t>
            </w:r>
          </w:p>
        </w:tc>
      </w:tr>
    </w:tbl>
    <w:p w14:paraId="1925AF6F" w14:textId="77777777" w:rsidR="001F2816" w:rsidRPr="004F41C2" w:rsidRDefault="001F2816" w:rsidP="009E5A6B">
      <w:pPr>
        <w:spacing w:before="120"/>
        <w:rPr>
          <w:b/>
          <w:sz w:val="28"/>
          <w:szCs w:val="28"/>
        </w:rPr>
      </w:pPr>
      <w:r w:rsidRPr="004F41C2">
        <w:rPr>
          <w:b/>
          <w:sz w:val="28"/>
          <w:szCs w:val="28"/>
        </w:rPr>
        <w:t>Economic Commission for Europe</w:t>
      </w:r>
    </w:p>
    <w:p w14:paraId="55C7F28A" w14:textId="77777777" w:rsidR="001F2816" w:rsidRPr="004F41C2" w:rsidRDefault="001F2816" w:rsidP="009E5A6B">
      <w:pPr>
        <w:spacing w:before="120"/>
        <w:rPr>
          <w:bCs/>
          <w:sz w:val="28"/>
          <w:szCs w:val="28"/>
        </w:rPr>
      </w:pPr>
      <w:r w:rsidRPr="004F41C2">
        <w:rPr>
          <w:bCs/>
          <w:sz w:val="28"/>
          <w:szCs w:val="28"/>
        </w:rPr>
        <w:t xml:space="preserve">Meeting of the Parties to the Convention </w:t>
      </w:r>
      <w:r w:rsidRPr="004F41C2">
        <w:rPr>
          <w:bCs/>
          <w:sz w:val="28"/>
          <w:szCs w:val="28"/>
        </w:rPr>
        <w:br/>
        <w:t xml:space="preserve">on Environmental Impact Assessment in </w:t>
      </w:r>
      <w:r w:rsidRPr="004F41C2">
        <w:rPr>
          <w:bCs/>
          <w:sz w:val="28"/>
          <w:szCs w:val="28"/>
        </w:rPr>
        <w:br/>
        <w:t xml:space="preserve">a Transboundary Context serving as the </w:t>
      </w:r>
      <w:r w:rsidRPr="004F41C2">
        <w:rPr>
          <w:bCs/>
          <w:sz w:val="28"/>
          <w:szCs w:val="28"/>
        </w:rPr>
        <w:br/>
        <w:t xml:space="preserve">Meeting of the Parties to the Protocol on </w:t>
      </w:r>
      <w:r w:rsidRPr="004F41C2">
        <w:rPr>
          <w:bCs/>
          <w:sz w:val="28"/>
          <w:szCs w:val="28"/>
        </w:rPr>
        <w:br/>
        <w:t>Strategic Environmental Assessment</w:t>
      </w:r>
    </w:p>
    <w:p w14:paraId="72B08154" w14:textId="408EDDBE" w:rsidR="001F2816" w:rsidRPr="004F41C2" w:rsidRDefault="001F2816" w:rsidP="009E5A6B">
      <w:pPr>
        <w:spacing w:before="120"/>
        <w:rPr>
          <w:b/>
        </w:rPr>
      </w:pPr>
      <w:r>
        <w:rPr>
          <w:b/>
        </w:rPr>
        <w:t xml:space="preserve">Fourth </w:t>
      </w:r>
      <w:r w:rsidRPr="004F41C2">
        <w:rPr>
          <w:b/>
        </w:rPr>
        <w:t>session</w:t>
      </w:r>
    </w:p>
    <w:p w14:paraId="2A88F894" w14:textId="77777777" w:rsidR="001F2816" w:rsidRPr="006A553B" w:rsidRDefault="001F2816" w:rsidP="001F2816">
      <w:pPr>
        <w:spacing w:before="100" w:line="240" w:lineRule="auto"/>
        <w:rPr>
          <w:lang w:val="en-US"/>
        </w:rPr>
      </w:pPr>
      <w:r w:rsidRPr="006A553B">
        <w:rPr>
          <w:lang w:val="en-US"/>
        </w:rPr>
        <w:t>Vilnius, 8–11 December 2020</w:t>
      </w:r>
    </w:p>
    <w:p w14:paraId="5AACAA0A" w14:textId="52BD26E2" w:rsidR="001F2816" w:rsidRDefault="001F2816" w:rsidP="001F2816">
      <w:pPr>
        <w:spacing w:after="120"/>
      </w:pPr>
      <w:r w:rsidRPr="004F41C2">
        <w:t>Item</w:t>
      </w:r>
      <w:r w:rsidR="00350EE5">
        <w:t>s</w:t>
      </w:r>
      <w:r>
        <w:t xml:space="preserve"> </w:t>
      </w:r>
      <w:r>
        <w:rPr>
          <w:lang w:val="en-US"/>
        </w:rPr>
        <w:t>3</w:t>
      </w:r>
      <w:r w:rsidRPr="006A553B">
        <w:rPr>
          <w:lang w:val="en-US"/>
        </w:rPr>
        <w:t xml:space="preserve"> (</w:t>
      </w:r>
      <w:r>
        <w:rPr>
          <w:lang w:val="en-US"/>
        </w:rPr>
        <w:t>c</w:t>
      </w:r>
      <w:r w:rsidRPr="006A553B">
        <w:rPr>
          <w:lang w:val="en-US"/>
        </w:rPr>
        <w:t xml:space="preserve">) </w:t>
      </w:r>
      <w:r>
        <w:rPr>
          <w:lang w:val="en-US"/>
        </w:rPr>
        <w:t xml:space="preserve">and 8 (c) </w:t>
      </w:r>
      <w:r w:rsidRPr="004F41C2">
        <w:t>of the provisional agenda</w:t>
      </w:r>
    </w:p>
    <w:p w14:paraId="77C10E92" w14:textId="77777777" w:rsidR="001F2816" w:rsidRDefault="001F2816" w:rsidP="001F2816">
      <w:pPr>
        <w:spacing w:after="120" w:line="240" w:lineRule="auto"/>
        <w:rPr>
          <w:b/>
          <w:bCs/>
          <w:lang w:val="en-US"/>
        </w:rPr>
      </w:pPr>
      <w:r>
        <w:rPr>
          <w:b/>
          <w:bCs/>
          <w:lang w:val="en-US"/>
        </w:rPr>
        <w:t>Outstanding issues: draft decisions by the Meeting of the Parties</w:t>
      </w:r>
      <w:r>
        <w:rPr>
          <w:b/>
          <w:bCs/>
          <w:lang w:val="en-US"/>
        </w:rPr>
        <w:br/>
        <w:t>to the Protocol</w:t>
      </w:r>
    </w:p>
    <w:p w14:paraId="4458E4A9" w14:textId="3A6DD2B8" w:rsidR="001F2816" w:rsidRDefault="001F2816" w:rsidP="001F2816">
      <w:pPr>
        <w:spacing w:line="240" w:lineRule="auto"/>
        <w:rPr>
          <w:b/>
          <w:bCs/>
          <w:lang w:val="en-US"/>
        </w:rPr>
      </w:pPr>
      <w:r>
        <w:rPr>
          <w:b/>
          <w:bCs/>
          <w:lang w:val="en-US"/>
        </w:rPr>
        <w:t xml:space="preserve">Adoption of decisions: decisions to be taken by the Meeting of </w:t>
      </w:r>
      <w:r>
        <w:rPr>
          <w:b/>
          <w:bCs/>
          <w:lang w:val="en-US"/>
        </w:rPr>
        <w:br/>
        <w:t>the Parties to the Protocol</w:t>
      </w:r>
    </w:p>
    <w:p w14:paraId="2239A17B" w14:textId="5C3801AC" w:rsidR="001F2816" w:rsidRDefault="001F2816" w:rsidP="001F2816">
      <w:pPr>
        <w:pStyle w:val="HChG"/>
      </w:pPr>
      <w:r>
        <w:tab/>
      </w:r>
      <w:r>
        <w:tab/>
        <w:t>D</w:t>
      </w:r>
      <w:r w:rsidRPr="003947C5">
        <w:t xml:space="preserve">raft </w:t>
      </w:r>
      <w:r w:rsidRPr="00720A9D">
        <w:t>decision IV/4 on general issues of compliance with the Protocol</w:t>
      </w:r>
    </w:p>
    <w:p w14:paraId="42F93177" w14:textId="21C7076B" w:rsidR="001F2816" w:rsidRPr="0043741B" w:rsidRDefault="001F2816" w:rsidP="001F2816">
      <w:pPr>
        <w:pStyle w:val="H1G"/>
      </w:pPr>
      <w:r>
        <w:tab/>
      </w:r>
      <w:r>
        <w:tab/>
      </w:r>
      <w:r w:rsidRPr="0043741B">
        <w:t xml:space="preserve">Prepared by the Implementation Committee </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1F2816" w14:paraId="6AD5C57B" w14:textId="77777777" w:rsidTr="006E5E26">
        <w:trPr>
          <w:jc w:val="center"/>
        </w:trPr>
        <w:tc>
          <w:tcPr>
            <w:tcW w:w="9637" w:type="dxa"/>
            <w:shd w:val="clear" w:color="auto" w:fill="auto"/>
          </w:tcPr>
          <w:p w14:paraId="6B7461B8" w14:textId="77777777" w:rsidR="001F2816" w:rsidRPr="00C6263E" w:rsidRDefault="001F2816" w:rsidP="006E5E26">
            <w:pPr>
              <w:spacing w:before="240" w:after="120"/>
              <w:ind w:left="255"/>
              <w:rPr>
                <w:i/>
                <w:sz w:val="24"/>
              </w:rPr>
            </w:pPr>
            <w:r w:rsidRPr="00C6263E">
              <w:rPr>
                <w:i/>
                <w:sz w:val="24"/>
              </w:rPr>
              <w:t>Summary</w:t>
            </w:r>
          </w:p>
        </w:tc>
      </w:tr>
      <w:tr w:rsidR="001F2816" w14:paraId="4A7F2F87" w14:textId="77777777" w:rsidTr="006E5E26">
        <w:trPr>
          <w:jc w:val="center"/>
        </w:trPr>
        <w:tc>
          <w:tcPr>
            <w:tcW w:w="9637" w:type="dxa"/>
            <w:shd w:val="clear" w:color="auto" w:fill="auto"/>
          </w:tcPr>
          <w:p w14:paraId="46F9A0D2" w14:textId="72F94304" w:rsidR="001F2816" w:rsidRPr="001F2816" w:rsidRDefault="001F2816" w:rsidP="001F2816">
            <w:pPr>
              <w:pStyle w:val="SingleTxtG"/>
            </w:pPr>
            <w:r>
              <w:tab/>
            </w:r>
            <w:r>
              <w:tab/>
            </w:r>
            <w:r w:rsidRPr="001F2816">
              <w:t xml:space="preserve">The present document contains draft decision IV/4 on general issues of compliance with the Protocol. It was finalized by the Implementation Committee under the Convention on Environmental Impact Assessment in a Transboundary Context and its Protocol on Strategic Environmental Assessment at its forty-eighth session (Geneva, 1–4 September 2020) having taken into account the comments provided by the Working Group on Environmental Impact Assessment and Strategic Environmental Assessment during and after its ninth meeting (Geneva, 24–26 August 2020). </w:t>
            </w:r>
          </w:p>
          <w:p w14:paraId="2605E06B" w14:textId="7724B51D" w:rsidR="001F2816" w:rsidRDefault="001F2816" w:rsidP="006E5E26">
            <w:pPr>
              <w:pStyle w:val="SingleTxtG"/>
            </w:pPr>
            <w:r>
              <w:tab/>
            </w:r>
            <w:r>
              <w:tab/>
              <w:t>The Meeting of the Parties to the Convention is expected to review the draft decision and agree on its adoption.</w:t>
            </w:r>
          </w:p>
        </w:tc>
      </w:tr>
      <w:tr w:rsidR="001F2816" w14:paraId="556067C3" w14:textId="77777777" w:rsidTr="006E5E26">
        <w:trPr>
          <w:jc w:val="center"/>
        </w:trPr>
        <w:tc>
          <w:tcPr>
            <w:tcW w:w="9637" w:type="dxa"/>
            <w:shd w:val="clear" w:color="auto" w:fill="auto"/>
          </w:tcPr>
          <w:p w14:paraId="0C4F32E6" w14:textId="77777777" w:rsidR="001F2816" w:rsidRDefault="001F2816" w:rsidP="006E5E26"/>
        </w:tc>
      </w:tr>
    </w:tbl>
    <w:p w14:paraId="1086B163" w14:textId="63FAB62B" w:rsidR="001F2816" w:rsidRDefault="001F2816" w:rsidP="009E5A6B"/>
    <w:p w14:paraId="242B7899" w14:textId="77777777" w:rsidR="001F2816" w:rsidRDefault="001F2816">
      <w:pPr>
        <w:suppressAutoHyphens w:val="0"/>
        <w:spacing w:line="240" w:lineRule="auto"/>
      </w:pPr>
      <w:r>
        <w:br w:type="page"/>
      </w:r>
    </w:p>
    <w:p w14:paraId="52F45A0E" w14:textId="77777777" w:rsidR="001F2816" w:rsidRPr="00505856" w:rsidRDefault="001F2816" w:rsidP="001F2816">
      <w:pPr>
        <w:spacing w:after="120"/>
        <w:ind w:left="1170" w:right="1134"/>
        <w:jc w:val="both"/>
      </w:pPr>
      <w:r w:rsidRPr="00505856">
        <w:rPr>
          <w:i/>
        </w:rPr>
        <w:lastRenderedPageBreak/>
        <w:t>The Meeting of the Parties to the Convention serving as the Meeting of the Parties to the Protocol</w:t>
      </w:r>
      <w:r w:rsidRPr="00505856">
        <w:t>,</w:t>
      </w:r>
    </w:p>
    <w:p w14:paraId="032F9F29" w14:textId="07F6BC88" w:rsidR="001F2816" w:rsidRDefault="001F2816" w:rsidP="00A85C3E">
      <w:pPr>
        <w:pStyle w:val="SingleTxtG"/>
      </w:pPr>
      <w:r>
        <w:tab/>
      </w:r>
      <w:r>
        <w:tab/>
      </w:r>
      <w:r w:rsidRPr="00505856">
        <w:rPr>
          <w:i/>
        </w:rPr>
        <w:t>Recalling</w:t>
      </w:r>
      <w:r w:rsidRPr="00505856">
        <w:t xml:space="preserve"> article 14, paragraph 6, of the Protocol on Strategic Environmental Assessment to the Convention on Environmental Impact Assessment in a Transboundary Context, </w:t>
      </w:r>
    </w:p>
    <w:p w14:paraId="54F993BA" w14:textId="1FAB727E" w:rsidR="001F2816" w:rsidRPr="00505856" w:rsidRDefault="001F2816" w:rsidP="00A85C3E">
      <w:pPr>
        <w:pStyle w:val="SingleTxtG"/>
      </w:pPr>
      <w:r>
        <w:rPr>
          <w:i/>
        </w:rPr>
        <w:tab/>
      </w:r>
      <w:r>
        <w:rPr>
          <w:i/>
        </w:rPr>
        <w:tab/>
        <w:t xml:space="preserve">Recalling also </w:t>
      </w:r>
      <w:r w:rsidRPr="00505856">
        <w:t>decision V/6–I/6</w:t>
      </w:r>
      <w:r>
        <w:rPr>
          <w:rStyle w:val="FootnoteReference"/>
        </w:rPr>
        <w:footnoteReference w:id="2"/>
      </w:r>
      <w:r w:rsidRPr="00E630FB">
        <w:t xml:space="preserve"> of the </w:t>
      </w:r>
      <w:r w:rsidRPr="00505856">
        <w:t>Meeting of the Parties to the Convention and the Meeting of the Parties to the Convention serving as the Meeting of the Parties to the Protocol concerning the application of the compliance procedure of the Convention to the Protocol</w:t>
      </w:r>
      <w:r>
        <w:t>, and decisions</w:t>
      </w:r>
      <w:r w:rsidRPr="006E0361">
        <w:t xml:space="preserve"> </w:t>
      </w:r>
      <w:r>
        <w:t>II/2</w:t>
      </w:r>
      <w:r>
        <w:rPr>
          <w:rStyle w:val="FootnoteReference"/>
        </w:rPr>
        <w:footnoteReference w:id="3"/>
      </w:r>
      <w:r>
        <w:t xml:space="preserve"> and III/2</w:t>
      </w:r>
      <w:r>
        <w:rPr>
          <w:rStyle w:val="FootnoteReference"/>
        </w:rPr>
        <w:footnoteReference w:id="4"/>
      </w:r>
      <w:r w:rsidRPr="006E0361">
        <w:t xml:space="preserve"> on </w:t>
      </w:r>
      <w:r>
        <w:t xml:space="preserve">the </w:t>
      </w:r>
      <w:r w:rsidRPr="006E0361">
        <w:t xml:space="preserve">review of compliance with the </w:t>
      </w:r>
      <w:r>
        <w:t>Protocol</w:t>
      </w:r>
      <w:r w:rsidRPr="00505856">
        <w:t>,</w:t>
      </w:r>
    </w:p>
    <w:p w14:paraId="05A52A62" w14:textId="033CB1D9" w:rsidR="001F2816" w:rsidRPr="00505856" w:rsidRDefault="001F2816" w:rsidP="00A85C3E">
      <w:pPr>
        <w:pStyle w:val="SingleTxtG"/>
      </w:pPr>
      <w:r>
        <w:tab/>
      </w:r>
      <w:r w:rsidR="00A85C3E">
        <w:tab/>
      </w:r>
      <w:r w:rsidRPr="00505856">
        <w:rPr>
          <w:i/>
        </w:rPr>
        <w:t>Determined</w:t>
      </w:r>
      <w:r w:rsidRPr="00505856">
        <w:t xml:space="preserve"> to promote and improve compliance with the Protocol,</w:t>
      </w:r>
    </w:p>
    <w:p w14:paraId="2C57939F" w14:textId="07D8CF18" w:rsidR="001F2816" w:rsidRPr="00505856" w:rsidRDefault="001F2816" w:rsidP="00A85C3E">
      <w:pPr>
        <w:pStyle w:val="SingleTxtG"/>
      </w:pPr>
      <w:r w:rsidRPr="00505856">
        <w:tab/>
      </w:r>
      <w:r w:rsidR="0086226A">
        <w:tab/>
      </w:r>
      <w:r w:rsidRPr="00505856">
        <w:rPr>
          <w:i/>
        </w:rPr>
        <w:t>Seeking</w:t>
      </w:r>
      <w:r w:rsidRPr="00505856">
        <w:t xml:space="preserve"> to promote the identification, as early as possible, of</w:t>
      </w:r>
      <w:r>
        <w:t xml:space="preserve"> compliance </w:t>
      </w:r>
      <w:r w:rsidRPr="00505856">
        <w:t>difficulties encountered by Parties and the adoption of the most appropriate and effective solutions for resolving those difficulties,</w:t>
      </w:r>
    </w:p>
    <w:p w14:paraId="36C70012" w14:textId="4A7F75DF" w:rsidR="001F2816" w:rsidRPr="00505856" w:rsidRDefault="00A85C3E" w:rsidP="00A85C3E">
      <w:pPr>
        <w:pStyle w:val="SingleTxtG"/>
      </w:pPr>
      <w:r>
        <w:rPr>
          <w:i/>
        </w:rPr>
        <w:tab/>
      </w:r>
      <w:r w:rsidR="001F2816" w:rsidRPr="00505856">
        <w:rPr>
          <w:i/>
        </w:rPr>
        <w:tab/>
      </w:r>
      <w:r w:rsidR="001F2816" w:rsidRPr="00505856">
        <w:rPr>
          <w:i/>
          <w:iCs/>
        </w:rPr>
        <w:t xml:space="preserve">Having reviewed </w:t>
      </w:r>
      <w:r w:rsidR="001F2816" w:rsidRPr="00505856">
        <w:t>the structure and functions of the Implementation Committee under the two treaties, as adopted by the Meeting of the Parties to the Convention through its decisions III/2</w:t>
      </w:r>
      <w:r w:rsidR="001F2816" w:rsidRPr="00E630FB">
        <w:rPr>
          <w:vertAlign w:val="superscript"/>
        </w:rPr>
        <w:footnoteReference w:id="5"/>
      </w:r>
      <w:r w:rsidR="001F2816" w:rsidRPr="00E630FB">
        <w:rPr>
          <w:vertAlign w:val="superscript"/>
        </w:rPr>
        <w:t xml:space="preserve"> </w:t>
      </w:r>
      <w:r w:rsidR="001F2816" w:rsidRPr="00505856">
        <w:t>and VI/2,</w:t>
      </w:r>
      <w:r w:rsidR="001F2816" w:rsidRPr="00505856">
        <w:rPr>
          <w:vertAlign w:val="superscript"/>
        </w:rPr>
        <w:footnoteReference w:id="6"/>
      </w:r>
    </w:p>
    <w:p w14:paraId="0B5A8D0E" w14:textId="77777777" w:rsidR="001F2816" w:rsidRDefault="001F2816" w:rsidP="00A85C3E">
      <w:pPr>
        <w:pStyle w:val="SingleTxtG"/>
        <w:ind w:firstLine="567"/>
      </w:pPr>
      <w:r>
        <w:rPr>
          <w:i/>
          <w:iCs/>
        </w:rPr>
        <w:t>H</w:t>
      </w:r>
      <w:r w:rsidRPr="00505856">
        <w:rPr>
          <w:i/>
          <w:iCs/>
        </w:rPr>
        <w:t>aving reviewed</w:t>
      </w:r>
      <w:r>
        <w:rPr>
          <w:i/>
          <w:iCs/>
        </w:rPr>
        <w:t xml:space="preserve"> also</w:t>
      </w:r>
      <w:r w:rsidRPr="00505856">
        <w:t xml:space="preserve"> the operating rules adopted by decision IV/2,</w:t>
      </w:r>
      <w:r w:rsidRPr="00505856">
        <w:rPr>
          <w:sz w:val="18"/>
          <w:vertAlign w:val="superscript"/>
        </w:rPr>
        <w:footnoteReference w:id="7"/>
      </w:r>
      <w:r w:rsidRPr="00505856">
        <w:t xml:space="preserve"> as amended by decisions V/4</w:t>
      </w:r>
      <w:r>
        <w:t>,</w:t>
      </w:r>
      <w:r w:rsidRPr="00505856">
        <w:rPr>
          <w:sz w:val="18"/>
          <w:vertAlign w:val="superscript"/>
        </w:rPr>
        <w:footnoteReference w:id="8"/>
      </w:r>
      <w:r w:rsidRPr="00505856">
        <w:t xml:space="preserve"> </w:t>
      </w:r>
      <w:r>
        <w:t xml:space="preserve">annex, </w:t>
      </w:r>
      <w:r w:rsidRPr="00505856">
        <w:t>and VI/2,</w:t>
      </w:r>
      <w:r w:rsidRPr="00505856">
        <w:rPr>
          <w:sz w:val="18"/>
          <w:vertAlign w:val="superscript"/>
        </w:rPr>
        <w:footnoteReference w:id="9"/>
      </w:r>
      <w:r>
        <w:t xml:space="preserve"> annex II,</w:t>
      </w:r>
      <w:r w:rsidRPr="00505856">
        <w:t xml:space="preserve"> </w:t>
      </w:r>
    </w:p>
    <w:p w14:paraId="2BE215BF" w14:textId="77777777" w:rsidR="001F2816" w:rsidRPr="00505856" w:rsidRDefault="001F2816" w:rsidP="00A85C3E">
      <w:pPr>
        <w:pStyle w:val="SingleTxtG"/>
        <w:ind w:firstLine="567"/>
      </w:pPr>
      <w:r w:rsidRPr="00371C82">
        <w:rPr>
          <w:i/>
          <w:iCs/>
        </w:rPr>
        <w:t>Recognizing</w:t>
      </w:r>
      <w:r w:rsidRPr="00505856">
        <w:t xml:space="preserve"> the importance of improving the effectiveness of the compliance mechanism under the Convention</w:t>
      </w:r>
      <w:r>
        <w:t xml:space="preserve"> </w:t>
      </w:r>
      <w:r w:rsidRPr="00A0384A">
        <w:t>in view of the growing number and complexity of compliance issues brought before the Committee</w:t>
      </w:r>
      <w:r w:rsidRPr="00505856">
        <w:t>,</w:t>
      </w:r>
    </w:p>
    <w:p w14:paraId="1B691B0D" w14:textId="16D9D404" w:rsidR="001F2816" w:rsidRPr="00505856" w:rsidRDefault="00A85C3E" w:rsidP="00A85C3E">
      <w:pPr>
        <w:pStyle w:val="SingleTxtG"/>
      </w:pPr>
      <w:r>
        <w:tab/>
      </w:r>
      <w:r w:rsidR="001F2816" w:rsidRPr="00505856">
        <w:tab/>
      </w:r>
      <w:r w:rsidR="001F2816" w:rsidRPr="00505856">
        <w:rPr>
          <w:i/>
        </w:rPr>
        <w:t>Recognizing</w:t>
      </w:r>
      <w:r w:rsidR="001F2816">
        <w:rPr>
          <w:i/>
        </w:rPr>
        <w:t xml:space="preserve"> also</w:t>
      </w:r>
      <w:r w:rsidR="001F2816" w:rsidRPr="00505856">
        <w:t xml:space="preserve"> the importance of rigorous reporting by Parties of their compliance with the Protocol, </w:t>
      </w:r>
      <w:r w:rsidR="001F2816">
        <w:t>and noting</w:t>
      </w:r>
      <w:r w:rsidR="001F2816" w:rsidRPr="00505856">
        <w:t xml:space="preserve"> the </w:t>
      </w:r>
      <w:r w:rsidR="001F2816">
        <w:t>third</w:t>
      </w:r>
      <w:r w:rsidR="001F2816" w:rsidRPr="00505856">
        <w:t xml:space="preserve"> review of the implementation of the Protocol</w:t>
      </w:r>
      <w:r w:rsidR="001F2816" w:rsidRPr="00505856">
        <w:rPr>
          <w:sz w:val="18"/>
          <w:vertAlign w:val="superscript"/>
        </w:rPr>
        <w:footnoteReference w:id="10"/>
      </w:r>
      <w:r w:rsidR="001F2816" w:rsidRPr="00505856">
        <w:t xml:space="preserve"> based on Parties’ answers to the questionnaires on the implementation of the Convention and the Protocol, as adopted in its decision </w:t>
      </w:r>
      <w:r w:rsidR="001F2816">
        <w:t>I</w:t>
      </w:r>
      <w:r w:rsidR="001F2816" w:rsidRPr="00275E8C">
        <w:t>V/5,</w:t>
      </w:r>
      <w:r w:rsidR="001F2816">
        <w:rPr>
          <w:rStyle w:val="FootnoteReference"/>
        </w:rPr>
        <w:footnoteReference w:id="11"/>
      </w:r>
    </w:p>
    <w:p w14:paraId="2A3F9352" w14:textId="3DA76C6E" w:rsidR="001F2816" w:rsidRDefault="00A85C3E" w:rsidP="00A85C3E">
      <w:pPr>
        <w:pStyle w:val="SingleTxtG"/>
      </w:pPr>
      <w:r>
        <w:tab/>
      </w:r>
      <w:r w:rsidR="001F2816" w:rsidRPr="00505856">
        <w:tab/>
      </w:r>
      <w:r w:rsidR="001F2816" w:rsidRPr="00505856">
        <w:rPr>
          <w:i/>
        </w:rPr>
        <w:t>Recalling</w:t>
      </w:r>
      <w:r w:rsidR="001F2816" w:rsidRPr="00505856">
        <w:t xml:space="preserve"> that the compliance procedure is assistance-</w:t>
      </w:r>
      <w:proofErr w:type="gramStart"/>
      <w:r w:rsidR="001F2816" w:rsidRPr="00505856">
        <w:t>oriented</w:t>
      </w:r>
      <w:proofErr w:type="gramEnd"/>
      <w:r w:rsidR="001F2816" w:rsidRPr="00505856">
        <w:t xml:space="preserve"> and that Parties may make submissions to the Implementation Committee on issues regarding their compliance with the Protocol,</w:t>
      </w:r>
    </w:p>
    <w:p w14:paraId="64038335" w14:textId="77777777" w:rsidR="001F2816" w:rsidRDefault="001F2816" w:rsidP="00A85C3E">
      <w:pPr>
        <w:pStyle w:val="SingleTxtG"/>
        <w:ind w:firstLine="567"/>
      </w:pPr>
      <w:r w:rsidRPr="00EE0C64">
        <w:rPr>
          <w:i/>
          <w:iCs/>
        </w:rPr>
        <w:t>Noting</w:t>
      </w:r>
      <w:r w:rsidRPr="00717AFE">
        <w:t xml:space="preserve"> that </w:t>
      </w:r>
      <w:r>
        <w:t xml:space="preserve">several compliance issues considered by the Committee related to or revealed shortcomings in the concerned Parties’ national legislation to implement the Convention and/or the Protocol, </w:t>
      </w:r>
    </w:p>
    <w:p w14:paraId="75CD80F6" w14:textId="77777777" w:rsidR="001F2816" w:rsidRDefault="001F2816" w:rsidP="00A85C3E">
      <w:pPr>
        <w:pStyle w:val="SingleTxtG"/>
        <w:ind w:firstLine="567"/>
      </w:pPr>
      <w:r w:rsidRPr="00EE0C64">
        <w:rPr>
          <w:i/>
          <w:iCs/>
        </w:rPr>
        <w:t>Acknowledging</w:t>
      </w:r>
      <w:r>
        <w:t xml:space="preserve"> the secretariat’s long-standing, donor-funded, technical assistance to countries in Eastern Europe, the Caucasus and Central Asia for aligning their legislation with the Convention and the Protocol, and encouraging the beneficiary countries of that assistance to bring their legislation into full compliance with the two treaties and, if not yet Parties, to ratify them,</w:t>
      </w:r>
    </w:p>
    <w:p w14:paraId="67D94F1B" w14:textId="5AF77CAB" w:rsidR="001F2816" w:rsidRPr="00505856" w:rsidRDefault="00A85C3E" w:rsidP="00A85C3E">
      <w:pPr>
        <w:pStyle w:val="SingleTxtG"/>
      </w:pPr>
      <w:r>
        <w:tab/>
      </w:r>
      <w:r w:rsidR="001F2816" w:rsidRPr="00505856">
        <w:tab/>
        <w:t>1.</w:t>
      </w:r>
      <w:r w:rsidR="001F2816" w:rsidRPr="00505856">
        <w:tab/>
      </w:r>
      <w:r w:rsidR="001F2816" w:rsidRPr="00505856">
        <w:rPr>
          <w:i/>
        </w:rPr>
        <w:t>Adopts</w:t>
      </w:r>
      <w:r w:rsidR="001F2816" w:rsidRPr="00505856">
        <w:t xml:space="preserve"> the Implementation Committee’s report on its activities contained in document ECE/MP.EIA/20</w:t>
      </w:r>
      <w:r w:rsidR="001F2816">
        <w:t>20</w:t>
      </w:r>
      <w:r w:rsidR="001F2816" w:rsidRPr="00505856">
        <w:t>/</w:t>
      </w:r>
      <w:r w:rsidR="001F2816">
        <w:t>4</w:t>
      </w:r>
      <w:r w:rsidR="001F2816" w:rsidRPr="00505856">
        <w:t>–ECE/MP.EIA/SEA/20</w:t>
      </w:r>
      <w:r w:rsidR="001F2816">
        <w:t>20</w:t>
      </w:r>
      <w:r w:rsidR="001F2816" w:rsidRPr="00505856">
        <w:t>/</w:t>
      </w:r>
      <w:r w:rsidR="001F2816">
        <w:t>4</w:t>
      </w:r>
      <w:r w:rsidR="001F2816" w:rsidRPr="00505856">
        <w:t>;</w:t>
      </w:r>
    </w:p>
    <w:p w14:paraId="16BCB4D3" w14:textId="63769B9D" w:rsidR="001F2816" w:rsidRPr="00505856" w:rsidRDefault="001F2816" w:rsidP="00A85C3E">
      <w:pPr>
        <w:pStyle w:val="SingleTxtG"/>
        <w:ind w:firstLine="567"/>
      </w:pPr>
      <w:r w:rsidRPr="00505856">
        <w:t>2.</w:t>
      </w:r>
      <w:r w:rsidRPr="00505856">
        <w:tab/>
      </w:r>
      <w:r w:rsidRPr="00505856">
        <w:rPr>
          <w:i/>
        </w:rPr>
        <w:t>Welcomes</w:t>
      </w:r>
      <w:r w:rsidRPr="00505856">
        <w:t xml:space="preserve"> the </w:t>
      </w:r>
      <w:r>
        <w:t xml:space="preserve">Committee’s </w:t>
      </w:r>
      <w:r w:rsidRPr="00505856">
        <w:t xml:space="preserve">reports </w:t>
      </w:r>
      <w:r>
        <w:t xml:space="preserve">on its sessions </w:t>
      </w:r>
      <w:r w:rsidRPr="00505856">
        <w:t xml:space="preserve">in the period following the </w:t>
      </w:r>
      <w:r>
        <w:t>third</w:t>
      </w:r>
      <w:r w:rsidRPr="00505856">
        <w:t xml:space="preserve"> session of the Meeting of the Parties to the Convention serving as the Meeting of the Parties to the Protocol</w:t>
      </w:r>
      <w:r>
        <w:t xml:space="preserve"> (Minsk, 13–16 June 2017)</w:t>
      </w:r>
      <w:r w:rsidRPr="00505856">
        <w:t>;</w:t>
      </w:r>
    </w:p>
    <w:p w14:paraId="6071B959" w14:textId="583CBAAA" w:rsidR="001F2816" w:rsidRPr="00505856" w:rsidRDefault="00A85C3E" w:rsidP="001F2816">
      <w:pPr>
        <w:spacing w:after="120"/>
        <w:ind w:left="1134" w:right="1134"/>
        <w:jc w:val="both"/>
      </w:pPr>
      <w:bookmarkStart w:id="3" w:name="_GoBack"/>
      <w:bookmarkEnd w:id="3"/>
      <w:r>
        <w:rPr>
          <w:i/>
        </w:rPr>
        <w:lastRenderedPageBreak/>
        <w:tab/>
      </w:r>
      <w:r w:rsidR="001F2816" w:rsidRPr="00505856">
        <w:rPr>
          <w:i/>
        </w:rPr>
        <w:tab/>
      </w:r>
      <w:r w:rsidR="001F2816" w:rsidRPr="00505856">
        <w:t>3.</w:t>
      </w:r>
      <w:r w:rsidR="001F2816" w:rsidRPr="00505856">
        <w:tab/>
      </w:r>
      <w:r w:rsidR="001F2816" w:rsidRPr="00505856">
        <w:rPr>
          <w:i/>
        </w:rPr>
        <w:t>Requests</w:t>
      </w:r>
      <w:r w:rsidR="001F2816" w:rsidRPr="00505856">
        <w:t xml:space="preserve"> the Implementation Committee</w:t>
      </w:r>
      <w:r w:rsidR="001F2816">
        <w:t xml:space="preserve"> to</w:t>
      </w:r>
      <w:r w:rsidR="001F2816" w:rsidRPr="00505856">
        <w:t>:</w:t>
      </w:r>
    </w:p>
    <w:p w14:paraId="05E07C1A" w14:textId="2CD1E36D" w:rsidR="001F2816" w:rsidRPr="00505856" w:rsidRDefault="001F2816" w:rsidP="000921EF">
      <w:pPr>
        <w:spacing w:after="120"/>
        <w:ind w:left="1134" w:right="1134" w:firstLine="567"/>
        <w:jc w:val="both"/>
      </w:pPr>
      <w:r w:rsidRPr="00505856">
        <w:tab/>
      </w:r>
      <w:r w:rsidR="00A85C3E">
        <w:tab/>
      </w:r>
      <w:r w:rsidRPr="00505856">
        <w:t>(a)</w:t>
      </w:r>
      <w:r w:rsidRPr="00505856">
        <w:tab/>
      </w:r>
      <w:r>
        <w:t>K</w:t>
      </w:r>
      <w:r w:rsidRPr="00505856">
        <w:t>eep the implementation and application of the Protocol under review;</w:t>
      </w:r>
    </w:p>
    <w:p w14:paraId="1005B316" w14:textId="0B0E9402" w:rsidR="001F2816" w:rsidRPr="00505856" w:rsidRDefault="00A85C3E" w:rsidP="000921EF">
      <w:pPr>
        <w:spacing w:after="120"/>
        <w:ind w:left="1134" w:right="1134" w:firstLine="567"/>
        <w:jc w:val="both"/>
      </w:pPr>
      <w:r>
        <w:tab/>
      </w:r>
      <w:r w:rsidR="001F2816" w:rsidRPr="00505856">
        <w:tab/>
        <w:t>(b)</w:t>
      </w:r>
      <w:r w:rsidR="001F2816" w:rsidRPr="00505856">
        <w:tab/>
      </w:r>
      <w:r w:rsidR="001F2816">
        <w:t>P</w:t>
      </w:r>
      <w:r w:rsidR="001F2816" w:rsidRPr="00505856">
        <w:t xml:space="preserve">romote and support compliance with the Protocol, </w:t>
      </w:r>
      <w:r w:rsidR="001F2816">
        <w:t xml:space="preserve">including by </w:t>
      </w:r>
      <w:r w:rsidR="001F2816" w:rsidRPr="00505856">
        <w:t>provid</w:t>
      </w:r>
      <w:r w:rsidR="001F2816">
        <w:t xml:space="preserve">ing </w:t>
      </w:r>
      <w:r w:rsidR="001F2816" w:rsidRPr="00505856">
        <w:t>assistance in this respect, as necessary;</w:t>
      </w:r>
    </w:p>
    <w:p w14:paraId="45B40AF7" w14:textId="4950C82C" w:rsidR="001F2816" w:rsidRDefault="00A85C3E" w:rsidP="001F2816">
      <w:pPr>
        <w:spacing w:after="120"/>
        <w:ind w:left="1134" w:right="1134"/>
        <w:jc w:val="both"/>
      </w:pPr>
      <w:r>
        <w:rPr>
          <w:i/>
        </w:rPr>
        <w:tab/>
      </w:r>
      <w:r w:rsidR="001F2816">
        <w:rPr>
          <w:i/>
        </w:rPr>
        <w:tab/>
      </w:r>
      <w:r w:rsidR="001F2816" w:rsidRPr="00505856">
        <w:t>4.</w:t>
      </w:r>
      <w:r w:rsidR="001F2816" w:rsidRPr="00505856">
        <w:tab/>
      </w:r>
      <w:r w:rsidR="001F2816" w:rsidRPr="00505856">
        <w:rPr>
          <w:i/>
        </w:rPr>
        <w:t xml:space="preserve">Welcomes </w:t>
      </w:r>
      <w:r w:rsidR="001F2816" w:rsidRPr="00505856">
        <w:t xml:space="preserve">the examination by the Committee of specific compliance issues identified in the </w:t>
      </w:r>
      <w:r w:rsidR="001F2816">
        <w:t>second</w:t>
      </w:r>
      <w:r w:rsidR="001F2816" w:rsidRPr="00505856">
        <w:t xml:space="preserve"> review of implementation of the Protocol</w:t>
      </w:r>
      <w:r w:rsidR="001F2816" w:rsidRPr="00505856">
        <w:rPr>
          <w:sz w:val="18"/>
          <w:vertAlign w:val="superscript"/>
        </w:rPr>
        <w:footnoteReference w:id="12"/>
      </w:r>
      <w:r w:rsidR="001F2816" w:rsidRPr="00505856">
        <w:t xml:space="preserve"> regarding </w:t>
      </w:r>
      <w:r w:rsidR="001F2816">
        <w:t>Italy and Serbia</w:t>
      </w:r>
      <w:r w:rsidR="001F2816" w:rsidRPr="00505856">
        <w:t>, which</w:t>
      </w:r>
      <w:r w:rsidR="001F2816">
        <w:t>:</w:t>
      </w:r>
    </w:p>
    <w:p w14:paraId="27157382" w14:textId="7F5423F9" w:rsidR="001F2816" w:rsidRPr="00A85C3E" w:rsidRDefault="001F2816" w:rsidP="000921EF">
      <w:pPr>
        <w:pStyle w:val="SingleTxtG"/>
        <w:ind w:left="1701" w:firstLine="567"/>
      </w:pPr>
      <w:r w:rsidRPr="00A85C3E">
        <w:t>(a)</w:t>
      </w:r>
      <w:r w:rsidR="000921EF">
        <w:tab/>
      </w:r>
      <w:r w:rsidRPr="00A85C3E">
        <w:t>In the case of Italy, resulted in the Committee declaring its satisfaction with the clarifications provided by the Party,</w:t>
      </w:r>
    </w:p>
    <w:p w14:paraId="7CFD0A87" w14:textId="77777777" w:rsidR="001F2816" w:rsidRDefault="001F2816" w:rsidP="000921EF">
      <w:pPr>
        <w:pStyle w:val="SingleTxtG"/>
        <w:ind w:left="1701" w:firstLine="567"/>
      </w:pPr>
      <w:r>
        <w:t>(b)</w:t>
      </w:r>
      <w:r>
        <w:tab/>
        <w:t>I</w:t>
      </w:r>
      <w:r w:rsidRPr="00505856">
        <w:t xml:space="preserve">n the case of </w:t>
      </w:r>
      <w:r>
        <w:t xml:space="preserve">Serbia, will </w:t>
      </w:r>
      <w:r w:rsidRPr="00537BBB">
        <w:t>require further consideration by the Committee at its upcoming sessions</w:t>
      </w:r>
      <w:r>
        <w:t xml:space="preserve"> due to the lack of response from the Party concerned</w:t>
      </w:r>
      <w:r w:rsidRPr="00505856">
        <w:t>;</w:t>
      </w:r>
    </w:p>
    <w:p w14:paraId="1289E81D" w14:textId="77777777" w:rsidR="001F2816" w:rsidRPr="00660B78" w:rsidRDefault="001F2816" w:rsidP="00660B78">
      <w:pPr>
        <w:pStyle w:val="SingleTxtG"/>
        <w:ind w:firstLine="567"/>
      </w:pPr>
      <w:r w:rsidRPr="00660B78">
        <w:t>5.</w:t>
      </w:r>
      <w:r w:rsidRPr="00660B78">
        <w:tab/>
        <w:t>Also welcomes the examination by the Committee of the specific compliance issues identified in the first review of implementation of the Protocol</w:t>
      </w:r>
      <w:r w:rsidRPr="00660B78">
        <w:footnoteReference w:id="13"/>
      </w:r>
      <w:r w:rsidRPr="00660B78">
        <w:t xml:space="preserve"> regarding the European Union, which will require further consideration by the Committee at its upcoming sessions;</w:t>
      </w:r>
    </w:p>
    <w:p w14:paraId="4F9A58CE" w14:textId="77777777" w:rsidR="001F2816" w:rsidRPr="00660B78" w:rsidRDefault="001F2816" w:rsidP="00660B78">
      <w:pPr>
        <w:pStyle w:val="SingleTxtG"/>
        <w:ind w:firstLine="567"/>
      </w:pPr>
      <w:r w:rsidRPr="00660B78">
        <w:t>6.</w:t>
      </w:r>
      <w:r w:rsidRPr="00660B78">
        <w:tab/>
        <w:t xml:space="preserve">Further welcomes the examination by the Committee of information received from other sources, including the public, regarding Poland, Serbia and Ukraine, which resulted in the Committee declaring its satisfaction with the clarifications provided by Ukraine, in the case of Serbia led to a Committee initiative, and in the case of Poland will require further gathering of information at its forthcoming sessions; </w:t>
      </w:r>
    </w:p>
    <w:p w14:paraId="6F4DC07B" w14:textId="0E4E6E72" w:rsidR="001F2816" w:rsidRPr="00660B78" w:rsidRDefault="001F2816" w:rsidP="00660B78">
      <w:pPr>
        <w:pStyle w:val="SingleTxtG"/>
        <w:ind w:firstLine="567"/>
      </w:pPr>
      <w:r w:rsidRPr="00660B78">
        <w:t>7.</w:t>
      </w:r>
      <w:r w:rsidRPr="00660B78">
        <w:tab/>
        <w:t xml:space="preserve">Recognizes the efforts undertaken by the Committee thus far to review the effectiveness and efficiency of its working methods and practice with a view to addressing the growing number and increasing complexity of compliance issues brought before the Committee; and invites the Committee to pursue this work in its subsequent sessions; </w:t>
      </w:r>
    </w:p>
    <w:p w14:paraId="14DE333C" w14:textId="77777777" w:rsidR="001F2816" w:rsidRDefault="001F2816" w:rsidP="00660B78">
      <w:pPr>
        <w:pStyle w:val="SingleTxtG"/>
        <w:ind w:firstLine="567"/>
      </w:pPr>
      <w:r>
        <w:t>8</w:t>
      </w:r>
      <w:r w:rsidRPr="00AC393F">
        <w:t>.</w:t>
      </w:r>
      <w:r w:rsidRPr="00AC393F">
        <w:tab/>
      </w:r>
      <w:r w:rsidRPr="00827026">
        <w:rPr>
          <w:i/>
          <w:iCs/>
        </w:rPr>
        <w:t>Notes with regret</w:t>
      </w:r>
      <w:r w:rsidRPr="00827026">
        <w:t xml:space="preserve"> </w:t>
      </w:r>
      <w:r w:rsidRPr="00AC393F">
        <w:t xml:space="preserve">that the Committee’s work is hindered by </w:t>
      </w:r>
      <w:r>
        <w:t xml:space="preserve">the </w:t>
      </w:r>
      <w:r w:rsidRPr="00AC393F">
        <w:t>lateness and insufficient quality of responses by some Parties concerned, and, in some cases, also by their refusal to respond and to cooperate</w:t>
      </w:r>
      <w:r>
        <w:t xml:space="preserve">; </w:t>
      </w:r>
    </w:p>
    <w:p w14:paraId="2B6044B6" w14:textId="77777777" w:rsidR="001F2816" w:rsidRDefault="001F2816" w:rsidP="00660B78">
      <w:pPr>
        <w:pStyle w:val="SingleTxtG"/>
        <w:ind w:firstLine="567"/>
      </w:pPr>
      <w:r w:rsidRPr="003D5CD8">
        <w:t>9.</w:t>
      </w:r>
      <w:r>
        <w:rPr>
          <w:i/>
          <w:iCs/>
        </w:rPr>
        <w:tab/>
      </w:r>
      <w:r w:rsidRPr="003D5CD8">
        <w:rPr>
          <w:i/>
          <w:iCs/>
        </w:rPr>
        <w:t>Strongly urges</w:t>
      </w:r>
      <w:r>
        <w:t xml:space="preserve"> </w:t>
      </w:r>
      <w:r w:rsidRPr="00EA4732">
        <w:t>Parties</w:t>
      </w:r>
      <w:r w:rsidRPr="00827026">
        <w:t xml:space="preserve"> </w:t>
      </w:r>
      <w:r w:rsidRPr="00EA4732">
        <w:t xml:space="preserve">to facilitate the Committee’s work in good faith by providing </w:t>
      </w:r>
      <w:r>
        <w:t xml:space="preserve">it with </w:t>
      </w:r>
      <w:r w:rsidRPr="00EA4732">
        <w:t>the requested information in a timely manner and in good quality</w:t>
      </w:r>
      <w:r w:rsidRPr="00AC393F">
        <w:t>;</w:t>
      </w:r>
    </w:p>
    <w:p w14:paraId="2738D1A3" w14:textId="77777777" w:rsidR="001F2816" w:rsidRPr="00505856" w:rsidRDefault="001F2816" w:rsidP="00660B78">
      <w:pPr>
        <w:pStyle w:val="SingleTxtG"/>
        <w:ind w:firstLine="567"/>
      </w:pPr>
      <w:r>
        <w:t>10</w:t>
      </w:r>
      <w:r w:rsidRPr="00505856">
        <w:t>.</w:t>
      </w:r>
      <w:r w:rsidRPr="00505856">
        <w:tab/>
      </w:r>
      <w:r w:rsidRPr="00505856">
        <w:rPr>
          <w:i/>
        </w:rPr>
        <w:t>Encourages</w:t>
      </w:r>
      <w:r w:rsidRPr="00505856">
        <w:t xml:space="preserve"> Parties to bring issues concerning their own compliance before the Committee;</w:t>
      </w:r>
    </w:p>
    <w:p w14:paraId="49CF13AF" w14:textId="77777777" w:rsidR="001F2816" w:rsidRPr="0065741D" w:rsidRDefault="001F2816" w:rsidP="00660B78">
      <w:pPr>
        <w:pStyle w:val="SingleTxtG"/>
        <w:ind w:firstLine="567"/>
        <w:rPr>
          <w:iCs/>
        </w:rPr>
      </w:pPr>
      <w:r w:rsidRPr="00EE0C64">
        <w:t>1</w:t>
      </w:r>
      <w:r>
        <w:t>1</w:t>
      </w:r>
      <w:r w:rsidRPr="00EE0C64">
        <w:t>.</w:t>
      </w:r>
      <w:r w:rsidRPr="00EE0C64">
        <w:tab/>
      </w:r>
      <w:r w:rsidRPr="0065741D">
        <w:rPr>
          <w:i/>
        </w:rPr>
        <w:t>Requests</w:t>
      </w:r>
      <w:r w:rsidRPr="00EE0C64">
        <w:rPr>
          <w:iCs/>
        </w:rPr>
        <w:t xml:space="preserve"> the Implementation Committee to assist Parties in aligning their legislation with the Convention and the Protocol, as needed, and to the extent possible, including through cooperating with the secretariat in the context </w:t>
      </w:r>
      <w:r>
        <w:rPr>
          <w:iCs/>
        </w:rPr>
        <w:t xml:space="preserve">of </w:t>
      </w:r>
      <w:r w:rsidRPr="00EE0C64">
        <w:rPr>
          <w:iCs/>
        </w:rPr>
        <w:t>the technical assistance provided by the secretariat in accordance with the workplan for 2021</w:t>
      </w:r>
      <w:r>
        <w:rPr>
          <w:iCs/>
        </w:rPr>
        <w:t>–</w:t>
      </w:r>
      <w:r w:rsidRPr="00EE0C64">
        <w:rPr>
          <w:iCs/>
        </w:rPr>
        <w:t>2023 adopted through decision VIII/2–IV/2</w:t>
      </w:r>
      <w:r>
        <w:rPr>
          <w:rStyle w:val="FootnoteReference"/>
          <w:iCs/>
        </w:rPr>
        <w:footnoteReference w:id="14"/>
      </w:r>
      <w:r w:rsidRPr="00EE0C64">
        <w:rPr>
          <w:iCs/>
        </w:rPr>
        <w:t>;</w:t>
      </w:r>
    </w:p>
    <w:p w14:paraId="283306A1" w14:textId="77777777" w:rsidR="001F2816" w:rsidRPr="00505856" w:rsidRDefault="001F2816" w:rsidP="00660B78">
      <w:pPr>
        <w:pStyle w:val="SingleTxtG"/>
        <w:ind w:firstLine="567"/>
      </w:pPr>
      <w:r>
        <w:t>12</w:t>
      </w:r>
      <w:r w:rsidRPr="00505856">
        <w:t>.</w:t>
      </w:r>
      <w:r w:rsidRPr="00505856">
        <w:tab/>
      </w:r>
      <w:r w:rsidRPr="00505856">
        <w:rPr>
          <w:i/>
        </w:rPr>
        <w:t>Urges</w:t>
      </w:r>
      <w:r w:rsidRPr="00505856">
        <w:t xml:space="preserve"> Parties to take into account in their further work the recommendations for further improving the implementation of and compliance with the Protocol, including by strengthening national legislation, based on</w:t>
      </w:r>
      <w:r>
        <w:t>,</w:t>
      </w:r>
      <w:r w:rsidRPr="00505856">
        <w:t xml:space="preserve"> but not limited to</w:t>
      </w:r>
      <w:r>
        <w:t>,</w:t>
      </w:r>
      <w:r w:rsidRPr="00505856">
        <w:t xml:space="preserve"> the analyses o</w:t>
      </w:r>
      <w:r>
        <w:t>f</w:t>
      </w:r>
      <w:r w:rsidRPr="00505856">
        <w:t xml:space="preserve"> general compliance issues from the reviews of implementation</w:t>
      </w:r>
      <w:r>
        <w:t xml:space="preserve"> listed in</w:t>
      </w:r>
      <w:r w:rsidRPr="00505856">
        <w:t xml:space="preserve"> its decisions II/1</w:t>
      </w:r>
      <w:r>
        <w:t>,</w:t>
      </w:r>
      <w:r>
        <w:rPr>
          <w:rStyle w:val="FootnoteReference"/>
        </w:rPr>
        <w:footnoteReference w:id="15"/>
      </w:r>
      <w:r w:rsidRPr="00505856">
        <w:t xml:space="preserve"> III/1</w:t>
      </w:r>
      <w:r>
        <w:rPr>
          <w:rStyle w:val="FootnoteReference"/>
        </w:rPr>
        <w:footnoteReference w:id="16"/>
      </w:r>
      <w:r w:rsidRPr="00505856">
        <w:t xml:space="preserve"> </w:t>
      </w:r>
      <w:r>
        <w:t>and IV/5</w:t>
      </w:r>
      <w:r w:rsidRPr="00505856">
        <w:t xml:space="preserve">, as well as the </w:t>
      </w:r>
      <w:r w:rsidRPr="003D5CD8">
        <w:rPr>
          <w:i/>
          <w:iCs/>
        </w:rPr>
        <w:t>Good Practice Recommendations on Public Participation in Strategic Environmental Assessment</w:t>
      </w:r>
      <w:r w:rsidRPr="00505856">
        <w:t>,</w:t>
      </w:r>
      <w:r w:rsidRPr="00505856">
        <w:rPr>
          <w:sz w:val="18"/>
          <w:vertAlign w:val="superscript"/>
        </w:rPr>
        <w:footnoteReference w:id="17"/>
      </w:r>
      <w:r w:rsidRPr="00505856">
        <w:t xml:space="preserve"> endorsed by Parties </w:t>
      </w:r>
      <w:r>
        <w:t xml:space="preserve">through </w:t>
      </w:r>
      <w:r w:rsidRPr="00505856">
        <w:t>decision II/8;</w:t>
      </w:r>
      <w:r>
        <w:rPr>
          <w:rStyle w:val="FootnoteReference"/>
        </w:rPr>
        <w:footnoteReference w:id="18"/>
      </w:r>
    </w:p>
    <w:p w14:paraId="48921119" w14:textId="77777777" w:rsidR="001F2816" w:rsidRDefault="001F2816" w:rsidP="00660B78">
      <w:pPr>
        <w:pStyle w:val="SingleTxtG"/>
        <w:ind w:firstLine="567"/>
      </w:pPr>
      <w:r>
        <w:lastRenderedPageBreak/>
        <w:t>13</w:t>
      </w:r>
      <w:r w:rsidRPr="00505856">
        <w:t>.</w:t>
      </w:r>
      <w:r w:rsidRPr="00505856">
        <w:tab/>
      </w:r>
      <w:r w:rsidRPr="00A42BD8">
        <w:rPr>
          <w:i/>
          <w:iCs/>
        </w:rPr>
        <w:t>Adopts</w:t>
      </w:r>
      <w:r>
        <w:t xml:space="preserve"> the amendment to the operating rules of the Committee set out in annex to decision VIII/4</w:t>
      </w:r>
      <w:r>
        <w:rPr>
          <w:rStyle w:val="FootnoteReference"/>
        </w:rPr>
        <w:footnoteReference w:id="19"/>
      </w:r>
      <w:r>
        <w:t xml:space="preserve"> of the Meeting of the Parties to the Convention;</w:t>
      </w:r>
    </w:p>
    <w:p w14:paraId="26A6D848" w14:textId="77777777" w:rsidR="001F2816" w:rsidRDefault="001F2816" w:rsidP="00660B78">
      <w:pPr>
        <w:pStyle w:val="SingleTxtG"/>
        <w:ind w:firstLine="567"/>
      </w:pPr>
      <w:r w:rsidRPr="00A0384A">
        <w:t>1</w:t>
      </w:r>
      <w:r>
        <w:t>4</w:t>
      </w:r>
      <w:r w:rsidRPr="00A0384A">
        <w:t>.</w:t>
      </w:r>
      <w:r w:rsidRPr="00A0384A">
        <w:tab/>
      </w:r>
      <w:r>
        <w:t xml:space="preserve"> </w:t>
      </w:r>
      <w:r w:rsidRPr="00A0384A">
        <w:rPr>
          <w:i/>
          <w:iCs/>
        </w:rPr>
        <w:t>Decides</w:t>
      </w:r>
      <w:r w:rsidRPr="00A0384A">
        <w:t xml:space="preserve"> to keep under review and to </w:t>
      </w:r>
      <w:r>
        <w:t xml:space="preserve">further </w:t>
      </w:r>
      <w:r w:rsidRPr="00A0384A">
        <w:t>develop</w:t>
      </w:r>
      <w:r>
        <w:t xml:space="preserve"> </w:t>
      </w:r>
      <w:r w:rsidRPr="008479C8">
        <w:t>the structure</w:t>
      </w:r>
      <w:r w:rsidRPr="00A0384A">
        <w:t xml:space="preserve"> and functions of the Committee and its operating rules at its </w:t>
      </w:r>
      <w:r>
        <w:t xml:space="preserve">fifth </w:t>
      </w:r>
      <w:r w:rsidRPr="00A0384A">
        <w:t xml:space="preserve">session, in </w:t>
      </w:r>
      <w:r>
        <w:t xml:space="preserve">the </w:t>
      </w:r>
      <w:r w:rsidRPr="00A0384A">
        <w:t xml:space="preserve">light of experience gained by the Committee in the interim, </w:t>
      </w:r>
      <w:r>
        <w:t xml:space="preserve">and with </w:t>
      </w:r>
      <w:r w:rsidRPr="005762F5">
        <w:t xml:space="preserve">a view </w:t>
      </w:r>
      <w:r>
        <w:t>to</w:t>
      </w:r>
      <w:r w:rsidRPr="005762F5">
        <w:t xml:space="preserve"> enhancing </w:t>
      </w:r>
      <w:r>
        <w:t xml:space="preserve">the </w:t>
      </w:r>
      <w:r w:rsidRPr="005762F5">
        <w:t xml:space="preserve">coherence and </w:t>
      </w:r>
      <w:r>
        <w:t xml:space="preserve">reducing </w:t>
      </w:r>
      <w:r w:rsidRPr="005762F5">
        <w:t>duplication</w:t>
      </w:r>
      <w:r>
        <w:t xml:space="preserve"> between the two sets of rules and to  increasing use of videoconferencing and other online and electronic communication tools as effective means for managing the Committee’s workload; </w:t>
      </w:r>
      <w:r w:rsidRPr="00A0384A">
        <w:t xml:space="preserve">and requests the Committee to prepare proposals, as it deems necessary, for submission to the Meeting of the Parties at its </w:t>
      </w:r>
      <w:r>
        <w:t>fifth</w:t>
      </w:r>
      <w:r w:rsidRPr="00A0384A">
        <w:t xml:space="preserve"> session</w:t>
      </w:r>
      <w:r>
        <w:t>.</w:t>
      </w:r>
    </w:p>
    <w:p w14:paraId="3CA012B6" w14:textId="27ACE43B" w:rsidR="001F2816" w:rsidRPr="00660B78" w:rsidRDefault="00660B78" w:rsidP="00660B78">
      <w:pPr>
        <w:spacing w:before="240"/>
        <w:jc w:val="center"/>
        <w:rPr>
          <w:u w:val="single"/>
        </w:rPr>
      </w:pPr>
      <w:r>
        <w:rPr>
          <w:u w:val="single"/>
        </w:rPr>
        <w:tab/>
      </w:r>
      <w:r>
        <w:rPr>
          <w:u w:val="single"/>
        </w:rPr>
        <w:tab/>
      </w:r>
      <w:r>
        <w:rPr>
          <w:u w:val="single"/>
        </w:rPr>
        <w:tab/>
      </w:r>
    </w:p>
    <w:sectPr w:rsidR="001F2816" w:rsidRPr="00660B78" w:rsidSect="00801052">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E3A00" w14:textId="77777777" w:rsidR="00055A44" w:rsidRDefault="00055A44"/>
  </w:endnote>
  <w:endnote w:type="continuationSeparator" w:id="0">
    <w:p w14:paraId="74635618" w14:textId="77777777" w:rsidR="00055A44" w:rsidRDefault="00055A44"/>
  </w:endnote>
  <w:endnote w:type="continuationNotice" w:id="1">
    <w:p w14:paraId="499469DC" w14:textId="77777777" w:rsidR="00055A44" w:rsidRDefault="00055A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D1B35" w14:textId="77777777" w:rsidR="00801052" w:rsidRPr="00801052" w:rsidRDefault="00801052" w:rsidP="00801052">
    <w:pPr>
      <w:pStyle w:val="Footer"/>
      <w:tabs>
        <w:tab w:val="right" w:pos="9638"/>
      </w:tabs>
      <w:rPr>
        <w:sz w:val="18"/>
      </w:rPr>
    </w:pPr>
    <w:r w:rsidRPr="00801052">
      <w:rPr>
        <w:b/>
        <w:sz w:val="18"/>
      </w:rPr>
      <w:fldChar w:fldCharType="begin"/>
    </w:r>
    <w:r w:rsidRPr="00801052">
      <w:rPr>
        <w:b/>
        <w:sz w:val="18"/>
      </w:rPr>
      <w:instrText xml:space="preserve"> PAGE  \* MERGEFORMAT </w:instrText>
    </w:r>
    <w:r w:rsidRPr="00801052">
      <w:rPr>
        <w:b/>
        <w:sz w:val="18"/>
      </w:rPr>
      <w:fldChar w:fldCharType="separate"/>
    </w:r>
    <w:r w:rsidRPr="00801052">
      <w:rPr>
        <w:b/>
        <w:noProof/>
        <w:sz w:val="18"/>
      </w:rPr>
      <w:t>2</w:t>
    </w:r>
    <w:r w:rsidRPr="0080105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C9DAF" w14:textId="77777777" w:rsidR="00801052" w:rsidRPr="00801052" w:rsidRDefault="00801052" w:rsidP="00801052">
    <w:pPr>
      <w:pStyle w:val="Footer"/>
      <w:tabs>
        <w:tab w:val="right" w:pos="9638"/>
      </w:tabs>
      <w:rPr>
        <w:b/>
        <w:sz w:val="18"/>
      </w:rPr>
    </w:pPr>
    <w:r>
      <w:tab/>
    </w:r>
    <w:r w:rsidRPr="00801052">
      <w:rPr>
        <w:b/>
        <w:sz w:val="18"/>
      </w:rPr>
      <w:fldChar w:fldCharType="begin"/>
    </w:r>
    <w:r w:rsidRPr="00801052">
      <w:rPr>
        <w:b/>
        <w:sz w:val="18"/>
      </w:rPr>
      <w:instrText xml:space="preserve"> PAGE  \* MERGEFORMAT </w:instrText>
    </w:r>
    <w:r w:rsidRPr="00801052">
      <w:rPr>
        <w:b/>
        <w:sz w:val="18"/>
      </w:rPr>
      <w:fldChar w:fldCharType="separate"/>
    </w:r>
    <w:r w:rsidRPr="00801052">
      <w:rPr>
        <w:b/>
        <w:noProof/>
        <w:sz w:val="18"/>
      </w:rPr>
      <w:t>3</w:t>
    </w:r>
    <w:r w:rsidRPr="0080105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FD59C" w14:textId="1323254B" w:rsidR="00485E5C" w:rsidRDefault="00485E5C" w:rsidP="00485E5C">
    <w:pPr>
      <w:pStyle w:val="Footer"/>
    </w:pPr>
    <w:r>
      <w:rPr>
        <w:rFonts w:ascii="C39T30Lfz" w:hAnsi="C39T30Lfz"/>
        <w:noProof/>
        <w:sz w:val="56"/>
      </w:rPr>
      <w:drawing>
        <wp:anchor distT="0" distB="0" distL="114300" distR="114300" simplePos="0" relativeHeight="251660288" behindDoc="0" locked="0" layoutInCell="1" allowOverlap="1" wp14:anchorId="4823942A" wp14:editId="72CE0637">
          <wp:simplePos x="0" y="0"/>
          <wp:positionH relativeFrom="column">
            <wp:posOffset>5370195</wp:posOffset>
          </wp:positionH>
          <wp:positionV relativeFrom="paragraph">
            <wp:posOffset>39370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163AEDD5" wp14:editId="6DC2B87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B0BE61A" w14:textId="18E8C5B1" w:rsidR="00485E5C" w:rsidRDefault="00485E5C" w:rsidP="00485E5C">
    <w:pPr>
      <w:pStyle w:val="Footer"/>
      <w:ind w:right="1134"/>
      <w:rPr>
        <w:sz w:val="20"/>
      </w:rPr>
    </w:pPr>
    <w:r>
      <w:rPr>
        <w:sz w:val="20"/>
      </w:rPr>
      <w:t>GE.20-12369(E)</w:t>
    </w:r>
  </w:p>
  <w:p w14:paraId="3E5356C5" w14:textId="793F7973" w:rsidR="00485E5C" w:rsidRPr="00485E5C" w:rsidRDefault="00485E5C" w:rsidP="00485E5C">
    <w:pPr>
      <w:pStyle w:val="Footer"/>
      <w:ind w:right="1134"/>
      <w:rPr>
        <w:rFonts w:ascii="C39T30Lfz" w:hAnsi="C39T30Lfz"/>
        <w:sz w:val="56"/>
      </w:rPr>
    </w:pPr>
    <w:r>
      <w:rPr>
        <w:rFonts w:ascii="C39T30Lfz" w:hAnsi="C39T30Lfz"/>
        <w:sz w:val="56"/>
      </w:rPr>
      <w:t>*2012369*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E3B27" w14:textId="77777777" w:rsidR="00055A44" w:rsidRPr="000B175B" w:rsidRDefault="00055A44" w:rsidP="000B175B">
      <w:pPr>
        <w:tabs>
          <w:tab w:val="right" w:pos="2155"/>
        </w:tabs>
        <w:spacing w:after="80"/>
        <w:ind w:left="680"/>
        <w:rPr>
          <w:u w:val="single"/>
        </w:rPr>
      </w:pPr>
      <w:r>
        <w:rPr>
          <w:u w:val="single"/>
        </w:rPr>
        <w:tab/>
      </w:r>
    </w:p>
  </w:footnote>
  <w:footnote w:type="continuationSeparator" w:id="0">
    <w:p w14:paraId="3699EEBE" w14:textId="77777777" w:rsidR="00055A44" w:rsidRPr="00FC68B7" w:rsidRDefault="00055A44" w:rsidP="00FC68B7">
      <w:pPr>
        <w:tabs>
          <w:tab w:val="left" w:pos="2155"/>
        </w:tabs>
        <w:spacing w:after="80"/>
        <w:ind w:left="680"/>
        <w:rPr>
          <w:u w:val="single"/>
        </w:rPr>
      </w:pPr>
      <w:r>
        <w:rPr>
          <w:u w:val="single"/>
        </w:rPr>
        <w:tab/>
      </w:r>
    </w:p>
  </w:footnote>
  <w:footnote w:type="continuationNotice" w:id="1">
    <w:p w14:paraId="2ED51024" w14:textId="77777777" w:rsidR="00055A44" w:rsidRDefault="00055A44"/>
  </w:footnote>
  <w:footnote w:id="2">
    <w:p w14:paraId="69C400B8" w14:textId="77777777" w:rsidR="001F2816" w:rsidRPr="00EA58E9" w:rsidRDefault="001F2816" w:rsidP="001F2816">
      <w:pPr>
        <w:pStyle w:val="FootnoteText"/>
        <w:rPr>
          <w:lang w:val="en-US"/>
        </w:rPr>
      </w:pPr>
      <w:r>
        <w:tab/>
      </w:r>
      <w:r>
        <w:rPr>
          <w:rStyle w:val="FootnoteReference"/>
        </w:rPr>
        <w:footnoteRef/>
      </w:r>
      <w:r>
        <w:t xml:space="preserve"> </w:t>
      </w:r>
      <w:r>
        <w:tab/>
        <w:t xml:space="preserve">See </w:t>
      </w:r>
      <w:bookmarkStart w:id="0" w:name="_Hlk51339475"/>
      <w:r>
        <w:t>ECE/MP.EIA/SEA/2</w:t>
      </w:r>
      <w:bookmarkEnd w:id="0"/>
      <w:r>
        <w:t>.</w:t>
      </w:r>
    </w:p>
  </w:footnote>
  <w:footnote w:id="3">
    <w:p w14:paraId="1F5C8663" w14:textId="77777777" w:rsidR="001F2816" w:rsidRPr="00371C82" w:rsidRDefault="001F2816" w:rsidP="001F2816">
      <w:pPr>
        <w:pStyle w:val="FootnoteText"/>
      </w:pPr>
      <w:r w:rsidRPr="00371C82">
        <w:tab/>
      </w:r>
      <w:r>
        <w:rPr>
          <w:rStyle w:val="FootnoteReference"/>
        </w:rPr>
        <w:footnoteRef/>
      </w:r>
      <w:r w:rsidRPr="00371C82">
        <w:tab/>
        <w:t>See ECE/MP.EIA/20/Add.2–ECE/MP.EIA/SEA/4/Add.2.</w:t>
      </w:r>
    </w:p>
  </w:footnote>
  <w:footnote w:id="4">
    <w:p w14:paraId="3B9C3AE3" w14:textId="77777777" w:rsidR="001F2816" w:rsidRPr="00371C82" w:rsidRDefault="001F2816" w:rsidP="001F2816">
      <w:pPr>
        <w:pStyle w:val="FootnoteText"/>
      </w:pPr>
      <w:r w:rsidRPr="00371C82">
        <w:tab/>
      </w:r>
      <w:r>
        <w:rPr>
          <w:rStyle w:val="FootnoteReference"/>
        </w:rPr>
        <w:footnoteRef/>
      </w:r>
      <w:r w:rsidRPr="00371C82">
        <w:t xml:space="preserve"> </w:t>
      </w:r>
      <w:r w:rsidRPr="00371C82">
        <w:tab/>
        <w:t xml:space="preserve">See </w:t>
      </w:r>
      <w:bookmarkStart w:id="1" w:name="_Hlk51339865"/>
      <w:r w:rsidRPr="00371C82">
        <w:t>ECE/MP.EIA/23.Add.3</w:t>
      </w:r>
      <w:bookmarkEnd w:id="1"/>
      <w:r w:rsidRPr="00371C82">
        <w:t>–ECE/MP.EIA/SEA/7.Add.3.</w:t>
      </w:r>
    </w:p>
  </w:footnote>
  <w:footnote w:id="5">
    <w:p w14:paraId="738BF5C5" w14:textId="77777777" w:rsidR="001F2816" w:rsidRDefault="001F2816" w:rsidP="001F2816">
      <w:pPr>
        <w:pStyle w:val="FootnoteText"/>
      </w:pPr>
      <w:r w:rsidRPr="00371C82">
        <w:tab/>
      </w:r>
      <w:r>
        <w:rPr>
          <w:rStyle w:val="FootnoteReference"/>
        </w:rPr>
        <w:footnoteRef/>
      </w:r>
      <w:r>
        <w:tab/>
        <w:t xml:space="preserve">See </w:t>
      </w:r>
      <w:bookmarkStart w:id="2" w:name="_Hlk51340135"/>
      <w:r>
        <w:rPr>
          <w:iCs/>
        </w:rPr>
        <w:t>ECE/MP.EIA/6</w:t>
      </w:r>
      <w:bookmarkEnd w:id="2"/>
      <w:r>
        <w:rPr>
          <w:iCs/>
        </w:rPr>
        <w:t>.</w:t>
      </w:r>
    </w:p>
  </w:footnote>
  <w:footnote w:id="6">
    <w:p w14:paraId="5B608891" w14:textId="77777777" w:rsidR="001F2816" w:rsidRDefault="001F2816" w:rsidP="001F2816">
      <w:pPr>
        <w:pStyle w:val="FootnoteText"/>
        <w:widowControl w:val="0"/>
        <w:tabs>
          <w:tab w:val="clear" w:pos="1021"/>
          <w:tab w:val="right" w:pos="1020"/>
        </w:tabs>
      </w:pPr>
      <w:r>
        <w:tab/>
      </w:r>
      <w:r>
        <w:rPr>
          <w:rStyle w:val="FootnoteReference"/>
        </w:rPr>
        <w:footnoteRef/>
      </w:r>
      <w:r>
        <w:tab/>
      </w:r>
      <w:r>
        <w:rPr>
          <w:iCs/>
        </w:rPr>
        <w:t xml:space="preserve">See </w:t>
      </w:r>
      <w:r w:rsidRPr="00BD5432">
        <w:rPr>
          <w:iCs/>
        </w:rPr>
        <w:t>ECE/MP.EIA/20</w:t>
      </w:r>
      <w:r>
        <w:rPr>
          <w:iCs/>
        </w:rPr>
        <w:t>/</w:t>
      </w:r>
      <w:r w:rsidRPr="00BD5432">
        <w:rPr>
          <w:iCs/>
        </w:rPr>
        <w:t>Add.1–ECE/MP.EIA/SEA/4</w:t>
      </w:r>
      <w:r>
        <w:rPr>
          <w:iCs/>
        </w:rPr>
        <w:t>/</w:t>
      </w:r>
      <w:r w:rsidRPr="00BD5432">
        <w:rPr>
          <w:iCs/>
        </w:rPr>
        <w:t>Add.1</w:t>
      </w:r>
      <w:r>
        <w:rPr>
          <w:iCs/>
        </w:rPr>
        <w:t>.</w:t>
      </w:r>
      <w:r>
        <w:t xml:space="preserve"> </w:t>
      </w:r>
    </w:p>
  </w:footnote>
  <w:footnote w:id="7">
    <w:p w14:paraId="21640236" w14:textId="77777777" w:rsidR="001F2816" w:rsidRDefault="001F2816" w:rsidP="001F2816">
      <w:pPr>
        <w:pStyle w:val="FootnoteText"/>
        <w:widowControl w:val="0"/>
        <w:tabs>
          <w:tab w:val="clear" w:pos="1021"/>
          <w:tab w:val="right" w:pos="1020"/>
        </w:tabs>
      </w:pPr>
      <w:r>
        <w:tab/>
      </w:r>
      <w:r>
        <w:rPr>
          <w:rStyle w:val="FootnoteReference"/>
        </w:rPr>
        <w:footnoteRef/>
      </w:r>
      <w:r>
        <w:tab/>
        <w:t xml:space="preserve">See </w:t>
      </w:r>
      <w:r w:rsidRPr="00F667F7">
        <w:t>ECE/MP</w:t>
      </w:r>
      <w:r>
        <w:t>.EIA/10.</w:t>
      </w:r>
    </w:p>
  </w:footnote>
  <w:footnote w:id="8">
    <w:p w14:paraId="14B59BCD" w14:textId="77777777" w:rsidR="001F2816" w:rsidRDefault="001F2816" w:rsidP="001F2816">
      <w:pPr>
        <w:pStyle w:val="FootnoteText"/>
      </w:pPr>
      <w:r>
        <w:tab/>
      </w:r>
      <w:r>
        <w:rPr>
          <w:rStyle w:val="FootnoteReference"/>
        </w:rPr>
        <w:footnoteRef/>
      </w:r>
      <w:r>
        <w:tab/>
        <w:t>See ECE/MP.EIA/15.</w:t>
      </w:r>
    </w:p>
  </w:footnote>
  <w:footnote w:id="9">
    <w:p w14:paraId="1626B435" w14:textId="77777777" w:rsidR="001F2816" w:rsidRDefault="001F2816" w:rsidP="001F2816">
      <w:pPr>
        <w:pStyle w:val="FootnoteText"/>
        <w:widowControl w:val="0"/>
        <w:tabs>
          <w:tab w:val="clear" w:pos="1021"/>
          <w:tab w:val="right" w:pos="1020"/>
        </w:tabs>
      </w:pPr>
      <w:r>
        <w:tab/>
      </w:r>
      <w:r>
        <w:rPr>
          <w:rStyle w:val="FootnoteReference"/>
        </w:rPr>
        <w:footnoteRef/>
      </w:r>
      <w:r>
        <w:tab/>
        <w:t xml:space="preserve">See </w:t>
      </w:r>
      <w:r w:rsidRPr="00BD5432">
        <w:rPr>
          <w:iCs/>
        </w:rPr>
        <w:t>ECE/MP.EIA/20</w:t>
      </w:r>
      <w:r>
        <w:rPr>
          <w:iCs/>
        </w:rPr>
        <w:t>/</w:t>
      </w:r>
      <w:r w:rsidRPr="00BD5432">
        <w:rPr>
          <w:iCs/>
        </w:rPr>
        <w:t>Add.1–ECE/MP.EIA/SEA/4</w:t>
      </w:r>
      <w:r>
        <w:rPr>
          <w:iCs/>
        </w:rPr>
        <w:t>/</w:t>
      </w:r>
      <w:r w:rsidRPr="00BD5432">
        <w:rPr>
          <w:iCs/>
        </w:rPr>
        <w:t>Add.1</w:t>
      </w:r>
      <w:r>
        <w:rPr>
          <w:iCs/>
        </w:rPr>
        <w:t>.</w:t>
      </w:r>
    </w:p>
  </w:footnote>
  <w:footnote w:id="10">
    <w:p w14:paraId="65DC1996" w14:textId="77777777" w:rsidR="001F2816" w:rsidRDefault="001F2816" w:rsidP="001F2816">
      <w:pPr>
        <w:pStyle w:val="FootnoteText"/>
      </w:pPr>
      <w:r>
        <w:tab/>
      </w:r>
      <w:r>
        <w:rPr>
          <w:rStyle w:val="FootnoteReference"/>
        </w:rPr>
        <w:footnoteRef/>
      </w:r>
      <w:r>
        <w:tab/>
        <w:t xml:space="preserve">See </w:t>
      </w:r>
      <w:r w:rsidRPr="00FA4AB1">
        <w:t>ECE/MP.EIA/SEA/2020/8</w:t>
      </w:r>
      <w:r>
        <w:t>.</w:t>
      </w:r>
    </w:p>
  </w:footnote>
  <w:footnote w:id="11">
    <w:p w14:paraId="47CE8282" w14:textId="77777777" w:rsidR="001F2816" w:rsidRPr="003430D3" w:rsidRDefault="001F2816" w:rsidP="001F2816">
      <w:pPr>
        <w:pStyle w:val="FootnoteText"/>
      </w:pPr>
      <w:r>
        <w:tab/>
      </w:r>
      <w:r>
        <w:rPr>
          <w:rStyle w:val="FootnoteReference"/>
        </w:rPr>
        <w:footnoteRef/>
      </w:r>
      <w:r>
        <w:tab/>
        <w:t xml:space="preserve">See </w:t>
      </w:r>
      <w:r w:rsidRPr="00E26989">
        <w:t>ECE/MP.EIA/ SEA/2020/7</w:t>
      </w:r>
      <w:r>
        <w:t>.</w:t>
      </w:r>
    </w:p>
  </w:footnote>
  <w:footnote w:id="12">
    <w:p w14:paraId="58718819" w14:textId="77777777" w:rsidR="001F2816" w:rsidRDefault="001F2816" w:rsidP="001F2816">
      <w:pPr>
        <w:pStyle w:val="FootnoteText"/>
      </w:pPr>
      <w:r>
        <w:tab/>
      </w:r>
      <w:r>
        <w:rPr>
          <w:rStyle w:val="FootnoteReference"/>
        </w:rPr>
        <w:footnoteRef/>
      </w:r>
      <w:r>
        <w:tab/>
      </w:r>
      <w:proofErr w:type="gramStart"/>
      <w:r w:rsidRPr="001927E8">
        <w:t>ECE/MP.EIA/SEA/2017/9</w:t>
      </w:r>
      <w:r>
        <w:t>,</w:t>
      </w:r>
      <w:proofErr w:type="gramEnd"/>
      <w:r>
        <w:t xml:space="preserve"> adopted by the Meeting of the Parties to the Protocol through decision III/1.</w:t>
      </w:r>
    </w:p>
  </w:footnote>
  <w:footnote w:id="13">
    <w:p w14:paraId="167EFCE1" w14:textId="77777777" w:rsidR="001F2816" w:rsidRPr="00DF39DF" w:rsidRDefault="001F2816" w:rsidP="001F2816">
      <w:pPr>
        <w:pStyle w:val="FootnoteText"/>
      </w:pPr>
      <w:r w:rsidRPr="00DF39DF">
        <w:tab/>
      </w:r>
      <w:r>
        <w:rPr>
          <w:rStyle w:val="FootnoteReference"/>
        </w:rPr>
        <w:footnoteRef/>
      </w:r>
      <w:r w:rsidRPr="00DF39DF">
        <w:t xml:space="preserve"> </w:t>
      </w:r>
      <w:r w:rsidRPr="00DF39DF">
        <w:tab/>
        <w:t>ECE/MP.EIA/SEA/2014/3</w:t>
      </w:r>
    </w:p>
  </w:footnote>
  <w:footnote w:id="14">
    <w:p w14:paraId="20B7F664" w14:textId="77777777" w:rsidR="001F2816" w:rsidRPr="003D5CD8" w:rsidRDefault="001F2816" w:rsidP="001F2816">
      <w:pPr>
        <w:pStyle w:val="FootnoteText"/>
        <w:rPr>
          <w:lang w:val="en-US"/>
        </w:rPr>
      </w:pPr>
      <w:r>
        <w:tab/>
      </w:r>
      <w:r>
        <w:rPr>
          <w:rStyle w:val="FootnoteReference"/>
        </w:rPr>
        <w:footnoteRef/>
      </w:r>
      <w:r>
        <w:t xml:space="preserve"> </w:t>
      </w:r>
      <w:r>
        <w:tab/>
      </w:r>
      <w:r>
        <w:rPr>
          <w:lang w:val="en-US"/>
        </w:rPr>
        <w:t>[Symbol of the adopted decision]</w:t>
      </w:r>
    </w:p>
  </w:footnote>
  <w:footnote w:id="15">
    <w:p w14:paraId="4C742C13" w14:textId="77777777" w:rsidR="001F2816" w:rsidRPr="00DF39DF" w:rsidRDefault="001F2816" w:rsidP="001F2816">
      <w:pPr>
        <w:pStyle w:val="FootnoteText"/>
      </w:pPr>
      <w:r w:rsidRPr="00DF39DF">
        <w:tab/>
      </w:r>
      <w:r>
        <w:rPr>
          <w:rStyle w:val="FootnoteReference"/>
        </w:rPr>
        <w:footnoteRef/>
      </w:r>
      <w:r w:rsidRPr="00DF39DF">
        <w:t xml:space="preserve"> </w:t>
      </w:r>
      <w:r w:rsidRPr="00DF39DF">
        <w:tab/>
        <w:t>See ECE/MP.EIA/20/Add.2–ECE/MP.EIA/SEA/4/Add.2.</w:t>
      </w:r>
    </w:p>
  </w:footnote>
  <w:footnote w:id="16">
    <w:p w14:paraId="1FCBB543" w14:textId="77777777" w:rsidR="001F2816" w:rsidRPr="00FB3537" w:rsidRDefault="001F2816" w:rsidP="001F2816">
      <w:pPr>
        <w:pStyle w:val="FootnoteText"/>
      </w:pPr>
      <w:r>
        <w:tab/>
      </w:r>
      <w:r>
        <w:rPr>
          <w:rStyle w:val="FootnoteReference"/>
        </w:rPr>
        <w:footnoteRef/>
      </w:r>
      <w:r>
        <w:t xml:space="preserve"> </w:t>
      </w:r>
      <w:r>
        <w:tab/>
        <w:t xml:space="preserve">See </w:t>
      </w:r>
      <w:r w:rsidRPr="00FB3537">
        <w:t>ECE/MP.EIA/23.Add.3–ECE/MP.EIA/SEA/7.Add.3</w:t>
      </w:r>
      <w:r>
        <w:t>.</w:t>
      </w:r>
    </w:p>
  </w:footnote>
  <w:footnote w:id="17">
    <w:p w14:paraId="64F59571" w14:textId="77777777" w:rsidR="001F2816" w:rsidRDefault="001F2816" w:rsidP="001F2816">
      <w:pPr>
        <w:pStyle w:val="FootnoteText"/>
      </w:pPr>
      <w:r>
        <w:tab/>
      </w:r>
      <w:r>
        <w:rPr>
          <w:rStyle w:val="FootnoteReference"/>
        </w:rPr>
        <w:footnoteRef/>
      </w:r>
      <w:r>
        <w:tab/>
        <w:t xml:space="preserve">United Nations publication, </w:t>
      </w:r>
      <w:r w:rsidRPr="00D57ED1">
        <w:t xml:space="preserve">Sales No. </w:t>
      </w:r>
      <w:proofErr w:type="gramStart"/>
      <w:r w:rsidRPr="00D57ED1">
        <w:t>E.15.II.E.</w:t>
      </w:r>
      <w:proofErr w:type="gramEnd"/>
      <w:r w:rsidRPr="00D57ED1">
        <w:t>7</w:t>
      </w:r>
      <w:r>
        <w:t>.</w:t>
      </w:r>
    </w:p>
  </w:footnote>
  <w:footnote w:id="18">
    <w:p w14:paraId="3C73028B" w14:textId="77777777" w:rsidR="001F2816" w:rsidRPr="00FB3537" w:rsidRDefault="001F2816" w:rsidP="001F2816">
      <w:pPr>
        <w:pStyle w:val="FootnoteText"/>
      </w:pPr>
      <w:r>
        <w:tab/>
      </w:r>
      <w:r>
        <w:rPr>
          <w:rStyle w:val="FootnoteReference"/>
        </w:rPr>
        <w:footnoteRef/>
      </w:r>
      <w:r>
        <w:t xml:space="preserve"> </w:t>
      </w:r>
      <w:r>
        <w:tab/>
        <w:t xml:space="preserve">See </w:t>
      </w:r>
      <w:r w:rsidRPr="00FB3537">
        <w:t>ECE/MP.EIA/20/Add.2 - ECE/MP.EIA/SEA/4/Add.2</w:t>
      </w:r>
      <w:r>
        <w:t>.</w:t>
      </w:r>
    </w:p>
  </w:footnote>
  <w:footnote w:id="19">
    <w:p w14:paraId="233556F4" w14:textId="77777777" w:rsidR="001F2816" w:rsidRPr="003D5CD8" w:rsidRDefault="001F2816" w:rsidP="001F2816">
      <w:pPr>
        <w:pStyle w:val="FootnoteText"/>
        <w:rPr>
          <w:lang w:val="en-US"/>
        </w:rPr>
      </w:pPr>
      <w:r>
        <w:tab/>
      </w:r>
      <w:r>
        <w:rPr>
          <w:rStyle w:val="FootnoteReference"/>
        </w:rPr>
        <w:footnoteRef/>
      </w:r>
      <w:r>
        <w:t xml:space="preserve"> </w:t>
      </w:r>
      <w:r>
        <w:tab/>
      </w:r>
      <w:r>
        <w:rPr>
          <w:lang w:val="en-US"/>
        </w:rPr>
        <w:t>[Symbol of the adopted decision]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2E922" w14:textId="271CD17F" w:rsidR="00801052" w:rsidRPr="00801052" w:rsidRDefault="00302FE2">
    <w:pPr>
      <w:pStyle w:val="Header"/>
    </w:pPr>
    <w:r>
      <w:t>ECE/MP.EIA/SEA/2020/9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6C225" w14:textId="703CF58E" w:rsidR="00801052" w:rsidRPr="00801052" w:rsidRDefault="00302FE2" w:rsidP="00801052">
    <w:pPr>
      <w:pStyle w:val="Header"/>
      <w:jc w:val="right"/>
    </w:pPr>
    <w:r>
      <w:t>ECE/MP.EIA/SEA/2020/9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801052"/>
    <w:rsid w:val="00002A7D"/>
    <w:rsid w:val="000038A8"/>
    <w:rsid w:val="00006790"/>
    <w:rsid w:val="00027624"/>
    <w:rsid w:val="00050F6B"/>
    <w:rsid w:val="00055A44"/>
    <w:rsid w:val="000678CD"/>
    <w:rsid w:val="00072C8C"/>
    <w:rsid w:val="00081CE0"/>
    <w:rsid w:val="00084D30"/>
    <w:rsid w:val="00090320"/>
    <w:rsid w:val="000921EF"/>
    <w:rsid w:val="000931C0"/>
    <w:rsid w:val="000A2E09"/>
    <w:rsid w:val="000B175B"/>
    <w:rsid w:val="000B3A0F"/>
    <w:rsid w:val="000E0415"/>
    <w:rsid w:val="000F7715"/>
    <w:rsid w:val="0011213C"/>
    <w:rsid w:val="00156B99"/>
    <w:rsid w:val="00166124"/>
    <w:rsid w:val="00184DDA"/>
    <w:rsid w:val="001900CD"/>
    <w:rsid w:val="001A0452"/>
    <w:rsid w:val="001B4B04"/>
    <w:rsid w:val="001B5875"/>
    <w:rsid w:val="001C4B9C"/>
    <w:rsid w:val="001C6663"/>
    <w:rsid w:val="001C7895"/>
    <w:rsid w:val="001D26DF"/>
    <w:rsid w:val="001F1599"/>
    <w:rsid w:val="001F19C4"/>
    <w:rsid w:val="001F2816"/>
    <w:rsid w:val="00200E0E"/>
    <w:rsid w:val="002043F0"/>
    <w:rsid w:val="00211E0B"/>
    <w:rsid w:val="00232575"/>
    <w:rsid w:val="00247258"/>
    <w:rsid w:val="00257CAC"/>
    <w:rsid w:val="0027237A"/>
    <w:rsid w:val="002971D0"/>
    <w:rsid w:val="002974E9"/>
    <w:rsid w:val="002A7F94"/>
    <w:rsid w:val="002B109A"/>
    <w:rsid w:val="002C6D45"/>
    <w:rsid w:val="002D6E53"/>
    <w:rsid w:val="002F046D"/>
    <w:rsid w:val="002F3023"/>
    <w:rsid w:val="00301764"/>
    <w:rsid w:val="00302FE2"/>
    <w:rsid w:val="003229D8"/>
    <w:rsid w:val="00336C97"/>
    <w:rsid w:val="00337F88"/>
    <w:rsid w:val="00342432"/>
    <w:rsid w:val="00350EE5"/>
    <w:rsid w:val="0035223F"/>
    <w:rsid w:val="00352D4B"/>
    <w:rsid w:val="0035638C"/>
    <w:rsid w:val="00381F8C"/>
    <w:rsid w:val="003A46BB"/>
    <w:rsid w:val="003A4EC7"/>
    <w:rsid w:val="003A7295"/>
    <w:rsid w:val="003B0EAB"/>
    <w:rsid w:val="003B1F60"/>
    <w:rsid w:val="003C2CC4"/>
    <w:rsid w:val="003D1F1A"/>
    <w:rsid w:val="003D22CC"/>
    <w:rsid w:val="003D4B23"/>
    <w:rsid w:val="003E278A"/>
    <w:rsid w:val="00413520"/>
    <w:rsid w:val="004325CB"/>
    <w:rsid w:val="00440A07"/>
    <w:rsid w:val="00462880"/>
    <w:rsid w:val="00476F24"/>
    <w:rsid w:val="00485E5C"/>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60B78"/>
    <w:rsid w:val="00666F2D"/>
    <w:rsid w:val="006770B2"/>
    <w:rsid w:val="00686A48"/>
    <w:rsid w:val="006940E1"/>
    <w:rsid w:val="006A3C72"/>
    <w:rsid w:val="006A7392"/>
    <w:rsid w:val="006B03A1"/>
    <w:rsid w:val="006B67D9"/>
    <w:rsid w:val="006C5535"/>
    <w:rsid w:val="006D0589"/>
    <w:rsid w:val="006E564B"/>
    <w:rsid w:val="006E7154"/>
    <w:rsid w:val="007003CD"/>
    <w:rsid w:val="00706D1A"/>
    <w:rsid w:val="0070701E"/>
    <w:rsid w:val="0072632A"/>
    <w:rsid w:val="007358E8"/>
    <w:rsid w:val="00736ECE"/>
    <w:rsid w:val="0074533B"/>
    <w:rsid w:val="007643BC"/>
    <w:rsid w:val="00780C68"/>
    <w:rsid w:val="00782629"/>
    <w:rsid w:val="007959FE"/>
    <w:rsid w:val="007A0CF1"/>
    <w:rsid w:val="007B6BA5"/>
    <w:rsid w:val="007C3390"/>
    <w:rsid w:val="007C42D8"/>
    <w:rsid w:val="007C4F4B"/>
    <w:rsid w:val="007D7362"/>
    <w:rsid w:val="007F5CE2"/>
    <w:rsid w:val="007F6611"/>
    <w:rsid w:val="00801052"/>
    <w:rsid w:val="00810BAC"/>
    <w:rsid w:val="008175E9"/>
    <w:rsid w:val="008242D7"/>
    <w:rsid w:val="0082577B"/>
    <w:rsid w:val="0086226A"/>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684F"/>
    <w:rsid w:val="00947162"/>
    <w:rsid w:val="009610D0"/>
    <w:rsid w:val="0096375C"/>
    <w:rsid w:val="00964FC2"/>
    <w:rsid w:val="009662E6"/>
    <w:rsid w:val="0097095E"/>
    <w:rsid w:val="0098592B"/>
    <w:rsid w:val="00985FC4"/>
    <w:rsid w:val="00990766"/>
    <w:rsid w:val="00991261"/>
    <w:rsid w:val="00995079"/>
    <w:rsid w:val="009964C4"/>
    <w:rsid w:val="009A7B81"/>
    <w:rsid w:val="009D01C0"/>
    <w:rsid w:val="009D6A08"/>
    <w:rsid w:val="009E0A16"/>
    <w:rsid w:val="009E5A6B"/>
    <w:rsid w:val="009E6CB7"/>
    <w:rsid w:val="009E7970"/>
    <w:rsid w:val="009F2EAC"/>
    <w:rsid w:val="009F57E3"/>
    <w:rsid w:val="00A10F4F"/>
    <w:rsid w:val="00A11067"/>
    <w:rsid w:val="00A1704A"/>
    <w:rsid w:val="00A425EB"/>
    <w:rsid w:val="00A72F22"/>
    <w:rsid w:val="00A733BC"/>
    <w:rsid w:val="00A748A6"/>
    <w:rsid w:val="00A76A69"/>
    <w:rsid w:val="00A85C3E"/>
    <w:rsid w:val="00A879A4"/>
    <w:rsid w:val="00A91A3C"/>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75363"/>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65C34"/>
    <w:rsid w:val="00C745C3"/>
    <w:rsid w:val="00C978F5"/>
    <w:rsid w:val="00CA24A4"/>
    <w:rsid w:val="00CB348D"/>
    <w:rsid w:val="00CD46F5"/>
    <w:rsid w:val="00CE4602"/>
    <w:rsid w:val="00CE4A8F"/>
    <w:rsid w:val="00CF071D"/>
    <w:rsid w:val="00D0123D"/>
    <w:rsid w:val="00D065AB"/>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10EBC"/>
    <w:rsid w:val="00E423C0"/>
    <w:rsid w:val="00E6414C"/>
    <w:rsid w:val="00E7260F"/>
    <w:rsid w:val="00E8702D"/>
    <w:rsid w:val="00E905F4"/>
    <w:rsid w:val="00E916A9"/>
    <w:rsid w:val="00E916DE"/>
    <w:rsid w:val="00E925AD"/>
    <w:rsid w:val="00E96630"/>
    <w:rsid w:val="00ED18DC"/>
    <w:rsid w:val="00ED5AD1"/>
    <w:rsid w:val="00ED6201"/>
    <w:rsid w:val="00ED7A2A"/>
    <w:rsid w:val="00EF1D7F"/>
    <w:rsid w:val="00F0137E"/>
    <w:rsid w:val="00F04977"/>
    <w:rsid w:val="00F21786"/>
    <w:rsid w:val="00F3742B"/>
    <w:rsid w:val="00F41FDB"/>
    <w:rsid w:val="00F56D63"/>
    <w:rsid w:val="00F609A9"/>
    <w:rsid w:val="00F80C99"/>
    <w:rsid w:val="00F867EC"/>
    <w:rsid w:val="00F91B2B"/>
    <w:rsid w:val="00FC03CD"/>
    <w:rsid w:val="00FC0646"/>
    <w:rsid w:val="00FC68B7"/>
    <w:rsid w:val="00FD207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D50976"/>
  <w15:docId w15:val="{E6FCA1BA-0795-45A3-AB62-05525C80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uiPriority w:val="99"/>
    <w:qFormat/>
    <w:rsid w:val="00E925AD"/>
    <w:rPr>
      <w:rFonts w:ascii="Times New Roman" w:hAnsi="Times New Roman"/>
      <w:sz w:val="18"/>
      <w:vertAlign w:val="superscript"/>
    </w:rPr>
  </w:style>
  <w:style w:type="paragraph" w:styleId="FootnoteText">
    <w:name w:val="footnote text"/>
    <w:aliases w:val="5_G,Fußnotentextf,Footnote text,fn,Schriftart: 9 pt,Schriftart: 10 pt,Schriftart: 8 pt,WB-Fußnotentext,o,Podrozdział,Schriftart: 8 p,Char,Tekst przypisu,WB-Fuﬂnotentext,Voetnoottekst Char,Voetnoottekst Char1"/>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19"/>
      </w:numPr>
      <w:suppressAutoHyphens w:val="0"/>
    </w:pPr>
  </w:style>
  <w:style w:type="character" w:customStyle="1" w:styleId="HChGChar">
    <w:name w:val="_ H _Ch_G Char"/>
    <w:link w:val="HChG"/>
    <w:rsid w:val="001F2816"/>
    <w:rPr>
      <w:b/>
      <w:sz w:val="28"/>
      <w:lang w:val="en-GB"/>
    </w:rPr>
  </w:style>
  <w:style w:type="character" w:customStyle="1" w:styleId="SingleTxtGChar">
    <w:name w:val="_ Single Txt_G Char"/>
    <w:link w:val="SingleTxtG"/>
    <w:rsid w:val="001F2816"/>
    <w:rPr>
      <w:lang w:val="en-GB"/>
    </w:rPr>
  </w:style>
  <w:style w:type="character" w:customStyle="1" w:styleId="FootnoteTextChar">
    <w:name w:val="Footnote Text Char"/>
    <w:aliases w:val="5_G Char,Fußnotentextf Char,Footnote text Char,fn Char,Schriftart: 9 pt Char,Schriftart: 10 pt Char,Schriftart: 8 pt Char,WB-Fußnotentext Char,o Char,Podrozdział Char,Schriftart: 8 p Char,Char Char,Tekst przypisu Char"/>
    <w:basedOn w:val="DefaultParagraphFont"/>
    <w:link w:val="FootnoteText"/>
    <w:uiPriority w:val="99"/>
    <w:rsid w:val="001F2816"/>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F00A6-89B5-4B36-BCAF-C39C356BA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1214</Words>
  <Characters>6926</Characters>
  <Application>Microsoft Office Word</Application>
  <DocSecurity>4</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ECE/MP.EIA/SEA/2020/9</vt:lpstr>
      <vt:lpstr/>
    </vt:vector>
  </TitlesOfParts>
  <Company>CSD</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ECE/MP.EIA/SEA/2020/9</dc:title>
  <dc:subject>2012369</dc:subject>
  <dc:creator>Elizabeth James</dc:creator>
  <cp:keywords/>
  <dc:description/>
  <cp:lastModifiedBy>Elisabeth James</cp:lastModifiedBy>
  <cp:revision>2</cp:revision>
  <cp:lastPrinted>2009-02-18T09:36:00Z</cp:lastPrinted>
  <dcterms:created xsi:type="dcterms:W3CDTF">2020-10-13T16:16:00Z</dcterms:created>
  <dcterms:modified xsi:type="dcterms:W3CDTF">2020-10-13T16:16:00Z</dcterms:modified>
</cp:coreProperties>
</file>