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ED5A67">
            <w:bookmarkStart w:id="0" w:name="_GoBack"/>
            <w:bookmarkEnd w:id="0"/>
          </w:p>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ED5A67" w:rsidP="00ED5A67">
            <w:pPr>
              <w:jc w:val="right"/>
            </w:pPr>
            <w:r w:rsidRPr="00ED5A67">
              <w:rPr>
                <w:sz w:val="40"/>
              </w:rPr>
              <w:t xml:space="preserve"> </w:t>
            </w:r>
            <w:r>
              <w:t>ECE/MP.EIA/2019/7</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ED5A67" w:rsidP="00DF5712">
            <w:pPr>
              <w:spacing w:before="240"/>
            </w:pPr>
            <w:r>
              <w:t>Distr. générale</w:t>
            </w:r>
          </w:p>
          <w:p w:rsidR="00ED5A67" w:rsidRDefault="00ED5A67" w:rsidP="00ED5A67">
            <w:pPr>
              <w:spacing w:line="240" w:lineRule="exact"/>
            </w:pPr>
            <w:r>
              <w:t>21 novembre 2018</w:t>
            </w:r>
          </w:p>
          <w:p w:rsidR="00ED5A67" w:rsidRDefault="00ED5A67" w:rsidP="00ED5A67">
            <w:pPr>
              <w:spacing w:line="240" w:lineRule="exact"/>
            </w:pPr>
            <w:r>
              <w:t>Français</w:t>
            </w:r>
          </w:p>
          <w:p w:rsidR="00ED5A67" w:rsidRPr="00DB58B5" w:rsidRDefault="00ED5A67" w:rsidP="00ED5A67">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ED5A67" w:rsidRPr="00C554CE" w:rsidRDefault="00ED5A67" w:rsidP="00C554CE">
      <w:pPr>
        <w:spacing w:before="120"/>
        <w:rPr>
          <w:sz w:val="28"/>
          <w:szCs w:val="28"/>
          <w:lang w:val="fr-FR"/>
        </w:rPr>
      </w:pPr>
      <w:r w:rsidRPr="00C554CE">
        <w:rPr>
          <w:sz w:val="28"/>
          <w:szCs w:val="28"/>
          <w:lang w:val="fr-FR"/>
        </w:rPr>
        <w:t>Réunion des Parties à la Convention sur</w:t>
      </w:r>
      <w:r w:rsidRPr="00C554CE">
        <w:rPr>
          <w:sz w:val="28"/>
          <w:szCs w:val="28"/>
          <w:lang w:val="fr-FR"/>
        </w:rPr>
        <w:br/>
        <w:t>l’évaluation de l’impact sur l’environnement</w:t>
      </w:r>
      <w:r w:rsidRPr="00C554CE">
        <w:rPr>
          <w:sz w:val="28"/>
          <w:szCs w:val="28"/>
          <w:lang w:val="fr-FR"/>
        </w:rPr>
        <w:br/>
        <w:t>dans un contexte transfrontière</w:t>
      </w:r>
    </w:p>
    <w:p w:rsidR="00ED5A67" w:rsidRPr="005B76A3" w:rsidRDefault="00ED5A67" w:rsidP="00C554CE">
      <w:pPr>
        <w:spacing w:before="120"/>
        <w:rPr>
          <w:b/>
        </w:rPr>
      </w:pPr>
      <w:r>
        <w:rPr>
          <w:b/>
        </w:rPr>
        <w:t>Session intermédiaire</w:t>
      </w:r>
    </w:p>
    <w:p w:rsidR="00ED5A67" w:rsidRDefault="00ED5A67" w:rsidP="00ED5A67">
      <w:r>
        <w:t>Genève, 5-7 février 2019</w:t>
      </w:r>
    </w:p>
    <w:p w:rsidR="00ED5A67" w:rsidRDefault="00ED5A67" w:rsidP="00ED5A67">
      <w:r>
        <w:t>Points 3</w:t>
      </w:r>
      <w:r w:rsidR="00B95D3F">
        <w:t> </w:t>
      </w:r>
      <w:r>
        <w:t>a) et 8 de l’ordre du jour provisoire</w:t>
      </w:r>
    </w:p>
    <w:p w:rsidR="00ED5A67" w:rsidRDefault="00ED5A67" w:rsidP="00ED5A67">
      <w:pPr>
        <w:rPr>
          <w:b/>
        </w:rPr>
      </w:pPr>
      <w:r>
        <w:rPr>
          <w:b/>
        </w:rPr>
        <w:t>Questions en suspens</w:t>
      </w:r>
      <w:r w:rsidR="00B95D3F">
        <w:rPr>
          <w:b/>
        </w:rPr>
        <w:t> </w:t>
      </w:r>
      <w:r>
        <w:rPr>
          <w:b/>
        </w:rPr>
        <w:t>: projets de décision</w:t>
      </w:r>
    </w:p>
    <w:p w:rsidR="00ED5A67" w:rsidRDefault="00ED5A67" w:rsidP="00ED5A67">
      <w:pPr>
        <w:rPr>
          <w:b/>
        </w:rPr>
      </w:pPr>
      <w:r>
        <w:rPr>
          <w:b/>
        </w:rPr>
        <w:t>Adoption des décisions par la Réunion des Parties</w:t>
      </w:r>
    </w:p>
    <w:p w:rsidR="00ED5A67" w:rsidRDefault="00ED5A67" w:rsidP="00ED5A67">
      <w:pPr>
        <w:rPr>
          <w:b/>
        </w:rPr>
      </w:pPr>
      <w:r>
        <w:rPr>
          <w:b/>
        </w:rPr>
        <w:t>à la Convention</w:t>
      </w:r>
    </w:p>
    <w:p w:rsidR="00ED5A67" w:rsidRDefault="00ED5A67" w:rsidP="00ED5A67">
      <w:pPr>
        <w:pStyle w:val="HChG"/>
      </w:pPr>
      <w:r>
        <w:tab/>
      </w:r>
      <w:r>
        <w:tab/>
      </w:r>
      <w:r w:rsidRPr="00432B90">
        <w:t>Projet de décision IS/1</w:t>
      </w:r>
      <w:r>
        <w:t>f</w:t>
      </w:r>
      <w:r w:rsidRPr="00432B90">
        <w:t xml:space="preserve"> concernant le respect par </w:t>
      </w:r>
      <w:r>
        <w:t xml:space="preserve">l’Ukraine </w:t>
      </w:r>
      <w:r w:rsidR="008607A6">
        <w:t xml:space="preserve">des obligations qui lui </w:t>
      </w:r>
      <w:r w:rsidRPr="00432B90">
        <w:t>incombent en vertu de la Convention pour ce qui est d</w:t>
      </w:r>
      <w:r>
        <w:t xml:space="preserve">u </w:t>
      </w:r>
      <w:r w:rsidRPr="00ED5A67">
        <w:t xml:space="preserve">canal de navigation en eau profonde entre le Danube et la mer Noire dans le secteur ukrainien </w:t>
      </w:r>
      <w:r>
        <w:br/>
      </w:r>
      <w:r w:rsidRPr="00ED5A67">
        <w:t>du delta du Danube</w:t>
      </w:r>
    </w:p>
    <w:p w:rsidR="00E96BD6" w:rsidRDefault="00ED5A67" w:rsidP="00ED5A67">
      <w:pPr>
        <w:pStyle w:val="H1G"/>
      </w:pPr>
      <w:r>
        <w:tab/>
      </w:r>
      <w:r>
        <w:tab/>
        <w:t>Proposition du Comité d’application</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ED5A67">
        <w:trPr>
          <w:jc w:val="center"/>
        </w:trPr>
        <w:tc>
          <w:tcPr>
            <w:tcW w:w="9637" w:type="dxa"/>
            <w:shd w:val="clear" w:color="auto" w:fill="auto"/>
          </w:tcPr>
          <w:p w:rsidR="00ED5A67" w:rsidRDefault="00ED5A67">
            <w:pPr>
              <w:spacing w:before="240" w:after="120"/>
              <w:ind w:left="255"/>
              <w:rPr>
                <w:i/>
                <w:sz w:val="24"/>
              </w:rPr>
            </w:pPr>
            <w:r>
              <w:rPr>
                <w:i/>
                <w:sz w:val="24"/>
              </w:rPr>
              <w:t>Résumé</w:t>
            </w:r>
          </w:p>
        </w:tc>
      </w:tr>
      <w:tr w:rsidR="00ED5A67">
        <w:trPr>
          <w:jc w:val="center"/>
        </w:trPr>
        <w:tc>
          <w:tcPr>
            <w:tcW w:w="9637" w:type="dxa"/>
            <w:shd w:val="clear" w:color="auto" w:fill="auto"/>
          </w:tcPr>
          <w:p w:rsidR="00ED5A67" w:rsidRDefault="00ED5A67" w:rsidP="00ED5A67">
            <w:pPr>
              <w:pStyle w:val="SingleTxtG"/>
              <w:ind w:firstLine="567"/>
            </w:pPr>
            <w:r w:rsidRPr="00ED5A67">
              <w:rPr>
                <w:lang w:val="fr-FR"/>
              </w:rPr>
              <w:t>Le projet de décision figurant dans le présent document a été établi comme suite à la demande formulée par la Réunion des Parties à la Convention sur l’évaluation de l’impact sur l’environnement dans un contexte transfrontière à sa septième session (Minsk, 13</w:t>
            </w:r>
            <w:r>
              <w:rPr>
                <w:lang w:val="fr-FR"/>
              </w:rPr>
              <w:noBreakHyphen/>
            </w:r>
            <w:r w:rsidRPr="00ED5A67">
              <w:rPr>
                <w:lang w:val="fr-FR"/>
              </w:rPr>
              <w:t>16</w:t>
            </w:r>
            <w:r>
              <w:rPr>
                <w:lang w:val="fr-FR"/>
              </w:rPr>
              <w:t> </w:t>
            </w:r>
            <w:r w:rsidRPr="00ED5A67">
              <w:rPr>
                <w:lang w:val="fr-FR"/>
              </w:rPr>
              <w:t>juin 2017), tendant à ce que le Comité d’application révise le projet de décision VII/2 sur l’examen du respect des dispositions de la Convention en tenant compte des travaux et des progrès réalisés avant et pendant la septième session de la Réunion des Parties (ECE/M</w:t>
            </w:r>
            <w:r>
              <w:rPr>
                <w:lang w:val="fr-FR"/>
              </w:rPr>
              <w:t>P.EIA/23-ECE/MP.EIA/SEA/7, par. </w:t>
            </w:r>
            <w:r w:rsidRPr="00ED5A67">
              <w:rPr>
                <w:lang w:val="fr-FR"/>
              </w:rPr>
              <w:t>27). Afin de faciliter l’examen et l’adoption du projet de décision VII/2, celui-ci a été scindé en plusieurs projets</w:t>
            </w:r>
            <w:r w:rsidR="00B95D3F">
              <w:rPr>
                <w:lang w:val="fr-FR"/>
              </w:rPr>
              <w:t> </w:t>
            </w:r>
            <w:r w:rsidRPr="00ED5A67">
              <w:rPr>
                <w:lang w:val="fr-FR"/>
              </w:rPr>
              <w:t>: un projet de décision sur les questions d’ordre général concernant le respect des dispositions et des projets de décision distincts sur les questions propres à différents pays en matière de respect des dispositions.</w:t>
            </w:r>
          </w:p>
        </w:tc>
      </w:tr>
      <w:tr w:rsidR="00ED5A67">
        <w:trPr>
          <w:jc w:val="center"/>
        </w:trPr>
        <w:tc>
          <w:tcPr>
            <w:tcW w:w="9637" w:type="dxa"/>
            <w:shd w:val="clear" w:color="auto" w:fill="auto"/>
          </w:tcPr>
          <w:p w:rsidR="00ED5A67" w:rsidRDefault="00ED5A67" w:rsidP="00ED5A67">
            <w:pPr>
              <w:pStyle w:val="SingleTxtG"/>
              <w:ind w:firstLine="567"/>
            </w:pPr>
            <w:r w:rsidRPr="00ED5A67">
              <w:rPr>
                <w:lang w:val="fr-FR"/>
              </w:rPr>
              <w:t>Le projet de décision IS/1f présente une version révisée du texte du projet de décision VII/2 concernant la suite donnée par l’Ukraine à la décision VI/2 pour ce qui est du canal de navigation en eau profonde entre le Danube et la mer Noire dans le secteur ukrainien du delta du Danube.</w:t>
            </w:r>
          </w:p>
        </w:tc>
      </w:tr>
      <w:tr w:rsidR="00ED5A67">
        <w:trPr>
          <w:jc w:val="center"/>
        </w:trPr>
        <w:tc>
          <w:tcPr>
            <w:tcW w:w="9637" w:type="dxa"/>
            <w:shd w:val="clear" w:color="auto" w:fill="auto"/>
          </w:tcPr>
          <w:p w:rsidR="00ED5A67" w:rsidRDefault="00ED5A67" w:rsidP="00ED5A67">
            <w:pPr>
              <w:pStyle w:val="SingleTxtG"/>
              <w:ind w:firstLine="567"/>
            </w:pPr>
            <w:r w:rsidRPr="00ED5A67">
              <w:rPr>
                <w:lang w:val="fr-FR"/>
              </w:rPr>
              <w:t>La Réunion des Parties devrait examiner le projet de décision et décider de l’adopter.</w:t>
            </w:r>
          </w:p>
        </w:tc>
      </w:tr>
      <w:tr w:rsidR="00ED5A67">
        <w:trPr>
          <w:jc w:val="center"/>
        </w:trPr>
        <w:tc>
          <w:tcPr>
            <w:tcW w:w="9637" w:type="dxa"/>
            <w:shd w:val="clear" w:color="auto" w:fill="auto"/>
          </w:tcPr>
          <w:p w:rsidR="00ED5A67" w:rsidRDefault="00ED5A67"/>
        </w:tc>
      </w:tr>
    </w:tbl>
    <w:p w:rsidR="00ED5A67" w:rsidRPr="00ED5A67" w:rsidRDefault="00ED5A67" w:rsidP="00ED5A67">
      <w:pPr>
        <w:pStyle w:val="SingleTxtG"/>
        <w:ind w:firstLine="567"/>
        <w:rPr>
          <w:i/>
          <w:lang w:val="fr-FR"/>
        </w:rPr>
      </w:pPr>
      <w:r w:rsidRPr="00ED5A67">
        <w:rPr>
          <w:i/>
          <w:lang w:val="fr-FR"/>
        </w:rPr>
        <w:lastRenderedPageBreak/>
        <w:t>La Réunion des Parties</w:t>
      </w:r>
      <w:r w:rsidRPr="00B95D3F">
        <w:rPr>
          <w:lang w:val="fr-FR"/>
        </w:rPr>
        <w:t>,</w:t>
      </w:r>
    </w:p>
    <w:p w:rsidR="00ED5A67" w:rsidRPr="00ED5A67" w:rsidRDefault="00ED5A67" w:rsidP="00ED5A67">
      <w:pPr>
        <w:pStyle w:val="SingleTxtG"/>
        <w:ind w:firstLine="567"/>
        <w:rPr>
          <w:lang w:val="fr-FR"/>
        </w:rPr>
      </w:pPr>
      <w:r w:rsidRPr="00ED5A67">
        <w:rPr>
          <w:i/>
          <w:lang w:val="fr-FR"/>
        </w:rPr>
        <w:t>Rappelant</w:t>
      </w:r>
      <w:r>
        <w:rPr>
          <w:lang w:val="fr-FR"/>
        </w:rPr>
        <w:t xml:space="preserve"> le paragraphe </w:t>
      </w:r>
      <w:r w:rsidRPr="00ED5A67">
        <w:rPr>
          <w:lang w:val="fr-FR"/>
        </w:rPr>
        <w:t>2 de l’article</w:t>
      </w:r>
      <w:r>
        <w:rPr>
          <w:lang w:val="fr-FR"/>
        </w:rPr>
        <w:t xml:space="preserve"> </w:t>
      </w:r>
      <w:r w:rsidRPr="00ED5A67">
        <w:rPr>
          <w:lang w:val="fr-FR"/>
        </w:rPr>
        <w:t xml:space="preserve">11 et l’article 14 </w:t>
      </w:r>
      <w:r w:rsidRPr="00B95D3F">
        <w:rPr>
          <w:i/>
          <w:lang w:val="fr-FR"/>
        </w:rPr>
        <w:t>bis</w:t>
      </w:r>
      <w:r w:rsidRPr="00ED5A67">
        <w:rPr>
          <w:lang w:val="fr-FR"/>
        </w:rPr>
        <w:t xml:space="preserve"> de la Convention sur l’évaluation de l’impact sur l’environnement dans un contexte transfrontière,</w:t>
      </w:r>
    </w:p>
    <w:p w:rsidR="00ED5A67" w:rsidRPr="00ED5A67" w:rsidRDefault="00ED5A67" w:rsidP="00ED5A67">
      <w:pPr>
        <w:pStyle w:val="SingleTxtG"/>
        <w:ind w:firstLine="567"/>
        <w:rPr>
          <w:lang w:val="fr-FR"/>
        </w:rPr>
      </w:pPr>
      <w:r w:rsidRPr="00ED5A67">
        <w:rPr>
          <w:i/>
          <w:lang w:val="fr-FR"/>
        </w:rPr>
        <w:t>Rappelant également</w:t>
      </w:r>
      <w:r w:rsidRPr="00ED5A67">
        <w:rPr>
          <w:lang w:val="fr-FR"/>
        </w:rPr>
        <w:t xml:space="preserve"> les paragraphes 7 à 14 de sa décision IV/2</w:t>
      </w:r>
      <w:r w:rsidRPr="00ED5A67">
        <w:rPr>
          <w:rStyle w:val="FootnoteReference"/>
          <w:lang w:val="fr-FR"/>
        </w:rPr>
        <w:footnoteReference w:id="2"/>
      </w:r>
      <w:r w:rsidRPr="00ED5A67">
        <w:rPr>
          <w:lang w:val="fr-FR"/>
        </w:rPr>
        <w:t>, 17 à 26 de sa décision V/4</w:t>
      </w:r>
      <w:r w:rsidRPr="00ED5A67">
        <w:rPr>
          <w:rStyle w:val="FootnoteReference"/>
          <w:lang w:val="fr-FR"/>
        </w:rPr>
        <w:footnoteReference w:id="3"/>
      </w:r>
      <w:r w:rsidRPr="00ED5A67">
        <w:rPr>
          <w:lang w:val="fr-FR"/>
        </w:rPr>
        <w:t xml:space="preserve"> et 15 à 28 de sa décision VI/2</w:t>
      </w:r>
      <w:r w:rsidRPr="00ED5A67">
        <w:rPr>
          <w:rStyle w:val="FootnoteReference"/>
          <w:lang w:val="fr-FR"/>
        </w:rPr>
        <w:footnoteReference w:id="4"/>
      </w:r>
      <w:r w:rsidRPr="00ED5A67">
        <w:rPr>
          <w:lang w:val="fr-FR"/>
        </w:rPr>
        <w:t xml:space="preserve"> concernant le respect des dispositions par l’Ukraine pour ce qui est du canal de navigation en eau profonde entre le Danube et la mer Noire dans le secteur ukrainien du delta du Danube (projet du canal de Bystroe),</w:t>
      </w:r>
    </w:p>
    <w:p w:rsidR="00ED5A67" w:rsidRPr="00ED5A67" w:rsidRDefault="00ED5A67" w:rsidP="00ED5A67">
      <w:pPr>
        <w:pStyle w:val="SingleTxtG"/>
        <w:ind w:firstLine="567"/>
        <w:rPr>
          <w:lang w:val="fr-FR"/>
        </w:rPr>
      </w:pPr>
      <w:r w:rsidRPr="00ED5A67">
        <w:rPr>
          <w:i/>
          <w:lang w:val="fr-FR"/>
        </w:rPr>
        <w:t xml:space="preserve">Rappelant en outre </w:t>
      </w:r>
      <w:r w:rsidRPr="00ED5A67">
        <w:rPr>
          <w:lang w:val="fr-FR"/>
        </w:rPr>
        <w:t>qu’elle a décidé à sa septième session de mettre un point final à ses délibérations sur l’examen du respect des dispositions lors d’</w:t>
      </w:r>
      <w:r>
        <w:rPr>
          <w:lang w:val="fr-FR"/>
        </w:rPr>
        <w:t xml:space="preserve">une session intermédiaire, </w:t>
      </w:r>
      <w:r w:rsidRPr="00ED5A67">
        <w:rPr>
          <w:lang w:val="fr-FR"/>
        </w:rPr>
        <w:t>en se fondant sur un projet de décision révisé qu’établirait le Comité d’application et en tenant compte des travaux et des progrès réalisés avant et pendant la septième session</w:t>
      </w:r>
      <w:r w:rsidRPr="00ED5A67">
        <w:rPr>
          <w:rStyle w:val="FootnoteReference"/>
          <w:lang w:val="fr-FR"/>
        </w:rPr>
        <w:footnoteReference w:id="5"/>
      </w:r>
      <w:r w:rsidRPr="00ED5A67">
        <w:rPr>
          <w:lang w:val="fr-FR"/>
        </w:rPr>
        <w:t>,</w:t>
      </w:r>
    </w:p>
    <w:p w:rsidR="00ED5A67" w:rsidRPr="00ED5A67" w:rsidRDefault="00ED5A67" w:rsidP="00ED5A67">
      <w:pPr>
        <w:pStyle w:val="SingleTxtG"/>
        <w:ind w:firstLine="567"/>
        <w:rPr>
          <w:lang w:val="fr-FR"/>
        </w:rPr>
      </w:pPr>
      <w:r w:rsidRPr="00ED5A67">
        <w:rPr>
          <w:i/>
          <w:lang w:val="fr-FR"/>
        </w:rPr>
        <w:t>Ayant examiné</w:t>
      </w:r>
      <w:r w:rsidRPr="00ED5A67">
        <w:rPr>
          <w:lang w:val="fr-FR"/>
        </w:rPr>
        <w:t xml:space="preserve"> les sections concernant l’Ukraine dans le rapport sur les activités du Comité d’application présenté à la Réunion des Parties à la Convention à sa septième session</w:t>
      </w:r>
      <w:r w:rsidRPr="00ED5A67">
        <w:rPr>
          <w:rStyle w:val="FootnoteReference"/>
          <w:lang w:val="fr-FR"/>
        </w:rPr>
        <w:footnoteReference w:id="6"/>
      </w:r>
      <w:r w:rsidRPr="00ED5A67">
        <w:rPr>
          <w:lang w:val="fr-FR"/>
        </w:rPr>
        <w:t xml:space="preserve"> et dans les rapports du Comité sur ses trente-neuvième</w:t>
      </w:r>
      <w:r w:rsidRPr="00ED5A67">
        <w:rPr>
          <w:rStyle w:val="FootnoteReference"/>
          <w:lang w:val="fr-FR"/>
        </w:rPr>
        <w:footnoteReference w:id="7"/>
      </w:r>
      <w:r w:rsidRPr="00ED5A67">
        <w:rPr>
          <w:lang w:val="fr-FR"/>
        </w:rPr>
        <w:t>, quarantième</w:t>
      </w:r>
      <w:r w:rsidRPr="00ED5A67">
        <w:rPr>
          <w:rStyle w:val="FootnoteReference"/>
          <w:lang w:val="fr-FR"/>
        </w:rPr>
        <w:footnoteReference w:id="8"/>
      </w:r>
      <w:r w:rsidRPr="00ED5A67">
        <w:rPr>
          <w:lang w:val="fr-FR"/>
        </w:rPr>
        <w:t>, quarante-et-unième</w:t>
      </w:r>
      <w:r w:rsidRPr="00ED5A67">
        <w:rPr>
          <w:rStyle w:val="FootnoteReference"/>
          <w:lang w:val="fr-FR"/>
        </w:rPr>
        <w:footnoteReference w:id="9"/>
      </w:r>
      <w:r w:rsidRPr="00ED5A67">
        <w:rPr>
          <w:lang w:val="fr-FR"/>
        </w:rPr>
        <w:t xml:space="preserve"> et quarante-deuxième</w:t>
      </w:r>
      <w:r w:rsidRPr="00ED5A67">
        <w:rPr>
          <w:rStyle w:val="FootnoteReference"/>
          <w:lang w:val="fr-FR"/>
        </w:rPr>
        <w:footnoteReference w:id="10"/>
      </w:r>
      <w:r w:rsidRPr="00ED5A67">
        <w:rPr>
          <w:lang w:val="fr-FR"/>
        </w:rPr>
        <w:t xml:space="preserve"> sessions,</w:t>
      </w:r>
    </w:p>
    <w:p w:rsidR="00ED5A67" w:rsidRPr="00ED5A67" w:rsidRDefault="00ED5A67" w:rsidP="00ED5A67">
      <w:pPr>
        <w:pStyle w:val="SingleTxtG"/>
        <w:ind w:firstLine="567"/>
        <w:rPr>
          <w:lang w:val="fr-FR"/>
        </w:rPr>
      </w:pPr>
      <w:r w:rsidRPr="00ED5A67">
        <w:rPr>
          <w:i/>
          <w:lang w:val="fr-FR"/>
        </w:rPr>
        <w:t>Rappelant</w:t>
      </w:r>
      <w:r w:rsidRPr="00ED5A67">
        <w:rPr>
          <w:lang w:val="fr-FR"/>
        </w:rPr>
        <w:t xml:space="preserve"> sa décision IS/1 sur l’examen du respect des dispositions de la Convention, adoptée à la session intermédiaire,</w:t>
      </w:r>
    </w:p>
    <w:p w:rsidR="00ED5A67" w:rsidRPr="00ED5A67" w:rsidRDefault="00ED5A67" w:rsidP="00ED5A67">
      <w:pPr>
        <w:pStyle w:val="SingleTxtG"/>
        <w:ind w:firstLine="567"/>
        <w:rPr>
          <w:lang w:val="fr-FR"/>
        </w:rPr>
      </w:pPr>
      <w:r w:rsidRPr="00ED5A67">
        <w:rPr>
          <w:lang w:val="fr-FR"/>
        </w:rPr>
        <w:t>1.</w:t>
      </w:r>
      <w:r w:rsidRPr="00ED5A67">
        <w:rPr>
          <w:lang w:val="fr-FR"/>
        </w:rPr>
        <w:tab/>
      </w:r>
      <w:r w:rsidRPr="00ED5A67">
        <w:rPr>
          <w:i/>
          <w:lang w:val="fr-FR"/>
        </w:rPr>
        <w:t xml:space="preserve">Apprécie </w:t>
      </w:r>
      <w:r w:rsidRPr="00ED5A67">
        <w:rPr>
          <w:lang w:val="fr-FR"/>
        </w:rPr>
        <w:t>les rapports reçus du Gouvernement ukrainien en application du paragraphe 25 de la décision VI/2, concernant la suite donnée à la décision V/4 à propos du projet du canal de Bystroe</w:t>
      </w:r>
      <w:r>
        <w:rPr>
          <w:lang w:val="fr-FR"/>
        </w:rPr>
        <w:t> </w:t>
      </w:r>
      <w:r w:rsidRPr="00ED5A67">
        <w:rPr>
          <w:lang w:val="fr-FR"/>
        </w:rPr>
        <w:t>;</w:t>
      </w:r>
    </w:p>
    <w:p w:rsidR="00ED5A67" w:rsidRPr="00ED5A67" w:rsidRDefault="00ED5A67" w:rsidP="00ED5A67">
      <w:pPr>
        <w:pStyle w:val="SingleTxtG"/>
        <w:ind w:firstLine="567"/>
        <w:rPr>
          <w:lang w:val="fr-FR"/>
        </w:rPr>
      </w:pPr>
      <w:r w:rsidRPr="00ED5A67">
        <w:rPr>
          <w:lang w:val="fr-FR"/>
        </w:rPr>
        <w:t>2.</w:t>
      </w:r>
      <w:r w:rsidRPr="00ED5A67">
        <w:rPr>
          <w:lang w:val="fr-FR"/>
        </w:rPr>
        <w:tab/>
      </w:r>
      <w:r w:rsidRPr="00ED5A67">
        <w:rPr>
          <w:i/>
          <w:lang w:val="fr-FR"/>
        </w:rPr>
        <w:t>Accueille avec satisfaction l</w:t>
      </w:r>
      <w:r w:rsidRPr="00ED5A67">
        <w:rPr>
          <w:lang w:val="fr-FR"/>
        </w:rPr>
        <w:t>es efforts déployés par le Gouvernement ukrainien pour suivre les recommandations qui lui sont adressées par la Réunion des Parties dans sa décision VI/2 ;</w:t>
      </w:r>
    </w:p>
    <w:p w:rsidR="00ED5A67" w:rsidRPr="00ED5A67" w:rsidRDefault="00ED5A67" w:rsidP="00ED5A67">
      <w:pPr>
        <w:pStyle w:val="SingleTxtG"/>
        <w:ind w:firstLine="567"/>
        <w:rPr>
          <w:lang w:val="fr-FR"/>
        </w:rPr>
      </w:pPr>
      <w:r w:rsidRPr="00ED5A67">
        <w:rPr>
          <w:lang w:val="fr-FR"/>
        </w:rPr>
        <w:t>3.</w:t>
      </w:r>
      <w:r w:rsidRPr="00ED5A67">
        <w:rPr>
          <w:lang w:val="fr-FR"/>
        </w:rPr>
        <w:tab/>
      </w:r>
      <w:r w:rsidRPr="00ED5A67">
        <w:rPr>
          <w:i/>
          <w:lang w:val="fr-FR"/>
        </w:rPr>
        <w:t>Constate avec satisfaction</w:t>
      </w:r>
      <w:r w:rsidRPr="00ED5A67">
        <w:rPr>
          <w:lang w:val="fr-FR"/>
        </w:rPr>
        <w:t xml:space="preserve"> que l’Ukraine a consulté le Comité d’application durant l’élaboration de sa loi relative à l’évaluation de l’impact environnemental afin de s’assurer qu’elle offre un fondement adéquat pour l’application de la Convention</w:t>
      </w:r>
      <w:r>
        <w:rPr>
          <w:lang w:val="fr-FR"/>
        </w:rPr>
        <w:t> </w:t>
      </w:r>
      <w:r w:rsidRPr="00ED5A67">
        <w:rPr>
          <w:lang w:val="fr-FR"/>
        </w:rPr>
        <w:t>;</w:t>
      </w:r>
    </w:p>
    <w:p w:rsidR="00ED5A67" w:rsidRPr="00ED5A67" w:rsidRDefault="00ED5A67" w:rsidP="00ED5A67">
      <w:pPr>
        <w:pStyle w:val="SingleTxtG"/>
        <w:ind w:firstLine="567"/>
        <w:rPr>
          <w:lang w:val="fr-FR"/>
        </w:rPr>
      </w:pPr>
      <w:r w:rsidRPr="00ED5A67">
        <w:rPr>
          <w:lang w:val="fr-FR"/>
        </w:rPr>
        <w:t>4.</w:t>
      </w:r>
      <w:r w:rsidRPr="00ED5A67">
        <w:rPr>
          <w:lang w:val="fr-FR"/>
        </w:rPr>
        <w:tab/>
      </w:r>
      <w:r w:rsidRPr="00ED5A67">
        <w:rPr>
          <w:i/>
          <w:lang w:val="fr-FR"/>
        </w:rPr>
        <w:t>Constate également avec satisfaction</w:t>
      </w:r>
      <w:r w:rsidRPr="00ED5A67">
        <w:rPr>
          <w:lang w:val="fr-FR"/>
        </w:rPr>
        <w:t xml:space="preserve"> que l’Ukraine a adopté la loi relative à l’évaluation de l’impact environnemental en mai 2017 puis un certain nombre de règlements d’application, en tant que mesures législatives concrètes destinées à la mise en œuvre de la stratégie du Gouvernement ukrainien en vue de l’application de la </w:t>
      </w:r>
      <w:r>
        <w:rPr>
          <w:lang w:val="fr-FR"/>
        </w:rPr>
        <w:t xml:space="preserve">Convention, visée au paragraphe </w:t>
      </w:r>
      <w:r w:rsidRPr="00ED5A67">
        <w:rPr>
          <w:lang w:val="fr-FR"/>
        </w:rPr>
        <w:t>25 a) de la décision VI/2</w:t>
      </w:r>
      <w:r>
        <w:rPr>
          <w:lang w:val="fr-FR"/>
        </w:rPr>
        <w:t> </w:t>
      </w:r>
      <w:r w:rsidRPr="00ED5A67">
        <w:rPr>
          <w:lang w:val="fr-FR"/>
        </w:rPr>
        <w:t>;</w:t>
      </w:r>
    </w:p>
    <w:p w:rsidR="00ED5A67" w:rsidRPr="00ED5A67" w:rsidRDefault="00ED5A67" w:rsidP="00ED5A67">
      <w:pPr>
        <w:pStyle w:val="SingleTxtG"/>
        <w:ind w:firstLine="567"/>
        <w:rPr>
          <w:lang w:val="fr-FR"/>
        </w:rPr>
      </w:pPr>
      <w:r w:rsidRPr="00ED5A67">
        <w:rPr>
          <w:lang w:val="fr-FR"/>
        </w:rPr>
        <w:t>5.</w:t>
      </w:r>
      <w:r w:rsidRPr="00ED5A67">
        <w:rPr>
          <w:lang w:val="fr-FR"/>
        </w:rPr>
        <w:tab/>
      </w:r>
      <w:r w:rsidRPr="00ED5A67">
        <w:rPr>
          <w:i/>
          <w:lang w:val="fr-FR"/>
        </w:rPr>
        <w:t>Demande</w:t>
      </w:r>
      <w:r>
        <w:rPr>
          <w:i/>
          <w:lang w:val="fr-FR"/>
        </w:rPr>
        <w:t xml:space="preserve"> </w:t>
      </w:r>
      <w:r w:rsidRPr="00ED5A67">
        <w:rPr>
          <w:lang w:val="fr-FR"/>
        </w:rPr>
        <w:t>au Gouvernement ukrainien de rendre compte sans tarder de la situation quant à l’adoption du règlement d’application élaboré afin de mettre sa législation nationale en pleine conformité avec la Convention</w:t>
      </w:r>
      <w:r>
        <w:rPr>
          <w:lang w:val="fr-FR"/>
        </w:rPr>
        <w:t> </w:t>
      </w:r>
      <w:r w:rsidRPr="00ED5A67">
        <w:rPr>
          <w:lang w:val="fr-FR"/>
        </w:rPr>
        <w:t>;</w:t>
      </w:r>
    </w:p>
    <w:p w:rsidR="00ED5A67" w:rsidRPr="00ED5A67" w:rsidRDefault="00ED5A67" w:rsidP="00ED5A67">
      <w:pPr>
        <w:pStyle w:val="SingleTxtG"/>
        <w:ind w:firstLine="567"/>
        <w:rPr>
          <w:lang w:val="fr-FR"/>
        </w:rPr>
      </w:pPr>
      <w:r w:rsidRPr="00ED5A67">
        <w:rPr>
          <w:lang w:val="fr-FR"/>
        </w:rPr>
        <w:t>6.</w:t>
      </w:r>
      <w:r w:rsidRPr="00ED5A67">
        <w:rPr>
          <w:lang w:val="fr-FR"/>
        </w:rPr>
        <w:tab/>
      </w:r>
      <w:r w:rsidRPr="00ED5A67">
        <w:rPr>
          <w:i/>
          <w:lang w:val="fr-FR"/>
        </w:rPr>
        <w:t>Regrette</w:t>
      </w:r>
      <w:r w:rsidRPr="00ED5A67">
        <w:rPr>
          <w:lang w:val="fr-FR"/>
        </w:rPr>
        <w:t xml:space="preserve"> que seules des mesures limitées aient été prises pour rendre le projet du canal de Bystroe pleinement conforme à la Convention, comme demandé au paragraphe</w:t>
      </w:r>
      <w:r>
        <w:rPr>
          <w:lang w:val="fr-FR"/>
        </w:rPr>
        <w:t> </w:t>
      </w:r>
      <w:r w:rsidRPr="00ED5A67">
        <w:rPr>
          <w:lang w:val="fr-FR"/>
        </w:rPr>
        <w:t>24 de la décision VI/2;</w:t>
      </w:r>
    </w:p>
    <w:p w:rsidR="00ED5A67" w:rsidRPr="00ED5A67" w:rsidRDefault="00ED5A67" w:rsidP="00ED5A67">
      <w:pPr>
        <w:pStyle w:val="SingleTxtG"/>
        <w:ind w:firstLine="567"/>
        <w:rPr>
          <w:lang w:val="fr-FR"/>
        </w:rPr>
      </w:pPr>
      <w:r w:rsidRPr="00ED5A67">
        <w:rPr>
          <w:lang w:val="fr-FR"/>
        </w:rPr>
        <w:t>7.</w:t>
      </w:r>
      <w:r w:rsidRPr="00ED5A67">
        <w:rPr>
          <w:lang w:val="fr-FR"/>
        </w:rPr>
        <w:tab/>
      </w:r>
      <w:r w:rsidRPr="00ED5A67">
        <w:rPr>
          <w:i/>
          <w:lang w:val="fr-FR"/>
        </w:rPr>
        <w:t xml:space="preserve">Fait siennes </w:t>
      </w:r>
      <w:r w:rsidRPr="00ED5A67">
        <w:rPr>
          <w:lang w:val="fr-FR"/>
        </w:rPr>
        <w:t>les constatations</w:t>
      </w:r>
      <w:r w:rsidRPr="00ED5A67">
        <w:rPr>
          <w:i/>
          <w:lang w:val="fr-FR"/>
        </w:rPr>
        <w:t xml:space="preserve"> </w:t>
      </w:r>
      <w:r w:rsidRPr="00ED5A67">
        <w:rPr>
          <w:lang w:val="fr-FR"/>
        </w:rPr>
        <w:t>formulées par le Comité d’application à ses quarante et unième et quarante-deuxième sessions selon lesquelles, bien que certaines mesures aient été prises, l’Ukraine n’a pas encore rempli les obligations qui lui incombent au titre des paragraphes 24 et 25 de la décision VI/2</w:t>
      </w:r>
      <w:r w:rsidRPr="00ED5A67">
        <w:rPr>
          <w:rStyle w:val="FootnoteReference"/>
          <w:lang w:val="fr-FR"/>
        </w:rPr>
        <w:footnoteReference w:id="11"/>
      </w:r>
      <w:r w:rsidRPr="00ED5A67">
        <w:rPr>
          <w:lang w:val="fr-FR"/>
        </w:rPr>
        <w:t>;</w:t>
      </w:r>
    </w:p>
    <w:p w:rsidR="00ED5A67" w:rsidRPr="00ED5A67" w:rsidRDefault="00ED5A67" w:rsidP="00ED5A67">
      <w:pPr>
        <w:pStyle w:val="SingleTxtG"/>
        <w:ind w:firstLine="567"/>
        <w:rPr>
          <w:lang w:val="fr-FR"/>
        </w:rPr>
      </w:pPr>
      <w:r w:rsidRPr="00ED5A67">
        <w:rPr>
          <w:lang w:val="fr-FR"/>
        </w:rPr>
        <w:lastRenderedPageBreak/>
        <w:t>8.</w:t>
      </w:r>
      <w:r w:rsidRPr="00ED5A67">
        <w:rPr>
          <w:lang w:val="fr-FR"/>
        </w:rPr>
        <w:tab/>
      </w:r>
      <w:r w:rsidRPr="00ED5A67">
        <w:rPr>
          <w:i/>
          <w:lang w:val="fr-FR"/>
        </w:rPr>
        <w:t>Fait également</w:t>
      </w:r>
      <w:r w:rsidRPr="00ED5A67">
        <w:rPr>
          <w:lang w:val="fr-FR"/>
        </w:rPr>
        <w:t xml:space="preserve"> sienne la constatation du Comité selon laquelle la poursuite des activités de dragage par le Gouvernement ukrainien constitue un nouveau manquement aux obligations qui lui incombent au titre de la Convention</w:t>
      </w:r>
      <w:r w:rsidRPr="00C312AE">
        <w:rPr>
          <w:rStyle w:val="FootnoteReference"/>
          <w:lang w:val="fr-FR"/>
        </w:rPr>
        <w:footnoteReference w:id="12"/>
      </w:r>
      <w:r w:rsidR="00C312AE">
        <w:rPr>
          <w:lang w:val="fr-FR"/>
        </w:rPr>
        <w:t> </w:t>
      </w:r>
      <w:r w:rsidRPr="00ED5A67">
        <w:rPr>
          <w:lang w:val="fr-FR"/>
        </w:rPr>
        <w:t>;</w:t>
      </w:r>
    </w:p>
    <w:p w:rsidR="00ED5A67" w:rsidRPr="00ED5A67" w:rsidRDefault="00ED5A67" w:rsidP="00ED5A67">
      <w:pPr>
        <w:pStyle w:val="SingleTxtG"/>
        <w:ind w:firstLine="567"/>
        <w:rPr>
          <w:lang w:val="fr-FR"/>
        </w:rPr>
      </w:pPr>
      <w:r w:rsidRPr="00ED5A67">
        <w:rPr>
          <w:lang w:val="fr-FR"/>
        </w:rPr>
        <w:t>9.</w:t>
      </w:r>
      <w:r w:rsidRPr="00ED5A67">
        <w:rPr>
          <w:lang w:val="fr-FR"/>
        </w:rPr>
        <w:tab/>
      </w:r>
      <w:r w:rsidRPr="00ED5A67">
        <w:rPr>
          <w:i/>
          <w:lang w:val="fr-FR"/>
        </w:rPr>
        <w:t>Déclare</w:t>
      </w:r>
      <w:r w:rsidRPr="00ED5A67">
        <w:rPr>
          <w:lang w:val="fr-FR"/>
        </w:rPr>
        <w:t xml:space="preserve"> par conséquent que la mise en garde qu’elle a adressée au Gouvernement ukrainien à sa quatrième session reste en vigueur</w:t>
      </w:r>
      <w:r w:rsidR="00C312AE">
        <w:rPr>
          <w:lang w:val="fr-FR"/>
        </w:rPr>
        <w:t> </w:t>
      </w:r>
      <w:r w:rsidRPr="00ED5A67">
        <w:rPr>
          <w:lang w:val="fr-FR"/>
        </w:rPr>
        <w:t>;</w:t>
      </w:r>
    </w:p>
    <w:p w:rsidR="00ED5A67" w:rsidRPr="00ED5A67" w:rsidRDefault="00ED5A67" w:rsidP="00ED5A67">
      <w:pPr>
        <w:pStyle w:val="SingleTxtG"/>
        <w:ind w:firstLine="567"/>
        <w:rPr>
          <w:lang w:val="fr-FR"/>
        </w:rPr>
      </w:pPr>
      <w:r w:rsidRPr="00ED5A67">
        <w:rPr>
          <w:lang w:val="fr-FR"/>
        </w:rPr>
        <w:t>10.</w:t>
      </w:r>
      <w:r w:rsidRPr="00ED5A67">
        <w:rPr>
          <w:lang w:val="fr-FR"/>
        </w:rPr>
        <w:tab/>
      </w:r>
      <w:r w:rsidRPr="00ED5A67">
        <w:rPr>
          <w:i/>
          <w:lang w:val="fr-FR"/>
        </w:rPr>
        <w:t>Accueille avec satisfaction</w:t>
      </w:r>
      <w:r w:rsidRPr="00ED5A67">
        <w:rPr>
          <w:lang w:val="fr-FR"/>
        </w:rPr>
        <w:t xml:space="preserve"> la déclaration de l’Ukraine qui se dit sincèrement désireuse de mettre le projet du canal de Bystroe en pleine conformité avec la Convention</w:t>
      </w:r>
      <w:r w:rsidRPr="00C312AE">
        <w:rPr>
          <w:rStyle w:val="FootnoteReference"/>
          <w:lang w:val="fr-FR"/>
        </w:rPr>
        <w:footnoteReference w:id="13"/>
      </w:r>
      <w:r w:rsidR="00C312AE">
        <w:rPr>
          <w:lang w:val="fr-FR"/>
        </w:rPr>
        <w:t> </w:t>
      </w:r>
      <w:r w:rsidRPr="00ED5A67">
        <w:rPr>
          <w:lang w:val="fr-FR"/>
        </w:rPr>
        <w:t>;</w:t>
      </w:r>
    </w:p>
    <w:p w:rsidR="00ED5A67" w:rsidRPr="00ED5A67" w:rsidRDefault="00ED5A67" w:rsidP="00ED5A67">
      <w:pPr>
        <w:pStyle w:val="SingleTxtG"/>
        <w:ind w:firstLine="567"/>
        <w:rPr>
          <w:lang w:val="fr-FR"/>
        </w:rPr>
      </w:pPr>
      <w:r w:rsidRPr="00ED5A67">
        <w:rPr>
          <w:lang w:val="fr-FR"/>
        </w:rPr>
        <w:t>11.</w:t>
      </w:r>
      <w:r w:rsidRPr="00ED5A67">
        <w:rPr>
          <w:lang w:val="fr-FR"/>
        </w:rPr>
        <w:tab/>
      </w:r>
      <w:r w:rsidRPr="00ED5A67">
        <w:rPr>
          <w:i/>
          <w:lang w:val="fr-FR"/>
        </w:rPr>
        <w:t xml:space="preserve">Accueille avec intérêt </w:t>
      </w:r>
      <w:r w:rsidRPr="00ED5A67">
        <w:rPr>
          <w:lang w:val="fr-FR"/>
        </w:rPr>
        <w:t>les mesures envisagées par l’Ukraine, telles que spécifiées dans la feuille de route qu’elle a élaborée et qui ont été discutées à la quarante et unième session du Comité d’application en ce qui concerne les phases I et II du projet du canal de Bystroe, notamment la volonté d’interrompre les travaux, de repousser la décision finale, d’évaluer les dommages causés à l’environnement et d’élaborer un plan comportant des mesures de compensation et d’atténuation</w:t>
      </w:r>
      <w:r w:rsidRPr="00C312AE">
        <w:rPr>
          <w:rStyle w:val="FootnoteReference"/>
          <w:lang w:val="fr-FR"/>
        </w:rPr>
        <w:footnoteReference w:id="14"/>
      </w:r>
      <w:r w:rsidR="00C312AE">
        <w:rPr>
          <w:lang w:val="fr-FR"/>
        </w:rPr>
        <w:t> </w:t>
      </w:r>
      <w:r w:rsidRPr="00ED5A67">
        <w:rPr>
          <w:lang w:val="fr-FR"/>
        </w:rPr>
        <w:t>;</w:t>
      </w:r>
    </w:p>
    <w:p w:rsidR="00ED5A67" w:rsidRPr="00ED5A67" w:rsidRDefault="00ED5A67" w:rsidP="00ED5A67">
      <w:pPr>
        <w:pStyle w:val="SingleTxtG"/>
        <w:ind w:firstLine="567"/>
        <w:rPr>
          <w:lang w:val="fr-FR"/>
        </w:rPr>
      </w:pPr>
      <w:r w:rsidRPr="00ED5A67">
        <w:rPr>
          <w:lang w:val="fr-FR"/>
        </w:rPr>
        <w:t>12.</w:t>
      </w:r>
      <w:r w:rsidRPr="00ED5A67">
        <w:rPr>
          <w:lang w:val="fr-FR"/>
        </w:rPr>
        <w:tab/>
      </w:r>
      <w:r w:rsidRPr="00ED5A67">
        <w:rPr>
          <w:i/>
          <w:lang w:val="fr-FR"/>
        </w:rPr>
        <w:t xml:space="preserve">Reconnaît </w:t>
      </w:r>
      <w:r w:rsidRPr="00ED5A67">
        <w:rPr>
          <w:lang w:val="fr-FR"/>
        </w:rPr>
        <w:t>que même si la liste des mesures proposées n’est pas exhaustive, elle offre une bonne base pour mettre le projet en pleine conformité avec la Convention</w:t>
      </w:r>
      <w:r w:rsidRPr="00C312AE">
        <w:rPr>
          <w:rStyle w:val="FootnoteReference"/>
          <w:lang w:val="fr-FR"/>
        </w:rPr>
        <w:footnoteReference w:id="15"/>
      </w:r>
      <w:r w:rsidR="00C312AE">
        <w:rPr>
          <w:lang w:val="fr-FR"/>
        </w:rPr>
        <w:t> </w:t>
      </w:r>
      <w:r w:rsidRPr="00ED5A67">
        <w:rPr>
          <w:lang w:val="fr-FR"/>
        </w:rPr>
        <w:t>;</w:t>
      </w:r>
    </w:p>
    <w:p w:rsidR="00ED5A67" w:rsidRPr="00ED5A67" w:rsidRDefault="00ED5A67" w:rsidP="00ED5A67">
      <w:pPr>
        <w:pStyle w:val="SingleTxtG"/>
        <w:ind w:firstLine="567"/>
        <w:rPr>
          <w:lang w:val="fr-FR"/>
        </w:rPr>
      </w:pPr>
      <w:r w:rsidRPr="00ED5A67">
        <w:rPr>
          <w:lang w:val="fr-FR"/>
        </w:rPr>
        <w:t>13.</w:t>
      </w:r>
      <w:r w:rsidRPr="00ED5A67">
        <w:rPr>
          <w:lang w:val="fr-FR"/>
        </w:rPr>
        <w:tab/>
      </w:r>
      <w:r w:rsidRPr="00B95D3F">
        <w:rPr>
          <w:i/>
          <w:lang w:val="fr-FR"/>
        </w:rPr>
        <w:t>Note</w:t>
      </w:r>
      <w:r w:rsidRPr="00ED5A67">
        <w:rPr>
          <w:lang w:val="fr-FR"/>
        </w:rPr>
        <w:t xml:space="preserve"> que l’Ukraine a l’intention de lancer un nouveau projet de tracé du canal de Bystroe et de procéder à une procédure d’évaluation de l’impact sur l’environnement dans un contexte transfrontière concernant le nouveau projet conformément à la Convention</w:t>
      </w:r>
      <w:r w:rsidRPr="00C312AE">
        <w:rPr>
          <w:rStyle w:val="FootnoteReference"/>
          <w:lang w:val="fr-FR"/>
        </w:rPr>
        <w:footnoteReference w:id="16"/>
      </w:r>
      <w:r w:rsidR="00C312AE">
        <w:rPr>
          <w:lang w:val="fr-FR"/>
        </w:rPr>
        <w:t> </w:t>
      </w:r>
      <w:r w:rsidRPr="00ED5A67">
        <w:rPr>
          <w:lang w:val="fr-FR"/>
        </w:rPr>
        <w:t>;</w:t>
      </w:r>
    </w:p>
    <w:p w:rsidR="00ED5A67" w:rsidRPr="00ED5A67" w:rsidRDefault="00ED5A67" w:rsidP="00ED5A67">
      <w:pPr>
        <w:pStyle w:val="SingleTxtG"/>
        <w:ind w:firstLine="567"/>
        <w:rPr>
          <w:lang w:val="fr-FR"/>
        </w:rPr>
      </w:pPr>
      <w:r w:rsidRPr="00ED5A67">
        <w:rPr>
          <w:lang w:val="fr-FR"/>
        </w:rPr>
        <w:t>14.</w:t>
      </w:r>
      <w:r w:rsidRPr="00ED5A67">
        <w:rPr>
          <w:lang w:val="fr-FR"/>
        </w:rPr>
        <w:tab/>
      </w:r>
      <w:r w:rsidRPr="00ED5A67">
        <w:rPr>
          <w:i/>
          <w:lang w:val="fr-FR"/>
        </w:rPr>
        <w:t>Demande</w:t>
      </w:r>
      <w:r w:rsidRPr="00ED5A67">
        <w:rPr>
          <w:lang w:val="fr-FR"/>
        </w:rPr>
        <w:t xml:space="preserve"> à l’Ukraine de consulter la Roumanie à propos de la feuille de route et de sa mise en œuvre</w:t>
      </w:r>
      <w:r w:rsidR="00C312AE">
        <w:rPr>
          <w:lang w:val="fr-FR"/>
        </w:rPr>
        <w:t> </w:t>
      </w:r>
      <w:r w:rsidRPr="00ED5A67">
        <w:rPr>
          <w:lang w:val="fr-FR"/>
        </w:rPr>
        <w:t>;</w:t>
      </w:r>
    </w:p>
    <w:p w:rsidR="00ED5A67" w:rsidRPr="00ED5A67" w:rsidRDefault="00ED5A67" w:rsidP="00ED5A67">
      <w:pPr>
        <w:pStyle w:val="SingleTxtG"/>
        <w:ind w:firstLine="567"/>
        <w:rPr>
          <w:lang w:val="fr-FR"/>
        </w:rPr>
      </w:pPr>
      <w:r w:rsidRPr="00ED5A67">
        <w:rPr>
          <w:lang w:val="fr-FR"/>
        </w:rPr>
        <w:t>15.</w:t>
      </w:r>
      <w:r w:rsidRPr="00ED5A67">
        <w:rPr>
          <w:lang w:val="fr-FR"/>
        </w:rPr>
        <w:tab/>
      </w:r>
      <w:r w:rsidRPr="00ED5A67">
        <w:rPr>
          <w:i/>
          <w:lang w:val="fr-FR"/>
        </w:rPr>
        <w:t>Demande de nouveau</w:t>
      </w:r>
      <w:r w:rsidRPr="00ED5A67">
        <w:rPr>
          <w:lang w:val="fr-FR"/>
        </w:rPr>
        <w:t xml:space="preserve"> au Gouvernement ukrainien de rendre le projet pleinement</w:t>
      </w:r>
      <w:r w:rsidR="00C312AE">
        <w:rPr>
          <w:lang w:val="fr-FR"/>
        </w:rPr>
        <w:t xml:space="preserve"> </w:t>
      </w:r>
      <w:r w:rsidRPr="00ED5A67">
        <w:rPr>
          <w:lang w:val="fr-FR"/>
        </w:rPr>
        <w:t>conforme à la Convention sans tarder</w:t>
      </w:r>
      <w:r w:rsidR="00C312AE">
        <w:rPr>
          <w:lang w:val="fr-FR"/>
        </w:rPr>
        <w:t> </w:t>
      </w:r>
      <w:r w:rsidRPr="00ED5A67">
        <w:rPr>
          <w:lang w:val="fr-FR"/>
        </w:rPr>
        <w:t>;</w:t>
      </w:r>
    </w:p>
    <w:p w:rsidR="00ED5A67" w:rsidRPr="00ED5A67" w:rsidRDefault="00ED5A67" w:rsidP="00ED5A67">
      <w:pPr>
        <w:pStyle w:val="SingleTxtG"/>
        <w:ind w:firstLine="567"/>
        <w:rPr>
          <w:lang w:val="fr-FR"/>
        </w:rPr>
      </w:pPr>
      <w:r w:rsidRPr="00ED5A67">
        <w:rPr>
          <w:lang w:val="fr-FR"/>
        </w:rPr>
        <w:t>16.</w:t>
      </w:r>
      <w:r w:rsidRPr="00ED5A67">
        <w:rPr>
          <w:lang w:val="fr-FR"/>
        </w:rPr>
        <w:tab/>
      </w:r>
      <w:r w:rsidRPr="00ED5A67">
        <w:rPr>
          <w:i/>
          <w:lang w:val="fr-FR"/>
        </w:rPr>
        <w:t xml:space="preserve">Accueille avec intérêt </w:t>
      </w:r>
      <w:r w:rsidRPr="00ED5A67">
        <w:rPr>
          <w:lang w:val="fr-FR"/>
        </w:rPr>
        <w:t>les efforts déployés par les Gouvernements ukrainien et roumain pour poursuivre la mise au point de l’accord bilatéral visant à une meilleure application de la Convention, mais regrette qu’aucun progrès n’ait été accompli à cet égard</w:t>
      </w:r>
      <w:r w:rsidR="00C312AE">
        <w:rPr>
          <w:lang w:val="fr-FR"/>
        </w:rPr>
        <w:t> </w:t>
      </w:r>
      <w:r w:rsidRPr="00ED5A67">
        <w:rPr>
          <w:lang w:val="fr-FR"/>
        </w:rPr>
        <w:t>;</w:t>
      </w:r>
    </w:p>
    <w:p w:rsidR="00ED5A67" w:rsidRPr="00ED5A67" w:rsidRDefault="00ED5A67" w:rsidP="00ED5A67">
      <w:pPr>
        <w:pStyle w:val="SingleTxtG"/>
        <w:ind w:firstLine="567"/>
        <w:rPr>
          <w:lang w:val="fr-FR"/>
        </w:rPr>
      </w:pPr>
      <w:r w:rsidRPr="00ED5A67">
        <w:rPr>
          <w:lang w:val="fr-FR"/>
        </w:rPr>
        <w:t>17.</w:t>
      </w:r>
      <w:r w:rsidRPr="00ED5A67">
        <w:rPr>
          <w:lang w:val="fr-FR"/>
        </w:rPr>
        <w:tab/>
      </w:r>
      <w:r w:rsidRPr="00ED5A67">
        <w:rPr>
          <w:i/>
          <w:lang w:val="fr-FR"/>
        </w:rPr>
        <w:t>Encourage</w:t>
      </w:r>
      <w:r w:rsidRPr="00ED5A67">
        <w:rPr>
          <w:lang w:val="fr-FR"/>
        </w:rPr>
        <w:t xml:space="preserve"> les Gouvernements ukrainien et roumain à poursuivre leur coopération pour élaborer un accord bilatéral ou un autre arrangement destiné à soutenir l’application des dispositions de la Convention, ainsi qu’il est prévu à l’article 8 de </w:t>
      </w:r>
      <w:r w:rsidR="00C312AE">
        <w:rPr>
          <w:lang w:val="fr-FR"/>
        </w:rPr>
        <w:t>celle</w:t>
      </w:r>
      <w:r w:rsidR="00C312AE">
        <w:rPr>
          <w:lang w:val="fr-FR"/>
        </w:rPr>
        <w:noBreakHyphen/>
        <w:t>ci </w:t>
      </w:r>
      <w:r w:rsidRPr="00ED5A67">
        <w:rPr>
          <w:lang w:val="fr-FR"/>
        </w:rPr>
        <w:t>;</w:t>
      </w:r>
    </w:p>
    <w:p w:rsidR="00ED5A67" w:rsidRPr="00ED5A67" w:rsidRDefault="00ED5A67" w:rsidP="00ED5A67">
      <w:pPr>
        <w:pStyle w:val="SingleTxtG"/>
        <w:ind w:firstLine="567"/>
        <w:rPr>
          <w:lang w:val="fr-FR"/>
        </w:rPr>
      </w:pPr>
      <w:r w:rsidRPr="00ED5A67">
        <w:rPr>
          <w:lang w:val="fr-FR"/>
        </w:rPr>
        <w:t>18.</w:t>
      </w:r>
      <w:r w:rsidRPr="00ED5A67">
        <w:rPr>
          <w:lang w:val="fr-FR"/>
        </w:rPr>
        <w:tab/>
      </w:r>
      <w:r w:rsidRPr="00ED5A67">
        <w:rPr>
          <w:i/>
          <w:lang w:val="fr-FR"/>
        </w:rPr>
        <w:t xml:space="preserve"> Demande </w:t>
      </w:r>
      <w:r w:rsidRPr="00ED5A67">
        <w:rPr>
          <w:lang w:val="fr-FR"/>
        </w:rPr>
        <w:t>au Gouvernement ukrainien d’informer la Roumanie sur les résultats de la surveillance continue</w:t>
      </w:r>
      <w:r w:rsidR="00C312AE">
        <w:rPr>
          <w:lang w:val="fr-FR"/>
        </w:rPr>
        <w:t> </w:t>
      </w:r>
      <w:r w:rsidRPr="00ED5A67">
        <w:rPr>
          <w:lang w:val="fr-FR"/>
        </w:rPr>
        <w:t>;</w:t>
      </w:r>
    </w:p>
    <w:p w:rsidR="00ED5A67" w:rsidRDefault="00ED5A67" w:rsidP="00ED5A67">
      <w:pPr>
        <w:pStyle w:val="SingleTxtG"/>
        <w:ind w:firstLine="567"/>
        <w:rPr>
          <w:lang w:val="fr-FR"/>
        </w:rPr>
      </w:pPr>
      <w:r w:rsidRPr="00ED5A67">
        <w:rPr>
          <w:lang w:val="fr-FR"/>
        </w:rPr>
        <w:t>19.</w:t>
      </w:r>
      <w:r w:rsidRPr="00ED5A67">
        <w:rPr>
          <w:lang w:val="fr-FR"/>
        </w:rPr>
        <w:tab/>
      </w:r>
      <w:r w:rsidRPr="00ED5A67">
        <w:rPr>
          <w:i/>
          <w:lang w:val="fr-FR"/>
        </w:rPr>
        <w:t>Demande</w:t>
      </w:r>
      <w:r w:rsidRPr="00ED5A67">
        <w:rPr>
          <w:lang w:val="fr-FR"/>
        </w:rPr>
        <w:t xml:space="preserve"> au Comité d’application de faire rapport à la huitième session de la Réunion des Parties sur son évaluation des mesures prises par le Gouvernement ukrainien et de formuler, s’il y a lieu, de nouvelles recommandations pour aider l’Ukraine à s’acquitter de ses obligations découlant de la Convention.</w:t>
      </w:r>
    </w:p>
    <w:p w:rsidR="00C312AE" w:rsidRPr="00C312AE" w:rsidRDefault="00C312AE" w:rsidP="00C312AE">
      <w:pPr>
        <w:pStyle w:val="SingleTxtG"/>
        <w:spacing w:before="240" w:after="0"/>
        <w:jc w:val="center"/>
        <w:rPr>
          <w:u w:val="single"/>
        </w:rPr>
      </w:pPr>
      <w:r>
        <w:rPr>
          <w:u w:val="single"/>
        </w:rPr>
        <w:tab/>
      </w:r>
      <w:r>
        <w:rPr>
          <w:u w:val="single"/>
        </w:rPr>
        <w:tab/>
      </w:r>
      <w:r>
        <w:rPr>
          <w:u w:val="single"/>
        </w:rPr>
        <w:tab/>
      </w:r>
    </w:p>
    <w:sectPr w:rsidR="00C312AE" w:rsidRPr="00C312AE" w:rsidSect="00ED5A6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795" w:rsidRDefault="00156795" w:rsidP="00F95C08">
      <w:pPr>
        <w:spacing w:line="240" w:lineRule="auto"/>
      </w:pPr>
    </w:p>
  </w:endnote>
  <w:endnote w:type="continuationSeparator" w:id="0">
    <w:p w:rsidR="00156795" w:rsidRPr="00AC3823" w:rsidRDefault="00156795" w:rsidP="00AC3823">
      <w:pPr>
        <w:pStyle w:val="Footer"/>
      </w:pPr>
    </w:p>
  </w:endnote>
  <w:endnote w:type="continuationNotice" w:id="1">
    <w:p w:rsidR="00156795" w:rsidRDefault="001567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A67" w:rsidRPr="00ED5A67" w:rsidRDefault="00ED5A67" w:rsidP="00ED5A67">
    <w:pPr>
      <w:pStyle w:val="Footer"/>
      <w:tabs>
        <w:tab w:val="right" w:pos="9638"/>
      </w:tabs>
    </w:pPr>
    <w:r w:rsidRPr="00ED5A67">
      <w:rPr>
        <w:b/>
        <w:sz w:val="18"/>
      </w:rPr>
      <w:fldChar w:fldCharType="begin"/>
    </w:r>
    <w:r w:rsidRPr="00ED5A67">
      <w:rPr>
        <w:b/>
        <w:sz w:val="18"/>
      </w:rPr>
      <w:instrText xml:space="preserve"> PAGE  \* MERGEFORMAT </w:instrText>
    </w:r>
    <w:r w:rsidRPr="00ED5A67">
      <w:rPr>
        <w:b/>
        <w:sz w:val="18"/>
      </w:rPr>
      <w:fldChar w:fldCharType="separate"/>
    </w:r>
    <w:r w:rsidR="00294A63">
      <w:rPr>
        <w:b/>
        <w:noProof/>
        <w:sz w:val="18"/>
      </w:rPr>
      <w:t>2</w:t>
    </w:r>
    <w:r w:rsidRPr="00ED5A67">
      <w:rPr>
        <w:b/>
        <w:sz w:val="18"/>
      </w:rPr>
      <w:fldChar w:fldCharType="end"/>
    </w:r>
    <w:r>
      <w:rPr>
        <w:b/>
        <w:sz w:val="18"/>
      </w:rPr>
      <w:tab/>
    </w:r>
    <w:r>
      <w:t>GE.18-19998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A67" w:rsidRPr="00ED5A67" w:rsidRDefault="00ED5A67" w:rsidP="00ED5A67">
    <w:pPr>
      <w:pStyle w:val="Footer"/>
      <w:tabs>
        <w:tab w:val="right" w:pos="9638"/>
      </w:tabs>
      <w:rPr>
        <w:b/>
        <w:sz w:val="18"/>
      </w:rPr>
    </w:pPr>
    <w:r>
      <w:t>GE.18-19998</w:t>
    </w:r>
    <w:r>
      <w:tab/>
    </w:r>
    <w:r w:rsidRPr="00ED5A67">
      <w:rPr>
        <w:b/>
        <w:sz w:val="18"/>
      </w:rPr>
      <w:fldChar w:fldCharType="begin"/>
    </w:r>
    <w:r w:rsidRPr="00ED5A67">
      <w:rPr>
        <w:b/>
        <w:sz w:val="18"/>
      </w:rPr>
      <w:instrText xml:space="preserve"> PAGE  \* MERGEFORMAT </w:instrText>
    </w:r>
    <w:r w:rsidRPr="00ED5A67">
      <w:rPr>
        <w:b/>
        <w:sz w:val="18"/>
      </w:rPr>
      <w:fldChar w:fldCharType="separate"/>
    </w:r>
    <w:r w:rsidR="00294A63">
      <w:rPr>
        <w:b/>
        <w:noProof/>
        <w:sz w:val="18"/>
      </w:rPr>
      <w:t>3</w:t>
    </w:r>
    <w:r w:rsidRPr="00ED5A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20" w:rsidRPr="00ED5A67" w:rsidRDefault="00ED5A67" w:rsidP="00ED5A67">
    <w:pPr>
      <w:pStyle w:val="Footer"/>
      <w:spacing w:before="120"/>
      <w:rPr>
        <w:sz w:val="20"/>
      </w:rPr>
    </w:pPr>
    <w:r>
      <w:rPr>
        <w:sz w:val="20"/>
      </w:rPr>
      <w:t>GE.</w:t>
    </w:r>
    <w:r w:rsidR="00A14420">
      <w:rPr>
        <w:noProof/>
        <w:lang w:eastAsia="fr-CH"/>
      </w:rPr>
      <w:drawing>
        <wp:anchor distT="0" distB="0" distL="114300" distR="114300" simplePos="0" relativeHeight="251660288"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18-19998</w:t>
    </w:r>
    <w:r w:rsidR="00C312AE">
      <w:rPr>
        <w:sz w:val="20"/>
      </w:rPr>
      <w:t xml:space="preserve">  </w:t>
    </w:r>
    <w:r>
      <w:rPr>
        <w:sz w:val="20"/>
      </w:rPr>
      <w:t>(F)</w:t>
    </w:r>
    <w:r w:rsidR="00C312AE">
      <w:rPr>
        <w:sz w:val="20"/>
      </w:rPr>
      <w:t xml:space="preserve">    281118    </w:t>
    </w:r>
    <w:r w:rsidR="002623A3">
      <w:rPr>
        <w:sz w:val="20"/>
      </w:rPr>
      <w:t>18</w:t>
    </w:r>
    <w:r w:rsidR="00C312AE">
      <w:rPr>
        <w:sz w:val="20"/>
      </w:rPr>
      <w:t>1218</w:t>
    </w:r>
    <w:r>
      <w:rPr>
        <w:sz w:val="20"/>
      </w:rPr>
      <w:br/>
    </w:r>
    <w:r w:rsidRPr="00ED5A67">
      <w:rPr>
        <w:rFonts w:ascii="C39T30Lfz" w:hAnsi="C39T30Lfz"/>
        <w:sz w:val="56"/>
      </w:rPr>
      <w:t></w:t>
    </w:r>
    <w:r w:rsidRPr="00ED5A67">
      <w:rPr>
        <w:rFonts w:ascii="C39T30Lfz" w:hAnsi="C39T30Lfz"/>
        <w:sz w:val="56"/>
      </w:rPr>
      <w:t></w:t>
    </w:r>
    <w:r w:rsidRPr="00ED5A67">
      <w:rPr>
        <w:rFonts w:ascii="C39T30Lfz" w:hAnsi="C39T30Lfz"/>
        <w:sz w:val="56"/>
      </w:rPr>
      <w:t></w:t>
    </w:r>
    <w:r w:rsidRPr="00ED5A67">
      <w:rPr>
        <w:rFonts w:ascii="C39T30Lfz" w:hAnsi="C39T30Lfz"/>
        <w:sz w:val="56"/>
      </w:rPr>
      <w:t></w:t>
    </w:r>
    <w:r w:rsidRPr="00ED5A67">
      <w:rPr>
        <w:rFonts w:ascii="C39T30Lfz" w:hAnsi="C39T30Lfz"/>
        <w:sz w:val="56"/>
      </w:rPr>
      <w:t></w:t>
    </w:r>
    <w:r w:rsidRPr="00ED5A67">
      <w:rPr>
        <w:rFonts w:ascii="C39T30Lfz" w:hAnsi="C39T30Lfz"/>
        <w:sz w:val="56"/>
      </w:rPr>
      <w:t></w:t>
    </w:r>
    <w:r w:rsidRPr="00ED5A67">
      <w:rPr>
        <w:rFonts w:ascii="C39T30Lfz" w:hAnsi="C39T30Lfz"/>
        <w:sz w:val="56"/>
      </w:rPr>
      <w:t></w:t>
    </w:r>
    <w:r w:rsidRPr="00ED5A67">
      <w:rPr>
        <w:rFonts w:ascii="C39T30Lfz" w:hAnsi="C39T30Lfz"/>
        <w:sz w:val="56"/>
      </w:rPr>
      <w:t></w:t>
    </w:r>
    <w:r w:rsidRPr="00ED5A6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 ECE/MP.EIA/2019/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 ECE/MP.EIA/2019/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795" w:rsidRPr="00AC3823" w:rsidRDefault="00156795" w:rsidP="00AC3823">
      <w:pPr>
        <w:pStyle w:val="Footer"/>
        <w:tabs>
          <w:tab w:val="right" w:pos="2155"/>
        </w:tabs>
        <w:spacing w:after="80" w:line="240" w:lineRule="atLeast"/>
        <w:ind w:left="680"/>
        <w:rPr>
          <w:u w:val="single"/>
        </w:rPr>
      </w:pPr>
      <w:r>
        <w:rPr>
          <w:u w:val="single"/>
        </w:rPr>
        <w:tab/>
      </w:r>
    </w:p>
  </w:footnote>
  <w:footnote w:type="continuationSeparator" w:id="0">
    <w:p w:rsidR="00156795" w:rsidRPr="00AC3823" w:rsidRDefault="00156795" w:rsidP="00AC3823">
      <w:pPr>
        <w:pStyle w:val="Footer"/>
        <w:tabs>
          <w:tab w:val="right" w:pos="2155"/>
        </w:tabs>
        <w:spacing w:after="80" w:line="240" w:lineRule="atLeast"/>
        <w:ind w:left="680"/>
        <w:rPr>
          <w:u w:val="single"/>
        </w:rPr>
      </w:pPr>
      <w:r>
        <w:rPr>
          <w:u w:val="single"/>
        </w:rPr>
        <w:tab/>
      </w:r>
    </w:p>
  </w:footnote>
  <w:footnote w:type="continuationNotice" w:id="1">
    <w:p w:rsidR="00156795" w:rsidRPr="00AC3823" w:rsidRDefault="00156795">
      <w:pPr>
        <w:spacing w:line="240" w:lineRule="auto"/>
        <w:rPr>
          <w:sz w:val="2"/>
          <w:szCs w:val="2"/>
        </w:rPr>
      </w:pPr>
    </w:p>
  </w:footnote>
  <w:footnote w:id="2">
    <w:p w:rsidR="00ED5A67" w:rsidRDefault="00ED5A67" w:rsidP="00ED5A67">
      <w:pPr>
        <w:pStyle w:val="FootnoteText"/>
      </w:pPr>
      <w:r>
        <w:tab/>
      </w:r>
      <w:r>
        <w:rPr>
          <w:rStyle w:val="FootnoteReference"/>
        </w:rPr>
        <w:footnoteRef/>
      </w:r>
      <w:r>
        <w:tab/>
        <w:t xml:space="preserve">Voir </w:t>
      </w:r>
      <w:r w:rsidRPr="00F62961">
        <w:t>ECE/MP.EIA/</w:t>
      </w:r>
      <w:r>
        <w:t>10.</w:t>
      </w:r>
    </w:p>
  </w:footnote>
  <w:footnote w:id="3">
    <w:p w:rsidR="00ED5A67" w:rsidRDefault="00ED5A67" w:rsidP="00ED5A67">
      <w:pPr>
        <w:pStyle w:val="FootnoteText"/>
      </w:pPr>
      <w:r>
        <w:tab/>
      </w:r>
      <w:r>
        <w:rPr>
          <w:rStyle w:val="FootnoteReference"/>
        </w:rPr>
        <w:footnoteRef/>
      </w:r>
      <w:r>
        <w:tab/>
        <w:t xml:space="preserve">Voir </w:t>
      </w:r>
      <w:r w:rsidRPr="00F62961">
        <w:t>ECE/MP.EIA/</w:t>
      </w:r>
      <w:r>
        <w:t>15.</w:t>
      </w:r>
    </w:p>
  </w:footnote>
  <w:footnote w:id="4">
    <w:p w:rsidR="00ED5A67" w:rsidRPr="00ED5A67" w:rsidRDefault="00ED5A67" w:rsidP="00ED5A67">
      <w:pPr>
        <w:pStyle w:val="FootnoteText"/>
        <w:rPr>
          <w:lang w:val="es-ES"/>
        </w:rPr>
      </w:pPr>
      <w:r>
        <w:tab/>
      </w:r>
      <w:r>
        <w:rPr>
          <w:rStyle w:val="FootnoteReference"/>
        </w:rPr>
        <w:footnoteRef/>
      </w:r>
      <w:r>
        <w:rPr>
          <w:lang w:val="es-ES"/>
        </w:rPr>
        <w:tab/>
      </w:r>
      <w:r w:rsidRPr="00ED5A67">
        <w:rPr>
          <w:lang w:val="es-ES"/>
        </w:rPr>
        <w:t>Voir</w:t>
      </w:r>
      <w:r w:rsidR="00C312AE">
        <w:rPr>
          <w:lang w:val="es-ES"/>
        </w:rPr>
        <w:t xml:space="preserve"> </w:t>
      </w:r>
      <w:r w:rsidRPr="00ED5A67">
        <w:rPr>
          <w:lang w:val="es-ES"/>
        </w:rPr>
        <w:t>ECE/MP.EIA/20/Add.1-ECE/MP.EIA/SEA/4/Add.1.</w:t>
      </w:r>
    </w:p>
  </w:footnote>
  <w:footnote w:id="5">
    <w:p w:rsidR="00ED5A67" w:rsidRDefault="00ED5A67" w:rsidP="00ED5A67">
      <w:pPr>
        <w:pStyle w:val="FootnoteText"/>
      </w:pPr>
      <w:r w:rsidRPr="00C312AE">
        <w:rPr>
          <w:lang w:val="es-ES"/>
        </w:rPr>
        <w:tab/>
      </w:r>
      <w:r>
        <w:rPr>
          <w:rStyle w:val="FootnoteReference"/>
        </w:rPr>
        <w:footnoteRef/>
      </w:r>
      <w:r w:rsidRPr="00ED5A67">
        <w:rPr>
          <w:lang w:val="es-ES"/>
        </w:rPr>
        <w:tab/>
        <w:t>Voir ECE/MP.EIA/23-ECE/MP.EIA/SEA/7, par.</w:t>
      </w:r>
      <w:r>
        <w:rPr>
          <w:lang w:val="es-ES"/>
        </w:rPr>
        <w:t> </w:t>
      </w:r>
      <w:r w:rsidRPr="00ED5A67">
        <w:rPr>
          <w:lang w:val="es-ES"/>
        </w:rPr>
        <w:t xml:space="preserve">27. </w:t>
      </w:r>
      <w:r>
        <w:t>Voir également le projet de décision VII/2 (ECE/MP.EIA/2017/8).</w:t>
      </w:r>
    </w:p>
  </w:footnote>
  <w:footnote w:id="6">
    <w:p w:rsidR="00ED5A67" w:rsidRPr="00E62D3A" w:rsidRDefault="00ED5A67" w:rsidP="00ED5A67">
      <w:pPr>
        <w:pStyle w:val="FootnoteText"/>
        <w:rPr>
          <w:lang w:val="es-ES"/>
        </w:rPr>
      </w:pPr>
      <w:r>
        <w:rPr>
          <w:lang w:val="es-ES"/>
        </w:rPr>
        <w:tab/>
      </w:r>
      <w:r>
        <w:rPr>
          <w:rStyle w:val="FootnoteReference"/>
        </w:rPr>
        <w:footnoteRef/>
      </w:r>
      <w:r>
        <w:rPr>
          <w:lang w:val="es-ES"/>
        </w:rPr>
        <w:tab/>
        <w:t>ECE/MP.EIA/2017/4-ECE/MP.EIA/SEA/2017/4, par. 10 à 16.</w:t>
      </w:r>
    </w:p>
  </w:footnote>
  <w:footnote w:id="7">
    <w:p w:rsidR="00ED5A67" w:rsidRDefault="00ED5A67" w:rsidP="00ED5A67">
      <w:pPr>
        <w:pStyle w:val="FootnoteText"/>
      </w:pPr>
      <w:r w:rsidRPr="00ED5A67">
        <w:rPr>
          <w:lang w:val="es-ES"/>
        </w:rPr>
        <w:tab/>
      </w:r>
      <w:r>
        <w:rPr>
          <w:rStyle w:val="FootnoteReference"/>
        </w:rPr>
        <w:footnoteRef/>
      </w:r>
      <w:r>
        <w:tab/>
      </w:r>
      <w:r w:rsidRPr="00ED5A67">
        <w:t>ECE/MP.EIA/IC/2017/4, par.</w:t>
      </w:r>
      <w:r>
        <w:t> 1</w:t>
      </w:r>
      <w:r w:rsidRPr="00ED5A67">
        <w:t>5 à 20.</w:t>
      </w:r>
    </w:p>
  </w:footnote>
  <w:footnote w:id="8">
    <w:p w:rsidR="00ED5A67" w:rsidRDefault="00ED5A67" w:rsidP="00ED5A67">
      <w:pPr>
        <w:pStyle w:val="FootnoteText"/>
      </w:pPr>
      <w:r>
        <w:tab/>
      </w:r>
      <w:r>
        <w:rPr>
          <w:rStyle w:val="FootnoteReference"/>
        </w:rPr>
        <w:footnoteRef/>
      </w:r>
      <w:r>
        <w:tab/>
      </w:r>
      <w:r w:rsidRPr="00ED5A67">
        <w:t>ECE/MP.EIA/IC/2017/6, par.</w:t>
      </w:r>
      <w:r>
        <w:t> </w:t>
      </w:r>
      <w:r w:rsidRPr="00ED5A67">
        <w:t>19 à 26.</w:t>
      </w:r>
    </w:p>
  </w:footnote>
  <w:footnote w:id="9">
    <w:p w:rsidR="00ED5A67" w:rsidRDefault="00ED5A67" w:rsidP="00ED5A67">
      <w:pPr>
        <w:pStyle w:val="FootnoteText"/>
      </w:pPr>
      <w:r>
        <w:tab/>
      </w:r>
      <w:r>
        <w:rPr>
          <w:rStyle w:val="FootnoteReference"/>
        </w:rPr>
        <w:footnoteRef/>
      </w:r>
      <w:r>
        <w:tab/>
      </w:r>
      <w:r w:rsidRPr="00ED5A67">
        <w:t>ECE/MP.EIA/IC/2018/2, par.</w:t>
      </w:r>
      <w:r>
        <w:t> </w:t>
      </w:r>
      <w:r w:rsidRPr="00ED5A67">
        <w:t>30 à 39</w:t>
      </w:r>
      <w:r>
        <w:t>.</w:t>
      </w:r>
    </w:p>
  </w:footnote>
  <w:footnote w:id="10">
    <w:p w:rsidR="00ED5A67" w:rsidRDefault="00ED5A67" w:rsidP="00ED5A67">
      <w:pPr>
        <w:pStyle w:val="FootnoteText"/>
      </w:pPr>
      <w:r>
        <w:tab/>
      </w:r>
      <w:r>
        <w:rPr>
          <w:rStyle w:val="FootnoteReference"/>
        </w:rPr>
        <w:footnoteRef/>
      </w:r>
      <w:r>
        <w:tab/>
        <w:t>ECE/MP.EIA/IC/2018/4, par. 19 à 26.</w:t>
      </w:r>
    </w:p>
  </w:footnote>
  <w:footnote w:id="11">
    <w:p w:rsidR="00ED5A67" w:rsidRDefault="00C312AE" w:rsidP="00C312AE">
      <w:pPr>
        <w:pStyle w:val="FootnoteText"/>
        <w:widowControl w:val="0"/>
      </w:pPr>
      <w:r>
        <w:tab/>
      </w:r>
      <w:r w:rsidR="00ED5A67">
        <w:rPr>
          <w:rStyle w:val="FootnoteReference"/>
        </w:rPr>
        <w:footnoteRef/>
      </w:r>
      <w:r>
        <w:tab/>
      </w:r>
      <w:r w:rsidR="00ED5A67" w:rsidRPr="00ED5A67">
        <w:t>ECE/MP.EIA/IC/2018/2, par.</w:t>
      </w:r>
      <w:r w:rsidR="00AA1271">
        <w:t> </w:t>
      </w:r>
      <w:r w:rsidR="00ED5A67" w:rsidRPr="0087354F">
        <w:t xml:space="preserve">30, </w:t>
      </w:r>
      <w:r w:rsidR="00ED5A67">
        <w:t xml:space="preserve">et </w:t>
      </w:r>
      <w:r>
        <w:t>ECE/MP.EIA/IC/2018/4, par. </w:t>
      </w:r>
      <w:r w:rsidR="00ED5A67" w:rsidRPr="00ED5A67">
        <w:t>21.</w:t>
      </w:r>
    </w:p>
  </w:footnote>
  <w:footnote w:id="12">
    <w:p w:rsidR="00ED5A67" w:rsidRPr="00ED5A67" w:rsidRDefault="00C312AE" w:rsidP="00C312AE">
      <w:pPr>
        <w:pStyle w:val="FootnoteText"/>
      </w:pPr>
      <w:r>
        <w:tab/>
      </w:r>
      <w:r w:rsidR="00ED5A67">
        <w:rPr>
          <w:rStyle w:val="FootnoteReference"/>
        </w:rPr>
        <w:footnoteRef/>
      </w:r>
      <w:r>
        <w:tab/>
      </w:r>
      <w:r w:rsidR="00ED5A67" w:rsidRPr="00ED5A67">
        <w:t>ECE/MP.EIA/IC/2016/4, par.</w:t>
      </w:r>
      <w:r>
        <w:t> </w:t>
      </w:r>
      <w:r w:rsidR="00ED5A67" w:rsidRPr="00ED5A67">
        <w:t>13.</w:t>
      </w:r>
    </w:p>
  </w:footnote>
  <w:footnote w:id="13">
    <w:p w:rsidR="00ED5A67" w:rsidRPr="00C312AE" w:rsidRDefault="00C312AE" w:rsidP="00C312AE">
      <w:pPr>
        <w:pStyle w:val="FootnoteText"/>
      </w:pPr>
      <w:r>
        <w:tab/>
      </w:r>
      <w:r w:rsidR="00ED5A67">
        <w:rPr>
          <w:rStyle w:val="FootnoteReference"/>
        </w:rPr>
        <w:footnoteRef/>
      </w:r>
      <w:r>
        <w:tab/>
      </w:r>
      <w:r w:rsidR="00ED5A67" w:rsidRPr="00ED5A67">
        <w:t>ECE/MP.EIA/IC/2018/2, p</w:t>
      </w:r>
      <w:r>
        <w:t>ar. </w:t>
      </w:r>
      <w:r w:rsidR="00ED5A67" w:rsidRPr="00C312AE">
        <w:t>34.</w:t>
      </w:r>
    </w:p>
  </w:footnote>
  <w:footnote w:id="14">
    <w:p w:rsidR="00ED5A67" w:rsidRPr="00C312AE" w:rsidRDefault="00C312AE" w:rsidP="00C312AE">
      <w:pPr>
        <w:pStyle w:val="FootnoteText"/>
      </w:pPr>
      <w:r>
        <w:tab/>
      </w:r>
      <w:r w:rsidR="00ED5A67">
        <w:rPr>
          <w:rStyle w:val="FootnoteReference"/>
        </w:rPr>
        <w:footnoteRef/>
      </w:r>
      <w:r>
        <w:tab/>
      </w:r>
      <w:r w:rsidR="00ED5A67" w:rsidRPr="00C312AE">
        <w:t>Ibid.</w:t>
      </w:r>
    </w:p>
  </w:footnote>
  <w:footnote w:id="15">
    <w:p w:rsidR="00ED5A67" w:rsidRDefault="00C312AE" w:rsidP="00C312AE">
      <w:pPr>
        <w:pStyle w:val="FootnoteText"/>
      </w:pPr>
      <w:r>
        <w:tab/>
      </w:r>
      <w:r w:rsidR="00ED5A67">
        <w:rPr>
          <w:rStyle w:val="FootnoteReference"/>
        </w:rPr>
        <w:footnoteRef/>
      </w:r>
      <w:r>
        <w:tab/>
      </w:r>
      <w:r w:rsidR="00ED5A67" w:rsidRPr="00C312AE">
        <w:t>Ibid</w:t>
      </w:r>
      <w:r w:rsidR="00ED5A67">
        <w:t>.</w:t>
      </w:r>
    </w:p>
  </w:footnote>
  <w:footnote w:id="16">
    <w:p w:rsidR="00ED5A67" w:rsidRDefault="00C312AE" w:rsidP="00C312AE">
      <w:pPr>
        <w:pStyle w:val="FootnoteText"/>
      </w:pPr>
      <w:r>
        <w:tab/>
      </w:r>
      <w:r w:rsidR="00ED5A67">
        <w:rPr>
          <w:rStyle w:val="FootnoteReference"/>
        </w:rPr>
        <w:footnoteRef/>
      </w:r>
      <w:r>
        <w:tab/>
      </w:r>
      <w:r w:rsidR="00ED5A67" w:rsidRPr="00C312AE">
        <w:t>Ibid</w:t>
      </w:r>
      <w:r w:rsidR="00ED5A6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A67" w:rsidRPr="00ED5A67" w:rsidRDefault="0098046A">
    <w:pPr>
      <w:pStyle w:val="Header"/>
    </w:pPr>
    <w:r>
      <w:fldChar w:fldCharType="begin"/>
    </w:r>
    <w:r>
      <w:instrText xml:space="preserve"> TITLE  \* MERGEFORMAT </w:instrText>
    </w:r>
    <w:r>
      <w:fldChar w:fldCharType="separate"/>
    </w:r>
    <w:r w:rsidR="00294A63">
      <w:t>ECE/MP.EIA/2019/7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A67" w:rsidRPr="00ED5A67" w:rsidRDefault="0098046A" w:rsidP="00ED5A67">
    <w:pPr>
      <w:pStyle w:val="Header"/>
      <w:jc w:val="right"/>
    </w:pPr>
    <w:r>
      <w:fldChar w:fldCharType="begin"/>
    </w:r>
    <w:r>
      <w:instrText xml:space="preserve"> TITLE  \* MERGEFORMAT </w:instrText>
    </w:r>
    <w:r>
      <w:fldChar w:fldCharType="separate"/>
    </w:r>
    <w:r w:rsidR="00294A63">
      <w:t>ECE/MP.EIA/2019/7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95"/>
    <w:rsid w:val="00017F94"/>
    <w:rsid w:val="00023842"/>
    <w:rsid w:val="00031189"/>
    <w:rsid w:val="000334F9"/>
    <w:rsid w:val="0007796D"/>
    <w:rsid w:val="000B7790"/>
    <w:rsid w:val="00111F2F"/>
    <w:rsid w:val="0014365E"/>
    <w:rsid w:val="00156795"/>
    <w:rsid w:val="00176178"/>
    <w:rsid w:val="00190CBA"/>
    <w:rsid w:val="001F525A"/>
    <w:rsid w:val="00200CDF"/>
    <w:rsid w:val="00223272"/>
    <w:rsid w:val="0024779E"/>
    <w:rsid w:val="002623A3"/>
    <w:rsid w:val="002832AC"/>
    <w:rsid w:val="00294A63"/>
    <w:rsid w:val="002B40F9"/>
    <w:rsid w:val="002D7C93"/>
    <w:rsid w:val="00441C3B"/>
    <w:rsid w:val="00446FE5"/>
    <w:rsid w:val="00452396"/>
    <w:rsid w:val="004E468C"/>
    <w:rsid w:val="005505B7"/>
    <w:rsid w:val="00573BE5"/>
    <w:rsid w:val="00586ED3"/>
    <w:rsid w:val="00596AA9"/>
    <w:rsid w:val="006C0E3B"/>
    <w:rsid w:val="0071601D"/>
    <w:rsid w:val="007439E4"/>
    <w:rsid w:val="007A5FC4"/>
    <w:rsid w:val="007A62E6"/>
    <w:rsid w:val="0080684C"/>
    <w:rsid w:val="008607A6"/>
    <w:rsid w:val="00871C75"/>
    <w:rsid w:val="008776DC"/>
    <w:rsid w:val="008D6B3F"/>
    <w:rsid w:val="00952999"/>
    <w:rsid w:val="009705C8"/>
    <w:rsid w:val="0098046A"/>
    <w:rsid w:val="009C1CF4"/>
    <w:rsid w:val="00A14420"/>
    <w:rsid w:val="00A30353"/>
    <w:rsid w:val="00AA1271"/>
    <w:rsid w:val="00AC3823"/>
    <w:rsid w:val="00AE323C"/>
    <w:rsid w:val="00B00181"/>
    <w:rsid w:val="00B00B0D"/>
    <w:rsid w:val="00B765F7"/>
    <w:rsid w:val="00B95D3F"/>
    <w:rsid w:val="00BA0CA9"/>
    <w:rsid w:val="00C02897"/>
    <w:rsid w:val="00C312AE"/>
    <w:rsid w:val="00C554CE"/>
    <w:rsid w:val="00CC1F88"/>
    <w:rsid w:val="00D3439C"/>
    <w:rsid w:val="00D503D3"/>
    <w:rsid w:val="00DB1831"/>
    <w:rsid w:val="00DD3BFD"/>
    <w:rsid w:val="00DF5712"/>
    <w:rsid w:val="00DF6678"/>
    <w:rsid w:val="00E96BD6"/>
    <w:rsid w:val="00ED5A67"/>
    <w:rsid w:val="00EE22F9"/>
    <w:rsid w:val="00EF2E22"/>
    <w:rsid w:val="00F14EAF"/>
    <w:rsid w:val="00F446A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FAEDEB-8B08-47D0-A820-7BF19E9D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SingleTxtGChar">
    <w:name w:val="_ Single Txt_G Char"/>
    <w:link w:val="SingleTxtG"/>
    <w:rsid w:val="00ED5A6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6598</Characters>
  <Application>Microsoft Office Word</Application>
  <DocSecurity>4</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ECE/MP.EIA/2019/7</vt:lpstr>
      <vt:lpstr>ECE/MP.EIA/2019/7</vt:lpstr>
    </vt:vector>
  </TitlesOfParts>
  <Company>DCM</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ECE/MP.EIA/2019/7</dc:title>
  <dc:subject/>
  <dc:creator>Fabienne CRELIER</dc:creator>
  <cp:keywords/>
  <cp:lastModifiedBy>Elisabeth James</cp:lastModifiedBy>
  <cp:revision>2</cp:revision>
  <cp:lastPrinted>2018-12-17T16:30:00Z</cp:lastPrinted>
  <dcterms:created xsi:type="dcterms:W3CDTF">2018-12-18T23:40:00Z</dcterms:created>
  <dcterms:modified xsi:type="dcterms:W3CDTF">2018-12-18T23:40:00Z</dcterms:modified>
</cp:coreProperties>
</file>