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F68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F6818" w:rsidP="00DF6818">
            <w:pPr>
              <w:jc w:val="right"/>
            </w:pPr>
            <w:r w:rsidRPr="00DF6818">
              <w:rPr>
                <w:sz w:val="40"/>
              </w:rPr>
              <w:t>ECE</w:t>
            </w:r>
            <w:r>
              <w:t>/MP.EIA/2019/2</w:t>
            </w:r>
          </w:p>
        </w:tc>
      </w:tr>
      <w:tr w:rsidR="002D5AAC" w:rsidRPr="00DF681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F681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F6818" w:rsidRDefault="00BF7C9B" w:rsidP="00DF68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DF6818">
              <w:rPr>
                <w:lang w:val="en-US"/>
              </w:rPr>
              <w:t xml:space="preserve"> November 2018</w:t>
            </w:r>
          </w:p>
          <w:p w:rsidR="00DF6818" w:rsidRDefault="00DF6818" w:rsidP="00DF68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F6818" w:rsidRPr="008D53B6" w:rsidRDefault="00DF6818" w:rsidP="00DF68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F6818" w:rsidRPr="00DF6818" w:rsidRDefault="00DF6818" w:rsidP="00DF6818">
      <w:pPr>
        <w:spacing w:before="120"/>
        <w:rPr>
          <w:bCs/>
          <w:sz w:val="28"/>
          <w:szCs w:val="28"/>
        </w:rPr>
      </w:pPr>
      <w:r w:rsidRPr="00DF6818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DF6818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DF6818">
        <w:rPr>
          <w:sz w:val="28"/>
          <w:szCs w:val="28"/>
        </w:rPr>
        <w:t>в трансграничном контексте</w:t>
      </w:r>
    </w:p>
    <w:p w:rsidR="00DF6818" w:rsidRPr="00C86618" w:rsidRDefault="00DF6818" w:rsidP="00DF6818">
      <w:pPr>
        <w:spacing w:before="120"/>
        <w:rPr>
          <w:b/>
          <w:bCs/>
        </w:rPr>
      </w:pPr>
      <w:r w:rsidRPr="00C86618">
        <w:rPr>
          <w:b/>
          <w:bCs/>
        </w:rPr>
        <w:t>Промежуточная сессия</w:t>
      </w:r>
    </w:p>
    <w:p w:rsidR="00DF6818" w:rsidRPr="00C86618" w:rsidRDefault="00DF6818" w:rsidP="00DF6818">
      <w:r w:rsidRPr="00C86618">
        <w:t>Женева, 5–7 февраля 2019 года</w:t>
      </w:r>
    </w:p>
    <w:p w:rsidR="00DF6818" w:rsidRPr="00C86618" w:rsidRDefault="00DF6818" w:rsidP="00DF6818">
      <w:r w:rsidRPr="00C86618">
        <w:t>Пункты 3</w:t>
      </w:r>
      <w:r w:rsidRPr="00DF6818">
        <w:t xml:space="preserve"> </w:t>
      </w:r>
      <w:r w:rsidRPr="00C86618">
        <w:t>а) и 8 предварительной повестки дня</w:t>
      </w:r>
    </w:p>
    <w:p w:rsidR="00DF6818" w:rsidRPr="00C86618" w:rsidRDefault="00DF6818" w:rsidP="00DF6818">
      <w:pPr>
        <w:pStyle w:val="HChG"/>
        <w:spacing w:before="120" w:after="0"/>
        <w:rPr>
          <w:bCs/>
          <w:sz w:val="20"/>
          <w:lang w:val="ru-RU"/>
        </w:rPr>
      </w:pPr>
      <w:r w:rsidRPr="00C86618">
        <w:rPr>
          <w:sz w:val="20"/>
          <w:lang w:val="ru-RU"/>
        </w:rPr>
        <w:t>Нере</w:t>
      </w:r>
      <w:r>
        <w:rPr>
          <w:sz w:val="20"/>
          <w:lang w:val="ru-RU"/>
        </w:rPr>
        <w:t>шенные вопросы: проекты решений</w:t>
      </w:r>
    </w:p>
    <w:p w:rsidR="00DF6818" w:rsidRPr="00C86618" w:rsidRDefault="00DF6818" w:rsidP="00DF6818">
      <w:pPr>
        <w:pStyle w:val="HChG"/>
        <w:spacing w:before="120"/>
        <w:rPr>
          <w:bCs/>
          <w:sz w:val="20"/>
          <w:lang w:val="ru-RU"/>
        </w:rPr>
      </w:pPr>
      <w:r w:rsidRPr="00C86618">
        <w:rPr>
          <w:sz w:val="20"/>
          <w:lang w:val="ru-RU"/>
        </w:rPr>
        <w:t>Принятие решений Совещанием Сторон</w:t>
      </w:r>
    </w:p>
    <w:p w:rsidR="00DF6818" w:rsidRPr="00C86618" w:rsidRDefault="00DF6818" w:rsidP="00DF6818">
      <w:pPr>
        <w:pStyle w:val="HChG"/>
        <w:rPr>
          <w:lang w:val="ru-RU"/>
        </w:rPr>
      </w:pPr>
      <w:r w:rsidRPr="00C86618">
        <w:rPr>
          <w:lang w:val="ru-RU"/>
        </w:rPr>
        <w:tab/>
      </w:r>
      <w:r w:rsidRPr="00C86618">
        <w:rPr>
          <w:lang w:val="ru-RU"/>
        </w:rPr>
        <w:tab/>
        <w:t>Проект решения IS/1a о соблюдении Арменией ее</w:t>
      </w:r>
      <w:r>
        <w:rPr>
          <w:lang w:val="en-US"/>
        </w:rPr>
        <w:t> </w:t>
      </w:r>
      <w:r w:rsidRPr="00C86618">
        <w:rPr>
          <w:lang w:val="ru-RU"/>
        </w:rPr>
        <w:t>обязательств по Конвенции на уровне ее</w:t>
      </w:r>
      <w:r>
        <w:rPr>
          <w:lang w:val="en-US"/>
        </w:rPr>
        <w:t> </w:t>
      </w:r>
      <w:r w:rsidRPr="00C86618">
        <w:rPr>
          <w:lang w:val="ru-RU"/>
        </w:rPr>
        <w:t>национального законодательства</w:t>
      </w:r>
      <w:bookmarkStart w:id="1" w:name="_Hlk525810096"/>
      <w:bookmarkStart w:id="2" w:name="_Hlk529195935"/>
      <w:bookmarkEnd w:id="1"/>
    </w:p>
    <w:p w:rsidR="00DF6818" w:rsidRPr="00C86618" w:rsidRDefault="00DF6818" w:rsidP="00DF6818">
      <w:pPr>
        <w:pStyle w:val="H1GR"/>
      </w:pPr>
      <w:r w:rsidRPr="00C86618">
        <w:tab/>
      </w:r>
      <w:r w:rsidRPr="00C86618">
        <w:tab/>
        <w:t>Предложение Комитета по осуществлению</w:t>
      </w:r>
      <w:bookmarkEnd w:id="2"/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37"/>
      </w:tblGrid>
      <w:tr w:rsidR="00DF6818" w:rsidRPr="00C86618" w:rsidTr="00453881">
        <w:trPr>
          <w:jc w:val="center"/>
        </w:trPr>
        <w:tc>
          <w:tcPr>
            <w:tcW w:w="9637" w:type="dxa"/>
            <w:shd w:val="clear" w:color="auto" w:fill="auto"/>
          </w:tcPr>
          <w:p w:rsidR="00DF6818" w:rsidRPr="00C86618" w:rsidRDefault="00DF6818" w:rsidP="00453881">
            <w:pPr>
              <w:spacing w:before="240" w:after="120"/>
              <w:ind w:left="255"/>
              <w:rPr>
                <w:rStyle w:val="Emphasis"/>
              </w:rPr>
            </w:pPr>
            <w:r w:rsidRPr="00C86618">
              <w:rPr>
                <w:rStyle w:val="Emphasis"/>
              </w:rPr>
              <w:t>Резюме</w:t>
            </w:r>
          </w:p>
        </w:tc>
      </w:tr>
      <w:tr w:rsidR="00DF6818" w:rsidRPr="00C86618" w:rsidTr="00453881">
        <w:trPr>
          <w:jc w:val="center"/>
        </w:trPr>
        <w:tc>
          <w:tcPr>
            <w:tcW w:w="9637" w:type="dxa"/>
            <w:shd w:val="clear" w:color="auto" w:fill="auto"/>
          </w:tcPr>
          <w:p w:rsidR="00DF6818" w:rsidRPr="00C86618" w:rsidRDefault="00DF6818" w:rsidP="00453881">
            <w:pPr>
              <w:pStyle w:val="SingleTxtG"/>
              <w:spacing w:line="240" w:lineRule="auto"/>
              <w:ind w:firstLine="567"/>
              <w:rPr>
                <w:lang w:val="ru-RU"/>
              </w:rPr>
            </w:pPr>
            <w:r w:rsidRPr="00C86618">
              <w:rPr>
                <w:lang w:val="ru-RU"/>
              </w:rPr>
              <w:t>Проект решения, содержащийся в настоящем документе, был подготовлен в</w:t>
            </w:r>
            <w:r>
              <w:rPr>
                <w:lang w:val="ru-RU"/>
              </w:rPr>
              <w:t xml:space="preserve"> </w:t>
            </w:r>
            <w:r w:rsidRPr="00C86618">
              <w:rPr>
                <w:lang w:val="ru-RU"/>
              </w:rPr>
              <w:t>ответ на высказанную Совещанием Сторон Конвенции об оценке воздействия на окружающую среду в трансграничном контексте н</w:t>
            </w:r>
            <w:r>
              <w:rPr>
                <w:lang w:val="ru-RU"/>
              </w:rPr>
              <w:t xml:space="preserve">а его седьмой сессии (Минск, </w:t>
            </w:r>
            <w:r>
              <w:rPr>
                <w:lang w:val="ru-RU"/>
              </w:rPr>
              <w:br/>
              <w:t>13</w:t>
            </w:r>
            <w:r w:rsidRPr="00C86618">
              <w:rPr>
                <w:lang w:val="ru-RU"/>
              </w:rPr>
              <w:t>–16 июня 2017 года) просьбу в адрес Комитета по осуществлению пересмотреть проект решения VII/2 о рассмотрении соблюдения</w:t>
            </w:r>
            <w:r>
              <w:rPr>
                <w:lang w:val="ru-RU"/>
              </w:rPr>
              <w:t xml:space="preserve"> </w:t>
            </w:r>
            <w:r w:rsidRPr="00C86618">
              <w:rPr>
                <w:lang w:val="ru-RU"/>
              </w:rPr>
              <w:t>Конвенции с учетом уже проделанной работы и прогресса, достигнутого в период до, во время и после седьмой сессии Совещания Сторон (ECE/MP.EIA/23-ECE/MP.EIA/SEA/7, пункт 27). Для того чтобы облегчить рассмотрение и принятие проекта решения VII/2, он был разбит на отдельные проекты решений: проект решения по общим вопросам соблюдения и проекты решений по отдельным вопросам соблюдения Конвенции конкретными странами.</w:t>
            </w:r>
          </w:p>
          <w:p w:rsidR="00DF6818" w:rsidRPr="00C86618" w:rsidRDefault="00DF6818" w:rsidP="00453881">
            <w:pPr>
              <w:pStyle w:val="SingleTxtG"/>
              <w:spacing w:line="240" w:lineRule="auto"/>
              <w:ind w:firstLine="567"/>
              <w:rPr>
                <w:lang w:val="ru-RU"/>
              </w:rPr>
            </w:pPr>
            <w:r w:rsidRPr="00C86618">
              <w:rPr>
                <w:lang w:val="ru-RU"/>
              </w:rPr>
              <w:t>Проект решения IS/1а представляет собой пересмотренный вариант текста проекта решения VII/2 относительно последующих действий Армении в отношении своего национального законодательства.</w:t>
            </w:r>
          </w:p>
          <w:p w:rsidR="00DF6818" w:rsidRPr="00C86618" w:rsidRDefault="00DF6818" w:rsidP="00453881">
            <w:pPr>
              <w:pStyle w:val="SingleTxtG"/>
              <w:ind w:firstLine="567"/>
              <w:rPr>
                <w:lang w:val="ru-RU"/>
              </w:rPr>
            </w:pPr>
            <w:r w:rsidRPr="00C86618">
              <w:rPr>
                <w:lang w:val="ru-RU"/>
              </w:rPr>
              <w:t>Совещание Сторон Конвенции, как ожидается, рассмотрит проект решения и согласует его принятие.</w:t>
            </w:r>
          </w:p>
        </w:tc>
      </w:tr>
      <w:tr w:rsidR="00DF6818" w:rsidRPr="00C86618" w:rsidTr="00453881">
        <w:trPr>
          <w:jc w:val="center"/>
        </w:trPr>
        <w:tc>
          <w:tcPr>
            <w:tcW w:w="9637" w:type="dxa"/>
            <w:shd w:val="clear" w:color="auto" w:fill="auto"/>
          </w:tcPr>
          <w:p w:rsidR="00DF6818" w:rsidRPr="00C86618" w:rsidRDefault="00DF6818" w:rsidP="00453881"/>
        </w:tc>
      </w:tr>
    </w:tbl>
    <w:p w:rsidR="00DF6818" w:rsidRPr="00C86618" w:rsidRDefault="00DF6818" w:rsidP="00DF6818">
      <w:pPr>
        <w:suppressAutoHyphens w:val="0"/>
        <w:spacing w:line="240" w:lineRule="auto"/>
      </w:pPr>
      <w:r w:rsidRPr="00C86618">
        <w:br w:type="page"/>
      </w:r>
    </w:p>
    <w:p w:rsidR="00DF6818" w:rsidRPr="00C86618" w:rsidRDefault="00DF6818" w:rsidP="00DF6818">
      <w:pPr>
        <w:pStyle w:val="SingleTxtG"/>
        <w:spacing w:before="120"/>
        <w:ind w:firstLine="567"/>
        <w:rPr>
          <w:rStyle w:val="Emphasis"/>
          <w:lang w:val="ru-RU"/>
        </w:rPr>
      </w:pPr>
      <w:bookmarkStart w:id="3" w:name="_Hlk530410511"/>
      <w:r w:rsidRPr="00C86618">
        <w:rPr>
          <w:rStyle w:val="Emphasis"/>
          <w:lang w:val="ru-RU"/>
        </w:rPr>
        <w:lastRenderedPageBreak/>
        <w:t xml:space="preserve">Совещание Сторон, </w:t>
      </w:r>
    </w:p>
    <w:p w:rsidR="00DF6818" w:rsidRPr="00C86618" w:rsidRDefault="00DF6818" w:rsidP="00DF6818">
      <w:pPr>
        <w:pStyle w:val="SingleTxtG"/>
        <w:rPr>
          <w:lang w:val="ru-RU"/>
        </w:rPr>
      </w:pPr>
      <w:r>
        <w:rPr>
          <w:rStyle w:val="Emphasis"/>
          <w:lang w:val="ru-RU"/>
        </w:rPr>
        <w:tab/>
      </w:r>
      <w:r w:rsidRPr="00C86618">
        <w:rPr>
          <w:rStyle w:val="Emphasis"/>
          <w:lang w:val="ru-RU"/>
        </w:rPr>
        <w:tab/>
        <w:t>ссылаясь</w:t>
      </w:r>
      <w:r w:rsidRPr="00C86618">
        <w:rPr>
          <w:lang w:val="ru-RU"/>
        </w:rPr>
        <w:t xml:space="preserve"> на пункт 2 статьи 11 и статью 14-бис Конвенции об оценке воздействия на окружающую среду в трансграничном контексте,</w:t>
      </w:r>
    </w:p>
    <w:p w:rsidR="00DF6818" w:rsidRPr="00C86618" w:rsidRDefault="00DF6818" w:rsidP="00DF6818">
      <w:pPr>
        <w:pStyle w:val="SingleTxtG"/>
        <w:rPr>
          <w:lang w:val="ru-RU"/>
        </w:rPr>
      </w:pPr>
      <w:r>
        <w:rPr>
          <w:lang w:val="ru-RU"/>
        </w:rPr>
        <w:tab/>
      </w:r>
      <w:r w:rsidRPr="00C86618">
        <w:rPr>
          <w:lang w:val="ru-RU"/>
        </w:rPr>
        <w:tab/>
      </w:r>
      <w:r w:rsidRPr="00C86618">
        <w:rPr>
          <w:rStyle w:val="Emphasis"/>
          <w:lang w:val="ru-RU"/>
        </w:rPr>
        <w:t>ссылаясь также</w:t>
      </w:r>
      <w:r>
        <w:rPr>
          <w:lang w:val="ru-RU"/>
        </w:rPr>
        <w:t xml:space="preserve"> на пункты 15–</w:t>
      </w:r>
      <w:r w:rsidRPr="00C86618">
        <w:rPr>
          <w:lang w:val="ru-RU"/>
        </w:rPr>
        <w:t>19 своего решения IV/2</w:t>
      </w:r>
      <w:r w:rsidRPr="00C86618">
        <w:rPr>
          <w:rStyle w:val="FootnoteReference"/>
          <w:lang w:val="ru-RU"/>
        </w:rPr>
        <w:footnoteReference w:id="1"/>
      </w:r>
      <w:r w:rsidRPr="00C86618">
        <w:rPr>
          <w:lang w:val="ru-RU"/>
        </w:rPr>
        <w:t xml:space="preserve">, </w:t>
      </w:r>
      <w:r>
        <w:rPr>
          <w:lang w:val="ru-RU"/>
        </w:rPr>
        <w:t>пункты 27–</w:t>
      </w:r>
      <w:r w:rsidRPr="00C86618">
        <w:rPr>
          <w:lang w:val="ru-RU"/>
        </w:rPr>
        <w:t>28 своего решения V/4</w:t>
      </w:r>
      <w:r w:rsidRPr="00C86618">
        <w:rPr>
          <w:rStyle w:val="FootnoteReference"/>
          <w:lang w:val="ru-RU"/>
        </w:rPr>
        <w:footnoteReference w:id="2"/>
      </w:r>
      <w:r>
        <w:rPr>
          <w:lang w:val="ru-RU"/>
        </w:rPr>
        <w:t xml:space="preserve"> и пункты 29–</w:t>
      </w:r>
      <w:r w:rsidRPr="00C86618">
        <w:rPr>
          <w:lang w:val="ru-RU"/>
        </w:rPr>
        <w:t>35 своего решения VI/2</w:t>
      </w:r>
      <w:r w:rsidRPr="00C86618">
        <w:rPr>
          <w:rStyle w:val="FootnoteReference"/>
          <w:lang w:val="ru-RU"/>
        </w:rPr>
        <w:footnoteReference w:id="3"/>
      </w:r>
      <w:r w:rsidRPr="00C86618">
        <w:rPr>
          <w:lang w:val="ru-RU"/>
        </w:rPr>
        <w:t xml:space="preserve"> относительно</w:t>
      </w:r>
      <w:r>
        <w:rPr>
          <w:lang w:val="ru-RU"/>
        </w:rPr>
        <w:t xml:space="preserve"> </w:t>
      </w:r>
      <w:r w:rsidRPr="00C86618">
        <w:rPr>
          <w:lang w:val="ru-RU"/>
        </w:rPr>
        <w:t>соблюдения Арменией Конвенции на уровне ее национального законодательства в интересах</w:t>
      </w:r>
      <w:r>
        <w:rPr>
          <w:lang w:val="ru-RU"/>
        </w:rPr>
        <w:t xml:space="preserve"> </w:t>
      </w:r>
      <w:r w:rsidRPr="00C86618">
        <w:rPr>
          <w:lang w:val="ru-RU"/>
        </w:rPr>
        <w:t>осуществления Конвенции,</w:t>
      </w:r>
    </w:p>
    <w:p w:rsidR="00DF6818" w:rsidRPr="00C86618" w:rsidRDefault="00DF6818" w:rsidP="00DF6818">
      <w:pPr>
        <w:pStyle w:val="SingleTxtG"/>
        <w:rPr>
          <w:lang w:val="ru-RU"/>
        </w:rPr>
      </w:pPr>
      <w:bookmarkStart w:id="4" w:name="_Hlk504650794"/>
      <w:r>
        <w:rPr>
          <w:rStyle w:val="Emphasis"/>
          <w:lang w:val="ru-RU"/>
        </w:rPr>
        <w:tab/>
      </w:r>
      <w:r w:rsidRPr="00C86618">
        <w:rPr>
          <w:rStyle w:val="Emphasis"/>
          <w:lang w:val="ru-RU"/>
        </w:rPr>
        <w:tab/>
        <w:t>ссылаясь далее</w:t>
      </w:r>
      <w:r w:rsidRPr="00C86618">
        <w:rPr>
          <w:lang w:val="ru-RU"/>
        </w:rPr>
        <w:t xml:space="preserve"> на принятое им на его седьмой сессии решение завершить свои обсуждения по вопросу о рассмотрении соблюдения Конвенции на промежуточной сессии на основе пересмотренного проекта решения, который должен был быть</w:t>
      </w:r>
      <w:r>
        <w:rPr>
          <w:lang w:val="ru-RU"/>
        </w:rPr>
        <w:t xml:space="preserve"> </w:t>
      </w:r>
      <w:r w:rsidRPr="00C86618">
        <w:rPr>
          <w:lang w:val="ru-RU"/>
        </w:rPr>
        <w:t>подготовлен Комитетом по осуществлению, и с учетом проделанной работы и прогресса, достигнутого до начала и в ходе седьмой сессии</w:t>
      </w:r>
      <w:r w:rsidRPr="00C86618">
        <w:rPr>
          <w:rStyle w:val="FootnoteReference"/>
          <w:lang w:val="ru-RU"/>
        </w:rPr>
        <w:footnoteReference w:id="4"/>
      </w:r>
      <w:r w:rsidRPr="00C86618">
        <w:rPr>
          <w:lang w:val="ru-RU"/>
        </w:rPr>
        <w:t xml:space="preserve">, </w:t>
      </w:r>
      <w:bookmarkEnd w:id="4"/>
    </w:p>
    <w:p w:rsidR="00DF6818" w:rsidRPr="00C86618" w:rsidRDefault="00DF6818" w:rsidP="00DF6818">
      <w:pPr>
        <w:pStyle w:val="SingleTxtG"/>
        <w:rPr>
          <w:lang w:val="ru-RU"/>
        </w:rPr>
      </w:pPr>
      <w:r w:rsidRPr="00C86618">
        <w:rPr>
          <w:lang w:val="ru-RU"/>
        </w:rPr>
        <w:tab/>
      </w:r>
      <w:r>
        <w:rPr>
          <w:lang w:val="ru-RU"/>
        </w:rPr>
        <w:tab/>
      </w:r>
      <w:r w:rsidRPr="00C86618">
        <w:rPr>
          <w:rStyle w:val="Emphasis"/>
          <w:lang w:val="ru-RU"/>
        </w:rPr>
        <w:t>рассмотрев</w:t>
      </w:r>
      <w:r w:rsidRPr="00C86618">
        <w:rPr>
          <w:lang w:val="ru-RU"/>
        </w:rPr>
        <w:t xml:space="preserve"> касающиеся Армении соответствующие разделы доклада о деятельности Комитета по осуществлению, представленного Совещанию Сторон Конвенции на его седьмой сессии</w:t>
      </w:r>
      <w:r w:rsidRPr="00C86618">
        <w:rPr>
          <w:rStyle w:val="FootnoteReference"/>
          <w:lang w:val="ru-RU"/>
        </w:rPr>
        <w:footnoteReference w:id="5"/>
      </w:r>
      <w:r w:rsidRPr="00C86618">
        <w:rPr>
          <w:lang w:val="ru-RU"/>
        </w:rPr>
        <w:t>, и докладов Комитета о работе его тридцать девятой</w:t>
      </w:r>
      <w:r w:rsidRPr="00C86618">
        <w:rPr>
          <w:rStyle w:val="FootnoteReference"/>
          <w:lang w:val="ru-RU"/>
        </w:rPr>
        <w:footnoteReference w:id="6"/>
      </w:r>
      <w:r w:rsidRPr="00C86618">
        <w:rPr>
          <w:lang w:val="ru-RU"/>
        </w:rPr>
        <w:t>, сороковой</w:t>
      </w:r>
      <w:r w:rsidRPr="00C86618">
        <w:rPr>
          <w:rStyle w:val="FootnoteReference"/>
          <w:lang w:val="ru-RU"/>
        </w:rPr>
        <w:footnoteReference w:id="7"/>
      </w:r>
      <w:r w:rsidRPr="00C86618">
        <w:rPr>
          <w:lang w:val="ru-RU"/>
        </w:rPr>
        <w:t>, сорок первой</w:t>
      </w:r>
      <w:r w:rsidRPr="00C86618">
        <w:rPr>
          <w:rStyle w:val="FootnoteReference"/>
          <w:lang w:val="ru-RU"/>
        </w:rPr>
        <w:footnoteReference w:id="8"/>
      </w:r>
      <w:r w:rsidRPr="00C86618">
        <w:rPr>
          <w:lang w:val="ru-RU"/>
        </w:rPr>
        <w:t xml:space="preserve"> и сорок второй сессий</w:t>
      </w:r>
      <w:r w:rsidRPr="00C86618">
        <w:rPr>
          <w:rStyle w:val="FootnoteReference"/>
          <w:lang w:val="ru-RU"/>
        </w:rPr>
        <w:footnoteReference w:id="9"/>
      </w:r>
      <w:r w:rsidRPr="00C86618">
        <w:rPr>
          <w:lang w:val="ru-RU"/>
        </w:rPr>
        <w:t>,</w:t>
      </w:r>
    </w:p>
    <w:p w:rsidR="00DF6818" w:rsidRPr="00C86618" w:rsidRDefault="00DF6818" w:rsidP="00DF6818">
      <w:pPr>
        <w:pStyle w:val="SingleTxtG"/>
        <w:ind w:firstLine="567"/>
        <w:rPr>
          <w:lang w:val="ru-RU"/>
        </w:rPr>
      </w:pPr>
      <w:r w:rsidRPr="00C86618">
        <w:rPr>
          <w:rStyle w:val="Emphasis"/>
          <w:lang w:val="ru-RU"/>
        </w:rPr>
        <w:t>ссылаясь</w:t>
      </w:r>
      <w:r w:rsidRPr="00C86618">
        <w:rPr>
          <w:lang w:val="ru-RU"/>
        </w:rPr>
        <w:t xml:space="preserve"> на свое решение IS/1 о рассмотрение соблюдения Конвенции, принятое на промежуточной сессии,</w:t>
      </w:r>
    </w:p>
    <w:bookmarkEnd w:id="3"/>
    <w:p w:rsidR="00DF6818" w:rsidRPr="00C86618" w:rsidRDefault="00DF6818" w:rsidP="00DF6818">
      <w:pPr>
        <w:pStyle w:val="SingleTxtG"/>
        <w:rPr>
          <w:lang w:val="ru-RU"/>
        </w:rPr>
      </w:pPr>
      <w:r>
        <w:rPr>
          <w:rStyle w:val="Emphasis"/>
          <w:lang w:val="ru-RU"/>
        </w:rPr>
        <w:tab/>
      </w:r>
      <w:r w:rsidRPr="00C86618">
        <w:rPr>
          <w:rStyle w:val="Emphasis"/>
          <w:lang w:val="ru-RU"/>
        </w:rPr>
        <w:tab/>
        <w:t>принимая во внимание</w:t>
      </w:r>
      <w:r w:rsidRPr="00C86618">
        <w:rPr>
          <w:lang w:val="ru-RU"/>
        </w:rPr>
        <w:t xml:space="preserve"> техническую консультативную помощь, которую секретариат предоставляет правительству Армения для оказания этой стране содействия в деле приведения ее законодательства в соответствие с положениями Конвенции и Протокола по стратегической экологической оценке во ис</w:t>
      </w:r>
      <w:r>
        <w:rPr>
          <w:lang w:val="ru-RU"/>
        </w:rPr>
        <w:t>полнение пункта 35 решения VI/2,</w:t>
      </w:r>
    </w:p>
    <w:p w:rsidR="00DF6818" w:rsidRPr="00C86618" w:rsidRDefault="00DF6818" w:rsidP="00DF6818">
      <w:pPr>
        <w:pStyle w:val="SingleTxtG"/>
        <w:ind w:firstLine="567"/>
        <w:rPr>
          <w:lang w:val="ru-RU"/>
        </w:rPr>
      </w:pPr>
      <w:r w:rsidRPr="00C86618">
        <w:rPr>
          <w:lang w:val="ru-RU"/>
        </w:rPr>
        <w:t>1.</w:t>
      </w:r>
      <w:r w:rsidRPr="00C86618">
        <w:rPr>
          <w:lang w:val="ru-RU"/>
        </w:rPr>
        <w:tab/>
      </w:r>
      <w:r w:rsidRPr="00C86618">
        <w:rPr>
          <w:rStyle w:val="Emphasis"/>
          <w:lang w:val="ru-RU"/>
        </w:rPr>
        <w:t xml:space="preserve">высоко оценивает </w:t>
      </w:r>
      <w:r w:rsidRPr="00C86618">
        <w:rPr>
          <w:lang w:val="ru-RU"/>
        </w:rPr>
        <w:t>доклады, регулярно получаемые от правительства Армени</w:t>
      </w:r>
      <w:r>
        <w:rPr>
          <w:lang w:val="ru-RU"/>
        </w:rPr>
        <w:t>и</w:t>
      </w:r>
      <w:r w:rsidRPr="00C86618">
        <w:rPr>
          <w:lang w:val="ru-RU"/>
        </w:rPr>
        <w:t xml:space="preserve"> после шестой сессии </w:t>
      </w:r>
      <w:r>
        <w:rPr>
          <w:lang w:val="ru-RU"/>
        </w:rPr>
        <w:t>Совещания Сторон (Женева, 2–</w:t>
      </w:r>
      <w:r w:rsidRPr="00C86618">
        <w:rPr>
          <w:lang w:val="ru-RU"/>
        </w:rPr>
        <w:t>5 июня 2014 года);</w:t>
      </w:r>
    </w:p>
    <w:p w:rsidR="00DF6818" w:rsidRPr="00C86618" w:rsidRDefault="00DF6818" w:rsidP="00DF6818">
      <w:pPr>
        <w:pStyle w:val="SingleTxtG"/>
        <w:ind w:firstLine="567"/>
        <w:rPr>
          <w:lang w:val="ru-RU"/>
        </w:rPr>
      </w:pPr>
      <w:r w:rsidRPr="00C86618">
        <w:rPr>
          <w:lang w:val="ru-RU"/>
        </w:rPr>
        <w:t>2.</w:t>
      </w:r>
      <w:r w:rsidRPr="00C86618">
        <w:rPr>
          <w:lang w:val="ru-RU"/>
        </w:rPr>
        <w:tab/>
      </w:r>
      <w:r w:rsidRPr="00C86618">
        <w:rPr>
          <w:rStyle w:val="Emphasis"/>
          <w:lang w:val="ru-RU"/>
        </w:rPr>
        <w:t>приветствует</w:t>
      </w:r>
      <w:r w:rsidRPr="00C86618">
        <w:rPr>
          <w:lang w:val="ru-RU"/>
        </w:rPr>
        <w:t xml:space="preserve"> принятие правительством Армении законодательства для осуществления Конвенции, в частности нормативного акта об участии общественности в соответствии с Конвенцией и Протоколом, во исполнение пункта 31 решения VI/2;</w:t>
      </w:r>
    </w:p>
    <w:p w:rsidR="00DF6818" w:rsidRPr="00C86618" w:rsidRDefault="00DF6818" w:rsidP="00DF6818">
      <w:pPr>
        <w:pStyle w:val="SingleTxtG"/>
        <w:ind w:firstLine="567"/>
        <w:rPr>
          <w:lang w:val="ru-RU"/>
        </w:rPr>
      </w:pPr>
      <w:r w:rsidRPr="00C86618">
        <w:rPr>
          <w:lang w:val="ru-RU"/>
        </w:rPr>
        <w:t>3.</w:t>
      </w:r>
      <w:r w:rsidRPr="00C86618">
        <w:rPr>
          <w:lang w:val="ru-RU"/>
        </w:rPr>
        <w:tab/>
      </w:r>
      <w:r w:rsidRPr="00C86618">
        <w:rPr>
          <w:rStyle w:val="Emphasis"/>
          <w:lang w:val="ru-RU"/>
        </w:rPr>
        <w:t>отмечает</w:t>
      </w:r>
      <w:r>
        <w:rPr>
          <w:rStyle w:val="Emphasis"/>
          <w:i w:val="0"/>
          <w:lang w:val="ru-RU"/>
        </w:rPr>
        <w:t>,</w:t>
      </w:r>
      <w:r w:rsidRPr="00C86618">
        <w:rPr>
          <w:lang w:val="ru-RU"/>
        </w:rPr>
        <w:t xml:space="preserve"> тем не менее</w:t>
      </w:r>
      <w:r>
        <w:rPr>
          <w:lang w:val="ru-RU"/>
        </w:rPr>
        <w:t>,</w:t>
      </w:r>
      <w:r w:rsidRPr="00C86618">
        <w:rPr>
          <w:lang w:val="ru-RU"/>
        </w:rPr>
        <w:t xml:space="preserve"> некоторые недостатки в принятом законодательстве в части его применения; </w:t>
      </w:r>
    </w:p>
    <w:p w:rsidR="00DF6818" w:rsidRPr="00C86618" w:rsidRDefault="00DF6818" w:rsidP="00DF6818">
      <w:pPr>
        <w:pStyle w:val="SingleTxtG"/>
        <w:ind w:firstLine="567"/>
        <w:rPr>
          <w:lang w:val="ru-RU"/>
        </w:rPr>
      </w:pPr>
      <w:r w:rsidRPr="00C86618">
        <w:rPr>
          <w:lang w:val="ru-RU"/>
        </w:rPr>
        <w:t>4.</w:t>
      </w:r>
      <w:r w:rsidRPr="00C86618">
        <w:rPr>
          <w:lang w:val="ru-RU"/>
        </w:rPr>
        <w:tab/>
      </w:r>
      <w:r w:rsidRPr="00C86618">
        <w:rPr>
          <w:rStyle w:val="Emphasis"/>
          <w:lang w:val="ru-RU"/>
        </w:rPr>
        <w:t>с удовлетворением принимает к сведению</w:t>
      </w:r>
      <w:r w:rsidRPr="00C86618">
        <w:rPr>
          <w:lang w:val="ru-RU"/>
        </w:rPr>
        <w:t xml:space="preserve"> усилия, прилагаемые Арменией для устранения недостатков, упомянутых выше в пункте 3, путем внесения поправок в ее законодательство и разработки вторичного законодательства; </w:t>
      </w:r>
    </w:p>
    <w:p w:rsidR="00DF6818" w:rsidRPr="00C86618" w:rsidRDefault="00DF6818" w:rsidP="00DF6818">
      <w:pPr>
        <w:pStyle w:val="SingleTxtG"/>
        <w:ind w:firstLine="567"/>
        <w:rPr>
          <w:lang w:val="ru-RU"/>
        </w:rPr>
      </w:pPr>
      <w:r w:rsidRPr="00C86618">
        <w:rPr>
          <w:lang w:val="ru-RU"/>
        </w:rPr>
        <w:t>5.</w:t>
      </w:r>
      <w:r w:rsidRPr="00C86618">
        <w:rPr>
          <w:lang w:val="ru-RU"/>
        </w:rPr>
        <w:tab/>
      </w:r>
      <w:r w:rsidRPr="00C86618">
        <w:rPr>
          <w:rStyle w:val="Emphasis"/>
          <w:lang w:val="ru-RU"/>
        </w:rPr>
        <w:t>просит</w:t>
      </w:r>
      <w:r w:rsidRPr="00C86618">
        <w:rPr>
          <w:lang w:val="ru-RU"/>
        </w:rPr>
        <w:t xml:space="preserve"> Армению провести более четкое различие между процедурами оценки воздействия на окружающую среду и стратегической экологической оценки для содействия практическому применению законодательства на основе рекомендаций международных консультантов для секретариата;</w:t>
      </w:r>
    </w:p>
    <w:p w:rsidR="00DF6818" w:rsidRPr="00C86618" w:rsidRDefault="00DF6818" w:rsidP="00DF6818">
      <w:pPr>
        <w:pStyle w:val="SingleTxtG"/>
        <w:ind w:firstLine="567"/>
        <w:rPr>
          <w:lang w:val="ru-RU"/>
        </w:rPr>
      </w:pPr>
      <w:r w:rsidRPr="00C86618">
        <w:rPr>
          <w:lang w:val="ru-RU"/>
        </w:rPr>
        <w:t>6.</w:t>
      </w:r>
      <w:r w:rsidRPr="00C86618">
        <w:rPr>
          <w:lang w:val="ru-RU"/>
        </w:rPr>
        <w:tab/>
      </w:r>
      <w:r w:rsidRPr="00C86618">
        <w:rPr>
          <w:rStyle w:val="Emphasis"/>
          <w:lang w:val="ru-RU"/>
        </w:rPr>
        <w:t>предлагает</w:t>
      </w:r>
      <w:r w:rsidRPr="00C86618">
        <w:rPr>
          <w:lang w:val="ru-RU"/>
        </w:rPr>
        <w:t xml:space="preserve"> правительству Армении незамедлительно принять предлагаемые поправки к законодательству и подзаконным актам и проинформировать Комитет по осуществлению о достигнутом прогрессе;</w:t>
      </w:r>
    </w:p>
    <w:p w:rsidR="00DF6818" w:rsidRDefault="00DF6818" w:rsidP="00DF6818">
      <w:pPr>
        <w:pStyle w:val="SingleTxtG"/>
        <w:ind w:firstLine="567"/>
      </w:pPr>
      <w:r w:rsidRPr="00C86618">
        <w:rPr>
          <w:lang w:val="ru-RU"/>
        </w:rPr>
        <w:lastRenderedPageBreak/>
        <w:t>7.</w:t>
      </w:r>
      <w:r w:rsidRPr="00C86618">
        <w:rPr>
          <w:lang w:val="ru-RU"/>
        </w:rPr>
        <w:tab/>
      </w:r>
      <w:r w:rsidRPr="00C86618">
        <w:rPr>
          <w:rStyle w:val="Emphasis"/>
          <w:lang w:val="ru-RU"/>
        </w:rPr>
        <w:t>просит</w:t>
      </w:r>
      <w:r w:rsidRPr="00C86618">
        <w:rPr>
          <w:lang w:val="ru-RU"/>
        </w:rPr>
        <w:t xml:space="preserve"> Комитет по осуществлению оценить поправки к законодательству и подзаконным актам, принятым Арменией для осуществления Конвенции, и представить доклад Совещанию Сторон на его восьмой сессии.</w:t>
      </w:r>
    </w:p>
    <w:p w:rsidR="00E12C5F" w:rsidRPr="00DF6818" w:rsidRDefault="00DF6818" w:rsidP="00DF681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F6818" w:rsidSect="00DF681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F6" w:rsidRPr="00A312BC" w:rsidRDefault="00157BF6" w:rsidP="00A312BC"/>
  </w:endnote>
  <w:endnote w:type="continuationSeparator" w:id="0">
    <w:p w:rsidR="00157BF6" w:rsidRPr="00A312BC" w:rsidRDefault="00157B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818" w:rsidRPr="00DF6818" w:rsidRDefault="00DF6818">
    <w:pPr>
      <w:pStyle w:val="Footer"/>
    </w:pPr>
    <w:r w:rsidRPr="00DF6818">
      <w:rPr>
        <w:b/>
        <w:sz w:val="18"/>
      </w:rPr>
      <w:fldChar w:fldCharType="begin"/>
    </w:r>
    <w:r w:rsidRPr="00DF6818">
      <w:rPr>
        <w:b/>
        <w:sz w:val="18"/>
      </w:rPr>
      <w:instrText xml:space="preserve"> PAGE  \* MERGEFORMAT </w:instrText>
    </w:r>
    <w:r w:rsidRPr="00DF6818">
      <w:rPr>
        <w:b/>
        <w:sz w:val="18"/>
      </w:rPr>
      <w:fldChar w:fldCharType="separate"/>
    </w:r>
    <w:r w:rsidR="00180201">
      <w:rPr>
        <w:b/>
        <w:noProof/>
        <w:sz w:val="18"/>
      </w:rPr>
      <w:t>2</w:t>
    </w:r>
    <w:r w:rsidRPr="00DF6818">
      <w:rPr>
        <w:b/>
        <w:sz w:val="18"/>
      </w:rPr>
      <w:fldChar w:fldCharType="end"/>
    </w:r>
    <w:r>
      <w:rPr>
        <w:b/>
        <w:sz w:val="18"/>
      </w:rPr>
      <w:tab/>
    </w:r>
    <w:r>
      <w:t>GE.18-19993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818" w:rsidRPr="00DF6818" w:rsidRDefault="00DF6818" w:rsidP="00DF681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GE.18-19993</w:t>
    </w:r>
    <w:r>
      <w:tab/>
    </w:r>
    <w:r w:rsidRPr="00DF6818">
      <w:rPr>
        <w:b/>
        <w:sz w:val="18"/>
      </w:rPr>
      <w:fldChar w:fldCharType="begin"/>
    </w:r>
    <w:r w:rsidRPr="00DF6818">
      <w:rPr>
        <w:b/>
        <w:sz w:val="18"/>
      </w:rPr>
      <w:instrText xml:space="preserve"> PAGE  \* MERGEFORMAT </w:instrText>
    </w:r>
    <w:r w:rsidRPr="00DF6818">
      <w:rPr>
        <w:b/>
        <w:sz w:val="18"/>
      </w:rPr>
      <w:fldChar w:fldCharType="separate"/>
    </w:r>
    <w:r w:rsidR="00180201">
      <w:rPr>
        <w:b/>
        <w:noProof/>
        <w:sz w:val="18"/>
      </w:rPr>
      <w:t>3</w:t>
    </w:r>
    <w:r w:rsidRPr="00DF68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F6818" w:rsidRDefault="00DF6818" w:rsidP="00DF681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18-19993  (R)</w:t>
    </w:r>
    <w:r>
      <w:rPr>
        <w:lang w:val="en-US"/>
      </w:rPr>
      <w:t xml:space="preserve">  291118  301118</w:t>
    </w:r>
    <w:r>
      <w:br/>
    </w:r>
    <w:r w:rsidRPr="00DF6818">
      <w:rPr>
        <w:rFonts w:ascii="C39T30Lfz" w:hAnsi="C39T30Lfz"/>
        <w:kern w:val="14"/>
        <w:sz w:val="56"/>
      </w:rPr>
      <w:t></w:t>
    </w:r>
    <w:r w:rsidRPr="00DF6818">
      <w:rPr>
        <w:rFonts w:ascii="C39T30Lfz" w:hAnsi="C39T30Lfz"/>
        <w:kern w:val="14"/>
        <w:sz w:val="56"/>
      </w:rPr>
      <w:t></w:t>
    </w:r>
    <w:r w:rsidRPr="00DF6818">
      <w:rPr>
        <w:rFonts w:ascii="C39T30Lfz" w:hAnsi="C39T30Lfz"/>
        <w:kern w:val="14"/>
        <w:sz w:val="56"/>
      </w:rPr>
      <w:t></w:t>
    </w:r>
    <w:r w:rsidRPr="00DF6818">
      <w:rPr>
        <w:rFonts w:ascii="C39T30Lfz" w:hAnsi="C39T30Lfz"/>
        <w:kern w:val="14"/>
        <w:sz w:val="56"/>
      </w:rPr>
      <w:t></w:t>
    </w:r>
    <w:r w:rsidRPr="00DF6818">
      <w:rPr>
        <w:rFonts w:ascii="C39T30Lfz" w:hAnsi="C39T30Lfz"/>
        <w:kern w:val="14"/>
        <w:sz w:val="56"/>
      </w:rPr>
      <w:t></w:t>
    </w:r>
    <w:r w:rsidRPr="00DF6818">
      <w:rPr>
        <w:rFonts w:ascii="C39T30Lfz" w:hAnsi="C39T30Lfz"/>
        <w:kern w:val="14"/>
        <w:sz w:val="56"/>
      </w:rPr>
      <w:t></w:t>
    </w:r>
    <w:r w:rsidRPr="00DF6818">
      <w:rPr>
        <w:rFonts w:ascii="C39T30Lfz" w:hAnsi="C39T30Lfz"/>
        <w:kern w:val="14"/>
        <w:sz w:val="56"/>
      </w:rPr>
      <w:t></w:t>
    </w:r>
    <w:r w:rsidRPr="00DF6818">
      <w:rPr>
        <w:rFonts w:ascii="C39T30Lfz" w:hAnsi="C39T30Lfz"/>
        <w:kern w:val="14"/>
        <w:sz w:val="56"/>
      </w:rPr>
      <w:t></w:t>
    </w:r>
    <w:r w:rsidRPr="00DF681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2019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F6" w:rsidRPr="001075E9" w:rsidRDefault="00157B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7BF6" w:rsidRDefault="00157B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F6818" w:rsidRPr="00DF6818" w:rsidRDefault="00DF6818" w:rsidP="00DF6818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DF6818">
        <w:rPr>
          <w:lang w:val="en-US"/>
        </w:rPr>
        <w:tab/>
      </w:r>
      <w:r>
        <w:t>См</w:t>
      </w:r>
      <w:r w:rsidRPr="00DF6818">
        <w:rPr>
          <w:lang w:val="en-US"/>
        </w:rPr>
        <w:t>. ECE/MP.EIA/10.</w:t>
      </w:r>
    </w:p>
  </w:footnote>
  <w:footnote w:id="2">
    <w:p w:rsidR="00DF6818" w:rsidRPr="00DF6818" w:rsidRDefault="00DF6818" w:rsidP="00DF6818">
      <w:pPr>
        <w:pStyle w:val="FootnoteText"/>
        <w:rPr>
          <w:lang w:val="en-US"/>
        </w:rPr>
      </w:pPr>
      <w:r w:rsidRPr="00DF6818">
        <w:rPr>
          <w:vertAlign w:val="superscript"/>
          <w:lang w:val="en-US"/>
        </w:rPr>
        <w:tab/>
      </w:r>
      <w:r>
        <w:rPr>
          <w:rStyle w:val="FootnoteReference"/>
        </w:rPr>
        <w:footnoteRef/>
      </w:r>
      <w:r w:rsidRPr="00DF6818">
        <w:rPr>
          <w:lang w:val="en-US"/>
        </w:rPr>
        <w:tab/>
      </w:r>
      <w:r>
        <w:t>См</w:t>
      </w:r>
      <w:r w:rsidRPr="00DF6818">
        <w:rPr>
          <w:lang w:val="en-US"/>
        </w:rPr>
        <w:t>. ECE/MP.EIA/15.</w:t>
      </w:r>
    </w:p>
  </w:footnote>
  <w:footnote w:id="3">
    <w:p w:rsidR="00DF6818" w:rsidRPr="003E05D9" w:rsidRDefault="00DF6818" w:rsidP="00DF6818">
      <w:pPr>
        <w:pStyle w:val="FootnoteText"/>
        <w:rPr>
          <w:lang w:val="es-ES"/>
        </w:rPr>
      </w:pPr>
      <w:r w:rsidRPr="00DF6818">
        <w:rPr>
          <w:vertAlign w:val="superscript"/>
          <w:lang w:val="en-US"/>
        </w:rPr>
        <w:tab/>
      </w:r>
      <w:r>
        <w:rPr>
          <w:rStyle w:val="FootnoteReference"/>
        </w:rPr>
        <w:footnoteRef/>
      </w:r>
      <w:r w:rsidRPr="003E05D9">
        <w:rPr>
          <w:lang w:val="es-ES"/>
        </w:rPr>
        <w:tab/>
      </w:r>
      <w:r>
        <w:t>См</w:t>
      </w:r>
      <w:r w:rsidRPr="003E05D9">
        <w:rPr>
          <w:lang w:val="es-ES"/>
        </w:rPr>
        <w:t>. ECE/MP.EIA/20/Add.1-ECE/MP.EIA/SEA/4/Add.1.</w:t>
      </w:r>
    </w:p>
  </w:footnote>
  <w:footnote w:id="4">
    <w:p w:rsidR="00DF6818" w:rsidRPr="003E05D9" w:rsidRDefault="00DF6818" w:rsidP="00DF6818">
      <w:pPr>
        <w:pStyle w:val="FootnoteText"/>
      </w:pPr>
      <w:r w:rsidRPr="003E05D9">
        <w:rPr>
          <w:lang w:val="es-ES"/>
        </w:rPr>
        <w:tab/>
      </w:r>
      <w:r>
        <w:rPr>
          <w:rStyle w:val="FootnoteReference"/>
        </w:rPr>
        <w:footnoteRef/>
      </w:r>
      <w:r w:rsidRPr="003E05D9">
        <w:rPr>
          <w:lang w:val="es-ES"/>
        </w:rPr>
        <w:tab/>
      </w:r>
      <w:r>
        <w:t>См</w:t>
      </w:r>
      <w:r w:rsidRPr="003E05D9">
        <w:rPr>
          <w:lang w:val="es-ES"/>
        </w:rPr>
        <w:t xml:space="preserve">. ECE/MP.EIA/23-ECE/MP.EIA/SEA/7, </w:t>
      </w:r>
      <w:r>
        <w:t>пункт</w:t>
      </w:r>
      <w:r w:rsidRPr="003E05D9">
        <w:rPr>
          <w:lang w:val="es-ES"/>
        </w:rPr>
        <w:t xml:space="preserve"> 27. </w:t>
      </w:r>
      <w:r>
        <w:t>См. также проект решения VII/2 (ECE/MP.EIA/2017/8).</w:t>
      </w:r>
    </w:p>
  </w:footnote>
  <w:footnote w:id="5">
    <w:p w:rsidR="00DF6818" w:rsidRPr="003E05D9" w:rsidRDefault="00DF6818" w:rsidP="00DF6818">
      <w:pPr>
        <w:pStyle w:val="FootnoteText"/>
        <w:rPr>
          <w:lang w:val="es-ES"/>
        </w:rPr>
      </w:pPr>
      <w:r w:rsidRPr="0087174F">
        <w:tab/>
      </w:r>
      <w:r>
        <w:rPr>
          <w:rStyle w:val="FootnoteReference"/>
        </w:rPr>
        <w:footnoteRef/>
      </w:r>
      <w:r w:rsidRPr="003E05D9">
        <w:rPr>
          <w:lang w:val="es-ES"/>
        </w:rPr>
        <w:tab/>
        <w:t>ECE/MP.EIA/2017/4-ECE/MP.EIA/SEA/2017/4</w:t>
      </w:r>
      <w:r w:rsidRPr="009D016C">
        <w:rPr>
          <w:lang w:val="es-ES"/>
        </w:rPr>
        <w:t>,</w:t>
      </w:r>
      <w:r w:rsidRPr="003E05D9">
        <w:rPr>
          <w:lang w:val="es-ES"/>
        </w:rPr>
        <w:t xml:space="preserve"> </w:t>
      </w:r>
      <w:r>
        <w:t>пункты</w:t>
      </w:r>
      <w:r>
        <w:rPr>
          <w:lang w:val="es-ES"/>
        </w:rPr>
        <w:t xml:space="preserve"> 22–</w:t>
      </w:r>
      <w:r w:rsidRPr="003E05D9">
        <w:rPr>
          <w:lang w:val="es-ES"/>
        </w:rPr>
        <w:t>26.</w:t>
      </w:r>
    </w:p>
  </w:footnote>
  <w:footnote w:id="6">
    <w:p w:rsidR="00DF6818" w:rsidRPr="003E05D9" w:rsidRDefault="00DF6818" w:rsidP="00DF6818">
      <w:pPr>
        <w:pStyle w:val="FootnoteText"/>
        <w:rPr>
          <w:lang w:val="es-ES"/>
        </w:rPr>
      </w:pPr>
      <w:r w:rsidRPr="003E05D9">
        <w:rPr>
          <w:vertAlign w:val="superscript"/>
          <w:lang w:val="es-ES"/>
        </w:rPr>
        <w:tab/>
      </w:r>
      <w:r>
        <w:rPr>
          <w:rStyle w:val="FootnoteReference"/>
        </w:rPr>
        <w:footnoteRef/>
      </w:r>
      <w:r w:rsidRPr="003E05D9">
        <w:rPr>
          <w:lang w:val="es-ES"/>
        </w:rPr>
        <w:tab/>
        <w:t>ECE/MP.EIA/IC/2017/4</w:t>
      </w:r>
      <w:r w:rsidRPr="009D016C">
        <w:rPr>
          <w:lang w:val="es-ES"/>
        </w:rPr>
        <w:t>,</w:t>
      </w:r>
      <w:r w:rsidRPr="003E05D9">
        <w:rPr>
          <w:lang w:val="es-ES"/>
        </w:rPr>
        <w:t xml:space="preserve"> </w:t>
      </w:r>
      <w:r>
        <w:t>пункты</w:t>
      </w:r>
      <w:r>
        <w:rPr>
          <w:lang w:val="es-ES"/>
        </w:rPr>
        <w:t xml:space="preserve"> 26–</w:t>
      </w:r>
      <w:r w:rsidRPr="003E05D9">
        <w:rPr>
          <w:lang w:val="es-ES"/>
        </w:rPr>
        <w:t>30.</w:t>
      </w:r>
    </w:p>
  </w:footnote>
  <w:footnote w:id="7">
    <w:p w:rsidR="00DF6818" w:rsidRPr="003E05D9" w:rsidRDefault="00DF6818" w:rsidP="00DF6818">
      <w:pPr>
        <w:pStyle w:val="FootnoteText"/>
        <w:rPr>
          <w:lang w:val="es-ES"/>
        </w:rPr>
      </w:pPr>
      <w:r w:rsidRPr="003E05D9">
        <w:rPr>
          <w:vertAlign w:val="superscript"/>
          <w:lang w:val="es-ES"/>
        </w:rPr>
        <w:tab/>
      </w:r>
      <w:r>
        <w:rPr>
          <w:rStyle w:val="FootnoteReference"/>
        </w:rPr>
        <w:footnoteRef/>
      </w:r>
      <w:r w:rsidRPr="003E05D9">
        <w:rPr>
          <w:lang w:val="es-ES"/>
        </w:rPr>
        <w:tab/>
        <w:t>ECE/MP.EIA/IC/2017/6</w:t>
      </w:r>
      <w:r w:rsidRPr="00C86618">
        <w:rPr>
          <w:lang w:val="es-ES"/>
        </w:rPr>
        <w:t>,</w:t>
      </w:r>
      <w:r w:rsidRPr="003E05D9">
        <w:rPr>
          <w:lang w:val="es-ES"/>
        </w:rPr>
        <w:t xml:space="preserve"> </w:t>
      </w:r>
      <w:r>
        <w:t>пункты</w:t>
      </w:r>
      <w:r>
        <w:rPr>
          <w:lang w:val="es-ES"/>
        </w:rPr>
        <w:t xml:space="preserve"> 9–</w:t>
      </w:r>
      <w:r w:rsidRPr="003E05D9">
        <w:rPr>
          <w:lang w:val="es-ES"/>
        </w:rPr>
        <w:t>12.</w:t>
      </w:r>
    </w:p>
  </w:footnote>
  <w:footnote w:id="8">
    <w:p w:rsidR="00DF6818" w:rsidRPr="003E05D9" w:rsidRDefault="00DF6818" w:rsidP="00DF6818">
      <w:pPr>
        <w:pStyle w:val="FootnoteText"/>
        <w:rPr>
          <w:lang w:val="es-ES"/>
        </w:rPr>
      </w:pPr>
      <w:r w:rsidRPr="003E05D9">
        <w:rPr>
          <w:lang w:val="es-ES"/>
        </w:rPr>
        <w:tab/>
      </w:r>
      <w:r>
        <w:rPr>
          <w:rStyle w:val="FootnoteReference"/>
        </w:rPr>
        <w:footnoteRef/>
      </w:r>
      <w:r w:rsidRPr="003E05D9">
        <w:rPr>
          <w:lang w:val="es-ES"/>
        </w:rPr>
        <w:tab/>
        <w:t xml:space="preserve">ECE/MP.EIA/IC/2018/2, </w:t>
      </w:r>
      <w:r>
        <w:t>пункт</w:t>
      </w:r>
      <w:r w:rsidRPr="003E05D9">
        <w:rPr>
          <w:lang w:val="es-ES"/>
        </w:rPr>
        <w:t xml:space="preserve"> 9.</w:t>
      </w:r>
    </w:p>
  </w:footnote>
  <w:footnote w:id="9">
    <w:p w:rsidR="00DF6818" w:rsidRPr="003E05D9" w:rsidRDefault="00DF6818" w:rsidP="00DF6818">
      <w:pPr>
        <w:pStyle w:val="FootnoteText"/>
        <w:rPr>
          <w:lang w:val="es-ES"/>
        </w:rPr>
      </w:pPr>
      <w:r w:rsidRPr="003E05D9">
        <w:rPr>
          <w:lang w:val="es-ES"/>
        </w:rPr>
        <w:tab/>
      </w:r>
      <w:r>
        <w:rPr>
          <w:rStyle w:val="FootnoteReference"/>
        </w:rPr>
        <w:footnoteRef/>
      </w:r>
      <w:r w:rsidRPr="003E05D9">
        <w:rPr>
          <w:lang w:val="es-ES"/>
        </w:rPr>
        <w:tab/>
        <w:t xml:space="preserve">ECE/MP.EIA/IC/2018/4, </w:t>
      </w:r>
      <w:r>
        <w:t>пункт</w:t>
      </w:r>
      <w:r w:rsidRPr="003E05D9">
        <w:rPr>
          <w:lang w:val="es-ES"/>
        </w:rPr>
        <w:t xml:space="preserve">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818" w:rsidRPr="00DF6818" w:rsidRDefault="00180201">
    <w:pPr>
      <w:pStyle w:val="Header"/>
    </w:pPr>
    <w:fldSimple w:instr=" TITLE  \* MERGEFORMAT ">
      <w:r>
        <w:t>ECE/MP.EIA/2019/2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818" w:rsidRPr="00DF6818" w:rsidRDefault="00180201" w:rsidP="00DF6818">
    <w:pPr>
      <w:pStyle w:val="Header"/>
      <w:jc w:val="right"/>
    </w:pPr>
    <w:fldSimple w:instr=" TITLE  \* MERGEFORMAT ">
      <w:r>
        <w:t>ECE/MP.EIA/2019/2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F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7BF6"/>
    <w:rsid w:val="00180183"/>
    <w:rsid w:val="00180201"/>
    <w:rsid w:val="0018024D"/>
    <w:rsid w:val="0018649F"/>
    <w:rsid w:val="00196389"/>
    <w:rsid w:val="001B3EF6"/>
    <w:rsid w:val="001C7A89"/>
    <w:rsid w:val="00255343"/>
    <w:rsid w:val="0027151D"/>
    <w:rsid w:val="00294C7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7D90"/>
    <w:rsid w:val="00BC18B2"/>
    <w:rsid w:val="00BD33EE"/>
    <w:rsid w:val="00BE1CC7"/>
    <w:rsid w:val="00BF7C9B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6818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E8676E9-0681-459F-BBB7-3FFDFF44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DF681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rsid w:val="00DF6818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styleId="Emphasis">
    <w:name w:val="Emphasis"/>
    <w:basedOn w:val="DefaultParagraphFont"/>
    <w:qFormat/>
    <w:rsid w:val="00DF6818"/>
    <w:rPr>
      <w:i/>
      <w:iCs/>
    </w:rPr>
  </w:style>
  <w:style w:type="character" w:customStyle="1" w:styleId="HChGChar">
    <w:name w:val="_ H _Ch_G Char"/>
    <w:link w:val="HChG"/>
    <w:rsid w:val="00DF6818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9DF1-FE36-4054-9400-8A73DA8A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4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ECE/MP.EIA/2019/2</vt:lpstr>
      <vt:lpstr>ECE/MP.EIA/2019/2</vt:lpstr>
      <vt:lpstr>A/</vt:lpstr>
    </vt:vector>
  </TitlesOfParts>
  <Company>DCM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ECE/MP.EIA/2019/2</dc:title>
  <dc:subject/>
  <dc:creator>Tatiana SHARKINA</dc:creator>
  <cp:keywords/>
  <cp:lastModifiedBy>Elisabeth James</cp:lastModifiedBy>
  <cp:revision>2</cp:revision>
  <cp:lastPrinted>2018-11-30T13:38:00Z</cp:lastPrinted>
  <dcterms:created xsi:type="dcterms:W3CDTF">2018-12-19T01:22:00Z</dcterms:created>
  <dcterms:modified xsi:type="dcterms:W3CDTF">2018-12-19T01:22:00Z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