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B5855" w14:paraId="3B5D45E6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4FB848" w14:textId="77777777" w:rsidR="00483B77" w:rsidRPr="00483B77" w:rsidRDefault="00483B77" w:rsidP="00483B77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483B77">
              <w:rPr>
                <w:sz w:val="40"/>
                <w:lang w:val="en-US"/>
              </w:rPr>
              <w:t>E</w:t>
            </w:r>
            <w:r w:rsidRPr="00483B77">
              <w:rPr>
                <w:lang w:val="en-US"/>
              </w:rPr>
              <w:t>/ECE/324/Rev.1/Add.12/Rev.8/Amend.5−</w:t>
            </w:r>
            <w:r w:rsidRPr="00483B77">
              <w:rPr>
                <w:sz w:val="40"/>
                <w:lang w:val="en-US"/>
              </w:rPr>
              <w:t>E</w:t>
            </w:r>
            <w:r w:rsidRPr="00483B77">
              <w:rPr>
                <w:lang w:val="en-US"/>
              </w:rPr>
              <w:t>/ECE/TRANS/505/Rev.1/Add.12/Rev.8/Amend.5</w:t>
            </w:r>
          </w:p>
        </w:tc>
      </w:tr>
      <w:tr w:rsidR="00421A10" w:rsidRPr="00DB58B5" w14:paraId="61D2AD2E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4F54B0" w14:textId="77777777" w:rsidR="00421A10" w:rsidRPr="00483B7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708607" w14:textId="77777777" w:rsidR="00421A10" w:rsidRPr="00DB58B5" w:rsidRDefault="00483B77" w:rsidP="00A27C92">
            <w:pPr>
              <w:spacing w:before="480" w:line="240" w:lineRule="exact"/>
            </w:pPr>
            <w:r>
              <w:t>2 novembre 2018</w:t>
            </w:r>
          </w:p>
        </w:tc>
      </w:tr>
    </w:tbl>
    <w:p w14:paraId="6A4ABA9D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FE6115F" w14:textId="77777777" w:rsidR="00421A10" w:rsidRPr="00583D68" w:rsidRDefault="0029791D" w:rsidP="00C25F90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C25F90" w:rsidRPr="00C419D0">
        <w:rPr>
          <w:lang w:val="fr-FR"/>
        </w:rPr>
        <w:t xml:space="preserve">de Règlements techniques harmonisés </w:t>
      </w:r>
      <w:r w:rsidR="00B066EF">
        <w:rPr>
          <w:lang w:val="fr-FR"/>
        </w:rPr>
        <w:br/>
      </w:r>
      <w:r w:rsidR="00C25F90" w:rsidRPr="00C419D0">
        <w:rPr>
          <w:lang w:val="fr-FR"/>
        </w:rPr>
        <w:t>de l</w:t>
      </w:r>
      <w:r w:rsidR="00C25F90">
        <w:rPr>
          <w:lang w:val="fr-FR"/>
        </w:rPr>
        <w:t>’</w:t>
      </w:r>
      <w:r w:rsidR="00C25F90" w:rsidRPr="00C419D0">
        <w:rPr>
          <w:lang w:val="fr-FR"/>
        </w:rPr>
        <w:t xml:space="preserve">ONU applicables aux véhicules à roues et aux équipements </w:t>
      </w:r>
      <w:r w:rsidR="00B066EF">
        <w:rPr>
          <w:lang w:val="fr-FR"/>
        </w:rPr>
        <w:br/>
      </w:r>
      <w:r w:rsidR="00C25F90" w:rsidRPr="00C419D0">
        <w:rPr>
          <w:lang w:val="fr-FR"/>
        </w:rPr>
        <w:t>et pièces susceptibles d</w:t>
      </w:r>
      <w:r w:rsidR="00C25F90">
        <w:rPr>
          <w:lang w:val="fr-FR"/>
        </w:rPr>
        <w:t>’</w:t>
      </w:r>
      <w:r w:rsidR="00C25F90" w:rsidRPr="00C419D0">
        <w:rPr>
          <w:lang w:val="fr-FR"/>
        </w:rPr>
        <w:t xml:space="preserve">être montés ou utilisés sur les véhicules </w:t>
      </w:r>
      <w:r w:rsidR="00B066EF">
        <w:rPr>
          <w:lang w:val="fr-FR"/>
        </w:rPr>
        <w:br/>
      </w:r>
      <w:r w:rsidR="00C25F90" w:rsidRPr="00C419D0">
        <w:rPr>
          <w:lang w:val="fr-FR"/>
        </w:rPr>
        <w:t xml:space="preserve">à roues et les conditions de reconnaissance réciproque </w:t>
      </w:r>
      <w:r w:rsidR="00B066EF">
        <w:rPr>
          <w:lang w:val="fr-FR"/>
        </w:rPr>
        <w:br/>
      </w:r>
      <w:r w:rsidR="00C25F90" w:rsidRPr="00C419D0">
        <w:rPr>
          <w:lang w:val="fr-FR"/>
        </w:rPr>
        <w:t>des homologations délivrées conformément à ces Règlements</w:t>
      </w:r>
      <w:r w:rsidR="00442E31" w:rsidRPr="00CB311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8353869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C25F90" w:rsidRPr="00C419D0">
        <w:rPr>
          <w:lang w:val="fr-FR"/>
        </w:rPr>
        <w:t>3, comprenant les amend</w:t>
      </w:r>
      <w:r w:rsidR="00C25F90">
        <w:rPr>
          <w:lang w:val="fr-FR"/>
        </w:rPr>
        <w:t>e</w:t>
      </w:r>
      <w:r w:rsidR="00C25F90" w:rsidRPr="00C419D0">
        <w:rPr>
          <w:lang w:val="fr-FR"/>
        </w:rPr>
        <w:t xml:space="preserve">ments entrés en vigueur le 14 </w:t>
      </w:r>
      <w:r w:rsidR="00C25F90">
        <w:rPr>
          <w:lang w:val="fr-FR"/>
        </w:rPr>
        <w:t xml:space="preserve">septembre </w:t>
      </w:r>
      <w:r w:rsidR="00C25F90" w:rsidRPr="00C419D0">
        <w:rPr>
          <w:lang w:val="fr-FR"/>
        </w:rPr>
        <w:t>2017)</w:t>
      </w:r>
    </w:p>
    <w:p w14:paraId="3CC1F840" w14:textId="77777777" w:rsidR="00421A10" w:rsidRPr="006549FF" w:rsidRDefault="0029791D" w:rsidP="0029791D">
      <w:pPr>
        <w:jc w:val="center"/>
      </w:pPr>
      <w:r>
        <w:t>_______________</w:t>
      </w:r>
    </w:p>
    <w:p w14:paraId="785D7C7F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C25F90">
        <w:t>12 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C25F90">
        <w:t>13</w:t>
      </w:r>
    </w:p>
    <w:p w14:paraId="357E1EC1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C25F90" w:rsidRPr="00C419D0">
        <w:rPr>
          <w:lang w:val="fr-FR"/>
        </w:rPr>
        <w:t xml:space="preserve">8 </w:t>
      </w:r>
      <w:r w:rsidR="00C25F90">
        <w:rPr>
          <w:lang w:val="fr-FR"/>
        </w:rPr>
        <w:t>−</w:t>
      </w:r>
      <w:r w:rsidR="00C25F90" w:rsidRPr="00C419D0">
        <w:rPr>
          <w:lang w:val="fr-FR"/>
        </w:rPr>
        <w:t xml:space="preserve"> Amendement 5</w:t>
      </w:r>
    </w:p>
    <w:p w14:paraId="426EAD73" w14:textId="77777777" w:rsidR="00421A10" w:rsidRPr="004A7E44" w:rsidRDefault="00C25F90" w:rsidP="0029791D">
      <w:pPr>
        <w:pStyle w:val="SingleTxtG"/>
        <w:spacing w:after="0"/>
      </w:pPr>
      <w:r w:rsidRPr="00AC678B">
        <w:rPr>
          <w:spacing w:val="-2"/>
          <w:lang w:val="fr-FR"/>
        </w:rPr>
        <w:t>Complément 15 à la série 11 d</w:t>
      </w:r>
      <w:r>
        <w:rPr>
          <w:spacing w:val="-2"/>
          <w:lang w:val="fr-FR"/>
        </w:rPr>
        <w:t>’</w:t>
      </w:r>
      <w:r w:rsidRPr="00AC678B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AC678B">
        <w:rPr>
          <w:spacing w:val="-2"/>
          <w:lang w:val="fr-FR"/>
        </w:rPr>
        <w:t xml:space="preserve"> Date </w:t>
      </w:r>
      <w:r>
        <w:rPr>
          <w:spacing w:val="-2"/>
          <w:lang w:val="fr-FR"/>
        </w:rPr>
        <w:t>d’entrée en vigueur </w:t>
      </w:r>
      <w:r w:rsidRPr="00AC678B">
        <w:rPr>
          <w:spacing w:val="-2"/>
          <w:lang w:val="fr-FR"/>
        </w:rPr>
        <w:t xml:space="preserve">: </w:t>
      </w:r>
      <w:r w:rsidRPr="00AC678B">
        <w:rPr>
          <w:lang w:val="fr-FR"/>
        </w:rPr>
        <w:t xml:space="preserve">16 </w:t>
      </w:r>
      <w:r>
        <w:rPr>
          <w:lang w:val="fr-FR"/>
        </w:rPr>
        <w:t xml:space="preserve">octobre </w:t>
      </w:r>
      <w:r w:rsidRPr="00AC678B">
        <w:rPr>
          <w:lang w:val="fr-FR"/>
        </w:rPr>
        <w:t>2018</w:t>
      </w:r>
    </w:p>
    <w:p w14:paraId="2B00FEBA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CB3111" w:rsidRPr="00AC678B">
        <w:rPr>
          <w:lang w:val="fr-FR"/>
        </w:rPr>
        <w:t>à l</w:t>
      </w:r>
      <w:r w:rsidR="00CB3111">
        <w:rPr>
          <w:lang w:val="fr-FR"/>
        </w:rPr>
        <w:t xml:space="preserve">’homologation des véhicules </w:t>
      </w:r>
      <w:r w:rsidR="00CB3111">
        <w:rPr>
          <w:lang w:val="fr-FR"/>
        </w:rPr>
        <w:br/>
      </w:r>
      <w:proofErr w:type="gramStart"/>
      <w:r w:rsidR="00CB3111" w:rsidRPr="00AC678B">
        <w:rPr>
          <w:lang w:val="fr-FR"/>
        </w:rPr>
        <w:t>des</w:t>
      </w:r>
      <w:proofErr w:type="gramEnd"/>
      <w:r w:rsidR="00CB3111" w:rsidRPr="00AC678B">
        <w:rPr>
          <w:lang w:val="fr-FR"/>
        </w:rPr>
        <w:t xml:space="preserve"> catégories M, N et O en ce qui concerne le freinage</w:t>
      </w:r>
    </w:p>
    <w:p w14:paraId="6038F943" w14:textId="77777777" w:rsidR="00483B77" w:rsidRPr="00CB3111" w:rsidRDefault="00CB3111" w:rsidP="00CB3111">
      <w:pPr>
        <w:pStyle w:val="SingleTxtG"/>
        <w:rPr>
          <w:spacing w:val="-3"/>
        </w:rPr>
      </w:pPr>
      <w:r w:rsidRPr="00CB3111">
        <w:rPr>
          <w:spacing w:val="-3"/>
          <w:lang w:val="fr-FR"/>
        </w:rPr>
        <w:t>Le présent document est communiqué uniquement à titre d’information. Le texte authentique, juridiquement contraignant, est celui du document ECE/TRANS/WP.29/2018/9 (tel que modifié par le paragraphe 90 du rapport publié sous la cote ECE/TRANS/WP.29/1137).</w:t>
      </w:r>
      <w:r w:rsidR="00442E31" w:rsidRPr="00CB3111">
        <w:rPr>
          <w:noProof/>
          <w:spacing w:val="-3"/>
          <w:lang w:eastAsia="fr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BA8825" wp14:editId="6305E987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58F63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82A6CDA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64058BF" wp14:editId="0D994D0A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9EE7A0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A882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0A158F63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82A6CDA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64058BF" wp14:editId="0D994D0A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9EE7A0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4BF7B6D" w14:textId="77777777" w:rsidR="00D047E6" w:rsidRPr="00712DB5" w:rsidRDefault="00CB3111" w:rsidP="00D047E6">
      <w:pPr>
        <w:pStyle w:val="SingleTxtG"/>
      </w:pPr>
      <w:r>
        <w:br w:type="page"/>
      </w:r>
      <w:r w:rsidR="00D047E6" w:rsidRPr="00712DB5">
        <w:rPr>
          <w:i/>
        </w:rPr>
        <w:lastRenderedPageBreak/>
        <w:t>Note de bas de page 12</w:t>
      </w:r>
      <w:r w:rsidR="00D047E6" w:rsidRPr="00712DB5">
        <w:t>, lire :</w:t>
      </w:r>
    </w:p>
    <w:p w14:paraId="40EEB048" w14:textId="77777777" w:rsidR="00D047E6" w:rsidRPr="00712DB5" w:rsidRDefault="00D047E6" w:rsidP="00D047E6">
      <w:pPr>
        <w:pStyle w:val="Footer"/>
        <w:tabs>
          <w:tab w:val="right" w:pos="2608"/>
        </w:tabs>
        <w:spacing w:after="80" w:line="240" w:lineRule="atLeast"/>
        <w:ind w:left="1134"/>
      </w:pPr>
      <w:r w:rsidRPr="00712DB5">
        <w:t>« </w:t>
      </w:r>
      <w:r w:rsidRPr="00712DB5">
        <w:rPr>
          <w:u w:val="single"/>
        </w:rPr>
        <w:tab/>
      </w:r>
    </w:p>
    <w:p w14:paraId="1FED9007" w14:textId="77777777" w:rsidR="00D047E6" w:rsidRPr="00712DB5" w:rsidRDefault="00D047E6" w:rsidP="00D047E6">
      <w:pPr>
        <w:pStyle w:val="FootnoteText"/>
        <w:tabs>
          <w:tab w:val="clear" w:pos="1021"/>
          <w:tab w:val="right" w:pos="1588"/>
        </w:tabs>
        <w:ind w:left="1701" w:hanging="1701"/>
      </w:pPr>
      <w:r w:rsidRPr="00712DB5">
        <w:rPr>
          <w:vertAlign w:val="superscript"/>
        </w:rPr>
        <w:tab/>
        <w:t>12</w:t>
      </w:r>
      <w:r w:rsidRPr="00712DB5">
        <w:tab/>
        <w:t>Sont dispensés de la présente prescription les véhicules tout-terrain, les véhicules spéciaux (par exemple, les engins mobiles montés sur un châssis de véhicule non normalisé, les grues mobiles, les véhicules à propulsion hydrostatique sur lesquels le système hydraulique sert aussi au freinage et à des fonctions auxiliaires, ainsi que les véhicules ayant un châssis non normalisé sur lesquels les capteurs d</w:t>
      </w:r>
      <w:r>
        <w:t>’</w:t>
      </w:r>
      <w:r w:rsidRPr="00712DB5">
        <w:t>accélération latérale et/ou de vitesse angulaire de lacet, nécessaires à la fonction de contrôle de stabilité, ne peuvent pas être installés dans la zone désignée à proximité du centre de gravité du véhicule sans que soit compromis leur usage spécifique), les véhicules de la catégorie N</w:t>
      </w:r>
      <w:r w:rsidRPr="00712DB5">
        <w:rPr>
          <w:vertAlign w:val="subscript"/>
        </w:rPr>
        <w:t>2</w:t>
      </w:r>
      <w:r w:rsidRPr="00712DB5">
        <w:t xml:space="preserve"> dont la masse brute est comprise entre 3,5 et 7,5 tonnes, qui sont montés sur un châssis surbaissé non normalisé, qui ont plus de deux essieux et qui sont équipés d</w:t>
      </w:r>
      <w:r>
        <w:t>’</w:t>
      </w:r>
      <w:r w:rsidRPr="00712DB5">
        <w:t>une transmission hydraulique, les autobus de la classe I et de la classe A des catégories M</w:t>
      </w:r>
      <w:r w:rsidRPr="00712DB5">
        <w:rPr>
          <w:vertAlign w:val="subscript"/>
        </w:rPr>
        <w:t>2</w:t>
      </w:r>
      <w:r w:rsidRPr="00712DB5">
        <w:t xml:space="preserve"> et M</w:t>
      </w:r>
      <w:r w:rsidRPr="00712DB5">
        <w:rPr>
          <w:vertAlign w:val="subscript"/>
        </w:rPr>
        <w:t>3</w:t>
      </w:r>
      <w:r w:rsidRPr="00712DB5">
        <w:t>, les autobus et les autocars articulés, et les tracteurs de la catégorie N</w:t>
      </w:r>
      <w:r w:rsidRPr="00712DB5">
        <w:rPr>
          <w:vertAlign w:val="subscript"/>
        </w:rPr>
        <w:t>2</w:t>
      </w:r>
      <w:r w:rsidRPr="00712DB5">
        <w:t xml:space="preserve"> pour semi-remorque dont la masse brute est comprise entre 3,5 et 7,5</w:t>
      </w:r>
      <w:r>
        <w:t> tonnes</w:t>
      </w:r>
      <w:r w:rsidRPr="00712DB5">
        <w:t>. ».</w:t>
      </w:r>
    </w:p>
    <w:p w14:paraId="77BB1629" w14:textId="77777777" w:rsidR="00D047E6" w:rsidRPr="00712DB5" w:rsidRDefault="00D047E6" w:rsidP="00D047E6">
      <w:pPr>
        <w:pStyle w:val="SingleTxtG"/>
        <w:spacing w:before="120"/>
        <w:rPr>
          <w:i/>
        </w:rPr>
      </w:pPr>
      <w:r w:rsidRPr="00712DB5">
        <w:rPr>
          <w:i/>
        </w:rPr>
        <w:t>Annexe 5,</w:t>
      </w:r>
    </w:p>
    <w:p w14:paraId="5F4E16E2" w14:textId="77777777" w:rsidR="00D047E6" w:rsidRPr="00712DB5" w:rsidRDefault="00D047E6" w:rsidP="00D047E6">
      <w:pPr>
        <w:pStyle w:val="SingleTxtG"/>
      </w:pPr>
      <w:r w:rsidRPr="00712DB5">
        <w:rPr>
          <w:i/>
        </w:rPr>
        <w:t>Paragraphes 2.2 et 2.2.1</w:t>
      </w:r>
      <w:r w:rsidRPr="00712DB5">
        <w:t>, supprimer.</w:t>
      </w:r>
    </w:p>
    <w:p w14:paraId="51D0BCD5" w14:textId="77777777" w:rsidR="00D047E6" w:rsidRPr="00712DB5" w:rsidRDefault="00D047E6" w:rsidP="00D047E6">
      <w:pPr>
        <w:pStyle w:val="SingleTxtG"/>
      </w:pPr>
      <w:r w:rsidRPr="00712DB5">
        <w:rPr>
          <w:i/>
        </w:rPr>
        <w:t>Les paragraphes 2.3 à 2.4.1</w:t>
      </w:r>
      <w:r w:rsidRPr="00712DB5">
        <w:t xml:space="preserve"> deviennent les paragraphes 2.2 à 2.3.1.</w:t>
      </w:r>
    </w:p>
    <w:p w14:paraId="4FE92453" w14:textId="77777777" w:rsidR="00D047E6" w:rsidRPr="00712DB5" w:rsidRDefault="00D047E6" w:rsidP="00D047E6">
      <w:pPr>
        <w:pStyle w:val="SingleTxtG"/>
        <w:rPr>
          <w:i/>
        </w:rPr>
      </w:pPr>
      <w:r w:rsidRPr="00712DB5">
        <w:rPr>
          <w:i/>
        </w:rPr>
        <w:t>Annexe 12,</w:t>
      </w:r>
    </w:p>
    <w:p w14:paraId="3E23620A" w14:textId="77777777" w:rsidR="00D047E6" w:rsidRPr="00712DB5" w:rsidRDefault="00D047E6" w:rsidP="00D047E6">
      <w:pPr>
        <w:pStyle w:val="SingleTxtG"/>
      </w:pPr>
      <w:r w:rsidRPr="00712DB5">
        <w:rPr>
          <w:i/>
        </w:rPr>
        <w:t>Paragraphes 2.3.10 et 2.3.11</w:t>
      </w:r>
      <w:r w:rsidRPr="00712DB5">
        <w:t>, supprimer.</w:t>
      </w:r>
    </w:p>
    <w:p w14:paraId="6E74E3F6" w14:textId="77777777" w:rsidR="00D047E6" w:rsidRPr="00712DB5" w:rsidRDefault="00D047E6" w:rsidP="00D047E6">
      <w:pPr>
        <w:pStyle w:val="SingleTxtG"/>
      </w:pPr>
      <w:r w:rsidRPr="00712DB5">
        <w:rPr>
          <w:i/>
        </w:rPr>
        <w:t>Ancien paragraphe 2.3.12</w:t>
      </w:r>
      <w:r w:rsidRPr="00FA709B">
        <w:t>,</w:t>
      </w:r>
      <w:r w:rsidRPr="00712DB5">
        <w:rPr>
          <w:i/>
        </w:rPr>
        <w:t xml:space="preserve"> </w:t>
      </w:r>
      <w:r w:rsidRPr="00712DB5">
        <w:t>lire (et renuméroter en conséquence) :</w:t>
      </w:r>
    </w:p>
    <w:p w14:paraId="155A3567" w14:textId="77777777" w:rsidR="00D047E6" w:rsidRPr="00712DB5" w:rsidRDefault="00D047E6" w:rsidP="00D047E6">
      <w:pPr>
        <w:pStyle w:val="SingleTxtG"/>
        <w:tabs>
          <w:tab w:val="left" w:pos="2268"/>
        </w:tabs>
        <w:ind w:left="2835" w:hanging="1701"/>
      </w:pPr>
      <w:r w:rsidRPr="00712DB5">
        <w:t>« 2.3.10</w:t>
      </w:r>
      <w:r w:rsidRPr="00712DB5">
        <w:tab/>
        <w:t>s</w:t>
      </w:r>
      <w:r w:rsidRPr="00712DB5">
        <w:rPr>
          <w:vertAlign w:val="subscript"/>
        </w:rPr>
        <w:t>cd</w:t>
      </w:r>
      <w:r w:rsidRPr="00712DB5">
        <w:tab/>
        <w:t xml:space="preserve">Course différentielle maximale que le compensateur peut admettre, </w:t>
      </w:r>
      <w:proofErr w:type="gramStart"/>
      <w:r w:rsidRPr="00712DB5">
        <w:t>de par</w:t>
      </w:r>
      <w:proofErr w:type="gramEnd"/>
      <w:r w:rsidRPr="00712DB5">
        <w:t xml:space="preserve"> ses propriétés géométriques et sa construction, lorsque seul un frein est actionné en marche avant tandis que l</w:t>
      </w:r>
      <w:r>
        <w:t>’</w:t>
      </w:r>
      <w:r w:rsidRPr="00712DB5">
        <w:t>autre est actionné dans l</w:t>
      </w:r>
      <w:r>
        <w:t>’</w:t>
      </w:r>
      <w:r w:rsidRPr="00712DB5">
        <w:t>autre sens, de façon à garantir l</w:t>
      </w:r>
      <w:r>
        <w:t>’</w:t>
      </w:r>
      <w:r w:rsidRPr="00712DB5">
        <w:t>application de tensions égales à chacun(e) des deux câbles/tiges.</w:t>
      </w:r>
    </w:p>
    <w:p w14:paraId="40BF6C96" w14:textId="77777777" w:rsidR="00D047E6" w:rsidRPr="00712DB5" w:rsidRDefault="00D047E6" w:rsidP="00D047E6">
      <w:pPr>
        <w:spacing w:after="120"/>
        <w:ind w:left="2835"/>
      </w:pPr>
      <w:r w:rsidRPr="00712DB5">
        <w:t>(Voir la figure 5A de l</w:t>
      </w:r>
      <w:r>
        <w:t>’</w:t>
      </w:r>
      <w:r w:rsidRPr="00712DB5">
        <w:t>appendice 1)</w:t>
      </w:r>
      <w:r w:rsidR="000C242E">
        <w:t>.</w:t>
      </w:r>
      <w:r w:rsidRPr="00712DB5">
        <w:t> ».</w:t>
      </w:r>
    </w:p>
    <w:p w14:paraId="0AB58ADD" w14:textId="77777777" w:rsidR="00D047E6" w:rsidRPr="00712DB5" w:rsidRDefault="00D047E6" w:rsidP="00D047E6">
      <w:pPr>
        <w:pStyle w:val="SingleTxtG"/>
      </w:pPr>
      <w:r w:rsidRPr="00712DB5">
        <w:rPr>
          <w:i/>
        </w:rPr>
        <w:t>Note de bas de page 1</w:t>
      </w:r>
      <w:r w:rsidRPr="00712DB5">
        <w:t>, supprimer.</w:t>
      </w:r>
    </w:p>
    <w:p w14:paraId="719D07FD" w14:textId="77777777" w:rsidR="00D047E6" w:rsidRPr="00712DB5" w:rsidRDefault="00D047E6" w:rsidP="00D047E6">
      <w:pPr>
        <w:pStyle w:val="SingleTxtG"/>
      </w:pPr>
      <w:r w:rsidRPr="00712DB5">
        <w:rPr>
          <w:i/>
        </w:rPr>
        <w:t>Paragraphe 8.1.2</w:t>
      </w:r>
      <w:r w:rsidRPr="00712DB5">
        <w:t>, lire :</w:t>
      </w:r>
    </w:p>
    <w:p w14:paraId="30486E98" w14:textId="77777777" w:rsidR="00D047E6" w:rsidRPr="00712DB5" w:rsidRDefault="00D047E6" w:rsidP="00D047E6">
      <w:pPr>
        <w:pStyle w:val="SingleTxtG"/>
        <w:ind w:left="2268" w:hanging="1134"/>
      </w:pPr>
      <w:r w:rsidRPr="00712DB5">
        <w:t>« 8.1.2</w:t>
      </w:r>
      <w:r w:rsidRPr="00712DB5">
        <w:tab/>
        <w:t>Les détails concernant la traction doivent être fournis, afin qu</w:t>
      </w:r>
      <w:r>
        <w:t>’</w:t>
      </w:r>
      <w:r w:rsidRPr="00712DB5">
        <w:t>il puisse être démontré que l</w:t>
      </w:r>
      <w:r>
        <w:t>’</w:t>
      </w:r>
      <w:r w:rsidRPr="00712DB5">
        <w:t>articulation du compensateur suffit à garantir l</w:t>
      </w:r>
      <w:r>
        <w:t>’</w:t>
      </w:r>
      <w:r w:rsidRPr="00712DB5">
        <w:t>application de tensions égales à chacun des câbles arrière. Le compensateur doit être suffisamment large pour faciliter les courses différentielles de gauche à droite. Les mâchoires de la chape d</w:t>
      </w:r>
      <w:r>
        <w:t>’</w:t>
      </w:r>
      <w:r w:rsidRPr="00712DB5">
        <w:t>attelage doivent aussi être suffisamment profondes par rapport à leur largeur afin qu</w:t>
      </w:r>
      <w:r>
        <w:t>’</w:t>
      </w:r>
      <w:r w:rsidRPr="00712DB5">
        <w:t>elles n</w:t>
      </w:r>
      <w:r>
        <w:t>’</w:t>
      </w:r>
      <w:r w:rsidRPr="00712DB5">
        <w:t>entravent pas l</w:t>
      </w:r>
      <w:r>
        <w:t>’</w:t>
      </w:r>
      <w:r w:rsidRPr="00712DB5">
        <w:t>articulation lorsque le compensateur n</w:t>
      </w:r>
      <w:r>
        <w:t>’</w:t>
      </w:r>
      <w:r w:rsidRPr="00712DB5">
        <w:t>est pas parallèle aux essieux.</w:t>
      </w:r>
    </w:p>
    <w:p w14:paraId="65C79675" w14:textId="77777777" w:rsidR="00D047E6" w:rsidRPr="00712DB5" w:rsidRDefault="00D047E6" w:rsidP="00D047E6">
      <w:pPr>
        <w:pStyle w:val="SingleTxtG"/>
        <w:ind w:left="2268"/>
      </w:pPr>
      <w:r w:rsidRPr="00712DB5">
        <w:t>La course différentielle au niveau du compensateur (s</w:t>
      </w:r>
      <w:r w:rsidRPr="00712DB5">
        <w:rPr>
          <w:vertAlign w:val="subscript"/>
        </w:rPr>
        <w:t>cd</w:t>
      </w:r>
      <w:r w:rsidRPr="00712DB5">
        <w:t>) doit être calculée à l</w:t>
      </w:r>
      <w:r>
        <w:t>’</w:t>
      </w:r>
      <w:r w:rsidRPr="00712DB5">
        <w:t>aide de la formule suivante :</w:t>
      </w:r>
    </w:p>
    <w:p w14:paraId="34E3ED28" w14:textId="77777777" w:rsidR="00D047E6" w:rsidRPr="00712DB5" w:rsidRDefault="00D047E6" w:rsidP="00D047E6">
      <w:pPr>
        <w:pStyle w:val="SingleTxtG"/>
        <w:ind w:left="2268"/>
      </w:pPr>
      <w:r w:rsidRPr="00712DB5">
        <w:t>S</w:t>
      </w:r>
      <w:r w:rsidRPr="00712DB5">
        <w:rPr>
          <w:vertAlign w:val="subscript"/>
        </w:rPr>
        <w:t>cd</w:t>
      </w:r>
      <w:r w:rsidRPr="00712DB5">
        <w:t xml:space="preserve"> ≥ 1</w:t>
      </w:r>
      <w:r>
        <w:t>,</w:t>
      </w:r>
      <w:r w:rsidRPr="00712DB5">
        <w:t xml:space="preserve">2 • </w:t>
      </w:r>
      <w:proofErr w:type="gramStart"/>
      <w:r w:rsidRPr="00712DB5">
        <w:t>S</w:t>
      </w:r>
      <w:r w:rsidRPr="00712DB5">
        <w:rPr>
          <w:vertAlign w:val="subscript"/>
        </w:rPr>
        <w:t>r</w:t>
      </w:r>
      <w:r w:rsidRPr="00712DB5">
        <w:t> </w:t>
      </w:r>
      <w:r w:rsidR="00561063">
        <w:t>.</w:t>
      </w:r>
      <w:proofErr w:type="gramEnd"/>
      <w:r w:rsidRPr="00712DB5">
        <w:t>».</w:t>
      </w:r>
    </w:p>
    <w:p w14:paraId="270DEB87" w14:textId="77777777" w:rsidR="00D047E6" w:rsidRPr="00712DB5" w:rsidRDefault="00D047E6" w:rsidP="00D047E6">
      <w:pPr>
        <w:pStyle w:val="SingleTxtG"/>
        <w:rPr>
          <w:b/>
        </w:rPr>
      </w:pPr>
      <w:r w:rsidRPr="00712DB5">
        <w:br w:type="page"/>
      </w:r>
      <w:r w:rsidRPr="00712DB5">
        <w:rPr>
          <w:i/>
        </w:rPr>
        <w:lastRenderedPageBreak/>
        <w:t>Annexe 12, appendice 1, figure 5A</w:t>
      </w:r>
      <w:r w:rsidRPr="00712DB5">
        <w:t>, lire :</w:t>
      </w:r>
    </w:p>
    <w:p w14:paraId="5C116545" w14:textId="77777777" w:rsidR="00D047E6" w:rsidRPr="00712DB5" w:rsidRDefault="00D047E6" w:rsidP="00D047E6">
      <w:pPr>
        <w:pStyle w:val="H23G"/>
        <w:rPr>
          <w:b w:val="0"/>
        </w:rPr>
      </w:pPr>
      <w:r w:rsidRPr="00712DB5">
        <w:tab/>
      </w:r>
      <w:r w:rsidRPr="00712DB5">
        <w:tab/>
      </w:r>
      <w:r w:rsidR="005B7175" w:rsidRPr="005B7175">
        <w:rPr>
          <w:b w:val="0"/>
        </w:rPr>
        <w:t>« </w:t>
      </w:r>
      <w:r w:rsidRPr="00712DB5">
        <w:rPr>
          <w:b w:val="0"/>
        </w:rPr>
        <w:t xml:space="preserve">Figure 5A </w:t>
      </w:r>
      <w:r w:rsidRPr="00712DB5">
        <w:br/>
        <w:t xml:space="preserve">Freins à transmission mécanique </w:t>
      </w:r>
      <w:r w:rsidRPr="00712DB5">
        <w:br/>
      </w:r>
      <w:r w:rsidRPr="00712DB5">
        <w:rPr>
          <w:b w:val="0"/>
        </w:rPr>
        <w:t>(Voir par. 2.3 de la présente annexe)</w:t>
      </w:r>
    </w:p>
    <w:p w14:paraId="2266EFFE" w14:textId="77777777" w:rsidR="00D047E6" w:rsidRPr="00712DB5" w:rsidRDefault="00C44A99" w:rsidP="00561063">
      <w:pPr>
        <w:ind w:left="1134"/>
      </w:pPr>
      <w:r w:rsidRPr="00712DB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4DCC412" wp14:editId="545AD32F">
                <wp:simplePos x="0" y="0"/>
                <wp:positionH relativeFrom="column">
                  <wp:posOffset>3953610</wp:posOffset>
                </wp:positionH>
                <wp:positionV relativeFrom="paragraph">
                  <wp:posOffset>2677060</wp:posOffset>
                </wp:positionV>
                <wp:extent cx="156411" cy="186489"/>
                <wp:effectExtent l="0" t="0" r="0" b="444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11" cy="186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18760" w14:textId="77777777" w:rsidR="00C44A99" w:rsidRPr="0062099F" w:rsidRDefault="00C44A99" w:rsidP="00C44A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C412" id="Zone de texte 2" o:spid="_x0000_s1027" type="#_x0000_t202" style="position:absolute;left:0;text-align:left;margin-left:311.3pt;margin-top:210.8pt;width:12.3pt;height:14.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jHHAIAABYEAAAOAAAAZHJzL2Uyb0RvYy54bWysU8Fu2zAMvQ/YPwi6L46DJkiNOEWXLsOA&#10;bh3Q7bIbI8mxMEn0JCV29/Wj5CTtttswHwTKIh8fH8nVzWANOyofNLqal5MpZ8oJlNrta/71y/bN&#10;krMQwUkw6FTNn1TgN+vXr1Z9V6kZtmik8oxAXKj6ruZtjF1VFEG0ykKYYKccPTboLUS6+n0hPfSE&#10;bk0xm04XRY9edh6FCoH+3o2PfJ3xm0aJ+NA0QUVmak7cYj59PnfpLNYrqPYeulaLEw34BxYWtKOk&#10;F6g7iMAOXv8FZbXwGLCJE4G2wKbRQuUaqJpy+kc1jy10KtdC4oTuIlP4f7Di0/GzZ1rWfM6ZA0st&#10;+kaNYlKxqIao2CxJ1HehIs/Hjnzj8BYHanUuN3T3KL4H5nDTgturW++xbxVIolimyOJF6IgTEsiu&#10;/4iScsEhYgYaGm+TfqQII3Rq1dOlPcSDiZRyvrgqS84EPZXLxdXyOmeA6hzc+RDfK7QsGTX31P0M&#10;Dsf7EBMZqM4uKVdAo+VWG5Mvfr/bGM+OQJOyzd8J/Tc341hf8+v5bJ6RHab4PERWR5pko23Nl9P0&#10;pXCokhjvnMx2BG1Gm5gYd1InCTJKE4fdkHuRpUvK7VA+kVwex8GlRSOjRf+Ts56GtubhxwG84sx8&#10;cCR5mvCz4c/G7myAExRa88jZaG5i3oRE0+EttaLRWabnzCeKNHxZvdOipOl+ec9ez+u8/gUAAP//&#10;AwBQSwMEFAAGAAgAAAAhAFjQhQXfAAAACwEAAA8AAABkcnMvZG93bnJldi54bWxMj01PwzAMhu9I&#10;/IfISFwQSxuNgkrTCTa4wWFj2tlrQlvROFWTrt2/x5zYzR+PXj8uVrPrxMkOofWkIV0kICxV3rRU&#10;a9h/vd8/gQgRyWDnyWo42wCr8vqqwNz4ibb2tIu14BAKOWpoYuxzKUPVWIdh4XtLvPv2g8PI7VBL&#10;M+DE4a6TKkky6bAlvtBgb9eNrX52o9OQbYZx2tL6brN/+8DPvlaH1/NB69ub+eUZRLRz/IfhT5/V&#10;oWSnox/JBNFxhlIZoxqWKuWCiWz5qEAcefKQJiDLQl7+UP4CAAD//wMAUEsBAi0AFAAGAAgAAAAh&#10;ALaDOJL+AAAA4QEAABMAAAAAAAAAAAAAAAAAAAAAAFtDb250ZW50X1R5cGVzXS54bWxQSwECLQAU&#10;AAYACAAAACEAOP0h/9YAAACUAQAACwAAAAAAAAAAAAAAAAAvAQAAX3JlbHMvLnJlbHNQSwECLQAU&#10;AAYACAAAACEA+9KYxxwCAAAWBAAADgAAAAAAAAAAAAAAAAAuAgAAZHJzL2Uyb0RvYy54bWxQSwEC&#10;LQAUAAYACAAAACEAWNCFBd8AAAALAQAADwAAAAAAAAAAAAAAAAB2BAAAZHJzL2Rvd25yZXYueG1s&#10;UEsFBgAAAAAEAAQA8wAAAIIFAAAAAA==&#10;" stroked="f">
                <v:textbox inset="0,0,0,0">
                  <w:txbxContent>
                    <w:p w14:paraId="0F618760" w14:textId="77777777" w:rsidR="00C44A99" w:rsidRPr="0062099F" w:rsidRDefault="00C44A99" w:rsidP="00C44A9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063" w:rsidRPr="00712DB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B649A9A" wp14:editId="1D8BC856">
                <wp:simplePos x="0" y="0"/>
                <wp:positionH relativeFrom="column">
                  <wp:posOffset>831483</wp:posOffset>
                </wp:positionH>
                <wp:positionV relativeFrom="paragraph">
                  <wp:posOffset>1230871</wp:posOffset>
                </wp:positionV>
                <wp:extent cx="3735070" cy="264160"/>
                <wp:effectExtent l="0" t="0" r="0" b="254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474FC" w14:textId="77777777" w:rsidR="00D047E6" w:rsidRPr="0062099F" w:rsidRDefault="00D047E6" w:rsidP="00D047E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67F5A">
                              <w:rPr>
                                <w:b/>
                                <w:sz w:val="16"/>
                                <w:szCs w:val="16"/>
                              </w:rPr>
                              <w:t>La géométrie du compensateur permet une tension égale des deux câbles arrière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49A9A" id="_x0000_s1028" type="#_x0000_t202" style="position:absolute;left:0;text-align:left;margin-left:65.45pt;margin-top:96.9pt;width:294.1pt;height:20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0uHQIAABcEAAAOAAAAZHJzL2Uyb0RvYy54bWysU02P2yAQvVfqf0DcGzvZJtm14qy22aaq&#10;tP2Qtr30hgHHqMBQILHTX98BJ9nV9lbVBzSYmcfMe4/V7WA0OUgfFNiaTiclJdJyEMruavr92/bN&#10;NSUhMiuYBitrepSB3q5fv1r1rpIz6EAL6QmC2FD1rqZdjK4qisA7aViYgJMWD1vwhkXc+l0hPOsR&#10;3ehiVpaLogcvnAcuQ8C/9+MhXWf8tpU8fmnbICPRNcXeYl59Xpu0FusVq3aeuU7xUxvsH7owTFm8&#10;9AJ1zyIje6/+gjKKewjQxgkHU0DbKi7zDDjNtHwxzWPHnMyzIDnBXWgK/w+Wfz589USJmi4pscyg&#10;RD9QKCIkiXKIkswSRb0LFWY+OsyNwzsYUOo8bnAPwH8GYmHTMbuTd95D30kmsMVpqiyelY44IYE0&#10;/ScQeBfbR8hAQ+tN4g8ZIYiOUh0v8mAfhOPPq+XVvFziEcez2eLtdJH1K1h1rnY+xA8SDElBTT3K&#10;n9HZ4SHE1A2rzinpsgBaia3SOm/8rtloTw4MrbLNXx7gRZq2pK/pzXw2z8gWUn12kVERrayVqel1&#10;mb7RXImN91bklMiUHmPsRNsTPYmRkZs4NEMW48J6A+KIfHkYnYsvDYMO/G9KenRtTcOvPfOSEv3R&#10;IufJ4ufAn4PmHDDLsbSmkZIx3MT8FNL4Fu5Qi1ZlmpJo482nFtF9mb3TS0n2fr7PWU/vef0HAAD/&#10;/wMAUEsDBBQABgAIAAAAIQDcZ6Dc4AAAAAsBAAAPAAAAZHJzL2Rvd25yZXYueG1sTI/LTsMwEEX3&#10;SPyDNUhsEHUeUEiIU0ELO1i0VF1PY5NExOModpr07xlWsJurObqPYjXbTpzM4FtHCuJFBMJQ5XRL&#10;tYL959vtIwgfkDR2joyCs/GwKi8vCsy1m2hrTrtQCzYhn6OCJoQ+l9JXjbHoF643xL8vN1gMLIda&#10;6gEnNredTKJoKS22xAkN9mbdmOp7N1oFy80wTlta32z2r+/40dfJ4eV8UOr6an5+AhHMHP5g+K3P&#10;1aHkTkc3kvaiY51GGaN8ZClvYOIhzmIQRwVJen8Hsizk/w3lDwAAAP//AwBQSwECLQAUAAYACAAA&#10;ACEAtoM4kv4AAADhAQAAEwAAAAAAAAAAAAAAAAAAAAAAW0NvbnRlbnRfVHlwZXNdLnhtbFBLAQIt&#10;ABQABgAIAAAAIQA4/SH/1gAAAJQBAAALAAAAAAAAAAAAAAAAAC8BAABfcmVscy8ucmVsc1BLAQIt&#10;ABQABgAIAAAAIQAU3I0uHQIAABcEAAAOAAAAAAAAAAAAAAAAAC4CAABkcnMvZTJvRG9jLnhtbFBL&#10;AQItABQABgAIAAAAIQDcZ6Dc4AAAAAsBAAAPAAAAAAAAAAAAAAAAAHcEAABkcnMvZG93bnJldi54&#10;bWxQSwUGAAAAAAQABADzAAAAhAUAAAAA&#10;" stroked="f">
                <v:textbox inset="0,0,0,0">
                  <w:txbxContent>
                    <w:p w14:paraId="496474FC" w14:textId="77777777" w:rsidR="00D047E6" w:rsidRPr="0062099F" w:rsidRDefault="00D047E6" w:rsidP="00D047E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67F5A">
                        <w:rPr>
                          <w:b/>
                          <w:sz w:val="16"/>
                          <w:szCs w:val="16"/>
                        </w:rPr>
                        <w:t>La géométrie du compensateur permet une tension égale des deux câbles arrière</w:t>
                      </w:r>
                    </w:p>
                  </w:txbxContent>
                </v:textbox>
              </v:shape>
            </w:pict>
          </mc:Fallback>
        </mc:AlternateContent>
      </w:r>
      <w:r w:rsidR="00D047E6" w:rsidRPr="00712DB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6913C2C" wp14:editId="5CBE2EE9">
                <wp:simplePos x="0" y="0"/>
                <wp:positionH relativeFrom="column">
                  <wp:posOffset>3107976</wp:posOffset>
                </wp:positionH>
                <wp:positionV relativeFrom="paragraph">
                  <wp:posOffset>591578</wp:posOffset>
                </wp:positionV>
                <wp:extent cx="1639018" cy="56070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018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BC5BC" w14:textId="77777777" w:rsidR="00D047E6" w:rsidRPr="0062099F" w:rsidRDefault="00D047E6" w:rsidP="00D047E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099F">
                              <w:rPr>
                                <w:b/>
                                <w:sz w:val="16"/>
                                <w:szCs w:val="16"/>
                              </w:rPr>
                              <w:t>Augmentation de la course d’un seul c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ô</w:t>
                            </w:r>
                            <w:r w:rsidRPr="0062099F">
                              <w:rPr>
                                <w:b/>
                                <w:sz w:val="16"/>
                                <w:szCs w:val="16"/>
                              </w:rPr>
                              <w:t>té lorsqu’un frein passe en mode de fonctionnement inverse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3C2C" id="_x0000_s1029" type="#_x0000_t202" style="position:absolute;left:0;text-align:left;margin-left:244.7pt;margin-top:46.6pt;width:129.05pt;height:44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m3HQIAABgEAAAOAAAAZHJzL2Uyb0RvYy54bWysU01v2zAMvQ/YfxB0X+ykSNYacYouXYYB&#10;3QfQ7bIbI8mxMEn0JCV29utHyUnabbdhPgiURT4+PpLL28EadlA+aHQ1n05KzpQTKLXb1fzrl82r&#10;a85CBCfBoFM1P6rAb1cvXyz7rlIzbNFI5RmBuFD1Xc3bGLuqKIJolYUwwU45emzQW4h09btCeugJ&#10;3ZpiVpaLokcvO49ChUB/78dHvsr4TaNE/NQ0QUVmak7cYj59PrfpLFZLqHYeulaLEw34BxYWtKOk&#10;F6h7iMD2Xv8FZbXwGLCJE4G2wKbRQuUaqJpp+Uc1jy10KtdC4oTuIlP4f7Di4+GzZ1pS70geB5Z6&#10;9I06xaRiUQ1RsVnSqO9CRa6PHTnH4Q0O5J/rDd0Diu+BOVy34HbqznvsWwWSOE5TZPEsdMQJCWTb&#10;f0BJuWAfMQMNjbdJQJKEETqROV76QzyYSCkXVzfllCZK0Nt8Ub4u5zkFVOfozof4TqFlyai5p/5n&#10;dDg8hJjYQHV2SckCGi032ph88bvt2nh2AJqVTf5O6L+5Gcf6mt/MZ/OM7DDF5zGyOtIsG21rfl2m&#10;L4VDldR462S2I2gz2sTEuJM8SZFRmzhsh9yNqxSbpNuiPJJeHsfRpVUjo0X/k7Oexrbm4ccevOLM&#10;vHekeZrxs+HPxvZsgBMUWvPI2WiuY96FRNPhHfWi0Vmmp8wnijR+Wb3TqqT5fn7PXk8LvfoFAAD/&#10;/wMAUEsDBBQABgAIAAAAIQBvXta44QAAAAoBAAAPAAAAZHJzL2Rvd25yZXYueG1sTI/LTsMwEEX3&#10;SPyDNUhsEHUa0jYNcSpo6Q4WfahrN3aTiHgc2U6T/j3DCpaje3TvmXw1mpZdtfONRQHTSQRMY2lV&#10;g5WA42H7nALzQaKSrUUt4KY9rIr7u1xmyg6409d9qBiVoM+kgDqELuPcl7U20k9sp5Gyi3VGBjpd&#10;xZWTA5WblsdRNOdGNkgLtez0utbl9743AuYb1w87XD9tjh+f8qur4tP77STE48P49gos6DH8wfCr&#10;T+pQkNPZ9qg8awUk6TIhVMDyJQZGwCJZzICdiUynM+BFzv+/UPwAAAD//wMAUEsBAi0AFAAGAAgA&#10;AAAhALaDOJL+AAAA4QEAABMAAAAAAAAAAAAAAAAAAAAAAFtDb250ZW50X1R5cGVzXS54bWxQSwEC&#10;LQAUAAYACAAAACEAOP0h/9YAAACUAQAACwAAAAAAAAAAAAAAAAAvAQAAX3JlbHMvLnJlbHNQSwEC&#10;LQAUAAYACAAAACEAHJcptx0CAAAYBAAADgAAAAAAAAAAAAAAAAAuAgAAZHJzL2Uyb0RvYy54bWxQ&#10;SwECLQAUAAYACAAAACEAb17WuOEAAAAKAQAADwAAAAAAAAAAAAAAAAB3BAAAZHJzL2Rvd25yZXYu&#10;eG1sUEsFBgAAAAAEAAQA8wAAAIUFAAAAAA==&#10;" stroked="f">
                <v:textbox inset="0,0,0,0">
                  <w:txbxContent>
                    <w:p w14:paraId="569BC5BC" w14:textId="77777777" w:rsidR="00D047E6" w:rsidRPr="0062099F" w:rsidRDefault="00D047E6" w:rsidP="00D047E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2099F">
                        <w:rPr>
                          <w:b/>
                          <w:sz w:val="16"/>
                          <w:szCs w:val="16"/>
                        </w:rPr>
                        <w:t>Augmentation de la course d’un seul c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ô</w:t>
                      </w:r>
                      <w:r w:rsidRPr="0062099F">
                        <w:rPr>
                          <w:b/>
                          <w:sz w:val="16"/>
                          <w:szCs w:val="16"/>
                        </w:rPr>
                        <w:t>té lorsqu’un frein passe en mode de fonctionnement inverse</w:t>
                      </w:r>
                    </w:p>
                  </w:txbxContent>
                </v:textbox>
              </v:shape>
            </w:pict>
          </mc:Fallback>
        </mc:AlternateContent>
      </w:r>
      <w:r w:rsidR="00D047E6" w:rsidRPr="00712DB5">
        <w:rPr>
          <w:noProof/>
          <w:lang w:val="fr-FR" w:eastAsia="fr-FR"/>
        </w:rPr>
        <w:drawing>
          <wp:inline distT="0" distB="0" distL="0" distR="0" wp14:anchorId="071A9310" wp14:editId="21888E4D">
            <wp:extent cx="4644000" cy="3106800"/>
            <wp:effectExtent l="0" t="0" r="444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77" b="4003"/>
                    <a:stretch/>
                  </pic:blipFill>
                  <pic:spPr bwMode="auto">
                    <a:xfrm>
                      <a:off x="0" y="0"/>
                      <a:ext cx="4644000" cy="31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47E6" w:rsidRPr="00712DB5">
        <w:t> ».</w:t>
      </w:r>
    </w:p>
    <w:p w14:paraId="6211BAA3" w14:textId="77777777" w:rsidR="00D047E6" w:rsidRPr="00712DB5" w:rsidRDefault="00D047E6" w:rsidP="003A2F69">
      <w:pPr>
        <w:pStyle w:val="SingleTxtG"/>
        <w:spacing w:before="120"/>
        <w:rPr>
          <w:i/>
        </w:rPr>
      </w:pPr>
      <w:r w:rsidRPr="00712DB5">
        <w:rPr>
          <w:i/>
        </w:rPr>
        <w:t>Annexe 12, appendice 4,</w:t>
      </w:r>
    </w:p>
    <w:p w14:paraId="5D31F779" w14:textId="77777777" w:rsidR="00D047E6" w:rsidRPr="00712DB5" w:rsidRDefault="00D047E6" w:rsidP="00D047E6">
      <w:pPr>
        <w:pStyle w:val="SingleTxtG"/>
      </w:pPr>
      <w:r w:rsidRPr="00712DB5">
        <w:rPr>
          <w:i/>
        </w:rPr>
        <w:t>Paragraphes 6.1.1 à 6.1.3</w:t>
      </w:r>
      <w:r w:rsidRPr="00712DB5">
        <w:t>, supprimer.</w:t>
      </w:r>
    </w:p>
    <w:p w14:paraId="60EFCB40" w14:textId="77777777" w:rsidR="00D047E6" w:rsidRPr="00712DB5" w:rsidRDefault="00D047E6" w:rsidP="00D047E6">
      <w:pPr>
        <w:pStyle w:val="SingleTxtG"/>
      </w:pPr>
      <w:r w:rsidRPr="00712DB5">
        <w:rPr>
          <w:i/>
        </w:rPr>
        <w:t>Ajouter les nouveaux paragraphes 6.1.1 et 6.1.2</w:t>
      </w:r>
      <w:r w:rsidRPr="00712DB5">
        <w:t>, comme suit :</w:t>
      </w:r>
    </w:p>
    <w:p w14:paraId="6A553E79" w14:textId="77777777" w:rsidR="00D047E6" w:rsidRPr="00712DB5" w:rsidRDefault="00D047E6" w:rsidP="00D047E6">
      <w:pPr>
        <w:pStyle w:val="SingleTxtG"/>
        <w:ind w:left="2268" w:hanging="1134"/>
        <w:jc w:val="left"/>
      </w:pPr>
      <w:r w:rsidRPr="00712DB5">
        <w:t>« 6.1.1</w:t>
      </w:r>
      <w:r w:rsidRPr="00712DB5">
        <w:tab/>
        <w:t xml:space="preserve">Course différentielle maximale que le compensateur peut admettre </w:t>
      </w:r>
      <w:r w:rsidRPr="00712DB5">
        <w:br/>
        <w:t>s</w:t>
      </w:r>
      <w:r w:rsidRPr="00712DB5">
        <w:rPr>
          <w:vertAlign w:val="subscript"/>
        </w:rPr>
        <w:t>cd</w:t>
      </w:r>
      <w:r w:rsidR="003725F4">
        <w:rPr>
          <w:vertAlign w:val="subscript"/>
        </w:rPr>
        <w:t xml:space="preserve"> </w:t>
      </w:r>
      <w:r w:rsidR="005B7175">
        <w:t>=</w:t>
      </w:r>
      <w:r w:rsidR="005B7175">
        <w:tab/>
      </w:r>
      <w:r w:rsidR="008355A2">
        <w:tab/>
      </w:r>
      <w:r w:rsidRPr="00712DB5">
        <w:t>mm</w:t>
      </w:r>
    </w:p>
    <w:p w14:paraId="634A9B32" w14:textId="77777777" w:rsidR="00D047E6" w:rsidRDefault="00D047E6" w:rsidP="00D047E6">
      <w:pPr>
        <w:pStyle w:val="SingleTxtG"/>
        <w:ind w:left="2268" w:hanging="1134"/>
        <w:jc w:val="left"/>
      </w:pPr>
      <w:r w:rsidRPr="00712DB5">
        <w:t>6.1.2</w:t>
      </w:r>
      <w:r w:rsidRPr="00712DB5">
        <w:tab/>
      </w:r>
      <w:r w:rsidRPr="00712DB5">
        <w:tab/>
        <w:t>Rapport 1,2 * s</w:t>
      </w:r>
      <w:r w:rsidRPr="00712DB5">
        <w:rPr>
          <w:vertAlign w:val="subscript"/>
        </w:rPr>
        <w:t>R</w:t>
      </w:r>
      <w:r w:rsidRPr="00712DB5">
        <w:t xml:space="preserve"> = ___________ mm </w:t>
      </w:r>
      <w:r w:rsidRPr="00712DB5">
        <w:br/>
      </w:r>
      <w:r w:rsidRPr="00712DB5">
        <w:tab/>
        <w:t>(ne doit pas dépasser s</w:t>
      </w:r>
      <w:r w:rsidRPr="00712DB5">
        <w:rPr>
          <w:vertAlign w:val="subscript"/>
        </w:rPr>
        <w:t>cd</w:t>
      </w:r>
      <w:r w:rsidRPr="00712DB5">
        <w:t>) ».</w:t>
      </w:r>
    </w:p>
    <w:p w14:paraId="4030B4F1" w14:textId="77777777" w:rsidR="00D047E6" w:rsidRDefault="00D047E6" w:rsidP="00D047E6">
      <w:pPr>
        <w:pStyle w:val="SingleTxtG"/>
        <w:ind w:left="2268" w:hanging="1134"/>
        <w:jc w:val="left"/>
        <w:rPr>
          <w:i/>
        </w:rPr>
      </w:pPr>
      <w:r>
        <w:rPr>
          <w:i/>
        </w:rPr>
        <w:t>Annexe 21,</w:t>
      </w:r>
    </w:p>
    <w:p w14:paraId="279A4AFB" w14:textId="77777777" w:rsidR="00D047E6" w:rsidRPr="00B778F7" w:rsidRDefault="00D047E6" w:rsidP="00D047E6">
      <w:pPr>
        <w:pStyle w:val="SingleTxtG"/>
        <w:ind w:left="2268" w:hanging="1134"/>
        <w:jc w:val="left"/>
      </w:pPr>
      <w:r w:rsidRPr="00B778F7">
        <w:rPr>
          <w:i/>
        </w:rPr>
        <w:t>Paragraphe 2.1.4, deuxième alinéa</w:t>
      </w:r>
      <w:r w:rsidRPr="00B778F7">
        <w:t>, lire :</w:t>
      </w:r>
    </w:p>
    <w:p w14:paraId="653B5952" w14:textId="77777777" w:rsidR="005F0207" w:rsidRDefault="00D047E6" w:rsidP="00D047E6">
      <w:pPr>
        <w:pStyle w:val="SingleTxtG"/>
        <w:ind w:left="1701"/>
        <w:rPr>
          <w:rFonts w:eastAsia="SimSun"/>
        </w:rPr>
      </w:pPr>
      <w:r w:rsidRPr="00D949DC">
        <w:rPr>
          <w:lang w:val="fr-FR"/>
        </w:rPr>
        <w:t>« </w:t>
      </w:r>
      <w:r w:rsidRPr="00D949DC">
        <w:rPr>
          <w:rFonts w:eastAsia="SimSun"/>
        </w:rPr>
        <w:t>En outre, les interventions de systèmes apparentés à la fonction de contrôle de stabilité du véhicule (comme l</w:t>
      </w:r>
      <w:r>
        <w:rPr>
          <w:rFonts w:eastAsia="SimSun"/>
        </w:rPr>
        <w:t>’</w:t>
      </w:r>
      <w:r w:rsidRPr="00D949DC">
        <w:rPr>
          <w:rFonts w:eastAsia="SimSun"/>
        </w:rPr>
        <w:t>antipatinage, le système de stabilisation de la remorque, le contrôle des freins en virage, d</w:t>
      </w:r>
      <w:r>
        <w:rPr>
          <w:rFonts w:eastAsia="SimSun"/>
        </w:rPr>
        <w:t>’</w:t>
      </w:r>
      <w:r w:rsidRPr="00D949DC">
        <w:rPr>
          <w:rFonts w:eastAsia="SimSun"/>
        </w:rPr>
        <w:t>autres fonctions semblables qui font appel à la commande de gaz et/ou au dispositif de régulation du couple roue par roue pour actionner des éléments qu</w:t>
      </w:r>
      <w:r>
        <w:rPr>
          <w:rFonts w:eastAsia="SimSun"/>
        </w:rPr>
        <w:t>’</w:t>
      </w:r>
      <w:r w:rsidRPr="00D949DC">
        <w:rPr>
          <w:rFonts w:eastAsia="SimSun"/>
        </w:rPr>
        <w:t>elles partagent avec la fonction de contrôle de la stabilité du véhicul</w:t>
      </w:r>
      <w:r>
        <w:rPr>
          <w:rFonts w:eastAsia="SimSun"/>
        </w:rPr>
        <w:t>e</w:t>
      </w:r>
      <w:r w:rsidRPr="00D949DC">
        <w:rPr>
          <w:rFonts w:eastAsia="SimSun"/>
        </w:rPr>
        <w:t xml:space="preserve">, </w:t>
      </w:r>
      <w:r>
        <w:rPr>
          <w:rFonts w:eastAsia="SimSun"/>
        </w:rPr>
        <w:t xml:space="preserve">ainsi que l’intervention de l’ESC ou de la </w:t>
      </w:r>
      <w:r w:rsidRPr="00F1166D">
        <w:rPr>
          <w:rFonts w:eastAsia="SimSun"/>
        </w:rPr>
        <w:t>fonction de contrôle de stabilité sur l</w:t>
      </w:r>
      <w:r>
        <w:rPr>
          <w:rFonts w:eastAsia="SimSun"/>
        </w:rPr>
        <w:t>’</w:t>
      </w:r>
      <w:r w:rsidRPr="00F1166D">
        <w:rPr>
          <w:rFonts w:eastAsia="SimSun"/>
        </w:rPr>
        <w:t>angle de braquage d</w:t>
      </w:r>
      <w:r>
        <w:rPr>
          <w:rFonts w:eastAsia="SimSun"/>
        </w:rPr>
        <w:t>’</w:t>
      </w:r>
      <w:r w:rsidRPr="00F1166D">
        <w:rPr>
          <w:rFonts w:eastAsia="SimSun"/>
        </w:rPr>
        <w:t>une ou plusieurs roues afin d</w:t>
      </w:r>
      <w:r>
        <w:rPr>
          <w:rFonts w:eastAsia="SimSun"/>
        </w:rPr>
        <w:t>’</w:t>
      </w:r>
      <w:r w:rsidRPr="00F1166D">
        <w:rPr>
          <w:rFonts w:eastAsia="SimSun"/>
        </w:rPr>
        <w:t>assurer la stabilité du véhicule</w:t>
      </w:r>
      <w:r w:rsidRPr="00D949DC">
        <w:rPr>
          <w:rFonts w:eastAsia="SimSun"/>
        </w:rPr>
        <w:t xml:space="preserve">) </w:t>
      </w:r>
      <w:r w:rsidRPr="00F1166D">
        <w:rPr>
          <w:rFonts w:eastAsia="SimSun"/>
        </w:rPr>
        <w:t>peuvent être également indiquées au conducteur par le signal d</w:t>
      </w:r>
      <w:r>
        <w:rPr>
          <w:rFonts w:eastAsia="SimSun"/>
        </w:rPr>
        <w:t>’</w:t>
      </w:r>
      <w:r w:rsidRPr="00F1166D">
        <w:rPr>
          <w:rFonts w:eastAsia="SimSun"/>
        </w:rPr>
        <w:t>avertissement optique clignotant précité</w:t>
      </w:r>
      <w:r>
        <w:rPr>
          <w:rFonts w:eastAsia="SimSun"/>
        </w:rPr>
        <w:t>. ».</w:t>
      </w:r>
    </w:p>
    <w:p w14:paraId="30DE8C56" w14:textId="77777777" w:rsidR="00D047E6" w:rsidRPr="00D047E6" w:rsidRDefault="00D047E6" w:rsidP="00D047E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47E6" w:rsidRPr="00D047E6" w:rsidSect="00483B7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CDA1A" w14:textId="77777777" w:rsidR="00F673FC" w:rsidRDefault="00F673FC"/>
  </w:endnote>
  <w:endnote w:type="continuationSeparator" w:id="0">
    <w:p w14:paraId="002D45B7" w14:textId="77777777" w:rsidR="00F673FC" w:rsidRDefault="00F673FC">
      <w:pPr>
        <w:pStyle w:val="Footer"/>
      </w:pPr>
    </w:p>
  </w:endnote>
  <w:endnote w:type="continuationNotice" w:id="1">
    <w:p w14:paraId="77036260" w14:textId="77777777" w:rsidR="00F673FC" w:rsidRPr="00C451B9" w:rsidRDefault="00F673F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DFEA" w14:textId="77777777" w:rsidR="00483B77" w:rsidRPr="00483B77" w:rsidRDefault="00483B77" w:rsidP="00483B77">
    <w:pPr>
      <w:pStyle w:val="Footer"/>
      <w:tabs>
        <w:tab w:val="right" w:pos="9638"/>
      </w:tabs>
    </w:pPr>
    <w:r w:rsidRPr="00483B77">
      <w:rPr>
        <w:b/>
        <w:sz w:val="18"/>
      </w:rPr>
      <w:fldChar w:fldCharType="begin"/>
    </w:r>
    <w:r w:rsidRPr="00483B77">
      <w:rPr>
        <w:b/>
        <w:sz w:val="18"/>
      </w:rPr>
      <w:instrText xml:space="preserve"> PAGE  \* MERGEFORMAT </w:instrText>
    </w:r>
    <w:r w:rsidRPr="00483B77">
      <w:rPr>
        <w:b/>
        <w:sz w:val="18"/>
      </w:rPr>
      <w:fldChar w:fldCharType="separate"/>
    </w:r>
    <w:r w:rsidRPr="00483B77">
      <w:rPr>
        <w:b/>
        <w:noProof/>
        <w:sz w:val="18"/>
      </w:rPr>
      <w:t>2</w:t>
    </w:r>
    <w:r w:rsidRPr="00483B77">
      <w:rPr>
        <w:b/>
        <w:sz w:val="18"/>
      </w:rPr>
      <w:fldChar w:fldCharType="end"/>
    </w:r>
    <w:r>
      <w:rPr>
        <w:b/>
        <w:sz w:val="18"/>
      </w:rPr>
      <w:tab/>
    </w:r>
    <w:r>
      <w:t>GE.18-18480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4E65" w14:textId="77777777" w:rsidR="00483B77" w:rsidRPr="00483B77" w:rsidRDefault="00483B77" w:rsidP="00483B77">
    <w:pPr>
      <w:pStyle w:val="Footer"/>
      <w:tabs>
        <w:tab w:val="right" w:pos="9638"/>
      </w:tabs>
      <w:rPr>
        <w:b/>
        <w:sz w:val="18"/>
      </w:rPr>
    </w:pPr>
    <w:r>
      <w:t>GE.18-18480</w:t>
    </w:r>
    <w:r>
      <w:tab/>
    </w:r>
    <w:r w:rsidRPr="00483B77">
      <w:rPr>
        <w:b/>
        <w:sz w:val="18"/>
      </w:rPr>
      <w:fldChar w:fldCharType="begin"/>
    </w:r>
    <w:r w:rsidRPr="00483B77">
      <w:rPr>
        <w:b/>
        <w:sz w:val="18"/>
      </w:rPr>
      <w:instrText xml:space="preserve"> PAGE  \* MERGEFORMAT </w:instrText>
    </w:r>
    <w:r w:rsidRPr="00483B77">
      <w:rPr>
        <w:b/>
        <w:sz w:val="18"/>
      </w:rPr>
      <w:fldChar w:fldCharType="separate"/>
    </w:r>
    <w:r w:rsidRPr="00483B77">
      <w:rPr>
        <w:b/>
        <w:noProof/>
        <w:sz w:val="18"/>
      </w:rPr>
      <w:t>3</w:t>
    </w:r>
    <w:r w:rsidRPr="00483B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C5C90" w14:textId="77777777" w:rsidR="00467F2C" w:rsidRPr="00483B77" w:rsidRDefault="00483B77" w:rsidP="00483B77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5BDDB8EB" wp14:editId="640BF0B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18480  (</w:t>
    </w:r>
    <w:proofErr w:type="gramEnd"/>
    <w:r>
      <w:rPr>
        <w:sz w:val="20"/>
      </w:rPr>
      <w:t>F)    201118    110119</w:t>
    </w:r>
    <w:r>
      <w:rPr>
        <w:sz w:val="20"/>
      </w:rPr>
      <w:br/>
    </w:r>
    <w:r w:rsidRPr="00483B77">
      <w:rPr>
        <w:rFonts w:ascii="C39T30Lfz" w:hAnsi="C39T30Lfz"/>
        <w:sz w:val="56"/>
      </w:rPr>
      <w:t></w:t>
    </w:r>
    <w:r w:rsidRPr="00483B77">
      <w:rPr>
        <w:rFonts w:ascii="C39T30Lfz" w:hAnsi="C39T30Lfz"/>
        <w:sz w:val="56"/>
      </w:rPr>
      <w:t></w:t>
    </w:r>
    <w:r w:rsidRPr="00483B77">
      <w:rPr>
        <w:rFonts w:ascii="C39T30Lfz" w:hAnsi="C39T30Lfz"/>
        <w:sz w:val="56"/>
      </w:rPr>
      <w:t></w:t>
    </w:r>
    <w:r w:rsidRPr="00483B77">
      <w:rPr>
        <w:rFonts w:ascii="C39T30Lfz" w:hAnsi="C39T30Lfz"/>
        <w:sz w:val="56"/>
      </w:rPr>
      <w:t></w:t>
    </w:r>
    <w:r w:rsidRPr="00483B77">
      <w:rPr>
        <w:rFonts w:ascii="C39T30Lfz" w:hAnsi="C39T30Lfz"/>
        <w:sz w:val="56"/>
      </w:rPr>
      <w:t></w:t>
    </w:r>
    <w:r w:rsidRPr="00483B77">
      <w:rPr>
        <w:rFonts w:ascii="C39T30Lfz" w:hAnsi="C39T30Lfz"/>
        <w:sz w:val="56"/>
      </w:rPr>
      <w:t></w:t>
    </w:r>
    <w:r w:rsidRPr="00483B77">
      <w:rPr>
        <w:rFonts w:ascii="C39T30Lfz" w:hAnsi="C39T30Lfz"/>
        <w:sz w:val="56"/>
      </w:rPr>
      <w:t></w:t>
    </w:r>
    <w:r w:rsidRPr="00483B77">
      <w:rPr>
        <w:rFonts w:ascii="C39T30Lfz" w:hAnsi="C39T30Lfz"/>
        <w:sz w:val="56"/>
      </w:rPr>
      <w:t></w:t>
    </w:r>
    <w:r w:rsidRPr="00483B7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91E015B" wp14:editId="4F26E35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12/Rev.8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2/Rev.8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7F060" w14:textId="77777777" w:rsidR="00F673FC" w:rsidRPr="00D27D5E" w:rsidRDefault="00F673F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CE22F7" w14:textId="77777777" w:rsidR="00F673FC" w:rsidRPr="00D171D4" w:rsidRDefault="00F673F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5EFF105" w14:textId="77777777" w:rsidR="00F673FC" w:rsidRPr="00C451B9" w:rsidRDefault="00F673FC" w:rsidP="00C451B9">
      <w:pPr>
        <w:spacing w:line="240" w:lineRule="auto"/>
        <w:rPr>
          <w:sz w:val="2"/>
          <w:szCs w:val="2"/>
        </w:rPr>
      </w:pPr>
    </w:p>
  </w:footnote>
  <w:footnote w:id="2">
    <w:p w14:paraId="21EC4DEF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01768EB0" w14:textId="77777777" w:rsidR="00591072" w:rsidRPr="00591072" w:rsidRDefault="00591072" w:rsidP="00591072">
      <w:pPr>
        <w:pStyle w:val="FootnoteText"/>
      </w:pPr>
      <w:r w:rsidRPr="00483B77">
        <w:tab/>
      </w:r>
      <w:r w:rsidRPr="00483B77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3C4CA6A4" w14:textId="77777777" w:rsidR="00442E31" w:rsidRDefault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63A1BDF7" w14:textId="77777777" w:rsidR="00CB3111" w:rsidRPr="00442E31" w:rsidRDefault="00CB311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0080" w14:textId="5EF8599F" w:rsidR="00483B77" w:rsidRPr="00483B77" w:rsidRDefault="00483B77">
    <w:pPr>
      <w:pStyle w:val="Header"/>
      <w:rPr>
        <w:lang w:val="en-US"/>
      </w:rPr>
    </w:pPr>
    <w:r>
      <w:fldChar w:fldCharType="begin"/>
    </w:r>
    <w:r w:rsidRPr="00483B77">
      <w:rPr>
        <w:lang w:val="en-US"/>
      </w:rPr>
      <w:instrText xml:space="preserve"> TITLE  \* MERGEFORMAT </w:instrText>
    </w:r>
    <w:r>
      <w:fldChar w:fldCharType="separate"/>
    </w:r>
    <w:r w:rsidR="004C51E8">
      <w:rPr>
        <w:lang w:val="en-US"/>
      </w:rPr>
      <w:t>E/ECE/324/Rev.1/Add.12/Rev.8/Amend.5</w:t>
    </w:r>
    <w:r>
      <w:fldChar w:fldCharType="end"/>
    </w:r>
    <w:r w:rsidRPr="00483B77">
      <w:rPr>
        <w:lang w:val="en-US"/>
      </w:rPr>
      <w:br/>
    </w:r>
    <w:r>
      <w:fldChar w:fldCharType="begin"/>
    </w:r>
    <w:r w:rsidRPr="00483B77">
      <w:rPr>
        <w:lang w:val="en-US"/>
      </w:rPr>
      <w:instrText xml:space="preserve"> KEYWORDS  \* MERGEFORMAT </w:instrText>
    </w:r>
    <w:r>
      <w:fldChar w:fldCharType="separate"/>
    </w:r>
    <w:r w:rsidR="004C51E8">
      <w:rPr>
        <w:lang w:val="en-US"/>
      </w:rPr>
      <w:t>E/ECE/TRANS/505/Rev.1/Add.12/Rev.8/Amend.5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948D" w14:textId="30DE2386" w:rsidR="00483B77" w:rsidRPr="00483B77" w:rsidRDefault="00483B77" w:rsidP="00483B77">
    <w:pPr>
      <w:pStyle w:val="Header"/>
      <w:jc w:val="right"/>
      <w:rPr>
        <w:lang w:val="en-US"/>
      </w:rPr>
    </w:pPr>
    <w:r>
      <w:fldChar w:fldCharType="begin"/>
    </w:r>
    <w:r w:rsidRPr="00483B77">
      <w:rPr>
        <w:lang w:val="en-US"/>
      </w:rPr>
      <w:instrText xml:space="preserve"> TITLE  \* MERGEFORMAT </w:instrText>
    </w:r>
    <w:r>
      <w:fldChar w:fldCharType="separate"/>
    </w:r>
    <w:r w:rsidR="004C51E8">
      <w:rPr>
        <w:lang w:val="en-US"/>
      </w:rPr>
      <w:t>E/ECE/324/Rev.1/Add.12/Rev.8/Amend.5</w:t>
    </w:r>
    <w:r>
      <w:fldChar w:fldCharType="end"/>
    </w:r>
    <w:r w:rsidRPr="00483B77">
      <w:rPr>
        <w:lang w:val="en-US"/>
      </w:rPr>
      <w:br/>
    </w:r>
    <w:r>
      <w:fldChar w:fldCharType="begin"/>
    </w:r>
    <w:r w:rsidRPr="00483B77">
      <w:rPr>
        <w:lang w:val="en-US"/>
      </w:rPr>
      <w:instrText xml:space="preserve"> KEYWORDS  \* MERGEFORMAT </w:instrText>
    </w:r>
    <w:r>
      <w:fldChar w:fldCharType="separate"/>
    </w:r>
    <w:r w:rsidR="004C51E8">
      <w:rPr>
        <w:lang w:val="en-US"/>
      </w:rPr>
      <w:t>E/ECE/TRANS/505/Rev.1/Add.12/Rev.8/Amend.5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FC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242E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6252"/>
    <w:rsid w:val="0029791D"/>
    <w:rsid w:val="002A2A2C"/>
    <w:rsid w:val="002A5D07"/>
    <w:rsid w:val="002B5855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5F4"/>
    <w:rsid w:val="00372A7A"/>
    <w:rsid w:val="00372D1D"/>
    <w:rsid w:val="00374106"/>
    <w:rsid w:val="0037679A"/>
    <w:rsid w:val="0038047C"/>
    <w:rsid w:val="00390EEF"/>
    <w:rsid w:val="00394410"/>
    <w:rsid w:val="003976D5"/>
    <w:rsid w:val="003A2F69"/>
    <w:rsid w:val="003B53B6"/>
    <w:rsid w:val="003D6C68"/>
    <w:rsid w:val="003E01D0"/>
    <w:rsid w:val="003E49B9"/>
    <w:rsid w:val="003E55A8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3B77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1E8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1063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B7175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6D2B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55A2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066EF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5F90"/>
    <w:rsid w:val="00C261F8"/>
    <w:rsid w:val="00C27662"/>
    <w:rsid w:val="00C32914"/>
    <w:rsid w:val="00C33100"/>
    <w:rsid w:val="00C42EDB"/>
    <w:rsid w:val="00C44A99"/>
    <w:rsid w:val="00C451B9"/>
    <w:rsid w:val="00C51D9C"/>
    <w:rsid w:val="00C54DA4"/>
    <w:rsid w:val="00C55118"/>
    <w:rsid w:val="00C577D1"/>
    <w:rsid w:val="00C57A16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11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7E6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73FC"/>
    <w:rsid w:val="00F734D9"/>
    <w:rsid w:val="00F73F83"/>
    <w:rsid w:val="00F74902"/>
    <w:rsid w:val="00F85A4E"/>
    <w:rsid w:val="00F9353A"/>
    <w:rsid w:val="00F93C29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9527C39"/>
  <w15:docId w15:val="{B5BB4082-0201-43DF-B929-803FA457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E/ECE/324/Rev.1/Add.12/Rev.8/Amend.5</vt:lpstr>
      <vt:lpstr>E/ECE/324/Rev.1/Add.12/Rev.8/Amend.5</vt:lpstr>
    </vt:vector>
  </TitlesOfParts>
  <Company>CSD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E/ECE/324/Rev.1/Add.12/Rev.8/Amend.5</dc:title>
  <dc:creator>Maud DARICHE</dc:creator>
  <cp:keywords>E/ECE/TRANS/505/Rev.1/Add.12/Rev.8/Amend.5</cp:keywords>
  <cp:lastModifiedBy>Marie-Claude Collet</cp:lastModifiedBy>
  <cp:revision>3</cp:revision>
  <cp:lastPrinted>2019-02-13T16:05:00Z</cp:lastPrinted>
  <dcterms:created xsi:type="dcterms:W3CDTF">2019-02-13T16:05:00Z</dcterms:created>
  <dcterms:modified xsi:type="dcterms:W3CDTF">2019-02-13T16:06:00Z</dcterms:modified>
</cp:coreProperties>
</file>