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9B472D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/ECE/324/Rev.1/Add.18/Rev.7/Amend.3−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445EBB">
              <w:t>/Rev.1/Add.18/Rev.7/Amend.3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74344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7D0BFF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83084F">
        <w:t>18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3084F">
        <w:t>19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83084F">
        <w:t>7</w:t>
      </w:r>
      <w:r w:rsidR="000314C7">
        <w:t xml:space="preserve"> − Amendement </w:t>
      </w:r>
      <w:r w:rsidR="0083084F">
        <w:t>3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83084F">
        <w:rPr>
          <w:spacing w:val="-2"/>
        </w:rPr>
        <w:t>8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83084F">
        <w:rPr>
          <w:spacing w:val="-2"/>
        </w:rPr>
        <w:t>04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83084F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83084F" w:rsidRPr="0083084F">
        <w:rPr>
          <w:spacing w:val="-2"/>
        </w:rPr>
        <w:t>Prescriptions uniformes relatives à l'homologation des feux de brouillard avant pour véhicules à moteur</w:t>
      </w:r>
    </w:p>
    <w:p w:rsidR="00D5218B" w:rsidRDefault="001D3393" w:rsidP="009B472D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4A79CF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r w:rsidR="009B472D" w:rsidRPr="009B472D">
        <w:rPr>
          <w:lang w:val="en-GB" w:eastAsia="en-GB"/>
        </w:rPr>
        <w:t>ECE/TRANS/WP.29/2015/16</w:t>
      </w:r>
      <w:r w:rsidR="0083084F">
        <w:rPr>
          <w:lang w:val="en-GB" w:eastAsia="en-GB"/>
        </w:rPr>
        <w:t>.</w:t>
      </w:r>
    </w:p>
    <w:p w:rsidR="009B472D" w:rsidRPr="009B472D" w:rsidRDefault="00DD1ED8" w:rsidP="009B472D">
      <w:pPr>
        <w:pStyle w:val="SingleTxtG"/>
        <w:keepNext/>
      </w:pPr>
      <w:r>
        <w:br w:type="page"/>
      </w:r>
      <w:r w:rsidR="009B472D" w:rsidRPr="009B472D">
        <w:rPr>
          <w:i/>
        </w:rPr>
        <w:lastRenderedPageBreak/>
        <w:t>Ajouter un nouveau paragraphe 3.5.3</w:t>
      </w:r>
      <w:r w:rsidR="009B472D" w:rsidRPr="009B472D">
        <w:t>, ainsi conçu: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9B472D">
        <w:rPr>
          <w:szCs w:val="24"/>
        </w:rPr>
        <w:t>«3.5.3</w:t>
      </w:r>
      <w:r w:rsidRPr="009B472D">
        <w:rPr>
          <w:szCs w:val="24"/>
        </w:rPr>
        <w:tab/>
        <w:t>Le marquage n’est pas nécessaire lorsque le ou les modules DEL ne sont pas remplaçables.».</w:t>
      </w:r>
    </w:p>
    <w:p w:rsidR="0083084F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MS Mincho"/>
          <w:i/>
          <w:szCs w:val="24"/>
          <w:lang w:eastAsia="it-IT"/>
        </w:rPr>
      </w:pPr>
      <w:r w:rsidRPr="009B472D">
        <w:rPr>
          <w:rFonts w:eastAsia="MS Mincho"/>
          <w:i/>
          <w:szCs w:val="24"/>
          <w:lang w:eastAsia="it-IT"/>
        </w:rPr>
        <w:t xml:space="preserve">Annexe 1, </w:t>
      </w:r>
    </w:p>
    <w:p w:rsidR="009B472D" w:rsidRPr="009B472D" w:rsidRDefault="0083084F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MS Mincho"/>
          <w:szCs w:val="24"/>
          <w:lang w:eastAsia="it-IT"/>
        </w:rPr>
      </w:pPr>
      <w:r>
        <w:rPr>
          <w:rFonts w:eastAsia="MS Mincho"/>
          <w:i/>
          <w:szCs w:val="24"/>
          <w:lang w:eastAsia="it-IT"/>
        </w:rPr>
        <w:t>P</w:t>
      </w:r>
      <w:r w:rsidR="009B472D" w:rsidRPr="009B472D">
        <w:rPr>
          <w:rFonts w:eastAsia="MS Mincho"/>
          <w:i/>
          <w:szCs w:val="24"/>
          <w:lang w:eastAsia="it-IT"/>
        </w:rPr>
        <w:t>oint 10.3</w:t>
      </w:r>
      <w:r w:rsidR="009B472D" w:rsidRPr="009B472D">
        <w:rPr>
          <w:rFonts w:eastAsia="MS Mincho"/>
          <w:szCs w:val="24"/>
          <w:lang w:eastAsia="it-IT"/>
        </w:rPr>
        <w:t>,</w:t>
      </w:r>
      <w:r w:rsidR="009B472D" w:rsidRPr="009B472D">
        <w:rPr>
          <w:rFonts w:eastAsia="MS Mincho"/>
          <w:i/>
          <w:szCs w:val="24"/>
          <w:lang w:eastAsia="it-IT"/>
        </w:rPr>
        <w:t xml:space="preserve"> </w:t>
      </w:r>
      <w:r w:rsidR="009B472D" w:rsidRPr="009B472D">
        <w:rPr>
          <w:rFonts w:eastAsia="MS Mincho"/>
          <w:szCs w:val="24"/>
          <w:lang w:eastAsia="it-IT"/>
        </w:rPr>
        <w:t>modifier comme suit: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szCs w:val="24"/>
          <w:lang w:eastAsia="it-IT"/>
        </w:rPr>
      </w:pPr>
      <w:r w:rsidRPr="009B472D">
        <w:rPr>
          <w:rFonts w:eastAsia="MS Mincho"/>
          <w:szCs w:val="24"/>
          <w:lang w:eastAsia="ja-JP"/>
        </w:rPr>
        <w:t>«10.3</w:t>
      </w:r>
      <w:r w:rsidRPr="009B472D">
        <w:rPr>
          <w:rFonts w:eastAsia="MS Mincho"/>
          <w:szCs w:val="24"/>
          <w:lang w:eastAsia="ja-JP"/>
        </w:rPr>
        <w:tab/>
        <w:t>Module(s) DEL: oui/non</w:t>
      </w:r>
      <w:r w:rsidRPr="009B472D">
        <w:rPr>
          <w:rFonts w:eastAsia="MS Mincho"/>
          <w:sz w:val="18"/>
          <w:szCs w:val="18"/>
          <w:vertAlign w:val="superscript"/>
          <w:lang w:eastAsia="ja-JP"/>
        </w:rPr>
        <w:t>2</w:t>
      </w:r>
      <w:r w:rsidRPr="009B472D">
        <w:rPr>
          <w:rFonts w:eastAsia="MS Mincho"/>
          <w:szCs w:val="24"/>
          <w:lang w:eastAsia="ja-JP"/>
        </w:rPr>
        <w:t xml:space="preserve"> et, pour chaque module DEL, l’indication de la possibilité ou non de le remplacer: oui/non</w:t>
      </w:r>
      <w:r w:rsidRPr="009B472D">
        <w:rPr>
          <w:rFonts w:eastAsia="MS Mincho"/>
          <w:sz w:val="18"/>
          <w:szCs w:val="18"/>
          <w:vertAlign w:val="superscript"/>
          <w:lang w:eastAsia="ja-JP"/>
        </w:rPr>
        <w:t>2</w:t>
      </w:r>
      <w:r w:rsidRPr="009B472D">
        <w:rPr>
          <w:rFonts w:eastAsia="MS Mincho"/>
          <w:szCs w:val="24"/>
          <w:lang w:eastAsia="ja-JP"/>
        </w:rPr>
        <w:t>.».</w:t>
      </w:r>
    </w:p>
    <w:p w:rsidR="0083084F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Cs/>
          <w:i/>
          <w:szCs w:val="24"/>
          <w:lang w:eastAsia="it-IT"/>
        </w:rPr>
      </w:pPr>
      <w:r w:rsidRPr="009B472D">
        <w:rPr>
          <w:bCs/>
          <w:i/>
          <w:szCs w:val="24"/>
          <w:lang w:eastAsia="it-IT"/>
        </w:rPr>
        <w:t xml:space="preserve">Annexe 5, </w:t>
      </w:r>
    </w:p>
    <w:p w:rsidR="009B472D" w:rsidRPr="009B472D" w:rsidRDefault="0083084F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Cs/>
          <w:i/>
          <w:szCs w:val="24"/>
          <w:lang w:eastAsia="it-IT"/>
        </w:rPr>
      </w:pPr>
      <w:r>
        <w:rPr>
          <w:bCs/>
          <w:i/>
          <w:szCs w:val="24"/>
          <w:lang w:eastAsia="it-IT"/>
        </w:rPr>
        <w:t>P</w:t>
      </w:r>
      <w:r w:rsidR="009B472D" w:rsidRPr="009B472D">
        <w:rPr>
          <w:bCs/>
          <w:i/>
          <w:szCs w:val="24"/>
          <w:lang w:eastAsia="it-IT"/>
        </w:rPr>
        <w:t>aragraphe 1.2.1.1</w:t>
      </w:r>
      <w:r w:rsidR="009B472D" w:rsidRPr="009B472D">
        <w:rPr>
          <w:bCs/>
          <w:szCs w:val="24"/>
          <w:lang w:eastAsia="it-IT"/>
        </w:rPr>
        <w:t>,</w:t>
      </w:r>
      <w:r w:rsidR="009B472D" w:rsidRPr="009B472D">
        <w:rPr>
          <w:bCs/>
          <w:i/>
          <w:szCs w:val="24"/>
          <w:lang w:eastAsia="it-IT"/>
        </w:rPr>
        <w:t xml:space="preserve"> </w:t>
      </w:r>
      <w:r w:rsidR="009B472D" w:rsidRPr="009B472D">
        <w:rPr>
          <w:bCs/>
          <w:szCs w:val="24"/>
          <w:lang w:eastAsia="it-IT"/>
        </w:rPr>
        <w:t>modifier comme suit: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9B472D">
        <w:rPr>
          <w:szCs w:val="24"/>
        </w:rPr>
        <w:t>«1.2.1.1</w:t>
      </w:r>
      <w:r w:rsidRPr="009B472D">
        <w:rPr>
          <w:szCs w:val="24"/>
        </w:rPr>
        <w:tab/>
        <w:t>Mélange d’essai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9B472D">
        <w:rPr>
          <w:szCs w:val="24"/>
        </w:rPr>
        <w:t>1.2.1.1.1</w:t>
      </w:r>
      <w:r w:rsidRPr="009B472D">
        <w:rPr>
          <w:szCs w:val="24"/>
        </w:rPr>
        <w:tab/>
        <w:t>Pour les feux de brouillard avant dont la lentille extérieure est en verre: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ab/>
        <w:t>Le mélange d’eau et de polluant à appliquer sur le feu de brouillard avant doit être constitué: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a)</w:t>
      </w:r>
      <w:r w:rsidRPr="009B472D">
        <w:rPr>
          <w:szCs w:val="24"/>
        </w:rPr>
        <w:tab/>
        <w:t>De 9 parties (en poids) de sable siliceux de granulométrie comprise entre 0 et 100 μm;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b)</w:t>
      </w:r>
      <w:r w:rsidRPr="009B472D">
        <w:rPr>
          <w:szCs w:val="24"/>
        </w:rPr>
        <w:tab/>
        <w:t>D’une partie (en poids) de poussière de charbon végétal obtenu à partir de bois de hêtre, de granulométrie comprise entre 0 et 100 μm;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c)</w:t>
      </w:r>
      <w:r w:rsidRPr="009B472D">
        <w:rPr>
          <w:szCs w:val="24"/>
        </w:rPr>
        <w:tab/>
        <w:t>De 0,2 partie (en poids) de NaCMC</w:t>
      </w:r>
      <w:r w:rsidRPr="009B472D">
        <w:rPr>
          <w:sz w:val="18"/>
          <w:szCs w:val="18"/>
          <w:vertAlign w:val="superscript"/>
        </w:rPr>
        <w:t>4</w:t>
      </w:r>
      <w:r w:rsidRPr="009B472D">
        <w:rPr>
          <w:szCs w:val="24"/>
        </w:rPr>
        <w:t>;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d)</w:t>
      </w:r>
      <w:r w:rsidRPr="009B472D">
        <w:rPr>
          <w:szCs w:val="24"/>
        </w:rPr>
        <w:tab/>
        <w:t>De 5 parties (en poids) de chlorure de sodium (pur à 99 %); et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e)</w:t>
      </w:r>
      <w:r w:rsidRPr="009B472D">
        <w:rPr>
          <w:szCs w:val="24"/>
        </w:rPr>
        <w:tab/>
        <w:t>D’une quantité appropriée d’eau distillée de conductivité S &lt; 1 μS/m.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ab/>
        <w:t>Le mélange ne doit pas dater de plus de 14 jours.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9B472D">
        <w:rPr>
          <w:szCs w:val="24"/>
        </w:rPr>
        <w:t>1.2.1.1.2</w:t>
      </w:r>
      <w:r w:rsidRPr="009B472D">
        <w:rPr>
          <w:szCs w:val="24"/>
        </w:rPr>
        <w:tab/>
        <w:t xml:space="preserve">Pour les feux de brouillard avant dont la lentille extérieure est en plastique: 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ab/>
        <w:t xml:space="preserve">Le mélange d’eau et de polluant à appliquer sur le feu de brouillard avant doit être constitué: 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a)</w:t>
      </w:r>
      <w:r w:rsidRPr="009B472D">
        <w:rPr>
          <w:szCs w:val="24"/>
        </w:rPr>
        <w:tab/>
        <w:t>De 9 parties (en poids) de sable siliceux de granulométrie comprise entre 0 et 100 μm;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b)</w:t>
      </w:r>
      <w:r w:rsidRPr="009B472D">
        <w:rPr>
          <w:szCs w:val="24"/>
        </w:rPr>
        <w:tab/>
        <w:t>D’une partie (en poids) de poussière de charbon végétal obtenu à partir de bois de hêtre, de granulométrie comprise entre 0 et 100 μm;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c)</w:t>
      </w:r>
      <w:r w:rsidRPr="009B472D">
        <w:rPr>
          <w:szCs w:val="24"/>
        </w:rPr>
        <w:tab/>
        <w:t>De 0,2 partie (en poids) de NaCMC</w:t>
      </w:r>
      <w:r w:rsidRPr="009B472D">
        <w:rPr>
          <w:sz w:val="18"/>
          <w:szCs w:val="18"/>
          <w:vertAlign w:val="superscript"/>
        </w:rPr>
        <w:t>4</w:t>
      </w:r>
      <w:r w:rsidRPr="009B472D">
        <w:rPr>
          <w:szCs w:val="24"/>
        </w:rPr>
        <w:t>;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d)</w:t>
      </w:r>
      <w:r w:rsidRPr="009B472D">
        <w:rPr>
          <w:szCs w:val="24"/>
        </w:rPr>
        <w:tab/>
        <w:t>De 5 parties (en poids) de chlorure de sodium (pur à 99 %);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e)</w:t>
      </w:r>
      <w:r w:rsidRPr="009B472D">
        <w:rPr>
          <w:szCs w:val="24"/>
        </w:rPr>
        <w:tab/>
        <w:t xml:space="preserve">De 13 parties (en poids) d’eau distillée de conductivité S &lt; 1 µS/m; 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szCs w:val="24"/>
        </w:rPr>
      </w:pPr>
      <w:r w:rsidRPr="009B472D">
        <w:rPr>
          <w:szCs w:val="24"/>
        </w:rPr>
        <w:t>f)</w:t>
      </w:r>
      <w:r w:rsidRPr="009B472D">
        <w:rPr>
          <w:szCs w:val="24"/>
        </w:rPr>
        <w:tab/>
        <w:t xml:space="preserve">De 2 </w:t>
      </w:r>
      <w:r w:rsidRPr="009B472D">
        <w:rPr>
          <w:szCs w:val="24"/>
        </w:rPr>
        <w:sym w:font="Symbol" w:char="F0B1"/>
      </w:r>
      <w:r w:rsidRPr="009B472D">
        <w:rPr>
          <w:szCs w:val="24"/>
        </w:rPr>
        <w:t xml:space="preserve"> 1 partie (en poids) d’agent tensioactif</w:t>
      </w:r>
      <w:r w:rsidRPr="009B472D">
        <w:rPr>
          <w:sz w:val="18"/>
          <w:szCs w:val="18"/>
          <w:vertAlign w:val="superscript"/>
        </w:rPr>
        <w:t>5</w:t>
      </w:r>
      <w:r w:rsidRPr="009B472D">
        <w:rPr>
          <w:szCs w:val="24"/>
        </w:rPr>
        <w:t>.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>Le mélange ne doit pas dater de plus de 14 jours.».</w:t>
      </w:r>
    </w:p>
    <w:p w:rsidR="0083084F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MS Mincho"/>
          <w:i/>
          <w:szCs w:val="24"/>
          <w:lang w:eastAsia="it-IT"/>
        </w:rPr>
      </w:pPr>
      <w:r w:rsidRPr="009B472D">
        <w:rPr>
          <w:rFonts w:eastAsia="MS Mincho"/>
          <w:i/>
          <w:szCs w:val="24"/>
          <w:lang w:eastAsia="it-IT"/>
        </w:rPr>
        <w:t xml:space="preserve">Annexe 12, </w:t>
      </w:r>
    </w:p>
    <w:p w:rsidR="009B472D" w:rsidRPr="009B472D" w:rsidRDefault="0083084F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MS Mincho"/>
          <w:szCs w:val="24"/>
          <w:lang w:eastAsia="it-IT"/>
        </w:rPr>
      </w:pPr>
      <w:r>
        <w:rPr>
          <w:rFonts w:eastAsia="MS Mincho"/>
          <w:i/>
          <w:szCs w:val="24"/>
          <w:lang w:eastAsia="it-IT"/>
        </w:rPr>
        <w:t>P</w:t>
      </w:r>
      <w:r w:rsidR="009B472D" w:rsidRPr="009B472D">
        <w:rPr>
          <w:rFonts w:eastAsia="MS Mincho"/>
          <w:i/>
          <w:szCs w:val="24"/>
          <w:lang w:eastAsia="it-IT"/>
        </w:rPr>
        <w:t>aragraphe 4.6</w:t>
      </w:r>
      <w:r w:rsidR="009B472D" w:rsidRPr="009B472D">
        <w:rPr>
          <w:rFonts w:eastAsia="MS Mincho"/>
          <w:szCs w:val="24"/>
          <w:lang w:eastAsia="it-IT"/>
        </w:rPr>
        <w:t>, modifier comme suit:</w:t>
      </w:r>
    </w:p>
    <w:p w:rsidR="009B472D" w:rsidRPr="009B472D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9B472D">
        <w:rPr>
          <w:szCs w:val="24"/>
        </w:rPr>
        <w:t>«4.6</w:t>
      </w:r>
      <w:r w:rsidRPr="009B472D">
        <w:rPr>
          <w:szCs w:val="24"/>
        </w:rPr>
        <w:tab/>
        <w:t>Rayonnement ultraviolet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ab/>
        <w:t>Le rayonnement ultraviolet d’un module DEL ou d’un générateur de lumière à faible rayonnement ultraviolet doit être tel que: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ab/>
        <w:t>…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rFonts w:ascii="TimesNewRomanPSMT" w:hAnsi="TimesNewRomanPSMT" w:cs="TimesNewRomanPSMT"/>
          <w:szCs w:val="24"/>
          <w:lang w:eastAsia="en-GB"/>
        </w:rPr>
        <w:lastRenderedPageBreak/>
        <w:t>(Pour la définition des autres symboles, voir le paragraphe 4.5.1 ci-dessus.)</w:t>
      </w:r>
    </w:p>
    <w:p w:rsidR="009B472D" w:rsidRPr="009B472D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ab/>
        <w:t>Cette valeur doit être calculée à des intervalles d’un nanomètre. Le rayonnement ultraviolet doit être pondéré selon les valeurs indiquées dans le tableau ci-dessous: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3"/>
        <w:gridCol w:w="368"/>
        <w:gridCol w:w="738"/>
        <w:gridCol w:w="1474"/>
        <w:gridCol w:w="369"/>
        <w:gridCol w:w="738"/>
        <w:gridCol w:w="1474"/>
      </w:tblGrid>
      <w:tr w:rsidR="009B472D" w:rsidRPr="009B472D" w:rsidTr="00B621D5">
        <w:trPr>
          <w:cantSplit/>
          <w:trHeight w:hRule="exact" w:val="3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bCs/>
                <w:i/>
                <w:sz w:val="16"/>
                <w:szCs w:val="16"/>
                <w:lang w:eastAsia="it-IT"/>
              </w:rPr>
            </w:pPr>
            <w:r w:rsidRPr="009B472D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noProof/>
                <w:sz w:val="16"/>
                <w:szCs w:val="24"/>
              </w:rPr>
            </w:pPr>
            <w:r w:rsidRPr="009B472D">
              <w:rPr>
                <w:bCs/>
                <w:i/>
                <w:sz w:val="16"/>
                <w:szCs w:val="16"/>
                <w:lang w:eastAsia="it-IT"/>
              </w:rPr>
              <w:t>S(</w:t>
            </w:r>
            <w:r w:rsidRPr="009B472D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  <w:r w:rsidRPr="009B472D">
              <w:rPr>
                <w:bCs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noProof/>
                <w:sz w:val="16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noProof/>
                <w:sz w:val="16"/>
                <w:szCs w:val="24"/>
              </w:rPr>
            </w:pPr>
            <w:r w:rsidRPr="009B472D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noProof/>
                <w:sz w:val="16"/>
                <w:szCs w:val="24"/>
              </w:rPr>
            </w:pPr>
            <w:r w:rsidRPr="009B472D">
              <w:rPr>
                <w:bCs/>
                <w:i/>
                <w:sz w:val="16"/>
                <w:szCs w:val="16"/>
                <w:lang w:eastAsia="it-IT"/>
              </w:rPr>
              <w:t>S(</w:t>
            </w:r>
            <w:r w:rsidRPr="009B472D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  <w:r w:rsidRPr="009B472D">
              <w:rPr>
                <w:bCs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noProof/>
                <w:sz w:val="16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noProof/>
                <w:sz w:val="16"/>
                <w:szCs w:val="24"/>
              </w:rPr>
            </w:pPr>
            <w:r w:rsidRPr="009B472D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noProof/>
                <w:sz w:val="16"/>
                <w:szCs w:val="24"/>
              </w:rPr>
            </w:pPr>
            <w:r w:rsidRPr="009B472D">
              <w:rPr>
                <w:bCs/>
                <w:i/>
                <w:sz w:val="16"/>
                <w:szCs w:val="16"/>
                <w:lang w:eastAsia="it-IT"/>
              </w:rPr>
              <w:t>S(</w:t>
            </w:r>
            <w:r w:rsidRPr="009B472D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  <w:r w:rsidRPr="009B472D">
              <w:rPr>
                <w:bCs/>
                <w:i/>
                <w:sz w:val="16"/>
                <w:szCs w:val="16"/>
                <w:lang w:eastAsia="it-IT"/>
              </w:rPr>
              <w:t>)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0,430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305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0,060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355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0,000 16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0,520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0,015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0,000 13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0,650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0,003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0,000 11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0,810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0,001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0,000 09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1,000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0,000 50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0,000 077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0,960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0,000 41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0,000 064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0,880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0,000 34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0,000 053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0,770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0,000 28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0,000 044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0,640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0,000 24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0,000 036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295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0,540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0,000 20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400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0,000 030</w:t>
            </w:r>
          </w:p>
        </w:tc>
      </w:tr>
      <w:tr w:rsidR="009B472D" w:rsidRPr="009B472D" w:rsidTr="00B621D5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300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72D" w:rsidRPr="009B472D" w:rsidRDefault="009B472D" w:rsidP="009B472D">
            <w:pPr>
              <w:tabs>
                <w:tab w:val="decimal" w:pos="96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  <w:r w:rsidRPr="009B472D">
              <w:rPr>
                <w:bCs/>
                <w:sz w:val="18"/>
                <w:szCs w:val="18"/>
                <w:lang w:eastAsia="it-IT"/>
              </w:rPr>
              <w:t>0,300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tabs>
                <w:tab w:val="decimal" w:pos="800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472D" w:rsidRPr="009B472D" w:rsidRDefault="009B472D" w:rsidP="009B472D">
            <w:pPr>
              <w:tabs>
                <w:tab w:val="decimal" w:pos="709"/>
              </w:tabs>
              <w:suppressAutoHyphens w:val="0"/>
              <w:spacing w:before="60" w:after="60" w:line="220" w:lineRule="exact"/>
              <w:ind w:left="57" w:right="57"/>
              <w:rPr>
                <w:noProof/>
                <w:sz w:val="18"/>
                <w:szCs w:val="24"/>
              </w:rPr>
            </w:pPr>
          </w:p>
        </w:tc>
      </w:tr>
    </w:tbl>
    <w:p w:rsidR="009B472D" w:rsidRPr="009B472D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szCs w:val="24"/>
        </w:rPr>
      </w:pPr>
      <w:r w:rsidRPr="009B472D">
        <w:tab/>
      </w:r>
      <w:r w:rsidRPr="009B472D">
        <w:rPr>
          <w:szCs w:val="24"/>
        </w:rPr>
        <w:t>Tableau UV</w:t>
      </w:r>
    </w:p>
    <w:p w:rsidR="009B472D" w:rsidRPr="009B472D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9B472D">
        <w:rPr>
          <w:szCs w:val="24"/>
        </w:rPr>
        <w:tab/>
        <w:t>Valeurs indiquées dans les … Les autres valeurs doivent être estimées par interpolation.».</w:t>
      </w:r>
    </w:p>
    <w:p w:rsidR="009B472D" w:rsidRPr="009B472D" w:rsidRDefault="0083084F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MS Mincho"/>
          <w:szCs w:val="24"/>
          <w:lang w:eastAsia="it-IT"/>
        </w:rPr>
      </w:pPr>
      <w:r>
        <w:rPr>
          <w:rFonts w:eastAsia="MS Mincho"/>
          <w:i/>
          <w:szCs w:val="24"/>
          <w:lang w:eastAsia="it-IT"/>
        </w:rPr>
        <w:t>P</w:t>
      </w:r>
      <w:r w:rsidR="009B472D" w:rsidRPr="009B472D">
        <w:rPr>
          <w:rFonts w:eastAsia="MS Mincho"/>
          <w:i/>
          <w:szCs w:val="24"/>
          <w:lang w:eastAsia="it-IT"/>
        </w:rPr>
        <w:t>aragraphe 4.7.2</w:t>
      </w:r>
      <w:r w:rsidR="009B472D" w:rsidRPr="009B472D">
        <w:rPr>
          <w:rFonts w:eastAsia="MS Mincho"/>
          <w:szCs w:val="24"/>
          <w:lang w:eastAsia="it-IT"/>
        </w:rPr>
        <w:t>, modifier comme suit:</w:t>
      </w:r>
    </w:p>
    <w:p w:rsidR="009B472D" w:rsidRPr="009B472D" w:rsidRDefault="009B472D" w:rsidP="009B472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szCs w:val="24"/>
          <w:lang w:eastAsia="it-IT"/>
        </w:rPr>
      </w:pPr>
      <w:r w:rsidRPr="009B472D">
        <w:rPr>
          <w:rFonts w:eastAsia="MS Mincho"/>
          <w:szCs w:val="24"/>
          <w:lang w:eastAsia="it-IT"/>
        </w:rPr>
        <w:t>«4.7.2</w:t>
      </w:r>
      <w:r w:rsidRPr="009B472D">
        <w:rPr>
          <w:rFonts w:eastAsia="MS Mincho"/>
          <w:szCs w:val="24"/>
          <w:lang w:eastAsia="ja-JP"/>
        </w:rPr>
        <w:tab/>
      </w:r>
      <w:r w:rsidRPr="009B472D">
        <w:rPr>
          <w:rFonts w:eastAsia="MS Mincho"/>
          <w:szCs w:val="24"/>
          <w:lang w:eastAsia="it-IT"/>
        </w:rPr>
        <w:t>Couleur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MS Mincho"/>
          <w:szCs w:val="24"/>
          <w:lang w:eastAsia="it-IT"/>
        </w:rPr>
      </w:pPr>
      <w:r w:rsidRPr="009B472D">
        <w:rPr>
          <w:rFonts w:eastAsia="MS Mincho"/>
          <w:szCs w:val="24"/>
          <w:lang w:eastAsia="it-IT"/>
        </w:rPr>
        <w:tab/>
        <w:t>La couleur de la lumière émise, mesurée après 1 min de fonctionnement puis quand la stabilité photométrique a été atteinte comme indiqué au paragraphe 4.7.1.3 de la présente annexe, doit dans les deux cas se situer dans les limites de couleur prescrites.».</w:t>
      </w:r>
    </w:p>
    <w:p w:rsidR="009B472D" w:rsidRPr="009B472D" w:rsidRDefault="009B472D" w:rsidP="009B472D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9B472D">
        <w:rPr>
          <w:u w:val="single"/>
        </w:rPr>
        <w:tab/>
      </w:r>
      <w:r w:rsidRPr="009B472D">
        <w:rPr>
          <w:u w:val="single"/>
        </w:rPr>
        <w:tab/>
      </w:r>
      <w:r w:rsidRPr="009B472D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2D" w:rsidRDefault="009B472D"/>
  </w:endnote>
  <w:endnote w:type="continuationSeparator" w:id="0">
    <w:p w:rsidR="009B472D" w:rsidRDefault="009B472D">
      <w:pPr>
        <w:pStyle w:val="Footer"/>
      </w:pPr>
    </w:p>
  </w:endnote>
  <w:endnote w:type="continuationNotice" w:id="1">
    <w:p w:rsidR="009B472D" w:rsidRPr="00C451B9" w:rsidRDefault="009B472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174344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174344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174344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2D" w:rsidRPr="00D27D5E" w:rsidRDefault="009B472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472D" w:rsidRPr="00D171D4" w:rsidRDefault="009B472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B472D" w:rsidRPr="00C451B9" w:rsidRDefault="009B472D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2D" w:rsidRDefault="009B472D" w:rsidP="009B472D">
    <w:pPr>
      <w:pStyle w:val="Header"/>
    </w:pPr>
    <w:r>
      <w:t>E/ECE/324/Rev.1/Add.18/Rev.7/Amend.3</w:t>
    </w:r>
  </w:p>
  <w:p w:rsidR="00710974" w:rsidRPr="000314C7" w:rsidRDefault="009B472D" w:rsidP="009B472D">
    <w:pPr>
      <w:pStyle w:val="Header"/>
    </w:pPr>
    <w:r>
      <w:t>E/ECE/TRANS/505/Rev.1/Add.18/Rev.7/Amend.3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9B472D" w:rsidP="000314C7">
    <w:pPr>
      <w:pStyle w:val="Header"/>
      <w:jc w:val="right"/>
    </w:pPr>
    <w:r w:rsidRPr="009B472D">
      <w:rPr>
        <w:lang w:val="en-GB"/>
      </w:rPr>
      <w:t>E/ECE/324/Rev.1/Add.18/Rev.7/Amend.3</w:t>
    </w:r>
    <w:r w:rsidRPr="009B472D">
      <w:rPr>
        <w:lang w:val="en-GB"/>
      </w:rPr>
      <w:br/>
      <w:t>E/ECE/TRANS/505/Rev.1/Add.18/Rev.7/Amend.3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DC" w:rsidRPr="00F63345" w:rsidRDefault="001A58DC" w:rsidP="00F633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72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344"/>
    <w:rsid w:val="00174814"/>
    <w:rsid w:val="00181A90"/>
    <w:rsid w:val="00190D5D"/>
    <w:rsid w:val="00192EEB"/>
    <w:rsid w:val="00194484"/>
    <w:rsid w:val="001A2040"/>
    <w:rsid w:val="001A20FB"/>
    <w:rsid w:val="001A376F"/>
    <w:rsid w:val="001A58DC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A79CF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5377B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0BFF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084F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472D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208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345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27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06</dc:creator>
  <cp:lastModifiedBy>09</cp:lastModifiedBy>
  <cp:revision>8</cp:revision>
  <cp:lastPrinted>2015-07-20T12:43:00Z</cp:lastPrinted>
  <dcterms:created xsi:type="dcterms:W3CDTF">2015-07-14T14:02:00Z</dcterms:created>
  <dcterms:modified xsi:type="dcterms:W3CDTF">2015-11-09T08:51:00Z</dcterms:modified>
</cp:coreProperties>
</file>