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285"/>
        <w:tblOverlap w:val="never"/>
        <w:tblW w:w="9639" w:type="dxa"/>
        <w:tblLayout w:type="fixed"/>
        <w:tblCellMar>
          <w:left w:w="0" w:type="dxa"/>
          <w:right w:w="0" w:type="dxa"/>
        </w:tblCellMar>
        <w:tblLook w:val="01E0" w:firstRow="1" w:lastRow="1" w:firstColumn="1" w:lastColumn="1" w:noHBand="0" w:noVBand="0"/>
      </w:tblPr>
      <w:tblGrid>
        <w:gridCol w:w="142"/>
        <w:gridCol w:w="709"/>
        <w:gridCol w:w="429"/>
        <w:gridCol w:w="5540"/>
        <w:gridCol w:w="2819"/>
      </w:tblGrid>
      <w:tr w:rsidR="002D5AAC" w:rsidRPr="00972863" w:rsidTr="002A7B4A">
        <w:trPr>
          <w:trHeight w:hRule="exact" w:val="851"/>
        </w:trPr>
        <w:tc>
          <w:tcPr>
            <w:tcW w:w="142" w:type="dxa"/>
            <w:tcBorders>
              <w:bottom w:val="single" w:sz="4" w:space="0" w:color="auto"/>
            </w:tcBorders>
          </w:tcPr>
          <w:p w:rsidR="002D5AAC" w:rsidRPr="008C1A9B" w:rsidRDefault="002D5AAC" w:rsidP="007A3FC6">
            <w:pPr>
              <w:kinsoku w:val="0"/>
              <w:overflowPunct w:val="0"/>
              <w:adjustRightInd w:val="0"/>
              <w:snapToGrid w:val="0"/>
              <w:rPr>
                <w:lang w:val="fr-CH"/>
              </w:rPr>
            </w:pPr>
            <w:bookmarkStart w:id="0" w:name="_GoBack"/>
            <w:bookmarkEnd w:id="0"/>
          </w:p>
        </w:tc>
        <w:tc>
          <w:tcPr>
            <w:tcW w:w="709" w:type="dxa"/>
            <w:tcBorders>
              <w:bottom w:val="single" w:sz="4" w:space="0" w:color="auto"/>
            </w:tcBorders>
            <w:vAlign w:val="bottom"/>
          </w:tcPr>
          <w:p w:rsidR="002D5AAC" w:rsidRPr="00BD33EE" w:rsidRDefault="002D5AAC" w:rsidP="002A7B4A"/>
        </w:tc>
        <w:tc>
          <w:tcPr>
            <w:tcW w:w="8788" w:type="dxa"/>
            <w:gridSpan w:val="3"/>
            <w:tcBorders>
              <w:bottom w:val="single" w:sz="4" w:space="0" w:color="auto"/>
            </w:tcBorders>
            <w:vAlign w:val="bottom"/>
          </w:tcPr>
          <w:p w:rsidR="002D5AAC" w:rsidRPr="007A3FC6" w:rsidRDefault="007A3FC6" w:rsidP="007A3FC6">
            <w:pPr>
              <w:jc w:val="right"/>
              <w:rPr>
                <w:lang w:val="en-US"/>
              </w:rPr>
            </w:pPr>
            <w:r w:rsidRPr="007A3FC6">
              <w:rPr>
                <w:sz w:val="40"/>
                <w:lang w:val="en-US"/>
              </w:rPr>
              <w:t>ECE</w:t>
            </w:r>
            <w:r w:rsidRPr="007A3FC6">
              <w:rPr>
                <w:lang w:val="en-US"/>
              </w:rPr>
              <w:t>/RCTE/CONF/4/Add.1/Rev.2</w:t>
            </w:r>
          </w:p>
        </w:tc>
      </w:tr>
      <w:tr w:rsidR="002D5AAC" w:rsidRPr="009D084C" w:rsidTr="002A7B4A">
        <w:trPr>
          <w:trHeight w:hRule="exact" w:val="2835"/>
        </w:trPr>
        <w:tc>
          <w:tcPr>
            <w:tcW w:w="1280" w:type="dxa"/>
            <w:gridSpan w:val="3"/>
            <w:tcBorders>
              <w:top w:val="single" w:sz="4" w:space="0" w:color="auto"/>
              <w:bottom w:val="single" w:sz="12" w:space="0" w:color="auto"/>
            </w:tcBorders>
          </w:tcPr>
          <w:p w:rsidR="002D5AAC" w:rsidRPr="007A3FC6" w:rsidRDefault="002D5AAC" w:rsidP="002A7B4A">
            <w:pPr>
              <w:spacing w:before="120"/>
              <w:rPr>
                <w:szCs w:val="20"/>
                <w:lang w:val="en-US"/>
              </w:rPr>
            </w:pPr>
          </w:p>
        </w:tc>
        <w:tc>
          <w:tcPr>
            <w:tcW w:w="5540" w:type="dxa"/>
            <w:tcBorders>
              <w:top w:val="single" w:sz="4" w:space="0" w:color="auto"/>
              <w:bottom w:val="single" w:sz="12" w:space="0" w:color="auto"/>
            </w:tcBorders>
          </w:tcPr>
          <w:p w:rsidR="002D5AAC" w:rsidRPr="007A3FC6" w:rsidRDefault="002D5AAC" w:rsidP="002A7B4A">
            <w:pPr>
              <w:spacing w:before="120" w:line="360" w:lineRule="exact"/>
              <w:rPr>
                <w:b/>
                <w:szCs w:val="20"/>
                <w:lang w:val="en-US"/>
              </w:rPr>
            </w:pPr>
          </w:p>
        </w:tc>
        <w:tc>
          <w:tcPr>
            <w:tcW w:w="2819" w:type="dxa"/>
            <w:tcBorders>
              <w:top w:val="single" w:sz="4" w:space="0" w:color="auto"/>
              <w:bottom w:val="single" w:sz="12" w:space="0" w:color="auto"/>
            </w:tcBorders>
          </w:tcPr>
          <w:p w:rsidR="004131A5" w:rsidRDefault="004131A5" w:rsidP="002A7B4A">
            <w:pPr>
              <w:spacing w:before="240"/>
              <w:rPr>
                <w:szCs w:val="20"/>
                <w:lang w:val="en-US"/>
              </w:rPr>
            </w:pPr>
          </w:p>
          <w:p w:rsidR="007A3FC6" w:rsidRPr="009D084C" w:rsidRDefault="007A3FC6" w:rsidP="004131A5">
            <w:pPr>
              <w:spacing w:before="240"/>
              <w:rPr>
                <w:szCs w:val="20"/>
                <w:lang w:val="en-US"/>
              </w:rPr>
            </w:pPr>
            <w:r>
              <w:rPr>
                <w:szCs w:val="20"/>
                <w:lang w:val="en-US"/>
              </w:rPr>
              <w:t xml:space="preserve">8 May 2018 </w:t>
            </w:r>
          </w:p>
        </w:tc>
      </w:tr>
    </w:tbl>
    <w:p w:rsidR="007A3FC6" w:rsidRPr="0008570D" w:rsidRDefault="007A3FC6" w:rsidP="007A3FC6">
      <w:pPr>
        <w:pStyle w:val="HChGR"/>
      </w:pPr>
      <w:r w:rsidRPr="0008570D">
        <w:tab/>
      </w:r>
      <w:r w:rsidRPr="0008570D">
        <w:tab/>
        <w:t xml:space="preserve">Соглашение </w:t>
      </w:r>
    </w:p>
    <w:p w:rsidR="007A3FC6" w:rsidRPr="0008570D" w:rsidRDefault="007A3FC6" w:rsidP="007A3FC6">
      <w:pPr>
        <w:pStyle w:val="H1GR"/>
      </w:pPr>
      <w:r w:rsidRPr="0008570D">
        <w:tab/>
      </w:r>
      <w:r w:rsidRPr="0008570D">
        <w:tab/>
        <w:t>О принятии единообразных условий для периодических технических осмотров ко</w:t>
      </w:r>
      <w:r>
        <w:t>лесных транспортных средств и о</w:t>
      </w:r>
      <w:r>
        <w:rPr>
          <w:lang w:val="en-US"/>
        </w:rPr>
        <w:t> </w:t>
      </w:r>
      <w:r w:rsidRPr="0008570D">
        <w:t>взаимном признании таких осмотров</w:t>
      </w:r>
    </w:p>
    <w:p w:rsidR="007A3FC6" w:rsidRPr="0008570D" w:rsidRDefault="007A3FC6" w:rsidP="007A3FC6">
      <w:pPr>
        <w:pStyle w:val="SingleTxtGR"/>
      </w:pPr>
      <w:r w:rsidRPr="0008570D">
        <w:t>(совершено в Вене 13 ноября 1997 года)</w:t>
      </w:r>
    </w:p>
    <w:p w:rsidR="007A3FC6" w:rsidRPr="0008570D" w:rsidRDefault="007A3FC6" w:rsidP="007A3FC6">
      <w:pPr>
        <w:pStyle w:val="HChGR"/>
      </w:pPr>
      <w:r w:rsidRPr="0008570D">
        <w:tab/>
      </w:r>
      <w:r w:rsidRPr="0008570D">
        <w:tab/>
        <w:t>Добавление 1</w:t>
      </w:r>
      <w:r>
        <w:t xml:space="preserve"> –</w:t>
      </w:r>
      <w:r w:rsidRPr="0008570D">
        <w:t xml:space="preserve"> Предписание № 1</w:t>
      </w:r>
    </w:p>
    <w:p w:rsidR="007A3FC6" w:rsidRPr="0008570D" w:rsidRDefault="007A3FC6" w:rsidP="007A3FC6">
      <w:pPr>
        <w:pStyle w:val="HChGR"/>
      </w:pPr>
      <w:r w:rsidRPr="0008570D">
        <w:tab/>
      </w:r>
      <w:r w:rsidRPr="0008570D">
        <w:tab/>
        <w:t>Пересмотр 2</w:t>
      </w:r>
    </w:p>
    <w:p w:rsidR="007A3FC6" w:rsidRPr="0008570D" w:rsidRDefault="007A3FC6" w:rsidP="007A3FC6">
      <w:pPr>
        <w:pStyle w:val="SingleTxtGR"/>
        <w:rPr>
          <w:bCs/>
        </w:rPr>
      </w:pPr>
      <w:r w:rsidRPr="0008570D">
        <w:t>Дата вступления в силу: 8 февраля 2018 года</w:t>
      </w:r>
    </w:p>
    <w:p w:rsidR="007A3FC6" w:rsidRPr="0008570D" w:rsidRDefault="007A3FC6" w:rsidP="007A3FC6">
      <w:pPr>
        <w:pStyle w:val="H1GR"/>
      </w:pPr>
      <w:r w:rsidRPr="0008570D">
        <w:tab/>
      </w:r>
      <w:r w:rsidRPr="0008570D">
        <w:tab/>
        <w:t>Единообразные предписания, касающиеся периодических технических осмотров к</w:t>
      </w:r>
      <w:r>
        <w:t>олесных транспортных средств, в </w:t>
      </w:r>
      <w:r w:rsidRPr="0008570D">
        <w:t>отношении охраны окружающей среды</w:t>
      </w:r>
    </w:p>
    <w:p w:rsidR="007A3FC6" w:rsidRPr="0008570D" w:rsidRDefault="007A3FC6" w:rsidP="007A3FC6">
      <w:pPr>
        <w:pStyle w:val="SingleTxtGR"/>
        <w:spacing w:after="0"/>
      </w:pPr>
      <w:r w:rsidRPr="0008570D">
        <w:t xml:space="preserve">Настоящий документ подготовлен секретариатом для информации. </w:t>
      </w:r>
      <w:r>
        <w:br/>
      </w:r>
      <w:r w:rsidRPr="0008570D">
        <w:t>Аутентичными и юридически обязательными текстами являются документы: ECE/RCTE/CONF/4/Add.1/Rev.1 и ECE/TRANS/WP.29/2017/90.</w:t>
      </w:r>
    </w:p>
    <w:p w:rsidR="00AF0397" w:rsidRDefault="007A3FC6" w:rsidP="007A3FC6">
      <w:pPr>
        <w:pStyle w:val="SingleTxtGR"/>
        <w:spacing w:before="240" w:after="0"/>
        <w:jc w:val="center"/>
        <w:rPr>
          <w:u w:val="single"/>
        </w:rPr>
      </w:pPr>
      <w:r>
        <w:rPr>
          <w:u w:val="single"/>
        </w:rPr>
        <w:tab/>
      </w:r>
      <w:r>
        <w:rPr>
          <w:u w:val="single"/>
        </w:rPr>
        <w:tab/>
      </w:r>
      <w:r>
        <w:rPr>
          <w:u w:val="single"/>
        </w:rPr>
        <w:tab/>
      </w:r>
    </w:p>
    <w:p w:rsidR="007A3FC6" w:rsidRPr="0008570D" w:rsidRDefault="00AF0397" w:rsidP="00AF0397">
      <w:pPr>
        <w:pStyle w:val="SingleTxtGR"/>
        <w:spacing w:before="120"/>
        <w:jc w:val="center"/>
        <w:rPr>
          <w:u w:val="single"/>
        </w:rPr>
      </w:pPr>
      <w:r w:rsidRPr="0008570D">
        <w:rPr>
          <w:noProof/>
          <w:lang w:eastAsia="ru-RU"/>
        </w:rPr>
        <w:drawing>
          <wp:inline distT="0" distB="0" distL="0" distR="0" wp14:anchorId="21DF3369" wp14:editId="0AC4072F">
            <wp:extent cx="1028700" cy="8267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a:ln>
                      <a:noFill/>
                    </a:ln>
                  </pic:spPr>
                </pic:pic>
              </a:graphicData>
            </a:graphic>
          </wp:inline>
        </w:drawing>
      </w:r>
    </w:p>
    <w:p w:rsidR="007A3FC6" w:rsidRDefault="007A3FC6" w:rsidP="00AF0397">
      <w:pPr>
        <w:pStyle w:val="SingleTxtGR"/>
        <w:spacing w:before="120" w:after="0"/>
        <w:jc w:val="center"/>
        <w:rPr>
          <w:b/>
          <w:bCs/>
        </w:rPr>
        <w:sectPr w:rsidR="007A3FC6" w:rsidSect="007A3FC6">
          <w:headerReference w:type="even" r:id="rId8"/>
          <w:headerReference w:type="default" r:id="rId9"/>
          <w:footerReference w:type="even" r:id="rId10"/>
          <w:footerReference w:type="default" r:id="rId11"/>
          <w:footerReference w:type="first" r:id="rId12"/>
          <w:endnotePr>
            <w:numFmt w:val="decimal"/>
          </w:endnotePr>
          <w:pgSz w:w="11906" w:h="16838" w:code="9"/>
          <w:pgMar w:top="1418" w:right="1134" w:bottom="1134" w:left="1134" w:header="851" w:footer="567" w:gutter="0"/>
          <w:cols w:space="708"/>
          <w:titlePg/>
          <w:docGrid w:linePitch="360"/>
        </w:sectPr>
      </w:pPr>
      <w:r w:rsidRPr="0008570D">
        <w:rPr>
          <w:b/>
          <w:bCs/>
        </w:rPr>
        <w:t>ОРГАНИЗАЦИЯ ОБЪЕДИНЕННЫХ НАЦИЙ</w:t>
      </w:r>
    </w:p>
    <w:p w:rsidR="007A3FC6" w:rsidRDefault="007A3FC6">
      <w:pPr>
        <w:suppressAutoHyphens w:val="0"/>
        <w:spacing w:line="240" w:lineRule="auto"/>
        <w:rPr>
          <w:rFonts w:eastAsia="Times New Roman" w:cs="Times New Roman"/>
          <w:b/>
          <w:bCs/>
          <w:szCs w:val="20"/>
        </w:rPr>
      </w:pPr>
      <w:r>
        <w:rPr>
          <w:b/>
          <w:bCs/>
        </w:rPr>
        <w:lastRenderedPageBreak/>
        <w:br w:type="page"/>
      </w:r>
    </w:p>
    <w:p w:rsidR="007A3FC6" w:rsidRDefault="007A3FC6" w:rsidP="007A3FC6">
      <w:pPr>
        <w:spacing w:after="120"/>
        <w:rPr>
          <w:sz w:val="28"/>
        </w:rPr>
      </w:pPr>
      <w:r>
        <w:rPr>
          <w:sz w:val="28"/>
        </w:rPr>
        <w:lastRenderedPageBreak/>
        <w:t>Содержание</w:t>
      </w:r>
    </w:p>
    <w:p w:rsidR="007A3FC6" w:rsidRDefault="007A3FC6" w:rsidP="007A3FC6">
      <w:pPr>
        <w:tabs>
          <w:tab w:val="right" w:pos="9638"/>
        </w:tabs>
        <w:spacing w:after="120"/>
        <w:ind w:left="283"/>
        <w:rPr>
          <w:sz w:val="18"/>
        </w:rPr>
      </w:pPr>
      <w:r>
        <w:rPr>
          <w:i/>
          <w:sz w:val="18"/>
        </w:rPr>
        <w:tab/>
        <w:t>Стр.</w:t>
      </w:r>
    </w:p>
    <w:p w:rsidR="007A3FC6" w:rsidRDefault="007A3FC6" w:rsidP="007A3FC6">
      <w:pPr>
        <w:tabs>
          <w:tab w:val="right" w:pos="850"/>
          <w:tab w:val="left" w:pos="1134"/>
          <w:tab w:val="left" w:pos="1559"/>
          <w:tab w:val="left" w:pos="1984"/>
          <w:tab w:val="left" w:leader="dot" w:pos="8787"/>
          <w:tab w:val="right" w:pos="9638"/>
        </w:tabs>
        <w:spacing w:after="120"/>
      </w:pPr>
      <w:r>
        <w:t>Предписание</w:t>
      </w:r>
    </w:p>
    <w:p w:rsidR="007A3FC6" w:rsidRPr="0008570D" w:rsidRDefault="007A3FC6" w:rsidP="007A3FC6">
      <w:pPr>
        <w:tabs>
          <w:tab w:val="right" w:pos="850"/>
          <w:tab w:val="left" w:pos="1134"/>
          <w:tab w:val="left" w:pos="1559"/>
          <w:tab w:val="left" w:pos="1984"/>
          <w:tab w:val="left" w:leader="dot" w:pos="8787"/>
          <w:tab w:val="right" w:pos="9638"/>
        </w:tabs>
        <w:spacing w:after="120"/>
      </w:pPr>
      <w:r>
        <w:tab/>
      </w:r>
      <w:r w:rsidR="00316D93">
        <w:rPr>
          <w:bCs/>
        </w:rPr>
        <w:t>1.</w:t>
      </w:r>
      <w:r w:rsidR="00316D93">
        <w:rPr>
          <w:bCs/>
        </w:rPr>
        <w:tab/>
        <w:t>Область применения</w:t>
      </w:r>
      <w:r w:rsidR="00316D93">
        <w:rPr>
          <w:bCs/>
        </w:rPr>
        <w:tab/>
      </w:r>
      <w:r w:rsidR="00316D93">
        <w:rPr>
          <w:bCs/>
        </w:rPr>
        <w:tab/>
        <w:t>4</w:t>
      </w:r>
    </w:p>
    <w:p w:rsidR="007A3FC6" w:rsidRPr="00316D93" w:rsidRDefault="007A3FC6" w:rsidP="007A3FC6">
      <w:pPr>
        <w:tabs>
          <w:tab w:val="right" w:pos="850"/>
          <w:tab w:val="left" w:pos="1134"/>
          <w:tab w:val="left" w:pos="1559"/>
          <w:tab w:val="left" w:pos="1984"/>
          <w:tab w:val="left" w:leader="dot" w:pos="8787"/>
          <w:tab w:val="right" w:pos="9638"/>
        </w:tabs>
        <w:spacing w:after="120"/>
      </w:pPr>
      <w:r w:rsidRPr="0008570D">
        <w:tab/>
        <w:t>2.</w:t>
      </w:r>
      <w:r w:rsidRPr="0008570D">
        <w:tab/>
        <w:t>Определения</w:t>
      </w:r>
      <w:r w:rsidRPr="0008570D">
        <w:tab/>
      </w:r>
      <w:r w:rsidRPr="0008570D">
        <w:tab/>
      </w:r>
      <w:r w:rsidR="00316D93" w:rsidRPr="00316D93">
        <w:t>4</w:t>
      </w:r>
    </w:p>
    <w:p w:rsidR="007A3FC6" w:rsidRPr="00316D93" w:rsidRDefault="007A3FC6" w:rsidP="007A3FC6">
      <w:pPr>
        <w:tabs>
          <w:tab w:val="right" w:pos="850"/>
          <w:tab w:val="left" w:pos="1134"/>
          <w:tab w:val="left" w:pos="1559"/>
          <w:tab w:val="left" w:pos="1984"/>
          <w:tab w:val="left" w:leader="dot" w:pos="8787"/>
          <w:tab w:val="right" w:pos="9638"/>
        </w:tabs>
        <w:spacing w:after="120"/>
      </w:pPr>
      <w:r w:rsidRPr="0008570D">
        <w:tab/>
        <w:t>3.</w:t>
      </w:r>
      <w:r w:rsidRPr="0008570D">
        <w:tab/>
        <w:t>Периодичность технических осмотров</w:t>
      </w:r>
      <w:r w:rsidRPr="0008570D">
        <w:tab/>
      </w:r>
      <w:r w:rsidRPr="0008570D">
        <w:tab/>
      </w:r>
      <w:r w:rsidR="00316D93" w:rsidRPr="00316D93">
        <w:t>5</w:t>
      </w:r>
    </w:p>
    <w:p w:rsidR="007A3FC6" w:rsidRPr="00316D93" w:rsidRDefault="007A3FC6" w:rsidP="007A3FC6">
      <w:pPr>
        <w:tabs>
          <w:tab w:val="right" w:pos="850"/>
          <w:tab w:val="left" w:pos="1134"/>
          <w:tab w:val="left" w:pos="1559"/>
          <w:tab w:val="left" w:pos="1984"/>
          <w:tab w:val="left" w:leader="dot" w:pos="8787"/>
          <w:tab w:val="right" w:pos="9638"/>
        </w:tabs>
        <w:spacing w:after="120"/>
      </w:pPr>
      <w:r w:rsidRPr="0008570D">
        <w:tab/>
        <w:t>4.</w:t>
      </w:r>
      <w:r w:rsidRPr="0008570D">
        <w:tab/>
        <w:t>Технические осмотры</w:t>
      </w:r>
      <w:r w:rsidRPr="0008570D">
        <w:tab/>
      </w:r>
      <w:r w:rsidRPr="0008570D">
        <w:tab/>
      </w:r>
      <w:r w:rsidR="00316D93" w:rsidRPr="00316D93">
        <w:t>5</w:t>
      </w:r>
    </w:p>
    <w:p w:rsidR="007A3FC6" w:rsidRPr="00316D93" w:rsidRDefault="007A3FC6" w:rsidP="007A3FC6">
      <w:pPr>
        <w:tabs>
          <w:tab w:val="right" w:pos="850"/>
          <w:tab w:val="left" w:pos="1134"/>
          <w:tab w:val="left" w:pos="1559"/>
          <w:tab w:val="left" w:pos="1984"/>
          <w:tab w:val="left" w:leader="dot" w:pos="8787"/>
          <w:tab w:val="right" w:pos="9638"/>
        </w:tabs>
        <w:spacing w:after="120"/>
      </w:pPr>
      <w:r w:rsidRPr="0008570D">
        <w:tab/>
        <w:t>5.</w:t>
      </w:r>
      <w:r w:rsidRPr="0008570D">
        <w:tab/>
        <w:t>Требования, предъявляемые к осмотру</w:t>
      </w:r>
      <w:r w:rsidRPr="0008570D">
        <w:tab/>
      </w:r>
      <w:r w:rsidRPr="0008570D">
        <w:tab/>
      </w:r>
      <w:r w:rsidR="00316D93" w:rsidRPr="00316D93">
        <w:t>5</w:t>
      </w:r>
    </w:p>
    <w:p w:rsidR="007A3FC6" w:rsidRPr="00316D93" w:rsidRDefault="007A3FC6" w:rsidP="007A3FC6">
      <w:pPr>
        <w:tabs>
          <w:tab w:val="right" w:pos="850"/>
          <w:tab w:val="left" w:pos="1134"/>
          <w:tab w:val="left" w:pos="1559"/>
          <w:tab w:val="left" w:pos="1984"/>
          <w:tab w:val="left" w:leader="dot" w:pos="8787"/>
          <w:tab w:val="right" w:pos="9638"/>
        </w:tabs>
        <w:spacing w:after="120"/>
        <w:rPr>
          <w:bCs/>
        </w:rPr>
      </w:pPr>
      <w:r w:rsidRPr="0008570D">
        <w:tab/>
      </w:r>
      <w:r w:rsidRPr="0008570D">
        <w:rPr>
          <w:bCs/>
        </w:rPr>
        <w:t>6.</w:t>
      </w:r>
      <w:r w:rsidRPr="0008570D">
        <w:rPr>
          <w:bCs/>
        </w:rPr>
        <w:tab/>
        <w:t>Методы проведения осмотра</w:t>
      </w:r>
      <w:r w:rsidRPr="0008570D">
        <w:rPr>
          <w:bCs/>
        </w:rPr>
        <w:tab/>
      </w:r>
      <w:r w:rsidRPr="0008570D">
        <w:rPr>
          <w:bCs/>
        </w:rPr>
        <w:tab/>
      </w:r>
      <w:r w:rsidR="00316D93" w:rsidRPr="00316D93">
        <w:rPr>
          <w:bCs/>
        </w:rPr>
        <w:t>6</w:t>
      </w:r>
    </w:p>
    <w:p w:rsidR="007A3FC6" w:rsidRPr="00316D93" w:rsidRDefault="007A3FC6" w:rsidP="007A3FC6">
      <w:pPr>
        <w:tabs>
          <w:tab w:val="right" w:pos="850"/>
          <w:tab w:val="left" w:pos="1134"/>
          <w:tab w:val="left" w:pos="1559"/>
          <w:tab w:val="left" w:pos="1984"/>
          <w:tab w:val="left" w:leader="dot" w:pos="8787"/>
          <w:tab w:val="right" w:pos="9638"/>
        </w:tabs>
        <w:spacing w:after="120"/>
        <w:rPr>
          <w:bCs/>
        </w:rPr>
      </w:pPr>
      <w:r w:rsidRPr="0008570D">
        <w:rPr>
          <w:bCs/>
        </w:rPr>
        <w:tab/>
        <w:t>7.</w:t>
      </w:r>
      <w:r w:rsidRPr="0008570D">
        <w:rPr>
          <w:bCs/>
        </w:rPr>
        <w:tab/>
        <w:t>Основные причины для отказа и оценка дефектов</w:t>
      </w:r>
      <w:r w:rsidRPr="0008570D">
        <w:rPr>
          <w:bCs/>
        </w:rPr>
        <w:tab/>
      </w:r>
      <w:r w:rsidRPr="0008570D">
        <w:rPr>
          <w:bCs/>
        </w:rPr>
        <w:tab/>
      </w:r>
      <w:r w:rsidR="00316D93" w:rsidRPr="00316D93">
        <w:rPr>
          <w:bCs/>
        </w:rPr>
        <w:t>6</w:t>
      </w:r>
    </w:p>
    <w:p w:rsidR="007A3FC6" w:rsidRPr="00316D93" w:rsidRDefault="007A3FC6" w:rsidP="007A3FC6">
      <w:pPr>
        <w:tabs>
          <w:tab w:val="right" w:pos="850"/>
          <w:tab w:val="left" w:pos="1134"/>
          <w:tab w:val="left" w:pos="1559"/>
          <w:tab w:val="left" w:pos="1984"/>
          <w:tab w:val="left" w:leader="dot" w:pos="8787"/>
          <w:tab w:val="right" w:pos="9638"/>
        </w:tabs>
        <w:spacing w:after="120"/>
        <w:rPr>
          <w:bCs/>
        </w:rPr>
      </w:pPr>
      <w:r w:rsidRPr="0008570D">
        <w:rPr>
          <w:bCs/>
        </w:rPr>
        <w:tab/>
        <w:t>8.</w:t>
      </w:r>
      <w:r w:rsidRPr="0008570D">
        <w:rPr>
          <w:bCs/>
        </w:rPr>
        <w:tab/>
        <w:t>Названия и адреса</w:t>
      </w:r>
      <w:r w:rsidRPr="0008570D">
        <w:rPr>
          <w:bCs/>
        </w:rPr>
        <w:tab/>
      </w:r>
      <w:r w:rsidRPr="0008570D">
        <w:rPr>
          <w:bCs/>
        </w:rPr>
        <w:tab/>
      </w:r>
      <w:r w:rsidR="00316D93" w:rsidRPr="00316D93">
        <w:rPr>
          <w:bCs/>
        </w:rPr>
        <w:t>6</w:t>
      </w:r>
    </w:p>
    <w:p w:rsidR="007A3FC6" w:rsidRPr="00316D93" w:rsidRDefault="007A3FC6" w:rsidP="007A3FC6">
      <w:pPr>
        <w:tabs>
          <w:tab w:val="right" w:pos="850"/>
          <w:tab w:val="left" w:pos="1134"/>
          <w:tab w:val="left" w:pos="1559"/>
          <w:tab w:val="left" w:pos="1984"/>
          <w:tab w:val="left" w:leader="dot" w:pos="8787"/>
          <w:tab w:val="right" w:pos="9638"/>
        </w:tabs>
        <w:spacing w:after="120"/>
        <w:rPr>
          <w:bCs/>
        </w:rPr>
      </w:pPr>
      <w:r w:rsidRPr="0008570D">
        <w:rPr>
          <w:bCs/>
        </w:rPr>
        <w:tab/>
        <w:t>9.</w:t>
      </w:r>
      <w:r w:rsidRPr="0008570D">
        <w:rPr>
          <w:bCs/>
        </w:rPr>
        <w:tab/>
        <w:t>Переходные положения</w:t>
      </w:r>
      <w:r w:rsidRPr="0008570D">
        <w:rPr>
          <w:bCs/>
        </w:rPr>
        <w:tab/>
      </w:r>
      <w:r w:rsidRPr="0008570D">
        <w:rPr>
          <w:bCs/>
        </w:rPr>
        <w:tab/>
      </w:r>
      <w:r w:rsidR="00316D93" w:rsidRPr="00316D93">
        <w:rPr>
          <w:bCs/>
        </w:rPr>
        <w:t>7</w:t>
      </w:r>
    </w:p>
    <w:p w:rsidR="007A3FC6" w:rsidRPr="0008570D" w:rsidRDefault="007A3FC6" w:rsidP="007A3FC6">
      <w:pPr>
        <w:tabs>
          <w:tab w:val="right" w:pos="850"/>
          <w:tab w:val="left" w:pos="1134"/>
          <w:tab w:val="left" w:pos="1559"/>
          <w:tab w:val="left" w:pos="1984"/>
          <w:tab w:val="left" w:leader="dot" w:pos="8787"/>
          <w:tab w:val="right" w:pos="9638"/>
        </w:tabs>
        <w:spacing w:after="120"/>
      </w:pPr>
      <w:r w:rsidRPr="0008570D">
        <w:t>Приложение</w:t>
      </w:r>
    </w:p>
    <w:p w:rsidR="007A3FC6" w:rsidRPr="00316D93" w:rsidRDefault="007A3FC6" w:rsidP="007A3FC6">
      <w:pPr>
        <w:tabs>
          <w:tab w:val="right" w:pos="850"/>
          <w:tab w:val="left" w:pos="1134"/>
          <w:tab w:val="left" w:pos="1559"/>
          <w:tab w:val="left" w:pos="1984"/>
          <w:tab w:val="left" w:leader="dot" w:pos="8787"/>
          <w:tab w:val="right" w:pos="9638"/>
        </w:tabs>
        <w:spacing w:after="120"/>
      </w:pPr>
      <w:r w:rsidRPr="0008570D">
        <w:tab/>
      </w:r>
      <w:r w:rsidRPr="0008570D">
        <w:tab/>
        <w:t>Минимальные требования, предъявляемые к осмотру</w:t>
      </w:r>
      <w:r w:rsidRPr="0008570D">
        <w:tab/>
      </w:r>
      <w:r w:rsidRPr="0008570D">
        <w:tab/>
      </w:r>
      <w:r w:rsidR="00316D93" w:rsidRPr="00316D93">
        <w:t>8</w:t>
      </w:r>
    </w:p>
    <w:p w:rsidR="007A3FC6" w:rsidRPr="0008570D" w:rsidRDefault="007A3FC6" w:rsidP="007A3FC6">
      <w:pPr>
        <w:pStyle w:val="HChGR"/>
      </w:pPr>
      <w:r w:rsidRPr="0008570D">
        <w:br w:type="page"/>
      </w:r>
      <w:r w:rsidRPr="0008570D">
        <w:lastRenderedPageBreak/>
        <w:tab/>
      </w:r>
      <w:r w:rsidRPr="0008570D">
        <w:tab/>
        <w:t>1.</w:t>
      </w:r>
      <w:r w:rsidRPr="0008570D">
        <w:tab/>
      </w:r>
      <w:r w:rsidRPr="0008570D">
        <w:tab/>
        <w:t>Область применения</w:t>
      </w:r>
    </w:p>
    <w:p w:rsidR="007A3FC6" w:rsidRPr="0008570D" w:rsidRDefault="007A3FC6" w:rsidP="007A3FC6">
      <w:pPr>
        <w:pStyle w:val="SingleTxtGR"/>
        <w:ind w:left="2268" w:hanging="1134"/>
      </w:pPr>
      <w:r w:rsidRPr="0008570D">
        <w:t>1.1</w:t>
      </w:r>
      <w:r w:rsidRPr="0008570D">
        <w:tab/>
      </w:r>
      <w:r w:rsidRPr="0008570D">
        <w:tab/>
        <w:t>Для целей статьи 1 Соглашения о принятии единообразных условий для периодических технических осмотров колесных транспортных средств и о взаимном признании таких осмотров подлежащие осмотру позиции имеют отношение к соблюдению экологических требований;</w:t>
      </w:r>
    </w:p>
    <w:p w:rsidR="007A3FC6" w:rsidRPr="0008570D" w:rsidRDefault="007A3FC6" w:rsidP="007A3FC6">
      <w:pPr>
        <w:pStyle w:val="SingleTxtGR"/>
        <w:ind w:left="2268" w:hanging="1134"/>
      </w:pPr>
      <w:r w:rsidRPr="0008570D">
        <w:t>1.2</w:t>
      </w:r>
      <w:r w:rsidRPr="0008570D">
        <w:tab/>
      </w:r>
      <w:r w:rsidRPr="0008570D">
        <w:tab/>
        <w:t xml:space="preserve">колесные транспортные средства, </w:t>
      </w:r>
      <w:r w:rsidRPr="0008570D">
        <w:rPr>
          <w:bCs/>
        </w:rPr>
        <w:t>определенные в пункте 2.4 и</w:t>
      </w:r>
      <w:r w:rsidRPr="0008570D">
        <w:t xml:space="preserve"> используемые в международном сообщении, должны соответствовать изложенным ниже требованиям;</w:t>
      </w:r>
    </w:p>
    <w:p w:rsidR="007A3FC6" w:rsidRPr="0008570D" w:rsidRDefault="007A3FC6" w:rsidP="007A3FC6">
      <w:pPr>
        <w:pStyle w:val="SingleTxtGR"/>
        <w:ind w:left="2268" w:hanging="1134"/>
      </w:pPr>
      <w:r w:rsidRPr="0008570D">
        <w:t>1.3</w:t>
      </w:r>
      <w:r w:rsidRPr="0008570D">
        <w:tab/>
      </w:r>
      <w:r w:rsidRPr="0008570D">
        <w:tab/>
        <w:t>Договаривающиеся стороны могут принять решение распространить требование пункта 1.2 выше и на транспортные средства, используемые для внутренних перевозок.</w:t>
      </w:r>
    </w:p>
    <w:p w:rsidR="007A3FC6" w:rsidRPr="0008570D" w:rsidRDefault="007A3FC6" w:rsidP="007A3FC6">
      <w:pPr>
        <w:pStyle w:val="HChGR"/>
      </w:pPr>
      <w:r w:rsidRPr="0008570D">
        <w:tab/>
      </w:r>
      <w:r w:rsidRPr="0008570D">
        <w:tab/>
        <w:t>2.</w:t>
      </w:r>
      <w:r w:rsidRPr="0008570D">
        <w:tab/>
      </w:r>
      <w:r w:rsidRPr="0008570D">
        <w:tab/>
        <w:t>Определения</w:t>
      </w:r>
    </w:p>
    <w:p w:rsidR="007A3FC6" w:rsidRPr="0008570D" w:rsidRDefault="00316D93" w:rsidP="007A3FC6">
      <w:pPr>
        <w:pStyle w:val="SingleTxtGR"/>
      </w:pPr>
      <w:r>
        <w:tab/>
      </w:r>
      <w:r>
        <w:tab/>
      </w:r>
      <w:r w:rsidR="007A3FC6" w:rsidRPr="0008570D">
        <w:t>Для целей настоящего Предписания:</w:t>
      </w:r>
    </w:p>
    <w:p w:rsidR="007A3FC6" w:rsidRPr="0008570D" w:rsidRDefault="007A3FC6" w:rsidP="007A3FC6">
      <w:pPr>
        <w:pStyle w:val="SingleTxtGR"/>
        <w:ind w:left="2268" w:hanging="1134"/>
      </w:pPr>
      <w:r w:rsidRPr="0008570D">
        <w:t>2.1</w:t>
      </w:r>
      <w:r w:rsidRPr="0008570D">
        <w:tab/>
      </w:r>
      <w:r w:rsidRPr="0008570D">
        <w:tab/>
      </w:r>
      <w:r>
        <w:t>«</w:t>
      </w:r>
      <w:r w:rsidRPr="0008570D">
        <w:rPr>
          <w:i/>
        </w:rPr>
        <w:t>Соглашение</w:t>
      </w:r>
      <w:r>
        <w:t>»</w:t>
      </w:r>
      <w:r w:rsidRPr="0008570D">
        <w:t xml:space="preserve"> означает Венское соглашение 1997 года о принятии единообразных условий для периодических технических осмотров колесных транспортных средств и о взаимном признании таких осмотров;</w:t>
      </w:r>
    </w:p>
    <w:p w:rsidR="007A3FC6" w:rsidRPr="0008570D" w:rsidRDefault="007A3FC6" w:rsidP="007A3FC6">
      <w:pPr>
        <w:pStyle w:val="SingleTxtGR"/>
        <w:ind w:left="2268" w:hanging="1134"/>
      </w:pPr>
      <w:r w:rsidRPr="0008570D">
        <w:t>2.2</w:t>
      </w:r>
      <w:r w:rsidRPr="0008570D">
        <w:tab/>
      </w:r>
      <w:r w:rsidRPr="0008570D">
        <w:tab/>
      </w:r>
      <w:r>
        <w:t>«</w:t>
      </w:r>
      <w:r w:rsidRPr="0008570D">
        <w:rPr>
          <w:i/>
          <w:iCs/>
        </w:rPr>
        <w:t>м</w:t>
      </w:r>
      <w:r w:rsidRPr="0008570D">
        <w:rPr>
          <w:i/>
        </w:rPr>
        <w:t>еждународный сертификат технического осмотра</w:t>
      </w:r>
      <w:r>
        <w:t>»</w:t>
      </w:r>
      <w:r w:rsidRPr="0008570D">
        <w:t xml:space="preserve"> означает сертификат периодических технических осмотров колесных транспортных средств в соответствии с положениями статьи 1 и добавления 2 к настоящему Соглашению;</w:t>
      </w:r>
    </w:p>
    <w:p w:rsidR="007A3FC6" w:rsidRPr="0008570D" w:rsidRDefault="007A3FC6" w:rsidP="007A3FC6">
      <w:pPr>
        <w:pStyle w:val="SingleTxtGR"/>
        <w:ind w:left="2268" w:hanging="1134"/>
      </w:pPr>
      <w:r w:rsidRPr="0008570D">
        <w:t>2.3</w:t>
      </w:r>
      <w:r w:rsidRPr="0008570D">
        <w:tab/>
      </w:r>
      <w:r w:rsidRPr="0008570D">
        <w:tab/>
      </w:r>
      <w:r>
        <w:t>«</w:t>
      </w:r>
      <w:r w:rsidRPr="0008570D">
        <w:rPr>
          <w:i/>
        </w:rPr>
        <w:t>периодический технический осмотр</w:t>
      </w:r>
      <w:r>
        <w:t>»</w:t>
      </w:r>
      <w:r w:rsidRPr="0008570D">
        <w:t xml:space="preserve"> означает единообразную периодическую процедуру, с помощью которой уполномоченные центры технического осмотра, ответственные за проведение инспекционных испытаний, проверяют соответствие представленного колесного транспортного средства требованиям настоящего Предписания;</w:t>
      </w:r>
    </w:p>
    <w:p w:rsidR="007A3FC6" w:rsidRPr="0008570D" w:rsidRDefault="007A3FC6" w:rsidP="007A3FC6">
      <w:pPr>
        <w:pStyle w:val="SingleTxtGR"/>
        <w:ind w:left="2268" w:hanging="1134"/>
      </w:pPr>
      <w:r w:rsidRPr="0008570D">
        <w:t>2.4</w:t>
      </w:r>
      <w:r w:rsidRPr="0008570D">
        <w:tab/>
      </w:r>
      <w:r w:rsidRPr="0008570D">
        <w:tab/>
      </w:r>
      <w:r>
        <w:t>«</w:t>
      </w:r>
      <w:r w:rsidRPr="0008570D">
        <w:rPr>
          <w:i/>
        </w:rPr>
        <w:t>колесное транспортное средство</w:t>
      </w:r>
      <w:r>
        <w:t>»</w:t>
      </w:r>
      <w:r w:rsidRPr="0008570D">
        <w:t xml:space="preserve"> означает механические транспортные средства категорий </w:t>
      </w:r>
      <w:r w:rsidRPr="0008570D">
        <w:rPr>
          <w:bCs/>
        </w:rPr>
        <w:t>M</w:t>
      </w:r>
      <w:r w:rsidRPr="0008570D">
        <w:rPr>
          <w:bCs/>
          <w:vertAlign w:val="subscript"/>
        </w:rPr>
        <w:t>1</w:t>
      </w:r>
      <w:r w:rsidRPr="0008570D">
        <w:rPr>
          <w:bCs/>
        </w:rPr>
        <w:t>, M</w:t>
      </w:r>
      <w:r w:rsidRPr="0008570D">
        <w:rPr>
          <w:bCs/>
          <w:vertAlign w:val="subscript"/>
        </w:rPr>
        <w:t>2</w:t>
      </w:r>
      <w:r w:rsidRPr="0008570D">
        <w:rPr>
          <w:bCs/>
        </w:rPr>
        <w:t>, M</w:t>
      </w:r>
      <w:r w:rsidRPr="0008570D">
        <w:rPr>
          <w:bCs/>
          <w:vertAlign w:val="subscript"/>
        </w:rPr>
        <w:t>3</w:t>
      </w:r>
      <w:r w:rsidRPr="0008570D">
        <w:rPr>
          <w:bCs/>
        </w:rPr>
        <w:t>, N</w:t>
      </w:r>
      <w:r w:rsidRPr="0008570D">
        <w:rPr>
          <w:bCs/>
          <w:vertAlign w:val="subscript"/>
        </w:rPr>
        <w:t>1</w:t>
      </w:r>
      <w:r w:rsidRPr="0008570D">
        <w:rPr>
          <w:bCs/>
        </w:rPr>
        <w:t>, N</w:t>
      </w:r>
      <w:r w:rsidRPr="0008570D">
        <w:rPr>
          <w:bCs/>
          <w:vertAlign w:val="subscript"/>
        </w:rPr>
        <w:t>2</w:t>
      </w:r>
      <w:r w:rsidRPr="0008570D">
        <w:rPr>
          <w:bCs/>
        </w:rPr>
        <w:t xml:space="preserve"> и N</w:t>
      </w:r>
      <w:r w:rsidRPr="0008570D">
        <w:rPr>
          <w:bCs/>
          <w:vertAlign w:val="subscript"/>
        </w:rPr>
        <w:t>3</w:t>
      </w:r>
      <w:r w:rsidRPr="0008570D">
        <w:rPr>
          <w:bCs/>
        </w:rPr>
        <w:t xml:space="preserve"> и прицепы категорий O</w:t>
      </w:r>
      <w:r w:rsidRPr="0008570D">
        <w:rPr>
          <w:bCs/>
          <w:vertAlign w:val="subscript"/>
        </w:rPr>
        <w:t>3</w:t>
      </w:r>
      <w:r w:rsidRPr="0008570D">
        <w:rPr>
          <w:bCs/>
        </w:rPr>
        <w:t xml:space="preserve"> и O</w:t>
      </w:r>
      <w:r w:rsidRPr="0008570D">
        <w:rPr>
          <w:bCs/>
          <w:vertAlign w:val="subscript"/>
        </w:rPr>
        <w:t>4</w:t>
      </w:r>
      <w:r w:rsidRPr="00605270">
        <w:rPr>
          <w:rStyle w:val="FootnoteReference"/>
        </w:rPr>
        <w:footnoteReference w:id="1"/>
      </w:r>
      <w:r w:rsidRPr="0008570D">
        <w:rPr>
          <w:bCs/>
        </w:rPr>
        <w:t>,</w:t>
      </w:r>
      <w:r w:rsidRPr="0008570D">
        <w:t xml:space="preserve"> используемые в международном сообщении;</w:t>
      </w:r>
    </w:p>
    <w:p w:rsidR="007A3FC6" w:rsidRPr="0008570D" w:rsidRDefault="007A3FC6" w:rsidP="007A3FC6">
      <w:pPr>
        <w:pStyle w:val="SingleTxtGR"/>
        <w:ind w:left="2268" w:hanging="1134"/>
      </w:pPr>
      <w:r w:rsidRPr="0008570D">
        <w:t>2.5</w:t>
      </w:r>
      <w:r w:rsidRPr="0008570D">
        <w:tab/>
      </w:r>
      <w:r w:rsidRPr="0008570D">
        <w:tab/>
      </w:r>
      <w:r>
        <w:t>«</w:t>
      </w:r>
      <w:r w:rsidRPr="0008570D">
        <w:rPr>
          <w:i/>
        </w:rPr>
        <w:t>проверка</w:t>
      </w:r>
      <w:r>
        <w:t>»</w:t>
      </w:r>
      <w:r w:rsidRPr="0008570D">
        <w:t xml:space="preserve"> означает доказательство соответствия требованиям, изложенным в приложении к настоящему Предписанию, полученное посредством испытаний и проверок, проводимых с использованием доступных в настоящее время методов и оборудования, причем без демонтажа или снятия какой-либо части транспортного средства;</w:t>
      </w:r>
    </w:p>
    <w:p w:rsidR="007A3FC6" w:rsidRPr="0008570D" w:rsidRDefault="007A3FC6" w:rsidP="007A3FC6">
      <w:pPr>
        <w:pStyle w:val="SingleTxtGR"/>
        <w:ind w:left="2268" w:hanging="1134"/>
      </w:pPr>
      <w:r w:rsidRPr="0008570D">
        <w:t>2.6</w:t>
      </w:r>
      <w:r w:rsidRPr="0008570D">
        <w:tab/>
      </w:r>
      <w:r w:rsidRPr="0008570D">
        <w:tab/>
      </w:r>
      <w:r>
        <w:t>«</w:t>
      </w:r>
      <w:r w:rsidRPr="0008570D">
        <w:rPr>
          <w:i/>
        </w:rPr>
        <w:t>Женевское соглашение 1958 года</w:t>
      </w:r>
      <w:r>
        <w:t>»</w:t>
      </w:r>
      <w:r w:rsidRPr="0008570D">
        <w:t xml:space="preserve"> означает Соглашение о принятии согласованных технических правил Организации Объединенных Наций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правил Организации Объединенных Наций, совершенное в Женеве 20 марта 1958 года и включающее поправки, вст</w:t>
      </w:r>
      <w:r>
        <w:t>упившие в силу 14 сентября 2017 </w:t>
      </w:r>
      <w:r w:rsidRPr="0008570D">
        <w:t>года</w:t>
      </w:r>
      <w:r w:rsidRPr="007A2B72">
        <w:footnoteReference w:customMarkFollows="1" w:id="2"/>
        <w:t>*</w:t>
      </w:r>
      <w:r w:rsidRPr="0008570D">
        <w:t>;</w:t>
      </w:r>
    </w:p>
    <w:p w:rsidR="007A3FC6" w:rsidRPr="0008570D" w:rsidRDefault="007A3FC6" w:rsidP="007A3FC6">
      <w:pPr>
        <w:pStyle w:val="SingleTxtGR"/>
        <w:ind w:left="2268" w:hanging="1134"/>
      </w:pPr>
      <w:r w:rsidRPr="0008570D">
        <w:lastRenderedPageBreak/>
        <w:t>2.7</w:t>
      </w:r>
      <w:r w:rsidRPr="0008570D">
        <w:tab/>
      </w:r>
      <w:r w:rsidRPr="0008570D">
        <w:tab/>
      </w:r>
      <w:r>
        <w:t>«</w:t>
      </w:r>
      <w:r w:rsidRPr="0008570D">
        <w:rPr>
          <w:i/>
        </w:rPr>
        <w:t>Правила</w:t>
      </w:r>
      <w:r>
        <w:t>»</w:t>
      </w:r>
      <w:r w:rsidRPr="0008570D">
        <w:t xml:space="preserve"> означают правила ООН, прилагаемые к Женевскому соглашению 1958 года.</w:t>
      </w:r>
    </w:p>
    <w:p w:rsidR="007A3FC6" w:rsidRPr="0008570D" w:rsidRDefault="007A3FC6" w:rsidP="007A3FC6">
      <w:pPr>
        <w:pStyle w:val="HChGR"/>
      </w:pPr>
      <w:r w:rsidRPr="0008570D">
        <w:tab/>
      </w:r>
      <w:r w:rsidRPr="0008570D">
        <w:tab/>
        <w:t>3.</w:t>
      </w:r>
      <w:r w:rsidRPr="0008570D">
        <w:tab/>
      </w:r>
      <w:r w:rsidRPr="0008570D">
        <w:tab/>
        <w:t>Периодичность технических осмотров</w:t>
      </w:r>
    </w:p>
    <w:tbl>
      <w:tblPr>
        <w:tblStyle w:val="TabTxt"/>
        <w:tblW w:w="7370" w:type="dxa"/>
        <w:tblInd w:w="1134" w:type="dxa"/>
        <w:tblLook w:val="05E0" w:firstRow="1" w:lastRow="1" w:firstColumn="1" w:lastColumn="1" w:noHBand="0" w:noVBand="1"/>
      </w:tblPr>
      <w:tblGrid>
        <w:gridCol w:w="3557"/>
        <w:gridCol w:w="3813"/>
      </w:tblGrid>
      <w:tr w:rsidR="007A3FC6" w:rsidRPr="00605270" w:rsidTr="004431CE">
        <w:trPr>
          <w:tblHeader/>
        </w:trPr>
        <w:tc>
          <w:tcPr>
            <w:tcW w:w="2413" w:type="pct"/>
            <w:tcBorders>
              <w:top w:val="single" w:sz="4" w:space="0" w:color="auto"/>
              <w:bottom w:val="single" w:sz="12" w:space="0" w:color="auto"/>
            </w:tcBorders>
            <w:shd w:val="clear" w:color="auto" w:fill="auto"/>
            <w:vAlign w:val="bottom"/>
          </w:tcPr>
          <w:p w:rsidR="007A3FC6" w:rsidRPr="00605270" w:rsidRDefault="007A3FC6" w:rsidP="004431CE">
            <w:pPr>
              <w:suppressAutoHyphens w:val="0"/>
              <w:spacing w:before="80" w:after="80" w:line="200" w:lineRule="exact"/>
              <w:rPr>
                <w:i/>
                <w:sz w:val="16"/>
              </w:rPr>
            </w:pPr>
            <w:r w:rsidRPr="00605270">
              <w:rPr>
                <w:i/>
                <w:sz w:val="16"/>
              </w:rPr>
              <w:t>Категории транспортных средств</w:t>
            </w:r>
          </w:p>
        </w:tc>
        <w:tc>
          <w:tcPr>
            <w:cnfStyle w:val="000100000000" w:firstRow="0" w:lastRow="0" w:firstColumn="0" w:lastColumn="1" w:oddVBand="0" w:evenVBand="0" w:oddHBand="0" w:evenHBand="0" w:firstRowFirstColumn="0" w:firstRowLastColumn="0" w:lastRowFirstColumn="0" w:lastRowLastColumn="0"/>
            <w:tcW w:w="2587" w:type="pct"/>
            <w:tcBorders>
              <w:bottom w:val="single" w:sz="12" w:space="0" w:color="auto"/>
            </w:tcBorders>
            <w:shd w:val="clear" w:color="auto" w:fill="auto"/>
            <w:vAlign w:val="bottom"/>
          </w:tcPr>
          <w:p w:rsidR="007A3FC6" w:rsidRPr="00605270" w:rsidRDefault="007A3FC6" w:rsidP="004431CE">
            <w:pPr>
              <w:suppressAutoHyphens w:val="0"/>
              <w:spacing w:before="80" w:after="80" w:line="200" w:lineRule="exact"/>
              <w:rPr>
                <w:i/>
                <w:sz w:val="16"/>
              </w:rPr>
            </w:pPr>
            <w:r w:rsidRPr="00605270">
              <w:rPr>
                <w:i/>
                <w:sz w:val="16"/>
              </w:rPr>
              <w:t>Периодичность осмотров</w:t>
            </w:r>
          </w:p>
        </w:tc>
      </w:tr>
      <w:tr w:rsidR="007A3FC6" w:rsidRPr="00605270" w:rsidTr="004431CE">
        <w:tc>
          <w:tcPr>
            <w:tcW w:w="2413" w:type="pct"/>
            <w:tcBorders>
              <w:top w:val="single" w:sz="12" w:space="0" w:color="auto"/>
              <w:bottom w:val="single" w:sz="4" w:space="0" w:color="auto"/>
            </w:tcBorders>
          </w:tcPr>
          <w:p w:rsidR="007A3FC6" w:rsidRPr="00605270" w:rsidRDefault="007A3FC6" w:rsidP="004431CE">
            <w:r w:rsidRPr="00605270">
              <w:t>Механические транспортные средства, используемые для перевозки пассажиров: M</w:t>
            </w:r>
            <w:r w:rsidRPr="00605270">
              <w:rPr>
                <w:vertAlign w:val="subscript"/>
              </w:rPr>
              <w:t>1</w:t>
            </w:r>
            <w:r w:rsidRPr="00605270">
              <w:t>, кроме такси и машин скорой помощи</w:t>
            </w:r>
          </w:p>
          <w:p w:rsidR="007A3FC6" w:rsidRPr="00605270" w:rsidRDefault="007A3FC6" w:rsidP="004431CE">
            <w:r w:rsidRPr="00605270">
              <w:t>Грузовые транспортные средства: N</w:t>
            </w:r>
            <w:r w:rsidRPr="00605270">
              <w:rPr>
                <w:vertAlign w:val="subscript"/>
              </w:rPr>
              <w:t>1</w:t>
            </w:r>
          </w:p>
        </w:tc>
        <w:tc>
          <w:tcPr>
            <w:cnfStyle w:val="000100000000" w:firstRow="0" w:lastRow="0" w:firstColumn="0" w:lastColumn="1" w:oddVBand="0" w:evenVBand="0" w:oddHBand="0" w:evenHBand="0" w:firstRowFirstColumn="0" w:firstRowLastColumn="0" w:lastRowFirstColumn="0" w:lastRowLastColumn="0"/>
            <w:tcW w:w="2587" w:type="pct"/>
            <w:tcBorders>
              <w:top w:val="single" w:sz="12" w:space="0" w:color="auto"/>
              <w:bottom w:val="single" w:sz="4" w:space="0" w:color="auto"/>
            </w:tcBorders>
          </w:tcPr>
          <w:p w:rsidR="007A3FC6" w:rsidRPr="00605270" w:rsidRDefault="007A3FC6" w:rsidP="004431CE">
            <w:r w:rsidRPr="00605270">
              <w:t>Через четыре года после первого ввода в эксплуатацию или первой регистрации и затем один раз в два года</w:t>
            </w:r>
          </w:p>
        </w:tc>
      </w:tr>
      <w:tr w:rsidR="007A3FC6" w:rsidRPr="00605270" w:rsidTr="004431CE">
        <w:tc>
          <w:tcPr>
            <w:tcW w:w="2413" w:type="pct"/>
            <w:tcBorders>
              <w:top w:val="single" w:sz="4" w:space="0" w:color="auto"/>
            </w:tcBorders>
          </w:tcPr>
          <w:p w:rsidR="007A3FC6" w:rsidRPr="00605270" w:rsidRDefault="007A3FC6" w:rsidP="004431CE">
            <w:r w:rsidRPr="00605270">
              <w:t>Механические транспортные средства, используемые для перевозки пассажиров: М</w:t>
            </w:r>
            <w:r w:rsidRPr="00605270">
              <w:rPr>
                <w:vertAlign w:val="subscript"/>
              </w:rPr>
              <w:t>1</w:t>
            </w:r>
            <w:r w:rsidRPr="00605270">
              <w:t>, используемые в качестве такси и машин скорой помощи, M</w:t>
            </w:r>
            <w:r w:rsidRPr="00605270">
              <w:rPr>
                <w:vertAlign w:val="subscript"/>
              </w:rPr>
              <w:t>2</w:t>
            </w:r>
            <w:r w:rsidRPr="00605270">
              <w:t xml:space="preserve"> и M</w:t>
            </w:r>
            <w:r w:rsidRPr="00605270">
              <w:rPr>
                <w:vertAlign w:val="subscript"/>
              </w:rPr>
              <w:t>3</w:t>
            </w:r>
          </w:p>
          <w:p w:rsidR="007A3FC6" w:rsidRPr="00605270" w:rsidRDefault="007A3FC6" w:rsidP="004431CE">
            <w:r w:rsidRPr="00605270">
              <w:t>Грузовые транспортные средства: N</w:t>
            </w:r>
            <w:r w:rsidRPr="00605270">
              <w:rPr>
                <w:vertAlign w:val="subscript"/>
              </w:rPr>
              <w:t>2</w:t>
            </w:r>
            <w:r w:rsidR="00316D93">
              <w:t> </w:t>
            </w:r>
            <w:r>
              <w:t>и </w:t>
            </w:r>
            <w:r w:rsidRPr="00605270">
              <w:t>N</w:t>
            </w:r>
            <w:r w:rsidRPr="00605270">
              <w:rPr>
                <w:vertAlign w:val="subscript"/>
              </w:rPr>
              <w:t>3</w:t>
            </w:r>
          </w:p>
          <w:p w:rsidR="007A3FC6" w:rsidRPr="00605270" w:rsidRDefault="007A3FC6" w:rsidP="004431CE">
            <w:r w:rsidRPr="00605270">
              <w:t>Прицепы: O</w:t>
            </w:r>
            <w:r w:rsidRPr="00605270">
              <w:rPr>
                <w:vertAlign w:val="subscript"/>
              </w:rPr>
              <w:t>3</w:t>
            </w:r>
            <w:r w:rsidRPr="00605270">
              <w:t xml:space="preserve"> и O</w:t>
            </w:r>
            <w:r w:rsidRPr="00605270">
              <w:rPr>
                <w:vertAlign w:val="subscript"/>
              </w:rPr>
              <w:t>4</w:t>
            </w:r>
          </w:p>
        </w:tc>
        <w:tc>
          <w:tcPr>
            <w:cnfStyle w:val="000100000000" w:firstRow="0" w:lastRow="0" w:firstColumn="0" w:lastColumn="1" w:oddVBand="0" w:evenVBand="0" w:oddHBand="0" w:evenHBand="0" w:firstRowFirstColumn="0" w:firstRowLastColumn="0" w:lastRowFirstColumn="0" w:lastRowLastColumn="0"/>
            <w:tcW w:w="2587" w:type="pct"/>
            <w:tcBorders>
              <w:top w:val="single" w:sz="4" w:space="0" w:color="auto"/>
            </w:tcBorders>
          </w:tcPr>
          <w:p w:rsidR="007A3FC6" w:rsidRPr="00605270" w:rsidRDefault="007A3FC6" w:rsidP="004431CE">
            <w:r w:rsidRPr="00605270">
              <w:t xml:space="preserve">Через один год после первого ввода в эксплуатацию или первой регистрации и затем ежегодно </w:t>
            </w:r>
          </w:p>
        </w:tc>
      </w:tr>
    </w:tbl>
    <w:p w:rsidR="007A3FC6" w:rsidRPr="0008570D" w:rsidRDefault="007A3FC6" w:rsidP="007A3FC6">
      <w:pPr>
        <w:pStyle w:val="HChGR"/>
      </w:pPr>
      <w:r w:rsidRPr="0008570D">
        <w:tab/>
      </w:r>
      <w:r w:rsidRPr="0008570D">
        <w:tab/>
        <w:t>4.</w:t>
      </w:r>
      <w:r w:rsidRPr="0008570D">
        <w:tab/>
      </w:r>
      <w:r w:rsidRPr="0008570D">
        <w:tab/>
        <w:t>Технические осмотры</w:t>
      </w:r>
    </w:p>
    <w:p w:rsidR="007A3FC6" w:rsidRPr="0008570D" w:rsidRDefault="007A3FC6" w:rsidP="007A3FC6">
      <w:pPr>
        <w:pStyle w:val="SingleTxtGR"/>
        <w:ind w:left="2268"/>
      </w:pPr>
      <w:r w:rsidRPr="0008570D">
        <w:t>Транспортные средства, к которым применяются настоящие положения, должны подвергаться периодическому техническому осмотру в соответствии с приведенным ниже приложением к настоящему Предписанию.</w:t>
      </w:r>
    </w:p>
    <w:p w:rsidR="007A3FC6" w:rsidRPr="0008570D" w:rsidRDefault="007A3FC6" w:rsidP="007A3FC6">
      <w:pPr>
        <w:pStyle w:val="SingleTxtGR"/>
        <w:ind w:left="2268"/>
      </w:pPr>
      <w:r w:rsidRPr="0008570D">
        <w:t>После проверки соответствие − по крайней мере положениям приложения к настоящему Предписанию − подтверждается международным сертификатом технического осмотра.</w:t>
      </w:r>
    </w:p>
    <w:p w:rsidR="007A3FC6" w:rsidRPr="0008570D" w:rsidRDefault="007A3FC6" w:rsidP="007A3FC6">
      <w:pPr>
        <w:pStyle w:val="HChGR"/>
      </w:pPr>
      <w:r w:rsidRPr="0008570D">
        <w:tab/>
      </w:r>
      <w:r w:rsidRPr="0008570D">
        <w:tab/>
        <w:t>5.</w:t>
      </w:r>
      <w:r w:rsidRPr="0008570D">
        <w:tab/>
      </w:r>
      <w:r w:rsidRPr="0008570D">
        <w:tab/>
        <w:t>Требования, предъявляемые к осмотру</w:t>
      </w:r>
    </w:p>
    <w:p w:rsidR="007A3FC6" w:rsidRPr="0008570D" w:rsidRDefault="007A3FC6" w:rsidP="007A3FC6">
      <w:pPr>
        <w:pStyle w:val="SingleTxtGR"/>
        <w:ind w:left="2268"/>
      </w:pPr>
      <w:r w:rsidRPr="0008570D">
        <w:t>Осмотр охватывает:</w:t>
      </w:r>
    </w:p>
    <w:p w:rsidR="007A3FC6" w:rsidRPr="0008570D" w:rsidRDefault="007A3FC6" w:rsidP="007A3FC6">
      <w:pPr>
        <w:pStyle w:val="SingleTxtGR"/>
      </w:pPr>
      <w:r w:rsidRPr="0008570D">
        <w:t>5.1</w:t>
      </w:r>
      <w:r w:rsidRPr="0008570D">
        <w:tab/>
      </w:r>
      <w:r w:rsidRPr="0008570D">
        <w:tab/>
        <w:t>опознавательные знаки транспортного средства;</w:t>
      </w:r>
    </w:p>
    <w:p w:rsidR="007A3FC6" w:rsidRPr="0008570D" w:rsidRDefault="007A3FC6" w:rsidP="007A3FC6">
      <w:pPr>
        <w:pStyle w:val="SingleTxtGR"/>
      </w:pPr>
      <w:r w:rsidRPr="0008570D">
        <w:t>5.2</w:t>
      </w:r>
      <w:r w:rsidRPr="0008570D">
        <w:tab/>
      </w:r>
      <w:r w:rsidRPr="0008570D">
        <w:tab/>
        <w:t>экологические негативные факторы;</w:t>
      </w:r>
    </w:p>
    <w:p w:rsidR="007A3FC6" w:rsidRPr="0008570D" w:rsidRDefault="007A3FC6" w:rsidP="007A3FC6">
      <w:pPr>
        <w:pStyle w:val="SingleTxtGR"/>
      </w:pPr>
      <w:r w:rsidRPr="0008570D">
        <w:t>5.3</w:t>
      </w:r>
      <w:r w:rsidRPr="0008570D">
        <w:tab/>
      </w:r>
      <w:r w:rsidRPr="0008570D">
        <w:tab/>
        <w:t>шумоизлучение;</w:t>
      </w:r>
    </w:p>
    <w:p w:rsidR="007A3FC6" w:rsidRPr="0008570D" w:rsidRDefault="007A3FC6" w:rsidP="007A3FC6">
      <w:pPr>
        <w:pStyle w:val="SingleTxtGR"/>
      </w:pPr>
      <w:r w:rsidRPr="0008570D">
        <w:t>5.4</w:t>
      </w:r>
      <w:r w:rsidRPr="0008570D">
        <w:tab/>
      </w:r>
      <w:r w:rsidRPr="0008570D">
        <w:tab/>
        <w:t>прочие позиции, имеющие отношение к охране окружающей среды.</w:t>
      </w:r>
    </w:p>
    <w:p w:rsidR="007A3FC6" w:rsidRPr="0008570D" w:rsidRDefault="007A3FC6" w:rsidP="007A3FC6">
      <w:pPr>
        <w:pStyle w:val="HChGR"/>
      </w:pPr>
      <w:r w:rsidRPr="0008570D">
        <w:lastRenderedPageBreak/>
        <w:tab/>
      </w:r>
      <w:r w:rsidRPr="0008570D">
        <w:tab/>
        <w:t>6.</w:t>
      </w:r>
      <w:r w:rsidRPr="0008570D">
        <w:tab/>
      </w:r>
      <w:r w:rsidRPr="0008570D">
        <w:tab/>
        <w:t>Методы проведения осмотра</w:t>
      </w:r>
    </w:p>
    <w:p w:rsidR="007A3FC6" w:rsidRPr="0008570D" w:rsidRDefault="007A3FC6" w:rsidP="007A3FC6">
      <w:pPr>
        <w:pStyle w:val="SingleTxtGR"/>
        <w:ind w:left="2268"/>
        <w:rPr>
          <w:bCs/>
        </w:rPr>
      </w:pPr>
      <w:r w:rsidRPr="0008570D">
        <w:rPr>
          <w:bCs/>
        </w:rPr>
        <w:t>Метод проведения осмотра, предусмотренный в приложении к настоящему Предписанию, соответствует минимальному требованию. Если в качестве соответствующего метода указан визуальный осмотр, то это означает, что инспектор − помимо собственно осмотра − может также трогать детали и узлы, оценивать уровень шума и прочее.</w:t>
      </w:r>
    </w:p>
    <w:p w:rsidR="007A3FC6" w:rsidRPr="0008570D" w:rsidRDefault="007A3FC6" w:rsidP="007A3FC6">
      <w:pPr>
        <w:pStyle w:val="HChGR"/>
      </w:pPr>
      <w:r w:rsidRPr="0008570D">
        <w:tab/>
      </w:r>
      <w:r w:rsidRPr="0008570D">
        <w:tab/>
        <w:t>7.</w:t>
      </w:r>
      <w:r w:rsidRPr="0008570D">
        <w:tab/>
      </w:r>
      <w:r w:rsidRPr="0008570D">
        <w:tab/>
        <w:t>Основные причины для отказа и оценка</w:t>
      </w:r>
      <w:r w:rsidRPr="0008570D">
        <w:br/>
      </w:r>
      <w:r w:rsidRPr="0008570D">
        <w:tab/>
      </w:r>
      <w:r w:rsidRPr="0008570D">
        <w:tab/>
      </w:r>
      <w:r w:rsidRPr="0008570D">
        <w:tab/>
        <w:t>дефектов</w:t>
      </w:r>
    </w:p>
    <w:p w:rsidR="007A3FC6" w:rsidRPr="0008570D" w:rsidRDefault="007A3FC6" w:rsidP="007A3FC6">
      <w:pPr>
        <w:pStyle w:val="SingleTxtGR"/>
        <w:ind w:left="2268"/>
        <w:rPr>
          <w:bCs/>
        </w:rPr>
      </w:pPr>
      <w:r w:rsidRPr="0008570D">
        <w:rPr>
          <w:bCs/>
        </w:rPr>
        <w:t>В приложении к настоящему Предписанию указаны основные причины для отказа и оценка дефектов. Ниже определены три критерия для оценки дефектов.</w:t>
      </w:r>
    </w:p>
    <w:p w:rsidR="007A3FC6" w:rsidRPr="0008570D" w:rsidRDefault="007A3FC6" w:rsidP="007A3FC6">
      <w:pPr>
        <w:pStyle w:val="SingleTxtGR"/>
        <w:ind w:left="2268" w:hanging="1134"/>
        <w:rPr>
          <w:bCs/>
        </w:rPr>
      </w:pPr>
      <w:r w:rsidRPr="0008570D">
        <w:rPr>
          <w:bCs/>
        </w:rPr>
        <w:t>7.1</w:t>
      </w:r>
      <w:r w:rsidRPr="0008570D">
        <w:rPr>
          <w:bCs/>
        </w:rPr>
        <w:tab/>
      </w:r>
      <w:r w:rsidRPr="0008570D">
        <w:rPr>
          <w:bCs/>
        </w:rPr>
        <w:tab/>
        <w:t xml:space="preserve">К </w:t>
      </w:r>
      <w:r>
        <w:rPr>
          <w:bCs/>
        </w:rPr>
        <w:t>«</w:t>
      </w:r>
      <w:r w:rsidRPr="0008570D">
        <w:rPr>
          <w:bCs/>
          <w:i/>
        </w:rPr>
        <w:t>незначительным дефектам</w:t>
      </w:r>
      <w:r>
        <w:rPr>
          <w:bCs/>
        </w:rPr>
        <w:t>»</w:t>
      </w:r>
      <w:r w:rsidRPr="0008570D">
        <w:rPr>
          <w:bCs/>
        </w:rPr>
        <w:t xml:space="preserve"> (НД) относятся технические дефекты, не сказывающиеся существенным образом на безопасности транспортного средства, и другие незначительные несоответствия. Проведение повторного осмотра транспортного средства не требуется, поскольку можно с полным основанием рассчитывать на то, что выявленные дефекты будут безотлагательно устранены.</w:t>
      </w:r>
    </w:p>
    <w:p w:rsidR="007A3FC6" w:rsidRPr="0008570D" w:rsidRDefault="007A3FC6" w:rsidP="007A3FC6">
      <w:pPr>
        <w:pStyle w:val="SingleTxtGR"/>
        <w:ind w:left="2268" w:hanging="1134"/>
        <w:rPr>
          <w:bCs/>
        </w:rPr>
      </w:pPr>
      <w:r w:rsidRPr="0008570D">
        <w:rPr>
          <w:bCs/>
        </w:rPr>
        <w:t>7.2</w:t>
      </w:r>
      <w:r w:rsidRPr="0008570D">
        <w:rPr>
          <w:bCs/>
        </w:rPr>
        <w:tab/>
      </w:r>
      <w:r w:rsidRPr="0008570D">
        <w:rPr>
          <w:bCs/>
        </w:rPr>
        <w:tab/>
        <w:t xml:space="preserve">К </w:t>
      </w:r>
      <w:r>
        <w:rPr>
          <w:bCs/>
        </w:rPr>
        <w:t>«</w:t>
      </w:r>
      <w:r w:rsidRPr="0008570D">
        <w:rPr>
          <w:bCs/>
          <w:i/>
        </w:rPr>
        <w:t>серьезным дефектам</w:t>
      </w:r>
      <w:r>
        <w:rPr>
          <w:bCs/>
        </w:rPr>
        <w:t>»</w:t>
      </w:r>
      <w:r w:rsidRPr="0008570D">
        <w:rPr>
          <w:bCs/>
        </w:rPr>
        <w:t xml:space="preserve"> (СД) относятся дефекты, которые могут нанести ущерб безопасности транспортного средства и/или поставить под угрозу других участников дорожного движения, а также иные более существенные несоответствия. Дальнейшее использование транспортного средства в дорожных условиях без устранения выявленных дефектов не допускается, хотя оно может все же быть отогнано до места проведения ремонтных работ и впоследствии до специальной площадки для проверки качества выполненного ремонта.</w:t>
      </w:r>
    </w:p>
    <w:p w:rsidR="007A3FC6" w:rsidRPr="0008570D" w:rsidRDefault="007A3FC6" w:rsidP="007A3FC6">
      <w:pPr>
        <w:pStyle w:val="SingleTxtGR"/>
        <w:ind w:left="2268" w:hanging="1134"/>
        <w:rPr>
          <w:bCs/>
        </w:rPr>
      </w:pPr>
      <w:r w:rsidRPr="0008570D">
        <w:rPr>
          <w:bCs/>
        </w:rPr>
        <w:t>7.3</w:t>
      </w:r>
      <w:r w:rsidRPr="0008570D">
        <w:rPr>
          <w:bCs/>
        </w:rPr>
        <w:tab/>
      </w:r>
      <w:r w:rsidRPr="0008570D">
        <w:rPr>
          <w:bCs/>
        </w:rPr>
        <w:tab/>
        <w:t xml:space="preserve">К </w:t>
      </w:r>
      <w:r>
        <w:rPr>
          <w:bCs/>
        </w:rPr>
        <w:t>«</w:t>
      </w:r>
      <w:r w:rsidRPr="0008570D">
        <w:rPr>
          <w:bCs/>
          <w:i/>
        </w:rPr>
        <w:t>опасным дефектам</w:t>
      </w:r>
      <w:r>
        <w:rPr>
          <w:bCs/>
        </w:rPr>
        <w:t>»</w:t>
      </w:r>
      <w:r w:rsidRPr="0008570D">
        <w:rPr>
          <w:bCs/>
        </w:rPr>
        <w:t xml:space="preserve"> (ОД) относятся дефекты, которые представляют прямую и непосредственную угрозу для безопасности дорожного движения, причем транспортное средство не должно использоваться в дорожных условиях ни при каких обстоятельствах.</w:t>
      </w:r>
    </w:p>
    <w:p w:rsidR="007A3FC6" w:rsidRPr="0008570D" w:rsidRDefault="007A3FC6" w:rsidP="007A3FC6">
      <w:pPr>
        <w:pStyle w:val="SingleTxtGR"/>
        <w:ind w:left="2268" w:hanging="1134"/>
        <w:rPr>
          <w:bCs/>
        </w:rPr>
      </w:pPr>
      <w:r w:rsidRPr="0008570D">
        <w:rPr>
          <w:bCs/>
        </w:rPr>
        <w:t>7.4</w:t>
      </w:r>
      <w:r w:rsidRPr="0008570D">
        <w:rPr>
          <w:bCs/>
        </w:rPr>
        <w:tab/>
      </w:r>
      <w:r w:rsidRPr="0008570D">
        <w:rPr>
          <w:bCs/>
        </w:rPr>
        <w:tab/>
        <w:t>Транспортное средство, имеющее дефекты, подпадающие под более чем одну группу дефектов, следует классифицировать в</w:t>
      </w:r>
      <w:r w:rsidRPr="0008570D">
        <w:rPr>
          <w:bCs/>
          <w:lang w:val="en-US"/>
        </w:rPr>
        <w:t> </w:t>
      </w:r>
      <w:r w:rsidRPr="0008570D">
        <w:rPr>
          <w:bCs/>
        </w:rPr>
        <w:t>соответствии с наиболее серьезным из выявленных дефектов. Транспортное средство с несколькими дефектами, относящимися к одной и той же группе, может быть включено в следующую порядковую группу, если совокупность имеющихся дефектов делает транспортное средство более опасным в эксплуатации.</w:t>
      </w:r>
    </w:p>
    <w:p w:rsidR="007A3FC6" w:rsidRPr="0008570D" w:rsidRDefault="007A3FC6" w:rsidP="007A3FC6">
      <w:pPr>
        <w:pStyle w:val="HChGR"/>
      </w:pPr>
      <w:r w:rsidRPr="0008570D">
        <w:tab/>
      </w:r>
      <w:r w:rsidRPr="0008570D">
        <w:tab/>
        <w:t>8.</w:t>
      </w:r>
      <w:r w:rsidRPr="0008570D">
        <w:tab/>
      </w:r>
      <w:r w:rsidRPr="0008570D">
        <w:tab/>
        <w:t>Названия и адреса</w:t>
      </w:r>
    </w:p>
    <w:p w:rsidR="007A3FC6" w:rsidRPr="0008570D" w:rsidRDefault="007A3FC6" w:rsidP="007A3FC6">
      <w:pPr>
        <w:pStyle w:val="SingleTxtGR"/>
        <w:ind w:left="2268" w:hanging="1134"/>
      </w:pPr>
      <w:r w:rsidRPr="0008570D">
        <w:tab/>
      </w:r>
      <w:r w:rsidRPr="0008570D">
        <w:tab/>
        <w:t>Договаривающиеся стороны Соглашения, применяющие настоящее Предписание, сообщают в Секретариат Организации Объединенных Наций основную информацию об административных органах, ответственных за осуществление контроля за проведением инспекционных испытаний.</w:t>
      </w:r>
    </w:p>
    <w:p w:rsidR="007A3FC6" w:rsidRPr="0008570D" w:rsidRDefault="007A3FC6" w:rsidP="007A3FC6">
      <w:pPr>
        <w:pStyle w:val="HChGR"/>
        <w:pageBreakBefore/>
      </w:pPr>
      <w:r w:rsidRPr="0008570D">
        <w:rPr>
          <w:bCs/>
        </w:rPr>
        <w:lastRenderedPageBreak/>
        <w:tab/>
      </w:r>
      <w:r w:rsidRPr="0008570D">
        <w:rPr>
          <w:bCs/>
        </w:rPr>
        <w:tab/>
        <w:t>9.</w:t>
      </w:r>
      <w:r w:rsidRPr="0008570D">
        <w:rPr>
          <w:bCs/>
        </w:rPr>
        <w:tab/>
      </w:r>
      <w:r w:rsidRPr="0008570D">
        <w:rPr>
          <w:bCs/>
        </w:rPr>
        <w:tab/>
      </w:r>
      <w:r w:rsidRPr="0008570D">
        <w:t>Переходные положения</w:t>
      </w:r>
    </w:p>
    <w:p w:rsidR="007A3FC6" w:rsidRPr="0008570D" w:rsidRDefault="007A3FC6" w:rsidP="007A3FC6">
      <w:pPr>
        <w:pStyle w:val="SingleTxtGR"/>
        <w:ind w:left="2268" w:hanging="1134"/>
      </w:pPr>
      <w:r w:rsidRPr="0008570D">
        <w:t>9.1</w:t>
      </w:r>
      <w:r w:rsidRPr="0008570D">
        <w:tab/>
      </w:r>
      <w:r w:rsidRPr="0008570D">
        <w:tab/>
        <w:t>По истечении 24 месяцев с даты вступления в силу настоящего пересмотра Договаривающиеся стороны, применяющие настоящее Предписание, выдают международные сертификаты технического осмотра только в том случае, если транспортное средство отвечает требованиям настоящего Предписания с поправками, внесенными на основании пересмотра 2.</w:t>
      </w:r>
    </w:p>
    <w:p w:rsidR="007A3FC6" w:rsidRPr="0008570D" w:rsidRDefault="007A3FC6" w:rsidP="007A3FC6">
      <w:pPr>
        <w:pStyle w:val="SingleTxtGR"/>
        <w:ind w:left="2268" w:hanging="1134"/>
        <w:rPr>
          <w:b/>
          <w:bCs/>
        </w:rPr>
      </w:pPr>
      <w:r w:rsidRPr="0008570D">
        <w:t>9.2</w:t>
      </w:r>
      <w:r w:rsidRPr="0008570D">
        <w:tab/>
      </w:r>
      <w:r w:rsidRPr="0008570D">
        <w:tab/>
        <w:t>Международные сертификаты технического осмотра, выданные в соответствии с предыдущим вариантом пересмотра настоящего Предписания, действительны до истечения указанного в них срока действия.</w:t>
      </w:r>
    </w:p>
    <w:p w:rsidR="007A3FC6" w:rsidRPr="0008570D" w:rsidRDefault="007A3FC6" w:rsidP="007A3FC6">
      <w:pPr>
        <w:pStyle w:val="HChGR"/>
      </w:pPr>
      <w:r w:rsidRPr="0008570D">
        <w:br w:type="page"/>
      </w:r>
      <w:r w:rsidRPr="0008570D">
        <w:lastRenderedPageBreak/>
        <w:tab/>
        <w:t>Приложение</w:t>
      </w:r>
    </w:p>
    <w:p w:rsidR="007A3FC6" w:rsidRPr="0008570D" w:rsidRDefault="007A3FC6" w:rsidP="007A3FC6">
      <w:pPr>
        <w:pStyle w:val="HChGR"/>
      </w:pPr>
      <w:r w:rsidRPr="0008570D">
        <w:tab/>
      </w:r>
      <w:r w:rsidRPr="0008570D">
        <w:tab/>
        <w:t>Минимальные требования, предъявляемые к осмотру</w:t>
      </w:r>
    </w:p>
    <w:p w:rsidR="007A3FC6" w:rsidRPr="0008570D" w:rsidRDefault="007A3FC6" w:rsidP="007A3FC6">
      <w:pPr>
        <w:pStyle w:val="HChGR"/>
      </w:pPr>
      <w:r w:rsidRPr="0008570D">
        <w:tab/>
        <w:t>1.</w:t>
      </w:r>
      <w:r w:rsidRPr="0008570D">
        <w:tab/>
      </w:r>
      <w:r w:rsidRPr="0008570D">
        <w:tab/>
        <w:t>Область применения</w:t>
      </w:r>
    </w:p>
    <w:p w:rsidR="007A3FC6" w:rsidRPr="0008570D" w:rsidRDefault="007A3FC6" w:rsidP="007A3FC6">
      <w:pPr>
        <w:pStyle w:val="SingleTxtGR"/>
      </w:pPr>
      <w:r w:rsidRPr="0008570D">
        <w:t>Осмотр охватывает по крайней мере перечисленные ниже позиции.</w:t>
      </w:r>
    </w:p>
    <w:p w:rsidR="007A3FC6" w:rsidRPr="0008570D" w:rsidRDefault="007A3FC6" w:rsidP="007A3FC6">
      <w:pPr>
        <w:pStyle w:val="HChGR"/>
      </w:pPr>
      <w:r w:rsidRPr="0008570D">
        <w:tab/>
        <w:t>2.</w:t>
      </w:r>
      <w:r w:rsidRPr="0008570D">
        <w:tab/>
      </w:r>
      <w:r w:rsidRPr="0008570D">
        <w:tab/>
        <w:t>Опознавательные знаки транспортного</w:t>
      </w:r>
      <w:r>
        <w:t xml:space="preserve"> </w:t>
      </w:r>
      <w:r w:rsidRPr="0008570D">
        <w:t>средства</w:t>
      </w:r>
    </w:p>
    <w:tbl>
      <w:tblPr>
        <w:tblStyle w:val="TabTxt"/>
        <w:tblW w:w="7370" w:type="dxa"/>
        <w:tblInd w:w="113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5E0" w:firstRow="1" w:lastRow="1" w:firstColumn="1" w:lastColumn="1" w:noHBand="0" w:noVBand="1"/>
      </w:tblPr>
      <w:tblGrid>
        <w:gridCol w:w="2067"/>
        <w:gridCol w:w="1134"/>
        <w:gridCol w:w="2715"/>
        <w:gridCol w:w="504"/>
        <w:gridCol w:w="447"/>
        <w:gridCol w:w="503"/>
      </w:tblGrid>
      <w:tr w:rsidR="007A3FC6" w:rsidRPr="00605270" w:rsidTr="004431CE">
        <w:trPr>
          <w:trHeight w:val="397"/>
          <w:tblHeader/>
        </w:trPr>
        <w:tc>
          <w:tcPr>
            <w:tcW w:w="1402" w:type="pct"/>
            <w:vMerge w:val="restart"/>
            <w:shd w:val="clear" w:color="auto" w:fill="auto"/>
            <w:vAlign w:val="bottom"/>
          </w:tcPr>
          <w:p w:rsidR="007A3FC6" w:rsidRPr="00605270" w:rsidRDefault="007A3FC6" w:rsidP="004431CE">
            <w:pPr>
              <w:suppressAutoHyphens w:val="0"/>
              <w:spacing w:before="80" w:after="80" w:line="200" w:lineRule="exact"/>
              <w:rPr>
                <w:i/>
                <w:sz w:val="16"/>
                <w:szCs w:val="16"/>
              </w:rPr>
            </w:pPr>
            <w:r w:rsidRPr="00605270">
              <w:rPr>
                <w:i/>
                <w:sz w:val="16"/>
                <w:szCs w:val="16"/>
              </w:rPr>
              <w:br w:type="page"/>
              <w:t>Позиция</w:t>
            </w:r>
          </w:p>
        </w:tc>
        <w:tc>
          <w:tcPr>
            <w:tcW w:w="769" w:type="pct"/>
            <w:vMerge w:val="restart"/>
            <w:shd w:val="clear" w:color="auto" w:fill="auto"/>
            <w:vAlign w:val="bottom"/>
          </w:tcPr>
          <w:p w:rsidR="007A3FC6" w:rsidRPr="00605270" w:rsidRDefault="007A3FC6" w:rsidP="004431CE">
            <w:pPr>
              <w:suppressAutoHyphens w:val="0"/>
              <w:spacing w:before="80" w:after="80" w:line="200" w:lineRule="exact"/>
              <w:rPr>
                <w:i/>
                <w:sz w:val="16"/>
                <w:szCs w:val="16"/>
              </w:rPr>
            </w:pPr>
            <w:r w:rsidRPr="00605270">
              <w:rPr>
                <w:i/>
                <w:sz w:val="16"/>
                <w:szCs w:val="16"/>
              </w:rPr>
              <w:t>Метод</w:t>
            </w:r>
          </w:p>
        </w:tc>
        <w:tc>
          <w:tcPr>
            <w:tcW w:w="1842" w:type="pct"/>
            <w:vMerge w:val="restart"/>
            <w:shd w:val="clear" w:color="auto" w:fill="auto"/>
            <w:vAlign w:val="bottom"/>
          </w:tcPr>
          <w:p w:rsidR="007A3FC6" w:rsidRPr="00605270" w:rsidRDefault="007A3FC6" w:rsidP="004431CE">
            <w:pPr>
              <w:suppressAutoHyphens w:val="0"/>
              <w:spacing w:before="80" w:after="80" w:line="200" w:lineRule="exact"/>
              <w:rPr>
                <w:i/>
                <w:sz w:val="16"/>
                <w:szCs w:val="16"/>
              </w:rPr>
            </w:pPr>
            <w:r w:rsidRPr="00605270">
              <w:rPr>
                <w:i/>
                <w:sz w:val="16"/>
                <w:szCs w:val="16"/>
              </w:rPr>
              <w:t>Основные причины для отказа</w:t>
            </w:r>
          </w:p>
        </w:tc>
        <w:tc>
          <w:tcPr>
            <w:cnfStyle w:val="000100000000" w:firstRow="0" w:lastRow="0" w:firstColumn="0" w:lastColumn="1" w:oddVBand="0" w:evenVBand="0" w:oddHBand="0" w:evenHBand="0" w:firstRowFirstColumn="0" w:firstRowLastColumn="0" w:lastRowFirstColumn="0" w:lastRowLastColumn="0"/>
            <w:tcW w:w="986" w:type="pct"/>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auto"/>
            <w:vAlign w:val="bottom"/>
          </w:tcPr>
          <w:p w:rsidR="007A3FC6" w:rsidRPr="00605270" w:rsidRDefault="007A3FC6" w:rsidP="004431CE">
            <w:pPr>
              <w:suppressAutoHyphens w:val="0"/>
              <w:spacing w:before="80" w:after="80" w:line="200" w:lineRule="exact"/>
              <w:jc w:val="center"/>
              <w:rPr>
                <w:i/>
                <w:sz w:val="16"/>
                <w:szCs w:val="16"/>
              </w:rPr>
            </w:pPr>
            <w:r w:rsidRPr="00605270">
              <w:rPr>
                <w:i/>
                <w:sz w:val="16"/>
                <w:szCs w:val="16"/>
              </w:rPr>
              <w:t>Оценка дефектов</w:t>
            </w:r>
          </w:p>
        </w:tc>
      </w:tr>
      <w:tr w:rsidR="007A3FC6" w:rsidRPr="00605270" w:rsidTr="00316D93">
        <w:trPr>
          <w:trHeight w:val="170"/>
          <w:tblHeader/>
        </w:trPr>
        <w:tc>
          <w:tcPr>
            <w:tcW w:w="1402" w:type="pct"/>
            <w:vMerge/>
            <w:tcBorders>
              <w:bottom w:val="single" w:sz="12" w:space="0" w:color="auto"/>
            </w:tcBorders>
            <w:shd w:val="clear" w:color="auto" w:fill="auto"/>
            <w:vAlign w:val="bottom"/>
          </w:tcPr>
          <w:p w:rsidR="007A3FC6" w:rsidRPr="00605270" w:rsidRDefault="007A3FC6" w:rsidP="004431CE">
            <w:pPr>
              <w:suppressAutoHyphens w:val="0"/>
              <w:spacing w:before="80" w:after="80" w:line="200" w:lineRule="exact"/>
              <w:rPr>
                <w:i/>
                <w:sz w:val="16"/>
                <w:szCs w:val="16"/>
              </w:rPr>
            </w:pPr>
          </w:p>
        </w:tc>
        <w:tc>
          <w:tcPr>
            <w:tcW w:w="769" w:type="pct"/>
            <w:vMerge/>
            <w:tcBorders>
              <w:bottom w:val="single" w:sz="12" w:space="0" w:color="auto"/>
            </w:tcBorders>
            <w:shd w:val="clear" w:color="auto" w:fill="auto"/>
            <w:vAlign w:val="bottom"/>
          </w:tcPr>
          <w:p w:rsidR="007A3FC6" w:rsidRPr="00605270" w:rsidRDefault="007A3FC6" w:rsidP="004431CE">
            <w:pPr>
              <w:suppressAutoHyphens w:val="0"/>
              <w:spacing w:before="80" w:after="80" w:line="200" w:lineRule="exact"/>
              <w:rPr>
                <w:i/>
                <w:sz w:val="16"/>
                <w:szCs w:val="16"/>
              </w:rPr>
            </w:pPr>
          </w:p>
        </w:tc>
        <w:tc>
          <w:tcPr>
            <w:tcW w:w="1842" w:type="pct"/>
            <w:vMerge/>
            <w:tcBorders>
              <w:bottom w:val="single" w:sz="12" w:space="0" w:color="auto"/>
            </w:tcBorders>
            <w:shd w:val="clear" w:color="auto" w:fill="auto"/>
            <w:vAlign w:val="bottom"/>
          </w:tcPr>
          <w:p w:rsidR="007A3FC6" w:rsidRPr="00605270" w:rsidRDefault="007A3FC6" w:rsidP="004431CE">
            <w:pPr>
              <w:suppressAutoHyphens w:val="0"/>
              <w:spacing w:before="80" w:after="80" w:line="200" w:lineRule="exact"/>
              <w:rPr>
                <w:i/>
                <w:sz w:val="16"/>
                <w:szCs w:val="16"/>
              </w:rPr>
            </w:pPr>
          </w:p>
        </w:tc>
        <w:tc>
          <w:tcPr>
            <w:tcW w:w="342" w:type="pct"/>
            <w:tcBorders>
              <w:bottom w:val="single" w:sz="12" w:space="0" w:color="auto"/>
            </w:tcBorders>
            <w:shd w:val="clear" w:color="auto" w:fill="auto"/>
            <w:vAlign w:val="bottom"/>
          </w:tcPr>
          <w:p w:rsidR="007A3FC6" w:rsidRPr="00605270" w:rsidRDefault="007A3FC6" w:rsidP="00316D93">
            <w:pPr>
              <w:suppressAutoHyphens w:val="0"/>
              <w:spacing w:before="80" w:after="80" w:line="200" w:lineRule="exact"/>
              <w:jc w:val="center"/>
              <w:rPr>
                <w:b/>
                <w:i/>
                <w:sz w:val="16"/>
                <w:szCs w:val="16"/>
              </w:rPr>
            </w:pPr>
            <w:r w:rsidRPr="00605270">
              <w:rPr>
                <w:b/>
                <w:i/>
                <w:sz w:val="16"/>
                <w:szCs w:val="16"/>
              </w:rPr>
              <w:t>НД</w:t>
            </w:r>
          </w:p>
        </w:tc>
        <w:tc>
          <w:tcPr>
            <w:tcW w:w="303" w:type="pct"/>
            <w:tcBorders>
              <w:bottom w:val="single" w:sz="12" w:space="0" w:color="auto"/>
            </w:tcBorders>
            <w:shd w:val="clear" w:color="auto" w:fill="auto"/>
            <w:vAlign w:val="bottom"/>
          </w:tcPr>
          <w:p w:rsidR="007A3FC6" w:rsidRPr="00605270" w:rsidRDefault="007A3FC6" w:rsidP="00316D93">
            <w:pPr>
              <w:suppressAutoHyphens w:val="0"/>
              <w:spacing w:before="80" w:after="80" w:line="200" w:lineRule="exact"/>
              <w:jc w:val="center"/>
              <w:rPr>
                <w:b/>
                <w:i/>
                <w:sz w:val="16"/>
                <w:szCs w:val="16"/>
              </w:rPr>
            </w:pPr>
            <w:r w:rsidRPr="00605270">
              <w:rPr>
                <w:b/>
                <w:i/>
                <w:sz w:val="16"/>
                <w:szCs w:val="16"/>
              </w:rPr>
              <w:t>СД</w:t>
            </w:r>
          </w:p>
        </w:tc>
        <w:tc>
          <w:tcPr>
            <w:cnfStyle w:val="000100000000" w:firstRow="0" w:lastRow="0" w:firstColumn="0" w:lastColumn="1" w:oddVBand="0" w:evenVBand="0" w:oddHBand="0" w:evenHBand="0" w:firstRowFirstColumn="0" w:firstRowLastColumn="0" w:lastRowFirstColumn="0" w:lastRowLastColumn="0"/>
            <w:tcW w:w="341" w:type="pct"/>
            <w:tcBorders>
              <w:bottom w:val="single" w:sz="12" w:space="0" w:color="auto"/>
              <w:right w:val="single" w:sz="4" w:space="0" w:color="auto"/>
            </w:tcBorders>
            <w:shd w:val="clear" w:color="auto" w:fill="auto"/>
            <w:vAlign w:val="bottom"/>
          </w:tcPr>
          <w:p w:rsidR="007A3FC6" w:rsidRPr="00605270" w:rsidRDefault="007A3FC6" w:rsidP="00316D93">
            <w:pPr>
              <w:suppressAutoHyphens w:val="0"/>
              <w:spacing w:before="80" w:after="80" w:line="200" w:lineRule="exact"/>
              <w:jc w:val="center"/>
              <w:rPr>
                <w:b/>
                <w:i/>
                <w:sz w:val="16"/>
                <w:szCs w:val="16"/>
              </w:rPr>
            </w:pPr>
            <w:r w:rsidRPr="00605270">
              <w:rPr>
                <w:b/>
                <w:i/>
                <w:sz w:val="16"/>
                <w:szCs w:val="16"/>
              </w:rPr>
              <w:t>ОД</w:t>
            </w:r>
          </w:p>
        </w:tc>
      </w:tr>
      <w:tr w:rsidR="007A3FC6" w:rsidRPr="00605270" w:rsidTr="00316D93">
        <w:trPr>
          <w:trHeight w:val="1175"/>
        </w:trPr>
        <w:tc>
          <w:tcPr>
            <w:tcW w:w="1402" w:type="pct"/>
            <w:vMerge w:val="restart"/>
            <w:tcBorders>
              <w:top w:val="single" w:sz="12" w:space="0" w:color="auto"/>
            </w:tcBorders>
          </w:tcPr>
          <w:p w:rsidR="007A3FC6" w:rsidRPr="004B7CC2" w:rsidRDefault="007A3FC6" w:rsidP="004431CE">
            <w:pPr>
              <w:rPr>
                <w:szCs w:val="20"/>
              </w:rPr>
            </w:pPr>
            <w:r w:rsidRPr="004B7CC2">
              <w:rPr>
                <w:szCs w:val="20"/>
              </w:rPr>
              <w:t>2.1 Регистрационные номерные знаки (если их наличие предписано требованиями</w:t>
            </w:r>
            <w:r w:rsidRPr="00316D93">
              <w:rPr>
                <w:i/>
                <w:sz w:val="18"/>
                <w:szCs w:val="18"/>
                <w:vertAlign w:val="superscript"/>
              </w:rPr>
              <w:t>a</w:t>
            </w:r>
            <w:r w:rsidRPr="004B7CC2">
              <w:rPr>
                <w:szCs w:val="20"/>
              </w:rPr>
              <w:t>)</w:t>
            </w:r>
          </w:p>
        </w:tc>
        <w:tc>
          <w:tcPr>
            <w:tcW w:w="769" w:type="pct"/>
            <w:vMerge w:val="restart"/>
            <w:tcBorders>
              <w:top w:val="single" w:sz="12" w:space="0" w:color="auto"/>
            </w:tcBorders>
          </w:tcPr>
          <w:p w:rsidR="007A3FC6" w:rsidRPr="004B7CC2" w:rsidRDefault="007A3FC6" w:rsidP="004431CE">
            <w:pPr>
              <w:rPr>
                <w:szCs w:val="20"/>
              </w:rPr>
            </w:pPr>
            <w:r w:rsidRPr="004B7CC2">
              <w:rPr>
                <w:szCs w:val="20"/>
              </w:rPr>
              <w:t>Визуальный осмотр</w:t>
            </w:r>
          </w:p>
        </w:tc>
        <w:tc>
          <w:tcPr>
            <w:tcW w:w="1842" w:type="pct"/>
            <w:tcBorders>
              <w:top w:val="single" w:sz="12" w:space="0" w:color="auto"/>
              <w:bottom w:val="nil"/>
            </w:tcBorders>
          </w:tcPr>
          <w:p w:rsidR="007A3FC6" w:rsidRPr="004B7CC2" w:rsidRDefault="007A3FC6" w:rsidP="004431CE">
            <w:pPr>
              <w:tabs>
                <w:tab w:val="left" w:pos="279"/>
              </w:tabs>
              <w:ind w:left="278" w:hanging="278"/>
              <w:rPr>
                <w:szCs w:val="20"/>
              </w:rPr>
            </w:pPr>
            <w:r w:rsidRPr="004B7CC2">
              <w:rPr>
                <w:szCs w:val="20"/>
              </w:rPr>
              <w:t>а)</w:t>
            </w:r>
            <w:r w:rsidRPr="004B7CC2">
              <w:rPr>
                <w:szCs w:val="20"/>
              </w:rPr>
              <w:tab/>
              <w:t>Номерной(ые) знак(и) отсутствует(ют) или закреплен(ы) настолько ненадежно, что он(и) может (могут) отвалиться</w:t>
            </w:r>
          </w:p>
        </w:tc>
        <w:tc>
          <w:tcPr>
            <w:tcW w:w="342" w:type="pct"/>
            <w:tcBorders>
              <w:top w:val="single" w:sz="12" w:space="0" w:color="auto"/>
              <w:bottom w:val="nil"/>
            </w:tcBorders>
            <w:vAlign w:val="bottom"/>
          </w:tcPr>
          <w:p w:rsidR="007A3FC6" w:rsidRPr="004B7CC2" w:rsidRDefault="007A3FC6" w:rsidP="00316D93">
            <w:pPr>
              <w:jc w:val="center"/>
              <w:rPr>
                <w:szCs w:val="20"/>
              </w:rPr>
            </w:pPr>
          </w:p>
        </w:tc>
        <w:tc>
          <w:tcPr>
            <w:tcW w:w="303" w:type="pct"/>
            <w:tcBorders>
              <w:top w:val="single" w:sz="12" w:space="0" w:color="auto"/>
              <w:bottom w:val="nil"/>
            </w:tcBorders>
          </w:tcPr>
          <w:p w:rsidR="007A3FC6" w:rsidRPr="004B7CC2" w:rsidRDefault="007A3FC6" w:rsidP="00316D93">
            <w:pPr>
              <w:jc w:val="center"/>
              <w:rPr>
                <w:szCs w:val="20"/>
              </w:rPr>
            </w:pPr>
            <w:r w:rsidRPr="004B7CC2">
              <w:rPr>
                <w:szCs w:val="20"/>
              </w:rPr>
              <w:t>X</w:t>
            </w:r>
          </w:p>
        </w:tc>
        <w:tc>
          <w:tcPr>
            <w:cnfStyle w:val="000100000000" w:firstRow="0" w:lastRow="0" w:firstColumn="0" w:lastColumn="1" w:oddVBand="0" w:evenVBand="0" w:oddHBand="0" w:evenHBand="0" w:firstRowFirstColumn="0" w:firstRowLastColumn="0" w:lastRowFirstColumn="0" w:lastRowLastColumn="0"/>
            <w:tcW w:w="341" w:type="pct"/>
            <w:vMerge w:val="restart"/>
            <w:tcBorders>
              <w:top w:val="single" w:sz="12" w:space="0" w:color="auto"/>
              <w:bottom w:val="single" w:sz="4" w:space="0" w:color="auto"/>
              <w:right w:val="single" w:sz="4" w:space="0" w:color="auto"/>
            </w:tcBorders>
            <w:vAlign w:val="bottom"/>
          </w:tcPr>
          <w:p w:rsidR="007A3FC6" w:rsidRPr="00605270" w:rsidRDefault="007A3FC6" w:rsidP="00316D93">
            <w:pPr>
              <w:jc w:val="center"/>
              <w:rPr>
                <w:sz w:val="18"/>
                <w:szCs w:val="18"/>
              </w:rPr>
            </w:pPr>
          </w:p>
        </w:tc>
      </w:tr>
      <w:tr w:rsidR="007A3FC6" w:rsidRPr="00605270" w:rsidTr="004431CE">
        <w:trPr>
          <w:trHeight w:val="575"/>
        </w:trPr>
        <w:tc>
          <w:tcPr>
            <w:tcW w:w="1402" w:type="pct"/>
            <w:vMerge/>
          </w:tcPr>
          <w:p w:rsidR="007A3FC6" w:rsidRPr="004B7CC2" w:rsidRDefault="007A3FC6" w:rsidP="004431CE">
            <w:pPr>
              <w:rPr>
                <w:szCs w:val="20"/>
              </w:rPr>
            </w:pPr>
          </w:p>
        </w:tc>
        <w:tc>
          <w:tcPr>
            <w:tcW w:w="769" w:type="pct"/>
            <w:vMerge/>
          </w:tcPr>
          <w:p w:rsidR="007A3FC6" w:rsidRPr="004B7CC2" w:rsidRDefault="007A3FC6" w:rsidP="004431CE">
            <w:pPr>
              <w:rPr>
                <w:szCs w:val="20"/>
              </w:rPr>
            </w:pPr>
          </w:p>
        </w:tc>
        <w:tc>
          <w:tcPr>
            <w:tcW w:w="1842" w:type="pct"/>
            <w:tcBorders>
              <w:top w:val="nil"/>
              <w:bottom w:val="nil"/>
            </w:tcBorders>
          </w:tcPr>
          <w:p w:rsidR="007A3FC6" w:rsidRPr="004B7CC2" w:rsidRDefault="007A3FC6" w:rsidP="004431CE">
            <w:pPr>
              <w:tabs>
                <w:tab w:val="left" w:pos="279"/>
              </w:tabs>
              <w:ind w:left="278" w:hanging="278"/>
              <w:rPr>
                <w:szCs w:val="20"/>
              </w:rPr>
            </w:pPr>
            <w:r w:rsidRPr="004B7CC2">
              <w:rPr>
                <w:szCs w:val="20"/>
              </w:rPr>
              <w:t>b)</w:t>
            </w:r>
            <w:r w:rsidRPr="004B7CC2">
              <w:rPr>
                <w:szCs w:val="20"/>
              </w:rPr>
              <w:tab/>
              <w:t>Надп</w:t>
            </w:r>
            <w:r>
              <w:rPr>
                <w:szCs w:val="20"/>
              </w:rPr>
              <w:t>ись отсутствует или неразборчив</w:t>
            </w:r>
            <w:r w:rsidR="00316D93">
              <w:rPr>
                <w:szCs w:val="20"/>
              </w:rPr>
              <w:t>а</w:t>
            </w:r>
          </w:p>
        </w:tc>
        <w:tc>
          <w:tcPr>
            <w:tcW w:w="342" w:type="pct"/>
            <w:tcBorders>
              <w:top w:val="nil"/>
              <w:bottom w:val="nil"/>
            </w:tcBorders>
          </w:tcPr>
          <w:p w:rsidR="007A3FC6" w:rsidRPr="004B7CC2" w:rsidRDefault="007A3FC6" w:rsidP="004431CE">
            <w:pPr>
              <w:rPr>
                <w:szCs w:val="20"/>
              </w:rPr>
            </w:pPr>
          </w:p>
        </w:tc>
        <w:tc>
          <w:tcPr>
            <w:tcW w:w="303" w:type="pct"/>
            <w:tcBorders>
              <w:top w:val="nil"/>
              <w:bottom w:val="nil"/>
            </w:tcBorders>
          </w:tcPr>
          <w:p w:rsidR="007A3FC6" w:rsidRPr="004B7CC2" w:rsidRDefault="007A3FC6" w:rsidP="00316D93">
            <w:pPr>
              <w:jc w:val="center"/>
              <w:rPr>
                <w:szCs w:val="20"/>
              </w:rPr>
            </w:pPr>
            <w:r w:rsidRPr="004B7CC2">
              <w:rPr>
                <w:szCs w:val="20"/>
              </w:rPr>
              <w:t>X</w:t>
            </w:r>
          </w:p>
        </w:tc>
        <w:tc>
          <w:tcPr>
            <w:cnfStyle w:val="000100000000" w:firstRow="0" w:lastRow="0" w:firstColumn="0" w:lastColumn="1" w:oddVBand="0" w:evenVBand="0" w:oddHBand="0" w:evenHBand="0" w:firstRowFirstColumn="0" w:firstRowLastColumn="0" w:lastRowFirstColumn="0" w:lastRowLastColumn="0"/>
            <w:tcW w:w="341" w:type="pct"/>
            <w:vMerge/>
            <w:tcBorders>
              <w:bottom w:val="single" w:sz="4" w:space="0" w:color="auto"/>
              <w:right w:val="single" w:sz="4" w:space="0" w:color="auto"/>
            </w:tcBorders>
          </w:tcPr>
          <w:p w:rsidR="007A3FC6" w:rsidRPr="00605270" w:rsidRDefault="007A3FC6" w:rsidP="004431CE">
            <w:pPr>
              <w:rPr>
                <w:sz w:val="18"/>
                <w:szCs w:val="18"/>
              </w:rPr>
            </w:pPr>
          </w:p>
        </w:tc>
      </w:tr>
      <w:tr w:rsidR="007A3FC6" w:rsidRPr="00605270" w:rsidTr="004431CE">
        <w:trPr>
          <w:trHeight w:val="1010"/>
        </w:trPr>
        <w:tc>
          <w:tcPr>
            <w:tcW w:w="1402" w:type="pct"/>
            <w:vMerge/>
            <w:tcBorders>
              <w:bottom w:val="single" w:sz="4" w:space="0" w:color="auto"/>
            </w:tcBorders>
          </w:tcPr>
          <w:p w:rsidR="007A3FC6" w:rsidRPr="004B7CC2" w:rsidRDefault="007A3FC6" w:rsidP="004431CE">
            <w:pPr>
              <w:rPr>
                <w:szCs w:val="20"/>
              </w:rPr>
            </w:pPr>
          </w:p>
        </w:tc>
        <w:tc>
          <w:tcPr>
            <w:tcW w:w="769" w:type="pct"/>
            <w:vMerge/>
            <w:tcBorders>
              <w:bottom w:val="single" w:sz="4" w:space="0" w:color="auto"/>
            </w:tcBorders>
          </w:tcPr>
          <w:p w:rsidR="007A3FC6" w:rsidRPr="004B7CC2" w:rsidRDefault="007A3FC6" w:rsidP="004431CE">
            <w:pPr>
              <w:rPr>
                <w:szCs w:val="20"/>
              </w:rPr>
            </w:pPr>
          </w:p>
        </w:tc>
        <w:tc>
          <w:tcPr>
            <w:tcW w:w="1842" w:type="pct"/>
            <w:tcBorders>
              <w:top w:val="nil"/>
              <w:bottom w:val="single" w:sz="4" w:space="0" w:color="auto"/>
            </w:tcBorders>
          </w:tcPr>
          <w:p w:rsidR="007A3FC6" w:rsidRPr="004B7CC2" w:rsidRDefault="007A3FC6" w:rsidP="004431CE">
            <w:pPr>
              <w:tabs>
                <w:tab w:val="left" w:pos="279"/>
              </w:tabs>
              <w:ind w:left="278" w:hanging="278"/>
              <w:rPr>
                <w:szCs w:val="20"/>
              </w:rPr>
            </w:pPr>
            <w:r w:rsidRPr="004B7CC2">
              <w:rPr>
                <w:szCs w:val="20"/>
              </w:rPr>
              <w:t>с)</w:t>
            </w:r>
            <w:r w:rsidRPr="004B7CC2">
              <w:rPr>
                <w:szCs w:val="20"/>
              </w:rPr>
              <w:tab/>
              <w:t>Не соответствует документам или протоколам на транспортное средство</w:t>
            </w:r>
          </w:p>
        </w:tc>
        <w:tc>
          <w:tcPr>
            <w:tcW w:w="342" w:type="pct"/>
            <w:tcBorders>
              <w:top w:val="nil"/>
              <w:bottom w:val="single" w:sz="4" w:space="0" w:color="auto"/>
            </w:tcBorders>
          </w:tcPr>
          <w:p w:rsidR="007A3FC6" w:rsidRPr="004B7CC2" w:rsidRDefault="007A3FC6" w:rsidP="004431CE">
            <w:pPr>
              <w:rPr>
                <w:szCs w:val="20"/>
              </w:rPr>
            </w:pPr>
          </w:p>
        </w:tc>
        <w:tc>
          <w:tcPr>
            <w:tcW w:w="303" w:type="pct"/>
            <w:tcBorders>
              <w:top w:val="nil"/>
              <w:bottom w:val="single" w:sz="4" w:space="0" w:color="auto"/>
            </w:tcBorders>
          </w:tcPr>
          <w:p w:rsidR="007A3FC6" w:rsidRPr="004B7CC2" w:rsidRDefault="007A3FC6" w:rsidP="00316D93">
            <w:pPr>
              <w:jc w:val="center"/>
              <w:rPr>
                <w:szCs w:val="20"/>
              </w:rPr>
            </w:pPr>
            <w:r w:rsidRPr="004B7CC2">
              <w:rPr>
                <w:szCs w:val="20"/>
              </w:rPr>
              <w:t>X</w:t>
            </w:r>
          </w:p>
        </w:tc>
        <w:tc>
          <w:tcPr>
            <w:cnfStyle w:val="000100000000" w:firstRow="0" w:lastRow="0" w:firstColumn="0" w:lastColumn="1" w:oddVBand="0" w:evenVBand="0" w:oddHBand="0" w:evenHBand="0" w:firstRowFirstColumn="0" w:firstRowLastColumn="0" w:lastRowFirstColumn="0" w:lastRowLastColumn="0"/>
            <w:tcW w:w="341" w:type="pct"/>
            <w:vMerge/>
            <w:tcBorders>
              <w:bottom w:val="single" w:sz="4" w:space="0" w:color="auto"/>
              <w:right w:val="single" w:sz="4" w:space="0" w:color="auto"/>
            </w:tcBorders>
          </w:tcPr>
          <w:p w:rsidR="007A3FC6" w:rsidRPr="00605270" w:rsidRDefault="007A3FC6" w:rsidP="004431CE">
            <w:pPr>
              <w:rPr>
                <w:sz w:val="18"/>
                <w:szCs w:val="18"/>
              </w:rPr>
            </w:pPr>
          </w:p>
        </w:tc>
      </w:tr>
      <w:tr w:rsidR="007A3FC6" w:rsidRPr="00605270" w:rsidTr="004431CE">
        <w:trPr>
          <w:trHeight w:val="611"/>
        </w:trPr>
        <w:tc>
          <w:tcPr>
            <w:tcW w:w="1402" w:type="pct"/>
            <w:vMerge w:val="restart"/>
            <w:tcBorders>
              <w:bottom w:val="single" w:sz="12" w:space="0" w:color="auto"/>
            </w:tcBorders>
          </w:tcPr>
          <w:p w:rsidR="007A3FC6" w:rsidRPr="004B7CC2" w:rsidRDefault="007A3FC6" w:rsidP="004431CE">
            <w:pPr>
              <w:rPr>
                <w:szCs w:val="20"/>
              </w:rPr>
            </w:pPr>
            <w:r w:rsidRPr="004B7CC2">
              <w:rPr>
                <w:szCs w:val="20"/>
              </w:rPr>
              <w:t>2.2 Идентификацион</w:t>
            </w:r>
            <w:r>
              <w:rPr>
                <w:szCs w:val="20"/>
              </w:rPr>
              <w:t>-</w:t>
            </w:r>
            <w:r w:rsidRPr="004B7CC2">
              <w:rPr>
                <w:szCs w:val="20"/>
              </w:rPr>
              <w:t>ный номер шасси/ серийный номер транспортного средства</w:t>
            </w:r>
          </w:p>
        </w:tc>
        <w:tc>
          <w:tcPr>
            <w:tcW w:w="769" w:type="pct"/>
            <w:vMerge w:val="restart"/>
            <w:tcBorders>
              <w:bottom w:val="single" w:sz="12" w:space="0" w:color="auto"/>
            </w:tcBorders>
          </w:tcPr>
          <w:p w:rsidR="007A3FC6" w:rsidRPr="004B7CC2" w:rsidRDefault="007A3FC6" w:rsidP="004431CE">
            <w:pPr>
              <w:rPr>
                <w:szCs w:val="20"/>
              </w:rPr>
            </w:pPr>
            <w:r w:rsidRPr="004B7CC2">
              <w:rPr>
                <w:szCs w:val="20"/>
              </w:rPr>
              <w:t>Визуальный осмотр</w:t>
            </w:r>
          </w:p>
        </w:tc>
        <w:tc>
          <w:tcPr>
            <w:tcW w:w="1842" w:type="pct"/>
            <w:tcBorders>
              <w:bottom w:val="nil"/>
            </w:tcBorders>
          </w:tcPr>
          <w:p w:rsidR="007A3FC6" w:rsidRPr="004B7CC2" w:rsidRDefault="007A3FC6" w:rsidP="004431CE">
            <w:pPr>
              <w:ind w:left="278" w:hanging="278"/>
              <w:rPr>
                <w:szCs w:val="20"/>
              </w:rPr>
            </w:pPr>
            <w:r w:rsidRPr="004B7CC2">
              <w:rPr>
                <w:szCs w:val="20"/>
              </w:rPr>
              <w:t>a)</w:t>
            </w:r>
            <w:r w:rsidRPr="004B7CC2">
              <w:rPr>
                <w:szCs w:val="20"/>
              </w:rPr>
              <w:tab/>
              <w:t>Отсутствует или невозможно найти</w:t>
            </w:r>
          </w:p>
        </w:tc>
        <w:tc>
          <w:tcPr>
            <w:tcW w:w="342" w:type="pct"/>
            <w:tcBorders>
              <w:bottom w:val="nil"/>
            </w:tcBorders>
          </w:tcPr>
          <w:p w:rsidR="007A3FC6" w:rsidRPr="004B7CC2" w:rsidRDefault="007A3FC6" w:rsidP="004431CE">
            <w:pPr>
              <w:spacing w:before="0"/>
              <w:rPr>
                <w:szCs w:val="20"/>
              </w:rPr>
            </w:pPr>
          </w:p>
        </w:tc>
        <w:tc>
          <w:tcPr>
            <w:tcW w:w="303" w:type="pct"/>
            <w:tcBorders>
              <w:bottom w:val="nil"/>
            </w:tcBorders>
          </w:tcPr>
          <w:p w:rsidR="007A3FC6" w:rsidRPr="004B7CC2" w:rsidRDefault="007A3FC6" w:rsidP="00316D93">
            <w:pPr>
              <w:jc w:val="center"/>
              <w:rPr>
                <w:szCs w:val="20"/>
              </w:rPr>
            </w:pPr>
            <w:r w:rsidRPr="004B7CC2">
              <w:rPr>
                <w:szCs w:val="20"/>
              </w:rPr>
              <w:t>X</w:t>
            </w:r>
          </w:p>
        </w:tc>
        <w:tc>
          <w:tcPr>
            <w:cnfStyle w:val="000100000000" w:firstRow="0" w:lastRow="0" w:firstColumn="0" w:lastColumn="1" w:oddVBand="0" w:evenVBand="0" w:oddHBand="0" w:evenHBand="0" w:firstRowFirstColumn="0" w:firstRowLastColumn="0" w:lastRowFirstColumn="0" w:lastRowLastColumn="0"/>
            <w:tcW w:w="341" w:type="pct"/>
            <w:vMerge w:val="restart"/>
            <w:tcBorders>
              <w:top w:val="single" w:sz="4" w:space="0" w:color="auto"/>
              <w:bottom w:val="single" w:sz="12" w:space="0" w:color="auto"/>
              <w:right w:val="single" w:sz="4" w:space="0" w:color="auto"/>
            </w:tcBorders>
          </w:tcPr>
          <w:p w:rsidR="007A3FC6" w:rsidRPr="00605270" w:rsidRDefault="007A3FC6" w:rsidP="004431CE">
            <w:pPr>
              <w:rPr>
                <w:sz w:val="18"/>
                <w:szCs w:val="18"/>
              </w:rPr>
            </w:pPr>
          </w:p>
        </w:tc>
      </w:tr>
      <w:tr w:rsidR="007A3FC6" w:rsidRPr="00605270" w:rsidTr="004431CE">
        <w:trPr>
          <w:trHeight w:val="521"/>
        </w:trPr>
        <w:tc>
          <w:tcPr>
            <w:tcW w:w="1402" w:type="pct"/>
            <w:vMerge/>
            <w:tcBorders>
              <w:bottom w:val="single" w:sz="12" w:space="0" w:color="auto"/>
            </w:tcBorders>
          </w:tcPr>
          <w:p w:rsidR="007A3FC6" w:rsidRPr="004B7CC2" w:rsidRDefault="007A3FC6" w:rsidP="004431CE">
            <w:pPr>
              <w:rPr>
                <w:szCs w:val="20"/>
              </w:rPr>
            </w:pPr>
          </w:p>
        </w:tc>
        <w:tc>
          <w:tcPr>
            <w:tcW w:w="769" w:type="pct"/>
            <w:vMerge/>
            <w:tcBorders>
              <w:bottom w:val="single" w:sz="12" w:space="0" w:color="auto"/>
            </w:tcBorders>
          </w:tcPr>
          <w:p w:rsidR="007A3FC6" w:rsidRPr="004B7CC2" w:rsidRDefault="007A3FC6" w:rsidP="004431CE">
            <w:pPr>
              <w:rPr>
                <w:szCs w:val="20"/>
              </w:rPr>
            </w:pPr>
          </w:p>
        </w:tc>
        <w:tc>
          <w:tcPr>
            <w:tcW w:w="1842" w:type="pct"/>
            <w:tcBorders>
              <w:top w:val="nil"/>
              <w:bottom w:val="nil"/>
            </w:tcBorders>
          </w:tcPr>
          <w:p w:rsidR="007A3FC6" w:rsidRPr="004B7CC2" w:rsidRDefault="007A3FC6" w:rsidP="004431CE">
            <w:pPr>
              <w:ind w:left="278" w:hanging="278"/>
              <w:rPr>
                <w:szCs w:val="20"/>
              </w:rPr>
            </w:pPr>
            <w:r w:rsidRPr="004B7CC2">
              <w:rPr>
                <w:szCs w:val="20"/>
              </w:rPr>
              <w:t>b)</w:t>
            </w:r>
            <w:r w:rsidRPr="004B7CC2">
              <w:rPr>
                <w:szCs w:val="20"/>
              </w:rPr>
              <w:tab/>
              <w:t>Неполный, неразборчивый, явно подделанный или не соответствующий документам на транспортное средство</w:t>
            </w:r>
          </w:p>
        </w:tc>
        <w:tc>
          <w:tcPr>
            <w:tcW w:w="342" w:type="pct"/>
            <w:tcBorders>
              <w:top w:val="nil"/>
              <w:bottom w:val="nil"/>
            </w:tcBorders>
          </w:tcPr>
          <w:p w:rsidR="007A3FC6" w:rsidRPr="004B7CC2" w:rsidRDefault="007A3FC6" w:rsidP="004431CE">
            <w:pPr>
              <w:rPr>
                <w:szCs w:val="20"/>
              </w:rPr>
            </w:pPr>
          </w:p>
        </w:tc>
        <w:tc>
          <w:tcPr>
            <w:tcW w:w="303" w:type="pct"/>
            <w:tcBorders>
              <w:top w:val="nil"/>
              <w:bottom w:val="nil"/>
            </w:tcBorders>
          </w:tcPr>
          <w:p w:rsidR="007A3FC6" w:rsidRPr="004B7CC2" w:rsidRDefault="007A3FC6" w:rsidP="00316D93">
            <w:pPr>
              <w:jc w:val="center"/>
              <w:rPr>
                <w:szCs w:val="20"/>
              </w:rPr>
            </w:pPr>
            <w:r w:rsidRPr="004B7CC2">
              <w:rPr>
                <w:szCs w:val="20"/>
              </w:rPr>
              <w:t>X</w:t>
            </w:r>
          </w:p>
        </w:tc>
        <w:tc>
          <w:tcPr>
            <w:cnfStyle w:val="000100000000" w:firstRow="0" w:lastRow="0" w:firstColumn="0" w:lastColumn="1" w:oddVBand="0" w:evenVBand="0" w:oddHBand="0" w:evenHBand="0" w:firstRowFirstColumn="0" w:firstRowLastColumn="0" w:lastRowFirstColumn="0" w:lastRowLastColumn="0"/>
            <w:tcW w:w="341" w:type="pct"/>
            <w:vMerge/>
            <w:tcBorders>
              <w:bottom w:val="single" w:sz="12" w:space="0" w:color="auto"/>
              <w:right w:val="single" w:sz="4" w:space="0" w:color="auto"/>
            </w:tcBorders>
          </w:tcPr>
          <w:p w:rsidR="007A3FC6" w:rsidRPr="00605270" w:rsidRDefault="007A3FC6" w:rsidP="004431CE">
            <w:pPr>
              <w:rPr>
                <w:sz w:val="18"/>
                <w:szCs w:val="18"/>
              </w:rPr>
            </w:pPr>
          </w:p>
        </w:tc>
      </w:tr>
      <w:tr w:rsidR="007A3FC6" w:rsidRPr="00605270" w:rsidTr="004431CE">
        <w:trPr>
          <w:trHeight w:val="771"/>
        </w:trPr>
        <w:tc>
          <w:tcPr>
            <w:tcW w:w="1402" w:type="pct"/>
            <w:vMerge/>
            <w:tcBorders>
              <w:bottom w:val="single" w:sz="12" w:space="0" w:color="auto"/>
            </w:tcBorders>
          </w:tcPr>
          <w:p w:rsidR="007A3FC6" w:rsidRPr="004B7CC2" w:rsidRDefault="007A3FC6" w:rsidP="004431CE">
            <w:pPr>
              <w:rPr>
                <w:szCs w:val="20"/>
              </w:rPr>
            </w:pPr>
          </w:p>
        </w:tc>
        <w:tc>
          <w:tcPr>
            <w:tcW w:w="769" w:type="pct"/>
            <w:vMerge/>
            <w:tcBorders>
              <w:bottom w:val="single" w:sz="12" w:space="0" w:color="auto"/>
            </w:tcBorders>
          </w:tcPr>
          <w:p w:rsidR="007A3FC6" w:rsidRPr="004B7CC2" w:rsidRDefault="007A3FC6" w:rsidP="004431CE">
            <w:pPr>
              <w:rPr>
                <w:szCs w:val="20"/>
              </w:rPr>
            </w:pPr>
          </w:p>
        </w:tc>
        <w:tc>
          <w:tcPr>
            <w:tcW w:w="1842" w:type="pct"/>
            <w:tcBorders>
              <w:top w:val="nil"/>
              <w:bottom w:val="single" w:sz="12" w:space="0" w:color="auto"/>
            </w:tcBorders>
          </w:tcPr>
          <w:p w:rsidR="007A3FC6" w:rsidRPr="004B7CC2" w:rsidRDefault="007A3FC6" w:rsidP="004431CE">
            <w:pPr>
              <w:ind w:left="278" w:hanging="278"/>
              <w:rPr>
                <w:szCs w:val="20"/>
              </w:rPr>
            </w:pPr>
            <w:r w:rsidRPr="004B7CC2">
              <w:rPr>
                <w:szCs w:val="20"/>
              </w:rPr>
              <w:t>c)</w:t>
            </w:r>
            <w:r w:rsidRPr="004B7CC2">
              <w:rPr>
                <w:szCs w:val="20"/>
              </w:rPr>
              <w:tab/>
              <w:t>Неразборчивые записи в документах на транспортное средство или канцелярские неточности</w:t>
            </w:r>
          </w:p>
        </w:tc>
        <w:tc>
          <w:tcPr>
            <w:tcW w:w="342" w:type="pct"/>
            <w:tcBorders>
              <w:top w:val="nil"/>
              <w:bottom w:val="single" w:sz="12" w:space="0" w:color="auto"/>
            </w:tcBorders>
          </w:tcPr>
          <w:p w:rsidR="007A3FC6" w:rsidRPr="004B7CC2" w:rsidRDefault="007A3FC6" w:rsidP="00316D93">
            <w:pPr>
              <w:jc w:val="center"/>
              <w:rPr>
                <w:szCs w:val="20"/>
              </w:rPr>
            </w:pPr>
            <w:r>
              <w:rPr>
                <w:szCs w:val="20"/>
              </w:rPr>
              <w:t>Х</w:t>
            </w:r>
          </w:p>
        </w:tc>
        <w:tc>
          <w:tcPr>
            <w:tcW w:w="303" w:type="pct"/>
            <w:tcBorders>
              <w:top w:val="nil"/>
              <w:bottom w:val="single" w:sz="12" w:space="0" w:color="auto"/>
            </w:tcBorders>
          </w:tcPr>
          <w:p w:rsidR="007A3FC6" w:rsidRPr="004B7CC2" w:rsidRDefault="007A3FC6" w:rsidP="004431CE">
            <w:pPr>
              <w:rPr>
                <w:szCs w:val="20"/>
              </w:rPr>
            </w:pPr>
          </w:p>
        </w:tc>
        <w:tc>
          <w:tcPr>
            <w:cnfStyle w:val="000100000000" w:firstRow="0" w:lastRow="0" w:firstColumn="0" w:lastColumn="1" w:oddVBand="0" w:evenVBand="0" w:oddHBand="0" w:evenHBand="0" w:firstRowFirstColumn="0" w:firstRowLastColumn="0" w:lastRowFirstColumn="0" w:lastRowLastColumn="0"/>
            <w:tcW w:w="341" w:type="pct"/>
            <w:vMerge/>
            <w:tcBorders>
              <w:right w:val="single" w:sz="4" w:space="0" w:color="auto"/>
            </w:tcBorders>
          </w:tcPr>
          <w:p w:rsidR="007A3FC6" w:rsidRPr="00605270" w:rsidRDefault="007A3FC6" w:rsidP="004431CE">
            <w:pPr>
              <w:rPr>
                <w:sz w:val="18"/>
                <w:szCs w:val="18"/>
              </w:rPr>
            </w:pPr>
          </w:p>
        </w:tc>
      </w:tr>
    </w:tbl>
    <w:p w:rsidR="007A3FC6" w:rsidRPr="00913F31" w:rsidRDefault="007A3FC6" w:rsidP="007A3FC6">
      <w:pPr>
        <w:pStyle w:val="SingleTxtGR"/>
        <w:tabs>
          <w:tab w:val="left" w:pos="1418"/>
        </w:tabs>
        <w:spacing w:before="120" w:line="220" w:lineRule="exact"/>
        <w:ind w:firstLine="170"/>
        <w:jc w:val="left"/>
        <w:rPr>
          <w:bCs/>
          <w:sz w:val="18"/>
          <w:szCs w:val="18"/>
        </w:rPr>
      </w:pPr>
      <w:r w:rsidRPr="00316D93">
        <w:rPr>
          <w:bCs/>
          <w:i/>
          <w:sz w:val="18"/>
          <w:szCs w:val="18"/>
          <w:vertAlign w:val="superscript"/>
          <w:lang w:val="en-US"/>
        </w:rPr>
        <w:t>a</w:t>
      </w:r>
      <w:r w:rsidRPr="004B7CC2">
        <w:rPr>
          <w:bCs/>
          <w:sz w:val="18"/>
          <w:szCs w:val="18"/>
        </w:rPr>
        <w:t xml:space="preserve">  </w:t>
      </w:r>
      <w:r>
        <w:rPr>
          <w:bCs/>
          <w:sz w:val="18"/>
          <w:szCs w:val="18"/>
        </w:rPr>
        <w:t>«</w:t>
      </w:r>
      <w:r w:rsidRPr="00913F31">
        <w:rPr>
          <w:bCs/>
          <w:sz w:val="18"/>
          <w:szCs w:val="18"/>
        </w:rPr>
        <w:t>Требования</w:t>
      </w:r>
      <w:r>
        <w:rPr>
          <w:bCs/>
          <w:sz w:val="18"/>
          <w:szCs w:val="18"/>
        </w:rPr>
        <w:t>»</w:t>
      </w:r>
      <w:r w:rsidRPr="00913F31">
        <w:rPr>
          <w:bCs/>
          <w:sz w:val="18"/>
          <w:szCs w:val="18"/>
        </w:rPr>
        <w:t xml:space="preserve"> предписаны требованиями в отношении официального утверждения типа, действующими на дату первой регистрации или первого ввода в эксплуатацию, а также обязательствами в отношении переоборудования либо национальным законодательством в стране регистрации.</w:t>
      </w:r>
    </w:p>
    <w:p w:rsidR="007A3FC6" w:rsidRDefault="007A3FC6" w:rsidP="007A3FC6">
      <w:pPr>
        <w:suppressAutoHyphens w:val="0"/>
        <w:spacing w:line="240" w:lineRule="auto"/>
        <w:rPr>
          <w:rFonts w:eastAsia="Times New Roman" w:cs="Times New Roman"/>
          <w:b/>
          <w:sz w:val="28"/>
          <w:szCs w:val="20"/>
          <w:lang w:eastAsia="ru-RU"/>
        </w:rPr>
      </w:pPr>
      <w:r>
        <w:br w:type="page"/>
      </w:r>
    </w:p>
    <w:p w:rsidR="007A3FC6" w:rsidRPr="0008570D" w:rsidRDefault="007A3FC6" w:rsidP="007A3FC6">
      <w:pPr>
        <w:pStyle w:val="HChGR"/>
      </w:pPr>
      <w:r w:rsidRPr="0008570D">
        <w:lastRenderedPageBreak/>
        <w:tab/>
      </w:r>
      <w:r w:rsidRPr="0008570D">
        <w:tab/>
        <w:t>3.</w:t>
      </w:r>
      <w:r w:rsidRPr="0008570D">
        <w:tab/>
      </w:r>
      <w:r w:rsidRPr="0008570D">
        <w:tab/>
        <w:t>Экологические негативные факторы</w:t>
      </w:r>
    </w:p>
    <w:p w:rsidR="007A3FC6" w:rsidRPr="0008570D" w:rsidRDefault="007A3FC6" w:rsidP="007A3FC6">
      <w:pPr>
        <w:pStyle w:val="SingleTxtGR"/>
      </w:pPr>
      <w:r w:rsidRPr="0008570D">
        <w:t>3.1</w:t>
      </w:r>
      <w:r w:rsidRPr="0008570D">
        <w:tab/>
      </w:r>
      <w:r w:rsidRPr="0008570D">
        <w:tab/>
        <w:t>Выбросы отработавших газов</w:t>
      </w:r>
    </w:p>
    <w:p w:rsidR="007A3FC6" w:rsidRPr="0008570D" w:rsidRDefault="007A3FC6" w:rsidP="007A3FC6">
      <w:pPr>
        <w:pStyle w:val="SingleTxtGR"/>
        <w:ind w:left="2268" w:hanging="1134"/>
      </w:pPr>
      <w:r w:rsidRPr="0008570D">
        <w:t>3.1.1</w:t>
      </w:r>
      <w:r w:rsidRPr="0008570D">
        <w:tab/>
      </w:r>
      <w:r w:rsidRPr="0008570D">
        <w:tab/>
        <w:t>Транспортные средства, оснащенные двигателями с принудительным зажиганием</w:t>
      </w:r>
    </w:p>
    <w:tbl>
      <w:tblPr>
        <w:tblStyle w:val="TabTxt"/>
        <w:tblW w:w="8504" w:type="dxa"/>
        <w:tblInd w:w="1134" w:type="dxa"/>
        <w:tblBorders>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857"/>
        <w:gridCol w:w="2865"/>
        <w:gridCol w:w="2586"/>
        <w:gridCol w:w="407"/>
        <w:gridCol w:w="392"/>
        <w:gridCol w:w="397"/>
      </w:tblGrid>
      <w:tr w:rsidR="007A3FC6" w:rsidRPr="004B7CC2" w:rsidTr="00307FEA">
        <w:trPr>
          <w:trHeight w:val="120"/>
          <w:tblHeader/>
        </w:trPr>
        <w:tc>
          <w:tcPr>
            <w:tcW w:w="1857" w:type="dxa"/>
            <w:vMerge w:val="restart"/>
            <w:shd w:val="clear" w:color="auto" w:fill="auto"/>
            <w:vAlign w:val="bottom"/>
          </w:tcPr>
          <w:p w:rsidR="007A3FC6" w:rsidRPr="004B7CC2" w:rsidRDefault="007A3FC6" w:rsidP="004431CE">
            <w:pPr>
              <w:suppressAutoHyphens w:val="0"/>
              <w:spacing w:before="80" w:after="80" w:line="200" w:lineRule="exact"/>
              <w:rPr>
                <w:i/>
                <w:sz w:val="16"/>
              </w:rPr>
            </w:pPr>
            <w:r w:rsidRPr="004B7CC2">
              <w:rPr>
                <w:i/>
                <w:sz w:val="16"/>
              </w:rPr>
              <w:br w:type="page"/>
              <w:t>Позиция</w:t>
            </w:r>
          </w:p>
        </w:tc>
        <w:tc>
          <w:tcPr>
            <w:tcW w:w="2865" w:type="dxa"/>
            <w:vMerge w:val="restart"/>
            <w:shd w:val="clear" w:color="auto" w:fill="auto"/>
            <w:vAlign w:val="bottom"/>
          </w:tcPr>
          <w:p w:rsidR="007A3FC6" w:rsidRPr="004B7CC2" w:rsidRDefault="007A3FC6" w:rsidP="004431CE">
            <w:pPr>
              <w:suppressAutoHyphens w:val="0"/>
              <w:spacing w:before="80" w:after="80" w:line="200" w:lineRule="exact"/>
              <w:rPr>
                <w:i/>
                <w:sz w:val="16"/>
              </w:rPr>
            </w:pPr>
            <w:r w:rsidRPr="004B7CC2">
              <w:rPr>
                <w:i/>
                <w:sz w:val="16"/>
              </w:rPr>
              <w:t>Метод</w:t>
            </w:r>
          </w:p>
        </w:tc>
        <w:tc>
          <w:tcPr>
            <w:tcW w:w="2586" w:type="dxa"/>
            <w:vMerge w:val="restart"/>
            <w:shd w:val="clear" w:color="auto" w:fill="auto"/>
            <w:vAlign w:val="bottom"/>
          </w:tcPr>
          <w:p w:rsidR="007A3FC6" w:rsidRPr="004B7CC2" w:rsidRDefault="007A3FC6" w:rsidP="004431CE">
            <w:pPr>
              <w:suppressAutoHyphens w:val="0"/>
              <w:spacing w:before="80" w:after="80" w:line="200" w:lineRule="exact"/>
              <w:rPr>
                <w:i/>
                <w:sz w:val="16"/>
              </w:rPr>
            </w:pPr>
            <w:r w:rsidRPr="004B7CC2">
              <w:rPr>
                <w:i/>
                <w:sz w:val="16"/>
              </w:rPr>
              <w:t>Основные причины для отказа</w:t>
            </w:r>
          </w:p>
        </w:tc>
        <w:tc>
          <w:tcPr>
            <w:cnfStyle w:val="000100000000" w:firstRow="0" w:lastRow="0" w:firstColumn="0" w:lastColumn="1" w:oddVBand="0" w:evenVBand="0" w:oddHBand="0" w:evenHBand="0" w:firstRowFirstColumn="0" w:firstRowLastColumn="0" w:lastRowFirstColumn="0" w:lastRowLastColumn="0"/>
            <w:tcW w:w="1196" w:type="dxa"/>
            <w:gridSpan w:val="3"/>
            <w:tcBorders>
              <w:right w:val="single" w:sz="4" w:space="0" w:color="auto"/>
            </w:tcBorders>
            <w:shd w:val="clear" w:color="auto" w:fill="auto"/>
            <w:vAlign w:val="bottom"/>
          </w:tcPr>
          <w:p w:rsidR="007A3FC6" w:rsidRPr="004B7CC2" w:rsidRDefault="007A3FC6" w:rsidP="004431CE">
            <w:pPr>
              <w:suppressAutoHyphens w:val="0"/>
              <w:spacing w:before="80" w:after="80" w:line="200" w:lineRule="exact"/>
              <w:jc w:val="center"/>
              <w:rPr>
                <w:i/>
                <w:sz w:val="16"/>
              </w:rPr>
            </w:pPr>
            <w:r w:rsidRPr="004B7CC2">
              <w:rPr>
                <w:i/>
                <w:sz w:val="16"/>
              </w:rPr>
              <w:t xml:space="preserve">Оценка </w:t>
            </w:r>
            <w:r w:rsidRPr="004B7CC2">
              <w:rPr>
                <w:i/>
                <w:sz w:val="16"/>
              </w:rPr>
              <w:br/>
              <w:t>дефектов</w:t>
            </w:r>
          </w:p>
        </w:tc>
      </w:tr>
      <w:tr w:rsidR="007A3FC6" w:rsidRPr="004B7CC2" w:rsidTr="00316D93">
        <w:trPr>
          <w:trHeight w:val="120"/>
          <w:tblHeader/>
        </w:trPr>
        <w:tc>
          <w:tcPr>
            <w:tcW w:w="1857" w:type="dxa"/>
            <w:vMerge/>
            <w:tcBorders>
              <w:bottom w:val="single" w:sz="12" w:space="0" w:color="auto"/>
            </w:tcBorders>
            <w:shd w:val="clear" w:color="auto" w:fill="auto"/>
            <w:vAlign w:val="bottom"/>
          </w:tcPr>
          <w:p w:rsidR="007A3FC6" w:rsidRPr="004B7CC2" w:rsidRDefault="007A3FC6" w:rsidP="004431CE">
            <w:pPr>
              <w:suppressAutoHyphens w:val="0"/>
              <w:spacing w:before="80" w:after="80" w:line="200" w:lineRule="exact"/>
              <w:rPr>
                <w:i/>
                <w:sz w:val="16"/>
              </w:rPr>
            </w:pPr>
          </w:p>
        </w:tc>
        <w:tc>
          <w:tcPr>
            <w:tcW w:w="2865" w:type="dxa"/>
            <w:vMerge/>
            <w:tcBorders>
              <w:bottom w:val="single" w:sz="12" w:space="0" w:color="auto"/>
            </w:tcBorders>
            <w:shd w:val="clear" w:color="auto" w:fill="auto"/>
            <w:vAlign w:val="bottom"/>
          </w:tcPr>
          <w:p w:rsidR="007A3FC6" w:rsidRPr="004B7CC2" w:rsidRDefault="007A3FC6" w:rsidP="004431CE">
            <w:pPr>
              <w:suppressAutoHyphens w:val="0"/>
              <w:spacing w:before="80" w:after="80" w:line="200" w:lineRule="exact"/>
              <w:rPr>
                <w:i/>
                <w:sz w:val="16"/>
              </w:rPr>
            </w:pPr>
          </w:p>
        </w:tc>
        <w:tc>
          <w:tcPr>
            <w:tcW w:w="2586" w:type="dxa"/>
            <w:vMerge/>
            <w:tcBorders>
              <w:bottom w:val="single" w:sz="12" w:space="0" w:color="auto"/>
            </w:tcBorders>
            <w:shd w:val="clear" w:color="auto" w:fill="auto"/>
            <w:vAlign w:val="bottom"/>
          </w:tcPr>
          <w:p w:rsidR="007A3FC6" w:rsidRPr="004B7CC2" w:rsidRDefault="007A3FC6" w:rsidP="004431CE">
            <w:pPr>
              <w:suppressAutoHyphens w:val="0"/>
              <w:spacing w:before="80" w:after="80" w:line="200" w:lineRule="exact"/>
              <w:rPr>
                <w:i/>
                <w:sz w:val="16"/>
              </w:rPr>
            </w:pPr>
          </w:p>
        </w:tc>
        <w:tc>
          <w:tcPr>
            <w:tcW w:w="407" w:type="dxa"/>
            <w:tcBorders>
              <w:bottom w:val="single" w:sz="12" w:space="0" w:color="auto"/>
            </w:tcBorders>
            <w:shd w:val="clear" w:color="auto" w:fill="auto"/>
            <w:vAlign w:val="bottom"/>
          </w:tcPr>
          <w:p w:rsidR="007A3FC6" w:rsidRPr="004B7CC2" w:rsidRDefault="007A3FC6" w:rsidP="00316D93">
            <w:pPr>
              <w:suppressAutoHyphens w:val="0"/>
              <w:spacing w:before="80" w:after="80" w:line="200" w:lineRule="exact"/>
              <w:jc w:val="center"/>
              <w:rPr>
                <w:i/>
                <w:sz w:val="16"/>
              </w:rPr>
            </w:pPr>
            <w:r w:rsidRPr="004B7CC2">
              <w:rPr>
                <w:i/>
                <w:sz w:val="16"/>
              </w:rPr>
              <w:t>НД</w:t>
            </w:r>
          </w:p>
        </w:tc>
        <w:tc>
          <w:tcPr>
            <w:tcW w:w="392" w:type="dxa"/>
            <w:tcBorders>
              <w:bottom w:val="single" w:sz="12" w:space="0" w:color="auto"/>
            </w:tcBorders>
            <w:shd w:val="clear" w:color="auto" w:fill="auto"/>
            <w:vAlign w:val="bottom"/>
          </w:tcPr>
          <w:p w:rsidR="007A3FC6" w:rsidRPr="004B7CC2" w:rsidRDefault="007A3FC6" w:rsidP="00316D93">
            <w:pPr>
              <w:suppressAutoHyphens w:val="0"/>
              <w:spacing w:before="80" w:after="80" w:line="200" w:lineRule="exact"/>
              <w:jc w:val="center"/>
              <w:rPr>
                <w:i/>
                <w:sz w:val="16"/>
              </w:rPr>
            </w:pPr>
            <w:r w:rsidRPr="004B7CC2">
              <w:rPr>
                <w:i/>
                <w:sz w:val="16"/>
              </w:rPr>
              <w:t>СД</w:t>
            </w:r>
          </w:p>
        </w:tc>
        <w:tc>
          <w:tcPr>
            <w:cnfStyle w:val="000100000000" w:firstRow="0" w:lastRow="0" w:firstColumn="0" w:lastColumn="1" w:oddVBand="0" w:evenVBand="0" w:oddHBand="0" w:evenHBand="0" w:firstRowFirstColumn="0" w:firstRowLastColumn="0" w:lastRowFirstColumn="0" w:lastRowLastColumn="0"/>
            <w:tcW w:w="397" w:type="dxa"/>
            <w:tcBorders>
              <w:top w:val="none" w:sz="0" w:space="0" w:color="auto"/>
              <w:left w:val="none" w:sz="0" w:space="0" w:color="auto"/>
              <w:bottom w:val="single" w:sz="12" w:space="0" w:color="auto"/>
              <w:right w:val="none" w:sz="0" w:space="0" w:color="auto"/>
              <w:tl2br w:val="none" w:sz="0" w:space="0" w:color="auto"/>
              <w:tr2bl w:val="none" w:sz="0" w:space="0" w:color="auto"/>
            </w:tcBorders>
            <w:shd w:val="clear" w:color="auto" w:fill="auto"/>
            <w:vAlign w:val="bottom"/>
          </w:tcPr>
          <w:p w:rsidR="007A3FC6" w:rsidRPr="004B7CC2" w:rsidRDefault="007A3FC6" w:rsidP="00316D93">
            <w:pPr>
              <w:suppressAutoHyphens w:val="0"/>
              <w:spacing w:before="80" w:after="80" w:line="200" w:lineRule="exact"/>
              <w:jc w:val="center"/>
              <w:rPr>
                <w:i/>
                <w:sz w:val="16"/>
              </w:rPr>
            </w:pPr>
            <w:r w:rsidRPr="004B7CC2">
              <w:rPr>
                <w:i/>
                <w:sz w:val="16"/>
              </w:rPr>
              <w:t>ОД</w:t>
            </w:r>
          </w:p>
        </w:tc>
      </w:tr>
      <w:tr w:rsidR="007A3FC6" w:rsidRPr="00913F31" w:rsidTr="004431CE">
        <w:tc>
          <w:tcPr>
            <w:cnfStyle w:val="000100000000" w:firstRow="0" w:lastRow="0" w:firstColumn="0" w:lastColumn="1" w:oddVBand="0" w:evenVBand="0" w:oddHBand="0" w:evenHBand="0" w:firstRowFirstColumn="0" w:firstRowLastColumn="0" w:lastRowFirstColumn="0" w:lastRowLastColumn="0"/>
            <w:tcW w:w="8504" w:type="dxa"/>
            <w:gridSpan w:val="6"/>
            <w:tcBorders>
              <w:top w:val="single" w:sz="12" w:space="0" w:color="auto"/>
              <w:left w:val="none" w:sz="0" w:space="0" w:color="auto"/>
              <w:bottom w:val="none" w:sz="0" w:space="0" w:color="auto"/>
              <w:right w:val="none" w:sz="0" w:space="0" w:color="auto"/>
              <w:tl2br w:val="none" w:sz="0" w:space="0" w:color="auto"/>
              <w:tr2bl w:val="none" w:sz="0" w:space="0" w:color="auto"/>
            </w:tcBorders>
          </w:tcPr>
          <w:p w:rsidR="007A3FC6" w:rsidRPr="004B7CC2" w:rsidRDefault="007A3FC6" w:rsidP="004431CE">
            <w:pPr>
              <w:rPr>
                <w:b/>
              </w:rPr>
            </w:pPr>
            <w:r w:rsidRPr="004B7CC2">
              <w:rPr>
                <w:b/>
              </w:rPr>
              <w:t>3.1 Выбросы двигателями с принудительным зажиганием</w:t>
            </w:r>
          </w:p>
        </w:tc>
      </w:tr>
      <w:tr w:rsidR="007A3FC6" w:rsidRPr="00913F31" w:rsidTr="00101506">
        <w:tc>
          <w:tcPr>
            <w:tcW w:w="1857" w:type="dxa"/>
            <w:tcBorders>
              <w:bottom w:val="single" w:sz="4" w:space="0" w:color="auto"/>
            </w:tcBorders>
          </w:tcPr>
          <w:p w:rsidR="007A3FC6" w:rsidRPr="00913F31" w:rsidRDefault="007A3FC6" w:rsidP="004431CE">
            <w:r w:rsidRPr="00913F31">
              <w:t>3.1.1 Устройства ограничения выбросов отработавших газов</w:t>
            </w:r>
          </w:p>
        </w:tc>
        <w:tc>
          <w:tcPr>
            <w:tcW w:w="2865" w:type="dxa"/>
            <w:tcBorders>
              <w:bottom w:val="single" w:sz="4" w:space="0" w:color="auto"/>
            </w:tcBorders>
          </w:tcPr>
          <w:p w:rsidR="007A3FC6" w:rsidRPr="00913F31" w:rsidRDefault="007A3FC6" w:rsidP="004431CE">
            <w:r w:rsidRPr="00913F31">
              <w:t>Визуальный осмотр</w:t>
            </w:r>
          </w:p>
        </w:tc>
        <w:tc>
          <w:tcPr>
            <w:tcW w:w="2586" w:type="dxa"/>
            <w:tcBorders>
              <w:bottom w:val="single" w:sz="4" w:space="0" w:color="auto"/>
            </w:tcBorders>
          </w:tcPr>
          <w:p w:rsidR="007A3FC6" w:rsidRDefault="007A3FC6" w:rsidP="004431CE">
            <w:pPr>
              <w:tabs>
                <w:tab w:val="left" w:pos="248"/>
              </w:tabs>
              <w:ind w:left="249" w:hanging="249"/>
            </w:pPr>
            <w:r w:rsidRPr="00913F31">
              <w:t>a)</w:t>
            </w:r>
            <w:r w:rsidRPr="00913F31">
              <w:tab/>
              <w:t xml:space="preserve">Устройства ограничения выбросов, установленные изготовителем, отсутствуют или явно неисправны; </w:t>
            </w:r>
          </w:p>
          <w:p w:rsidR="007A3FC6" w:rsidRPr="00913F31" w:rsidRDefault="007A3FC6" w:rsidP="004431CE">
            <w:pPr>
              <w:tabs>
                <w:tab w:val="left" w:pos="248"/>
              </w:tabs>
              <w:ind w:left="249" w:hanging="249"/>
            </w:pPr>
            <w:r w:rsidRPr="00913F31">
              <w:t>b)</w:t>
            </w:r>
            <w:r w:rsidRPr="00913F31">
              <w:tab/>
              <w:t>утечки, которые могут повлиять на измерения уровня выбросов</w:t>
            </w:r>
          </w:p>
        </w:tc>
        <w:tc>
          <w:tcPr>
            <w:tcW w:w="407" w:type="dxa"/>
            <w:tcBorders>
              <w:bottom w:val="single" w:sz="4" w:space="0" w:color="auto"/>
            </w:tcBorders>
          </w:tcPr>
          <w:p w:rsidR="007A3FC6" w:rsidRPr="00913F31" w:rsidRDefault="007A3FC6" w:rsidP="004431CE"/>
        </w:tc>
        <w:tc>
          <w:tcPr>
            <w:tcW w:w="392" w:type="dxa"/>
            <w:tcBorders>
              <w:bottom w:val="single" w:sz="4" w:space="0" w:color="auto"/>
            </w:tcBorders>
          </w:tcPr>
          <w:p w:rsidR="007A3FC6" w:rsidRDefault="007A3FC6" w:rsidP="00316D93">
            <w:pPr>
              <w:jc w:val="center"/>
            </w:pPr>
            <w:r w:rsidRPr="00913F31">
              <w:t>X</w:t>
            </w:r>
          </w:p>
          <w:p w:rsidR="007A3FC6" w:rsidRDefault="007A3FC6" w:rsidP="004431CE"/>
          <w:p w:rsidR="007A3FC6" w:rsidRDefault="007A3FC6" w:rsidP="004431CE"/>
          <w:p w:rsidR="007A3FC6" w:rsidRPr="00913F31" w:rsidRDefault="007A3FC6" w:rsidP="00316D93">
            <w:pPr>
              <w:jc w:val="center"/>
            </w:pPr>
            <w:r>
              <w:br/>
            </w:r>
            <w:r w:rsidRPr="00913F31">
              <w:t>Х</w:t>
            </w:r>
          </w:p>
        </w:tc>
        <w:tc>
          <w:tcPr>
            <w:cnfStyle w:val="000100000000" w:firstRow="0" w:lastRow="0" w:firstColumn="0" w:lastColumn="1" w:oddVBand="0" w:evenVBand="0" w:oddHBand="0" w:evenHBand="0" w:firstRowFirstColumn="0" w:firstRowLastColumn="0" w:lastRowFirstColumn="0" w:lastRowLastColumn="0"/>
            <w:tcW w:w="397" w:type="dxa"/>
            <w:tcBorders>
              <w:bottom w:val="single" w:sz="4" w:space="0" w:color="auto"/>
              <w:right w:val="single" w:sz="4" w:space="0" w:color="auto"/>
            </w:tcBorders>
          </w:tcPr>
          <w:p w:rsidR="007A3FC6" w:rsidRPr="00913F31" w:rsidRDefault="007A3FC6" w:rsidP="004431CE"/>
        </w:tc>
      </w:tr>
      <w:tr w:rsidR="007A3FC6" w:rsidRPr="00913F31" w:rsidTr="00101506">
        <w:tc>
          <w:tcPr>
            <w:tcW w:w="1857" w:type="dxa"/>
            <w:tcBorders>
              <w:bottom w:val="single" w:sz="4" w:space="0" w:color="auto"/>
            </w:tcBorders>
          </w:tcPr>
          <w:p w:rsidR="007A3FC6" w:rsidRPr="00913F31" w:rsidRDefault="007A3FC6" w:rsidP="004431CE">
            <w:r w:rsidRPr="00913F31">
              <w:t>3.1.2 Газообразные выбросы</w:t>
            </w:r>
          </w:p>
        </w:tc>
        <w:tc>
          <w:tcPr>
            <w:tcW w:w="2865" w:type="dxa"/>
            <w:tcBorders>
              <w:bottom w:val="single" w:sz="4" w:space="0" w:color="auto"/>
            </w:tcBorders>
          </w:tcPr>
          <w:p w:rsidR="007A3FC6" w:rsidRPr="00913F31" w:rsidRDefault="007A3FC6" w:rsidP="00101506">
            <w:pPr>
              <w:spacing w:after="0"/>
            </w:pPr>
            <w:r w:rsidRPr="00913F31">
              <w:t>Для транспортных средств до классов выбросов Евро 5 и Евро V или эквивалентного класса:</w:t>
            </w:r>
          </w:p>
          <w:p w:rsidR="007A3FC6" w:rsidRPr="00913F31" w:rsidRDefault="007A3FC6" w:rsidP="00101506">
            <w:pPr>
              <w:spacing w:after="100"/>
            </w:pPr>
            <w:r w:rsidRPr="00913F31">
              <w:t>измерение с использованием анализатора отработавших газов в соответствии с требованиями</w:t>
            </w:r>
            <w:r w:rsidRPr="00307FEA">
              <w:rPr>
                <w:vertAlign w:val="superscript"/>
              </w:rPr>
              <w:t>1</w:t>
            </w:r>
            <w:r>
              <w:t xml:space="preserve"> или снятие показаний с БДС. По </w:t>
            </w:r>
            <w:r w:rsidRPr="00913F31">
              <w:t>умолчанию для оценки отработавших газов используется метод, предусматривающий снятие показаний в выхлопной трубе. На основании оценки эквивалентности и принимая во внимание соответствующее законодательство об официальном утверждении по типу конструкции, Договаривающиеся стороны могут разрешить использование БДС в соответствии с рекомендациями изго</w:t>
            </w:r>
            <w:r>
              <w:t>товителя и другими требованиями</w:t>
            </w:r>
          </w:p>
          <w:p w:rsidR="007A3FC6" w:rsidRPr="00913F31" w:rsidRDefault="007A3FC6" w:rsidP="004431CE">
            <w:r w:rsidRPr="00913F31">
              <w:t>Для транспортных средств начиная с классов выбросов Евро-6 и Евро VI или эквивалентного класса:</w:t>
            </w:r>
          </w:p>
          <w:p w:rsidR="007A3FC6" w:rsidRPr="00913F31" w:rsidRDefault="007A3FC6" w:rsidP="004431CE">
            <w:r w:rsidRPr="00913F31">
              <w:t>измерение с использованием анализатора отработавших газов в соответствии с требованиями</w:t>
            </w:r>
            <w:r w:rsidRPr="005927DF">
              <w:rPr>
                <w:vertAlign w:val="superscript"/>
              </w:rPr>
              <w:t>1</w:t>
            </w:r>
            <w:r w:rsidRPr="00913F31">
              <w:t xml:space="preserve"> или снятие показаний с БДС в соответствии с рекомендациями изготовителя и другими требованиями</w:t>
            </w:r>
            <w:r w:rsidRPr="005927DF">
              <w:rPr>
                <w:vertAlign w:val="superscript"/>
              </w:rPr>
              <w:t>1</w:t>
            </w:r>
          </w:p>
          <w:p w:rsidR="007A3FC6" w:rsidRPr="00913F31" w:rsidRDefault="00101506" w:rsidP="004431CE">
            <w:r w:rsidRPr="00913F31">
              <w:lastRenderedPageBreak/>
              <w:t xml:space="preserve">В отношении двухтактных двигателей данные </w:t>
            </w:r>
            <w:r>
              <w:t>методы измерения не применяются</w:t>
            </w:r>
          </w:p>
        </w:tc>
        <w:tc>
          <w:tcPr>
            <w:tcW w:w="2586" w:type="dxa"/>
            <w:tcBorders>
              <w:bottom w:val="single" w:sz="4" w:space="0" w:color="auto"/>
            </w:tcBorders>
          </w:tcPr>
          <w:p w:rsidR="007A3FC6" w:rsidRPr="00913F31" w:rsidRDefault="007A3FC6" w:rsidP="004431CE">
            <w:pPr>
              <w:ind w:left="249" w:hanging="249"/>
            </w:pPr>
            <w:r w:rsidRPr="00913F31">
              <w:lastRenderedPageBreak/>
              <w:t>а)</w:t>
            </w:r>
            <w:r w:rsidRPr="00913F31">
              <w:tab/>
              <w:t xml:space="preserve">Либо газообразные выбросы превышают установленные уровни, указанные изготовителем; </w:t>
            </w:r>
          </w:p>
          <w:p w:rsidR="007A3FC6" w:rsidRPr="00913F31" w:rsidRDefault="007A3FC6" w:rsidP="004431CE">
            <w:pPr>
              <w:ind w:left="249" w:hanging="249"/>
            </w:pPr>
            <w:r w:rsidRPr="00913F31">
              <w:t>b)</w:t>
            </w:r>
            <w:r w:rsidRPr="00913F31">
              <w:tab/>
              <w:t>либо, если данная информация отсутствует, выбросы СО превышают:</w:t>
            </w:r>
          </w:p>
          <w:p w:rsidR="007A3FC6" w:rsidRPr="00913F31" w:rsidRDefault="007A3FC6" w:rsidP="004431CE">
            <w:pPr>
              <w:ind w:left="249" w:hanging="249"/>
            </w:pPr>
            <w:r w:rsidRPr="00913F31">
              <w:tab/>
              <w:t>i</w:t>
            </w:r>
            <w:r>
              <w:t xml:space="preserve">) </w:t>
            </w:r>
            <w:r w:rsidRPr="00913F31">
              <w:t>для транспортных средств, не оснащенных усовершенствованной системой ограничения выбросов: 4,5% или 3,5%. В соответствии с датой первой регистрации или первого использования, указанной в требованиях</w:t>
            </w:r>
            <w:r w:rsidRPr="007A2B72">
              <w:rPr>
                <w:vertAlign w:val="superscript"/>
              </w:rPr>
              <w:t>1</w:t>
            </w:r>
            <w:r w:rsidRPr="00913F31">
              <w:t>;</w:t>
            </w:r>
          </w:p>
          <w:p w:rsidR="007A3FC6" w:rsidRPr="00913F31" w:rsidRDefault="007A3FC6" w:rsidP="00307FEA">
            <w:pPr>
              <w:ind w:left="249" w:hanging="249"/>
            </w:pPr>
            <w:r>
              <w:tab/>
            </w:r>
            <w:r w:rsidRPr="00913F31">
              <w:t>ii)</w:t>
            </w:r>
            <w:r w:rsidRPr="00913F31">
              <w:tab/>
              <w:t>для транспортных средств, оснащенных усовершенствованной системой ограничения выбросов:</w:t>
            </w:r>
            <w:r w:rsidR="00307FEA">
              <w:br/>
            </w:r>
            <w:r>
              <w:t>–</w:t>
            </w:r>
            <w:r>
              <w:tab/>
            </w:r>
            <w:r w:rsidRPr="00913F31">
              <w:t>на холостом ходу двигателя: 0,5%;</w:t>
            </w:r>
            <w:r w:rsidR="00307FEA">
              <w:br/>
            </w:r>
            <w:r>
              <w:t>–</w:t>
            </w:r>
            <w:r w:rsidRPr="00913F31">
              <w:t xml:space="preserve"> при высоких оборотах холостого хода: 0,3%;</w:t>
            </w:r>
          </w:p>
          <w:p w:rsidR="007A3FC6" w:rsidRPr="00913F31" w:rsidRDefault="007A3FC6" w:rsidP="004431CE">
            <w:pPr>
              <w:ind w:left="249" w:hanging="249"/>
            </w:pPr>
            <w:r w:rsidRPr="00913F31">
              <w:tab/>
              <w:t xml:space="preserve">для транспортных средств, относящихся к классам выбросов </w:t>
            </w:r>
            <w:r w:rsidRPr="00913F31">
              <w:br/>
              <w:t>Евро-5 и Евро-6 или эквивалентному классу:</w:t>
            </w:r>
            <w:r>
              <w:t xml:space="preserve"> </w:t>
            </w:r>
            <w:r w:rsidR="00307FEA">
              <w:br/>
            </w:r>
            <w:r>
              <w:t>–</w:t>
            </w:r>
            <w:r w:rsidRPr="00913F31">
              <w:t xml:space="preserve"> на холостом ходу двигателя: 0,3%;</w:t>
            </w:r>
            <w:r w:rsidR="00307FEA">
              <w:br/>
            </w:r>
            <w:r>
              <w:t>–</w:t>
            </w:r>
            <w:r w:rsidRPr="00913F31">
              <w:t xml:space="preserve"> при высоких оборотах холостого хода: 0,2%;</w:t>
            </w:r>
          </w:p>
          <w:p w:rsidR="007A3FC6" w:rsidRDefault="007A3FC6" w:rsidP="004431CE">
            <w:pPr>
              <w:ind w:left="249" w:hanging="249"/>
              <w:rPr>
                <w:vertAlign w:val="superscript"/>
              </w:rPr>
            </w:pPr>
            <w:r w:rsidRPr="00913F31">
              <w:lastRenderedPageBreak/>
              <w:tab/>
              <w:t>В соответствии с датой первой регистрации или первого использования, указанной, в требованиях</w:t>
            </w:r>
            <w:r w:rsidRPr="005927DF">
              <w:rPr>
                <w:vertAlign w:val="superscript"/>
              </w:rPr>
              <w:t>1</w:t>
            </w:r>
          </w:p>
          <w:p w:rsidR="00101506" w:rsidRDefault="00101506" w:rsidP="004431CE">
            <w:pPr>
              <w:ind w:left="249" w:hanging="249"/>
            </w:pPr>
            <w:r w:rsidRPr="00913F31">
              <w:t>c)</w:t>
            </w:r>
            <w:r w:rsidRPr="00913F31">
              <w:tab/>
              <w:t>коэффициент лямбда выходит за пределы диапазона 1 ± 0,03 или не соответствует техническим условиям изготовителя</w:t>
            </w:r>
            <w:r>
              <w:t xml:space="preserve">; </w:t>
            </w:r>
          </w:p>
          <w:p w:rsidR="00101506" w:rsidRPr="00101506" w:rsidRDefault="00101506" w:rsidP="004431CE">
            <w:pPr>
              <w:ind w:left="249" w:hanging="249"/>
            </w:pPr>
            <w:r w:rsidRPr="00913F31">
              <w:t>d)</w:t>
            </w:r>
            <w:r w:rsidRPr="00913F31">
              <w:tab/>
              <w:t>показания БДС указывают на существенные неисправности</w:t>
            </w:r>
          </w:p>
        </w:tc>
        <w:tc>
          <w:tcPr>
            <w:tcW w:w="407" w:type="dxa"/>
            <w:tcBorders>
              <w:bottom w:val="single" w:sz="4" w:space="0" w:color="auto"/>
            </w:tcBorders>
          </w:tcPr>
          <w:p w:rsidR="007A3FC6" w:rsidRPr="00913F31" w:rsidRDefault="007A3FC6" w:rsidP="004431CE"/>
        </w:tc>
        <w:tc>
          <w:tcPr>
            <w:tcW w:w="392" w:type="dxa"/>
            <w:tcBorders>
              <w:bottom w:val="single" w:sz="4" w:space="0" w:color="auto"/>
            </w:tcBorders>
          </w:tcPr>
          <w:p w:rsidR="007A3FC6" w:rsidRPr="00913F31" w:rsidRDefault="007A3FC6" w:rsidP="00316D93">
            <w:pPr>
              <w:jc w:val="center"/>
            </w:pPr>
            <w:r w:rsidRPr="00913F31">
              <w:t>X</w:t>
            </w:r>
            <w:r w:rsidRPr="00913F31">
              <w:br/>
            </w:r>
            <w:r w:rsidRPr="00913F31">
              <w:br/>
            </w:r>
            <w:r w:rsidRPr="00913F31">
              <w:br/>
            </w:r>
          </w:p>
          <w:p w:rsidR="00101506" w:rsidRDefault="007A3FC6" w:rsidP="00316D93">
            <w:pPr>
              <w:jc w:val="center"/>
            </w:pPr>
            <w:r w:rsidRPr="00913F31">
              <w:t>X</w:t>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br/>
            </w:r>
            <w:r w:rsidR="00101506">
              <w:lastRenderedPageBreak/>
              <w:br/>
            </w:r>
            <w:r w:rsidR="00101506">
              <w:br/>
            </w:r>
            <w:r w:rsidR="00101506">
              <w:br/>
            </w:r>
            <w:r w:rsidR="00101506">
              <w:br/>
            </w:r>
          </w:p>
          <w:p w:rsidR="00101506" w:rsidRDefault="00101506" w:rsidP="00316D93">
            <w:pPr>
              <w:jc w:val="center"/>
            </w:pPr>
            <w:r>
              <w:t>Х</w:t>
            </w:r>
            <w:r>
              <w:br/>
            </w:r>
            <w:r>
              <w:br/>
            </w:r>
            <w:r>
              <w:br/>
            </w:r>
            <w:r>
              <w:br/>
            </w:r>
            <w:r>
              <w:br/>
            </w:r>
          </w:p>
          <w:p w:rsidR="00101506" w:rsidRPr="00913F31" w:rsidRDefault="00101506" w:rsidP="00101506">
            <w:pPr>
              <w:jc w:val="center"/>
            </w:pPr>
            <w:r>
              <w:t>Х</w:t>
            </w:r>
          </w:p>
        </w:tc>
        <w:tc>
          <w:tcPr>
            <w:cnfStyle w:val="000100000000" w:firstRow="0" w:lastRow="0" w:firstColumn="0" w:lastColumn="1" w:oddVBand="0" w:evenVBand="0" w:oddHBand="0" w:evenHBand="0" w:firstRowFirstColumn="0" w:firstRowLastColumn="0" w:lastRowFirstColumn="0" w:lastRowLastColumn="0"/>
            <w:tcW w:w="397" w:type="dxa"/>
            <w:tcBorders>
              <w:top w:val="single" w:sz="4" w:space="0" w:color="auto"/>
              <w:bottom w:val="single" w:sz="4" w:space="0" w:color="auto"/>
              <w:right w:val="single" w:sz="4" w:space="0" w:color="auto"/>
            </w:tcBorders>
          </w:tcPr>
          <w:p w:rsidR="007A3FC6" w:rsidRPr="00913F31" w:rsidRDefault="007A3FC6" w:rsidP="004431CE"/>
        </w:tc>
      </w:tr>
      <w:tr w:rsidR="007A3FC6" w:rsidRPr="00913F31" w:rsidTr="004431CE">
        <w:tc>
          <w:tcPr>
            <w:cnfStyle w:val="000100000000" w:firstRow="0" w:lastRow="0" w:firstColumn="0" w:lastColumn="1" w:oddVBand="0" w:evenVBand="0" w:oddHBand="0" w:evenHBand="0" w:firstRowFirstColumn="0" w:firstRowLastColumn="0" w:lastRowFirstColumn="0" w:lastRowLastColumn="0"/>
            <w:tcW w:w="8504" w:type="dxa"/>
            <w:gridSpan w:val="6"/>
            <w:tcBorders>
              <w:top w:val="none" w:sz="0" w:space="0" w:color="auto"/>
              <w:left w:val="none" w:sz="0" w:space="0" w:color="auto"/>
              <w:bottom w:val="none" w:sz="0" w:space="0" w:color="auto"/>
              <w:right w:val="none" w:sz="0" w:space="0" w:color="auto"/>
              <w:tl2br w:val="none" w:sz="0" w:space="0" w:color="auto"/>
              <w:tr2bl w:val="none" w:sz="0" w:space="0" w:color="auto"/>
            </w:tcBorders>
          </w:tcPr>
          <w:p w:rsidR="007A3FC6" w:rsidRPr="004B7CC2" w:rsidRDefault="007A3FC6" w:rsidP="004431CE">
            <w:pPr>
              <w:rPr>
                <w:b/>
              </w:rPr>
            </w:pPr>
            <w:r w:rsidRPr="004B7CC2">
              <w:rPr>
                <w:b/>
              </w:rPr>
              <w:t>3.2 Выбросы двигателями с воспламенением от сжатия</w:t>
            </w:r>
          </w:p>
        </w:tc>
      </w:tr>
      <w:tr w:rsidR="007A3FC6" w:rsidRPr="00913F31" w:rsidTr="00316D93">
        <w:tc>
          <w:tcPr>
            <w:tcW w:w="1857" w:type="dxa"/>
            <w:tcBorders>
              <w:bottom w:val="single" w:sz="4" w:space="0" w:color="auto"/>
            </w:tcBorders>
          </w:tcPr>
          <w:p w:rsidR="007A3FC6" w:rsidRPr="00913F31" w:rsidRDefault="007A3FC6" w:rsidP="004431CE">
            <w:r w:rsidRPr="00913F31">
              <w:t>3.2.1 Устройства ограничения выбросов отработавших газов</w:t>
            </w:r>
          </w:p>
        </w:tc>
        <w:tc>
          <w:tcPr>
            <w:tcW w:w="2865" w:type="dxa"/>
            <w:tcBorders>
              <w:bottom w:val="single" w:sz="4" w:space="0" w:color="auto"/>
            </w:tcBorders>
          </w:tcPr>
          <w:p w:rsidR="007A3FC6" w:rsidRPr="00913F31" w:rsidRDefault="007A3FC6" w:rsidP="004431CE">
            <w:r w:rsidRPr="00913F31">
              <w:t>Визуальный осмотр</w:t>
            </w:r>
          </w:p>
        </w:tc>
        <w:tc>
          <w:tcPr>
            <w:tcW w:w="2586" w:type="dxa"/>
            <w:tcBorders>
              <w:bottom w:val="single" w:sz="4" w:space="0" w:color="auto"/>
            </w:tcBorders>
          </w:tcPr>
          <w:p w:rsidR="007A3FC6" w:rsidRPr="00913F31" w:rsidRDefault="007A3FC6" w:rsidP="004431CE">
            <w:pPr>
              <w:ind w:left="249" w:hanging="249"/>
            </w:pPr>
            <w:r w:rsidRPr="00913F31">
              <w:t>a)</w:t>
            </w:r>
            <w:r w:rsidRPr="00913F31">
              <w:tab/>
              <w:t>Устройства ограничения выбросов, установленные изготовителем, отсутствуют или явно неисправны;</w:t>
            </w:r>
          </w:p>
          <w:p w:rsidR="007A3FC6" w:rsidRPr="00913F31" w:rsidRDefault="007A3FC6" w:rsidP="004431CE">
            <w:pPr>
              <w:ind w:left="249" w:hanging="249"/>
            </w:pPr>
            <w:r w:rsidRPr="00913F31">
              <w:t>b)</w:t>
            </w:r>
            <w:r w:rsidRPr="00913F31">
              <w:tab/>
              <w:t>утечки, которые могут повлиять на измерени</w:t>
            </w:r>
            <w:r>
              <w:t>я уровня выбросов</w:t>
            </w:r>
          </w:p>
        </w:tc>
        <w:tc>
          <w:tcPr>
            <w:tcW w:w="407" w:type="dxa"/>
            <w:tcBorders>
              <w:bottom w:val="single" w:sz="4" w:space="0" w:color="auto"/>
            </w:tcBorders>
          </w:tcPr>
          <w:p w:rsidR="007A3FC6" w:rsidRPr="00913F31" w:rsidRDefault="007A3FC6" w:rsidP="004431CE"/>
        </w:tc>
        <w:tc>
          <w:tcPr>
            <w:tcW w:w="392" w:type="dxa"/>
            <w:tcBorders>
              <w:bottom w:val="single" w:sz="4" w:space="0" w:color="auto"/>
            </w:tcBorders>
          </w:tcPr>
          <w:p w:rsidR="007A3FC6" w:rsidRPr="00913F31" w:rsidRDefault="007A3FC6" w:rsidP="00316D93">
            <w:pPr>
              <w:jc w:val="center"/>
            </w:pPr>
            <w:r w:rsidRPr="00913F31">
              <w:t>X</w:t>
            </w:r>
          </w:p>
          <w:p w:rsidR="007A3FC6" w:rsidRPr="00913F31" w:rsidRDefault="007A3FC6" w:rsidP="00316D93">
            <w:pPr>
              <w:jc w:val="center"/>
            </w:pPr>
            <w:r w:rsidRPr="00913F31">
              <w:br/>
            </w:r>
            <w:r w:rsidRPr="00913F31">
              <w:br/>
            </w:r>
            <w:r>
              <w:br/>
            </w:r>
            <w:r>
              <w:br/>
            </w:r>
            <w:r w:rsidRPr="00913F31">
              <w:t>X</w:t>
            </w:r>
          </w:p>
        </w:tc>
        <w:tc>
          <w:tcPr>
            <w:cnfStyle w:val="000100000000" w:firstRow="0" w:lastRow="0" w:firstColumn="0" w:lastColumn="1" w:oddVBand="0" w:evenVBand="0" w:oddHBand="0" w:evenHBand="0" w:firstRowFirstColumn="0" w:firstRowLastColumn="0" w:lastRowFirstColumn="0" w:lastRowLastColumn="0"/>
            <w:tcW w:w="397" w:type="dxa"/>
            <w:tcBorders>
              <w:bottom w:val="single" w:sz="4" w:space="0" w:color="auto"/>
              <w:right w:val="single" w:sz="4" w:space="0" w:color="auto"/>
            </w:tcBorders>
          </w:tcPr>
          <w:p w:rsidR="007A3FC6" w:rsidRPr="00913F31" w:rsidRDefault="007A3FC6" w:rsidP="004431CE"/>
        </w:tc>
      </w:tr>
      <w:tr w:rsidR="008F1FCF" w:rsidRPr="00913F31" w:rsidTr="008F1FCF">
        <w:tc>
          <w:tcPr>
            <w:tcW w:w="1857" w:type="dxa"/>
            <w:tcBorders>
              <w:bottom w:val="single" w:sz="4" w:space="0" w:color="auto"/>
            </w:tcBorders>
          </w:tcPr>
          <w:p w:rsidR="007A3FC6" w:rsidRDefault="007A3FC6" w:rsidP="004431CE">
            <w:r w:rsidRPr="00913F31">
              <w:t>3.2.2 Дымность</w:t>
            </w:r>
          </w:p>
          <w:p w:rsidR="007A3FC6" w:rsidRPr="00913F31" w:rsidRDefault="007A3FC6" w:rsidP="004431CE">
            <w:r w:rsidRPr="00913F31">
              <w:t>Транспортные средства, зарегистрированные или впервые введенные в эксплуатацию до 1 января 1980 года, ос</w:t>
            </w:r>
            <w:r w:rsidR="00316D93">
              <w:t>вобождаются от этого требования</w:t>
            </w:r>
          </w:p>
        </w:tc>
        <w:tc>
          <w:tcPr>
            <w:tcW w:w="2865" w:type="dxa"/>
            <w:tcBorders>
              <w:bottom w:val="single" w:sz="4" w:space="0" w:color="auto"/>
            </w:tcBorders>
          </w:tcPr>
          <w:p w:rsidR="007A3FC6" w:rsidRPr="00913F31" w:rsidRDefault="007A3FC6" w:rsidP="004431CE">
            <w:r w:rsidRPr="00913F31">
              <w:t>Для транспортных средств до классов выбросов Евро 5 и Евро V или эквивалентных классов:</w:t>
            </w:r>
          </w:p>
          <w:p w:rsidR="00316D93" w:rsidRDefault="00316D93" w:rsidP="004431CE">
            <w:r w:rsidRPr="00913F31">
              <w:t>д</w:t>
            </w:r>
            <w:r w:rsidR="007A3FC6" w:rsidRPr="00913F31">
              <w:t xml:space="preserve">ымность отработавших газов измеряется в фазе свободного ускорения (без нагрузки от холостого хода до граничной скорости) при рычаге переключения передач в нейтральном положении и включенном сцеплении или путем снятия показаний с БДС. </w:t>
            </w:r>
            <w:r w:rsidR="007A3FC6">
              <w:br/>
            </w:r>
            <w:r w:rsidR="007A3FC6" w:rsidRPr="00913F31">
              <w:t xml:space="preserve">По умолчанию для оценки отработавших газов используется метод, предусматривающий </w:t>
            </w:r>
            <w:r w:rsidR="007A3FC6">
              <w:br/>
            </w:r>
            <w:r w:rsidR="007A3FC6" w:rsidRPr="00913F31">
              <w:t xml:space="preserve">снятие </w:t>
            </w:r>
            <w:r w:rsidR="007A3FC6">
              <w:t>показаний в выхлопной трубе. На </w:t>
            </w:r>
            <w:r w:rsidR="007A3FC6" w:rsidRPr="00913F31">
              <w:t>основании оценки эквивалентности Договаривающиеся стороны могут разрешить использование БДС в соответствии с рекомендациями изготовителя и други</w:t>
            </w:r>
            <w:r w:rsidR="007A3FC6">
              <w:t>ми требованиями</w:t>
            </w:r>
          </w:p>
          <w:p w:rsidR="00D36E4E" w:rsidRDefault="00D36E4E" w:rsidP="004431CE"/>
          <w:p w:rsidR="007A3FC6" w:rsidRPr="00913F31" w:rsidRDefault="007A3FC6" w:rsidP="004431CE">
            <w:r w:rsidRPr="00913F31">
              <w:lastRenderedPageBreak/>
              <w:t>Для транспортных средств начиная с классов выбросов Евро 6 и Евро VI или эквивалентных классов:</w:t>
            </w:r>
          </w:p>
          <w:p w:rsidR="007A3FC6" w:rsidRPr="00913F31" w:rsidRDefault="007A3FC6" w:rsidP="004431CE">
            <w:r w:rsidRPr="00913F31">
              <w:t>дымность отработавших газов измеряется в фазе свободного ускорения (без нагрузки от холостого хода до граничной скорости) при рычаге переключения передач в нейтральном положении и включенном сцеплении или определяется путем снятия показаний с БДС, в соответствии с рекомендациями изготовителя и другими требованиями</w:t>
            </w:r>
            <w:r w:rsidRPr="004E500C">
              <w:rPr>
                <w:vertAlign w:val="superscript"/>
              </w:rPr>
              <w:t>1</w:t>
            </w:r>
          </w:p>
          <w:p w:rsidR="007A3FC6" w:rsidRPr="00913F31" w:rsidRDefault="007A3FC6" w:rsidP="004431CE">
            <w:r w:rsidRPr="00913F31">
              <w:t xml:space="preserve">Предварительная подготовка транспортного средства: </w:t>
            </w:r>
          </w:p>
          <w:p w:rsidR="007A3FC6" w:rsidRPr="00913F31" w:rsidRDefault="007A3FC6" w:rsidP="004431CE">
            <w:pPr>
              <w:tabs>
                <w:tab w:val="left" w:pos="179"/>
              </w:tabs>
            </w:pPr>
            <w:r w:rsidRPr="00913F31">
              <w:t>1.</w:t>
            </w:r>
            <w:r w:rsidRPr="00913F31">
              <w:tab/>
              <w:t>Транспортные средства могут испытываться без предварительной подготовки, хотя по соображениям безопасности следует убедиться в том, что двигатель прогрет и находится в удовлетвор</w:t>
            </w:r>
            <w:r>
              <w:t>ительном механическом состоянии</w:t>
            </w:r>
            <w:r w:rsidRPr="00913F31">
              <w:t xml:space="preserve"> </w:t>
            </w:r>
          </w:p>
          <w:p w:rsidR="007A3FC6" w:rsidRDefault="007A3FC6" w:rsidP="004431CE">
            <w:pPr>
              <w:tabs>
                <w:tab w:val="left" w:pos="179"/>
              </w:tabs>
            </w:pPr>
            <w:r w:rsidRPr="00913F31">
              <w:t>2.</w:t>
            </w:r>
            <w:r w:rsidRPr="00913F31">
              <w:tab/>
              <w:t>Требования в отношении предварительной подготовки:</w:t>
            </w:r>
          </w:p>
          <w:p w:rsidR="00316D93" w:rsidRDefault="00316D93" w:rsidP="004431CE">
            <w:pPr>
              <w:tabs>
                <w:tab w:val="left" w:pos="179"/>
              </w:tabs>
            </w:pPr>
            <w:r w:rsidRPr="00913F31">
              <w:t>i)</w:t>
            </w:r>
            <w:r w:rsidRPr="00913F31">
              <w:tab/>
              <w:t>Двигатель должен быть полностью прогрет, например температура масла в двигателе, измеренная при помощи зонда, помещенного в трубку для щупа указателя уровня масла, должна составлять не менее 80 °C или должна быть ниже, если она соответствует обычному рабочему режиму температуры, либо температура в блоке цилиндров, измеренная по уровню инфракрасного излучения, должна иметь по крайней мере эквивалентное значение. Если конструкция транспортного средства не допускает этих измерений, то обычная рабочая температура двигателя может быть определена другими способами, например при помощи</w:t>
            </w:r>
            <w:r>
              <w:t xml:space="preserve"> </w:t>
            </w:r>
            <w:r w:rsidRPr="00913F31">
              <w:lastRenderedPageBreak/>
              <w:t>в</w:t>
            </w:r>
            <w:r>
              <w:t>ентилятора охлаждения двигателя</w:t>
            </w:r>
          </w:p>
          <w:p w:rsidR="00316D93" w:rsidRPr="00913F31" w:rsidRDefault="00316D93" w:rsidP="00D36E4E">
            <w:pPr>
              <w:tabs>
                <w:tab w:val="left" w:pos="299"/>
              </w:tabs>
            </w:pPr>
            <w:r w:rsidRPr="00913F31">
              <w:t>ii)</w:t>
            </w:r>
            <w:r>
              <w:tab/>
            </w:r>
            <w:r w:rsidRPr="00913F31">
              <w:t>Система выпуска должна быть прочищена при помощи по крайней мере трех циклов свободного ускорения или каким-либ</w:t>
            </w:r>
            <w:r>
              <w:t>о другим эквивалентным способом</w:t>
            </w:r>
          </w:p>
        </w:tc>
        <w:tc>
          <w:tcPr>
            <w:tcW w:w="2586" w:type="dxa"/>
            <w:tcBorders>
              <w:bottom w:val="single" w:sz="4" w:space="0" w:color="auto"/>
            </w:tcBorders>
          </w:tcPr>
          <w:p w:rsidR="007A3FC6" w:rsidRPr="00913F31" w:rsidRDefault="007A3FC6" w:rsidP="004431CE">
            <w:pPr>
              <w:ind w:left="249" w:hanging="249"/>
            </w:pPr>
            <w:r w:rsidRPr="00913F31">
              <w:lastRenderedPageBreak/>
              <w:t>a)</w:t>
            </w:r>
            <w:r w:rsidRPr="00913F31">
              <w:tab/>
              <w:t>Для транспортных средств, впервые зарегистрированных или введенных в эксплуатацию после даты, указанной в требованиях</w:t>
            </w:r>
            <w:r w:rsidRPr="005927DF">
              <w:rPr>
                <w:vertAlign w:val="superscript"/>
              </w:rPr>
              <w:t>1</w:t>
            </w:r>
          </w:p>
          <w:p w:rsidR="007A3FC6" w:rsidRPr="00913F31" w:rsidRDefault="007A3FC6" w:rsidP="004431CE">
            <w:pPr>
              <w:ind w:left="249" w:hanging="249"/>
            </w:pPr>
            <w:r w:rsidRPr="00913F31">
              <w:tab/>
              <w:t>Дымность превышает уровень, указанный на табличке изготовителя, установ</w:t>
            </w:r>
            <w:r>
              <w:t>ленной на транспортном средстве</w:t>
            </w:r>
          </w:p>
        </w:tc>
        <w:tc>
          <w:tcPr>
            <w:tcW w:w="407" w:type="dxa"/>
            <w:tcBorders>
              <w:bottom w:val="single" w:sz="4" w:space="0" w:color="auto"/>
            </w:tcBorders>
          </w:tcPr>
          <w:p w:rsidR="007A3FC6" w:rsidRPr="00913F31" w:rsidRDefault="007A3FC6" w:rsidP="004431CE"/>
        </w:tc>
        <w:tc>
          <w:tcPr>
            <w:tcW w:w="392" w:type="dxa"/>
            <w:tcBorders>
              <w:bottom w:val="single" w:sz="4" w:space="0" w:color="auto"/>
            </w:tcBorders>
          </w:tcPr>
          <w:p w:rsidR="007A3FC6" w:rsidRPr="00913F31" w:rsidRDefault="007A3FC6" w:rsidP="00316D93">
            <w:pPr>
              <w:jc w:val="center"/>
            </w:pPr>
            <w:r>
              <w:t>Х</w:t>
            </w:r>
          </w:p>
        </w:tc>
        <w:tc>
          <w:tcPr>
            <w:cnfStyle w:val="000100000000" w:firstRow="0" w:lastRow="0" w:firstColumn="0" w:lastColumn="1" w:oddVBand="0" w:evenVBand="0" w:oddHBand="0" w:evenHBand="0" w:firstRowFirstColumn="0" w:firstRowLastColumn="0" w:lastRowFirstColumn="0" w:lastRowLastColumn="0"/>
            <w:tcW w:w="397" w:type="dxa"/>
            <w:tcBorders>
              <w:top w:val="single" w:sz="4" w:space="0" w:color="auto"/>
              <w:bottom w:val="single" w:sz="4" w:space="0" w:color="auto"/>
              <w:right w:val="single" w:sz="4" w:space="0" w:color="auto"/>
            </w:tcBorders>
          </w:tcPr>
          <w:p w:rsidR="007A3FC6" w:rsidRPr="00913F31" w:rsidRDefault="007A3FC6" w:rsidP="004431CE"/>
        </w:tc>
      </w:tr>
      <w:tr w:rsidR="00D36E4E" w:rsidRPr="00913F31" w:rsidTr="008F1FCF">
        <w:trPr>
          <w:trHeight w:val="130"/>
        </w:trPr>
        <w:tc>
          <w:tcPr>
            <w:tcW w:w="1857" w:type="dxa"/>
            <w:tcBorders>
              <w:bottom w:val="single" w:sz="4" w:space="0" w:color="auto"/>
            </w:tcBorders>
          </w:tcPr>
          <w:p w:rsidR="007A3FC6" w:rsidRPr="00913F31" w:rsidRDefault="007A3FC6" w:rsidP="004431CE"/>
        </w:tc>
        <w:tc>
          <w:tcPr>
            <w:tcW w:w="2865" w:type="dxa"/>
            <w:tcBorders>
              <w:bottom w:val="single" w:sz="4" w:space="0" w:color="auto"/>
            </w:tcBorders>
          </w:tcPr>
          <w:p w:rsidR="007A3FC6" w:rsidRPr="00913F31" w:rsidRDefault="007A3FC6" w:rsidP="004431CE">
            <w:r w:rsidRPr="00913F31">
              <w:t>Процедура испытания:</w:t>
            </w:r>
          </w:p>
          <w:p w:rsidR="007A3FC6" w:rsidRPr="00913F31" w:rsidRDefault="007A3FC6" w:rsidP="004431CE">
            <w:pPr>
              <w:tabs>
                <w:tab w:val="left" w:pos="293"/>
              </w:tabs>
            </w:pPr>
            <w:r w:rsidRPr="00913F31">
              <w:t>1.</w:t>
            </w:r>
            <w:r w:rsidRPr="00913F31">
              <w:tab/>
              <w:t>Двигатель и любой установленный на нем турбонагнетатель должны работать в режиме холостого хода до начала каждого из трех циклов свободного ускорения. В случае дизельных двигателей для транспортных средс</w:t>
            </w:r>
            <w:r w:rsidR="00D36E4E">
              <w:t>тв большой грузоподъемности это </w:t>
            </w:r>
            <w:r w:rsidRPr="00913F31">
              <w:t>означает, что надлежит выждать в течение не менее 10 секунд после отпускания п</w:t>
            </w:r>
            <w:r>
              <w:t>едали регулятора подачи топлива</w:t>
            </w:r>
          </w:p>
          <w:p w:rsidR="007A3FC6" w:rsidRDefault="00D36E4E" w:rsidP="004431CE">
            <w:pPr>
              <w:tabs>
                <w:tab w:val="left" w:pos="293"/>
              </w:tabs>
            </w:pPr>
            <w:r>
              <w:t>2.</w:t>
            </w:r>
            <w:r>
              <w:tab/>
              <w:t>Для начала каждого из трех </w:t>
            </w:r>
            <w:r w:rsidR="007A3FC6" w:rsidRPr="00913F31">
              <w:t>циклов свободного ускорения педаль регулятора подачи топлива должна быть полностью выжата быстро и непрерывно (менее чем за одну</w:t>
            </w:r>
            <w:r>
              <w:t> </w:t>
            </w:r>
            <w:r w:rsidR="007A3FC6" w:rsidRPr="00913F31">
              <w:t>секунду), но не резко, с тем чтобы можно было обеспечить максимальную под</w:t>
            </w:r>
            <w:r w:rsidR="007A3FC6">
              <w:t>ачу топлива инжекторным насосом</w:t>
            </w:r>
          </w:p>
          <w:p w:rsidR="008F1FCF" w:rsidRPr="00913F31" w:rsidRDefault="00D36E4E" w:rsidP="008F1FCF">
            <w:pPr>
              <w:tabs>
                <w:tab w:val="left" w:pos="293"/>
              </w:tabs>
            </w:pPr>
            <w:r w:rsidRPr="00913F31">
              <w:t>3.</w:t>
            </w:r>
            <w:r w:rsidRPr="00913F31">
              <w:tab/>
              <w:t xml:space="preserve">В течение каждого из трех циклов свободного ускорения частота вращения двигателя должна достигать граничного значения или в случае транспортных средств с автоматической трансмиссией − значения, указанного изготовителем, а при отсутствии этих данных − двух третей от граничного значения до момента отпускания педали регулятора подачи топлива. Это можно проверить, например, посредством контроля за изменением частоты вращения двигателя или путем замера промежутка времени между </w:t>
            </w:r>
            <w:r w:rsidRPr="00913F31">
              <w:lastRenderedPageBreak/>
              <w:t>первоначальным нажатием на педаль регулятора подачи топлива и ее отпусканием, который в случае транспортных средств категорий М</w:t>
            </w:r>
            <w:r w:rsidRPr="004E500C">
              <w:rPr>
                <w:vertAlign w:val="subscript"/>
              </w:rPr>
              <w:t>2</w:t>
            </w:r>
            <w:r w:rsidRPr="00913F31">
              <w:t>, М</w:t>
            </w:r>
            <w:r w:rsidRPr="004E500C">
              <w:rPr>
                <w:vertAlign w:val="subscript"/>
              </w:rPr>
              <w:t>3</w:t>
            </w:r>
            <w:r w:rsidRPr="00913F31">
              <w:t>, N</w:t>
            </w:r>
            <w:r w:rsidRPr="004E500C">
              <w:rPr>
                <w:vertAlign w:val="subscript"/>
              </w:rPr>
              <w:t>2</w:t>
            </w:r>
            <w:r w:rsidRPr="00913F31">
              <w:t xml:space="preserve"> и N</w:t>
            </w:r>
            <w:r w:rsidRPr="004E500C">
              <w:rPr>
                <w:vertAlign w:val="subscript"/>
              </w:rPr>
              <w:t>3</w:t>
            </w:r>
            <w:r w:rsidRPr="00913F31">
              <w:t xml:space="preserve"> должен </w:t>
            </w:r>
            <w:r>
              <w:t>составлять не менее двух секунд</w:t>
            </w:r>
          </w:p>
        </w:tc>
        <w:tc>
          <w:tcPr>
            <w:tcW w:w="2586" w:type="dxa"/>
            <w:tcBorders>
              <w:bottom w:val="single" w:sz="4" w:space="0" w:color="auto"/>
            </w:tcBorders>
          </w:tcPr>
          <w:p w:rsidR="007A3FC6" w:rsidRPr="00913F31" w:rsidRDefault="007A3FC6" w:rsidP="004431CE">
            <w:pPr>
              <w:tabs>
                <w:tab w:val="left" w:pos="282"/>
              </w:tabs>
              <w:ind w:left="284" w:hanging="284"/>
            </w:pPr>
            <w:r w:rsidRPr="00913F31">
              <w:lastRenderedPageBreak/>
              <w:t>b)</w:t>
            </w:r>
            <w:r w:rsidRPr="00913F31">
              <w:tab/>
              <w:t>В тех случаях, когда этой информации нет, или требования</w:t>
            </w:r>
            <w:r w:rsidRPr="00316D93">
              <w:rPr>
                <w:vertAlign w:val="superscript"/>
              </w:rPr>
              <w:t>1</w:t>
            </w:r>
            <w:r w:rsidRPr="00913F31">
              <w:t xml:space="preserve"> не позволяют использовать исходные значения,</w:t>
            </w:r>
          </w:p>
          <w:p w:rsidR="007A3FC6" w:rsidRPr="00913F31" w:rsidRDefault="007A3FC6" w:rsidP="00D36E4E">
            <w:pPr>
              <w:spacing w:after="0"/>
              <w:ind w:left="284" w:hanging="284"/>
            </w:pPr>
            <w:r>
              <w:tab/>
              <w:t xml:space="preserve">– </w:t>
            </w:r>
            <w:r w:rsidRPr="00913F31">
              <w:t>в безнаддувных двигателях: 2,5 м</w:t>
            </w:r>
            <w:r w:rsidR="00316D93">
              <w:rPr>
                <w:vertAlign w:val="superscript"/>
              </w:rPr>
              <w:t>–</w:t>
            </w:r>
            <w:r w:rsidRPr="005379E9">
              <w:rPr>
                <w:vertAlign w:val="superscript"/>
              </w:rPr>
              <w:t>1</w:t>
            </w:r>
          </w:p>
          <w:p w:rsidR="007A3FC6" w:rsidRPr="00913F31" w:rsidRDefault="007A3FC6" w:rsidP="00D36E4E">
            <w:pPr>
              <w:spacing w:before="0" w:after="0"/>
              <w:ind w:left="284" w:hanging="284"/>
            </w:pPr>
            <w:r>
              <w:tab/>
              <w:t xml:space="preserve">– </w:t>
            </w:r>
            <w:r w:rsidRPr="00913F31">
              <w:t>в двигателях с турбонаддувом: 3,0 м</w:t>
            </w:r>
            <w:r>
              <w:rPr>
                <w:vertAlign w:val="superscript"/>
              </w:rPr>
              <w:t>–1</w:t>
            </w:r>
          </w:p>
          <w:p w:rsidR="007A3FC6" w:rsidRPr="00913F31" w:rsidRDefault="007A3FC6" w:rsidP="00D36E4E">
            <w:pPr>
              <w:ind w:left="284" w:hanging="284"/>
            </w:pPr>
            <w:r>
              <w:tab/>
              <w:t xml:space="preserve">– </w:t>
            </w:r>
            <w:r w:rsidRPr="00913F31">
              <w:t>для транспортных средств, указанных в требованиях</w:t>
            </w:r>
            <w:r w:rsidRPr="005379E9">
              <w:rPr>
                <w:vertAlign w:val="superscript"/>
              </w:rPr>
              <w:t>1</w:t>
            </w:r>
            <w:r w:rsidRPr="00913F31">
              <w:t xml:space="preserve"> или зарегистрированных впервые или введенных в эксплуатацию в первый раз после даты, указанной в требованиях: для транспортных средств, относящихся к классам выбросов Евр</w:t>
            </w:r>
            <w:r>
              <w:t>о-5 и Евро </w:t>
            </w:r>
            <w:r w:rsidRPr="00913F31">
              <w:t>V или эквивалентному классу: 1,5 м</w:t>
            </w:r>
            <w:r w:rsidR="00D36E4E">
              <w:softHyphen/>
            </w:r>
            <w:r w:rsidR="00D36E4E" w:rsidRPr="00D36E4E">
              <w:rPr>
                <w:vertAlign w:val="superscript"/>
              </w:rPr>
              <w:t>1</w:t>
            </w:r>
            <w:r w:rsidRPr="00913F31">
              <w:t>; для транспортных средств, относящихся к классам выбросов Евро-6 и Евро VI или эквивалентному классу: 0,7 м</w:t>
            </w:r>
            <w:r w:rsidR="00D36E4E">
              <w:rPr>
                <w:vertAlign w:val="superscript"/>
              </w:rPr>
              <w:softHyphen/>
            </w:r>
            <w:r w:rsidRPr="004E500C">
              <w:rPr>
                <w:vertAlign w:val="superscript"/>
              </w:rPr>
              <w:t>1</w:t>
            </w:r>
          </w:p>
        </w:tc>
        <w:tc>
          <w:tcPr>
            <w:tcW w:w="407" w:type="dxa"/>
            <w:tcBorders>
              <w:bottom w:val="single" w:sz="4" w:space="0" w:color="auto"/>
            </w:tcBorders>
          </w:tcPr>
          <w:p w:rsidR="007A3FC6" w:rsidRPr="00913F31" w:rsidRDefault="007A3FC6" w:rsidP="004431CE"/>
        </w:tc>
        <w:tc>
          <w:tcPr>
            <w:tcW w:w="392" w:type="dxa"/>
            <w:tcBorders>
              <w:bottom w:val="single" w:sz="4" w:space="0" w:color="auto"/>
            </w:tcBorders>
          </w:tcPr>
          <w:p w:rsidR="007A3FC6" w:rsidRPr="00913F31" w:rsidRDefault="007A3FC6" w:rsidP="00316D93">
            <w:pPr>
              <w:jc w:val="center"/>
            </w:pPr>
            <w:r w:rsidRPr="00913F31">
              <w:t>X</w:t>
            </w:r>
          </w:p>
        </w:tc>
        <w:tc>
          <w:tcPr>
            <w:cnfStyle w:val="000100000000" w:firstRow="0" w:lastRow="0" w:firstColumn="0" w:lastColumn="1" w:oddVBand="0" w:evenVBand="0" w:oddHBand="0" w:evenHBand="0" w:firstRowFirstColumn="0" w:firstRowLastColumn="0" w:lastRowFirstColumn="0" w:lastRowLastColumn="0"/>
            <w:tcW w:w="397" w:type="dxa"/>
            <w:tcBorders>
              <w:top w:val="single" w:sz="4" w:space="0" w:color="auto"/>
              <w:bottom w:val="single" w:sz="4" w:space="0" w:color="auto"/>
              <w:right w:val="single" w:sz="4" w:space="0" w:color="auto"/>
            </w:tcBorders>
          </w:tcPr>
          <w:p w:rsidR="007A3FC6" w:rsidRPr="00913F31" w:rsidRDefault="007A3FC6" w:rsidP="004431CE"/>
        </w:tc>
      </w:tr>
      <w:tr w:rsidR="00D36E4E" w:rsidRPr="00913F31" w:rsidTr="008F1FCF">
        <w:trPr>
          <w:trHeight w:val="130"/>
        </w:trPr>
        <w:tc>
          <w:tcPr>
            <w:tcW w:w="1857" w:type="dxa"/>
            <w:tcBorders>
              <w:top w:val="nil"/>
              <w:bottom w:val="single" w:sz="12" w:space="0" w:color="auto"/>
            </w:tcBorders>
          </w:tcPr>
          <w:p w:rsidR="00D36E4E" w:rsidRPr="00913F31" w:rsidRDefault="00D36E4E" w:rsidP="004431CE"/>
        </w:tc>
        <w:tc>
          <w:tcPr>
            <w:tcW w:w="2865" w:type="dxa"/>
            <w:tcBorders>
              <w:top w:val="nil"/>
              <w:bottom w:val="single" w:sz="12" w:space="0" w:color="auto"/>
            </w:tcBorders>
          </w:tcPr>
          <w:p w:rsidR="008F1FCF" w:rsidRDefault="008F1FCF" w:rsidP="00D36E4E">
            <w:pPr>
              <w:tabs>
                <w:tab w:val="left" w:pos="282"/>
              </w:tabs>
            </w:pPr>
            <w:r w:rsidRPr="00913F31">
              <w:t>4.</w:t>
            </w:r>
            <w:r w:rsidRPr="00913F31">
              <w:tab/>
              <w:t>Транспортные средства считаются не соответствующими установленным требованиям только в том случае, если среднеарифметические значения по крайней мере трех циклов свободного ускорения превышают предельное значение. Это можно рассчитать без учета любых результатов измерений, которые значительно отклоняются от измеренного среднего значения или результата любого другого статистического расчета, учитывающего разброс показаний при измерениях. Договаривающиеся стороны могут ограничивать число испытательных циклов</w:t>
            </w:r>
          </w:p>
          <w:p w:rsidR="00D36E4E" w:rsidRPr="00913F31" w:rsidRDefault="00D36E4E" w:rsidP="00D36E4E">
            <w:pPr>
              <w:tabs>
                <w:tab w:val="left" w:pos="282"/>
              </w:tabs>
            </w:pPr>
            <w:r w:rsidRPr="00913F31">
              <w:t>5.</w:t>
            </w:r>
            <w:r w:rsidRPr="00913F31">
              <w:tab/>
              <w:t>Для того чтобы не проводить излишних испытаний, Договаривающиеся стороны могут принимать решение о несоответствии установленным требованиям тех транспортных средств, на которых измеренные значения существенно превышают предельные после проведения не менее трех циклов свободного ускорения или после осуществления циклов очистки. Кроме того, с целью не проводить излишних испытаний, Договаривающиеся стороны могут признать соответствующими установленным требованиям те транспортные средства, на которых измеренные значения оказались значительно ниже предельных после проведения менее трех циклов свободного ускорения или после осуществления циклов очистки</w:t>
            </w:r>
          </w:p>
        </w:tc>
        <w:tc>
          <w:tcPr>
            <w:tcW w:w="2586" w:type="dxa"/>
            <w:tcBorders>
              <w:top w:val="nil"/>
              <w:bottom w:val="single" w:sz="12" w:space="0" w:color="auto"/>
            </w:tcBorders>
          </w:tcPr>
          <w:p w:rsidR="00D36E4E" w:rsidRPr="00913F31" w:rsidRDefault="00D36E4E" w:rsidP="004431CE">
            <w:pPr>
              <w:tabs>
                <w:tab w:val="left" w:pos="282"/>
              </w:tabs>
              <w:ind w:left="284" w:hanging="284"/>
            </w:pPr>
          </w:p>
        </w:tc>
        <w:tc>
          <w:tcPr>
            <w:tcW w:w="407" w:type="dxa"/>
            <w:tcBorders>
              <w:top w:val="nil"/>
              <w:bottom w:val="single" w:sz="12" w:space="0" w:color="auto"/>
            </w:tcBorders>
          </w:tcPr>
          <w:p w:rsidR="00D36E4E" w:rsidRPr="00913F31" w:rsidRDefault="00D36E4E" w:rsidP="004431CE"/>
        </w:tc>
        <w:tc>
          <w:tcPr>
            <w:tcW w:w="392" w:type="dxa"/>
            <w:tcBorders>
              <w:top w:val="nil"/>
              <w:bottom w:val="single" w:sz="12" w:space="0" w:color="auto"/>
            </w:tcBorders>
          </w:tcPr>
          <w:p w:rsidR="00D36E4E" w:rsidRPr="00913F31" w:rsidRDefault="00D36E4E" w:rsidP="00316D93">
            <w:pPr>
              <w:jc w:val="center"/>
            </w:pPr>
          </w:p>
        </w:tc>
        <w:tc>
          <w:tcPr>
            <w:cnfStyle w:val="000100000000" w:firstRow="0" w:lastRow="0" w:firstColumn="0" w:lastColumn="1" w:oddVBand="0" w:evenVBand="0" w:oddHBand="0" w:evenHBand="0" w:firstRowFirstColumn="0" w:firstRowLastColumn="0" w:lastRowFirstColumn="0" w:lastRowLastColumn="0"/>
            <w:tcW w:w="397" w:type="dxa"/>
            <w:tcBorders>
              <w:right w:val="single" w:sz="4" w:space="0" w:color="auto"/>
            </w:tcBorders>
          </w:tcPr>
          <w:p w:rsidR="00D36E4E" w:rsidRPr="00913F31" w:rsidRDefault="00D36E4E" w:rsidP="004431CE"/>
        </w:tc>
      </w:tr>
    </w:tbl>
    <w:p w:rsidR="007A3FC6" w:rsidRPr="0008570D" w:rsidRDefault="007A3FC6" w:rsidP="007A3FC6">
      <w:pPr>
        <w:pStyle w:val="SingleTxtGR"/>
        <w:spacing w:before="120"/>
      </w:pPr>
      <w:r w:rsidRPr="0008570D">
        <w:lastRenderedPageBreak/>
        <w:t>3.3</w:t>
      </w:r>
      <w:r w:rsidRPr="0008570D">
        <w:tab/>
      </w:r>
      <w:r w:rsidRPr="0008570D">
        <w:tab/>
        <w:t>Испытательное оборудование</w:t>
      </w:r>
    </w:p>
    <w:p w:rsidR="007A3FC6" w:rsidRPr="0008570D" w:rsidRDefault="007A3FC6" w:rsidP="007A3FC6">
      <w:pPr>
        <w:pStyle w:val="SingleTxtGR"/>
        <w:ind w:left="2268"/>
      </w:pPr>
      <w:r w:rsidRPr="0008570D">
        <w:t>Уровень выбросов загрязняющих веществ транспортными средствами определяется с помощью оборудования, предназначенного для точного установления соответствия предписанным предельным значениям или значениям, указанным изготовителем.</w:t>
      </w:r>
    </w:p>
    <w:p w:rsidR="007A3FC6" w:rsidRPr="0008570D" w:rsidRDefault="007A3FC6" w:rsidP="008F1FCF">
      <w:pPr>
        <w:pStyle w:val="HChGR"/>
      </w:pPr>
      <w:r w:rsidRPr="0008570D">
        <w:tab/>
        <w:t>4.</w:t>
      </w:r>
      <w:r w:rsidRPr="0008570D">
        <w:tab/>
      </w:r>
      <w:r w:rsidRPr="0008570D">
        <w:tab/>
        <w:t>Шумоизлучение</w:t>
      </w:r>
    </w:p>
    <w:tbl>
      <w:tblPr>
        <w:tblStyle w:val="TabTxt"/>
        <w:tblW w:w="7370" w:type="dxa"/>
        <w:tblInd w:w="1134" w:type="dxa"/>
        <w:tblLayout w:type="fixed"/>
        <w:tblLook w:val="05E0" w:firstRow="1" w:lastRow="1" w:firstColumn="1" w:lastColumn="1" w:noHBand="0" w:noVBand="1"/>
      </w:tblPr>
      <w:tblGrid>
        <w:gridCol w:w="1330"/>
        <w:gridCol w:w="1636"/>
        <w:gridCol w:w="2636"/>
        <w:gridCol w:w="590"/>
        <w:gridCol w:w="590"/>
        <w:gridCol w:w="588"/>
      </w:tblGrid>
      <w:tr w:rsidR="007A3FC6" w:rsidRPr="004E500C" w:rsidTr="004431CE">
        <w:trPr>
          <w:trHeight w:val="227"/>
          <w:tblHeader/>
        </w:trPr>
        <w:tc>
          <w:tcPr>
            <w:tcW w:w="902" w:type="pct"/>
            <w:vMerge w:val="restart"/>
            <w:tcBorders>
              <w:top w:val="single" w:sz="4" w:space="0" w:color="auto"/>
              <w:left w:val="single" w:sz="4" w:space="0" w:color="auto"/>
              <w:bottom w:val="nil"/>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br w:type="page"/>
              <w:t>Позиция</w:t>
            </w:r>
          </w:p>
        </w:tc>
        <w:tc>
          <w:tcPr>
            <w:tcW w:w="1110" w:type="pct"/>
            <w:vMerge w:val="restar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t>Метод</w:t>
            </w:r>
          </w:p>
        </w:tc>
        <w:tc>
          <w:tcPr>
            <w:tcW w:w="1788" w:type="pct"/>
            <w:vMerge w:val="restar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t>Основные причины для отказа</w:t>
            </w:r>
          </w:p>
        </w:tc>
        <w:tc>
          <w:tcPr>
            <w:cnfStyle w:val="000100000000" w:firstRow="0" w:lastRow="0" w:firstColumn="0" w:lastColumn="1" w:oddVBand="0" w:evenVBand="0" w:oddHBand="0" w:evenHBand="0" w:firstRowFirstColumn="0" w:firstRowLastColumn="0" w:lastRowFirstColumn="0" w:lastRowLastColumn="0"/>
            <w:tcW w:w="1199" w:type="pct"/>
            <w:gridSpan w:val="3"/>
            <w:tcBorders>
              <w:left w:val="single" w:sz="4" w:space="0" w:color="auto"/>
              <w:bottom w:val="single" w:sz="4"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jc w:val="center"/>
              <w:rPr>
                <w:i/>
                <w:sz w:val="16"/>
              </w:rPr>
            </w:pPr>
            <w:r w:rsidRPr="004E500C">
              <w:rPr>
                <w:i/>
                <w:sz w:val="16"/>
              </w:rPr>
              <w:t>Оценка дефектов</w:t>
            </w:r>
          </w:p>
        </w:tc>
      </w:tr>
      <w:tr w:rsidR="007A3FC6" w:rsidRPr="004E500C" w:rsidTr="004431CE">
        <w:trPr>
          <w:trHeight w:val="227"/>
          <w:tblHeader/>
        </w:trPr>
        <w:tc>
          <w:tcPr>
            <w:tcW w:w="902" w:type="pct"/>
            <w:vMerge/>
            <w:tcBorders>
              <w:top w:val="nil"/>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1110" w:type="pct"/>
            <w:vMerge/>
            <w:tcBorders>
              <w:top w:val="nil"/>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1788" w:type="pct"/>
            <w:vMerge/>
            <w:tcBorders>
              <w:top w:val="nil"/>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400"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НД</w:t>
            </w:r>
          </w:p>
        </w:tc>
        <w:tc>
          <w:tcPr>
            <w:tcW w:w="400"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СД</w:t>
            </w:r>
          </w:p>
        </w:tc>
        <w:tc>
          <w:tcPr>
            <w:cnfStyle w:val="000100000000" w:firstRow="0" w:lastRow="0" w:firstColumn="0" w:lastColumn="1" w:oddVBand="0" w:evenVBand="0" w:oddHBand="0" w:evenHBand="0" w:firstRowFirstColumn="0" w:firstRowLastColumn="0" w:lastRowFirstColumn="0" w:lastRowLastColumn="0"/>
            <w:tcW w:w="399"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ОД</w:t>
            </w:r>
          </w:p>
        </w:tc>
      </w:tr>
      <w:tr w:rsidR="007A3FC6" w:rsidRPr="004E500C" w:rsidTr="004431CE">
        <w:trPr>
          <w:trHeight w:val="995"/>
        </w:trPr>
        <w:tc>
          <w:tcPr>
            <w:tcW w:w="902" w:type="pct"/>
            <w:vMerge w:val="restart"/>
            <w:tcBorders>
              <w:top w:val="single" w:sz="12" w:space="0" w:color="auto"/>
              <w:left w:val="single" w:sz="4" w:space="0" w:color="auto"/>
              <w:right w:val="single" w:sz="4" w:space="0" w:color="auto"/>
            </w:tcBorders>
          </w:tcPr>
          <w:p w:rsidR="007A3FC6" w:rsidRPr="004E500C" w:rsidRDefault="007A3FC6" w:rsidP="004431CE">
            <w:r w:rsidRPr="004E500C">
              <w:t>4.1 Система снижения шума</w:t>
            </w:r>
          </w:p>
        </w:tc>
        <w:tc>
          <w:tcPr>
            <w:tcW w:w="1110" w:type="pct"/>
            <w:vMerge w:val="restart"/>
            <w:tcBorders>
              <w:top w:val="single" w:sz="12" w:space="0" w:color="auto"/>
              <w:left w:val="single" w:sz="4" w:space="0" w:color="auto"/>
              <w:bottom w:val="single" w:sz="12" w:space="0" w:color="auto"/>
              <w:right w:val="single" w:sz="4" w:space="0" w:color="auto"/>
            </w:tcBorders>
          </w:tcPr>
          <w:p w:rsidR="007A3FC6" w:rsidRPr="004E500C" w:rsidRDefault="007A3FC6" w:rsidP="004431CE">
            <w:r w:rsidRPr="004E500C">
              <w:t xml:space="preserve">Субъективная оценка (если только инспектор не считает, что уровень шума может быть предельным, в случае чего может быть проведено стационарное испытание на уровень </w:t>
            </w:r>
            <w:r w:rsidR="008F1FCF">
              <w:t>шума с использованием шумомера)</w:t>
            </w:r>
          </w:p>
        </w:tc>
        <w:tc>
          <w:tcPr>
            <w:tcW w:w="1788" w:type="pct"/>
            <w:tcBorders>
              <w:top w:val="single" w:sz="12" w:space="0" w:color="auto"/>
              <w:left w:val="single" w:sz="4" w:space="0" w:color="auto"/>
              <w:bottom w:val="nil"/>
              <w:right w:val="single" w:sz="4" w:space="0" w:color="auto"/>
            </w:tcBorders>
          </w:tcPr>
          <w:p w:rsidR="007A3FC6" w:rsidRPr="004E500C" w:rsidRDefault="007A3FC6" w:rsidP="008F1FCF">
            <w:pPr>
              <w:tabs>
                <w:tab w:val="left" w:pos="281"/>
              </w:tabs>
              <w:ind w:left="284" w:hanging="284"/>
            </w:pPr>
            <w:r w:rsidRPr="004E500C">
              <w:t>a)</w:t>
            </w:r>
            <w:r w:rsidRPr="004E500C">
              <w:tab/>
              <w:t>Уровни шума, превышающие значения, допускаемые требованиями</w:t>
            </w:r>
            <w:r w:rsidRPr="004E500C">
              <w:rPr>
                <w:vertAlign w:val="superscript"/>
              </w:rPr>
              <w:t>1</w:t>
            </w:r>
            <w:r w:rsidRPr="004E500C">
              <w:t>;</w:t>
            </w:r>
          </w:p>
        </w:tc>
        <w:tc>
          <w:tcPr>
            <w:tcW w:w="400" w:type="pct"/>
            <w:vMerge w:val="restart"/>
            <w:tcBorders>
              <w:top w:val="single" w:sz="12" w:space="0" w:color="auto"/>
              <w:left w:val="single" w:sz="4" w:space="0" w:color="auto"/>
              <w:bottom w:val="single" w:sz="12" w:space="0" w:color="auto"/>
              <w:right w:val="single" w:sz="4" w:space="0" w:color="auto"/>
            </w:tcBorders>
          </w:tcPr>
          <w:p w:rsidR="007A3FC6" w:rsidRPr="004E500C" w:rsidRDefault="007A3FC6" w:rsidP="004431CE"/>
        </w:tc>
        <w:tc>
          <w:tcPr>
            <w:tcW w:w="400" w:type="pct"/>
            <w:tcBorders>
              <w:top w:val="single" w:sz="12" w:space="0" w:color="auto"/>
              <w:left w:val="single" w:sz="4" w:space="0" w:color="auto"/>
              <w:bottom w:val="nil"/>
              <w:right w:val="single" w:sz="4" w:space="0" w:color="auto"/>
            </w:tcBorders>
          </w:tcPr>
          <w:p w:rsidR="007A3FC6" w:rsidRPr="004E500C" w:rsidRDefault="007A3FC6" w:rsidP="008F1FCF">
            <w:pPr>
              <w:jc w:val="center"/>
            </w:pPr>
            <w:r w:rsidRPr="004E500C">
              <w:t>X</w:t>
            </w:r>
          </w:p>
        </w:tc>
        <w:tc>
          <w:tcPr>
            <w:cnfStyle w:val="000100000000" w:firstRow="0" w:lastRow="0" w:firstColumn="0" w:lastColumn="1" w:oddVBand="0" w:evenVBand="0" w:oddHBand="0" w:evenHBand="0" w:firstRowFirstColumn="0" w:firstRowLastColumn="0" w:lastRowFirstColumn="0" w:lastRowLastColumn="0"/>
            <w:tcW w:w="399" w:type="pct"/>
            <w:tcBorders>
              <w:top w:val="single" w:sz="12" w:space="0" w:color="auto"/>
              <w:left w:val="single" w:sz="4" w:space="0" w:color="auto"/>
              <w:right w:val="single" w:sz="4" w:space="0" w:color="auto"/>
            </w:tcBorders>
          </w:tcPr>
          <w:p w:rsidR="007A3FC6" w:rsidRPr="004E500C" w:rsidRDefault="007A3FC6" w:rsidP="004431CE"/>
        </w:tc>
      </w:tr>
      <w:tr w:rsidR="007A3FC6" w:rsidRPr="004E500C" w:rsidTr="004431CE">
        <w:trPr>
          <w:trHeight w:val="1729"/>
        </w:trPr>
        <w:tc>
          <w:tcPr>
            <w:tcW w:w="902" w:type="pct"/>
            <w:vMerge/>
            <w:tcBorders>
              <w:left w:val="single" w:sz="4" w:space="0" w:color="auto"/>
              <w:right w:val="single" w:sz="4" w:space="0" w:color="auto"/>
            </w:tcBorders>
          </w:tcPr>
          <w:p w:rsidR="007A3FC6" w:rsidRPr="004E500C" w:rsidRDefault="007A3FC6" w:rsidP="004431CE"/>
        </w:tc>
        <w:tc>
          <w:tcPr>
            <w:tcW w:w="1110" w:type="pct"/>
            <w:vMerge/>
            <w:tcBorders>
              <w:top w:val="nil"/>
              <w:left w:val="single" w:sz="4" w:space="0" w:color="auto"/>
              <w:bottom w:val="nil"/>
              <w:right w:val="single" w:sz="4" w:space="0" w:color="auto"/>
            </w:tcBorders>
          </w:tcPr>
          <w:p w:rsidR="007A3FC6" w:rsidRPr="004E500C" w:rsidRDefault="007A3FC6" w:rsidP="004431CE"/>
        </w:tc>
        <w:tc>
          <w:tcPr>
            <w:tcW w:w="1788" w:type="pct"/>
            <w:tcBorders>
              <w:top w:val="nil"/>
              <w:left w:val="single" w:sz="4" w:space="0" w:color="auto"/>
              <w:bottom w:val="nil"/>
              <w:right w:val="single" w:sz="4" w:space="0" w:color="auto"/>
            </w:tcBorders>
          </w:tcPr>
          <w:p w:rsidR="007A3FC6" w:rsidRPr="004E500C" w:rsidRDefault="007A3FC6" w:rsidP="004431CE">
            <w:pPr>
              <w:ind w:left="284" w:hanging="284"/>
            </w:pPr>
            <w:r w:rsidRPr="004E500C">
              <w:t>b)</w:t>
            </w:r>
            <w:r w:rsidRPr="004E500C">
              <w:tab/>
              <w:t>любая часть системы снижения шума плохо прикреплена, повреждена, неправильно установлена, отсутствует или явно модифицирована таким образом, что это может негативно повлиять на уровни шума;</w:t>
            </w:r>
          </w:p>
        </w:tc>
        <w:tc>
          <w:tcPr>
            <w:tcW w:w="400" w:type="pct"/>
            <w:vMerge/>
            <w:tcBorders>
              <w:top w:val="nil"/>
              <w:left w:val="single" w:sz="4" w:space="0" w:color="auto"/>
              <w:bottom w:val="nil"/>
              <w:right w:val="single" w:sz="4" w:space="0" w:color="auto"/>
            </w:tcBorders>
          </w:tcPr>
          <w:p w:rsidR="007A3FC6" w:rsidRPr="004E500C" w:rsidRDefault="007A3FC6" w:rsidP="004431CE"/>
        </w:tc>
        <w:tc>
          <w:tcPr>
            <w:tcW w:w="400" w:type="pct"/>
            <w:tcBorders>
              <w:top w:val="nil"/>
              <w:left w:val="single" w:sz="4" w:space="0" w:color="auto"/>
              <w:bottom w:val="nil"/>
              <w:right w:val="single" w:sz="4" w:space="0" w:color="auto"/>
            </w:tcBorders>
          </w:tcPr>
          <w:p w:rsidR="007A3FC6" w:rsidRPr="004E500C" w:rsidRDefault="007A3FC6" w:rsidP="008F1FCF">
            <w:pPr>
              <w:jc w:val="center"/>
            </w:pPr>
            <w:r w:rsidRPr="004E500C">
              <w:t>X</w:t>
            </w:r>
          </w:p>
        </w:tc>
        <w:tc>
          <w:tcPr>
            <w:cnfStyle w:val="000100000000" w:firstRow="0" w:lastRow="0" w:firstColumn="0" w:lastColumn="1" w:oddVBand="0" w:evenVBand="0" w:oddHBand="0" w:evenHBand="0" w:firstRowFirstColumn="0" w:firstRowLastColumn="0" w:lastRowFirstColumn="0" w:lastRowLastColumn="0"/>
            <w:tcW w:w="399" w:type="pct"/>
            <w:tcBorders>
              <w:left w:val="single" w:sz="4" w:space="0" w:color="auto"/>
              <w:right w:val="single" w:sz="4" w:space="0" w:color="auto"/>
            </w:tcBorders>
          </w:tcPr>
          <w:p w:rsidR="007A3FC6" w:rsidRPr="004E500C" w:rsidRDefault="007A3FC6" w:rsidP="004431CE"/>
        </w:tc>
      </w:tr>
      <w:tr w:rsidR="007A3FC6" w:rsidRPr="004E500C" w:rsidTr="004431CE">
        <w:trPr>
          <w:trHeight w:val="1729"/>
        </w:trPr>
        <w:tc>
          <w:tcPr>
            <w:tcW w:w="902" w:type="pct"/>
            <w:tcBorders>
              <w:left w:val="single" w:sz="4" w:space="0" w:color="auto"/>
              <w:bottom w:val="single" w:sz="12" w:space="0" w:color="auto"/>
              <w:right w:val="single" w:sz="4" w:space="0" w:color="auto"/>
            </w:tcBorders>
          </w:tcPr>
          <w:p w:rsidR="007A3FC6" w:rsidRPr="004E500C" w:rsidRDefault="007A3FC6" w:rsidP="004431CE"/>
        </w:tc>
        <w:tc>
          <w:tcPr>
            <w:tcW w:w="1110" w:type="pct"/>
            <w:tcBorders>
              <w:top w:val="nil"/>
              <w:left w:val="single" w:sz="4" w:space="0" w:color="auto"/>
              <w:bottom w:val="single" w:sz="12" w:space="0" w:color="auto"/>
              <w:right w:val="single" w:sz="4" w:space="0" w:color="auto"/>
            </w:tcBorders>
          </w:tcPr>
          <w:p w:rsidR="007A3FC6" w:rsidRPr="004E500C" w:rsidRDefault="007A3FC6" w:rsidP="004431CE"/>
        </w:tc>
        <w:tc>
          <w:tcPr>
            <w:tcW w:w="1788" w:type="pct"/>
            <w:tcBorders>
              <w:top w:val="nil"/>
              <w:left w:val="single" w:sz="4" w:space="0" w:color="auto"/>
              <w:bottom w:val="single" w:sz="12" w:space="0" w:color="auto"/>
              <w:right w:val="single" w:sz="4" w:space="0" w:color="auto"/>
            </w:tcBorders>
          </w:tcPr>
          <w:p w:rsidR="007A3FC6" w:rsidRPr="004E500C" w:rsidRDefault="007A3FC6" w:rsidP="004431CE">
            <w:pPr>
              <w:ind w:left="284" w:hanging="284"/>
            </w:pPr>
            <w:r w:rsidRPr="004E500C">
              <w:t>c)</w:t>
            </w:r>
            <w:r w:rsidRPr="004E500C">
              <w:tab/>
              <w:t>весьма велик риск того, что детали отвалятся</w:t>
            </w:r>
          </w:p>
        </w:tc>
        <w:tc>
          <w:tcPr>
            <w:tcW w:w="400" w:type="pct"/>
            <w:tcBorders>
              <w:top w:val="nil"/>
              <w:left w:val="single" w:sz="4" w:space="0" w:color="auto"/>
              <w:bottom w:val="single" w:sz="12" w:space="0" w:color="auto"/>
              <w:right w:val="single" w:sz="4" w:space="0" w:color="auto"/>
            </w:tcBorders>
          </w:tcPr>
          <w:p w:rsidR="007A3FC6" w:rsidRPr="004E500C" w:rsidRDefault="007A3FC6" w:rsidP="004431CE"/>
        </w:tc>
        <w:tc>
          <w:tcPr>
            <w:tcW w:w="400" w:type="pct"/>
            <w:tcBorders>
              <w:top w:val="nil"/>
              <w:left w:val="single" w:sz="4" w:space="0" w:color="auto"/>
              <w:bottom w:val="single" w:sz="12" w:space="0" w:color="auto"/>
              <w:right w:val="single" w:sz="4" w:space="0" w:color="auto"/>
            </w:tcBorders>
          </w:tcPr>
          <w:p w:rsidR="007A3FC6" w:rsidRPr="004E500C" w:rsidRDefault="007A3FC6" w:rsidP="008F1FCF">
            <w:pPr>
              <w:jc w:val="center"/>
            </w:pPr>
          </w:p>
        </w:tc>
        <w:tc>
          <w:tcPr>
            <w:cnfStyle w:val="000100000000" w:firstRow="0" w:lastRow="0" w:firstColumn="0" w:lastColumn="1" w:oddVBand="0" w:evenVBand="0" w:oddHBand="0" w:evenHBand="0" w:firstRowFirstColumn="0" w:firstRowLastColumn="0" w:lastRowFirstColumn="0" w:lastRowLastColumn="0"/>
            <w:tcW w:w="399" w:type="pct"/>
            <w:tcBorders>
              <w:left w:val="single" w:sz="4" w:space="0" w:color="auto"/>
              <w:right w:val="single" w:sz="4" w:space="0" w:color="auto"/>
            </w:tcBorders>
          </w:tcPr>
          <w:p w:rsidR="007A3FC6" w:rsidRPr="004E500C" w:rsidRDefault="008F1FCF" w:rsidP="008F1FCF">
            <w:pPr>
              <w:jc w:val="center"/>
            </w:pPr>
            <w:r>
              <w:t>Х</w:t>
            </w:r>
          </w:p>
        </w:tc>
      </w:tr>
    </w:tbl>
    <w:p w:rsidR="007A3FC6" w:rsidRPr="0008570D" w:rsidRDefault="007A3FC6" w:rsidP="007A3FC6">
      <w:pPr>
        <w:pStyle w:val="HChGR"/>
      </w:pPr>
      <w:r w:rsidRPr="0008570D">
        <w:tab/>
        <w:t>5.</w:t>
      </w:r>
      <w:r w:rsidRPr="0008570D">
        <w:tab/>
        <w:t>Прочие позиции, имеющие отношение к охране окружающей среды</w:t>
      </w:r>
    </w:p>
    <w:tbl>
      <w:tblPr>
        <w:tblStyle w:val="TabTxt"/>
        <w:tblW w:w="7370" w:type="dxa"/>
        <w:tblInd w:w="1134" w:type="dxa"/>
        <w:tblLayout w:type="fixed"/>
        <w:tblLook w:val="05E0" w:firstRow="1" w:lastRow="1" w:firstColumn="1" w:lastColumn="1" w:noHBand="0" w:noVBand="1"/>
      </w:tblPr>
      <w:tblGrid>
        <w:gridCol w:w="1391"/>
        <w:gridCol w:w="1568"/>
        <w:gridCol w:w="2641"/>
        <w:gridCol w:w="590"/>
        <w:gridCol w:w="590"/>
        <w:gridCol w:w="590"/>
      </w:tblGrid>
      <w:tr w:rsidR="007A3FC6" w:rsidRPr="004E500C" w:rsidTr="004431CE">
        <w:trPr>
          <w:trHeight w:val="113"/>
          <w:tblHeader/>
        </w:trPr>
        <w:tc>
          <w:tcPr>
            <w:tcW w:w="944" w:type="pct"/>
            <w:vMerge w:val="restart"/>
            <w:tcBorders>
              <w:top w:val="single" w:sz="4" w:space="0" w:color="auto"/>
              <w:left w:val="single" w:sz="4" w:space="0" w:color="auto"/>
              <w:bottom w:val="nil"/>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br w:type="page"/>
              <w:t>Позиция</w:t>
            </w:r>
          </w:p>
        </w:tc>
        <w:tc>
          <w:tcPr>
            <w:tcW w:w="1064" w:type="pct"/>
            <w:vMerge w:val="restar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t>Метод</w:t>
            </w:r>
          </w:p>
        </w:tc>
        <w:tc>
          <w:tcPr>
            <w:tcW w:w="1792" w:type="pct"/>
            <w:vMerge w:val="restar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t>Основные причины для отказа</w:t>
            </w:r>
          </w:p>
        </w:tc>
        <w:tc>
          <w:tcPr>
            <w:cnfStyle w:val="000100000000" w:firstRow="0" w:lastRow="0" w:firstColumn="0" w:lastColumn="1" w:oddVBand="0" w:evenVBand="0" w:oddHBand="0" w:evenHBand="0" w:firstRowFirstColumn="0" w:firstRowLastColumn="0" w:lastRowFirstColumn="0" w:lastRowLastColumn="0"/>
            <w:tcW w:w="1200" w:type="pct"/>
            <w:gridSpan w:val="3"/>
            <w:tcBorders>
              <w:left w:val="single" w:sz="4" w:space="0" w:color="auto"/>
              <w:bottom w:val="single" w:sz="4"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jc w:val="center"/>
              <w:rPr>
                <w:i/>
                <w:sz w:val="16"/>
              </w:rPr>
            </w:pPr>
            <w:r w:rsidRPr="004E500C">
              <w:rPr>
                <w:i/>
                <w:sz w:val="16"/>
              </w:rPr>
              <w:t>Оценка дефектов</w:t>
            </w:r>
          </w:p>
        </w:tc>
      </w:tr>
      <w:tr w:rsidR="007A3FC6" w:rsidRPr="004E500C" w:rsidTr="00AD62CC">
        <w:trPr>
          <w:trHeight w:val="113"/>
          <w:tblHeader/>
        </w:trPr>
        <w:tc>
          <w:tcPr>
            <w:tcW w:w="944" w:type="pct"/>
            <w:vMerge/>
            <w:tcBorders>
              <w:top w:val="nil"/>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1064" w:type="pct"/>
            <w:vMerge/>
            <w:tcBorders>
              <w:top w:val="nil"/>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1792" w:type="pct"/>
            <w:vMerge/>
            <w:tcBorders>
              <w:top w:val="nil"/>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400"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НД</w:t>
            </w:r>
          </w:p>
        </w:tc>
        <w:tc>
          <w:tcPr>
            <w:tcW w:w="400"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СД</w:t>
            </w:r>
          </w:p>
        </w:tc>
        <w:tc>
          <w:tcPr>
            <w:cnfStyle w:val="000100000000" w:firstRow="0" w:lastRow="0" w:firstColumn="0" w:lastColumn="1" w:oddVBand="0" w:evenVBand="0" w:oddHBand="0" w:evenHBand="0" w:firstRowFirstColumn="0" w:firstRowLastColumn="0" w:lastRowFirstColumn="0" w:lastRowLastColumn="0"/>
            <w:tcW w:w="401"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ОД</w:t>
            </w:r>
          </w:p>
        </w:tc>
      </w:tr>
      <w:tr w:rsidR="007A3FC6" w:rsidRPr="004E500C" w:rsidTr="004431CE">
        <w:trPr>
          <w:trHeight w:val="1406"/>
        </w:trPr>
        <w:tc>
          <w:tcPr>
            <w:tcW w:w="944" w:type="pct"/>
            <w:tcBorders>
              <w:top w:val="single" w:sz="12" w:space="0" w:color="auto"/>
              <w:left w:val="single" w:sz="4" w:space="0" w:color="auto"/>
              <w:right w:val="single" w:sz="4" w:space="0" w:color="auto"/>
            </w:tcBorders>
          </w:tcPr>
          <w:p w:rsidR="007A3FC6" w:rsidRPr="004E500C" w:rsidRDefault="007A3FC6" w:rsidP="008F1FCF">
            <w:r w:rsidRPr="004E500C">
              <w:t>5.1 Утечка жидкости</w:t>
            </w:r>
          </w:p>
        </w:tc>
        <w:tc>
          <w:tcPr>
            <w:tcW w:w="1064" w:type="pct"/>
            <w:tcBorders>
              <w:top w:val="single" w:sz="12" w:space="0" w:color="auto"/>
              <w:left w:val="single" w:sz="4" w:space="0" w:color="auto"/>
              <w:bottom w:val="nil"/>
              <w:right w:val="single" w:sz="4" w:space="0" w:color="auto"/>
            </w:tcBorders>
          </w:tcPr>
          <w:p w:rsidR="007A3FC6" w:rsidRPr="004E500C" w:rsidRDefault="007A3FC6" w:rsidP="004431CE">
            <w:pPr>
              <w:ind w:left="284" w:hanging="284"/>
            </w:pPr>
          </w:p>
        </w:tc>
        <w:tc>
          <w:tcPr>
            <w:tcW w:w="1792" w:type="pct"/>
            <w:tcBorders>
              <w:top w:val="single" w:sz="12" w:space="0" w:color="auto"/>
              <w:left w:val="single" w:sz="4" w:space="0" w:color="auto"/>
              <w:bottom w:val="nil"/>
              <w:right w:val="single" w:sz="4" w:space="0" w:color="auto"/>
            </w:tcBorders>
          </w:tcPr>
          <w:p w:rsidR="007A3FC6" w:rsidRPr="004E500C" w:rsidRDefault="007A3FC6" w:rsidP="004431CE">
            <w:pPr>
              <w:ind w:left="284" w:hanging="284"/>
            </w:pPr>
            <w:r w:rsidRPr="004E500C">
              <w:t>a)</w:t>
            </w:r>
            <w:r w:rsidRPr="004E500C">
              <w:tab/>
              <w:t>Любая чрезмерная утечка жидкости, помимо воды, что может нанести вред окружающей среде или создать угрозу для безопасности други</w:t>
            </w:r>
            <w:r w:rsidR="008F1FCF">
              <w:t>х участников дорожного движения</w:t>
            </w:r>
          </w:p>
        </w:tc>
        <w:tc>
          <w:tcPr>
            <w:tcW w:w="400" w:type="pct"/>
            <w:tcBorders>
              <w:top w:val="single" w:sz="12" w:space="0" w:color="auto"/>
              <w:left w:val="single" w:sz="4" w:space="0" w:color="auto"/>
              <w:bottom w:val="nil"/>
              <w:right w:val="single" w:sz="4" w:space="0" w:color="auto"/>
            </w:tcBorders>
          </w:tcPr>
          <w:p w:rsidR="007A3FC6" w:rsidRPr="004E500C" w:rsidRDefault="007A3FC6" w:rsidP="004431CE">
            <w:pPr>
              <w:ind w:left="284" w:hanging="284"/>
            </w:pPr>
          </w:p>
        </w:tc>
        <w:tc>
          <w:tcPr>
            <w:tcW w:w="400" w:type="pct"/>
            <w:tcBorders>
              <w:top w:val="single" w:sz="12" w:space="0" w:color="auto"/>
              <w:left w:val="single" w:sz="4" w:space="0" w:color="auto"/>
              <w:bottom w:val="nil"/>
              <w:right w:val="single" w:sz="4" w:space="0" w:color="auto"/>
            </w:tcBorders>
          </w:tcPr>
          <w:p w:rsidR="007A3FC6" w:rsidRPr="004E500C" w:rsidRDefault="007A3FC6" w:rsidP="008F1FCF">
            <w:pPr>
              <w:ind w:left="284" w:hanging="284"/>
              <w:jc w:val="center"/>
            </w:pPr>
            <w:r w:rsidRPr="004E500C">
              <w:t>X</w:t>
            </w:r>
          </w:p>
        </w:tc>
        <w:tc>
          <w:tcPr>
            <w:cnfStyle w:val="000100000000" w:firstRow="0" w:lastRow="0" w:firstColumn="0" w:lastColumn="1" w:oddVBand="0" w:evenVBand="0" w:oddHBand="0" w:evenHBand="0" w:firstRowFirstColumn="0" w:firstRowLastColumn="0" w:lastRowFirstColumn="0" w:lastRowLastColumn="0"/>
            <w:tcW w:w="401" w:type="pct"/>
            <w:tcBorders>
              <w:top w:val="single" w:sz="12" w:space="0" w:color="auto"/>
              <w:left w:val="single" w:sz="4" w:space="0" w:color="auto"/>
              <w:right w:val="single" w:sz="4" w:space="0" w:color="auto"/>
            </w:tcBorders>
          </w:tcPr>
          <w:p w:rsidR="007A3FC6" w:rsidRPr="004E500C" w:rsidRDefault="007A3FC6" w:rsidP="008F1FCF">
            <w:pPr>
              <w:jc w:val="center"/>
            </w:pPr>
          </w:p>
        </w:tc>
      </w:tr>
      <w:tr w:rsidR="007A3FC6" w:rsidRPr="004E500C" w:rsidTr="004431CE">
        <w:trPr>
          <w:trHeight w:val="1089"/>
        </w:trPr>
        <w:tc>
          <w:tcPr>
            <w:tcW w:w="944" w:type="pct"/>
            <w:tcBorders>
              <w:left w:val="single" w:sz="4" w:space="0" w:color="auto"/>
              <w:bottom w:val="single" w:sz="12" w:space="0" w:color="auto"/>
              <w:right w:val="single" w:sz="4" w:space="0" w:color="auto"/>
            </w:tcBorders>
          </w:tcPr>
          <w:p w:rsidR="007A3FC6" w:rsidRPr="004E500C" w:rsidRDefault="007A3FC6" w:rsidP="004431CE">
            <w:pPr>
              <w:ind w:left="284" w:hanging="284"/>
            </w:pPr>
          </w:p>
        </w:tc>
        <w:tc>
          <w:tcPr>
            <w:tcW w:w="1064" w:type="pct"/>
            <w:tcBorders>
              <w:top w:val="nil"/>
              <w:left w:val="single" w:sz="4" w:space="0" w:color="auto"/>
              <w:bottom w:val="single" w:sz="12" w:space="0" w:color="auto"/>
              <w:right w:val="single" w:sz="4" w:space="0" w:color="auto"/>
            </w:tcBorders>
          </w:tcPr>
          <w:p w:rsidR="007A3FC6" w:rsidRPr="004E500C" w:rsidRDefault="007A3FC6" w:rsidP="004431CE">
            <w:pPr>
              <w:ind w:left="284" w:hanging="284"/>
            </w:pPr>
          </w:p>
        </w:tc>
        <w:tc>
          <w:tcPr>
            <w:tcW w:w="1792" w:type="pct"/>
            <w:tcBorders>
              <w:top w:val="nil"/>
              <w:left w:val="single" w:sz="4" w:space="0" w:color="auto"/>
              <w:bottom w:val="single" w:sz="12" w:space="0" w:color="auto"/>
              <w:right w:val="single" w:sz="4" w:space="0" w:color="auto"/>
            </w:tcBorders>
          </w:tcPr>
          <w:p w:rsidR="007A3FC6" w:rsidRPr="004E500C" w:rsidRDefault="007A3FC6" w:rsidP="004431CE">
            <w:pPr>
              <w:ind w:left="284" w:hanging="284"/>
            </w:pPr>
            <w:r w:rsidRPr="004E500C">
              <w:t>b)</w:t>
            </w:r>
            <w:r w:rsidRPr="004E500C">
              <w:tab/>
              <w:t>Устойчивое формирование капель, ведущее к возникновению весьма с</w:t>
            </w:r>
            <w:r w:rsidR="008F1FCF">
              <w:t>ерьезной угрозы</w:t>
            </w:r>
          </w:p>
        </w:tc>
        <w:tc>
          <w:tcPr>
            <w:tcW w:w="400" w:type="pct"/>
            <w:tcBorders>
              <w:top w:val="nil"/>
              <w:left w:val="single" w:sz="4" w:space="0" w:color="auto"/>
              <w:bottom w:val="single" w:sz="12" w:space="0" w:color="auto"/>
              <w:right w:val="single" w:sz="4" w:space="0" w:color="auto"/>
            </w:tcBorders>
          </w:tcPr>
          <w:p w:rsidR="007A3FC6" w:rsidRPr="004E500C" w:rsidRDefault="007A3FC6" w:rsidP="004431CE">
            <w:pPr>
              <w:ind w:left="284" w:hanging="284"/>
            </w:pPr>
          </w:p>
        </w:tc>
        <w:tc>
          <w:tcPr>
            <w:tcW w:w="400" w:type="pct"/>
            <w:tcBorders>
              <w:top w:val="nil"/>
              <w:left w:val="single" w:sz="4" w:space="0" w:color="auto"/>
              <w:bottom w:val="single" w:sz="12" w:space="0" w:color="auto"/>
              <w:right w:val="single" w:sz="4" w:space="0" w:color="auto"/>
            </w:tcBorders>
          </w:tcPr>
          <w:p w:rsidR="007A3FC6" w:rsidRPr="004E500C" w:rsidRDefault="007A3FC6" w:rsidP="008F1FCF">
            <w:pPr>
              <w:ind w:left="284" w:hanging="284"/>
              <w:jc w:val="center"/>
            </w:pPr>
          </w:p>
        </w:tc>
        <w:tc>
          <w:tcPr>
            <w:cnfStyle w:val="000100000000" w:firstRow="0" w:lastRow="0" w:firstColumn="0" w:lastColumn="1" w:oddVBand="0" w:evenVBand="0" w:oddHBand="0" w:evenHBand="0" w:firstRowFirstColumn="0" w:firstRowLastColumn="0" w:lastRowFirstColumn="0" w:lastRowLastColumn="0"/>
            <w:tcW w:w="401" w:type="pct"/>
            <w:tcBorders>
              <w:left w:val="single" w:sz="4" w:space="0" w:color="auto"/>
              <w:right w:val="single" w:sz="4" w:space="0" w:color="auto"/>
            </w:tcBorders>
          </w:tcPr>
          <w:p w:rsidR="007A3FC6" w:rsidRPr="004E500C" w:rsidRDefault="007A3FC6" w:rsidP="008F1FCF">
            <w:pPr>
              <w:jc w:val="center"/>
            </w:pPr>
            <w:r w:rsidRPr="004E500C">
              <w:t>X</w:t>
            </w:r>
          </w:p>
        </w:tc>
      </w:tr>
    </w:tbl>
    <w:p w:rsidR="007A3FC6" w:rsidRPr="0008570D" w:rsidRDefault="007A3FC6" w:rsidP="007A3FC6">
      <w:pPr>
        <w:pStyle w:val="HChGR"/>
        <w:rPr>
          <w:lang w:val="en-GB"/>
        </w:rPr>
      </w:pPr>
      <w:r w:rsidRPr="0008570D">
        <w:rPr>
          <w:lang w:val="en-US"/>
        </w:rPr>
        <w:lastRenderedPageBreak/>
        <w:tab/>
      </w:r>
      <w:r w:rsidRPr="0008570D">
        <w:rPr>
          <w:lang w:val="en-GB"/>
        </w:rPr>
        <w:t>6.</w:t>
      </w:r>
      <w:r w:rsidRPr="0008570D">
        <w:rPr>
          <w:lang w:val="en-GB"/>
        </w:rPr>
        <w:tab/>
      </w:r>
      <w:r w:rsidRPr="0008570D">
        <w:rPr>
          <w:lang w:val="en-GB"/>
        </w:rPr>
        <w:tab/>
        <w:t>Подавление электромагнитных помех (рекомендуется)</w:t>
      </w:r>
    </w:p>
    <w:tbl>
      <w:tblPr>
        <w:tblStyle w:val="TabTxt"/>
        <w:tblW w:w="7370" w:type="dxa"/>
        <w:tblInd w:w="1134" w:type="dxa"/>
        <w:tblLayout w:type="fixed"/>
        <w:tblLook w:val="05E0" w:firstRow="1" w:lastRow="1" w:firstColumn="1" w:lastColumn="1" w:noHBand="0" w:noVBand="1"/>
      </w:tblPr>
      <w:tblGrid>
        <w:gridCol w:w="2127"/>
        <w:gridCol w:w="1201"/>
        <w:gridCol w:w="2271"/>
        <w:gridCol w:w="590"/>
        <w:gridCol w:w="590"/>
        <w:gridCol w:w="591"/>
      </w:tblGrid>
      <w:tr w:rsidR="008F1FCF" w:rsidRPr="004E500C" w:rsidTr="008F1FCF">
        <w:trPr>
          <w:trHeight w:val="113"/>
          <w:tblHeader/>
        </w:trPr>
        <w:tc>
          <w:tcPr>
            <w:tcW w:w="1442" w:type="pct"/>
            <w:vMerge w:val="restar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br w:type="page"/>
              <w:t>Позиция</w:t>
            </w:r>
          </w:p>
        </w:tc>
        <w:tc>
          <w:tcPr>
            <w:tcW w:w="815" w:type="pct"/>
            <w:vMerge w:val="restar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t>Метод</w:t>
            </w:r>
          </w:p>
        </w:tc>
        <w:tc>
          <w:tcPr>
            <w:tcW w:w="1541" w:type="pct"/>
            <w:vMerge w:val="restar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r w:rsidRPr="004E500C">
              <w:rPr>
                <w:i/>
                <w:sz w:val="16"/>
              </w:rPr>
              <w:t>Основные причины для отказа</w:t>
            </w:r>
          </w:p>
        </w:tc>
        <w:tc>
          <w:tcPr>
            <w:cnfStyle w:val="000100000000" w:firstRow="0" w:lastRow="0" w:firstColumn="0" w:lastColumn="1" w:oddVBand="0" w:evenVBand="0" w:oddHBand="0" w:evenHBand="0" w:firstRowFirstColumn="0" w:firstRowLastColumn="0" w:lastRowFirstColumn="0" w:lastRowLastColumn="0"/>
            <w:tcW w:w="1201" w:type="pct"/>
            <w:gridSpan w:val="3"/>
            <w:tcBorders>
              <w:left w:val="single" w:sz="4" w:space="0" w:color="auto"/>
              <w:bottom w:val="single" w:sz="4"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jc w:val="center"/>
              <w:rPr>
                <w:i/>
                <w:sz w:val="16"/>
              </w:rPr>
            </w:pPr>
            <w:r w:rsidRPr="004E500C">
              <w:rPr>
                <w:i/>
                <w:sz w:val="16"/>
              </w:rPr>
              <w:t>Оценка дефектов</w:t>
            </w:r>
          </w:p>
        </w:tc>
      </w:tr>
      <w:tr w:rsidR="008F1FCF" w:rsidRPr="004E500C" w:rsidTr="008F1FCF">
        <w:trPr>
          <w:trHeight w:val="113"/>
          <w:tblHeader/>
        </w:trPr>
        <w:tc>
          <w:tcPr>
            <w:tcW w:w="1442" w:type="pct"/>
            <w:vMerge/>
            <w:tcBorders>
              <w:top w:val="nil"/>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815" w:type="pct"/>
            <w:vMerge/>
            <w:tcBorders>
              <w:top w:val="single" w:sz="12"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1541" w:type="pct"/>
            <w:vMerge/>
            <w:tcBorders>
              <w:top w:val="nil"/>
              <w:left w:val="single" w:sz="4" w:space="0" w:color="auto"/>
              <w:bottom w:val="single" w:sz="12" w:space="0" w:color="auto"/>
              <w:right w:val="single" w:sz="4" w:space="0" w:color="auto"/>
            </w:tcBorders>
            <w:shd w:val="clear" w:color="auto" w:fill="auto"/>
            <w:vAlign w:val="bottom"/>
          </w:tcPr>
          <w:p w:rsidR="007A3FC6" w:rsidRPr="004E500C" w:rsidRDefault="007A3FC6" w:rsidP="004431CE">
            <w:pPr>
              <w:suppressAutoHyphens w:val="0"/>
              <w:spacing w:before="80" w:after="80" w:line="200" w:lineRule="exact"/>
              <w:rPr>
                <w:i/>
                <w:sz w:val="16"/>
              </w:rPr>
            </w:pPr>
          </w:p>
        </w:tc>
        <w:tc>
          <w:tcPr>
            <w:tcW w:w="400"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НД</w:t>
            </w:r>
          </w:p>
        </w:tc>
        <w:tc>
          <w:tcPr>
            <w:tcW w:w="400"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СД</w:t>
            </w:r>
          </w:p>
        </w:tc>
        <w:tc>
          <w:tcPr>
            <w:cnfStyle w:val="000100000000" w:firstRow="0" w:lastRow="0" w:firstColumn="0" w:lastColumn="1" w:oddVBand="0" w:evenVBand="0" w:oddHBand="0" w:evenHBand="0" w:firstRowFirstColumn="0" w:firstRowLastColumn="0" w:lastRowFirstColumn="0" w:lastRowLastColumn="0"/>
            <w:tcW w:w="401" w:type="pct"/>
            <w:tcBorders>
              <w:top w:val="single" w:sz="4" w:space="0" w:color="auto"/>
              <w:left w:val="single" w:sz="4" w:space="0" w:color="auto"/>
              <w:bottom w:val="single" w:sz="12" w:space="0" w:color="auto"/>
              <w:right w:val="single" w:sz="4" w:space="0" w:color="auto"/>
            </w:tcBorders>
            <w:shd w:val="clear" w:color="auto" w:fill="auto"/>
            <w:vAlign w:val="bottom"/>
          </w:tcPr>
          <w:p w:rsidR="007A3FC6" w:rsidRPr="004E500C" w:rsidRDefault="007A3FC6" w:rsidP="008F1FCF">
            <w:pPr>
              <w:suppressAutoHyphens w:val="0"/>
              <w:spacing w:before="80" w:after="80" w:line="200" w:lineRule="exact"/>
              <w:jc w:val="center"/>
              <w:rPr>
                <w:i/>
                <w:sz w:val="16"/>
              </w:rPr>
            </w:pPr>
            <w:r w:rsidRPr="004E500C">
              <w:rPr>
                <w:i/>
                <w:sz w:val="16"/>
              </w:rPr>
              <w:t>ОД</w:t>
            </w:r>
          </w:p>
        </w:tc>
      </w:tr>
      <w:tr w:rsidR="008F1FCF" w:rsidRPr="004E500C" w:rsidTr="008F1FCF">
        <w:trPr>
          <w:trHeight w:val="1028"/>
        </w:trPr>
        <w:tc>
          <w:tcPr>
            <w:tcW w:w="1442" w:type="pct"/>
            <w:tcBorders>
              <w:top w:val="single" w:sz="12" w:space="0" w:color="auto"/>
              <w:left w:val="single" w:sz="4" w:space="0" w:color="auto"/>
              <w:bottom w:val="single" w:sz="12" w:space="0" w:color="auto"/>
              <w:right w:val="single" w:sz="4" w:space="0" w:color="auto"/>
            </w:tcBorders>
          </w:tcPr>
          <w:p w:rsidR="007A3FC6" w:rsidRPr="004E500C" w:rsidRDefault="007A3FC6" w:rsidP="004431CE">
            <w:r w:rsidRPr="004E500C">
              <w:t>6.1 Электромагнитные помехи(*)</w:t>
            </w:r>
            <w:r w:rsidRPr="008F1FCF">
              <w:rPr>
                <w:sz w:val="18"/>
                <w:szCs w:val="18"/>
                <w:vertAlign w:val="superscript"/>
              </w:rPr>
              <w:t>2</w:t>
            </w:r>
          </w:p>
        </w:tc>
        <w:tc>
          <w:tcPr>
            <w:tcW w:w="815" w:type="pct"/>
            <w:tcBorders>
              <w:top w:val="single" w:sz="12" w:space="0" w:color="auto"/>
              <w:left w:val="single" w:sz="4" w:space="0" w:color="auto"/>
              <w:bottom w:val="single" w:sz="12" w:space="0" w:color="auto"/>
              <w:right w:val="single" w:sz="4" w:space="0" w:color="auto"/>
            </w:tcBorders>
          </w:tcPr>
          <w:p w:rsidR="007A3FC6" w:rsidRPr="004E500C" w:rsidRDefault="007A3FC6" w:rsidP="004431CE">
            <w:r w:rsidRPr="004E500C">
              <w:t>Визуальный осмотр</w:t>
            </w:r>
          </w:p>
        </w:tc>
        <w:tc>
          <w:tcPr>
            <w:tcW w:w="1541" w:type="pct"/>
            <w:tcBorders>
              <w:top w:val="single" w:sz="12" w:space="0" w:color="auto"/>
              <w:left w:val="single" w:sz="4" w:space="0" w:color="auto"/>
              <w:bottom w:val="single" w:sz="12" w:space="0" w:color="auto"/>
              <w:right w:val="single" w:sz="4" w:space="0" w:color="auto"/>
            </w:tcBorders>
          </w:tcPr>
          <w:p w:rsidR="007A3FC6" w:rsidRPr="004E500C" w:rsidRDefault="007A3FC6" w:rsidP="004431CE">
            <w:pPr>
              <w:tabs>
                <w:tab w:val="left" w:pos="260"/>
              </w:tabs>
            </w:pPr>
            <w:r w:rsidRPr="004E500C">
              <w:t>a)</w:t>
            </w:r>
            <w:r w:rsidRPr="004E500C">
              <w:tab/>
              <w:t>Несоблюдение каких-либо требований</w:t>
            </w:r>
            <w:r w:rsidRPr="008F1FCF">
              <w:rPr>
                <w:sz w:val="18"/>
                <w:szCs w:val="18"/>
                <w:vertAlign w:val="superscript"/>
              </w:rPr>
              <w:t>1</w:t>
            </w:r>
          </w:p>
        </w:tc>
        <w:tc>
          <w:tcPr>
            <w:tcW w:w="400" w:type="pct"/>
            <w:tcBorders>
              <w:top w:val="single" w:sz="12" w:space="0" w:color="auto"/>
              <w:left w:val="single" w:sz="4" w:space="0" w:color="auto"/>
              <w:bottom w:val="single" w:sz="12" w:space="0" w:color="auto"/>
              <w:right w:val="single" w:sz="4" w:space="0" w:color="auto"/>
            </w:tcBorders>
          </w:tcPr>
          <w:p w:rsidR="007A3FC6" w:rsidRPr="004E500C" w:rsidRDefault="007A3FC6" w:rsidP="008F1FCF">
            <w:pPr>
              <w:jc w:val="center"/>
            </w:pPr>
            <w:r w:rsidRPr="004E500C">
              <w:t>X</w:t>
            </w:r>
          </w:p>
        </w:tc>
        <w:tc>
          <w:tcPr>
            <w:tcW w:w="400" w:type="pct"/>
            <w:tcBorders>
              <w:top w:val="single" w:sz="12" w:space="0" w:color="auto"/>
              <w:left w:val="single" w:sz="4" w:space="0" w:color="auto"/>
              <w:bottom w:val="single" w:sz="12" w:space="0" w:color="auto"/>
              <w:right w:val="single" w:sz="4" w:space="0" w:color="auto"/>
            </w:tcBorders>
          </w:tcPr>
          <w:p w:rsidR="007A3FC6" w:rsidRPr="004E500C" w:rsidRDefault="007A3FC6" w:rsidP="008F1FCF">
            <w:pPr>
              <w:jc w:val="center"/>
            </w:pPr>
          </w:p>
        </w:tc>
        <w:tc>
          <w:tcPr>
            <w:cnfStyle w:val="000100000000" w:firstRow="0" w:lastRow="0" w:firstColumn="0" w:lastColumn="1" w:oddVBand="0" w:evenVBand="0" w:oddHBand="0" w:evenHBand="0" w:firstRowFirstColumn="0" w:firstRowLastColumn="0" w:lastRowFirstColumn="0" w:lastRowLastColumn="0"/>
            <w:tcW w:w="401" w:type="pct"/>
            <w:tcBorders>
              <w:top w:val="single" w:sz="12" w:space="0" w:color="auto"/>
              <w:left w:val="single" w:sz="4" w:space="0" w:color="auto"/>
              <w:right w:val="single" w:sz="4" w:space="0" w:color="auto"/>
            </w:tcBorders>
          </w:tcPr>
          <w:p w:rsidR="007A3FC6" w:rsidRPr="004E500C" w:rsidRDefault="007A3FC6" w:rsidP="008F1FCF">
            <w:pPr>
              <w:jc w:val="center"/>
            </w:pPr>
          </w:p>
        </w:tc>
      </w:tr>
    </w:tbl>
    <w:p w:rsidR="007A3FC6" w:rsidRPr="00EF0F04" w:rsidRDefault="007A3FC6" w:rsidP="007A3FC6">
      <w:pPr>
        <w:pStyle w:val="SingleTxtGR"/>
        <w:tabs>
          <w:tab w:val="left" w:pos="1276"/>
          <w:tab w:val="left" w:pos="1418"/>
        </w:tabs>
        <w:spacing w:before="120" w:after="0" w:line="220" w:lineRule="exact"/>
        <w:ind w:firstLine="170"/>
        <w:jc w:val="left"/>
        <w:rPr>
          <w:bCs/>
          <w:sz w:val="18"/>
          <w:szCs w:val="18"/>
        </w:rPr>
      </w:pPr>
      <w:r w:rsidRPr="00EF0F04">
        <w:rPr>
          <w:bCs/>
          <w:sz w:val="18"/>
          <w:szCs w:val="18"/>
          <w:vertAlign w:val="superscript"/>
        </w:rPr>
        <w:t>1</w:t>
      </w:r>
      <w:r w:rsidRPr="00EF0F04">
        <w:rPr>
          <w:bCs/>
          <w:sz w:val="18"/>
          <w:szCs w:val="18"/>
        </w:rPr>
        <w:t xml:space="preserve">  </w:t>
      </w:r>
      <w:r>
        <w:rPr>
          <w:bCs/>
          <w:sz w:val="18"/>
          <w:szCs w:val="18"/>
        </w:rPr>
        <w:t>«</w:t>
      </w:r>
      <w:r w:rsidRPr="00EF0F04">
        <w:rPr>
          <w:bCs/>
          <w:sz w:val="18"/>
          <w:szCs w:val="18"/>
        </w:rPr>
        <w:t>Требования</w:t>
      </w:r>
      <w:r>
        <w:rPr>
          <w:bCs/>
          <w:sz w:val="18"/>
          <w:szCs w:val="18"/>
        </w:rPr>
        <w:t>»</w:t>
      </w:r>
      <w:r w:rsidRPr="00EF0F04">
        <w:rPr>
          <w:bCs/>
          <w:sz w:val="18"/>
          <w:szCs w:val="18"/>
        </w:rPr>
        <w:t xml:space="preserve"> устанавливаются на дату официального утверждения типа, на дату первой регистрации или первого ввода в эксплуатацию, а также для соблюдения обязательств в отношении переоборудования, выполнения требований, касающихся соответствия транспортных средств, находящихся в эксплуатации, либо на основании национального законодательства в стране регистрации. Эти причины для отказа применяются только после проверки соблюдения требований.</w:t>
      </w:r>
    </w:p>
    <w:p w:rsidR="007A3FC6" w:rsidRPr="00EF0F04" w:rsidRDefault="007A3FC6" w:rsidP="007A3FC6">
      <w:pPr>
        <w:pStyle w:val="SingleTxtGR"/>
        <w:tabs>
          <w:tab w:val="left" w:pos="1418"/>
        </w:tabs>
        <w:spacing w:line="220" w:lineRule="exact"/>
        <w:ind w:firstLine="170"/>
        <w:jc w:val="left"/>
        <w:rPr>
          <w:bCs/>
          <w:sz w:val="18"/>
          <w:szCs w:val="18"/>
        </w:rPr>
      </w:pPr>
      <w:r w:rsidRPr="00EF0F04">
        <w:rPr>
          <w:bCs/>
          <w:sz w:val="18"/>
          <w:szCs w:val="18"/>
          <w:vertAlign w:val="superscript"/>
        </w:rPr>
        <w:t>2</w:t>
      </w:r>
      <w:r w:rsidRPr="00EF0F04">
        <w:rPr>
          <w:bCs/>
          <w:sz w:val="18"/>
          <w:szCs w:val="18"/>
        </w:rPr>
        <w:t xml:space="preserve">  (</w:t>
      </w:r>
      <w:r w:rsidRPr="008F1FCF">
        <w:rPr>
          <w:bCs/>
        </w:rPr>
        <w:t>*</w:t>
      </w:r>
      <w:r w:rsidRPr="00EF0F04">
        <w:rPr>
          <w:bCs/>
          <w:sz w:val="18"/>
          <w:szCs w:val="18"/>
        </w:rPr>
        <w:t>) обозначает позиции, которые касаются состояния транспортного средства и его пригодности для использования на дороге, но не считаются существенными при периодическом осмотре</w:t>
      </w:r>
      <w:r>
        <w:rPr>
          <w:bCs/>
          <w:sz w:val="18"/>
          <w:szCs w:val="18"/>
        </w:rPr>
        <w:t>»</w:t>
      </w:r>
      <w:r w:rsidRPr="00EF0F04">
        <w:rPr>
          <w:bCs/>
          <w:sz w:val="18"/>
          <w:szCs w:val="18"/>
        </w:rPr>
        <w:t>.</w:t>
      </w:r>
    </w:p>
    <w:p w:rsidR="007A3FC6" w:rsidRPr="00EF0F04" w:rsidRDefault="007A3FC6" w:rsidP="007A3FC6">
      <w:pPr>
        <w:pStyle w:val="SingleTxtGR"/>
        <w:spacing w:before="240" w:after="0"/>
        <w:jc w:val="center"/>
        <w:rPr>
          <w:u w:val="single"/>
        </w:rPr>
      </w:pPr>
      <w:r>
        <w:rPr>
          <w:u w:val="single"/>
        </w:rPr>
        <w:tab/>
      </w:r>
      <w:r>
        <w:rPr>
          <w:u w:val="single"/>
        </w:rPr>
        <w:tab/>
      </w:r>
      <w:r>
        <w:rPr>
          <w:u w:val="single"/>
        </w:rPr>
        <w:tab/>
      </w:r>
    </w:p>
    <w:p w:rsidR="00381C24" w:rsidRPr="00BC18B2" w:rsidRDefault="00381C24" w:rsidP="002E5067"/>
    <w:sectPr w:rsidR="00381C24" w:rsidRPr="00BC18B2" w:rsidSect="007A3FC6">
      <w:headerReference w:type="even" r:id="rId13"/>
      <w:footerReference w:type="first" r:id="rId14"/>
      <w:endnotePr>
        <w:numFmt w:val="decimal"/>
      </w:endnotePr>
      <w:pgSz w:w="11906" w:h="16838" w:code="9"/>
      <w:pgMar w:top="1418" w:right="1134" w:bottom="1134" w:left="1134"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6C39" w:rsidRPr="00A312BC" w:rsidRDefault="00436C39" w:rsidP="00A312BC"/>
  </w:endnote>
  <w:endnote w:type="continuationSeparator" w:id="0">
    <w:p w:rsidR="00436C39" w:rsidRPr="00A312BC" w:rsidRDefault="00436C39" w:rsidP="00A312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39T30Lfz">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65E" w:rsidRDefault="007A3FC6" w:rsidP="007A3FC6">
    <w:pPr>
      <w:pStyle w:val="Footer"/>
    </w:pPr>
    <w:r w:rsidRPr="007A3FC6">
      <w:rPr>
        <w:b/>
        <w:sz w:val="18"/>
      </w:rPr>
      <w:fldChar w:fldCharType="begin"/>
    </w:r>
    <w:r w:rsidRPr="007A3FC6">
      <w:rPr>
        <w:b/>
        <w:sz w:val="18"/>
      </w:rPr>
      <w:instrText xml:space="preserve"> PAGE  \* MERGEFORMAT </w:instrText>
    </w:r>
    <w:r w:rsidRPr="007A3FC6">
      <w:rPr>
        <w:b/>
        <w:sz w:val="18"/>
      </w:rPr>
      <w:fldChar w:fldCharType="separate"/>
    </w:r>
    <w:r w:rsidR="00FA75CB">
      <w:rPr>
        <w:b/>
        <w:noProof/>
        <w:sz w:val="18"/>
      </w:rPr>
      <w:t>14</w:t>
    </w:r>
    <w:r w:rsidRPr="007A3FC6">
      <w:rPr>
        <w:b/>
        <w:sz w:val="18"/>
      </w:rPr>
      <w:fldChar w:fldCharType="end"/>
    </w:r>
    <w:r>
      <w:rPr>
        <w:b/>
        <w:sz w:val="18"/>
      </w:rPr>
      <w:tab/>
    </w:r>
    <w:r>
      <w:t>GE.18-</w:t>
    </w:r>
    <w:r w:rsidR="004C6D53">
      <w:t>07274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65E" w:rsidRPr="007A3FC6" w:rsidRDefault="007A3FC6" w:rsidP="007A3FC6">
    <w:pPr>
      <w:pStyle w:val="Footer"/>
      <w:rPr>
        <w:b/>
        <w:sz w:val="18"/>
      </w:rPr>
    </w:pPr>
    <w:r>
      <w:t>GE.18-</w:t>
    </w:r>
    <w:r w:rsidR="004C6D53">
      <w:t>07274</w:t>
    </w:r>
    <w:r>
      <w:tab/>
    </w:r>
    <w:r w:rsidRPr="007A3FC6">
      <w:rPr>
        <w:b/>
        <w:sz w:val="18"/>
      </w:rPr>
      <w:fldChar w:fldCharType="begin"/>
    </w:r>
    <w:r w:rsidRPr="007A3FC6">
      <w:rPr>
        <w:b/>
        <w:sz w:val="18"/>
      </w:rPr>
      <w:instrText xml:space="preserve"> PAGE  \* MERGEFORMAT </w:instrText>
    </w:r>
    <w:r w:rsidRPr="007A3FC6">
      <w:rPr>
        <w:b/>
        <w:sz w:val="18"/>
      </w:rPr>
      <w:fldChar w:fldCharType="separate"/>
    </w:r>
    <w:r w:rsidR="00FA75CB">
      <w:rPr>
        <w:b/>
        <w:noProof/>
        <w:sz w:val="18"/>
      </w:rPr>
      <w:t>15</w:t>
    </w:r>
    <w:r w:rsidRPr="007A3FC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2B72" w:rsidRPr="007A3FC6" w:rsidRDefault="007A3FC6" w:rsidP="007A3FC6">
    <w:pPr>
      <w:spacing w:before="120" w:line="240" w:lineRule="auto"/>
    </w:pPr>
    <w:r>
      <w:t>GE.</w:t>
    </w:r>
    <w:r w:rsidR="00DF71B9">
      <w:rPr>
        <w:b/>
        <w:noProof/>
        <w:lang w:eastAsia="ru-RU"/>
      </w:rPr>
      <w:drawing>
        <wp:anchor distT="0" distB="0" distL="114300" distR="114300" simplePos="0" relativeHeight="251658240" behindDoc="0" locked="0" layoutInCell="1" allowOverlap="1" wp14:anchorId="40AF299E" wp14:editId="1ADC7515">
          <wp:simplePos x="0" y="0"/>
          <wp:positionH relativeFrom="margin">
            <wp:posOffset>2699385</wp:posOffset>
          </wp:positionH>
          <wp:positionV relativeFrom="margin">
            <wp:posOffset>9179560</wp:posOffset>
          </wp:positionV>
          <wp:extent cx="2656800" cy="277200"/>
          <wp:effectExtent l="0" t="0" r="0" b="8890"/>
          <wp:wrapNone/>
          <wp:docPr id="3" name="Рисунок 2" descr="recycle_Russ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Russian"/>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2647"/>
                  <a:stretch/>
                </pic:blipFill>
                <pic:spPr bwMode="auto">
                  <a:xfrm>
                    <a:off x="0" y="0"/>
                    <a:ext cx="2656800" cy="27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18-07274  (R)</w:t>
    </w:r>
    <w:r w:rsidR="004C6D53">
      <w:rPr>
        <w:lang w:val="en-US"/>
      </w:rPr>
      <w:t xml:space="preserve">  230518  230518</w:t>
    </w:r>
    <w:r>
      <w:br/>
    </w:r>
    <w:r w:rsidR="004C6D53" w:rsidRPr="004C6D53">
      <w:rPr>
        <w:rFonts w:ascii="C39T30Lfz" w:hAnsi="C39T30Lfz"/>
        <w:kern w:val="14"/>
        <w:sz w:val="56"/>
        <w:lang w:val="en-US"/>
      </w:rPr>
      <w:t></w:t>
    </w:r>
    <w:r w:rsidR="004C6D53" w:rsidRPr="004C6D53">
      <w:rPr>
        <w:rFonts w:ascii="C39T30Lfz" w:hAnsi="C39T30Lfz"/>
        <w:kern w:val="14"/>
        <w:sz w:val="56"/>
        <w:lang w:val="en-US"/>
      </w:rPr>
      <w:t></w:t>
    </w:r>
    <w:r w:rsidR="004C6D53" w:rsidRPr="004C6D53">
      <w:rPr>
        <w:rFonts w:ascii="C39T30Lfz" w:hAnsi="C39T30Lfz"/>
        <w:kern w:val="14"/>
        <w:sz w:val="56"/>
        <w:lang w:val="en-US"/>
      </w:rPr>
      <w:t></w:t>
    </w:r>
    <w:r w:rsidR="004C6D53" w:rsidRPr="004C6D53">
      <w:rPr>
        <w:rFonts w:ascii="C39T30Lfz" w:hAnsi="C39T30Lfz"/>
        <w:kern w:val="14"/>
        <w:sz w:val="56"/>
        <w:lang w:val="en-US"/>
      </w:rPr>
      <w:t></w:t>
    </w:r>
    <w:r w:rsidR="004C6D53" w:rsidRPr="004C6D53">
      <w:rPr>
        <w:rFonts w:ascii="C39T30Lfz" w:hAnsi="C39T30Lfz"/>
        <w:kern w:val="14"/>
        <w:sz w:val="56"/>
        <w:lang w:val="en-US"/>
      </w:rPr>
      <w:t></w:t>
    </w:r>
    <w:r w:rsidR="004C6D53" w:rsidRPr="004C6D53">
      <w:rPr>
        <w:rFonts w:ascii="C39T30Lfz" w:hAnsi="C39T30Lfz"/>
        <w:kern w:val="14"/>
        <w:sz w:val="56"/>
        <w:lang w:val="en-US"/>
      </w:rPr>
      <w:t></w:t>
    </w:r>
    <w:r w:rsidR="004C6D53" w:rsidRPr="004C6D53">
      <w:rPr>
        <w:rFonts w:ascii="C39T30Lfz" w:hAnsi="C39T30Lfz"/>
        <w:kern w:val="14"/>
        <w:sz w:val="56"/>
        <w:lang w:val="en-US"/>
      </w:rPr>
      <w:t></w:t>
    </w:r>
    <w:r w:rsidR="004C6D53" w:rsidRPr="004C6D53">
      <w:rPr>
        <w:rFonts w:ascii="C39T30Lfz" w:hAnsi="C39T30Lfz"/>
        <w:kern w:val="14"/>
        <w:sz w:val="56"/>
        <w:lang w:val="en-US"/>
      </w:rPr>
      <w:t></w:t>
    </w:r>
    <w:r w:rsidRPr="004C6D53">
      <w:rPr>
        <w:rFonts w:ascii="C39T30Lfz" w:hAnsi="C39T30Lfz"/>
        <w:noProof/>
        <w:kern w:val="14"/>
        <w:sz w:val="56"/>
        <w:lang w:eastAsia="ru-RU"/>
      </w:rPr>
      <w:drawing>
        <wp:anchor distT="0" distB="0" distL="114300" distR="114300" simplePos="0" relativeHeight="251659264" behindDoc="0" locked="0" layoutInCell="1" allowOverlap="1">
          <wp:simplePos x="0" y="0"/>
          <wp:positionH relativeFrom="margin">
            <wp:posOffset>5489575</wp:posOffset>
          </wp:positionH>
          <wp:positionV relativeFrom="margin">
            <wp:posOffset>8855710</wp:posOffset>
          </wp:positionV>
          <wp:extent cx="638175" cy="638175"/>
          <wp:effectExtent l="0" t="0" r="9525" b="9525"/>
          <wp:wrapNone/>
          <wp:docPr id="1" name="Рисунок 1" descr="https://undocs.org/m2/QRCode.ashx?DS=ECE/RCTE/CONF/4/Add.1/Rev.2&amp;Size=2&amp;Lan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ndocs.org/m2/QRCode.ashx?DS=ECE/RCTE/CONF/4/Add.1/Rev.2&amp;Size=2&amp;Lang=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4C6D53" w:rsidRPr="004C6D53">
      <w:rPr>
        <w:rFonts w:ascii="C39T30Lfz" w:hAnsi="C39T30Lfz"/>
        <w:kern w:val="14"/>
        <w:sz w:val="56"/>
        <w:lang w:val="en-US"/>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FC6" w:rsidRPr="007A3FC6" w:rsidRDefault="007A3FC6" w:rsidP="007A3FC6">
    <w:pPr>
      <w:spacing w:before="12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6C39" w:rsidRPr="001075E9" w:rsidRDefault="00436C39" w:rsidP="001075E9">
      <w:pPr>
        <w:tabs>
          <w:tab w:val="right" w:pos="2155"/>
        </w:tabs>
        <w:spacing w:after="80" w:line="240" w:lineRule="auto"/>
        <w:ind w:left="680"/>
        <w:rPr>
          <w:u w:val="single"/>
        </w:rPr>
      </w:pPr>
      <w:r>
        <w:rPr>
          <w:u w:val="single"/>
        </w:rPr>
        <w:tab/>
      </w:r>
    </w:p>
  </w:footnote>
  <w:footnote w:type="continuationSeparator" w:id="0">
    <w:p w:rsidR="00436C39" w:rsidRDefault="00436C39" w:rsidP="00407B78">
      <w:pPr>
        <w:tabs>
          <w:tab w:val="right" w:pos="2155"/>
        </w:tabs>
        <w:spacing w:after="80"/>
        <w:ind w:left="680"/>
        <w:rPr>
          <w:u w:val="single"/>
        </w:rPr>
      </w:pPr>
      <w:r>
        <w:rPr>
          <w:u w:val="single"/>
        </w:rPr>
        <w:tab/>
      </w:r>
    </w:p>
  </w:footnote>
  <w:footnote w:id="1">
    <w:p w:rsidR="007A3FC6" w:rsidRPr="00455F63" w:rsidRDefault="007A3FC6" w:rsidP="007A3FC6">
      <w:pPr>
        <w:pStyle w:val="FootnoteText"/>
        <w:rPr>
          <w:b/>
        </w:rPr>
      </w:pPr>
      <w:r w:rsidRPr="00FA626E">
        <w:tab/>
      </w:r>
      <w:r w:rsidRPr="00605270">
        <w:rPr>
          <w:rStyle w:val="FootnoteReference"/>
        </w:rPr>
        <w:footnoteRef/>
      </w:r>
      <w:r w:rsidRPr="00455F63">
        <w:tab/>
        <w:t xml:space="preserve">В соответствии с определениями, содержащимися в Сводной резолюции о конструкции транспортных средств (СР.3), документ </w:t>
      </w:r>
      <w:r w:rsidRPr="00CA5675">
        <w:rPr>
          <w:bCs/>
        </w:rPr>
        <w:t>ECE</w:t>
      </w:r>
      <w:r w:rsidRPr="00455F63">
        <w:rPr>
          <w:bCs/>
        </w:rPr>
        <w:t>/</w:t>
      </w:r>
      <w:r w:rsidRPr="00CA5675">
        <w:rPr>
          <w:bCs/>
        </w:rPr>
        <w:t>TRANS</w:t>
      </w:r>
      <w:r w:rsidRPr="00455F63">
        <w:rPr>
          <w:bCs/>
        </w:rPr>
        <w:t>/</w:t>
      </w:r>
      <w:r w:rsidRPr="00CA5675">
        <w:rPr>
          <w:bCs/>
        </w:rPr>
        <w:t>WP</w:t>
      </w:r>
      <w:r w:rsidRPr="00455F63">
        <w:rPr>
          <w:bCs/>
        </w:rPr>
        <w:t>.29/78/</w:t>
      </w:r>
      <w:r w:rsidRPr="00CA5675">
        <w:rPr>
          <w:bCs/>
        </w:rPr>
        <w:t>Rev</w:t>
      </w:r>
      <w:r w:rsidRPr="00455F63">
        <w:rPr>
          <w:bCs/>
        </w:rPr>
        <w:t xml:space="preserve">.6, </w:t>
      </w:r>
      <w:r>
        <w:rPr>
          <w:bCs/>
        </w:rPr>
        <w:t>пункт</w:t>
      </w:r>
      <w:r w:rsidRPr="00455F63">
        <w:rPr>
          <w:bCs/>
        </w:rPr>
        <w:t xml:space="preserve"> 2</w:t>
      </w:r>
      <w:r w:rsidR="00316D93">
        <w:rPr>
          <w:bCs/>
        </w:rPr>
        <w:t>,</w:t>
      </w:r>
      <w:r w:rsidRPr="00455F63">
        <w:rPr>
          <w:bCs/>
        </w:rPr>
        <w:t xml:space="preserve"> </w:t>
      </w:r>
      <w:r>
        <w:rPr>
          <w:bCs/>
        </w:rPr>
        <w:t>–</w:t>
      </w:r>
      <w:r w:rsidRPr="00455F63">
        <w:rPr>
          <w:bCs/>
        </w:rPr>
        <w:t xml:space="preserve"> </w:t>
      </w:r>
      <w:hyperlink r:id="rId1" w:history="1">
        <w:r w:rsidRPr="007A2B72">
          <w:rPr>
            <w:rStyle w:val="Hyperlink"/>
            <w:bCs/>
            <w:color w:val="auto"/>
          </w:rPr>
          <w:t>www.unece.org/trans/main/wp29/wp29wgs/wp29gen/wp29resolutions.html</w:t>
        </w:r>
      </w:hyperlink>
      <w:r>
        <w:rPr>
          <w:rStyle w:val="Hyperlink"/>
          <w:bCs/>
          <w:color w:val="auto"/>
        </w:rPr>
        <w:t>.</w:t>
      </w:r>
    </w:p>
  </w:footnote>
  <w:footnote w:id="2">
    <w:p w:rsidR="007A3FC6" w:rsidRPr="00031522" w:rsidRDefault="007A3FC6" w:rsidP="007A3FC6">
      <w:pPr>
        <w:pStyle w:val="FootnoteText"/>
      </w:pPr>
      <w:r w:rsidRPr="00A279C1">
        <w:tab/>
      </w:r>
      <w:r w:rsidRPr="007A2B72">
        <w:rPr>
          <w:rStyle w:val="FootnoteReference"/>
          <w:sz w:val="20"/>
          <w:vertAlign w:val="baseline"/>
        </w:rPr>
        <w:t>*</w:t>
      </w:r>
      <w:r w:rsidRPr="00031522">
        <w:rPr>
          <w:sz w:val="20"/>
        </w:rPr>
        <w:tab/>
      </w:r>
      <w:r>
        <w:rPr>
          <w:szCs w:val="18"/>
        </w:rPr>
        <w:t>Примечания секретариата</w:t>
      </w:r>
      <w:r w:rsidRPr="00031522">
        <w:rPr>
          <w:szCs w:val="18"/>
        </w:rPr>
        <w:t xml:space="preserve">: </w:t>
      </w:r>
    </w:p>
    <w:p w:rsidR="007A3FC6" w:rsidRPr="00886230" w:rsidRDefault="007A3FC6" w:rsidP="007A3FC6">
      <w:pPr>
        <w:pStyle w:val="FootnoteText"/>
      </w:pPr>
      <w:r w:rsidRPr="00031522">
        <w:tab/>
      </w:r>
      <w:r w:rsidRPr="00031522">
        <w:tab/>
      </w:r>
      <w:r>
        <w:t>Прежние названия Соглашения:</w:t>
      </w:r>
    </w:p>
    <w:p w:rsidR="007A3FC6" w:rsidRPr="00886230" w:rsidRDefault="007A3FC6" w:rsidP="007A3FC6">
      <w:pPr>
        <w:pStyle w:val="FootnoteText"/>
        <w:rPr>
          <w:sz w:val="20"/>
        </w:rPr>
      </w:pPr>
      <w:r>
        <w:tab/>
      </w:r>
      <w:r>
        <w:tab/>
        <w:t>Соглашение о принятии единообразных условий официального утверждения и о взаимном признании официального утверждения предметов оборудования и частей механических транспортных средств, совершено в Женеве 20 марта 1958 года (первоначальный вариант).</w:t>
      </w:r>
    </w:p>
    <w:p w:rsidR="007A3FC6" w:rsidRPr="00031522" w:rsidRDefault="007A3FC6" w:rsidP="007A3FC6">
      <w:pPr>
        <w:pStyle w:val="FootnoteText"/>
      </w:pPr>
      <w:r>
        <w:tab/>
      </w:r>
      <w:r>
        <w:tab/>
        <w:t>Соглашение о принятии единообразных технических предписаний для колесных транспортных средств, предметов оборудования и частей, которые могут быть установлены и/или использованы на колесных транспортных средствах, и об условиях взаимного признания официальных утверждений, выдаваемых на основе этих предписаний, совершено в Женеве 5 октября 1995 года (Пересмотр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FC6" w:rsidRPr="007A3FC6" w:rsidRDefault="00972863">
    <w:pPr>
      <w:pStyle w:val="Header"/>
    </w:pPr>
    <w:r>
      <w:fldChar w:fldCharType="begin"/>
    </w:r>
    <w:r>
      <w:instrText xml:space="preserve"> TITLE  \* MERGEFORMAT </w:instrText>
    </w:r>
    <w:r>
      <w:fldChar w:fldCharType="separate"/>
    </w:r>
    <w:r>
      <w:t>ECE/RCTE/CONF/4/Add.1/Rev.2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65E" w:rsidRDefault="00972863" w:rsidP="007A3FC6">
    <w:pPr>
      <w:pStyle w:val="Header"/>
      <w:jc w:val="right"/>
    </w:pPr>
    <w:r>
      <w:fldChar w:fldCharType="begin"/>
    </w:r>
    <w:r>
      <w:instrText xml:space="preserve"> TITLE  \* MERGEFORMAT </w:instrText>
    </w:r>
    <w:r>
      <w:fldChar w:fldCharType="separate"/>
    </w:r>
    <w:r>
      <w:t>ECE/RCTE/CONF/4/Add.1/Rev.2</w:t>
    </w:r>
    <w:r>
      <w:fldChar w:fldCharType="end"/>
    </w:r>
  </w:p>
  <w:p w:rsidR="002E5B27" w:rsidRPr="002E5B27" w:rsidRDefault="002E5B27" w:rsidP="002E5B27">
    <w:pPr>
      <w:rPr>
        <w:lang w:val="en-GB" w:eastAsia="ru-RU"/>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FC6" w:rsidRDefault="00972863" w:rsidP="007A3FC6">
    <w:pPr>
      <w:pStyle w:val="Header"/>
    </w:pPr>
    <w:r>
      <w:fldChar w:fldCharType="begin"/>
    </w:r>
    <w:r>
      <w:instrText xml:space="preserve"> TITLE  \* MERGEFORMAT </w:instrText>
    </w:r>
    <w:r>
      <w:fldChar w:fldCharType="separate"/>
    </w:r>
    <w:r>
      <w:t>ECE/RCTE/CONF/4/Add.1/Rev.2</w:t>
    </w:r>
    <w:r>
      <w:fldChar w:fldCharType="end"/>
    </w:r>
  </w:p>
  <w:p w:rsidR="002E5B27" w:rsidRPr="002E5B27" w:rsidRDefault="002E5B27" w:rsidP="002E5B27">
    <w:pPr>
      <w:rPr>
        <w:lang w:val="en-GB" w:eastAsia="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EF4F9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84A9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66A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3646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E641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E4A48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44C40A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24638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E875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70838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81768B"/>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16846FC5"/>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287E2A18"/>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36A7743B"/>
    <w:multiLevelType w:val="hybridMultilevel"/>
    <w:tmpl w:val="165289D8"/>
    <w:lvl w:ilvl="0" w:tplc="14C64E84">
      <w:start w:val="1"/>
      <w:numFmt w:val="bullet"/>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8C6CF5"/>
    <w:multiLevelType w:val="hybridMultilevel"/>
    <w:tmpl w:val="93FCAD22"/>
    <w:lvl w:ilvl="0" w:tplc="F73C6636">
      <w:start w:val="1"/>
      <w:numFmt w:val="bullet"/>
      <w:pStyle w:val="Bullet2GR"/>
      <w:lvlText w:val="•"/>
      <w:lvlJc w:val="left"/>
      <w:pPr>
        <w:tabs>
          <w:tab w:val="num" w:pos="2268"/>
        </w:tabs>
        <w:ind w:left="2268"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C90228"/>
    <w:multiLevelType w:val="hybridMultilevel"/>
    <w:tmpl w:val="E5464F8E"/>
    <w:lvl w:ilvl="0" w:tplc="FD0C5992">
      <w:start w:val="1"/>
      <w:numFmt w:val="decimal"/>
      <w:pStyle w:val="ParaNoGR"/>
      <w:lvlText w:val="%1."/>
      <w:lvlJc w:val="left"/>
      <w:pPr>
        <w:tabs>
          <w:tab w:val="num" w:pos="1491"/>
        </w:tabs>
        <w:ind w:left="1134"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5BF12F8"/>
    <w:multiLevelType w:val="hybridMultilevel"/>
    <w:tmpl w:val="43A6C61A"/>
    <w:lvl w:ilvl="0" w:tplc="A652453E">
      <w:start w:val="1"/>
      <w:numFmt w:val="bullet"/>
      <w:pStyle w:val="Bullet1GR"/>
      <w:lvlText w:val="•"/>
      <w:lvlJc w:val="left"/>
      <w:pPr>
        <w:tabs>
          <w:tab w:val="num" w:pos="1701"/>
        </w:tabs>
        <w:ind w:left="1701" w:hanging="17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FD3DE4"/>
    <w:multiLevelType w:val="hybridMultilevel"/>
    <w:tmpl w:val="569E52D4"/>
    <w:lvl w:ilvl="0" w:tplc="E77E5F5E">
      <w:start w:val="1"/>
      <w:numFmt w:val="bullet"/>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3"/>
  </w:num>
  <w:num w:numId="3">
    <w:abstractNumId w:val="11"/>
  </w:num>
  <w:num w:numId="4">
    <w:abstractNumId w:val="12"/>
  </w:num>
  <w:num w:numId="5">
    <w:abstractNumId w:val="10"/>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6"/>
  </w:num>
  <w:num w:numId="17">
    <w:abstractNumId w:val="14"/>
  </w:num>
  <w:num w:numId="18">
    <w:abstractNumId w:val="15"/>
  </w:num>
  <w:num w:numId="19">
    <w:abstractNumId w:val="16"/>
  </w:num>
  <w:num w:numId="20">
    <w:abstractNumId w:val="14"/>
  </w:num>
  <w:num w:numId="21">
    <w:abstractNumId w:val="1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autoHyphenation/>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6C39"/>
    <w:rsid w:val="00033EE1"/>
    <w:rsid w:val="00042B72"/>
    <w:rsid w:val="000558BD"/>
    <w:rsid w:val="00092406"/>
    <w:rsid w:val="000B57E7"/>
    <w:rsid w:val="000B6373"/>
    <w:rsid w:val="000F09DF"/>
    <w:rsid w:val="000F61B2"/>
    <w:rsid w:val="000F6F41"/>
    <w:rsid w:val="00101506"/>
    <w:rsid w:val="001075E9"/>
    <w:rsid w:val="00180183"/>
    <w:rsid w:val="0018024D"/>
    <w:rsid w:val="0018649F"/>
    <w:rsid w:val="00196389"/>
    <w:rsid w:val="001B3EF6"/>
    <w:rsid w:val="001C7A89"/>
    <w:rsid w:val="0020092A"/>
    <w:rsid w:val="00205D9D"/>
    <w:rsid w:val="002A2EFC"/>
    <w:rsid w:val="002A7B4A"/>
    <w:rsid w:val="002C0E18"/>
    <w:rsid w:val="002D5AAC"/>
    <w:rsid w:val="002E5067"/>
    <w:rsid w:val="002E5B27"/>
    <w:rsid w:val="002F405F"/>
    <w:rsid w:val="002F7EEC"/>
    <w:rsid w:val="00301299"/>
    <w:rsid w:val="00307FB6"/>
    <w:rsid w:val="00307FEA"/>
    <w:rsid w:val="00316D93"/>
    <w:rsid w:val="00317339"/>
    <w:rsid w:val="00322004"/>
    <w:rsid w:val="00330198"/>
    <w:rsid w:val="003402C2"/>
    <w:rsid w:val="00341AF6"/>
    <w:rsid w:val="00373BCE"/>
    <w:rsid w:val="00381C24"/>
    <w:rsid w:val="003958D0"/>
    <w:rsid w:val="003B00E5"/>
    <w:rsid w:val="003B658E"/>
    <w:rsid w:val="003B65A9"/>
    <w:rsid w:val="003D665E"/>
    <w:rsid w:val="00407B78"/>
    <w:rsid w:val="004131A5"/>
    <w:rsid w:val="00424203"/>
    <w:rsid w:val="00436C39"/>
    <w:rsid w:val="00452493"/>
    <w:rsid w:val="00454E07"/>
    <w:rsid w:val="00471B10"/>
    <w:rsid w:val="00472C5C"/>
    <w:rsid w:val="00491047"/>
    <w:rsid w:val="004C6D53"/>
    <w:rsid w:val="004D541E"/>
    <w:rsid w:val="0050108D"/>
    <w:rsid w:val="00513081"/>
    <w:rsid w:val="00517901"/>
    <w:rsid w:val="00526683"/>
    <w:rsid w:val="005709E0"/>
    <w:rsid w:val="00572E19"/>
    <w:rsid w:val="005961C8"/>
    <w:rsid w:val="005D7914"/>
    <w:rsid w:val="005E2B41"/>
    <w:rsid w:val="005F0B42"/>
    <w:rsid w:val="005F2201"/>
    <w:rsid w:val="00654353"/>
    <w:rsid w:val="00681A10"/>
    <w:rsid w:val="006A1ED8"/>
    <w:rsid w:val="006C2031"/>
    <w:rsid w:val="006D461A"/>
    <w:rsid w:val="006E5645"/>
    <w:rsid w:val="006F35EE"/>
    <w:rsid w:val="007021FF"/>
    <w:rsid w:val="007024FD"/>
    <w:rsid w:val="0070393B"/>
    <w:rsid w:val="00712895"/>
    <w:rsid w:val="00757357"/>
    <w:rsid w:val="007A3FC6"/>
    <w:rsid w:val="00825F8D"/>
    <w:rsid w:val="00834B71"/>
    <w:rsid w:val="0086445C"/>
    <w:rsid w:val="00870BDA"/>
    <w:rsid w:val="00894693"/>
    <w:rsid w:val="008A08D7"/>
    <w:rsid w:val="008A697B"/>
    <w:rsid w:val="008B6909"/>
    <w:rsid w:val="008C1A9B"/>
    <w:rsid w:val="008F1FCF"/>
    <w:rsid w:val="00906890"/>
    <w:rsid w:val="00911BE4"/>
    <w:rsid w:val="00943923"/>
    <w:rsid w:val="00951972"/>
    <w:rsid w:val="009608F3"/>
    <w:rsid w:val="00972863"/>
    <w:rsid w:val="009A24AC"/>
    <w:rsid w:val="009D084C"/>
    <w:rsid w:val="009F307A"/>
    <w:rsid w:val="00A04E47"/>
    <w:rsid w:val="00A312BC"/>
    <w:rsid w:val="00A84021"/>
    <w:rsid w:val="00A84D35"/>
    <w:rsid w:val="00A917B3"/>
    <w:rsid w:val="00AB4B51"/>
    <w:rsid w:val="00AC3DF0"/>
    <w:rsid w:val="00AD62CC"/>
    <w:rsid w:val="00AF0397"/>
    <w:rsid w:val="00B03939"/>
    <w:rsid w:val="00B10CC7"/>
    <w:rsid w:val="00B539E7"/>
    <w:rsid w:val="00B62458"/>
    <w:rsid w:val="00BB7B85"/>
    <w:rsid w:val="00BC18B2"/>
    <w:rsid w:val="00BC3859"/>
    <w:rsid w:val="00BD33EE"/>
    <w:rsid w:val="00C106D6"/>
    <w:rsid w:val="00C60F0C"/>
    <w:rsid w:val="00C805C9"/>
    <w:rsid w:val="00C92939"/>
    <w:rsid w:val="00CA1679"/>
    <w:rsid w:val="00CB151C"/>
    <w:rsid w:val="00CB58E1"/>
    <w:rsid w:val="00CE073C"/>
    <w:rsid w:val="00CE4CB1"/>
    <w:rsid w:val="00CE5A1A"/>
    <w:rsid w:val="00CF55F6"/>
    <w:rsid w:val="00D33D63"/>
    <w:rsid w:val="00D36E4E"/>
    <w:rsid w:val="00D90028"/>
    <w:rsid w:val="00D90138"/>
    <w:rsid w:val="00DB65B6"/>
    <w:rsid w:val="00DF71B9"/>
    <w:rsid w:val="00E16204"/>
    <w:rsid w:val="00E73F76"/>
    <w:rsid w:val="00E74E9E"/>
    <w:rsid w:val="00EA2C9F"/>
    <w:rsid w:val="00EB1EAF"/>
    <w:rsid w:val="00ED0BDA"/>
    <w:rsid w:val="00EF1360"/>
    <w:rsid w:val="00EF3220"/>
    <w:rsid w:val="00F01834"/>
    <w:rsid w:val="00F94155"/>
    <w:rsid w:val="00F9783F"/>
    <w:rsid w:val="00FA75CB"/>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60BF607-0142-4688-A5DC-D19B697E4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073C"/>
    <w:pPr>
      <w:suppressAutoHyphens/>
      <w:spacing w:line="240" w:lineRule="atLeast"/>
    </w:pPr>
    <w:rPr>
      <w:rFonts w:eastAsiaTheme="minorHAnsi" w:cstheme="minorBidi"/>
      <w:szCs w:val="22"/>
      <w:lang w:val="ru-RU" w:eastAsia="en-US"/>
    </w:rPr>
  </w:style>
  <w:style w:type="paragraph" w:styleId="Heading1">
    <w:name w:val="heading 1"/>
    <w:aliases w:val="Table_GR"/>
    <w:basedOn w:val="Normal"/>
    <w:next w:val="Normal"/>
    <w:link w:val="Heading1Char"/>
    <w:qFormat/>
    <w:rsid w:val="00BB7B85"/>
    <w:pPr>
      <w:keepNext/>
      <w:tabs>
        <w:tab w:val="left" w:pos="567"/>
      </w:tabs>
      <w:jc w:val="both"/>
      <w:outlineLvl w:val="0"/>
    </w:pPr>
    <w:rPr>
      <w:rFonts w:eastAsia="Times New Roman" w:cs="Arial"/>
      <w:b/>
      <w:bCs/>
      <w:szCs w:val="32"/>
      <w:lang w:eastAsia="ru-RU"/>
    </w:rPr>
  </w:style>
  <w:style w:type="paragraph" w:styleId="Heading2">
    <w:name w:val="heading 2"/>
    <w:basedOn w:val="Normal"/>
    <w:next w:val="Normal"/>
    <w:semiHidden/>
    <w:rsid w:val="00E74E9E"/>
    <w:pPr>
      <w:keepNext/>
      <w:outlineLvl w:val="1"/>
    </w:pPr>
    <w:rPr>
      <w:rFonts w:cs="Arial"/>
      <w:bCs/>
      <w:iCs/>
      <w:szCs w:val="28"/>
    </w:rPr>
  </w:style>
  <w:style w:type="paragraph" w:styleId="Heading3">
    <w:name w:val="heading 3"/>
    <w:basedOn w:val="Normal"/>
    <w:next w:val="Normal"/>
    <w:semiHidden/>
    <w:rsid w:val="00E74E9E"/>
    <w:pPr>
      <w:keepNext/>
      <w:spacing w:before="240" w:after="60"/>
      <w:outlineLvl w:val="2"/>
    </w:pPr>
    <w:rPr>
      <w:rFonts w:ascii="Arial" w:hAnsi="Arial" w:cs="Arial"/>
      <w:b/>
      <w:bCs/>
      <w:sz w:val="26"/>
      <w:szCs w:val="26"/>
    </w:rPr>
  </w:style>
  <w:style w:type="paragraph" w:styleId="Heading4">
    <w:name w:val="heading 4"/>
    <w:basedOn w:val="Normal"/>
    <w:next w:val="Normal"/>
    <w:semiHidden/>
    <w:rsid w:val="00E74E9E"/>
    <w:pPr>
      <w:keepNext/>
      <w:spacing w:before="240" w:after="60"/>
      <w:outlineLvl w:val="3"/>
    </w:pPr>
    <w:rPr>
      <w:b/>
      <w:bCs/>
      <w:sz w:val="28"/>
      <w:szCs w:val="28"/>
    </w:rPr>
  </w:style>
  <w:style w:type="paragraph" w:styleId="Heading5">
    <w:name w:val="heading 5"/>
    <w:basedOn w:val="Normal"/>
    <w:next w:val="Normal"/>
    <w:semiHidden/>
    <w:rsid w:val="00E74E9E"/>
    <w:pPr>
      <w:spacing w:before="240" w:after="60"/>
      <w:outlineLvl w:val="4"/>
    </w:pPr>
    <w:rPr>
      <w:b/>
      <w:bCs/>
      <w:i/>
      <w:iCs/>
      <w:sz w:val="26"/>
      <w:szCs w:val="26"/>
    </w:rPr>
  </w:style>
  <w:style w:type="paragraph" w:styleId="Heading6">
    <w:name w:val="heading 6"/>
    <w:basedOn w:val="Normal"/>
    <w:next w:val="Normal"/>
    <w:semiHidden/>
    <w:rsid w:val="00E74E9E"/>
    <w:pPr>
      <w:spacing w:before="240" w:after="60"/>
      <w:outlineLvl w:val="5"/>
    </w:pPr>
    <w:rPr>
      <w:b/>
      <w:bCs/>
      <w:sz w:val="22"/>
    </w:rPr>
  </w:style>
  <w:style w:type="paragraph" w:styleId="Heading7">
    <w:name w:val="heading 7"/>
    <w:basedOn w:val="Normal"/>
    <w:next w:val="Normal"/>
    <w:semiHidden/>
    <w:rsid w:val="00E74E9E"/>
    <w:pPr>
      <w:spacing w:before="240" w:after="60"/>
      <w:outlineLvl w:val="6"/>
    </w:pPr>
    <w:rPr>
      <w:sz w:val="24"/>
      <w:szCs w:val="24"/>
    </w:rPr>
  </w:style>
  <w:style w:type="paragraph" w:styleId="Heading8">
    <w:name w:val="heading 8"/>
    <w:basedOn w:val="Normal"/>
    <w:next w:val="Normal"/>
    <w:semiHidden/>
    <w:rsid w:val="00E74E9E"/>
    <w:pPr>
      <w:spacing w:before="240" w:after="60"/>
      <w:outlineLvl w:val="7"/>
    </w:pPr>
    <w:rPr>
      <w:i/>
      <w:iCs/>
      <w:sz w:val="24"/>
      <w:szCs w:val="24"/>
    </w:rPr>
  </w:style>
  <w:style w:type="paragraph" w:styleId="Heading9">
    <w:name w:val="heading 9"/>
    <w:basedOn w:val="Normal"/>
    <w:next w:val="Normal"/>
    <w:semiHidden/>
    <w:rsid w:val="00E74E9E"/>
    <w:pPr>
      <w:spacing w:before="240" w:after="60"/>
      <w:outlineLvl w:val="8"/>
    </w:pPr>
    <w:rPr>
      <w:rFonts w:ascii="Arial" w:hAnsi="Arial" w:cs="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74E9E"/>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74E9E"/>
    <w:rPr>
      <w:rFonts w:ascii="Tahoma" w:eastAsiaTheme="minorHAnsi" w:hAnsi="Tahoma" w:cs="Tahoma"/>
      <w:spacing w:val="4"/>
      <w:w w:val="103"/>
      <w:kern w:val="14"/>
      <w:sz w:val="16"/>
      <w:szCs w:val="16"/>
      <w:lang w:val="ru-RU" w:eastAsia="en-US"/>
    </w:rPr>
  </w:style>
  <w:style w:type="paragraph" w:customStyle="1" w:styleId="HMGR">
    <w:name w:val="_ H __M_GR"/>
    <w:basedOn w:val="Normal"/>
    <w:next w:val="Normal"/>
    <w:qFormat/>
    <w:rsid w:val="00BB7B85"/>
    <w:pPr>
      <w:keepNext/>
      <w:keepLines/>
      <w:tabs>
        <w:tab w:val="right" w:pos="851"/>
      </w:tabs>
      <w:spacing w:before="240" w:after="240" w:line="360" w:lineRule="exact"/>
      <w:ind w:left="1134" w:right="1134" w:hanging="1134"/>
    </w:pPr>
    <w:rPr>
      <w:rFonts w:eastAsia="Times New Roman" w:cs="Times New Roman"/>
      <w:b/>
      <w:sz w:val="34"/>
      <w:szCs w:val="20"/>
      <w:lang w:eastAsia="ru-RU"/>
    </w:rPr>
  </w:style>
  <w:style w:type="paragraph" w:customStyle="1" w:styleId="HChGR">
    <w:name w:val="_ H _Ch_GR"/>
    <w:basedOn w:val="Normal"/>
    <w:next w:val="Normal"/>
    <w:qFormat/>
    <w:rsid w:val="00BB7B85"/>
    <w:pPr>
      <w:keepNext/>
      <w:keepLines/>
      <w:tabs>
        <w:tab w:val="right" w:pos="851"/>
      </w:tabs>
      <w:spacing w:before="360" w:after="240" w:line="300" w:lineRule="exact"/>
      <w:ind w:left="1134" w:right="1134" w:hanging="1134"/>
    </w:pPr>
    <w:rPr>
      <w:rFonts w:eastAsia="Times New Roman" w:cs="Times New Roman"/>
      <w:b/>
      <w:sz w:val="28"/>
      <w:szCs w:val="20"/>
      <w:lang w:eastAsia="ru-RU"/>
    </w:rPr>
  </w:style>
  <w:style w:type="paragraph" w:customStyle="1" w:styleId="H1GR">
    <w:name w:val="_ H_1_GR"/>
    <w:basedOn w:val="Normal"/>
    <w:next w:val="Normal"/>
    <w:qFormat/>
    <w:rsid w:val="00BB7B85"/>
    <w:pPr>
      <w:keepNext/>
      <w:keepLines/>
      <w:tabs>
        <w:tab w:val="right" w:pos="851"/>
      </w:tabs>
      <w:spacing w:before="360" w:after="240" w:line="270" w:lineRule="exact"/>
      <w:ind w:left="1134" w:right="1134" w:hanging="1134"/>
    </w:pPr>
    <w:rPr>
      <w:rFonts w:eastAsia="Times New Roman" w:cs="Times New Roman"/>
      <w:b/>
      <w:sz w:val="24"/>
      <w:szCs w:val="20"/>
      <w:lang w:eastAsia="ru-RU"/>
    </w:rPr>
  </w:style>
  <w:style w:type="paragraph" w:customStyle="1" w:styleId="H23GR">
    <w:name w:val="_ H_2/3_GR"/>
    <w:basedOn w:val="Normal"/>
    <w:next w:val="Normal"/>
    <w:qFormat/>
    <w:rsid w:val="00BB7B85"/>
    <w:pPr>
      <w:keepNext/>
      <w:keepLines/>
      <w:tabs>
        <w:tab w:val="right" w:pos="851"/>
      </w:tabs>
      <w:spacing w:before="240" w:after="120" w:line="240" w:lineRule="exact"/>
      <w:ind w:left="1134" w:right="1134" w:hanging="1134"/>
    </w:pPr>
    <w:rPr>
      <w:rFonts w:eastAsia="Times New Roman" w:cs="Times New Roman"/>
      <w:b/>
      <w:szCs w:val="20"/>
      <w:lang w:eastAsia="ru-RU"/>
    </w:rPr>
  </w:style>
  <w:style w:type="paragraph" w:customStyle="1" w:styleId="H4GR">
    <w:name w:val="_ H_4_GR"/>
    <w:basedOn w:val="Normal"/>
    <w:next w:val="Normal"/>
    <w:qFormat/>
    <w:rsid w:val="00BB7B85"/>
    <w:pPr>
      <w:keepNext/>
      <w:keepLines/>
      <w:tabs>
        <w:tab w:val="right" w:pos="851"/>
      </w:tabs>
      <w:spacing w:before="240" w:after="120" w:line="240" w:lineRule="exact"/>
      <w:ind w:left="1134" w:right="1134" w:hanging="1134"/>
      <w:outlineLvl w:val="3"/>
    </w:pPr>
    <w:rPr>
      <w:rFonts w:eastAsia="Times New Roman" w:cs="Times New Roman"/>
      <w:i/>
      <w:szCs w:val="20"/>
      <w:lang w:eastAsia="ru-RU"/>
    </w:rPr>
  </w:style>
  <w:style w:type="paragraph" w:customStyle="1" w:styleId="H56GR">
    <w:name w:val="_ H_5/6_GR"/>
    <w:basedOn w:val="Normal"/>
    <w:next w:val="Normal"/>
    <w:qFormat/>
    <w:rsid w:val="00BB7B85"/>
    <w:pPr>
      <w:keepNext/>
      <w:keepLines/>
      <w:tabs>
        <w:tab w:val="right" w:pos="851"/>
      </w:tabs>
      <w:spacing w:before="240" w:after="120" w:line="240" w:lineRule="exact"/>
      <w:ind w:left="1134" w:right="1134" w:hanging="1134"/>
    </w:pPr>
    <w:rPr>
      <w:rFonts w:eastAsia="Times New Roman" w:cs="Times New Roman"/>
      <w:szCs w:val="20"/>
      <w:lang w:eastAsia="ru-RU"/>
    </w:rPr>
  </w:style>
  <w:style w:type="paragraph" w:customStyle="1" w:styleId="SingleTxtGR">
    <w:name w:val="_ Single Txt_GR"/>
    <w:basedOn w:val="Normal"/>
    <w:qFormat/>
    <w:rsid w:val="00BB7B85"/>
    <w:pPr>
      <w:tabs>
        <w:tab w:val="left" w:pos="1701"/>
        <w:tab w:val="left" w:pos="2268"/>
        <w:tab w:val="left" w:pos="2835"/>
        <w:tab w:val="left" w:pos="3402"/>
        <w:tab w:val="left" w:pos="3969"/>
      </w:tabs>
      <w:spacing w:after="120"/>
      <w:ind w:left="1134" w:right="1134"/>
      <w:jc w:val="both"/>
    </w:pPr>
    <w:rPr>
      <w:rFonts w:eastAsia="Times New Roman" w:cs="Times New Roman"/>
      <w:szCs w:val="20"/>
    </w:rPr>
  </w:style>
  <w:style w:type="paragraph" w:customStyle="1" w:styleId="SLGR">
    <w:name w:val="__S_L_GR"/>
    <w:basedOn w:val="Normal"/>
    <w:next w:val="Normal"/>
    <w:qFormat/>
    <w:rsid w:val="00BB7B85"/>
    <w:pPr>
      <w:keepNext/>
      <w:keepLines/>
      <w:spacing w:before="240" w:after="240" w:line="580" w:lineRule="exact"/>
      <w:ind w:left="1134" w:right="1134"/>
    </w:pPr>
    <w:rPr>
      <w:rFonts w:eastAsia="Times New Roman" w:cs="Times New Roman"/>
      <w:b/>
      <w:sz w:val="56"/>
      <w:szCs w:val="20"/>
      <w:lang w:eastAsia="ru-RU"/>
    </w:rPr>
  </w:style>
  <w:style w:type="paragraph" w:customStyle="1" w:styleId="SMGR">
    <w:name w:val="__S_M_GR"/>
    <w:basedOn w:val="Normal"/>
    <w:next w:val="Normal"/>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SSGR">
    <w:name w:val="__S_S_GR"/>
    <w:basedOn w:val="Normal"/>
    <w:next w:val="Normal"/>
    <w:qFormat/>
    <w:rsid w:val="00BB7B85"/>
    <w:pPr>
      <w:keepNext/>
      <w:keepLines/>
      <w:spacing w:before="240" w:after="240" w:line="300" w:lineRule="exact"/>
      <w:ind w:left="1134" w:right="1134"/>
    </w:pPr>
    <w:rPr>
      <w:rFonts w:eastAsia="Times New Roman" w:cs="Times New Roman"/>
      <w:b/>
      <w:sz w:val="28"/>
      <w:szCs w:val="20"/>
      <w:lang w:eastAsia="ru-RU"/>
    </w:rPr>
  </w:style>
  <w:style w:type="paragraph" w:customStyle="1" w:styleId="XLargeGR">
    <w:name w:val="__XLarge_GR"/>
    <w:basedOn w:val="Normal"/>
    <w:next w:val="Normal"/>
    <w:qFormat/>
    <w:rsid w:val="00BB7B85"/>
    <w:pPr>
      <w:keepNext/>
      <w:keepLines/>
      <w:spacing w:before="240" w:after="240" w:line="420" w:lineRule="exact"/>
      <w:ind w:left="1134" w:right="1134"/>
    </w:pPr>
    <w:rPr>
      <w:rFonts w:eastAsia="Times New Roman" w:cs="Times New Roman"/>
      <w:b/>
      <w:sz w:val="40"/>
      <w:szCs w:val="20"/>
      <w:lang w:eastAsia="ru-RU"/>
    </w:rPr>
  </w:style>
  <w:style w:type="paragraph" w:customStyle="1" w:styleId="Bullet1GR">
    <w:name w:val="_Bullet 1_GR"/>
    <w:basedOn w:val="Normal"/>
    <w:qFormat/>
    <w:rsid w:val="00BB7B85"/>
    <w:pPr>
      <w:numPr>
        <w:numId w:val="19"/>
      </w:numPr>
      <w:spacing w:after="120"/>
      <w:ind w:right="1134"/>
      <w:jc w:val="both"/>
    </w:pPr>
    <w:rPr>
      <w:rFonts w:eastAsia="Times New Roman" w:cs="Times New Roman"/>
      <w:szCs w:val="20"/>
      <w:lang w:eastAsia="ru-RU"/>
    </w:rPr>
  </w:style>
  <w:style w:type="paragraph" w:customStyle="1" w:styleId="Bullet2GR">
    <w:name w:val="_Bullet 2_GR"/>
    <w:basedOn w:val="Normal"/>
    <w:qFormat/>
    <w:rsid w:val="00BB7B85"/>
    <w:pPr>
      <w:numPr>
        <w:numId w:val="20"/>
      </w:numPr>
      <w:spacing w:after="120"/>
      <w:ind w:right="1134"/>
      <w:jc w:val="both"/>
    </w:pPr>
    <w:rPr>
      <w:rFonts w:eastAsia="Times New Roman" w:cs="Times New Roman"/>
      <w:szCs w:val="20"/>
      <w:lang w:eastAsia="ru-RU"/>
    </w:rPr>
  </w:style>
  <w:style w:type="paragraph" w:customStyle="1" w:styleId="ParaNoGR">
    <w:name w:val="_ParaNo._GR"/>
    <w:basedOn w:val="Normal"/>
    <w:next w:val="Normal"/>
    <w:qFormat/>
    <w:rsid w:val="00BB7B85"/>
    <w:pPr>
      <w:numPr>
        <w:numId w:val="21"/>
      </w:numPr>
      <w:tabs>
        <w:tab w:val="left" w:pos="567"/>
      </w:tabs>
      <w:spacing w:after="120"/>
      <w:ind w:right="1134"/>
      <w:jc w:val="both"/>
      <w:outlineLvl w:val="0"/>
    </w:pPr>
    <w:rPr>
      <w:rFonts w:eastAsia="Times New Roman" w:cs="Times New Roman"/>
      <w:szCs w:val="20"/>
      <w:lang w:eastAsia="ru-RU"/>
    </w:rPr>
  </w:style>
  <w:style w:type="table" w:customStyle="1" w:styleId="TabNum">
    <w:name w:val="_TabNum"/>
    <w:basedOn w:val="TableNormal"/>
    <w:rsid w:val="00BB7B85"/>
    <w:pPr>
      <w:spacing w:before="40" w:after="40" w:line="220" w:lineRule="exact"/>
      <w:jc w:val="right"/>
    </w:pPr>
    <w:rPr>
      <w:sz w:val="18"/>
      <w:lang w:val="ru-RU" w:eastAsia="ru-RU"/>
    </w:rPr>
    <w:tblPr>
      <w:tblBorders>
        <w:top w:val="single" w:sz="4" w:space="0" w:color="auto"/>
        <w:bottom w:val="single" w:sz="12" w:space="0" w:color="auto"/>
      </w:tblBorders>
      <w:tblCellMar>
        <w:left w:w="28" w:type="dxa"/>
        <w:right w:w="28" w:type="dxa"/>
      </w:tblCellMar>
    </w:tblPr>
    <w:tcPr>
      <w:vAlign w:val="bottom"/>
    </w:tcPr>
    <w:tblStylePr w:type="firstCol">
      <w:pPr>
        <w:jc w:val="left"/>
      </w:pPr>
      <w:tblPr/>
      <w:tcPr>
        <w:tcBorders>
          <w:top w:val="single" w:sz="4" w:space="0" w:color="auto"/>
          <w:left w:val="nil"/>
          <w:bottom w:val="single" w:sz="12" w:space="0" w:color="auto"/>
          <w:right w:val="nil"/>
          <w:insideH w:val="nil"/>
          <w:insideV w:val="nil"/>
          <w:tl2br w:val="nil"/>
          <w:tr2bl w:val="nil"/>
        </w:tcBorders>
      </w:tcPr>
    </w:tblStylePr>
  </w:style>
  <w:style w:type="table" w:customStyle="1" w:styleId="TabTxt">
    <w:name w:val="_TabTxt"/>
    <w:basedOn w:val="TableNormal"/>
    <w:rsid w:val="00BB7B85"/>
    <w:pPr>
      <w:spacing w:before="40" w:after="120" w:line="240" w:lineRule="atLeast"/>
    </w:pPr>
    <w:rPr>
      <w:lang w:val="ru-RU" w:eastAsia="ru-RU"/>
    </w:rPr>
    <w:tblPr>
      <w:tblBorders>
        <w:top w:val="single" w:sz="4" w:space="0" w:color="auto"/>
        <w:bottom w:val="single" w:sz="12" w:space="0" w:color="auto"/>
      </w:tblBorders>
      <w:tblCellMar>
        <w:left w:w="28" w:type="dxa"/>
        <w:right w:w="28" w:type="dxa"/>
      </w:tblCellMar>
    </w:tblPr>
    <w:tblStylePr w:type="lastCol">
      <w:tblPr/>
      <w:tcPr>
        <w:tcBorders>
          <w:top w:val="single" w:sz="4" w:space="0" w:color="auto"/>
          <w:left w:val="nil"/>
          <w:bottom w:val="single" w:sz="12" w:space="0" w:color="auto"/>
          <w:right w:val="nil"/>
          <w:insideH w:val="nil"/>
          <w:insideV w:val="nil"/>
          <w:tl2br w:val="nil"/>
          <w:tr2bl w:val="nil"/>
        </w:tcBorders>
      </w:tcPr>
    </w:tblStylePr>
  </w:style>
  <w:style w:type="paragraph" w:styleId="Header">
    <w:name w:val="header"/>
    <w:aliases w:val="6_GR"/>
    <w:basedOn w:val="Normal"/>
    <w:next w:val="Normal"/>
    <w:link w:val="HeaderChar"/>
    <w:qFormat/>
    <w:rsid w:val="00BB7B85"/>
    <w:pPr>
      <w:pBdr>
        <w:bottom w:val="single" w:sz="4" w:space="4" w:color="auto"/>
      </w:pBdr>
      <w:tabs>
        <w:tab w:val="right" w:pos="9639"/>
      </w:tabs>
    </w:pPr>
    <w:rPr>
      <w:rFonts w:eastAsia="Times New Roman" w:cs="Times New Roman"/>
      <w:b/>
      <w:sz w:val="18"/>
      <w:szCs w:val="20"/>
      <w:lang w:val="en-GB" w:eastAsia="ru-RU"/>
    </w:rPr>
  </w:style>
  <w:style w:type="character" w:customStyle="1" w:styleId="HeaderChar">
    <w:name w:val="Header Char"/>
    <w:aliases w:val="6_GR Char"/>
    <w:basedOn w:val="DefaultParagraphFont"/>
    <w:link w:val="Header"/>
    <w:rsid w:val="00BB7B85"/>
    <w:rPr>
      <w:b/>
      <w:sz w:val="18"/>
      <w:lang w:val="en-GB" w:eastAsia="ru-RU"/>
    </w:rPr>
  </w:style>
  <w:style w:type="character" w:styleId="PageNumber">
    <w:name w:val="page number"/>
    <w:aliases w:val="7_GR"/>
    <w:basedOn w:val="DefaultParagraphFont"/>
    <w:qFormat/>
    <w:rsid w:val="00BB7B85"/>
    <w:rPr>
      <w:rFonts w:ascii="Times New Roman" w:hAnsi="Times New Roman"/>
      <w:b/>
      <w:sz w:val="18"/>
    </w:rPr>
  </w:style>
  <w:style w:type="paragraph" w:styleId="Footer">
    <w:name w:val="footer"/>
    <w:aliases w:val="3_GR"/>
    <w:basedOn w:val="Normal"/>
    <w:link w:val="FooterChar"/>
    <w:qFormat/>
    <w:rsid w:val="00BB7B85"/>
    <w:pPr>
      <w:tabs>
        <w:tab w:val="right" w:pos="9639"/>
      </w:tabs>
    </w:pPr>
    <w:rPr>
      <w:rFonts w:eastAsia="Times New Roman" w:cs="Times New Roman"/>
      <w:sz w:val="16"/>
      <w:szCs w:val="20"/>
      <w:lang w:val="en-GB" w:eastAsia="ru-RU"/>
    </w:rPr>
  </w:style>
  <w:style w:type="character" w:customStyle="1" w:styleId="FooterChar">
    <w:name w:val="Footer Char"/>
    <w:aliases w:val="3_GR Char"/>
    <w:basedOn w:val="DefaultParagraphFont"/>
    <w:link w:val="Footer"/>
    <w:rsid w:val="00BB7B85"/>
    <w:rPr>
      <w:sz w:val="16"/>
      <w:lang w:val="en-GB" w:eastAsia="ru-RU"/>
    </w:rPr>
  </w:style>
  <w:style w:type="character" w:styleId="FootnoteReference">
    <w:name w:val="footnote reference"/>
    <w:aliases w:val="4_GR"/>
    <w:basedOn w:val="DefaultParagraphFont"/>
    <w:qFormat/>
    <w:rsid w:val="00BB7B85"/>
    <w:rPr>
      <w:rFonts w:ascii="Times New Roman" w:hAnsi="Times New Roman"/>
      <w:dstrike w:val="0"/>
      <w:sz w:val="18"/>
      <w:vertAlign w:val="superscript"/>
    </w:rPr>
  </w:style>
  <w:style w:type="character" w:styleId="EndnoteReference">
    <w:name w:val="endnote reference"/>
    <w:aliases w:val="1_GR"/>
    <w:basedOn w:val="FootnoteReference"/>
    <w:qFormat/>
    <w:rsid w:val="00BB7B85"/>
    <w:rPr>
      <w:rFonts w:ascii="Times New Roman" w:hAnsi="Times New Roman"/>
      <w:dstrike w:val="0"/>
      <w:sz w:val="18"/>
      <w:vertAlign w:val="superscript"/>
    </w:rPr>
  </w:style>
  <w:style w:type="table" w:styleId="TableGrid">
    <w:name w:val="Table Grid"/>
    <w:basedOn w:val="TableNormal"/>
    <w:uiPriority w:val="59"/>
    <w:rsid w:val="00BB7B85"/>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5_GR,5_G,PP"/>
    <w:basedOn w:val="Normal"/>
    <w:link w:val="FootnoteTextChar"/>
    <w:qFormat/>
    <w:rsid w:val="00BB7B85"/>
    <w:pPr>
      <w:tabs>
        <w:tab w:val="right" w:pos="1021"/>
      </w:tabs>
      <w:spacing w:line="220" w:lineRule="exact"/>
      <w:ind w:left="1134" w:right="1134" w:hanging="1134"/>
    </w:pPr>
    <w:rPr>
      <w:rFonts w:eastAsia="Times New Roman" w:cs="Times New Roman"/>
      <w:sz w:val="18"/>
      <w:szCs w:val="20"/>
      <w:lang w:eastAsia="ru-RU"/>
    </w:rPr>
  </w:style>
  <w:style w:type="character" w:customStyle="1" w:styleId="FootnoteTextChar">
    <w:name w:val="Footnote Text Char"/>
    <w:aliases w:val="5_GR Char,5_G Char,PP Char"/>
    <w:basedOn w:val="DefaultParagraphFont"/>
    <w:link w:val="FootnoteText"/>
    <w:rsid w:val="00BB7B85"/>
    <w:rPr>
      <w:sz w:val="18"/>
      <w:lang w:val="ru-RU" w:eastAsia="ru-RU"/>
    </w:rPr>
  </w:style>
  <w:style w:type="paragraph" w:styleId="EndnoteText">
    <w:name w:val="endnote text"/>
    <w:aliases w:val="2_GR"/>
    <w:basedOn w:val="FootnoteText"/>
    <w:link w:val="EndnoteTextChar"/>
    <w:qFormat/>
    <w:rsid w:val="00BB7B85"/>
  </w:style>
  <w:style w:type="character" w:customStyle="1" w:styleId="EndnoteTextChar">
    <w:name w:val="Endnote Text Char"/>
    <w:aliases w:val="2_GR Char"/>
    <w:basedOn w:val="DefaultParagraphFont"/>
    <w:link w:val="EndnoteText"/>
    <w:rsid w:val="00BB7B85"/>
    <w:rPr>
      <w:sz w:val="18"/>
      <w:lang w:val="ru-RU" w:eastAsia="ru-RU"/>
    </w:rPr>
  </w:style>
  <w:style w:type="character" w:customStyle="1" w:styleId="Heading1Char">
    <w:name w:val="Heading 1 Char"/>
    <w:aliases w:val="Table_GR Char"/>
    <w:basedOn w:val="DefaultParagraphFont"/>
    <w:link w:val="Heading1"/>
    <w:rsid w:val="00BB7B85"/>
    <w:rPr>
      <w:rFonts w:cs="Arial"/>
      <w:b/>
      <w:bCs/>
      <w:szCs w:val="32"/>
      <w:lang w:val="ru-RU" w:eastAsia="ru-RU"/>
    </w:rPr>
  </w:style>
  <w:style w:type="character" w:styleId="FollowedHyperlink">
    <w:name w:val="FollowedHyperlink"/>
    <w:basedOn w:val="DefaultParagraphFont"/>
    <w:uiPriority w:val="99"/>
    <w:semiHidden/>
    <w:unhideWhenUsed/>
    <w:rsid w:val="00BB7B85"/>
    <w:rPr>
      <w:color w:val="800080" w:themeColor="followedHyperlink"/>
      <w:u w:val="none"/>
    </w:rPr>
  </w:style>
  <w:style w:type="character" w:styleId="Hyperlink">
    <w:name w:val="Hyperlink"/>
    <w:basedOn w:val="DefaultParagraphFont"/>
    <w:uiPriority w:val="99"/>
    <w:unhideWhenUsed/>
    <w:rsid w:val="00BB7B85"/>
    <w:rPr>
      <w:color w:val="0000FF" w:themeColor="hyperlink"/>
      <w:u w:val="none"/>
    </w:rPr>
  </w:style>
  <w:style w:type="character" w:styleId="CommentReference">
    <w:name w:val="annotation reference"/>
    <w:basedOn w:val="DefaultParagraphFont"/>
    <w:semiHidden/>
    <w:unhideWhenUsed/>
    <w:rsid w:val="00D36E4E"/>
    <w:rPr>
      <w:sz w:val="16"/>
      <w:szCs w:val="16"/>
    </w:rPr>
  </w:style>
  <w:style w:type="paragraph" w:styleId="CommentText">
    <w:name w:val="annotation text"/>
    <w:basedOn w:val="Normal"/>
    <w:link w:val="CommentTextChar"/>
    <w:semiHidden/>
    <w:unhideWhenUsed/>
    <w:rsid w:val="00D36E4E"/>
    <w:pPr>
      <w:spacing w:line="240" w:lineRule="auto"/>
    </w:pPr>
    <w:rPr>
      <w:szCs w:val="20"/>
    </w:rPr>
  </w:style>
  <w:style w:type="character" w:customStyle="1" w:styleId="CommentTextChar">
    <w:name w:val="Comment Text Char"/>
    <w:basedOn w:val="DefaultParagraphFont"/>
    <w:link w:val="CommentText"/>
    <w:semiHidden/>
    <w:rsid w:val="00D36E4E"/>
    <w:rPr>
      <w:rFonts w:eastAsiaTheme="minorHAnsi" w:cstheme="minorBidi"/>
      <w:lang w:val="ru-RU" w:eastAsia="en-US"/>
    </w:rPr>
  </w:style>
  <w:style w:type="paragraph" w:styleId="CommentSubject">
    <w:name w:val="annotation subject"/>
    <w:basedOn w:val="CommentText"/>
    <w:next w:val="CommentText"/>
    <w:link w:val="CommentSubjectChar"/>
    <w:semiHidden/>
    <w:unhideWhenUsed/>
    <w:rsid w:val="00D36E4E"/>
    <w:rPr>
      <w:b/>
      <w:bCs/>
    </w:rPr>
  </w:style>
  <w:style w:type="character" w:customStyle="1" w:styleId="CommentSubjectChar">
    <w:name w:val="Comment Subject Char"/>
    <w:basedOn w:val="CommentTextChar"/>
    <w:link w:val="CommentSubject"/>
    <w:semiHidden/>
    <w:rsid w:val="00D36E4E"/>
    <w:rPr>
      <w:rFonts w:eastAsiaTheme="minorHAnsi" w:cstheme="minorBidi"/>
      <w:b/>
      <w:bCs/>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2910</Words>
  <Characters>16587</Characters>
  <Application>Microsoft Office Word</Application>
  <DocSecurity>0</DocSecurity>
  <Lines>138</Lines>
  <Paragraphs>38</Paragraphs>
  <ScaleCrop>false</ScaleCrop>
  <HeadingPairs>
    <vt:vector size="6" baseType="variant">
      <vt:variant>
        <vt:lpstr>Title</vt:lpstr>
      </vt:variant>
      <vt:variant>
        <vt:i4>1</vt:i4>
      </vt:variant>
      <vt:variant>
        <vt:lpstr>Название</vt:lpstr>
      </vt:variant>
      <vt:variant>
        <vt:i4>1</vt:i4>
      </vt:variant>
      <vt:variant>
        <vt:lpstr>Título</vt:lpstr>
      </vt:variant>
      <vt:variant>
        <vt:i4>1</vt:i4>
      </vt:variant>
    </vt:vector>
  </HeadingPairs>
  <TitlesOfParts>
    <vt:vector size="3" baseType="lpstr">
      <vt:lpstr>ECE/RCTE/CONF/4/Add.1/Rev.2</vt:lpstr>
      <vt:lpstr>ECE/RCTE/CONF/4/Add.1/Rev.2</vt:lpstr>
      <vt:lpstr>A/</vt:lpstr>
    </vt:vector>
  </TitlesOfParts>
  <Company>DCM</Company>
  <LinksUpToDate>false</LinksUpToDate>
  <CharactersWithSpaces>19459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ECE/RCTE/CONF/4/Add.1/Rev.2</dc:title>
  <dc:subject/>
  <dc:creator>Elena IZOTOVA</dc:creator>
  <cp:keywords/>
  <cp:lastModifiedBy>Marie-Claude Collet</cp:lastModifiedBy>
  <cp:revision>3</cp:revision>
  <cp:lastPrinted>2018-12-31T12:11:00Z</cp:lastPrinted>
  <dcterms:created xsi:type="dcterms:W3CDTF">2018-12-31T12:10:00Z</dcterms:created>
  <dcterms:modified xsi:type="dcterms:W3CDTF">2018-12-31T12:11:00Z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ies>
</file>