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F586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F586A" w:rsidP="006F586A">
            <w:pPr>
              <w:jc w:val="right"/>
            </w:pPr>
            <w:r w:rsidRPr="006F586A">
              <w:rPr>
                <w:sz w:val="40"/>
              </w:rPr>
              <w:t>ECE</w:t>
            </w:r>
            <w:r>
              <w:t>/TRANS/WP.29/GRSG/2020/15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F586A" w:rsidP="00C97039">
            <w:pPr>
              <w:spacing w:before="240"/>
            </w:pPr>
            <w:r>
              <w:t>Distr. générale</w:t>
            </w:r>
          </w:p>
          <w:p w:rsidR="006F586A" w:rsidRDefault="006F586A" w:rsidP="006F586A">
            <w:pPr>
              <w:spacing w:line="240" w:lineRule="exact"/>
            </w:pPr>
            <w:r>
              <w:t>20 janvier 2020</w:t>
            </w:r>
          </w:p>
          <w:p w:rsidR="006F586A" w:rsidRDefault="006F586A" w:rsidP="006F586A">
            <w:pPr>
              <w:spacing w:line="240" w:lineRule="exact"/>
            </w:pPr>
            <w:r>
              <w:t>Français</w:t>
            </w:r>
          </w:p>
          <w:p w:rsidR="006F586A" w:rsidRPr="00DB58B5" w:rsidRDefault="006F586A" w:rsidP="006F586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C7625" w:rsidRDefault="004C7625"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C7625" w:rsidRDefault="004C7625" w:rsidP="00257168">
      <w:pPr>
        <w:spacing w:before="120" w:after="120" w:line="240" w:lineRule="exact"/>
        <w:rPr>
          <w:b/>
        </w:rPr>
      </w:pPr>
      <w:r>
        <w:rPr>
          <w:b/>
        </w:rPr>
        <w:t>Groupe de travail des dispositions générales de sécurité</w:t>
      </w:r>
    </w:p>
    <w:p w:rsidR="004C7625" w:rsidRPr="004C7625" w:rsidRDefault="004C7625" w:rsidP="00257168">
      <w:pPr>
        <w:spacing w:before="120" w:line="240" w:lineRule="exact"/>
        <w:rPr>
          <w:b/>
        </w:rPr>
      </w:pPr>
      <w:r w:rsidRPr="004C7625">
        <w:rPr>
          <w:b/>
        </w:rPr>
        <w:t>118</w:t>
      </w:r>
      <w:r w:rsidRPr="004C7625">
        <w:rPr>
          <w:b/>
          <w:vertAlign w:val="superscript"/>
        </w:rPr>
        <w:t xml:space="preserve">e </w:t>
      </w:r>
      <w:r w:rsidRPr="004C7625">
        <w:rPr>
          <w:b/>
        </w:rPr>
        <w:t>session</w:t>
      </w:r>
    </w:p>
    <w:p w:rsidR="004C7625" w:rsidRDefault="004C7625" w:rsidP="00257168">
      <w:pPr>
        <w:spacing w:line="240" w:lineRule="exact"/>
      </w:pPr>
      <w:r>
        <w:t xml:space="preserve">Genève, </w:t>
      </w:r>
      <w:r w:rsidRPr="004C7625">
        <w:t xml:space="preserve"> </w:t>
      </w:r>
      <w:r w:rsidRPr="000A0F34">
        <w:t>30 mars-3 avril 2020</w:t>
      </w:r>
    </w:p>
    <w:p w:rsidR="004C7625" w:rsidRPr="000A0F34" w:rsidRDefault="004C7625" w:rsidP="004C7625">
      <w:r w:rsidRPr="000A0F34">
        <w:t>Point 3 de l’ordre du jour provisoire</w:t>
      </w:r>
    </w:p>
    <w:p w:rsidR="004C7625" w:rsidRPr="002009E1" w:rsidRDefault="004C7625" w:rsidP="004C7625">
      <w:pPr>
        <w:rPr>
          <w:b/>
        </w:rPr>
      </w:pPr>
      <w:r w:rsidRPr="002009E1">
        <w:rPr>
          <w:b/>
        </w:rPr>
        <w:t xml:space="preserve">Règlement ONU </w:t>
      </w:r>
      <w:r w:rsidR="002009E1" w:rsidRPr="002009E1">
        <w:rPr>
          <w:rFonts w:eastAsia="MS Mincho"/>
          <w:b/>
          <w:szCs w:val="22"/>
        </w:rPr>
        <w:t>n</w:t>
      </w:r>
      <w:r w:rsidR="002009E1" w:rsidRPr="002009E1">
        <w:rPr>
          <w:rFonts w:eastAsia="MS Mincho"/>
          <w:b/>
          <w:szCs w:val="22"/>
          <w:vertAlign w:val="superscript"/>
        </w:rPr>
        <w:t>o</w:t>
      </w:r>
      <w:r w:rsidR="002009E1" w:rsidRPr="002009E1">
        <w:rPr>
          <w:b/>
        </w:rPr>
        <w:t> </w:t>
      </w:r>
      <w:r w:rsidRPr="002009E1">
        <w:rPr>
          <w:b/>
        </w:rPr>
        <w:t>35 (</w:t>
      </w:r>
      <w:bookmarkStart w:id="0" w:name="_Hlk31293525"/>
      <w:r w:rsidRPr="002009E1">
        <w:rPr>
          <w:b/>
        </w:rPr>
        <w:t>Disposition des pédales de commande</w:t>
      </w:r>
      <w:bookmarkEnd w:id="0"/>
      <w:r w:rsidRPr="002009E1">
        <w:rPr>
          <w:b/>
        </w:rPr>
        <w:t>)</w:t>
      </w:r>
    </w:p>
    <w:p w:rsidR="004C7625" w:rsidRPr="000A0F34" w:rsidRDefault="004C7625" w:rsidP="002009E1">
      <w:pPr>
        <w:pStyle w:val="HChG"/>
      </w:pPr>
      <w:r w:rsidRPr="000A0F34">
        <w:tab/>
      </w:r>
      <w:r w:rsidRPr="000A0F34">
        <w:tab/>
        <w:t xml:space="preserve">Proposition de série 01 d’amendements au Règlement </w:t>
      </w:r>
      <w:r w:rsidR="002009E1">
        <w:br/>
      </w:r>
      <w:r w:rsidRPr="000A0F34">
        <w:t xml:space="preserve">ONU </w:t>
      </w:r>
      <w:r w:rsidR="002009E1" w:rsidRPr="002D76F4">
        <w:rPr>
          <w:rFonts w:eastAsia="MS Mincho"/>
          <w:szCs w:val="22"/>
        </w:rPr>
        <w:t>n</w:t>
      </w:r>
      <w:r w:rsidR="002009E1" w:rsidRPr="002D76F4">
        <w:rPr>
          <w:rFonts w:eastAsia="MS Mincho"/>
          <w:szCs w:val="22"/>
          <w:vertAlign w:val="superscript"/>
        </w:rPr>
        <w:t>o</w:t>
      </w:r>
      <w:r w:rsidR="002009E1">
        <w:t> </w:t>
      </w:r>
      <w:r w:rsidRPr="000A0F34">
        <w:t>35 (Disposition des pédales de commande)</w:t>
      </w:r>
    </w:p>
    <w:p w:rsidR="004C7625" w:rsidRPr="000A0F34" w:rsidRDefault="004C7625" w:rsidP="002009E1">
      <w:pPr>
        <w:pStyle w:val="H1G"/>
        <w:rPr>
          <w:vertAlign w:val="superscript"/>
        </w:rPr>
      </w:pPr>
      <w:r w:rsidRPr="000A0F34">
        <w:tab/>
      </w:r>
      <w:r w:rsidRPr="000A0F34">
        <w:tab/>
        <w:t xml:space="preserve">Communication de l’expert de l’Organisation internationale </w:t>
      </w:r>
      <w:r w:rsidR="002009E1">
        <w:br/>
      </w:r>
      <w:r w:rsidRPr="000A0F34">
        <w:t>des constructeurs d’automobiles</w:t>
      </w:r>
      <w:r w:rsidR="002009E1" w:rsidRPr="002009E1">
        <w:rPr>
          <w:rStyle w:val="Appelnotedebasdep"/>
          <w:b w:val="0"/>
          <w:sz w:val="20"/>
          <w:vertAlign w:val="baseline"/>
        </w:rPr>
        <w:footnoteReference w:customMarkFollows="1" w:id="2"/>
        <w:t>*</w:t>
      </w:r>
    </w:p>
    <w:p w:rsidR="004C7625" w:rsidRPr="000A0F34" w:rsidRDefault="004C7625" w:rsidP="002009E1">
      <w:pPr>
        <w:pStyle w:val="SingleTxtG"/>
        <w:ind w:firstLine="567"/>
      </w:pPr>
      <w:r w:rsidRPr="000A0F34">
        <w:t>Le texte ci-après, établi par l’expert de l’Organisation internationale des constructeurs d’automobiles (OICA), vise à préciser la méthode de mesure de la distance latérale séparant les pédales de la «</w:t>
      </w:r>
      <w:r w:rsidR="002009E1">
        <w:t> </w:t>
      </w:r>
      <w:r w:rsidRPr="000A0F34">
        <w:t>paroi</w:t>
      </w:r>
      <w:r w:rsidR="002009E1">
        <w:t> </w:t>
      </w:r>
      <w:r w:rsidRPr="000A0F34">
        <w:t xml:space="preserve">» la plus proche à leur gauche. Il est fondé sur le document ECE/TRANS/WP.29/2019/93, </w:t>
      </w:r>
      <w:r>
        <w:t xml:space="preserve">tel que </w:t>
      </w:r>
      <w:r w:rsidRPr="000A0F34">
        <w:t>soumis à la 179</w:t>
      </w:r>
      <w:r w:rsidRPr="002009E1">
        <w:rPr>
          <w:vertAlign w:val="superscript"/>
        </w:rPr>
        <w:t>e</w:t>
      </w:r>
      <w:r w:rsidRPr="000A0F34">
        <w:t xml:space="preserve"> session du Forum mondial de l’harmonisation des Règlements concernant les véhicules et remanié comme convenu sur la base du document informel GRSG-117-35 à la 117</w:t>
      </w:r>
      <w:r w:rsidRPr="002009E1">
        <w:rPr>
          <w:vertAlign w:val="superscript"/>
        </w:rPr>
        <w:t>e</w:t>
      </w:r>
      <w:r w:rsidR="002009E1">
        <w:t> </w:t>
      </w:r>
      <w:r w:rsidRPr="000A0F34">
        <w:t>session du Groupe de travail des dispositions générales de sécurité (GRSG) (voir rapport ECE/TRANS/</w:t>
      </w:r>
      <w:r w:rsidR="002D29AE">
        <w:br/>
      </w:r>
      <w:r w:rsidRPr="000A0F34">
        <w:t>WP.29/GRSG/96, par. 15</w:t>
      </w:r>
      <w:r w:rsidR="002009E1">
        <w:t xml:space="preserve"> et </w:t>
      </w:r>
      <w:r w:rsidRPr="000A0F34">
        <w:t xml:space="preserve">16). Les modifications qu’il est proposé d’apporter au texte actuel du Règlement ONU </w:t>
      </w:r>
      <w:r w:rsidR="002009E1" w:rsidRPr="002D76F4">
        <w:rPr>
          <w:rFonts w:eastAsia="MS Mincho"/>
          <w:szCs w:val="22"/>
        </w:rPr>
        <w:t>n</w:t>
      </w:r>
      <w:r w:rsidR="002009E1" w:rsidRPr="002D76F4">
        <w:rPr>
          <w:rFonts w:eastAsia="MS Mincho"/>
          <w:szCs w:val="22"/>
          <w:vertAlign w:val="superscript"/>
        </w:rPr>
        <w:t>o</w:t>
      </w:r>
      <w:r w:rsidR="002009E1">
        <w:t> </w:t>
      </w:r>
      <w:r w:rsidRPr="000A0F34">
        <w:t>35 figurent en caractères gras pour les ajouts et biffés pour les suppressions.</w:t>
      </w:r>
    </w:p>
    <w:p w:rsidR="004C7625" w:rsidRPr="000A0F34" w:rsidRDefault="004C7625" w:rsidP="002009E1">
      <w:pPr>
        <w:pStyle w:val="HChG"/>
      </w:pPr>
      <w:r w:rsidRPr="000A0F34">
        <w:br w:type="page"/>
      </w:r>
      <w:r w:rsidR="002009E1">
        <w:lastRenderedPageBreak/>
        <w:tab/>
      </w:r>
      <w:r w:rsidRPr="000A0F34">
        <w:t>I.</w:t>
      </w:r>
      <w:r w:rsidRPr="000A0F34">
        <w:tab/>
        <w:t>Proposition</w:t>
      </w:r>
    </w:p>
    <w:p w:rsidR="004C7625" w:rsidRPr="000A0F34" w:rsidRDefault="004C7625" w:rsidP="002009E1">
      <w:pPr>
        <w:pStyle w:val="SingleTxtG"/>
        <w:rPr>
          <w:lang w:eastAsia="zh-CN"/>
        </w:rPr>
      </w:pPr>
      <w:r w:rsidRPr="002009E1">
        <w:rPr>
          <w:i/>
          <w:lang w:eastAsia="zh-CN"/>
        </w:rPr>
        <w:t>Paragraphe 1, note de bas de page 1</w:t>
      </w:r>
      <w:r w:rsidRPr="000A0F34">
        <w:rPr>
          <w:lang w:eastAsia="zh-CN"/>
        </w:rPr>
        <w:t xml:space="preserve">, </w:t>
      </w:r>
      <w:r w:rsidRPr="000A0F34">
        <w:rPr>
          <w:iCs/>
          <w:lang w:eastAsia="zh-CN"/>
        </w:rPr>
        <w:t>lire</w:t>
      </w:r>
      <w:r w:rsidR="002009E1">
        <w:rPr>
          <w:iCs/>
          <w:lang w:eastAsia="zh-CN"/>
        </w:rPr>
        <w:t> </w:t>
      </w:r>
      <w:r w:rsidRPr="000A0F34">
        <w:rPr>
          <w:iCs/>
          <w:lang w:eastAsia="zh-CN"/>
        </w:rPr>
        <w:t>:</w:t>
      </w:r>
    </w:p>
    <w:p w:rsidR="004C7625" w:rsidRPr="000A0F34" w:rsidRDefault="004C7625" w:rsidP="002009E1">
      <w:pPr>
        <w:pStyle w:val="SingleTxtG"/>
        <w:ind w:left="1135" w:hanging="284"/>
      </w:pPr>
      <w:r w:rsidRPr="000A0F34">
        <w:rPr>
          <w:vertAlign w:val="superscript"/>
        </w:rPr>
        <w:t>« 1</w:t>
      </w:r>
      <w:r w:rsidRPr="000A0F34">
        <w:rPr>
          <w:vertAlign w:val="superscript"/>
        </w:rPr>
        <w:tab/>
      </w:r>
      <w:r w:rsidRPr="00167158">
        <w:rPr>
          <w:b/>
        </w:rPr>
        <w:t>Selon les définitions de la Résolution d’ensemble sur la construction des véhicules (R.E.3), document ECE/TRANS/WP.29/78/Rev.6, par. 2 − www.unece.org/trans/main/</w:t>
      </w:r>
      <w:r w:rsidR="00713A96">
        <w:rPr>
          <w:b/>
        </w:rPr>
        <w:br/>
      </w:r>
      <w:r w:rsidRPr="00167158">
        <w:rPr>
          <w:b/>
        </w:rPr>
        <w:t>wp29/wp29wgs/wp29gen/wp29resolutions.html.</w:t>
      </w:r>
      <w:r>
        <w:t> »</w:t>
      </w:r>
      <w:r w:rsidR="00167158">
        <w:t>.</w:t>
      </w:r>
    </w:p>
    <w:p w:rsidR="004C7625" w:rsidRPr="000A0F34" w:rsidRDefault="004C7625" w:rsidP="00167158">
      <w:pPr>
        <w:pStyle w:val="SingleTxtG"/>
        <w:rPr>
          <w:rFonts w:eastAsia="DengXian"/>
          <w:lang w:eastAsia="zh-CN"/>
        </w:rPr>
      </w:pPr>
      <w:r w:rsidRPr="000A0F34">
        <w:rPr>
          <w:rFonts w:eastAsia="DengXian"/>
          <w:i/>
          <w:lang w:eastAsia="zh-CN"/>
        </w:rPr>
        <w:t>Paragraphe 4.2</w:t>
      </w:r>
      <w:r w:rsidRPr="000A0F34">
        <w:rPr>
          <w:rFonts w:eastAsia="DengXian"/>
          <w:lang w:eastAsia="zh-CN"/>
        </w:rPr>
        <w:t>, lire</w:t>
      </w:r>
      <w:r w:rsidR="00167158">
        <w:rPr>
          <w:rFonts w:eastAsia="DengXian"/>
          <w:lang w:eastAsia="zh-CN"/>
        </w:rPr>
        <w:t> </w:t>
      </w:r>
      <w:r w:rsidRPr="000A0F34">
        <w:rPr>
          <w:rFonts w:eastAsia="DengXian"/>
          <w:lang w:eastAsia="zh-CN"/>
        </w:rPr>
        <w:t>:</w:t>
      </w:r>
    </w:p>
    <w:p w:rsidR="004C7625" w:rsidRPr="000A0F34" w:rsidRDefault="004C7625" w:rsidP="00167158">
      <w:pPr>
        <w:pStyle w:val="SingleTxtG"/>
        <w:ind w:left="2268" w:hanging="1134"/>
      </w:pPr>
      <w:r>
        <w:t>« </w:t>
      </w:r>
      <w:r w:rsidRPr="000A0F34">
        <w:t>4.2</w:t>
      </w:r>
      <w:r w:rsidRPr="000A0F34">
        <w:tab/>
      </w:r>
      <w:r w:rsidRPr="006A743C">
        <w:t>Les deux premiers chiffres (</w:t>
      </w:r>
      <w:r w:rsidRPr="00713A96">
        <w:rPr>
          <w:b/>
        </w:rPr>
        <w:t>actuellement 01</w:t>
      </w:r>
      <w:r w:rsidRPr="006A743C">
        <w:t xml:space="preserve">) </w:t>
      </w:r>
      <w:r w:rsidRPr="000A0F34">
        <w:rPr>
          <w:bCs/>
          <w:strike/>
          <w:color w:val="333333"/>
        </w:rPr>
        <w:t>(</w:t>
      </w:r>
      <w:r w:rsidRPr="006A743C">
        <w:rPr>
          <w:bCs/>
          <w:strike/>
          <w:color w:val="333333"/>
        </w:rPr>
        <w:t>actuellement 00 pour le Règlement dans sa forme originale</w:t>
      </w:r>
      <w:r w:rsidRPr="000A0F34">
        <w:rPr>
          <w:bCs/>
          <w:strike/>
          <w:color w:val="333333"/>
        </w:rPr>
        <w:t>)</w:t>
      </w:r>
      <w:r w:rsidRPr="006A743C">
        <w:rPr>
          <w:rFonts w:ascii="Arial" w:hAnsi="Arial" w:cs="Arial"/>
          <w:color w:val="333333"/>
        </w:rPr>
        <w:t xml:space="preserve"> </w:t>
      </w:r>
      <w:r w:rsidRPr="006A743C">
        <w:t>indiquent la série d’amendements correspondant aux plus récentes modifications techniques apportées au Règlement ONU à la date de délivrance de l’homologation.</w:t>
      </w:r>
      <w:r w:rsidRPr="000A0F34">
        <w:t xml:space="preserve"> </w:t>
      </w:r>
      <w:r w:rsidRPr="006A743C">
        <w:t>Une même Partie contractante ne peut pas attribuer ce numéro à un autre type de véhicule.</w:t>
      </w:r>
      <w:r>
        <w:t> »</w:t>
      </w:r>
      <w:r w:rsidR="004C3BA4">
        <w:t>.</w:t>
      </w:r>
    </w:p>
    <w:p w:rsidR="004C7625" w:rsidRPr="000A0F34" w:rsidRDefault="004C7625" w:rsidP="00167158">
      <w:pPr>
        <w:pStyle w:val="SingleTxtG"/>
      </w:pPr>
      <w:r w:rsidRPr="000A0F34">
        <w:rPr>
          <w:i/>
          <w:iCs/>
        </w:rPr>
        <w:t>Paragraphe 4.4.1, note de bas de page 2</w:t>
      </w:r>
      <w:r w:rsidRPr="000A0F34">
        <w:t>, lire</w:t>
      </w:r>
      <w:r w:rsidR="00167158">
        <w:t> </w:t>
      </w:r>
      <w:r w:rsidRPr="000A0F34">
        <w:t>:</w:t>
      </w:r>
    </w:p>
    <w:p w:rsidR="004C7625" w:rsidRPr="00167158" w:rsidRDefault="004C7625" w:rsidP="00167158">
      <w:pPr>
        <w:pStyle w:val="SingleTxtG"/>
        <w:ind w:left="1135" w:hanging="284"/>
      </w:pPr>
      <w:r>
        <w:rPr>
          <w:sz w:val="24"/>
          <w:vertAlign w:val="superscript"/>
        </w:rPr>
        <w:t>« </w:t>
      </w:r>
      <w:r w:rsidRPr="000A0F34">
        <w:rPr>
          <w:sz w:val="24"/>
          <w:vertAlign w:val="superscript"/>
        </w:rPr>
        <w:t>2</w:t>
      </w:r>
      <w:r w:rsidRPr="000A0F34">
        <w:rPr>
          <w:sz w:val="24"/>
          <w:vertAlign w:val="superscript"/>
        </w:rPr>
        <w:tab/>
      </w:r>
      <w:r w:rsidRPr="00167158">
        <w:rPr>
          <w:b/>
        </w:rPr>
        <w:t>La liste des numéros distinctifs des Parties contractantes à l’Accord de 1958 est reproduite à l’annexe 3 de la Résolution d’ensemble sur la construction des véhicules (R.E.3), document ECE/TRANS/WP.29/78/Rev.6, annexe 3 − www.unece.org/trans/</w:t>
      </w:r>
      <w:r w:rsidR="00713A96">
        <w:rPr>
          <w:b/>
        </w:rPr>
        <w:br/>
      </w:r>
      <w:r w:rsidRPr="00167158">
        <w:rPr>
          <w:b/>
        </w:rPr>
        <w:t>main/wp29/wp29wgs/ wp29gen/wp29resolutions.html.</w:t>
      </w:r>
      <w:r w:rsidRPr="00167158">
        <w:t> »</w:t>
      </w:r>
      <w:r w:rsidR="00167158">
        <w:t>.</w:t>
      </w:r>
    </w:p>
    <w:p w:rsidR="004C7625" w:rsidRPr="00167158" w:rsidRDefault="004C7625" w:rsidP="00167158">
      <w:pPr>
        <w:pStyle w:val="SingleTxtG"/>
        <w:rPr>
          <w:rFonts w:eastAsia="DengXian"/>
          <w:i/>
          <w:lang w:eastAsia="zh-CN"/>
        </w:rPr>
      </w:pPr>
      <w:r w:rsidRPr="000A0F34">
        <w:rPr>
          <w:rFonts w:eastAsia="DengXian"/>
          <w:i/>
          <w:lang w:eastAsia="zh-CN"/>
        </w:rPr>
        <w:t>Paragraphe 5.5</w:t>
      </w:r>
      <w:r w:rsidRPr="000A0F34">
        <w:rPr>
          <w:rFonts w:eastAsia="DengXian"/>
          <w:lang w:eastAsia="zh-CN"/>
        </w:rPr>
        <w:t>, lire</w:t>
      </w:r>
      <w:r w:rsidR="00167158">
        <w:rPr>
          <w:rFonts w:eastAsia="DengXian"/>
          <w:lang w:eastAsia="zh-CN"/>
        </w:rPr>
        <w:t> </w:t>
      </w:r>
      <w:r w:rsidRPr="000A0F34">
        <w:rPr>
          <w:rFonts w:eastAsia="DengXian"/>
          <w:lang w:eastAsia="zh-CN"/>
        </w:rPr>
        <w:t>:</w:t>
      </w:r>
    </w:p>
    <w:p w:rsidR="004C7625" w:rsidRPr="000A0F34" w:rsidRDefault="004C7625" w:rsidP="00167158">
      <w:pPr>
        <w:pStyle w:val="SingleTxtG"/>
        <w:ind w:left="2268" w:hanging="1134"/>
        <w:rPr>
          <w:rFonts w:eastAsia="DengXian"/>
          <w:i/>
          <w:lang w:eastAsia="zh-CN"/>
        </w:rPr>
      </w:pPr>
      <w:r>
        <w:rPr>
          <w:rFonts w:eastAsia="DengXian"/>
          <w:iCs/>
          <w:lang w:eastAsia="zh-CN"/>
        </w:rPr>
        <w:t>« </w:t>
      </w:r>
      <w:r w:rsidRPr="000A0F34">
        <w:rPr>
          <w:rFonts w:eastAsia="DengXian"/>
          <w:lang w:eastAsia="zh-CN"/>
        </w:rPr>
        <w:t>5.5</w:t>
      </w:r>
      <w:r w:rsidRPr="000A0F34">
        <w:rPr>
          <w:rFonts w:eastAsia="DengXian"/>
          <w:lang w:eastAsia="zh-CN"/>
        </w:rPr>
        <w:tab/>
      </w:r>
      <w:r>
        <w:rPr>
          <w:rFonts w:eastAsia="DengXian"/>
          <w:lang w:eastAsia="zh-CN"/>
        </w:rPr>
        <w:t xml:space="preserve">La distance entre les projections orthogonales des surfaces d’appui de la pédale du frein de service et la pédale d’embrayage sur le plan de référence </w:t>
      </w:r>
      <w:r w:rsidRPr="00953DCD">
        <w:rPr>
          <w:rFonts w:eastAsia="DengXian"/>
          <w:lang w:eastAsia="zh-CN"/>
        </w:rPr>
        <w:t>"P"</w:t>
      </w:r>
      <w:r>
        <w:rPr>
          <w:rFonts w:eastAsia="DengXian"/>
          <w:lang w:eastAsia="zh-CN"/>
        </w:rPr>
        <w:t xml:space="preserve">, </w:t>
      </w:r>
      <w:bookmarkStart w:id="1" w:name="_Hlk31296444"/>
      <w:r w:rsidRPr="00713A96">
        <w:rPr>
          <w:rFonts w:eastAsia="DengXian"/>
          <w:b/>
          <w:color w:val="000000" w:themeColor="text1"/>
          <w:lang w:eastAsia="zh-CN"/>
        </w:rPr>
        <w:t xml:space="preserve">indiquée comme </w:t>
      </w:r>
      <w:r w:rsidRPr="00713A96">
        <w:rPr>
          <w:b/>
          <w:color w:val="000000" w:themeColor="text1"/>
        </w:rPr>
        <w:t>"F" dans l’</w:t>
      </w:r>
      <w:hyperlink r:id="rId9" w:anchor="A4_" w:history="1">
        <w:r w:rsidRPr="00713A96">
          <w:rPr>
            <w:rStyle w:val="Lienhypertexte"/>
            <w:b/>
            <w:color w:val="000000" w:themeColor="text1"/>
            <w:szCs w:val="24"/>
          </w:rPr>
          <w:t>annexe 4</w:t>
        </w:r>
      </w:hyperlink>
      <w:r w:rsidRPr="000A0F34">
        <w:t>,</w:t>
      </w:r>
      <w:r>
        <w:t xml:space="preserve"> </w:t>
      </w:r>
      <w:bookmarkEnd w:id="1"/>
      <w:r w:rsidRPr="00953DCD">
        <w:t>doit être</w:t>
      </w:r>
      <w:r w:rsidRPr="000A0F34">
        <w:t xml:space="preserve"> </w:t>
      </w:r>
      <w:r w:rsidRPr="000A0F34">
        <w:rPr>
          <w:rFonts w:eastAsia="DengXian"/>
          <w:lang w:eastAsia="zh-CN"/>
        </w:rPr>
        <w:t>≥ 50 mm.</w:t>
      </w:r>
      <w:r>
        <w:rPr>
          <w:rFonts w:eastAsia="DengXian"/>
          <w:iCs/>
          <w:lang w:eastAsia="zh-CN"/>
        </w:rPr>
        <w:t> »</w:t>
      </w:r>
    </w:p>
    <w:p w:rsidR="004C7625" w:rsidRPr="000A0F34" w:rsidRDefault="004C7625" w:rsidP="00167158">
      <w:pPr>
        <w:pStyle w:val="SingleTxtG"/>
        <w:rPr>
          <w:rFonts w:eastAsia="DengXian"/>
          <w:i/>
          <w:lang w:eastAsia="zh-CN"/>
        </w:rPr>
      </w:pPr>
      <w:r w:rsidRPr="000A0F34">
        <w:rPr>
          <w:rFonts w:eastAsia="DengXian"/>
          <w:i/>
          <w:lang w:eastAsia="zh-CN"/>
        </w:rPr>
        <w:t>Paragraphe 5.6</w:t>
      </w:r>
      <w:r w:rsidRPr="000A0F34">
        <w:rPr>
          <w:rFonts w:eastAsia="DengXian"/>
          <w:lang w:eastAsia="zh-CN"/>
        </w:rPr>
        <w:t>, lire</w:t>
      </w:r>
      <w:r w:rsidR="00167158">
        <w:rPr>
          <w:rFonts w:eastAsia="DengXian"/>
          <w:lang w:eastAsia="zh-CN"/>
        </w:rPr>
        <w:t> </w:t>
      </w:r>
      <w:r w:rsidRPr="000A0F34">
        <w:rPr>
          <w:rFonts w:eastAsia="DengXian"/>
          <w:lang w:eastAsia="zh-CN"/>
        </w:rPr>
        <w:t>:</w:t>
      </w:r>
    </w:p>
    <w:p w:rsidR="004C7625" w:rsidRPr="000A0F34" w:rsidRDefault="004C7625" w:rsidP="00167158">
      <w:pPr>
        <w:pStyle w:val="SingleTxtG"/>
        <w:ind w:left="2268" w:hanging="1134"/>
        <w:rPr>
          <w:rFonts w:eastAsia="DengXian"/>
          <w:i/>
          <w:lang w:eastAsia="zh-CN"/>
        </w:rPr>
      </w:pPr>
      <w:r>
        <w:rPr>
          <w:rFonts w:eastAsia="DengXian"/>
          <w:iCs/>
          <w:lang w:eastAsia="zh-CN"/>
        </w:rPr>
        <w:t>« </w:t>
      </w:r>
      <w:r w:rsidRPr="000A0F34">
        <w:rPr>
          <w:rFonts w:eastAsia="DengXian"/>
          <w:lang w:eastAsia="zh-CN"/>
        </w:rPr>
        <w:t>5.6</w:t>
      </w:r>
      <w:r w:rsidRPr="000A0F34">
        <w:rPr>
          <w:rFonts w:eastAsia="DengXian"/>
          <w:lang w:eastAsia="zh-CN"/>
        </w:rPr>
        <w:tab/>
      </w:r>
      <w:r>
        <w:rPr>
          <w:rFonts w:eastAsia="DengXian"/>
          <w:lang w:eastAsia="zh-CN"/>
        </w:rPr>
        <w:t xml:space="preserve">La distance entre les </w:t>
      </w:r>
      <w:bookmarkStart w:id="2" w:name="_Hlk31297215"/>
      <w:r>
        <w:rPr>
          <w:rFonts w:eastAsia="DengXian"/>
          <w:lang w:eastAsia="zh-CN"/>
        </w:rPr>
        <w:t xml:space="preserve">points du contour de la projection </w:t>
      </w:r>
      <w:bookmarkEnd w:id="2"/>
      <w:r>
        <w:rPr>
          <w:rFonts w:eastAsia="DengXian"/>
          <w:lang w:eastAsia="zh-CN"/>
        </w:rPr>
        <w:t xml:space="preserve">de la pédale d’embrayage sur le plan de référence </w:t>
      </w:r>
      <w:r w:rsidRPr="00953DCD">
        <w:rPr>
          <w:rFonts w:eastAsia="DengXian"/>
          <w:lang w:eastAsia="zh-CN"/>
        </w:rPr>
        <w:t>"P"</w:t>
      </w:r>
      <w:r>
        <w:rPr>
          <w:rFonts w:eastAsia="DengXian"/>
          <w:lang w:eastAsia="zh-CN"/>
        </w:rPr>
        <w:t xml:space="preserve"> et l’intersection de la paroi la plus proche avec ce plan</w:t>
      </w:r>
      <w:r w:rsidRPr="000A0F34">
        <w:t xml:space="preserve">, </w:t>
      </w:r>
      <w:r w:rsidRPr="00713A96">
        <w:rPr>
          <w:b/>
        </w:rPr>
        <w:t>indiquée comme "G" dans l’annexe 4</w:t>
      </w:r>
      <w:r w:rsidRPr="00953DCD">
        <w:t>,</w:t>
      </w:r>
      <w:r w:rsidRPr="000A0F34">
        <w:t xml:space="preserve"> </w:t>
      </w:r>
      <w:r>
        <w:rPr>
          <w:rFonts w:eastAsia="DengXian"/>
          <w:lang w:eastAsia="zh-CN"/>
        </w:rPr>
        <w:t>doit être</w:t>
      </w:r>
      <w:r w:rsidR="00B570EB">
        <w:rPr>
          <w:rFonts w:eastAsia="DengXian"/>
          <w:lang w:eastAsia="zh-CN"/>
        </w:rPr>
        <w:t> </w:t>
      </w:r>
      <w:r w:rsidRPr="000A0F34">
        <w:rPr>
          <w:rFonts w:eastAsia="DengXian"/>
          <w:lang w:eastAsia="zh-CN"/>
        </w:rPr>
        <w:t>≥</w:t>
      </w:r>
      <w:r w:rsidR="00B570EB">
        <w:rPr>
          <w:rFonts w:eastAsia="DengXian"/>
          <w:lang w:eastAsia="zh-CN"/>
        </w:rPr>
        <w:t> </w:t>
      </w:r>
      <w:r w:rsidRPr="000A0F34">
        <w:rPr>
          <w:rFonts w:eastAsia="DengXian"/>
          <w:lang w:eastAsia="zh-CN"/>
        </w:rPr>
        <w:t>50</w:t>
      </w:r>
      <w:r w:rsidR="00B570EB">
        <w:rPr>
          <w:rFonts w:eastAsia="DengXian"/>
          <w:lang w:eastAsia="zh-CN"/>
        </w:rPr>
        <w:t> </w:t>
      </w:r>
      <w:r w:rsidRPr="000A0F34">
        <w:rPr>
          <w:rFonts w:eastAsia="DengXian"/>
          <w:lang w:eastAsia="zh-CN"/>
        </w:rPr>
        <w:t>mm.</w:t>
      </w:r>
      <w:r>
        <w:rPr>
          <w:rFonts w:eastAsia="DengXian"/>
          <w:iCs/>
          <w:lang w:eastAsia="zh-CN"/>
        </w:rPr>
        <w:t> »</w:t>
      </w:r>
    </w:p>
    <w:p w:rsidR="004C7625" w:rsidRPr="000A0F34" w:rsidRDefault="004C7625" w:rsidP="00167158">
      <w:pPr>
        <w:pStyle w:val="SingleTxtG"/>
        <w:rPr>
          <w:rFonts w:eastAsia="DengXian"/>
          <w:lang w:eastAsia="zh-CN"/>
        </w:rPr>
      </w:pPr>
      <w:r w:rsidRPr="000A0F34">
        <w:rPr>
          <w:rFonts w:eastAsia="DengXian"/>
          <w:i/>
          <w:lang w:eastAsia="zh-CN"/>
        </w:rPr>
        <w:t>Paragraphe 5.7</w:t>
      </w:r>
      <w:r w:rsidRPr="000A0F34">
        <w:rPr>
          <w:rFonts w:eastAsia="DengXian"/>
          <w:lang w:eastAsia="zh-CN"/>
        </w:rPr>
        <w:t>, lire</w:t>
      </w:r>
      <w:r w:rsidR="00167158">
        <w:rPr>
          <w:rFonts w:eastAsia="DengXian"/>
          <w:lang w:eastAsia="zh-CN"/>
        </w:rPr>
        <w:t> </w:t>
      </w:r>
      <w:r w:rsidRPr="000A0F34">
        <w:rPr>
          <w:rFonts w:eastAsia="DengXian"/>
          <w:lang w:eastAsia="zh-CN"/>
        </w:rPr>
        <w:t>:</w:t>
      </w:r>
    </w:p>
    <w:p w:rsidR="004C7625" w:rsidRPr="000A0F34" w:rsidRDefault="004C7625" w:rsidP="00167158">
      <w:pPr>
        <w:pStyle w:val="SingleTxtG"/>
        <w:ind w:left="2268" w:hanging="1134"/>
        <w:rPr>
          <w:rFonts w:eastAsia="DengXian"/>
          <w:i/>
          <w:lang w:eastAsia="zh-CN"/>
        </w:rPr>
      </w:pPr>
      <w:r>
        <w:rPr>
          <w:rFonts w:eastAsia="DengXian"/>
          <w:lang w:eastAsia="zh-CN"/>
        </w:rPr>
        <w:t>« </w:t>
      </w:r>
      <w:r w:rsidRPr="000A0F34">
        <w:rPr>
          <w:rFonts w:eastAsia="DengXian"/>
          <w:lang w:eastAsia="zh-CN"/>
        </w:rPr>
        <w:t>5.7</w:t>
      </w:r>
      <w:r w:rsidRPr="000A0F34">
        <w:rPr>
          <w:rFonts w:eastAsia="DengXian"/>
          <w:lang w:eastAsia="zh-CN"/>
        </w:rPr>
        <w:tab/>
      </w:r>
      <w:r>
        <w:rPr>
          <w:rFonts w:eastAsia="DengXian"/>
          <w:lang w:eastAsia="zh-CN"/>
        </w:rPr>
        <w:t xml:space="preserve">Les distances entre la projection de la pédale du frein de service sur le plan de référence </w:t>
      </w:r>
      <w:r w:rsidRPr="00113797">
        <w:rPr>
          <w:rFonts w:eastAsia="DengXian"/>
          <w:lang w:eastAsia="zh-CN"/>
        </w:rPr>
        <w:t>"P"</w:t>
      </w:r>
      <w:r>
        <w:rPr>
          <w:rFonts w:eastAsia="DengXian"/>
          <w:lang w:eastAsia="zh-CN"/>
        </w:rPr>
        <w:t xml:space="preserve"> et l’intersection de chacune des parois avec ce plan, indiquées respectivement comme </w:t>
      </w:r>
      <w:r w:rsidRPr="000A0F34">
        <w:rPr>
          <w:rFonts w:eastAsia="DengXian"/>
          <w:lang w:eastAsia="zh-CN"/>
        </w:rPr>
        <w:t xml:space="preserve">"H" </w:t>
      </w:r>
      <w:r>
        <w:rPr>
          <w:rFonts w:eastAsia="DengXian"/>
          <w:lang w:eastAsia="zh-CN"/>
        </w:rPr>
        <w:t>et</w:t>
      </w:r>
      <w:r w:rsidRPr="000A0F34">
        <w:rPr>
          <w:rFonts w:eastAsia="DengXian"/>
          <w:lang w:eastAsia="zh-CN"/>
        </w:rPr>
        <w:t xml:space="preserve"> "J" </w:t>
      </w:r>
      <w:r>
        <w:rPr>
          <w:rFonts w:eastAsia="DengXian"/>
          <w:lang w:eastAsia="zh-CN"/>
        </w:rPr>
        <w:t>dans l’annexe</w:t>
      </w:r>
      <w:r w:rsidRPr="000A0F34">
        <w:rPr>
          <w:rFonts w:eastAsia="DengXian"/>
          <w:lang w:eastAsia="zh-CN"/>
        </w:rPr>
        <w:t xml:space="preserve"> Annex</w:t>
      </w:r>
      <w:r w:rsidR="002D29AE">
        <w:rPr>
          <w:rFonts w:eastAsia="DengXian"/>
          <w:lang w:eastAsia="zh-CN"/>
        </w:rPr>
        <w:t> </w:t>
      </w:r>
      <w:r w:rsidRPr="000A0F34">
        <w:rPr>
          <w:rFonts w:eastAsia="DengXian"/>
          <w:lang w:eastAsia="zh-CN"/>
        </w:rPr>
        <w:t xml:space="preserve">4, </w:t>
      </w:r>
      <w:r>
        <w:rPr>
          <w:rFonts w:eastAsia="DengXian"/>
          <w:lang w:eastAsia="zh-CN"/>
        </w:rPr>
        <w:t xml:space="preserve">doivent être </w:t>
      </w:r>
      <w:r w:rsidRPr="000A0F34">
        <w:rPr>
          <w:rFonts w:eastAsia="DengXian"/>
          <w:lang w:eastAsia="zh-CN"/>
        </w:rPr>
        <w:t>≥</w:t>
      </w:r>
      <w:r w:rsidR="002D29AE">
        <w:rPr>
          <w:rFonts w:eastAsia="DengXian"/>
          <w:lang w:eastAsia="zh-CN"/>
        </w:rPr>
        <w:t> </w:t>
      </w:r>
      <w:r w:rsidRPr="000A0F34">
        <w:rPr>
          <w:rFonts w:eastAsia="DengXian"/>
          <w:lang w:eastAsia="zh-CN"/>
        </w:rPr>
        <w:t xml:space="preserve">130 mm </w:t>
      </w:r>
      <w:r>
        <w:rPr>
          <w:rFonts w:eastAsia="DengXian"/>
          <w:lang w:eastAsia="zh-CN"/>
        </w:rPr>
        <w:t xml:space="preserve">vers la droite et </w:t>
      </w:r>
      <w:r w:rsidRPr="000A0F34">
        <w:rPr>
          <w:rFonts w:eastAsia="DengXian"/>
          <w:lang w:eastAsia="zh-CN"/>
        </w:rPr>
        <w:t xml:space="preserve">≥ 160 mm </w:t>
      </w:r>
      <w:r>
        <w:rPr>
          <w:rFonts w:eastAsia="DengXian"/>
          <w:lang w:eastAsia="zh-CN"/>
        </w:rPr>
        <w:t xml:space="preserve">vers la gauche pour les véhicules à trois pédales, et </w:t>
      </w:r>
      <w:r w:rsidRPr="000A0F34">
        <w:rPr>
          <w:rFonts w:eastAsia="DengXian"/>
          <w:lang w:eastAsia="zh-CN"/>
        </w:rPr>
        <w:t xml:space="preserve">≥ 130 mm </w:t>
      </w:r>
      <w:r>
        <w:rPr>
          <w:rFonts w:eastAsia="DengXian"/>
          <w:lang w:eastAsia="zh-CN"/>
        </w:rPr>
        <w:t xml:space="preserve">vers la droite et </w:t>
      </w:r>
      <w:r w:rsidRPr="000A0F34">
        <w:rPr>
          <w:rFonts w:eastAsia="DengXian"/>
          <w:lang w:eastAsia="zh-CN"/>
        </w:rPr>
        <w:t xml:space="preserve">≥ 120 mm </w:t>
      </w:r>
      <w:r>
        <w:rPr>
          <w:rFonts w:eastAsia="DengXian"/>
          <w:lang w:eastAsia="zh-CN"/>
        </w:rPr>
        <w:t>vers la gauche pour les véhicules à deux pédales</w:t>
      </w:r>
      <w:r w:rsidRPr="000A0F34">
        <w:rPr>
          <w:rFonts w:eastAsia="DengXian"/>
          <w:lang w:eastAsia="zh-CN"/>
        </w:rPr>
        <w:t>.</w:t>
      </w:r>
    </w:p>
    <w:p w:rsidR="004C7625" w:rsidRPr="00A66D73" w:rsidRDefault="004C7625" w:rsidP="00713A96">
      <w:pPr>
        <w:pStyle w:val="SingleTxtG"/>
        <w:ind w:left="2268"/>
        <w:rPr>
          <w:rFonts w:eastAsia="DengXian"/>
          <w:b/>
          <w:bCs/>
          <w:iCs/>
          <w:lang w:eastAsia="zh-CN"/>
        </w:rPr>
      </w:pPr>
      <w:r w:rsidRPr="00A66D73">
        <w:rPr>
          <w:rFonts w:eastAsia="DengXian"/>
          <w:b/>
          <w:bCs/>
          <w:lang w:eastAsia="zh-CN"/>
        </w:rPr>
        <w:tab/>
        <w:t xml:space="preserve">Dans le cas d’un repose-pied déclaré par le constructeur, installé pour le pied gauche du conducteur, les mesures </w:t>
      </w:r>
      <w:r w:rsidRPr="008C6077">
        <w:rPr>
          <w:rFonts w:eastAsia="DengXian"/>
          <w:b/>
          <w:bCs/>
          <w:lang w:eastAsia="zh-CN"/>
        </w:rPr>
        <w:t>pou</w:t>
      </w:r>
      <w:r w:rsidRPr="00A66D73">
        <w:rPr>
          <w:rFonts w:eastAsia="DengXian"/>
          <w:b/>
          <w:bCs/>
          <w:lang w:eastAsia="zh-CN"/>
        </w:rPr>
        <w:t xml:space="preserve">r </w:t>
      </w:r>
      <w:r w:rsidR="008C6077" w:rsidRPr="008C6077">
        <w:rPr>
          <w:rFonts w:eastAsia="DengXian"/>
          <w:b/>
          <w:bCs/>
          <w:lang w:eastAsia="zh-CN"/>
        </w:rPr>
        <w:t>"</w:t>
      </w:r>
      <w:r w:rsidRPr="008C6077">
        <w:rPr>
          <w:rFonts w:eastAsia="DengXian"/>
          <w:b/>
          <w:bCs/>
          <w:lang w:eastAsia="zh-CN"/>
        </w:rPr>
        <w:t>J</w:t>
      </w:r>
      <w:r w:rsidR="008C6077" w:rsidRPr="008C6077">
        <w:rPr>
          <w:rFonts w:eastAsia="DengXian"/>
          <w:b/>
          <w:bCs/>
          <w:lang w:eastAsia="zh-CN"/>
        </w:rPr>
        <w:t>"</w:t>
      </w:r>
      <w:r w:rsidRPr="008C6077">
        <w:rPr>
          <w:rFonts w:eastAsia="DengXian"/>
          <w:b/>
          <w:bCs/>
          <w:lang w:eastAsia="zh-CN"/>
        </w:rPr>
        <w:t xml:space="preserve"> et </w:t>
      </w:r>
      <w:r w:rsidR="008C6077" w:rsidRPr="008C6077">
        <w:rPr>
          <w:rFonts w:eastAsia="DengXian"/>
          <w:b/>
          <w:bCs/>
          <w:lang w:eastAsia="zh-CN"/>
        </w:rPr>
        <w:t>"</w:t>
      </w:r>
      <w:r w:rsidRPr="008C6077">
        <w:rPr>
          <w:rFonts w:eastAsia="DengXian"/>
          <w:b/>
          <w:bCs/>
          <w:lang w:eastAsia="zh-CN"/>
        </w:rPr>
        <w:t>G</w:t>
      </w:r>
      <w:r w:rsidR="008C6077" w:rsidRPr="008C6077">
        <w:rPr>
          <w:rFonts w:eastAsia="DengXian"/>
          <w:b/>
          <w:bCs/>
          <w:lang w:eastAsia="zh-CN"/>
        </w:rPr>
        <w:t>"</w:t>
      </w:r>
      <w:r w:rsidRPr="008C6077">
        <w:rPr>
          <w:rFonts w:eastAsia="DengXian"/>
          <w:b/>
          <w:bCs/>
          <w:lang w:eastAsia="zh-CN"/>
        </w:rPr>
        <w:t xml:space="preserve"> de l’annexe 4 ne doivent pas tenir compte du repose-pied. La distance entre</w:t>
      </w:r>
      <w:r w:rsidRPr="00A66D73">
        <w:rPr>
          <w:rFonts w:eastAsia="DengXian"/>
          <w:b/>
          <w:lang w:eastAsia="zh-CN"/>
        </w:rPr>
        <w:t xml:space="preserve"> les points du contour de la projection de la pédale la plus à gauche sur le plan "P" et l’intersection du repose-pied avec le plan "P", indiquée comme "K" dans l’annexe 4, doit être ≥ 50 mm.</w:t>
      </w:r>
      <w:r w:rsidRPr="00A66D73">
        <w:rPr>
          <w:rFonts w:eastAsia="DengXian"/>
          <w:b/>
          <w:bCs/>
          <w:iCs/>
          <w:lang w:eastAsia="zh-CN"/>
        </w:rPr>
        <w:t> »</w:t>
      </w:r>
      <w:r w:rsidR="00A66D73">
        <w:rPr>
          <w:rFonts w:eastAsia="DengXian"/>
          <w:b/>
          <w:bCs/>
          <w:iCs/>
          <w:lang w:eastAsia="zh-CN"/>
        </w:rPr>
        <w:t>.</w:t>
      </w:r>
    </w:p>
    <w:p w:rsidR="004C7625" w:rsidRPr="000A0F34" w:rsidRDefault="004C7625" w:rsidP="00167158">
      <w:pPr>
        <w:pStyle w:val="SingleTxtG"/>
        <w:rPr>
          <w:rFonts w:eastAsia="DengXian"/>
          <w:i/>
          <w:iCs/>
          <w:lang w:eastAsia="zh-CN"/>
        </w:rPr>
      </w:pPr>
      <w:r w:rsidRPr="00713A96">
        <w:rPr>
          <w:rFonts w:eastAsia="DengXian"/>
          <w:lang w:eastAsia="zh-CN"/>
        </w:rPr>
        <w:t>Paragraphe 7</w:t>
      </w:r>
      <w:r w:rsidRPr="000A0F34">
        <w:rPr>
          <w:rFonts w:eastAsia="DengXian"/>
          <w:lang w:eastAsia="zh-CN"/>
        </w:rPr>
        <w:t xml:space="preserve">, </w:t>
      </w:r>
      <w:r w:rsidRPr="00713A96">
        <w:rPr>
          <w:rFonts w:eastAsia="DengXian"/>
          <w:i/>
          <w:iCs/>
          <w:lang w:eastAsia="zh-CN"/>
        </w:rPr>
        <w:t>lire</w:t>
      </w:r>
      <w:r w:rsidR="00167158">
        <w:rPr>
          <w:rFonts w:eastAsia="DengXian"/>
          <w:iCs/>
          <w:lang w:eastAsia="zh-CN"/>
        </w:rPr>
        <w:t> </w:t>
      </w:r>
      <w:r w:rsidRPr="00167158">
        <w:rPr>
          <w:rFonts w:eastAsia="DengXian"/>
          <w:iCs/>
          <w:lang w:eastAsia="zh-CN"/>
        </w:rPr>
        <w:t>:</w:t>
      </w:r>
    </w:p>
    <w:p w:rsidR="004C7625" w:rsidRPr="00167158" w:rsidRDefault="004C7625" w:rsidP="00B570EB">
      <w:pPr>
        <w:pStyle w:val="HChG"/>
        <w:ind w:left="2268"/>
      </w:pPr>
      <w:r w:rsidRPr="00167158">
        <w:t>« 7.</w:t>
      </w:r>
      <w:r w:rsidRPr="00167158">
        <w:tab/>
      </w:r>
      <w:r w:rsidR="00B570EB">
        <w:tab/>
      </w:r>
      <w:r w:rsidRPr="00167158">
        <w:t xml:space="preserve">Procédures de contrôle de la conformité </w:t>
      </w:r>
      <w:r w:rsidR="00713A96">
        <w:br/>
      </w:r>
      <w:r w:rsidRPr="00167158">
        <w:t>de la production</w:t>
      </w:r>
    </w:p>
    <w:p w:rsidR="004C7625" w:rsidRPr="00B570EB" w:rsidRDefault="004C7625" w:rsidP="00167158">
      <w:pPr>
        <w:pStyle w:val="SingleTxtG"/>
        <w:ind w:left="2268"/>
        <w:rPr>
          <w:b/>
          <w:lang w:val="fr-FR"/>
        </w:rPr>
      </w:pPr>
      <w:r w:rsidRPr="00B570EB">
        <w:rPr>
          <w:rFonts w:eastAsia="DengXian"/>
          <w:b/>
          <w:lang w:eastAsia="zh-CN"/>
        </w:rPr>
        <w:t>Les procédures de contrôle de la conformité de la production doivent se confor</w:t>
      </w:r>
      <w:r w:rsidRPr="00B570EB">
        <w:rPr>
          <w:b/>
          <w:lang w:val="fr-FR"/>
        </w:rPr>
        <w:t>mer à celles qui sont établies dans l’Annexe 1 de l’Accord (</w:t>
      </w:r>
      <w:bookmarkStart w:id="3" w:name="_Hlk31297508"/>
      <w:r w:rsidRPr="00B570EB">
        <w:rPr>
          <w:b/>
          <w:lang w:val="fr-FR"/>
        </w:rPr>
        <w:t>E/ECE/TRANS/505/Rev.3</w:t>
      </w:r>
      <w:bookmarkEnd w:id="3"/>
      <w:r w:rsidRPr="00B570EB">
        <w:rPr>
          <w:b/>
          <w:lang w:val="fr-FR"/>
        </w:rPr>
        <w:t>), et respecter les prescriptions suivantes</w:t>
      </w:r>
      <w:r w:rsidR="00B570EB" w:rsidRPr="00B570EB">
        <w:rPr>
          <w:b/>
          <w:lang w:val="fr-FR"/>
        </w:rPr>
        <w:t> </w:t>
      </w:r>
      <w:r w:rsidRPr="00B570EB">
        <w:rPr>
          <w:b/>
          <w:lang w:val="fr-FR"/>
        </w:rPr>
        <w:t>:</w:t>
      </w:r>
    </w:p>
    <w:p w:rsidR="004C7625" w:rsidRPr="00713A96" w:rsidRDefault="004C7625" w:rsidP="00713A96">
      <w:pPr>
        <w:pStyle w:val="SingleTxtG"/>
        <w:ind w:left="2268"/>
        <w:jc w:val="left"/>
        <w:rPr>
          <w:b/>
          <w:lang w:val="fr-FR"/>
        </w:rPr>
      </w:pPr>
      <w:r w:rsidRPr="00713A96">
        <w:rPr>
          <w:b/>
          <w:lang w:val="fr-FR"/>
        </w:rPr>
        <w:t>… »</w:t>
      </w:r>
    </w:p>
    <w:p w:rsidR="004C7625" w:rsidRPr="000A0F34" w:rsidRDefault="004C7625" w:rsidP="000B4FBB">
      <w:pPr>
        <w:pStyle w:val="SingleTxtG"/>
        <w:keepNext/>
        <w:keepLines/>
        <w:rPr>
          <w:rFonts w:eastAsia="DengXian"/>
          <w:lang w:eastAsia="zh-CN"/>
        </w:rPr>
      </w:pPr>
      <w:bookmarkStart w:id="4" w:name="_GoBack"/>
      <w:bookmarkEnd w:id="4"/>
      <w:r w:rsidRPr="000A0F34">
        <w:rPr>
          <w:rFonts w:eastAsia="DengXian"/>
          <w:i/>
          <w:lang w:eastAsia="zh-CN"/>
        </w:rPr>
        <w:lastRenderedPageBreak/>
        <w:t>Ajouter les nouveaux paragraphes 10. à 10.4</w:t>
      </w:r>
      <w:r w:rsidRPr="000A0F34">
        <w:rPr>
          <w:rFonts w:eastAsia="DengXian"/>
          <w:lang w:eastAsia="zh-CN"/>
        </w:rPr>
        <w:t>, comme suit</w:t>
      </w:r>
      <w:r w:rsidR="00167158">
        <w:rPr>
          <w:rFonts w:eastAsia="DengXian"/>
          <w:lang w:eastAsia="zh-CN"/>
        </w:rPr>
        <w:t> </w:t>
      </w:r>
      <w:r w:rsidRPr="000A0F34">
        <w:rPr>
          <w:rFonts w:eastAsia="DengXian"/>
          <w:lang w:eastAsia="zh-CN"/>
        </w:rPr>
        <w:t>:</w:t>
      </w:r>
    </w:p>
    <w:p w:rsidR="004C7625" w:rsidRPr="00B570EB" w:rsidRDefault="004C7625" w:rsidP="000B4FBB">
      <w:pPr>
        <w:pStyle w:val="HChG"/>
        <w:spacing w:before="240"/>
        <w:ind w:left="2268"/>
      </w:pPr>
      <w:r w:rsidRPr="00B570EB">
        <w:t>« 10.</w:t>
      </w:r>
      <w:r w:rsidRPr="00B570EB">
        <w:tab/>
      </w:r>
      <w:r w:rsidRPr="00B570EB">
        <w:tab/>
        <w:t xml:space="preserve">Dispositions transitoires </w:t>
      </w:r>
    </w:p>
    <w:p w:rsidR="004C7625" w:rsidRPr="00B570EB" w:rsidRDefault="004C7625" w:rsidP="000B4FBB">
      <w:pPr>
        <w:pStyle w:val="SingleTxtG"/>
        <w:spacing w:line="230" w:lineRule="atLeast"/>
        <w:ind w:left="2268" w:hanging="1134"/>
        <w:rPr>
          <w:rFonts w:eastAsia="DengXian"/>
          <w:b/>
          <w:bCs/>
          <w:lang w:eastAsia="zh-CN"/>
        </w:rPr>
      </w:pPr>
      <w:r w:rsidRPr="00B570EB">
        <w:rPr>
          <w:rFonts w:eastAsia="DengXian"/>
          <w:b/>
          <w:bCs/>
          <w:lang w:eastAsia="zh-CN"/>
        </w:rPr>
        <w:t>10.1</w:t>
      </w:r>
      <w:r w:rsidRPr="00B570EB">
        <w:rPr>
          <w:rFonts w:eastAsia="DengXian"/>
          <w:b/>
          <w:bCs/>
          <w:lang w:eastAsia="zh-CN"/>
        </w:rPr>
        <w:tab/>
        <w:t>À compter de la date officielle d’entrée en vigueur de la série</w:t>
      </w:r>
      <w:r w:rsidR="00713A96">
        <w:rPr>
          <w:rFonts w:eastAsia="DengXian"/>
          <w:b/>
          <w:bCs/>
          <w:lang w:eastAsia="zh-CN"/>
        </w:rPr>
        <w:t> </w:t>
      </w:r>
      <w:r w:rsidRPr="00B570EB">
        <w:rPr>
          <w:rFonts w:eastAsia="DengXian"/>
          <w:b/>
          <w:bCs/>
          <w:lang w:eastAsia="zh-CN"/>
        </w:rPr>
        <w:t>01 d’amendements au présent Règlement, aucune Partie contractante appliquant le présent Règlement ne pourra refuser d’accorder ou refuser d’accepter des homologations de type accordées au titre du présent Règlement modifié par la série</w:t>
      </w:r>
      <w:r w:rsidR="00713A96">
        <w:rPr>
          <w:rFonts w:eastAsia="DengXian"/>
          <w:b/>
          <w:bCs/>
          <w:lang w:eastAsia="zh-CN"/>
        </w:rPr>
        <w:t> </w:t>
      </w:r>
      <w:r w:rsidRPr="00B570EB">
        <w:rPr>
          <w:rFonts w:eastAsia="DengXian"/>
          <w:b/>
          <w:bCs/>
          <w:lang w:eastAsia="zh-CN"/>
        </w:rPr>
        <w:t>01 d’amendements.</w:t>
      </w:r>
    </w:p>
    <w:p w:rsidR="004C7625" w:rsidRPr="00B570EB" w:rsidRDefault="004C7625" w:rsidP="000B4FBB">
      <w:pPr>
        <w:pStyle w:val="SingleTxtG"/>
        <w:spacing w:line="230" w:lineRule="atLeast"/>
        <w:ind w:left="2268" w:hanging="1134"/>
        <w:rPr>
          <w:rFonts w:eastAsia="DengXian"/>
          <w:b/>
          <w:bCs/>
          <w:lang w:eastAsia="zh-CN"/>
        </w:rPr>
      </w:pPr>
      <w:r w:rsidRPr="00B570EB">
        <w:rPr>
          <w:rFonts w:eastAsia="DengXian"/>
          <w:b/>
          <w:bCs/>
          <w:lang w:eastAsia="zh-CN"/>
        </w:rPr>
        <w:t>10.2</w:t>
      </w:r>
      <w:r w:rsidRPr="00B570EB">
        <w:rPr>
          <w:rFonts w:eastAsia="DengXian"/>
          <w:b/>
          <w:bCs/>
          <w:lang w:eastAsia="zh-CN"/>
        </w:rPr>
        <w:tab/>
        <w:t>À compter du 1</w:t>
      </w:r>
      <w:r w:rsidRPr="00713A96">
        <w:rPr>
          <w:rFonts w:eastAsia="DengXian"/>
          <w:b/>
          <w:bCs/>
          <w:vertAlign w:val="superscript"/>
          <w:lang w:eastAsia="zh-CN"/>
        </w:rPr>
        <w:t>er</w:t>
      </w:r>
      <w:r w:rsidR="00713A96">
        <w:rPr>
          <w:rFonts w:eastAsia="DengXian"/>
          <w:b/>
          <w:bCs/>
          <w:lang w:eastAsia="zh-CN"/>
        </w:rPr>
        <w:t> </w:t>
      </w:r>
      <w:r w:rsidRPr="00B570EB">
        <w:rPr>
          <w:rFonts w:eastAsia="DengXian"/>
          <w:b/>
          <w:bCs/>
          <w:lang w:eastAsia="zh-CN"/>
        </w:rPr>
        <w:t>septembre [2020], les Parties contractantes appliquant le présent Règlement ne seront plus tenues d’accepter les homologations de type établies conformément aux précédentes séries d’amendements délivrées pour la première fois après le 1</w:t>
      </w:r>
      <w:r w:rsidRPr="00D75932">
        <w:rPr>
          <w:rFonts w:eastAsia="DengXian"/>
          <w:b/>
          <w:bCs/>
          <w:vertAlign w:val="superscript"/>
          <w:lang w:eastAsia="zh-CN"/>
        </w:rPr>
        <w:t>er</w:t>
      </w:r>
      <w:r w:rsidR="00D75932">
        <w:rPr>
          <w:rFonts w:eastAsia="DengXian"/>
          <w:b/>
          <w:bCs/>
          <w:lang w:eastAsia="zh-CN"/>
        </w:rPr>
        <w:t> </w:t>
      </w:r>
      <w:r w:rsidRPr="00B570EB">
        <w:rPr>
          <w:rFonts w:eastAsia="DengXian"/>
          <w:b/>
          <w:bCs/>
          <w:lang w:eastAsia="zh-CN"/>
        </w:rPr>
        <w:t>septembre [2021].</w:t>
      </w:r>
    </w:p>
    <w:p w:rsidR="004C7625" w:rsidRPr="00B570EB" w:rsidRDefault="004C7625" w:rsidP="000B4FBB">
      <w:pPr>
        <w:pStyle w:val="SingleTxtG"/>
        <w:spacing w:line="230" w:lineRule="atLeast"/>
        <w:ind w:left="2268" w:hanging="1134"/>
        <w:rPr>
          <w:rFonts w:eastAsia="DengXian"/>
          <w:b/>
          <w:bCs/>
          <w:lang w:eastAsia="zh-CN"/>
        </w:rPr>
      </w:pPr>
      <w:r w:rsidRPr="00B570EB">
        <w:rPr>
          <w:rFonts w:eastAsia="DengXian"/>
          <w:b/>
          <w:bCs/>
          <w:lang w:eastAsia="zh-CN"/>
        </w:rPr>
        <w:t>10.3</w:t>
      </w:r>
      <w:r w:rsidRPr="00B570EB">
        <w:rPr>
          <w:rFonts w:eastAsia="DengXian"/>
          <w:b/>
          <w:bCs/>
          <w:lang w:eastAsia="zh-CN"/>
        </w:rPr>
        <w:tab/>
        <w:t>Les Parties contractantes appliquant le présent Règlement doivent continuer à reconnaître les homologations de type accordées au titre des séries précédentes d’amendements audit Règlement délivrées pour la première fois avant le 1</w:t>
      </w:r>
      <w:r w:rsidRPr="00713A96">
        <w:rPr>
          <w:rFonts w:eastAsia="DengXian"/>
          <w:b/>
          <w:bCs/>
          <w:vertAlign w:val="superscript"/>
          <w:lang w:eastAsia="zh-CN"/>
        </w:rPr>
        <w:t xml:space="preserve">er </w:t>
      </w:r>
      <w:r w:rsidRPr="00B570EB">
        <w:rPr>
          <w:rFonts w:eastAsia="DengXian"/>
          <w:b/>
          <w:bCs/>
          <w:lang w:eastAsia="zh-CN"/>
        </w:rPr>
        <w:t>septembre [2021].</w:t>
      </w:r>
    </w:p>
    <w:p w:rsidR="004C7625" w:rsidRPr="00B570EB" w:rsidRDefault="004C7625" w:rsidP="000B4FBB">
      <w:pPr>
        <w:pStyle w:val="SingleTxtG"/>
        <w:spacing w:line="230" w:lineRule="atLeast"/>
        <w:ind w:left="2268" w:hanging="1134"/>
        <w:rPr>
          <w:rFonts w:eastAsia="DengXian"/>
          <w:b/>
          <w:bCs/>
          <w:lang w:eastAsia="zh-CN"/>
        </w:rPr>
      </w:pPr>
      <w:r w:rsidRPr="00B570EB">
        <w:rPr>
          <w:rFonts w:eastAsia="DengXian"/>
          <w:b/>
          <w:bCs/>
          <w:lang w:eastAsia="zh-CN"/>
        </w:rPr>
        <w:t>10.4</w:t>
      </w:r>
      <w:r w:rsidRPr="00B570EB">
        <w:rPr>
          <w:rFonts w:eastAsia="DengXian"/>
          <w:b/>
          <w:bCs/>
          <w:lang w:eastAsia="zh-CN"/>
        </w:rPr>
        <w:tab/>
        <w:t>Les Parties contractantes appliquant le présent Règlement ne doivent pas refuser de délivrer des homologations de type au titre de l’une quelconque des précédentes séries d’amendements à ce Règlement, ou d’accorder des extensions pour les homologations en question.</w:t>
      </w:r>
      <w:r w:rsidRPr="00B570EB">
        <w:rPr>
          <w:rFonts w:eastAsia="DengXian"/>
          <w:b/>
          <w:lang w:eastAsia="zh-CN"/>
        </w:rPr>
        <w:t> »</w:t>
      </w:r>
      <w:r w:rsidR="00D75932">
        <w:rPr>
          <w:rFonts w:eastAsia="DengXian"/>
          <w:b/>
          <w:lang w:eastAsia="zh-CN"/>
        </w:rPr>
        <w:t>.</w:t>
      </w:r>
    </w:p>
    <w:p w:rsidR="004C7625" w:rsidRPr="000A0F34" w:rsidRDefault="004C7625" w:rsidP="00B570EB">
      <w:pPr>
        <w:pStyle w:val="SingleTxtG"/>
        <w:rPr>
          <w:rFonts w:eastAsia="DengXian"/>
          <w:lang w:eastAsia="zh-CN"/>
        </w:rPr>
      </w:pPr>
      <w:r w:rsidRPr="000A0F34">
        <w:rPr>
          <w:rFonts w:eastAsia="DengXian"/>
          <w:i/>
          <w:lang w:eastAsia="zh-CN"/>
        </w:rPr>
        <w:t xml:space="preserve">Le paragraphe 10 </w:t>
      </w:r>
      <w:r w:rsidRPr="000A0F34">
        <w:rPr>
          <w:rFonts w:eastAsia="DengXian"/>
          <w:lang w:eastAsia="zh-CN"/>
        </w:rPr>
        <w:t>devient le paragraphe 11.</w:t>
      </w:r>
    </w:p>
    <w:p w:rsidR="004C7625" w:rsidRPr="000A0F34" w:rsidRDefault="004C7625" w:rsidP="00B570EB">
      <w:pPr>
        <w:pStyle w:val="SingleTxtG"/>
        <w:rPr>
          <w:rFonts w:eastAsia="DengXian"/>
          <w:lang w:eastAsia="zh-CN"/>
        </w:rPr>
      </w:pPr>
      <w:r w:rsidRPr="000A0F34">
        <w:rPr>
          <w:rFonts w:eastAsia="DengXian"/>
          <w:i/>
          <w:lang w:eastAsia="zh-CN"/>
        </w:rPr>
        <w:t xml:space="preserve">Annexe 1, point 5, </w:t>
      </w:r>
      <w:r w:rsidRPr="000A0F34">
        <w:rPr>
          <w:rFonts w:eastAsia="DengXian"/>
          <w:lang w:eastAsia="zh-CN"/>
        </w:rPr>
        <w:t>lire :</w:t>
      </w:r>
    </w:p>
    <w:p w:rsidR="004C7625" w:rsidRPr="00CA4DEA" w:rsidRDefault="004C7625" w:rsidP="00CA4DEA">
      <w:pPr>
        <w:pStyle w:val="SingleTxtG"/>
        <w:tabs>
          <w:tab w:val="right" w:leader="dot" w:pos="8505"/>
        </w:tabs>
        <w:kinsoku/>
        <w:overflowPunct/>
        <w:autoSpaceDE/>
        <w:autoSpaceDN/>
        <w:adjustRightInd/>
        <w:snapToGrid/>
        <w:ind w:left="2268" w:hanging="1134"/>
        <w:jc w:val="left"/>
        <w:rPr>
          <w:lang w:val="fr-FR" w:eastAsia="zh-CN"/>
        </w:rPr>
      </w:pPr>
      <w:r>
        <w:rPr>
          <w:rFonts w:eastAsia="DengXian"/>
          <w:lang w:eastAsia="zh-CN"/>
        </w:rPr>
        <w:t>« </w:t>
      </w:r>
      <w:r w:rsidRPr="000A0F34">
        <w:rPr>
          <w:rFonts w:eastAsia="DengXian"/>
          <w:lang w:eastAsia="zh-CN"/>
        </w:rPr>
        <w:t>5.</w:t>
      </w:r>
      <w:r w:rsidRPr="000A0F34">
        <w:rPr>
          <w:rFonts w:eastAsia="DengXian"/>
          <w:lang w:eastAsia="zh-CN"/>
        </w:rPr>
        <w:tab/>
      </w:r>
      <w:r w:rsidRPr="002B36AC">
        <w:rPr>
          <w:lang w:eastAsia="zh-CN"/>
        </w:rPr>
        <w:t xml:space="preserve">Description sommaire du type de véhicule en ce qui concerne la disposition des pédales de commande </w:t>
      </w:r>
      <w:r w:rsidRPr="008C6077">
        <w:rPr>
          <w:b/>
          <w:lang w:eastAsia="zh-CN"/>
        </w:rPr>
        <w:t>et du</w:t>
      </w:r>
      <w:r w:rsidR="00713A96" w:rsidRPr="008C6077">
        <w:rPr>
          <w:b/>
          <w:lang w:eastAsia="zh-CN"/>
        </w:rPr>
        <w:t xml:space="preserve"> repose-</w:t>
      </w:r>
      <w:r w:rsidRPr="008C6077">
        <w:rPr>
          <w:b/>
          <w:lang w:eastAsia="zh-CN"/>
        </w:rPr>
        <w:t>pied</w:t>
      </w:r>
      <w:r w:rsidR="00713A96">
        <w:rPr>
          <w:lang w:eastAsia="zh-CN"/>
        </w:rPr>
        <w:tab/>
      </w:r>
      <w:r w:rsidR="00CA4DEA" w:rsidRPr="00CA4DEA">
        <w:rPr>
          <w:lang w:val="fr-FR"/>
        </w:rPr>
        <w:t>»</w:t>
      </w:r>
    </w:p>
    <w:p w:rsidR="004C7625" w:rsidRPr="000A0F34" w:rsidRDefault="004C7625" w:rsidP="00B570EB">
      <w:pPr>
        <w:pStyle w:val="SingleTxtG"/>
        <w:rPr>
          <w:rFonts w:eastAsia="DengXian"/>
          <w:lang w:eastAsia="zh-CN"/>
        </w:rPr>
      </w:pPr>
      <w:r w:rsidRPr="000A0F34">
        <w:rPr>
          <w:rFonts w:eastAsia="DengXian"/>
          <w:i/>
          <w:lang w:eastAsia="zh-CN"/>
        </w:rPr>
        <w:t xml:space="preserve">Annexe 2, </w:t>
      </w:r>
      <w:r w:rsidRPr="000A0F34">
        <w:rPr>
          <w:rFonts w:eastAsia="DengXian"/>
          <w:lang w:eastAsia="zh-CN"/>
        </w:rPr>
        <w:t>lire</w:t>
      </w:r>
      <w:r w:rsidR="001234A7">
        <w:rPr>
          <w:rFonts w:eastAsia="DengXian"/>
          <w:lang w:eastAsia="zh-CN"/>
        </w:rPr>
        <w:t> </w:t>
      </w:r>
      <w:r w:rsidRPr="000A0F34">
        <w:rPr>
          <w:rFonts w:eastAsia="DengXian"/>
          <w:lang w:eastAsia="zh-CN"/>
        </w:rPr>
        <w:t>:</w:t>
      </w:r>
    </w:p>
    <w:p w:rsidR="004C7625" w:rsidRPr="001234A7" w:rsidRDefault="004C7625" w:rsidP="000B4FBB">
      <w:pPr>
        <w:pStyle w:val="HChG"/>
        <w:spacing w:before="240"/>
        <w:ind w:left="2268"/>
      </w:pPr>
      <w:r w:rsidRPr="001234A7">
        <w:t>« </w:t>
      </w:r>
      <w:r>
        <w:t>Schémas</w:t>
      </w:r>
      <w:r w:rsidRPr="002B36AC">
        <w:t xml:space="preserve"> de marque d’homologation</w:t>
      </w:r>
    </w:p>
    <w:p w:rsidR="004C7625" w:rsidRDefault="004C7625" w:rsidP="00CA4DEA">
      <w:pPr>
        <w:pStyle w:val="SingleTxtG"/>
        <w:jc w:val="left"/>
      </w:pPr>
      <w:r w:rsidRPr="001234A7">
        <w:rPr>
          <w:b/>
          <w:bCs/>
        </w:rPr>
        <w:t>Modèle A</w:t>
      </w:r>
      <w:r w:rsidR="00CA4DEA">
        <w:rPr>
          <w:b/>
        </w:rPr>
        <w:br/>
      </w:r>
      <w:r w:rsidRPr="000A0F34">
        <w:t>(</w:t>
      </w:r>
      <w:r>
        <w:t>Voir le</w:t>
      </w:r>
      <w:r w:rsidRPr="000A0F34">
        <w:t xml:space="preserve"> paragraph</w:t>
      </w:r>
      <w:r>
        <w:t>e</w:t>
      </w:r>
      <w:r w:rsidRPr="000A0F34">
        <w:t xml:space="preserve"> 4.4 </w:t>
      </w:r>
      <w:r>
        <w:t>du présent Règlement)</w:t>
      </w:r>
    </w:p>
    <w:p w:rsidR="004C7625" w:rsidRPr="00CA4DEA" w:rsidRDefault="005C357A" w:rsidP="005C357A">
      <w:pPr>
        <w:pStyle w:val="SingleTxtG"/>
        <w:jc w:val="left"/>
      </w:pPr>
      <w:r>
        <w:rPr>
          <w:noProof/>
        </w:rPr>
        <w:drawing>
          <wp:inline distT="0" distB="0" distL="0" distR="0" wp14:anchorId="66C24A63" wp14:editId="3E3B4E69">
            <wp:extent cx="3927600" cy="1058400"/>
            <wp:effectExtent l="0" t="0" r="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7600" cy="1058400"/>
                    </a:xfrm>
                    <a:prstGeom prst="rect">
                      <a:avLst/>
                    </a:prstGeom>
                  </pic:spPr>
                </pic:pic>
              </a:graphicData>
            </a:graphic>
          </wp:inline>
        </w:drawing>
      </w:r>
      <w:bookmarkStart w:id="5" w:name="_Hlk17108868"/>
      <w:r w:rsidR="000B4FBB">
        <w:t xml:space="preserve">a </w:t>
      </w:r>
      <w:r w:rsidR="004C7625" w:rsidRPr="00CA4DEA">
        <w:t>= 8 mm min</w:t>
      </w:r>
    </w:p>
    <w:bookmarkEnd w:id="5"/>
    <w:p w:rsidR="00CA4DEA" w:rsidRDefault="004C7625" w:rsidP="001234A7">
      <w:pPr>
        <w:pStyle w:val="SingleTxtG"/>
        <w:ind w:firstLine="567"/>
        <w:rPr>
          <w:spacing w:val="-1"/>
        </w:rPr>
      </w:pPr>
      <w:r w:rsidRPr="00A64EC3">
        <w:t>La marque d’homologation ci-dessus, apposée sur un véhicule, indique que le type de ce véhicule a été homologué aux Pays-Bas (E4), en ce qui concerne la disposition des pédales de commande, sous le numéro d’homologation 012439.</w:t>
      </w:r>
      <w:r w:rsidRPr="000A0F34">
        <w:rPr>
          <w:spacing w:val="-1"/>
        </w:rPr>
        <w:t xml:space="preserve"> </w:t>
      </w:r>
      <w:r w:rsidRPr="00A64EC3">
        <w:rPr>
          <w:spacing w:val="-1"/>
        </w:rPr>
        <w:t xml:space="preserve">Les deux premiers chiffres de ce numéro indiquent que l’homologation a été délivrée conformément aux dispositions du Règlement ONU </w:t>
      </w:r>
      <w:r w:rsidR="001234A7" w:rsidRPr="001234A7">
        <w:rPr>
          <w:rFonts w:eastAsia="MS Mincho"/>
          <w:spacing w:val="-1"/>
          <w:szCs w:val="22"/>
        </w:rPr>
        <w:t>n</w:t>
      </w:r>
      <w:r w:rsidR="001234A7" w:rsidRPr="001234A7">
        <w:rPr>
          <w:rFonts w:eastAsia="MS Mincho"/>
          <w:spacing w:val="-1"/>
          <w:szCs w:val="22"/>
          <w:vertAlign w:val="superscript"/>
        </w:rPr>
        <w:t>o</w:t>
      </w:r>
      <w:r w:rsidR="001234A7">
        <w:rPr>
          <w:spacing w:val="-1"/>
        </w:rPr>
        <w:t> </w:t>
      </w:r>
      <w:r w:rsidRPr="00A64EC3">
        <w:rPr>
          <w:spacing w:val="-1"/>
        </w:rPr>
        <w:t xml:space="preserve">35 </w:t>
      </w:r>
      <w:r w:rsidRPr="001234A7">
        <w:rPr>
          <w:b/>
          <w:spacing w:val="-1"/>
        </w:rPr>
        <w:t>tel que modifié par la série 01 d’amendements</w:t>
      </w:r>
      <w:r w:rsidRPr="00A64EC3">
        <w:rPr>
          <w:spacing w:val="-1"/>
        </w:rPr>
        <w:t>.</w:t>
      </w:r>
    </w:p>
    <w:p w:rsidR="003811E8" w:rsidRDefault="004C7625" w:rsidP="008B0AD4">
      <w:pPr>
        <w:pStyle w:val="SingleTxtG"/>
        <w:jc w:val="left"/>
      </w:pPr>
      <w:r w:rsidRPr="001234A7">
        <w:rPr>
          <w:b/>
        </w:rPr>
        <w:t>Modèle B</w:t>
      </w:r>
      <w:r w:rsidR="001234A7">
        <w:rPr>
          <w:b/>
        </w:rPr>
        <w:br/>
      </w:r>
      <w:r w:rsidRPr="00A64EC3">
        <w:t>(Voir le paragraphe 4.5 du présent Règlement ONU)</w:t>
      </w:r>
    </w:p>
    <w:p w:rsidR="005C357A" w:rsidRDefault="005C357A" w:rsidP="008B0AD4">
      <w:pPr>
        <w:pStyle w:val="SingleTxtG"/>
        <w:jc w:val="left"/>
      </w:pPr>
      <w:r>
        <w:rPr>
          <w:noProof/>
        </w:rPr>
        <w:drawing>
          <wp:inline distT="0" distB="0" distL="0" distR="0" wp14:anchorId="4057D26B" wp14:editId="2A84F208">
            <wp:extent cx="5400000" cy="111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1112400"/>
                    </a:xfrm>
                    <a:prstGeom prst="rect">
                      <a:avLst/>
                    </a:prstGeom>
                  </pic:spPr>
                </pic:pic>
              </a:graphicData>
            </a:graphic>
          </wp:inline>
        </w:drawing>
      </w:r>
    </w:p>
    <w:p w:rsidR="003811E8" w:rsidRDefault="000B4FBB" w:rsidP="000B4FBB">
      <w:pPr>
        <w:pStyle w:val="SingleTxtG"/>
        <w:jc w:val="right"/>
      </w:pPr>
      <w:r>
        <w:t xml:space="preserve">a </w:t>
      </w:r>
      <w:r w:rsidRPr="00CA4DEA">
        <w:t>= 8 mm min</w:t>
      </w:r>
    </w:p>
    <w:p w:rsidR="004C7625" w:rsidRPr="000A0F34" w:rsidRDefault="004C7625" w:rsidP="008B0AD4">
      <w:pPr>
        <w:pStyle w:val="SingleTxtG"/>
        <w:ind w:firstLine="567"/>
      </w:pPr>
      <w:r w:rsidRPr="002D1748">
        <w:lastRenderedPageBreak/>
        <w:t xml:space="preserve">La marque d’homologation ci-dessus, apposée sur un véhicule, indique que le type de ce véhicule a été homologué aux Pays-Bas (E4), en application des Règlements ONU </w:t>
      </w:r>
      <w:r w:rsidR="00B54F08" w:rsidRPr="002D76F4">
        <w:rPr>
          <w:rFonts w:eastAsia="MS Mincho"/>
          <w:szCs w:val="22"/>
        </w:rPr>
        <w:t>n</w:t>
      </w:r>
      <w:r w:rsidR="00B54F08" w:rsidRPr="002D76F4">
        <w:rPr>
          <w:rFonts w:eastAsia="MS Mincho"/>
          <w:szCs w:val="22"/>
          <w:vertAlign w:val="superscript"/>
        </w:rPr>
        <w:t>o</w:t>
      </w:r>
      <w:r w:rsidR="00B54F08">
        <w:rPr>
          <w:rFonts w:eastAsia="MS Mincho"/>
          <w:szCs w:val="22"/>
          <w:vertAlign w:val="superscript"/>
        </w:rPr>
        <w:t>s</w:t>
      </w:r>
      <w:r w:rsidR="00B54F08">
        <w:t> </w:t>
      </w:r>
      <w:r w:rsidRPr="002D1748">
        <w:t>35 et 24</w:t>
      </w:r>
      <w:r w:rsidRPr="000A0F34">
        <w:rPr>
          <w:spacing w:val="-1"/>
          <w:vertAlign w:val="superscript"/>
        </w:rPr>
        <w:t>1</w:t>
      </w:r>
      <w:r w:rsidR="002D29AE" w:rsidRPr="002D29AE">
        <w:rPr>
          <w:spacing w:val="-1"/>
        </w:rPr>
        <w:t>.</w:t>
      </w:r>
      <w:r w:rsidRPr="000A0F34">
        <w:rPr>
          <w:spacing w:val="-1"/>
        </w:rPr>
        <w:t xml:space="preserve"> </w:t>
      </w:r>
      <w:r w:rsidRPr="002D1748">
        <w:rPr>
          <w:spacing w:val="-1"/>
        </w:rPr>
        <w:t>(Dans le cas de ce dernier Règlement ONU, la valeur corrigée du coefficient d’absorption est 1,30 m</w:t>
      </w:r>
      <w:r w:rsidRPr="007F2B12">
        <w:rPr>
          <w:spacing w:val="-1"/>
          <w:vertAlign w:val="superscript"/>
        </w:rPr>
        <w:t>-1</w:t>
      </w:r>
      <w:r w:rsidRPr="002D1748">
        <w:rPr>
          <w:spacing w:val="-1"/>
        </w:rPr>
        <w:t>.)</w:t>
      </w:r>
      <w:r w:rsidRPr="00097144">
        <w:rPr>
          <w:spacing w:val="-1"/>
        </w:rPr>
        <w:t>.</w:t>
      </w:r>
      <w:r w:rsidRPr="000A0F34">
        <w:rPr>
          <w:spacing w:val="-1"/>
        </w:rPr>
        <w:t xml:space="preserve"> </w:t>
      </w:r>
      <w:r w:rsidRPr="00097144">
        <w:rPr>
          <w:spacing w:val="-1"/>
        </w:rPr>
        <w:t xml:space="preserve">Les deux premiers chiffres des numéros d’homologation signifient qu’aux dates de délivrance des homologations respectives, le Règlement ONU </w:t>
      </w:r>
      <w:r w:rsidR="00B54F08" w:rsidRPr="00B54F08">
        <w:rPr>
          <w:rFonts w:eastAsia="MS Mincho"/>
          <w:spacing w:val="-1"/>
          <w:szCs w:val="22"/>
        </w:rPr>
        <w:t>n</w:t>
      </w:r>
      <w:r w:rsidR="00B54F08" w:rsidRPr="00B54F08">
        <w:rPr>
          <w:rFonts w:eastAsia="MS Mincho"/>
          <w:spacing w:val="-1"/>
          <w:szCs w:val="22"/>
          <w:vertAlign w:val="superscript"/>
        </w:rPr>
        <w:t>o</w:t>
      </w:r>
      <w:r w:rsidR="00B54F08">
        <w:rPr>
          <w:spacing w:val="-1"/>
        </w:rPr>
        <w:t> </w:t>
      </w:r>
      <w:r w:rsidRPr="00097144">
        <w:rPr>
          <w:spacing w:val="-1"/>
        </w:rPr>
        <w:t xml:space="preserve">35 comprenait </w:t>
      </w:r>
      <w:r w:rsidRPr="007F2B12">
        <w:rPr>
          <w:b/>
          <w:spacing w:val="-1"/>
        </w:rPr>
        <w:t>la série 01 d’amendements</w:t>
      </w:r>
      <w:r w:rsidRPr="00097144">
        <w:rPr>
          <w:spacing w:val="-1"/>
        </w:rPr>
        <w:t xml:space="preserve"> et le Règlement ONU </w:t>
      </w:r>
      <w:r w:rsidR="00B54F08" w:rsidRPr="00B54F08">
        <w:rPr>
          <w:rFonts w:eastAsia="MS Mincho"/>
          <w:spacing w:val="-1"/>
          <w:szCs w:val="22"/>
        </w:rPr>
        <w:t>n</w:t>
      </w:r>
      <w:r w:rsidR="00B54F08" w:rsidRPr="00B54F08">
        <w:rPr>
          <w:rFonts w:eastAsia="MS Mincho"/>
          <w:spacing w:val="-1"/>
          <w:szCs w:val="22"/>
          <w:vertAlign w:val="superscript"/>
        </w:rPr>
        <w:t>o</w:t>
      </w:r>
      <w:r w:rsidR="00B54F08">
        <w:rPr>
          <w:spacing w:val="-1"/>
        </w:rPr>
        <w:t> </w:t>
      </w:r>
      <w:r w:rsidRPr="00097144">
        <w:rPr>
          <w:spacing w:val="-1"/>
        </w:rPr>
        <w:t>24 la série</w:t>
      </w:r>
      <w:r w:rsidR="00B54F08">
        <w:rPr>
          <w:spacing w:val="-1"/>
        </w:rPr>
        <w:t> </w:t>
      </w:r>
      <w:r w:rsidRPr="00097144">
        <w:rPr>
          <w:spacing w:val="-1"/>
        </w:rPr>
        <w:t>03 d’amendements.</w:t>
      </w:r>
    </w:p>
    <w:p w:rsidR="004C7625" w:rsidRPr="000A0F34" w:rsidRDefault="004C7625" w:rsidP="00A66D73">
      <w:pPr>
        <w:pStyle w:val="SingleTxtG"/>
      </w:pPr>
      <w:r w:rsidRPr="000A0F34">
        <w:t>_____________</w:t>
      </w:r>
    </w:p>
    <w:p w:rsidR="004C7625" w:rsidRPr="000A0F34" w:rsidRDefault="004C7625" w:rsidP="00B54F08">
      <w:pPr>
        <w:pStyle w:val="SingleTxtG"/>
        <w:ind w:left="1701" w:hanging="567"/>
        <w:rPr>
          <w:vertAlign w:val="superscript"/>
        </w:rPr>
      </w:pPr>
      <w:r w:rsidRPr="000A0F34">
        <w:rPr>
          <w:vertAlign w:val="superscript"/>
        </w:rPr>
        <w:t>1</w:t>
      </w:r>
      <w:r w:rsidRPr="000A0F34">
        <w:rPr>
          <w:vertAlign w:val="superscript"/>
        </w:rPr>
        <w:tab/>
      </w:r>
      <w:r w:rsidRPr="00097144">
        <w:t>Le deuxième numéro n’est donné qu’à titre d’exemple.</w:t>
      </w:r>
      <w:r>
        <w:t> »</w:t>
      </w:r>
      <w:r w:rsidR="007F2B12">
        <w:t>.</w:t>
      </w:r>
    </w:p>
    <w:p w:rsidR="004C7625" w:rsidRPr="000A0F34" w:rsidRDefault="004C7625" w:rsidP="00B54F08">
      <w:pPr>
        <w:pStyle w:val="SingleTxtG"/>
        <w:rPr>
          <w:rFonts w:eastAsia="DengXian"/>
          <w:lang w:eastAsia="zh-CN"/>
        </w:rPr>
      </w:pPr>
      <w:r w:rsidRPr="000A0F34">
        <w:rPr>
          <w:rFonts w:eastAsia="DengXian"/>
          <w:i/>
          <w:lang w:eastAsia="zh-CN"/>
        </w:rPr>
        <w:t xml:space="preserve">L’annexe 3 </w:t>
      </w:r>
      <w:r w:rsidRPr="000A0F34">
        <w:rPr>
          <w:rFonts w:eastAsia="DengXian"/>
          <w:iCs/>
          <w:lang w:eastAsia="zh-CN"/>
        </w:rPr>
        <w:t>est supprimée</w:t>
      </w:r>
      <w:r w:rsidR="007F2B12">
        <w:rPr>
          <w:rFonts w:eastAsia="DengXian"/>
          <w:iCs/>
          <w:lang w:eastAsia="zh-CN"/>
        </w:rPr>
        <w:t>.</w:t>
      </w:r>
    </w:p>
    <w:p w:rsidR="004C7625" w:rsidRPr="000A0F34" w:rsidRDefault="004C7625" w:rsidP="00B54F08">
      <w:pPr>
        <w:pStyle w:val="SingleTxtG"/>
        <w:rPr>
          <w:rFonts w:eastAsia="DengXian"/>
          <w:lang w:eastAsia="zh-CN"/>
        </w:rPr>
      </w:pPr>
      <w:r w:rsidRPr="000A0F34">
        <w:rPr>
          <w:rFonts w:eastAsia="DengXian"/>
          <w:i/>
          <w:lang w:eastAsia="zh-CN"/>
        </w:rPr>
        <w:t>Ajouter une nouvelle annexe 3,</w:t>
      </w:r>
      <w:r w:rsidRPr="000A0F34">
        <w:rPr>
          <w:rFonts w:eastAsia="DengXian"/>
          <w:lang w:eastAsia="zh-CN"/>
        </w:rPr>
        <w:t xml:space="preserve"> comme suit</w:t>
      </w:r>
      <w:r w:rsidR="002D29AE">
        <w:rPr>
          <w:rFonts w:eastAsia="DengXian"/>
          <w:lang w:eastAsia="zh-CN"/>
        </w:rPr>
        <w:t> </w:t>
      </w:r>
      <w:r w:rsidRPr="000A0F34">
        <w:rPr>
          <w:rFonts w:eastAsia="DengXian"/>
          <w:lang w:eastAsia="zh-CN"/>
        </w:rPr>
        <w:t>:</w:t>
      </w:r>
    </w:p>
    <w:p w:rsidR="004C7625" w:rsidRPr="000A0F34" w:rsidRDefault="004C7625" w:rsidP="00B54F08">
      <w:pPr>
        <w:pStyle w:val="HChG"/>
      </w:pPr>
      <w:r>
        <w:t>« </w:t>
      </w:r>
      <w:r w:rsidRPr="000A0F34">
        <w:t>Annex</w:t>
      </w:r>
      <w:r>
        <w:t>e</w:t>
      </w:r>
      <w:r w:rsidRPr="000A0F34">
        <w:t xml:space="preserve"> 3</w:t>
      </w:r>
    </w:p>
    <w:p w:rsidR="004C7625" w:rsidRPr="000A0F34" w:rsidRDefault="004C7625" w:rsidP="00B54F08">
      <w:pPr>
        <w:pStyle w:val="HChG"/>
      </w:pPr>
      <w:r w:rsidRPr="000A0F34">
        <w:tab/>
      </w:r>
      <w:r w:rsidRPr="000A0F34">
        <w:tab/>
      </w:r>
      <w:r w:rsidRPr="00097144">
        <w:t xml:space="preserve">Procédure </w:t>
      </w:r>
      <w:r w:rsidRPr="00EB3471">
        <w:t>à suivre pour déterminer le point H et l’angle réel du torse de l’occupant d’un siège de véhicule automobile</w:t>
      </w:r>
      <w:r w:rsidRPr="000A0F34">
        <w:rPr>
          <w:vertAlign w:val="superscript"/>
        </w:rPr>
        <w:t>1</w:t>
      </w:r>
    </w:p>
    <w:p w:rsidR="004C7625" w:rsidRPr="000A0F34" w:rsidRDefault="004C7625" w:rsidP="00B54F08">
      <w:pPr>
        <w:pStyle w:val="HChG"/>
      </w:pPr>
      <w:r w:rsidRPr="000A0F34">
        <w:tab/>
      </w:r>
      <w:r w:rsidRPr="000A0F34">
        <w:tab/>
        <w:t>Appendi</w:t>
      </w:r>
      <w:r>
        <w:t>ce</w:t>
      </w:r>
      <w:r w:rsidRPr="000A0F34">
        <w:t xml:space="preserve"> 1 - Description </w:t>
      </w:r>
      <w:r>
        <w:t xml:space="preserve">de la </w:t>
      </w:r>
      <w:r w:rsidRPr="00097144">
        <w:t xml:space="preserve">machine tridimensionnelle point H </w:t>
      </w:r>
      <w:r w:rsidRPr="000A0F34">
        <w:rPr>
          <w:vertAlign w:val="superscript"/>
        </w:rPr>
        <w:t>1</w:t>
      </w:r>
    </w:p>
    <w:p w:rsidR="004C7625" w:rsidRPr="000A0F34" w:rsidRDefault="004C7625" w:rsidP="00B54F08">
      <w:pPr>
        <w:pStyle w:val="HChG"/>
      </w:pPr>
      <w:r w:rsidRPr="000A0F34">
        <w:tab/>
      </w:r>
      <w:r w:rsidRPr="000A0F34">
        <w:tab/>
        <w:t>Appendi</w:t>
      </w:r>
      <w:r>
        <w:t>ce</w:t>
      </w:r>
      <w:r w:rsidRPr="000A0F34">
        <w:t xml:space="preserve"> 2 -</w:t>
      </w:r>
      <w:r w:rsidRPr="000A0F34">
        <w:tab/>
      </w:r>
      <w:r w:rsidRPr="00382EA0">
        <w:t>Système de référence à trois dimensions</w:t>
      </w:r>
      <w:r w:rsidRPr="000A0F34">
        <w:rPr>
          <w:vertAlign w:val="superscript"/>
        </w:rPr>
        <w:t>1</w:t>
      </w:r>
    </w:p>
    <w:p w:rsidR="004C7625" w:rsidRPr="000A0F34" w:rsidRDefault="004C7625" w:rsidP="00B54F08">
      <w:pPr>
        <w:pStyle w:val="HChG"/>
      </w:pPr>
      <w:r w:rsidRPr="000A0F34">
        <w:tab/>
      </w:r>
      <w:r w:rsidRPr="000A0F34">
        <w:tab/>
        <w:t>Appendi</w:t>
      </w:r>
      <w:r>
        <w:t>ce</w:t>
      </w:r>
      <w:r w:rsidRPr="000A0F34">
        <w:t xml:space="preserve"> 3 - </w:t>
      </w:r>
      <w:r w:rsidRPr="00382EA0">
        <w:t>Paramètres de référence des places assise</w:t>
      </w:r>
      <w:r>
        <w:t>s</w:t>
      </w:r>
      <w:r w:rsidRPr="000A0F34">
        <w:rPr>
          <w:vertAlign w:val="superscript"/>
        </w:rPr>
        <w:t>1</w:t>
      </w:r>
    </w:p>
    <w:p w:rsidR="004C7625" w:rsidRPr="000A0F34" w:rsidRDefault="004C7625" w:rsidP="004C7625">
      <w:r w:rsidRPr="000A0F34">
        <w:t>_____________</w:t>
      </w:r>
    </w:p>
    <w:p w:rsidR="009C75A6" w:rsidRDefault="004C7625" w:rsidP="00B54F08">
      <w:pPr>
        <w:pStyle w:val="SingleTxtG"/>
        <w:ind w:left="1701" w:hanging="567"/>
        <w:rPr>
          <w:rStyle w:val="Lienhypertexte"/>
          <w:b/>
          <w:bCs/>
          <w:szCs w:val="24"/>
        </w:rPr>
      </w:pPr>
      <w:r w:rsidRPr="000A0F34">
        <w:rPr>
          <w:vertAlign w:val="superscript"/>
        </w:rPr>
        <w:t>1</w:t>
      </w:r>
      <w:r w:rsidRPr="000A0F34">
        <w:rPr>
          <w:vertAlign w:val="superscript"/>
        </w:rPr>
        <w:tab/>
      </w:r>
      <w:r w:rsidRPr="00B54F08">
        <w:rPr>
          <w:b/>
          <w:bCs/>
        </w:rPr>
        <w:t xml:space="preserve">La procédure est décrite dans l’Annexe 1 de la Résolution d’ensemble sur la construction des véhicules (R.E.3) et ses appendices 1, 2 et 3 (document </w:t>
      </w:r>
      <w:r w:rsidRPr="00B54F08">
        <w:rPr>
          <w:b/>
          <w:bCs/>
          <w:spacing w:val="4"/>
        </w:rPr>
        <w:t>ECE/TRANS/WP.29/78/Rev.6</w:t>
      </w:r>
      <w:r w:rsidR="00B54F08" w:rsidRPr="00B54F08">
        <w:rPr>
          <w:b/>
          <w:bCs/>
          <w:spacing w:val="4"/>
        </w:rPr>
        <w:t xml:space="preserve"> </w:t>
      </w:r>
      <w:hyperlink r:id="rId12" w:history="1">
        <w:r w:rsidRPr="00B54F08">
          <w:rPr>
            <w:rStyle w:val="Lienhypertexte"/>
            <w:b/>
            <w:bCs/>
            <w:spacing w:val="4"/>
            <w:szCs w:val="24"/>
          </w:rPr>
          <w:t>www.unece.org/trans/main/wp29/wp29wgs/</w:t>
        </w:r>
        <w:r w:rsidR="00B54F08" w:rsidRPr="00B54F08">
          <w:rPr>
            <w:rStyle w:val="Lienhypertexte"/>
            <w:b/>
            <w:bCs/>
            <w:spacing w:val="4"/>
            <w:szCs w:val="24"/>
          </w:rPr>
          <w:br/>
        </w:r>
        <w:r w:rsidRPr="00B54F08">
          <w:rPr>
            <w:rStyle w:val="Lienhypertexte"/>
            <w:b/>
            <w:bCs/>
            <w:spacing w:val="4"/>
            <w:szCs w:val="24"/>
          </w:rPr>
          <w:t>wp29gen/wp29resolutions.html</w:t>
        </w:r>
      </w:hyperlink>
      <w:r w:rsidRPr="00B54F08">
        <w:rPr>
          <w:rStyle w:val="Lienhypertexte"/>
          <w:b/>
          <w:bCs/>
          <w:szCs w:val="24"/>
        </w:rPr>
        <w:t> »</w:t>
      </w:r>
      <w:r w:rsidR="007F2B12">
        <w:rPr>
          <w:rStyle w:val="Lienhypertexte"/>
          <w:b/>
          <w:bCs/>
          <w:szCs w:val="24"/>
        </w:rPr>
        <w:t>.</w:t>
      </w:r>
    </w:p>
    <w:p w:rsidR="004C7625" w:rsidRPr="009C75A6" w:rsidRDefault="004C7625" w:rsidP="00A66D73">
      <w:pPr>
        <w:pStyle w:val="SingleTxtG"/>
        <w:ind w:left="1701" w:hanging="567"/>
        <w:rPr>
          <w:b/>
          <w:bCs/>
        </w:rPr>
      </w:pPr>
      <w:r w:rsidRPr="000A0F34">
        <w:rPr>
          <w:rFonts w:eastAsia="DengXian"/>
          <w:i/>
          <w:lang w:eastAsia="zh-CN"/>
        </w:rPr>
        <w:t>Annex</w:t>
      </w:r>
      <w:r>
        <w:rPr>
          <w:rFonts w:eastAsia="DengXian"/>
          <w:i/>
          <w:lang w:eastAsia="zh-CN"/>
        </w:rPr>
        <w:t>e</w:t>
      </w:r>
      <w:r w:rsidRPr="000A0F34">
        <w:rPr>
          <w:rFonts w:eastAsia="DengXian"/>
          <w:i/>
          <w:lang w:eastAsia="zh-CN"/>
        </w:rPr>
        <w:t xml:space="preserve"> 4, </w:t>
      </w:r>
      <w:r>
        <w:rPr>
          <w:rFonts w:eastAsia="DengXian"/>
          <w:lang w:eastAsia="zh-CN"/>
        </w:rPr>
        <w:t>lire</w:t>
      </w:r>
      <w:r w:rsidR="002D29AE">
        <w:rPr>
          <w:rFonts w:eastAsia="DengXian"/>
          <w:lang w:eastAsia="zh-CN"/>
        </w:rPr>
        <w:t> </w:t>
      </w:r>
      <w:r w:rsidRPr="000A0F34">
        <w:rPr>
          <w:rFonts w:eastAsia="DengXian"/>
          <w:lang w:eastAsia="zh-CN"/>
        </w:rPr>
        <w:t>:</w:t>
      </w:r>
    </w:p>
    <w:p w:rsidR="004C7625" w:rsidRPr="000A0F34" w:rsidRDefault="004C7625" w:rsidP="00A66D73">
      <w:pPr>
        <w:pStyle w:val="HChG"/>
        <w:keepNext w:val="0"/>
        <w:keepLines w:val="0"/>
      </w:pPr>
      <w:bookmarkStart w:id="6" w:name="A4_"/>
      <w:r>
        <w:t>« </w:t>
      </w:r>
      <w:r w:rsidRPr="000A0F34">
        <w:t>Annex</w:t>
      </w:r>
      <w:r>
        <w:t>e</w:t>
      </w:r>
      <w:r w:rsidRPr="000A0F34">
        <w:t xml:space="preserve"> 4</w:t>
      </w:r>
      <w:bookmarkEnd w:id="6"/>
    </w:p>
    <w:p w:rsidR="004C7625" w:rsidRPr="000A0F34" w:rsidRDefault="00B54F08" w:rsidP="00A66D73">
      <w:pPr>
        <w:pStyle w:val="HChG"/>
        <w:keepNext w:val="0"/>
        <w:keepLines w:val="0"/>
      </w:pPr>
      <w:r>
        <w:tab/>
      </w:r>
      <w:r>
        <w:tab/>
      </w:r>
      <w:r w:rsidR="004C7625">
        <w:t>Disposition des pédales de commande</w:t>
      </w:r>
    </w:p>
    <w:p w:rsidR="004C7625" w:rsidRPr="000A0F34" w:rsidRDefault="004C7625" w:rsidP="009C75A6">
      <w:pPr>
        <w:pStyle w:val="Titre1"/>
        <w:spacing w:after="120"/>
      </w:pPr>
      <w:r w:rsidRPr="000A0F34">
        <w:t>Figure 1a</w:t>
      </w:r>
      <w:r w:rsidR="009C75A6">
        <w:br/>
      </w:r>
      <w:r>
        <w:t>Deux pédales</w:t>
      </w:r>
      <w:r w:rsidRPr="000A0F34">
        <w:t xml:space="preserve"> – </w:t>
      </w:r>
      <w:r>
        <w:t>Transmission automatique</w:t>
      </w:r>
      <w:r w:rsidRPr="000A0F34">
        <w:t xml:space="preserve"> </w:t>
      </w:r>
      <w:r w:rsidRPr="007F2B12">
        <w:rPr>
          <w:b/>
        </w:rPr>
        <w:t>sans repose-pied</w:t>
      </w:r>
    </w:p>
    <w:p w:rsidR="004C7625" w:rsidRPr="000A0F34" w:rsidRDefault="004C7625" w:rsidP="00A66D73">
      <w:pPr>
        <w:spacing w:after="120"/>
        <w:ind w:left="1134"/>
        <w:rPr>
          <w:rFonts w:ascii="Arial" w:hAnsi="Arial" w:cs="Arial"/>
          <w:color w:val="333333"/>
          <w:lang w:eastAsia="de-DE"/>
        </w:rPr>
      </w:pPr>
      <w:r w:rsidRPr="000A0F34">
        <w:rPr>
          <w:noProof/>
          <w:lang w:eastAsia="de-DE"/>
        </w:rPr>
        <w:t xml:space="preserve"> </w:t>
      </w:r>
      <w:r w:rsidRPr="000A0F34">
        <w:rPr>
          <w:rFonts w:ascii="Arial" w:hAnsi="Arial" w:cs="Arial"/>
          <w:noProof/>
          <w:color w:val="333333"/>
          <w:lang w:eastAsia="de-DE"/>
        </w:rPr>
        <w:drawing>
          <wp:inline distT="0" distB="0" distL="0" distR="0" wp14:anchorId="5595CFFB" wp14:editId="6F58C67E">
            <wp:extent cx="3013200" cy="1540800"/>
            <wp:effectExtent l="0" t="0" r="0" b="254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3200" cy="1540800"/>
                    </a:xfrm>
                    <a:prstGeom prst="rect">
                      <a:avLst/>
                    </a:prstGeom>
                    <a:noFill/>
                    <a:ln>
                      <a:noFill/>
                    </a:ln>
                    <a:effectLst/>
                  </pic:spPr>
                </pic:pic>
              </a:graphicData>
            </a:graphic>
          </wp:inline>
        </w:drawing>
      </w:r>
    </w:p>
    <w:p w:rsidR="004C7625" w:rsidRPr="009C75A6" w:rsidRDefault="004C7625" w:rsidP="009C75A6">
      <w:pPr>
        <w:pStyle w:val="Titre1"/>
        <w:rPr>
          <w:b/>
          <w:spacing w:val="-3"/>
        </w:rPr>
      </w:pPr>
      <w:r w:rsidRPr="009C75A6">
        <w:rPr>
          <w:b/>
          <w:spacing w:val="-3"/>
        </w:rPr>
        <w:lastRenderedPageBreak/>
        <w:t>Figure 1b</w:t>
      </w:r>
      <w:r w:rsidR="009C75A6" w:rsidRPr="009C75A6">
        <w:rPr>
          <w:b/>
          <w:spacing w:val="-3"/>
        </w:rPr>
        <w:br/>
      </w:r>
      <w:r w:rsidRPr="009C75A6">
        <w:rPr>
          <w:b/>
          <w:spacing w:val="-3"/>
        </w:rPr>
        <w:t xml:space="preserve">Deux pédales – </w:t>
      </w:r>
      <w:bookmarkStart w:id="7" w:name="_Hlk31355473"/>
      <w:r w:rsidRPr="009C75A6">
        <w:rPr>
          <w:b/>
          <w:spacing w:val="-3"/>
        </w:rPr>
        <w:t xml:space="preserve">Transmission </w:t>
      </w:r>
      <w:bookmarkEnd w:id="7"/>
      <w:r w:rsidRPr="009C75A6">
        <w:rPr>
          <w:b/>
          <w:spacing w:val="-3"/>
        </w:rPr>
        <w:t>automatique avec repose-pied</w:t>
      </w:r>
    </w:p>
    <w:p w:rsidR="004C7625" w:rsidRPr="000A0F34" w:rsidRDefault="004C7625" w:rsidP="009C75A6">
      <w:pPr>
        <w:spacing w:before="120" w:after="120"/>
        <w:ind w:left="1134"/>
        <w:rPr>
          <w:spacing w:val="-3"/>
        </w:rPr>
      </w:pPr>
      <w:r w:rsidRPr="000A0F34">
        <w:rPr>
          <w:noProof/>
          <w:lang w:eastAsia="de-DE"/>
        </w:rPr>
        <w:drawing>
          <wp:inline distT="0" distB="0" distL="0" distR="0" wp14:anchorId="3BC3C8B5" wp14:editId="60F7A82F">
            <wp:extent cx="3013200" cy="1728000"/>
            <wp:effectExtent l="0" t="0" r="0"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3200" cy="1728000"/>
                    </a:xfrm>
                    <a:prstGeom prst="rect">
                      <a:avLst/>
                    </a:prstGeom>
                  </pic:spPr>
                </pic:pic>
              </a:graphicData>
            </a:graphic>
          </wp:inline>
        </w:drawing>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4C7625" w:rsidRPr="000A0F34" w:rsidTr="000A5C37">
        <w:trPr>
          <w:cantSplit/>
          <w:tblHeader/>
        </w:trPr>
        <w:tc>
          <w:tcPr>
            <w:tcW w:w="2456" w:type="dxa"/>
            <w:tcBorders>
              <w:top w:val="single" w:sz="4" w:space="0" w:color="auto"/>
              <w:bottom w:val="single" w:sz="12" w:space="0" w:color="auto"/>
            </w:tcBorders>
            <w:shd w:val="clear" w:color="auto" w:fill="auto"/>
            <w:vAlign w:val="bottom"/>
            <w:hideMark/>
          </w:tcPr>
          <w:p w:rsidR="004C7625" w:rsidRPr="000A0F34" w:rsidRDefault="004C7625" w:rsidP="009C75A6">
            <w:pPr>
              <w:spacing w:before="80" w:after="80" w:line="200" w:lineRule="exact"/>
              <w:rPr>
                <w:i/>
                <w:lang w:eastAsia="de-DE"/>
              </w:rPr>
            </w:pPr>
            <w:r w:rsidRPr="000A0F34">
              <w:rPr>
                <w:i/>
                <w:lang w:eastAsia="de-DE"/>
              </w:rPr>
              <w:t>  </w:t>
            </w:r>
          </w:p>
        </w:tc>
        <w:tc>
          <w:tcPr>
            <w:tcW w:w="2457" w:type="dxa"/>
            <w:tcBorders>
              <w:top w:val="single" w:sz="4" w:space="0" w:color="auto"/>
              <w:bottom w:val="single" w:sz="12" w:space="0" w:color="auto"/>
            </w:tcBorders>
            <w:shd w:val="clear" w:color="auto" w:fill="auto"/>
            <w:vAlign w:val="bottom"/>
            <w:hideMark/>
          </w:tcPr>
          <w:p w:rsidR="004C7625" w:rsidRPr="000A0F34" w:rsidRDefault="004C7625" w:rsidP="007F2B12">
            <w:pPr>
              <w:spacing w:before="80" w:after="80" w:line="200" w:lineRule="exact"/>
              <w:jc w:val="right"/>
              <w:rPr>
                <w:i/>
                <w:lang w:eastAsia="de-DE"/>
              </w:rPr>
            </w:pPr>
            <w:r w:rsidRPr="000A0F34">
              <w:rPr>
                <w:i/>
                <w:lang w:eastAsia="de-DE"/>
              </w:rPr>
              <w:t>max.</w:t>
            </w:r>
          </w:p>
        </w:tc>
        <w:tc>
          <w:tcPr>
            <w:tcW w:w="2457" w:type="dxa"/>
            <w:tcBorders>
              <w:top w:val="single" w:sz="4" w:space="0" w:color="auto"/>
              <w:bottom w:val="single" w:sz="12" w:space="0" w:color="auto"/>
            </w:tcBorders>
            <w:shd w:val="clear" w:color="auto" w:fill="auto"/>
            <w:vAlign w:val="bottom"/>
            <w:hideMark/>
          </w:tcPr>
          <w:p w:rsidR="004C7625" w:rsidRPr="000A0F34" w:rsidRDefault="004C7625" w:rsidP="007F2B12">
            <w:pPr>
              <w:spacing w:before="80" w:after="80" w:line="200" w:lineRule="exact"/>
              <w:jc w:val="right"/>
              <w:rPr>
                <w:i/>
                <w:lang w:eastAsia="de-DE"/>
              </w:rPr>
            </w:pPr>
            <w:r w:rsidRPr="000A0F34">
              <w:rPr>
                <w:i/>
                <w:lang w:eastAsia="de-DE"/>
              </w:rPr>
              <w:t>min.</w:t>
            </w:r>
          </w:p>
        </w:tc>
      </w:tr>
      <w:tr w:rsidR="004C7625" w:rsidRPr="000A0F34" w:rsidTr="000A5C37">
        <w:trPr>
          <w:cantSplit/>
        </w:trPr>
        <w:tc>
          <w:tcPr>
            <w:tcW w:w="2456" w:type="dxa"/>
            <w:tcBorders>
              <w:top w:val="single" w:sz="12" w:space="0" w:color="auto"/>
            </w:tcBorders>
            <w:shd w:val="clear" w:color="auto" w:fill="auto"/>
            <w:hideMark/>
          </w:tcPr>
          <w:p w:rsidR="004C7625" w:rsidRPr="000A0F34" w:rsidRDefault="004C7625" w:rsidP="009C75A6">
            <w:pPr>
              <w:spacing w:before="40" w:after="40" w:line="220" w:lineRule="exact"/>
              <w:ind w:right="1134"/>
              <w:rPr>
                <w:lang w:eastAsia="de-DE"/>
              </w:rPr>
            </w:pPr>
            <w:r w:rsidRPr="000A0F34">
              <w:rPr>
                <w:lang w:eastAsia="de-DE"/>
              </w:rPr>
              <w:t>E</w:t>
            </w:r>
          </w:p>
        </w:tc>
        <w:tc>
          <w:tcPr>
            <w:tcW w:w="2457" w:type="dxa"/>
            <w:tcBorders>
              <w:top w:val="single" w:sz="12" w:space="0" w:color="auto"/>
            </w:tcBorders>
            <w:shd w:val="clear" w:color="auto" w:fill="auto"/>
            <w:vAlign w:val="bottom"/>
            <w:hideMark/>
          </w:tcPr>
          <w:p w:rsidR="004C7625" w:rsidRPr="000A0F34" w:rsidRDefault="004C7625" w:rsidP="007F2B12">
            <w:pPr>
              <w:spacing w:before="80" w:after="80" w:line="200" w:lineRule="exact"/>
              <w:jc w:val="right"/>
              <w:rPr>
                <w:lang w:eastAsia="de-DE"/>
              </w:rPr>
            </w:pPr>
            <w:r w:rsidRPr="000A0F34">
              <w:rPr>
                <w:lang w:eastAsia="de-DE"/>
              </w:rPr>
              <w:t>100</w:t>
            </w:r>
          </w:p>
        </w:tc>
        <w:tc>
          <w:tcPr>
            <w:tcW w:w="2457" w:type="dxa"/>
            <w:tcBorders>
              <w:top w:val="single" w:sz="12" w:space="0" w:color="auto"/>
            </w:tcBorders>
            <w:shd w:val="clear" w:color="auto" w:fill="auto"/>
            <w:vAlign w:val="bottom"/>
            <w:hideMark/>
          </w:tcPr>
          <w:p w:rsidR="004C7625" w:rsidRPr="000A0F34" w:rsidRDefault="004C7625" w:rsidP="007F2B12">
            <w:pPr>
              <w:spacing w:before="80" w:after="80" w:line="200" w:lineRule="exact"/>
              <w:jc w:val="right"/>
              <w:rPr>
                <w:lang w:eastAsia="de-DE"/>
              </w:rPr>
            </w:pPr>
            <w:r w:rsidRPr="000A0F34">
              <w:rPr>
                <w:lang w:eastAsia="de-DE"/>
              </w:rPr>
              <w:t>50</w:t>
            </w:r>
          </w:p>
        </w:tc>
      </w:tr>
      <w:tr w:rsidR="004C7625" w:rsidRPr="000A0F34" w:rsidTr="000A5C37">
        <w:trPr>
          <w:cantSplit/>
        </w:trPr>
        <w:tc>
          <w:tcPr>
            <w:tcW w:w="2456" w:type="dxa"/>
            <w:shd w:val="clear" w:color="auto" w:fill="auto"/>
            <w:hideMark/>
          </w:tcPr>
          <w:p w:rsidR="004C7625" w:rsidRPr="000A0F34" w:rsidRDefault="004C7625" w:rsidP="009C75A6">
            <w:pPr>
              <w:spacing w:before="40" w:after="40" w:line="220" w:lineRule="exact"/>
              <w:ind w:right="1134"/>
              <w:rPr>
                <w:lang w:eastAsia="de-DE"/>
              </w:rPr>
            </w:pPr>
            <w:r w:rsidRPr="000A0F34">
              <w:rPr>
                <w:lang w:eastAsia="de-DE"/>
              </w:rPr>
              <w:t>H</w:t>
            </w:r>
          </w:p>
        </w:tc>
        <w:tc>
          <w:tcPr>
            <w:tcW w:w="2457" w:type="dxa"/>
            <w:shd w:val="clear" w:color="auto" w:fill="auto"/>
            <w:vAlign w:val="bottom"/>
            <w:hideMark/>
          </w:tcPr>
          <w:p w:rsidR="004C7625" w:rsidRPr="007F2B12" w:rsidRDefault="004C7625" w:rsidP="007F2B12">
            <w:pPr>
              <w:spacing w:before="80" w:after="80" w:line="200" w:lineRule="exact"/>
              <w:jc w:val="right"/>
              <w:rPr>
                <w:i/>
                <w:lang w:eastAsia="de-DE"/>
              </w:rPr>
            </w:pPr>
            <w:r w:rsidRPr="007F2B12">
              <w:rPr>
                <w:i/>
                <w:lang w:eastAsia="de-DE"/>
              </w:rPr>
              <w:t>-</w:t>
            </w:r>
          </w:p>
        </w:tc>
        <w:tc>
          <w:tcPr>
            <w:tcW w:w="2457" w:type="dxa"/>
            <w:shd w:val="clear" w:color="auto" w:fill="auto"/>
            <w:vAlign w:val="bottom"/>
            <w:hideMark/>
          </w:tcPr>
          <w:p w:rsidR="004C7625" w:rsidRPr="007F2B12" w:rsidRDefault="004C7625" w:rsidP="007F2B12">
            <w:pPr>
              <w:spacing w:before="80" w:after="80" w:line="200" w:lineRule="exact"/>
              <w:jc w:val="right"/>
              <w:rPr>
                <w:i/>
                <w:lang w:eastAsia="de-DE"/>
              </w:rPr>
            </w:pPr>
            <w:r w:rsidRPr="007F2B12">
              <w:rPr>
                <w:i/>
                <w:lang w:eastAsia="de-DE"/>
              </w:rPr>
              <w:t>130</w:t>
            </w:r>
          </w:p>
        </w:tc>
      </w:tr>
      <w:tr w:rsidR="004C7625" w:rsidRPr="000A0F34" w:rsidTr="000A5C37">
        <w:trPr>
          <w:cantSplit/>
        </w:trPr>
        <w:tc>
          <w:tcPr>
            <w:tcW w:w="2456" w:type="dxa"/>
            <w:shd w:val="clear" w:color="auto" w:fill="auto"/>
            <w:hideMark/>
          </w:tcPr>
          <w:p w:rsidR="004C7625" w:rsidRPr="000A0F34" w:rsidRDefault="004C7625" w:rsidP="009C75A6">
            <w:pPr>
              <w:spacing w:before="40" w:after="40" w:line="220" w:lineRule="exact"/>
              <w:ind w:right="1134"/>
              <w:rPr>
                <w:lang w:eastAsia="de-DE"/>
              </w:rPr>
            </w:pPr>
            <w:r w:rsidRPr="000A0F34">
              <w:rPr>
                <w:lang w:eastAsia="de-DE"/>
              </w:rPr>
              <w:t>J</w:t>
            </w:r>
          </w:p>
        </w:tc>
        <w:tc>
          <w:tcPr>
            <w:tcW w:w="2457" w:type="dxa"/>
            <w:shd w:val="clear" w:color="auto" w:fill="auto"/>
            <w:vAlign w:val="bottom"/>
            <w:hideMark/>
          </w:tcPr>
          <w:p w:rsidR="004C7625" w:rsidRPr="007F2B12" w:rsidRDefault="004C7625" w:rsidP="007F2B12">
            <w:pPr>
              <w:spacing w:before="80" w:after="80" w:line="200" w:lineRule="exact"/>
              <w:jc w:val="right"/>
              <w:rPr>
                <w:i/>
                <w:lang w:eastAsia="de-DE"/>
              </w:rPr>
            </w:pPr>
            <w:r w:rsidRPr="007F2B12">
              <w:rPr>
                <w:i/>
                <w:lang w:eastAsia="de-DE"/>
              </w:rPr>
              <w:t>-</w:t>
            </w:r>
          </w:p>
        </w:tc>
        <w:tc>
          <w:tcPr>
            <w:tcW w:w="2457" w:type="dxa"/>
            <w:shd w:val="clear" w:color="auto" w:fill="auto"/>
            <w:vAlign w:val="bottom"/>
            <w:hideMark/>
          </w:tcPr>
          <w:p w:rsidR="004C7625" w:rsidRPr="007F2B12" w:rsidRDefault="004C7625" w:rsidP="007F2B12">
            <w:pPr>
              <w:spacing w:before="80" w:after="80" w:line="200" w:lineRule="exact"/>
              <w:jc w:val="right"/>
              <w:rPr>
                <w:i/>
                <w:lang w:eastAsia="de-DE"/>
              </w:rPr>
            </w:pPr>
            <w:r w:rsidRPr="007F2B12">
              <w:rPr>
                <w:i/>
                <w:lang w:eastAsia="de-DE"/>
              </w:rPr>
              <w:t>120</w:t>
            </w:r>
          </w:p>
        </w:tc>
      </w:tr>
      <w:tr w:rsidR="004C7625" w:rsidRPr="000A0F34" w:rsidTr="000A5C37">
        <w:trPr>
          <w:cantSplit/>
        </w:trPr>
        <w:tc>
          <w:tcPr>
            <w:tcW w:w="2456" w:type="dxa"/>
            <w:tcBorders>
              <w:bottom w:val="single" w:sz="12" w:space="0" w:color="auto"/>
            </w:tcBorders>
            <w:shd w:val="clear" w:color="auto" w:fill="auto"/>
          </w:tcPr>
          <w:p w:rsidR="004C7625" w:rsidRPr="000A0F34" w:rsidRDefault="004C7625" w:rsidP="009C75A6">
            <w:pPr>
              <w:spacing w:before="40" w:after="40" w:line="220" w:lineRule="exact"/>
              <w:ind w:right="1134"/>
              <w:rPr>
                <w:lang w:eastAsia="de-DE"/>
              </w:rPr>
            </w:pPr>
            <w:r w:rsidRPr="000A0F34">
              <w:rPr>
                <w:lang w:eastAsia="de-DE"/>
              </w:rPr>
              <w:t>K</w:t>
            </w:r>
          </w:p>
        </w:tc>
        <w:tc>
          <w:tcPr>
            <w:tcW w:w="2457" w:type="dxa"/>
            <w:tcBorders>
              <w:bottom w:val="single" w:sz="12" w:space="0" w:color="auto"/>
            </w:tcBorders>
            <w:shd w:val="clear" w:color="auto" w:fill="auto"/>
            <w:vAlign w:val="bottom"/>
          </w:tcPr>
          <w:p w:rsidR="004C7625" w:rsidRPr="007F2B12" w:rsidRDefault="004C7625" w:rsidP="007F2B12">
            <w:pPr>
              <w:spacing w:before="80" w:after="80" w:line="200" w:lineRule="exact"/>
              <w:jc w:val="right"/>
              <w:rPr>
                <w:i/>
                <w:lang w:eastAsia="de-DE"/>
              </w:rPr>
            </w:pPr>
            <w:r w:rsidRPr="007F2B12">
              <w:rPr>
                <w:i/>
                <w:lang w:eastAsia="de-DE"/>
              </w:rPr>
              <w:t>-</w:t>
            </w:r>
          </w:p>
        </w:tc>
        <w:tc>
          <w:tcPr>
            <w:tcW w:w="2457" w:type="dxa"/>
            <w:tcBorders>
              <w:bottom w:val="single" w:sz="12" w:space="0" w:color="auto"/>
            </w:tcBorders>
            <w:shd w:val="clear" w:color="auto" w:fill="auto"/>
            <w:vAlign w:val="bottom"/>
          </w:tcPr>
          <w:p w:rsidR="004C7625" w:rsidRPr="007F2B12" w:rsidRDefault="004C7625" w:rsidP="007F2B12">
            <w:pPr>
              <w:spacing w:before="80" w:after="80" w:line="200" w:lineRule="exact"/>
              <w:jc w:val="right"/>
              <w:rPr>
                <w:i/>
                <w:lang w:eastAsia="de-DE"/>
              </w:rPr>
            </w:pPr>
            <w:r w:rsidRPr="007F2B12">
              <w:rPr>
                <w:i/>
                <w:lang w:eastAsia="de-DE"/>
              </w:rPr>
              <w:t>50</w:t>
            </w:r>
          </w:p>
        </w:tc>
      </w:tr>
    </w:tbl>
    <w:p w:rsidR="004C7625" w:rsidRPr="000A0F34" w:rsidRDefault="004C7625" w:rsidP="002D29AE">
      <w:pPr>
        <w:pStyle w:val="Titre1"/>
        <w:spacing w:before="240" w:after="120" w:line="240" w:lineRule="exact"/>
        <w:rPr>
          <w:lang w:eastAsia="de-DE"/>
        </w:rPr>
      </w:pPr>
      <w:r w:rsidRPr="000A0F34">
        <w:rPr>
          <w:lang w:eastAsia="de-DE"/>
        </w:rPr>
        <w:t>Figure 2a</w:t>
      </w:r>
      <w:r w:rsidR="009C75A6">
        <w:rPr>
          <w:lang w:eastAsia="de-DE"/>
        </w:rPr>
        <w:br/>
      </w:r>
      <w:r>
        <w:rPr>
          <w:lang w:eastAsia="de-DE"/>
        </w:rPr>
        <w:t>Trois pédales</w:t>
      </w:r>
      <w:r w:rsidRPr="000A0F34">
        <w:rPr>
          <w:lang w:eastAsia="de-DE"/>
        </w:rPr>
        <w:t xml:space="preserve"> – </w:t>
      </w:r>
      <w:bookmarkStart w:id="8" w:name="_Hlk31355568"/>
      <w:r>
        <w:rPr>
          <w:lang w:eastAsia="de-DE"/>
        </w:rPr>
        <w:t>Transmission classique</w:t>
      </w:r>
      <w:r w:rsidRPr="000A0F34">
        <w:rPr>
          <w:lang w:eastAsia="de-DE"/>
        </w:rPr>
        <w:t xml:space="preserve"> </w:t>
      </w:r>
      <w:bookmarkEnd w:id="8"/>
      <w:r w:rsidRPr="00C56DAC">
        <w:rPr>
          <w:b/>
          <w:bCs/>
          <w:lang w:eastAsia="de-DE"/>
        </w:rPr>
        <w:t>sans repose-pied</w:t>
      </w:r>
    </w:p>
    <w:p w:rsidR="004C7625" w:rsidRPr="000A0F34" w:rsidRDefault="004C7625" w:rsidP="009C75A6">
      <w:pPr>
        <w:ind w:left="1134"/>
        <w:rPr>
          <w:rFonts w:ascii="Arial" w:hAnsi="Arial" w:cs="Arial"/>
          <w:color w:val="333333"/>
          <w:lang w:eastAsia="de-DE"/>
        </w:rPr>
      </w:pPr>
      <w:r w:rsidRPr="000A0F34">
        <w:rPr>
          <w:rFonts w:ascii="Arial" w:hAnsi="Arial" w:cs="Arial"/>
          <w:noProof/>
          <w:color w:val="333333"/>
          <w:lang w:eastAsia="de-DE"/>
        </w:rPr>
        <w:drawing>
          <wp:inline distT="0" distB="0" distL="0" distR="0" wp14:anchorId="17FC0A83" wp14:editId="3B2C0B99">
            <wp:extent cx="3600000" cy="2066400"/>
            <wp:effectExtent l="0" t="0" r="63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12350"/>
                    <a:stretch/>
                  </pic:blipFill>
                  <pic:spPr bwMode="auto">
                    <a:xfrm>
                      <a:off x="0" y="0"/>
                      <a:ext cx="3600000" cy="2066400"/>
                    </a:xfrm>
                    <a:prstGeom prst="rect">
                      <a:avLst/>
                    </a:prstGeom>
                    <a:noFill/>
                    <a:ln>
                      <a:noFill/>
                    </a:ln>
                    <a:effectLst/>
                  </pic:spPr>
                </pic:pic>
              </a:graphicData>
            </a:graphic>
          </wp:inline>
        </w:drawing>
      </w:r>
    </w:p>
    <w:p w:rsidR="004C7625" w:rsidRPr="009C75A6" w:rsidRDefault="004C7625" w:rsidP="00A66D73">
      <w:pPr>
        <w:pStyle w:val="Titre1"/>
        <w:spacing w:after="120" w:line="240" w:lineRule="exact"/>
        <w:rPr>
          <w:rFonts w:asciiTheme="majorBidi" w:hAnsiTheme="majorBidi" w:cstheme="majorBidi"/>
          <w:b/>
          <w:color w:val="333333"/>
          <w:lang w:eastAsia="de-DE"/>
        </w:rPr>
      </w:pPr>
      <w:r w:rsidRPr="009C75A6">
        <w:rPr>
          <w:rFonts w:asciiTheme="majorBidi" w:hAnsiTheme="majorBidi" w:cstheme="majorBidi"/>
          <w:b/>
          <w:color w:val="333333"/>
          <w:lang w:eastAsia="de-DE"/>
        </w:rPr>
        <w:t>Figure 2b</w:t>
      </w:r>
      <w:r w:rsidR="009C75A6" w:rsidRPr="009C75A6">
        <w:rPr>
          <w:rFonts w:asciiTheme="majorBidi" w:hAnsiTheme="majorBidi" w:cstheme="majorBidi"/>
          <w:b/>
          <w:color w:val="333333"/>
          <w:lang w:eastAsia="de-DE"/>
        </w:rPr>
        <w:br/>
      </w:r>
      <w:r w:rsidRPr="009C75A6">
        <w:rPr>
          <w:b/>
          <w:bCs/>
          <w:szCs w:val="24"/>
        </w:rPr>
        <w:t>Trois pédales</w:t>
      </w:r>
      <w:r w:rsidRPr="009C75A6">
        <w:rPr>
          <w:rFonts w:asciiTheme="majorBidi" w:hAnsiTheme="majorBidi" w:cstheme="majorBidi"/>
          <w:b/>
          <w:bCs/>
          <w:color w:val="333333"/>
          <w:lang w:eastAsia="de-DE"/>
        </w:rPr>
        <w:t xml:space="preserve"> - Transmission classique avec repose-pied</w:t>
      </w:r>
    </w:p>
    <w:p w:rsidR="004C7625" w:rsidRPr="000A0F34" w:rsidRDefault="004C7625" w:rsidP="009C75A6">
      <w:pPr>
        <w:ind w:left="1134"/>
        <w:rPr>
          <w:rFonts w:ascii="Arial" w:hAnsi="Arial" w:cs="Arial"/>
          <w:color w:val="333333"/>
          <w:lang w:eastAsia="de-DE"/>
        </w:rPr>
      </w:pPr>
      <w:r w:rsidRPr="000A0F34">
        <w:rPr>
          <w:noProof/>
          <w:lang w:eastAsia="de-DE"/>
        </w:rPr>
        <w:drawing>
          <wp:inline distT="0" distB="0" distL="0" distR="0" wp14:anchorId="23C5B56A" wp14:editId="72CD6C43">
            <wp:extent cx="3600000" cy="2149200"/>
            <wp:effectExtent l="0" t="0" r="635"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000" cy="2149200"/>
                    </a:xfrm>
                    <a:prstGeom prst="rect">
                      <a:avLst/>
                    </a:prstGeom>
                  </pic:spPr>
                </pic:pic>
              </a:graphicData>
            </a:graphic>
          </wp:inline>
        </w:drawing>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2"/>
        <w:gridCol w:w="2465"/>
        <w:gridCol w:w="2453"/>
      </w:tblGrid>
      <w:tr w:rsidR="004C7625" w:rsidRPr="000A0F34" w:rsidTr="000A5C37">
        <w:trPr>
          <w:tblHeader/>
        </w:trPr>
        <w:tc>
          <w:tcPr>
            <w:tcW w:w="1664" w:type="pct"/>
            <w:tcBorders>
              <w:top w:val="single" w:sz="4" w:space="0" w:color="auto"/>
              <w:bottom w:val="single" w:sz="12" w:space="0" w:color="auto"/>
            </w:tcBorders>
            <w:shd w:val="clear" w:color="auto" w:fill="auto"/>
            <w:vAlign w:val="bottom"/>
            <w:hideMark/>
          </w:tcPr>
          <w:p w:rsidR="004C7625" w:rsidRPr="000A0F34" w:rsidRDefault="004C7625" w:rsidP="002D29AE">
            <w:pPr>
              <w:keepNext/>
              <w:keepLines/>
              <w:spacing w:before="80" w:after="80" w:line="200" w:lineRule="exact"/>
              <w:rPr>
                <w:i/>
                <w:lang w:eastAsia="de-DE"/>
              </w:rPr>
            </w:pPr>
          </w:p>
        </w:tc>
        <w:tc>
          <w:tcPr>
            <w:tcW w:w="1672" w:type="pct"/>
            <w:tcBorders>
              <w:top w:val="single" w:sz="4" w:space="0" w:color="auto"/>
              <w:bottom w:val="single" w:sz="12" w:space="0" w:color="auto"/>
            </w:tcBorders>
            <w:shd w:val="clear" w:color="auto" w:fill="auto"/>
            <w:vAlign w:val="bottom"/>
            <w:hideMark/>
          </w:tcPr>
          <w:p w:rsidR="004C7625" w:rsidRPr="000A0F34" w:rsidRDefault="004C7625" w:rsidP="00C56DAC">
            <w:pPr>
              <w:keepNext/>
              <w:keepLines/>
              <w:spacing w:before="80" w:after="80" w:line="200" w:lineRule="exact"/>
              <w:jc w:val="right"/>
              <w:rPr>
                <w:i/>
                <w:lang w:eastAsia="de-DE"/>
              </w:rPr>
            </w:pPr>
            <w:r w:rsidRPr="000A0F34">
              <w:rPr>
                <w:i/>
                <w:lang w:eastAsia="de-DE"/>
              </w:rPr>
              <w:t>max.</w:t>
            </w:r>
          </w:p>
        </w:tc>
        <w:tc>
          <w:tcPr>
            <w:tcW w:w="1664" w:type="pct"/>
            <w:tcBorders>
              <w:top w:val="single" w:sz="4" w:space="0" w:color="auto"/>
              <w:bottom w:val="single" w:sz="12" w:space="0" w:color="auto"/>
            </w:tcBorders>
            <w:shd w:val="clear" w:color="auto" w:fill="auto"/>
            <w:vAlign w:val="bottom"/>
            <w:hideMark/>
          </w:tcPr>
          <w:p w:rsidR="004C7625" w:rsidRPr="000A0F34" w:rsidRDefault="004C7625" w:rsidP="00C56DAC">
            <w:pPr>
              <w:keepNext/>
              <w:keepLines/>
              <w:spacing w:before="80" w:after="80" w:line="200" w:lineRule="exact"/>
              <w:jc w:val="right"/>
              <w:rPr>
                <w:i/>
                <w:lang w:eastAsia="de-DE"/>
              </w:rPr>
            </w:pPr>
            <w:r w:rsidRPr="000A0F34">
              <w:rPr>
                <w:i/>
                <w:lang w:eastAsia="de-DE"/>
              </w:rPr>
              <w:t>min.</w:t>
            </w:r>
          </w:p>
        </w:tc>
      </w:tr>
      <w:tr w:rsidR="004C7625" w:rsidRPr="000A0F34" w:rsidTr="000A5C37">
        <w:tc>
          <w:tcPr>
            <w:tcW w:w="1664" w:type="pct"/>
            <w:tcBorders>
              <w:top w:val="single" w:sz="12" w:space="0" w:color="auto"/>
            </w:tcBorders>
            <w:shd w:val="clear" w:color="auto" w:fill="auto"/>
            <w:hideMark/>
          </w:tcPr>
          <w:p w:rsidR="004C7625" w:rsidRPr="000A0F34" w:rsidRDefault="004C7625" w:rsidP="002D29AE">
            <w:pPr>
              <w:keepNext/>
              <w:keepLines/>
              <w:spacing w:before="40" w:after="40" w:line="220" w:lineRule="exact"/>
              <w:rPr>
                <w:lang w:eastAsia="de-DE"/>
              </w:rPr>
            </w:pPr>
            <w:r w:rsidRPr="000A0F34">
              <w:rPr>
                <w:lang w:eastAsia="de-DE"/>
              </w:rPr>
              <w:t>E</w:t>
            </w:r>
          </w:p>
        </w:tc>
        <w:tc>
          <w:tcPr>
            <w:tcW w:w="1672" w:type="pct"/>
            <w:tcBorders>
              <w:top w:val="single" w:sz="12" w:space="0" w:color="auto"/>
            </w:tcBorders>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100</w:t>
            </w:r>
          </w:p>
        </w:tc>
        <w:tc>
          <w:tcPr>
            <w:tcW w:w="1664" w:type="pct"/>
            <w:tcBorders>
              <w:top w:val="single" w:sz="12" w:space="0" w:color="auto"/>
            </w:tcBorders>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50</w:t>
            </w:r>
          </w:p>
        </w:tc>
      </w:tr>
      <w:tr w:rsidR="004C7625" w:rsidRPr="000A0F34" w:rsidTr="000A5C37">
        <w:tc>
          <w:tcPr>
            <w:tcW w:w="1664" w:type="pct"/>
            <w:shd w:val="clear" w:color="auto" w:fill="auto"/>
            <w:hideMark/>
          </w:tcPr>
          <w:p w:rsidR="004C7625" w:rsidRPr="000A0F34" w:rsidRDefault="004C7625" w:rsidP="002D29AE">
            <w:pPr>
              <w:keepNext/>
              <w:keepLines/>
              <w:spacing w:before="40" w:after="40" w:line="220" w:lineRule="exact"/>
              <w:rPr>
                <w:lang w:eastAsia="de-DE"/>
              </w:rPr>
            </w:pPr>
            <w:r w:rsidRPr="000A0F34">
              <w:rPr>
                <w:lang w:eastAsia="de-DE"/>
              </w:rPr>
              <w:t>F</w:t>
            </w:r>
          </w:p>
        </w:tc>
        <w:tc>
          <w:tcPr>
            <w:tcW w:w="1672" w:type="pct"/>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w:t>
            </w:r>
          </w:p>
        </w:tc>
        <w:tc>
          <w:tcPr>
            <w:tcW w:w="1664" w:type="pct"/>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50</w:t>
            </w:r>
          </w:p>
        </w:tc>
      </w:tr>
      <w:tr w:rsidR="004C7625" w:rsidRPr="000A0F34" w:rsidTr="000A5C37">
        <w:tc>
          <w:tcPr>
            <w:tcW w:w="1664" w:type="pct"/>
            <w:shd w:val="clear" w:color="auto" w:fill="auto"/>
            <w:hideMark/>
          </w:tcPr>
          <w:p w:rsidR="004C7625" w:rsidRPr="000A0F34" w:rsidRDefault="004C7625" w:rsidP="002D29AE">
            <w:pPr>
              <w:keepNext/>
              <w:keepLines/>
              <w:spacing w:before="40" w:after="40" w:line="220" w:lineRule="exact"/>
              <w:rPr>
                <w:lang w:eastAsia="de-DE"/>
              </w:rPr>
            </w:pPr>
            <w:r w:rsidRPr="000A0F34">
              <w:rPr>
                <w:lang w:eastAsia="de-DE"/>
              </w:rPr>
              <w:t>G</w:t>
            </w:r>
          </w:p>
        </w:tc>
        <w:tc>
          <w:tcPr>
            <w:tcW w:w="1672" w:type="pct"/>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w:t>
            </w:r>
          </w:p>
        </w:tc>
        <w:tc>
          <w:tcPr>
            <w:tcW w:w="1664" w:type="pct"/>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50</w:t>
            </w:r>
          </w:p>
        </w:tc>
      </w:tr>
      <w:tr w:rsidR="004C7625" w:rsidRPr="000A0F34" w:rsidTr="000A5C37">
        <w:tc>
          <w:tcPr>
            <w:tcW w:w="1664" w:type="pct"/>
            <w:shd w:val="clear" w:color="auto" w:fill="auto"/>
            <w:hideMark/>
          </w:tcPr>
          <w:p w:rsidR="004C7625" w:rsidRPr="000A0F34" w:rsidRDefault="004C7625" w:rsidP="002D29AE">
            <w:pPr>
              <w:keepNext/>
              <w:keepLines/>
              <w:spacing w:before="40" w:after="40" w:line="220" w:lineRule="exact"/>
              <w:rPr>
                <w:lang w:eastAsia="de-DE"/>
              </w:rPr>
            </w:pPr>
            <w:r w:rsidRPr="000A0F34">
              <w:rPr>
                <w:lang w:eastAsia="de-DE"/>
              </w:rPr>
              <w:t>H</w:t>
            </w:r>
          </w:p>
        </w:tc>
        <w:tc>
          <w:tcPr>
            <w:tcW w:w="1672" w:type="pct"/>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w:t>
            </w:r>
          </w:p>
        </w:tc>
        <w:tc>
          <w:tcPr>
            <w:tcW w:w="1664" w:type="pct"/>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130</w:t>
            </w:r>
          </w:p>
        </w:tc>
      </w:tr>
      <w:tr w:rsidR="004C7625" w:rsidRPr="000A0F34" w:rsidTr="000A5C37">
        <w:tc>
          <w:tcPr>
            <w:tcW w:w="1664" w:type="pct"/>
            <w:shd w:val="clear" w:color="auto" w:fill="auto"/>
            <w:hideMark/>
          </w:tcPr>
          <w:p w:rsidR="004C7625" w:rsidRPr="000A0F34" w:rsidRDefault="004C7625" w:rsidP="002D29AE">
            <w:pPr>
              <w:keepNext/>
              <w:keepLines/>
              <w:spacing w:before="40" w:after="40" w:line="220" w:lineRule="exact"/>
              <w:rPr>
                <w:lang w:eastAsia="de-DE"/>
              </w:rPr>
            </w:pPr>
            <w:r w:rsidRPr="000A0F34">
              <w:rPr>
                <w:lang w:eastAsia="de-DE"/>
              </w:rPr>
              <w:t>J</w:t>
            </w:r>
          </w:p>
        </w:tc>
        <w:tc>
          <w:tcPr>
            <w:tcW w:w="1672" w:type="pct"/>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w:t>
            </w:r>
          </w:p>
        </w:tc>
        <w:tc>
          <w:tcPr>
            <w:tcW w:w="1664" w:type="pct"/>
            <w:shd w:val="clear" w:color="auto" w:fill="auto"/>
            <w:vAlign w:val="bottom"/>
            <w:hideMark/>
          </w:tcPr>
          <w:p w:rsidR="004C7625" w:rsidRPr="000A0F34" w:rsidRDefault="004C7625" w:rsidP="00C56DAC">
            <w:pPr>
              <w:keepNext/>
              <w:keepLines/>
              <w:spacing w:before="40" w:after="40" w:line="220" w:lineRule="exact"/>
              <w:jc w:val="right"/>
              <w:rPr>
                <w:lang w:eastAsia="de-DE"/>
              </w:rPr>
            </w:pPr>
            <w:r w:rsidRPr="000A0F34">
              <w:rPr>
                <w:lang w:eastAsia="de-DE"/>
              </w:rPr>
              <w:t>160</w:t>
            </w:r>
          </w:p>
        </w:tc>
      </w:tr>
      <w:tr w:rsidR="004C7625" w:rsidRPr="000A0F34" w:rsidTr="000A5C37">
        <w:tc>
          <w:tcPr>
            <w:tcW w:w="1664" w:type="pct"/>
            <w:tcBorders>
              <w:bottom w:val="single" w:sz="12" w:space="0" w:color="auto"/>
            </w:tcBorders>
            <w:shd w:val="clear" w:color="auto" w:fill="auto"/>
          </w:tcPr>
          <w:p w:rsidR="004C7625" w:rsidRPr="000A0F34" w:rsidRDefault="004C7625" w:rsidP="009C75A6">
            <w:pPr>
              <w:spacing w:before="40" w:after="40" w:line="220" w:lineRule="exact"/>
              <w:rPr>
                <w:lang w:eastAsia="de-DE"/>
              </w:rPr>
            </w:pPr>
            <w:r w:rsidRPr="000A0F34">
              <w:rPr>
                <w:lang w:eastAsia="de-DE"/>
              </w:rPr>
              <w:t>K</w:t>
            </w:r>
          </w:p>
        </w:tc>
        <w:tc>
          <w:tcPr>
            <w:tcW w:w="1672" w:type="pct"/>
            <w:tcBorders>
              <w:bottom w:val="single" w:sz="12" w:space="0" w:color="auto"/>
            </w:tcBorders>
            <w:shd w:val="clear" w:color="auto" w:fill="auto"/>
            <w:vAlign w:val="bottom"/>
          </w:tcPr>
          <w:p w:rsidR="004C7625" w:rsidRPr="000A0F34" w:rsidRDefault="004C7625" w:rsidP="00C56DAC">
            <w:pPr>
              <w:spacing w:before="40" w:after="40" w:line="220" w:lineRule="exact"/>
              <w:jc w:val="right"/>
              <w:rPr>
                <w:lang w:eastAsia="de-DE"/>
              </w:rPr>
            </w:pPr>
            <w:r w:rsidRPr="000A0F34">
              <w:rPr>
                <w:lang w:eastAsia="de-DE"/>
              </w:rPr>
              <w:t>-</w:t>
            </w:r>
          </w:p>
        </w:tc>
        <w:tc>
          <w:tcPr>
            <w:tcW w:w="1664" w:type="pct"/>
            <w:tcBorders>
              <w:bottom w:val="single" w:sz="12" w:space="0" w:color="auto"/>
            </w:tcBorders>
            <w:shd w:val="clear" w:color="auto" w:fill="auto"/>
            <w:vAlign w:val="bottom"/>
          </w:tcPr>
          <w:p w:rsidR="004C7625" w:rsidRPr="000A0F34" w:rsidRDefault="004C7625" w:rsidP="00C56DAC">
            <w:pPr>
              <w:spacing w:before="40" w:after="40" w:line="220" w:lineRule="exact"/>
              <w:jc w:val="right"/>
              <w:rPr>
                <w:lang w:eastAsia="de-DE"/>
              </w:rPr>
            </w:pPr>
            <w:r w:rsidRPr="000A0F34">
              <w:rPr>
                <w:lang w:eastAsia="de-DE"/>
              </w:rPr>
              <w:t>50</w:t>
            </w:r>
          </w:p>
        </w:tc>
      </w:tr>
    </w:tbl>
    <w:p w:rsidR="004C7625" w:rsidRPr="000A0F34" w:rsidRDefault="004C7625" w:rsidP="009C75A6">
      <w:pPr>
        <w:pStyle w:val="HChG"/>
      </w:pPr>
      <w:r w:rsidRPr="000A0F34">
        <w:tab/>
        <w:t>II.</w:t>
      </w:r>
      <w:r w:rsidRPr="000A0F34">
        <w:tab/>
        <w:t>Justification</w:t>
      </w:r>
    </w:p>
    <w:p w:rsidR="004C7625" w:rsidRPr="000A0F34" w:rsidRDefault="004C7625" w:rsidP="009C75A6">
      <w:pPr>
        <w:pStyle w:val="SingleTxtG"/>
      </w:pPr>
      <w:r w:rsidRPr="000A0F34">
        <w:t>1.</w:t>
      </w:r>
      <w:r w:rsidRPr="000A0F34">
        <w:tab/>
      </w:r>
      <w:r>
        <w:t>La modification des p</w:t>
      </w:r>
      <w:r w:rsidRPr="000A0F34">
        <w:t>aragraph</w:t>
      </w:r>
      <w:r>
        <w:t>e</w:t>
      </w:r>
      <w:r w:rsidRPr="000A0F34">
        <w:t xml:space="preserve">s 5.5 </w:t>
      </w:r>
      <w:r>
        <w:t>et</w:t>
      </w:r>
      <w:r w:rsidRPr="000A0F34">
        <w:t xml:space="preserve"> 5.6 </w:t>
      </w:r>
      <w:r>
        <w:t>consiste en l</w:t>
      </w:r>
      <w:r w:rsidRPr="00846175">
        <w:t>’</w:t>
      </w:r>
      <w:r>
        <w:t>ajout de renvois à « </w:t>
      </w:r>
      <w:r w:rsidRPr="000A0F34">
        <w:t>F</w:t>
      </w:r>
      <w:r>
        <w:t> »</w:t>
      </w:r>
      <w:r w:rsidRPr="000A0F34">
        <w:t xml:space="preserve"> </w:t>
      </w:r>
      <w:r>
        <w:t>et à</w:t>
      </w:r>
      <w:r w:rsidRPr="000A0F34">
        <w:t xml:space="preserve"> </w:t>
      </w:r>
      <w:r>
        <w:t>« </w:t>
      </w:r>
      <w:r w:rsidRPr="000A0F34">
        <w:t>G</w:t>
      </w:r>
      <w:r>
        <w:t> »</w:t>
      </w:r>
      <w:r w:rsidRPr="000A0F34">
        <w:t xml:space="preserve"> </w:t>
      </w:r>
      <w:r>
        <w:t>pour plus de clarté</w:t>
      </w:r>
      <w:r w:rsidRPr="000A0F34">
        <w:t>.</w:t>
      </w:r>
    </w:p>
    <w:p w:rsidR="004C7625" w:rsidRPr="000A0F34" w:rsidRDefault="004C7625" w:rsidP="009C75A6">
      <w:pPr>
        <w:pStyle w:val="SingleTxtG"/>
      </w:pPr>
      <w:r w:rsidRPr="000A0F34">
        <w:t>2.</w:t>
      </w:r>
      <w:r w:rsidRPr="000A0F34">
        <w:tab/>
      </w:r>
      <w:r>
        <w:t>Il devrait être possible de placer le pied gauche en position de repos sur le plancher ou sur le repose-pied de telle manière qu’il ne soit pas coincé dans les pédales</w:t>
      </w:r>
      <w:r w:rsidRPr="000A0F34">
        <w:t xml:space="preserve">. </w:t>
      </w:r>
      <w:r w:rsidRPr="00325E3F">
        <w:t>Il devrait aussi être possible d’actionner une pédale sur toute sa course sans actionner par inadvertance d’autres commandes au pied.</w:t>
      </w:r>
    </w:p>
    <w:p w:rsidR="004C7625" w:rsidRPr="000A0F34" w:rsidRDefault="004C7625" w:rsidP="00A66D73">
      <w:pPr>
        <w:pStyle w:val="SingleTxtG"/>
        <w:spacing w:line="230" w:lineRule="atLeast"/>
      </w:pPr>
      <w:r w:rsidRPr="000A0F34">
        <w:t>3.</w:t>
      </w:r>
      <w:r w:rsidRPr="000A0F34">
        <w:tab/>
      </w:r>
      <w:r>
        <w:t xml:space="preserve">La présente proposition </w:t>
      </w:r>
      <w:r w:rsidRPr="001E1A2F">
        <w:t xml:space="preserve">précise donc la méthode de mesure des distances latérales </w:t>
      </w:r>
      <w:r w:rsidRPr="000A0F34">
        <w:t>(J</w:t>
      </w:r>
      <w:r w:rsidR="00226944">
        <w:t> </w:t>
      </w:r>
      <w:r>
        <w:t>et</w:t>
      </w:r>
      <w:r w:rsidRPr="000A0F34">
        <w:t xml:space="preserve"> G) </w:t>
      </w:r>
      <w:r w:rsidRPr="001E1A2F">
        <w:t>entre les pédales et la «</w:t>
      </w:r>
      <w:r w:rsidR="00226944">
        <w:t> </w:t>
      </w:r>
      <w:r w:rsidRPr="001E1A2F">
        <w:t>paroi</w:t>
      </w:r>
      <w:r w:rsidR="00226944">
        <w:t> </w:t>
      </w:r>
      <w:r w:rsidRPr="001E1A2F">
        <w:t>» la plus proche à leur gauche.</w:t>
      </w:r>
      <w:r w:rsidRPr="000A0F34">
        <w:t xml:space="preserve"> </w:t>
      </w:r>
      <w:r w:rsidRPr="001E1A2F">
        <w:t>Pour des raisons de sécurité et de confort, les repose-pied</w:t>
      </w:r>
      <w:r>
        <w:t>s</w:t>
      </w:r>
      <w:r w:rsidRPr="001E1A2F">
        <w:t xml:space="preserve"> sont prévus pour le pied gauche du conducteur</w:t>
      </w:r>
      <w:r w:rsidRPr="000A0F34">
        <w:t xml:space="preserve">. </w:t>
      </w:r>
      <w:r w:rsidRPr="001E1A2F">
        <w:t>Le plan d’appui de tels repose-pied</w:t>
      </w:r>
      <w:r>
        <w:t>s</w:t>
      </w:r>
      <w:r w:rsidRPr="001E1A2F">
        <w:t xml:space="preserve"> peut </w:t>
      </w:r>
      <w:r w:rsidRPr="00B1384A">
        <w:t xml:space="preserve">empiéter sur </w:t>
      </w:r>
      <w:r w:rsidRPr="001E1A2F">
        <w:t>le plan de mesure «</w:t>
      </w:r>
      <w:r w:rsidR="00226944">
        <w:t> </w:t>
      </w:r>
      <w:r w:rsidRPr="001E1A2F">
        <w:t>P</w:t>
      </w:r>
      <w:r w:rsidR="00226944">
        <w:t> </w:t>
      </w:r>
      <w:r w:rsidRPr="001E1A2F">
        <w:t>».</w:t>
      </w:r>
      <w:r w:rsidRPr="000A0F34">
        <w:t xml:space="preserve"> </w:t>
      </w:r>
      <w:r w:rsidRPr="001E1A2F">
        <w:t>La présente proposition précise que dans de tels cas la distance minimale requise pour le pied gauche est mesurée au sommet du repose-pied plutôt qu’entre la pédale la plus à gauche et le repose-pied lui-même.</w:t>
      </w:r>
    </w:p>
    <w:p w:rsidR="004C7625" w:rsidRPr="000A0F34" w:rsidRDefault="004C7625" w:rsidP="00746A6E">
      <w:pPr>
        <w:pStyle w:val="Titre1"/>
      </w:pPr>
      <w:r w:rsidRPr="000A0F34">
        <w:t>Ex</w:t>
      </w:r>
      <w:r>
        <w:t>e</w:t>
      </w:r>
      <w:r w:rsidRPr="000A0F34">
        <w:t xml:space="preserve">mple </w:t>
      </w:r>
      <w:r>
        <w:t>de clarification nécessaire</w:t>
      </w:r>
      <w:r w:rsidRPr="000A0F34">
        <w:t xml:space="preserve"> – M</w:t>
      </w:r>
      <w:r>
        <w:t>esure de</w:t>
      </w:r>
      <w:r w:rsidRPr="000A0F34">
        <w:t xml:space="preserve"> J </w:t>
      </w:r>
      <w:r>
        <w:t xml:space="preserve">dans le système à </w:t>
      </w:r>
      <w:r w:rsidRPr="000A0F34">
        <w:t>2</w:t>
      </w:r>
      <w:r>
        <w:t xml:space="preserve"> pédales </w:t>
      </w:r>
      <w:r w:rsidRPr="000A0F34">
        <w:t>:</w:t>
      </w:r>
    </w:p>
    <w:p w:rsidR="004C7625" w:rsidRPr="000A0F34" w:rsidRDefault="004C7625" w:rsidP="00226944">
      <w:pPr>
        <w:ind w:left="1134"/>
      </w:pPr>
      <w:r w:rsidRPr="000A0F34">
        <w:rPr>
          <w:noProof/>
        </w:rPr>
        <w:drawing>
          <wp:inline distT="0" distB="0" distL="0" distR="0" wp14:anchorId="4DBF2E7D" wp14:editId="3A675DD5">
            <wp:extent cx="4678561" cy="2317981"/>
            <wp:effectExtent l="0" t="0" r="8255"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3314"/>
                    <a:stretch/>
                  </pic:blipFill>
                  <pic:spPr bwMode="auto">
                    <a:xfrm>
                      <a:off x="0" y="0"/>
                      <a:ext cx="4678561" cy="2317981"/>
                    </a:xfrm>
                    <a:prstGeom prst="rect">
                      <a:avLst/>
                    </a:prstGeom>
                    <a:ln>
                      <a:noFill/>
                    </a:ln>
                    <a:extLst>
                      <a:ext uri="{53640926-AAD7-44D8-BBD7-CCE9431645EC}">
                        <a14:shadowObscured xmlns:a14="http://schemas.microsoft.com/office/drawing/2010/main"/>
                      </a:ext>
                    </a:extLst>
                  </pic:spPr>
                </pic:pic>
              </a:graphicData>
            </a:graphic>
          </wp:inline>
        </w:drawing>
      </w:r>
    </w:p>
    <w:p w:rsidR="004C7625" w:rsidRPr="000A0F34" w:rsidRDefault="004C7625" w:rsidP="00746A6E">
      <w:pPr>
        <w:pStyle w:val="SingleTxtG"/>
        <w:spacing w:line="220" w:lineRule="atLeast"/>
      </w:pPr>
      <w:r w:rsidRPr="000A0F34">
        <w:t>4.</w:t>
      </w:r>
      <w:r w:rsidRPr="000A0F34">
        <w:tab/>
      </w:r>
      <w:r w:rsidRPr="001E1A2F">
        <w:t xml:space="preserve">Pour </w:t>
      </w:r>
      <w:r>
        <w:t>que la</w:t>
      </w:r>
      <w:r w:rsidRPr="001E1A2F">
        <w:t xml:space="preserve"> course de la pédale la plus à gauche (que ce soit le frein de service ou l’embrayage)</w:t>
      </w:r>
      <w:r>
        <w:t xml:space="preserve"> soit </w:t>
      </w:r>
      <w:r w:rsidRPr="000D1513">
        <w:t>dégagée</w:t>
      </w:r>
      <w:r>
        <w:t>,</w:t>
      </w:r>
      <w:r w:rsidRPr="001E1A2F">
        <w:t xml:space="preserve"> une distance minimale supplémentaire entre cette pédale et le repose-pied</w:t>
      </w:r>
      <w:r>
        <w:t xml:space="preserve"> est </w:t>
      </w:r>
      <w:r w:rsidRPr="000D1513">
        <w:t>propos</w:t>
      </w:r>
      <w:r>
        <w:t>ée</w:t>
      </w:r>
      <w:r w:rsidRPr="000D1513">
        <w:t xml:space="preserve"> pour la première fois</w:t>
      </w:r>
      <w:r w:rsidRPr="001E1A2F">
        <w:t>.</w:t>
      </w:r>
    </w:p>
    <w:p w:rsidR="004C7625" w:rsidRPr="000A0F34" w:rsidRDefault="004C7625" w:rsidP="00226944">
      <w:pPr>
        <w:ind w:left="1134"/>
      </w:pPr>
      <w:r w:rsidRPr="000A0F34">
        <w:rPr>
          <w:noProof/>
          <w:lang w:eastAsia="de-DE"/>
        </w:rPr>
        <w:drawing>
          <wp:inline distT="0" distB="0" distL="0" distR="0" wp14:anchorId="2A8787DA" wp14:editId="2C737703">
            <wp:extent cx="4678045" cy="1925833"/>
            <wp:effectExtent l="0" t="0" r="825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646" b="9637"/>
                    <a:stretch/>
                  </pic:blipFill>
                  <pic:spPr bwMode="auto">
                    <a:xfrm>
                      <a:off x="0" y="0"/>
                      <a:ext cx="4680000" cy="1926638"/>
                    </a:xfrm>
                    <a:prstGeom prst="rect">
                      <a:avLst/>
                    </a:prstGeom>
                    <a:ln>
                      <a:noFill/>
                    </a:ln>
                    <a:extLst>
                      <a:ext uri="{53640926-AAD7-44D8-BBD7-CCE9431645EC}">
                        <a14:shadowObscured xmlns:a14="http://schemas.microsoft.com/office/drawing/2010/main"/>
                      </a:ext>
                    </a:extLst>
                  </pic:spPr>
                </pic:pic>
              </a:graphicData>
            </a:graphic>
          </wp:inline>
        </w:drawing>
      </w:r>
    </w:p>
    <w:p w:rsidR="004C7625" w:rsidRPr="000A0F34" w:rsidRDefault="004C7625" w:rsidP="00746A6E">
      <w:pPr>
        <w:pStyle w:val="SingleTxtG"/>
        <w:spacing w:line="220" w:lineRule="atLeast"/>
        <w:rPr>
          <w:rFonts w:ascii="Arial" w:hAnsi="Arial" w:cs="Arial"/>
        </w:rPr>
      </w:pPr>
      <w:r w:rsidRPr="000A0F34">
        <w:lastRenderedPageBreak/>
        <w:t>5.</w:t>
      </w:r>
      <w:r w:rsidRPr="000A0F34">
        <w:tab/>
      </w:r>
      <w:r>
        <w:t>La d</w:t>
      </w:r>
      <w:r w:rsidRPr="000A0F34">
        <w:t xml:space="preserve">istance K </w:t>
      </w:r>
      <w:r>
        <w:t>fait son apparition dans l’Annexe</w:t>
      </w:r>
      <w:r w:rsidRPr="000A0F34">
        <w:t xml:space="preserve"> 4 </w:t>
      </w:r>
      <w:r>
        <w:t xml:space="preserve">à des fins de </w:t>
      </w:r>
      <w:r w:rsidRPr="000A0F34">
        <w:t xml:space="preserve">clarification. </w:t>
      </w:r>
      <w:r>
        <w:t>Toutes les distances indiquées dans l’Annexe</w:t>
      </w:r>
      <w:r w:rsidRPr="000A0F34">
        <w:t xml:space="preserve"> </w:t>
      </w:r>
      <w:r>
        <w:t xml:space="preserve">4 du Règlement ONU </w:t>
      </w:r>
      <w:r w:rsidRPr="00155182">
        <w:t>n</w:t>
      </w:r>
      <w:r w:rsidRPr="00155182">
        <w:rPr>
          <w:vertAlign w:val="superscript"/>
        </w:rPr>
        <w:t>o</w:t>
      </w:r>
      <w:r>
        <w:t xml:space="preserve"> </w:t>
      </w:r>
      <w:r w:rsidRPr="000A0F34">
        <w:t xml:space="preserve">35 </w:t>
      </w:r>
      <w:r>
        <w:t xml:space="preserve">sont mesurées sur le plan de référence </w:t>
      </w:r>
      <w:r w:rsidRPr="000A0F34">
        <w:t xml:space="preserve">P. </w:t>
      </w:r>
      <w:r>
        <w:t>Ce plan de référence n’est pas un plan vertical transversal</w:t>
      </w:r>
      <w:r w:rsidRPr="000A0F34">
        <w:t xml:space="preserve">. </w:t>
      </w:r>
      <w:r>
        <w:t xml:space="preserve">Les mesures effectuées sur le plan P ne le sont pas selon l'axe horizontal ou </w:t>
      </w:r>
      <w:r w:rsidRPr="002B68E3">
        <w:t xml:space="preserve">l'axe </w:t>
      </w:r>
      <w:r>
        <w:t>transversal, dans la mesure où c’est la plus petite distance vers la gauche ou vers la droite qui est la plus pertinente</w:t>
      </w:r>
      <w:r w:rsidRPr="000A0F34">
        <w:t xml:space="preserve">. </w:t>
      </w:r>
      <w:r>
        <w:t xml:space="preserve">La méthode de mesure proposée pour </w:t>
      </w:r>
      <w:r w:rsidRPr="000A0F34">
        <w:t xml:space="preserve">K </w:t>
      </w:r>
      <w:r>
        <w:t xml:space="preserve">est conforme à celles d'autres distances mesurées entre des parties fixes et des parties mobiles dans le </w:t>
      </w:r>
      <w:r w:rsidRPr="00226944">
        <w:t>Règlement</w:t>
      </w:r>
      <w:r w:rsidRPr="000A0F34">
        <w:t xml:space="preserve">. </w:t>
      </w:r>
      <w:r>
        <w:t xml:space="preserve">Une projection du repose-pied sur le plan P irait à l’encontre des dispositions du Règlement ONU </w:t>
      </w:r>
      <w:r w:rsidRPr="00654DC1">
        <w:t>n</w:t>
      </w:r>
      <w:r w:rsidRPr="00654DC1">
        <w:rPr>
          <w:vertAlign w:val="superscript"/>
        </w:rPr>
        <w:t>o</w:t>
      </w:r>
      <w:r w:rsidR="00226944">
        <w:t> </w:t>
      </w:r>
      <w:r>
        <w:t>35 où les parties fixes sont représentées en coupe dans le plan P</w:t>
      </w:r>
      <w:r w:rsidRPr="000A0F34">
        <w:t xml:space="preserve">. </w:t>
      </w:r>
      <w:r>
        <w:t xml:space="preserve">Par conséquent, les schémas soumis pour homologation ne présentent habituellement que la section des repose-pieds se trouvant dans le plan </w:t>
      </w:r>
      <w:r w:rsidRPr="000A0F34">
        <w:t>P.</w:t>
      </w:r>
    </w:p>
    <w:p w:rsidR="004C7625" w:rsidRPr="000A0F34" w:rsidRDefault="004C7625" w:rsidP="00746A6E">
      <w:pPr>
        <w:ind w:left="1134"/>
      </w:pPr>
      <w:r w:rsidRPr="000A0F34">
        <w:rPr>
          <w:noProof/>
          <w:lang w:eastAsia="de-DE"/>
        </w:rPr>
        <w:drawing>
          <wp:inline distT="0" distB="0" distL="0" distR="0" wp14:anchorId="64A96622" wp14:editId="51C02175">
            <wp:extent cx="4680000" cy="2469600"/>
            <wp:effectExtent l="0" t="0" r="6350" b="698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00" b="6309"/>
                    <a:stretch/>
                  </pic:blipFill>
                  <pic:spPr bwMode="auto">
                    <a:xfrm>
                      <a:off x="0" y="0"/>
                      <a:ext cx="4680000" cy="2469600"/>
                    </a:xfrm>
                    <a:prstGeom prst="rect">
                      <a:avLst/>
                    </a:prstGeom>
                    <a:ln>
                      <a:noFill/>
                    </a:ln>
                    <a:extLst>
                      <a:ext uri="{53640926-AAD7-44D8-BBD7-CCE9431645EC}">
                        <a14:shadowObscured xmlns:a14="http://schemas.microsoft.com/office/drawing/2010/main"/>
                      </a:ext>
                    </a:extLst>
                  </pic:spPr>
                </pic:pic>
              </a:graphicData>
            </a:graphic>
          </wp:inline>
        </w:drawing>
      </w:r>
    </w:p>
    <w:p w:rsidR="004C7625" w:rsidRPr="000A0F34" w:rsidRDefault="004C7625" w:rsidP="00A66D73">
      <w:pPr>
        <w:pStyle w:val="SingleTxtG"/>
        <w:rPr>
          <w:rFonts w:eastAsiaTheme="minorEastAsia"/>
          <w:lang w:eastAsia="ko-KR"/>
        </w:rPr>
      </w:pPr>
      <w:r w:rsidRPr="000A0F34">
        <w:t>6.</w:t>
      </w:r>
      <w:r w:rsidRPr="000A0F34">
        <w:tab/>
      </w:r>
      <w:r>
        <w:t>La présente</w:t>
      </w:r>
      <w:r w:rsidRPr="001E1A2F">
        <w:t xml:space="preserve"> proposition est présentée sous la forme d’une nouvelle série d’amendements car elle est susceptible </w:t>
      </w:r>
      <w:r>
        <w:t>d'être source de</w:t>
      </w:r>
      <w:r w:rsidRPr="001E1A2F">
        <w:t xml:space="preserve"> contraintes supplémentaires pour certains constructeurs.</w:t>
      </w:r>
    </w:p>
    <w:p w:rsidR="004C7625" w:rsidRPr="000A0F34" w:rsidRDefault="004C7625" w:rsidP="00A66D73">
      <w:pPr>
        <w:pStyle w:val="SingleTxtG"/>
        <w:rPr>
          <w:rFonts w:eastAsiaTheme="minorEastAsia"/>
          <w:lang w:eastAsia="ko-KR"/>
        </w:rPr>
      </w:pPr>
      <w:r w:rsidRPr="000A0F34">
        <w:rPr>
          <w:rFonts w:eastAsiaTheme="minorEastAsia"/>
          <w:lang w:eastAsia="ko-KR"/>
        </w:rPr>
        <w:t>7.</w:t>
      </w:r>
      <w:r w:rsidRPr="000A0F34">
        <w:rPr>
          <w:rFonts w:eastAsiaTheme="minorEastAsia"/>
          <w:lang w:eastAsia="ko-KR"/>
        </w:rPr>
        <w:tab/>
      </w:r>
      <w:r>
        <w:rPr>
          <w:rFonts w:eastAsiaTheme="minorEastAsia"/>
          <w:lang w:eastAsia="ko-KR"/>
        </w:rPr>
        <w:t>Cette proposition comprend les modifications apportées par le secrétariat à la section</w:t>
      </w:r>
      <w:r w:rsidR="008C6077">
        <w:rPr>
          <w:rFonts w:eastAsiaTheme="minorEastAsia"/>
          <w:lang w:eastAsia="ko-KR"/>
        </w:rPr>
        <w:t> </w:t>
      </w:r>
      <w:r>
        <w:rPr>
          <w:rFonts w:eastAsiaTheme="minorEastAsia"/>
          <w:lang w:eastAsia="ko-KR"/>
        </w:rPr>
        <w:t xml:space="preserve">4 et à l’Annexe 2 s’agissant de la marque d’homologation.  </w:t>
      </w:r>
    </w:p>
    <w:p w:rsidR="003C2E96" w:rsidRDefault="004C7625" w:rsidP="00A66D73">
      <w:pPr>
        <w:pStyle w:val="SingleTxtG"/>
        <w:rPr>
          <w:rFonts w:eastAsiaTheme="minorEastAsia"/>
          <w:lang w:eastAsia="ko-KR"/>
        </w:rPr>
      </w:pPr>
      <w:r w:rsidRPr="000A0F34">
        <w:rPr>
          <w:rFonts w:eastAsiaTheme="minorEastAsia"/>
          <w:lang w:eastAsia="ko-KR"/>
        </w:rPr>
        <w:t>8.</w:t>
      </w:r>
      <w:r w:rsidRPr="000A0F34">
        <w:rPr>
          <w:rFonts w:eastAsiaTheme="minorEastAsia"/>
          <w:lang w:eastAsia="ko-KR"/>
        </w:rPr>
        <w:tab/>
      </w:r>
      <w:r>
        <w:rPr>
          <w:rFonts w:eastAsiaTheme="minorEastAsia"/>
          <w:lang w:eastAsia="ko-KR"/>
        </w:rPr>
        <w:t>La proposition met à jour l’annexe 3 de telle façon qu'il soit fait référence à la Résolution d’ensemble 3 pour la détermination des points R et H ainsi que pour le système de référence à trois dimensions.</w:t>
      </w:r>
    </w:p>
    <w:p w:rsidR="004C7625" w:rsidRPr="004C7625" w:rsidRDefault="004C7625" w:rsidP="004C7625">
      <w:pPr>
        <w:pStyle w:val="SingleTxtG"/>
        <w:spacing w:before="240" w:after="0"/>
        <w:jc w:val="center"/>
        <w:rPr>
          <w:u w:val="single"/>
        </w:rPr>
      </w:pPr>
      <w:r>
        <w:rPr>
          <w:u w:val="single"/>
        </w:rPr>
        <w:tab/>
      </w:r>
      <w:r>
        <w:rPr>
          <w:u w:val="single"/>
        </w:rPr>
        <w:tab/>
      </w:r>
      <w:r>
        <w:rPr>
          <w:u w:val="single"/>
        </w:rPr>
        <w:tab/>
      </w:r>
    </w:p>
    <w:sectPr w:rsidR="004C7625" w:rsidRPr="004C7625" w:rsidSect="006F586A">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3A" w:rsidRDefault="00270B3A" w:rsidP="00F95C08">
      <w:pPr>
        <w:spacing w:line="240" w:lineRule="auto"/>
      </w:pPr>
    </w:p>
  </w:endnote>
  <w:endnote w:type="continuationSeparator" w:id="0">
    <w:p w:rsidR="00270B3A" w:rsidRPr="00AC3823" w:rsidRDefault="00270B3A" w:rsidP="00AC3823">
      <w:pPr>
        <w:pStyle w:val="Pieddepage"/>
      </w:pPr>
    </w:p>
  </w:endnote>
  <w:endnote w:type="continuationNotice" w:id="1">
    <w:p w:rsidR="00270B3A" w:rsidRDefault="00270B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6A" w:rsidRPr="006F586A" w:rsidRDefault="006F586A" w:rsidP="006F586A">
    <w:pPr>
      <w:pStyle w:val="Pieddepage"/>
      <w:tabs>
        <w:tab w:val="right" w:pos="9638"/>
      </w:tabs>
    </w:pPr>
    <w:r w:rsidRPr="006F586A">
      <w:rPr>
        <w:b/>
        <w:sz w:val="18"/>
      </w:rPr>
      <w:fldChar w:fldCharType="begin"/>
    </w:r>
    <w:r w:rsidRPr="006F586A">
      <w:rPr>
        <w:b/>
        <w:sz w:val="18"/>
      </w:rPr>
      <w:instrText xml:space="preserve"> PAGE  \* MERGEFORMAT </w:instrText>
    </w:r>
    <w:r w:rsidRPr="006F586A">
      <w:rPr>
        <w:b/>
        <w:sz w:val="18"/>
      </w:rPr>
      <w:fldChar w:fldCharType="separate"/>
    </w:r>
    <w:r w:rsidRPr="006F586A">
      <w:rPr>
        <w:b/>
        <w:noProof/>
        <w:sz w:val="18"/>
      </w:rPr>
      <w:t>2</w:t>
    </w:r>
    <w:r w:rsidRPr="006F586A">
      <w:rPr>
        <w:b/>
        <w:sz w:val="18"/>
      </w:rPr>
      <w:fldChar w:fldCharType="end"/>
    </w:r>
    <w:r>
      <w:rPr>
        <w:b/>
        <w:sz w:val="18"/>
      </w:rPr>
      <w:tab/>
    </w:r>
    <w:r>
      <w:t>GE.20-00820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6A" w:rsidRPr="006F586A" w:rsidRDefault="006F586A" w:rsidP="006F586A">
    <w:pPr>
      <w:pStyle w:val="Pieddepage"/>
      <w:tabs>
        <w:tab w:val="right" w:pos="9638"/>
      </w:tabs>
      <w:rPr>
        <w:b/>
        <w:sz w:val="18"/>
      </w:rPr>
    </w:pPr>
    <w:r>
      <w:t>GE.20-00820</w:t>
    </w:r>
    <w:r>
      <w:tab/>
    </w:r>
    <w:r w:rsidRPr="006F586A">
      <w:rPr>
        <w:b/>
        <w:sz w:val="18"/>
      </w:rPr>
      <w:fldChar w:fldCharType="begin"/>
    </w:r>
    <w:r w:rsidRPr="006F586A">
      <w:rPr>
        <w:b/>
        <w:sz w:val="18"/>
      </w:rPr>
      <w:instrText xml:space="preserve"> PAGE  \* MERGEFORMAT </w:instrText>
    </w:r>
    <w:r w:rsidRPr="006F586A">
      <w:rPr>
        <w:b/>
        <w:sz w:val="18"/>
      </w:rPr>
      <w:fldChar w:fldCharType="separate"/>
    </w:r>
    <w:r w:rsidRPr="006F586A">
      <w:rPr>
        <w:b/>
        <w:noProof/>
        <w:sz w:val="18"/>
      </w:rPr>
      <w:t>3</w:t>
    </w:r>
    <w:r w:rsidRPr="006F58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F586A" w:rsidRDefault="006F586A" w:rsidP="006F586A">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20-00820  (F)</w:t>
    </w:r>
    <w:r w:rsidR="006A21BD">
      <w:rPr>
        <w:sz w:val="20"/>
      </w:rPr>
      <w:t xml:space="preserve">    040220    0</w:t>
    </w:r>
    <w:r w:rsidR="00713A96">
      <w:rPr>
        <w:sz w:val="20"/>
      </w:rPr>
      <w:t>5</w:t>
    </w:r>
    <w:r w:rsidR="006A21BD">
      <w:rPr>
        <w:sz w:val="20"/>
      </w:rPr>
      <w:t>0220</w:t>
    </w:r>
    <w:r>
      <w:rPr>
        <w:sz w:val="20"/>
      </w:rPr>
      <w:br/>
    </w:r>
    <w:r w:rsidRPr="006F586A">
      <w:rPr>
        <w:rFonts w:ascii="C39T30Lfz" w:hAnsi="C39T30Lfz"/>
        <w:sz w:val="56"/>
      </w:rPr>
      <w:t></w:t>
    </w:r>
    <w:r w:rsidRPr="006F586A">
      <w:rPr>
        <w:rFonts w:ascii="C39T30Lfz" w:hAnsi="C39T30Lfz"/>
        <w:sz w:val="56"/>
      </w:rPr>
      <w:t></w:t>
    </w:r>
    <w:r w:rsidRPr="006F586A">
      <w:rPr>
        <w:rFonts w:ascii="C39T30Lfz" w:hAnsi="C39T30Lfz"/>
        <w:sz w:val="56"/>
      </w:rPr>
      <w:t></w:t>
    </w:r>
    <w:r w:rsidRPr="006F586A">
      <w:rPr>
        <w:rFonts w:ascii="C39T30Lfz" w:hAnsi="C39T30Lfz"/>
        <w:sz w:val="56"/>
      </w:rPr>
      <w:t></w:t>
    </w:r>
    <w:r w:rsidRPr="006F586A">
      <w:rPr>
        <w:rFonts w:ascii="C39T30Lfz" w:hAnsi="C39T30Lfz"/>
        <w:sz w:val="56"/>
      </w:rPr>
      <w:t></w:t>
    </w:r>
    <w:r w:rsidRPr="006F586A">
      <w:rPr>
        <w:rFonts w:ascii="C39T30Lfz" w:hAnsi="C39T30Lfz"/>
        <w:sz w:val="56"/>
      </w:rPr>
      <w:t></w:t>
    </w:r>
    <w:r w:rsidRPr="006F586A">
      <w:rPr>
        <w:rFonts w:ascii="C39T30Lfz" w:hAnsi="C39T30Lfz"/>
        <w:sz w:val="56"/>
      </w:rPr>
      <w:t></w:t>
    </w:r>
    <w:r w:rsidRPr="006F586A">
      <w:rPr>
        <w:rFonts w:ascii="C39T30Lfz" w:hAnsi="C39T30Lfz"/>
        <w:sz w:val="56"/>
      </w:rPr>
      <w:t></w:t>
    </w:r>
    <w:r w:rsidRPr="006F586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3A" w:rsidRPr="00AC3823" w:rsidRDefault="00270B3A" w:rsidP="00AC3823">
      <w:pPr>
        <w:pStyle w:val="Pieddepage"/>
        <w:tabs>
          <w:tab w:val="right" w:pos="2155"/>
        </w:tabs>
        <w:spacing w:after="80" w:line="240" w:lineRule="atLeast"/>
        <w:ind w:left="680"/>
        <w:rPr>
          <w:u w:val="single"/>
        </w:rPr>
      </w:pPr>
      <w:r>
        <w:rPr>
          <w:u w:val="single"/>
        </w:rPr>
        <w:tab/>
      </w:r>
    </w:p>
  </w:footnote>
  <w:footnote w:type="continuationSeparator" w:id="0">
    <w:p w:rsidR="00270B3A" w:rsidRPr="00AC3823" w:rsidRDefault="00270B3A" w:rsidP="00AC3823">
      <w:pPr>
        <w:pStyle w:val="Pieddepage"/>
        <w:tabs>
          <w:tab w:val="right" w:pos="2155"/>
        </w:tabs>
        <w:spacing w:after="80" w:line="240" w:lineRule="atLeast"/>
        <w:ind w:left="680"/>
        <w:rPr>
          <w:u w:val="single"/>
        </w:rPr>
      </w:pPr>
      <w:r>
        <w:rPr>
          <w:u w:val="single"/>
        </w:rPr>
        <w:tab/>
      </w:r>
    </w:p>
  </w:footnote>
  <w:footnote w:type="continuationNotice" w:id="1">
    <w:p w:rsidR="00270B3A" w:rsidRPr="00AC3823" w:rsidRDefault="00270B3A">
      <w:pPr>
        <w:spacing w:line="240" w:lineRule="auto"/>
        <w:rPr>
          <w:sz w:val="2"/>
          <w:szCs w:val="2"/>
        </w:rPr>
      </w:pPr>
    </w:p>
  </w:footnote>
  <w:footnote w:id="2">
    <w:p w:rsidR="002009E1" w:rsidRPr="002009E1" w:rsidRDefault="002009E1">
      <w:pPr>
        <w:pStyle w:val="Notedebasdepage"/>
      </w:pPr>
      <w:r>
        <w:rPr>
          <w:rStyle w:val="Appelnotedebasdep"/>
        </w:rPr>
        <w:tab/>
      </w:r>
      <w:r w:rsidRPr="002009E1">
        <w:rPr>
          <w:rStyle w:val="Appelnotedebasdep"/>
          <w:sz w:val="20"/>
          <w:vertAlign w:val="baseline"/>
        </w:rPr>
        <w:t>*</w:t>
      </w:r>
      <w:r>
        <w:rPr>
          <w:rStyle w:val="Appelnotedebasdep"/>
          <w:sz w:val="20"/>
          <w:vertAlign w:val="baseline"/>
        </w:rPr>
        <w:tab/>
      </w:r>
      <w:r w:rsidRPr="009340CF">
        <w:rPr>
          <w:lang w:eastAsia="fr-FR"/>
        </w:rPr>
        <w:t>Conformément au programme de travail du Comité des transports intérieurs pour 2020 tel qu’il figure dans le projet de budget-programme pour 2020 (A/74/6 (titre V, chap.</w:t>
      </w:r>
      <w:r w:rsidR="002D29AE">
        <w:rPr>
          <w:lang w:eastAsia="fr-FR"/>
        </w:rPr>
        <w:t> </w:t>
      </w:r>
      <w:r w:rsidRPr="009340CF">
        <w:rPr>
          <w:lang w:eastAsia="fr-FR"/>
        </w:rPr>
        <w:t>20), par.</w:t>
      </w:r>
      <w:r w:rsidR="002D29AE">
        <w:rPr>
          <w:lang w:eastAsia="fr-FR"/>
        </w:rPr>
        <w:t> </w:t>
      </w:r>
      <w:r w:rsidRPr="009340CF">
        <w:rPr>
          <w:lang w:eastAsia="fr-FR"/>
        </w:rPr>
        <w:t>20.37), le Forum mondial a pour mission d’élaborer, d’harmoniser et de mettre à jour les Règlements ONU en vue d’améliorer les caractéristiques fonctionnelles des véhicules. Le présent document est soumis en vertu de ce mandat</w:t>
      </w:r>
      <w:r>
        <w:rPr>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6A" w:rsidRPr="006F586A" w:rsidRDefault="008C6077">
    <w:pPr>
      <w:pStyle w:val="En-tte"/>
    </w:pPr>
    <w:fldSimple w:instr=" TITLE  \* MERGEFORMAT ">
      <w:r w:rsidR="00943A05">
        <w:t>ECE/TRANS/WP.29/GRSG/2020/15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6A" w:rsidRPr="006F586A" w:rsidRDefault="008C6077" w:rsidP="006F586A">
    <w:pPr>
      <w:pStyle w:val="En-tte"/>
      <w:jc w:val="right"/>
    </w:pPr>
    <w:fldSimple w:instr=" TITLE  \* MERGEFORMAT ">
      <w:r w:rsidR="00943A05">
        <w:t>ECE/TRANS/WP.29/GRSG/2020/15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0B3A"/>
    <w:rsid w:val="00017F94"/>
    <w:rsid w:val="00023842"/>
    <w:rsid w:val="000334F9"/>
    <w:rsid w:val="000434B3"/>
    <w:rsid w:val="00045FEB"/>
    <w:rsid w:val="000701F0"/>
    <w:rsid w:val="0007796D"/>
    <w:rsid w:val="000B4FBB"/>
    <w:rsid w:val="000B7790"/>
    <w:rsid w:val="00111F2F"/>
    <w:rsid w:val="001234A7"/>
    <w:rsid w:val="0014365E"/>
    <w:rsid w:val="00143C66"/>
    <w:rsid w:val="00167158"/>
    <w:rsid w:val="00176178"/>
    <w:rsid w:val="001F525A"/>
    <w:rsid w:val="002009E1"/>
    <w:rsid w:val="00223272"/>
    <w:rsid w:val="00226944"/>
    <w:rsid w:val="0024779E"/>
    <w:rsid w:val="00257168"/>
    <w:rsid w:val="00270B3A"/>
    <w:rsid w:val="002744B8"/>
    <w:rsid w:val="002832AC"/>
    <w:rsid w:val="002D29AE"/>
    <w:rsid w:val="002D7C93"/>
    <w:rsid w:val="00305801"/>
    <w:rsid w:val="003811E8"/>
    <w:rsid w:val="003916DE"/>
    <w:rsid w:val="003C2794"/>
    <w:rsid w:val="003C2E96"/>
    <w:rsid w:val="00421996"/>
    <w:rsid w:val="00441C3B"/>
    <w:rsid w:val="00446FE5"/>
    <w:rsid w:val="00452396"/>
    <w:rsid w:val="004837D8"/>
    <w:rsid w:val="004C3BA4"/>
    <w:rsid w:val="004C7625"/>
    <w:rsid w:val="004E2EED"/>
    <w:rsid w:val="004E468C"/>
    <w:rsid w:val="005505B7"/>
    <w:rsid w:val="00573BE5"/>
    <w:rsid w:val="00586ED3"/>
    <w:rsid w:val="00596AA9"/>
    <w:rsid w:val="005C357A"/>
    <w:rsid w:val="006A21BD"/>
    <w:rsid w:val="006F586A"/>
    <w:rsid w:val="00713A96"/>
    <w:rsid w:val="0071601D"/>
    <w:rsid w:val="00746A6E"/>
    <w:rsid w:val="007A62E6"/>
    <w:rsid w:val="007F20FA"/>
    <w:rsid w:val="007F2B12"/>
    <w:rsid w:val="0080684C"/>
    <w:rsid w:val="00832D23"/>
    <w:rsid w:val="00871C75"/>
    <w:rsid w:val="008776DC"/>
    <w:rsid w:val="008B0AD4"/>
    <w:rsid w:val="008C6077"/>
    <w:rsid w:val="00943A05"/>
    <w:rsid w:val="009446C0"/>
    <w:rsid w:val="009705C8"/>
    <w:rsid w:val="009C1CF4"/>
    <w:rsid w:val="009C75A6"/>
    <w:rsid w:val="009F6B74"/>
    <w:rsid w:val="00A22B79"/>
    <w:rsid w:val="00A3029F"/>
    <w:rsid w:val="00A30353"/>
    <w:rsid w:val="00A66D73"/>
    <w:rsid w:val="00AC3823"/>
    <w:rsid w:val="00AD0387"/>
    <w:rsid w:val="00AE323C"/>
    <w:rsid w:val="00AF0CB5"/>
    <w:rsid w:val="00B00181"/>
    <w:rsid w:val="00B00B0D"/>
    <w:rsid w:val="00B42622"/>
    <w:rsid w:val="00B45F2E"/>
    <w:rsid w:val="00B54F08"/>
    <w:rsid w:val="00B570EB"/>
    <w:rsid w:val="00B765F7"/>
    <w:rsid w:val="00BA0CA9"/>
    <w:rsid w:val="00C02897"/>
    <w:rsid w:val="00C56DAC"/>
    <w:rsid w:val="00C97039"/>
    <w:rsid w:val="00CA4DEA"/>
    <w:rsid w:val="00D3439C"/>
    <w:rsid w:val="00D75932"/>
    <w:rsid w:val="00DB1831"/>
    <w:rsid w:val="00DD3BFD"/>
    <w:rsid w:val="00DF6678"/>
    <w:rsid w:val="00E0299A"/>
    <w:rsid w:val="00E45F0F"/>
    <w:rsid w:val="00E85C74"/>
    <w:rsid w:val="00EA6547"/>
    <w:rsid w:val="00EB1F7D"/>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8AF1645-B052-442E-9457-B76B6E4D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6F586A"/>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3C2E96"/>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3C2E96"/>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3C2E96"/>
    <w:rPr>
      <w:rFonts w:ascii="Times New Roman" w:hAnsi="Times New Roman" w:cs="Times New Roman"/>
      <w:sz w:val="20"/>
      <w:szCs w:val="20"/>
      <w:lang w:val="en-GB" w:eastAsia="en-US"/>
    </w:rPr>
  </w:style>
  <w:style w:type="table" w:customStyle="1" w:styleId="TableGrid1">
    <w:name w:val="Table Grid1"/>
    <w:basedOn w:val="TableauNormal"/>
    <w:next w:val="Grilledutableau"/>
    <w:uiPriority w:val="59"/>
    <w:rsid w:val="003C2E96"/>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ce.org/trans/main/wp29/wp29wgs/wp29gen/wp29resolutions.html"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raceonline.utac.com/fr/document/show/document_id/1197" TargetMode="External"/><Relationship Id="rId14" Type="http://schemas.openxmlformats.org/officeDocument/2006/relationships/image" Target="media/image5.pn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1BDD-9E26-4814-A82B-289E2563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7</Pages>
  <Words>1607</Words>
  <Characters>9161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ECE/TRANS/WP.29/GRSG/2020/15</vt:lpstr>
    </vt:vector>
  </TitlesOfParts>
  <Company>DCM</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ECE/TRANS/WP.29/GRSG/2020/15</dc:title>
  <dc:subject/>
  <dc:creator>Fabienne CRELIER</dc:creator>
  <cp:keywords/>
  <cp:lastModifiedBy>Julien Okrzesik</cp:lastModifiedBy>
  <cp:revision>2</cp:revision>
  <cp:lastPrinted>2020-02-05T08:19:00Z</cp:lastPrinted>
  <dcterms:created xsi:type="dcterms:W3CDTF">2020-02-05T10:44:00Z</dcterms:created>
  <dcterms:modified xsi:type="dcterms:W3CDTF">2020-02-05T10:44:00Z</dcterms:modified>
</cp:coreProperties>
</file>