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C314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C314E" w:rsidP="001C314E">
            <w:pPr>
              <w:jc w:val="right"/>
            </w:pPr>
            <w:r w:rsidRPr="001C314E">
              <w:rPr>
                <w:sz w:val="40"/>
              </w:rPr>
              <w:t>ECE</w:t>
            </w:r>
            <w:r>
              <w:t>/TRANS/WP.29/GRSG/2020/10</w:t>
            </w:r>
          </w:p>
        </w:tc>
      </w:tr>
      <w:tr w:rsidR="002D5AAC" w:rsidRPr="001C314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C314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C314E" w:rsidRDefault="001C314E" w:rsidP="001C31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January 2020</w:t>
            </w:r>
          </w:p>
          <w:p w:rsidR="001C314E" w:rsidRDefault="001C314E" w:rsidP="001C31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C314E" w:rsidRPr="008D53B6" w:rsidRDefault="001C314E" w:rsidP="001C31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1C314E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C314E" w:rsidRPr="00280F4D" w:rsidRDefault="001C314E" w:rsidP="001C314E">
      <w:pPr>
        <w:spacing w:before="120"/>
        <w:rPr>
          <w:sz w:val="28"/>
          <w:szCs w:val="28"/>
        </w:rPr>
      </w:pPr>
      <w:r w:rsidRPr="00280F4D">
        <w:rPr>
          <w:sz w:val="28"/>
          <w:szCs w:val="28"/>
        </w:rPr>
        <w:t>Комитет по внутреннему транспорту</w:t>
      </w:r>
    </w:p>
    <w:p w:rsidR="001C314E" w:rsidRPr="00280F4D" w:rsidRDefault="001C314E" w:rsidP="001C314E">
      <w:pPr>
        <w:spacing w:before="120"/>
        <w:rPr>
          <w:b/>
          <w:sz w:val="24"/>
          <w:szCs w:val="24"/>
        </w:rPr>
      </w:pPr>
      <w:r w:rsidRPr="00280F4D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280F4D">
        <w:rPr>
          <w:b/>
          <w:bCs/>
          <w:sz w:val="24"/>
          <w:szCs w:val="24"/>
        </w:rPr>
        <w:t>в области транспортных средств</w:t>
      </w:r>
    </w:p>
    <w:p w:rsidR="001C314E" w:rsidRPr="00280F4D" w:rsidRDefault="001C314E" w:rsidP="001C314E">
      <w:pPr>
        <w:spacing w:before="120"/>
        <w:rPr>
          <w:b/>
        </w:rPr>
      </w:pPr>
      <w:r>
        <w:rPr>
          <w:b/>
          <w:bCs/>
        </w:rPr>
        <w:t xml:space="preserve">Рабочая группа по общим предписаниям, </w:t>
      </w:r>
      <w:r>
        <w:rPr>
          <w:b/>
          <w:bCs/>
        </w:rPr>
        <w:br/>
      </w:r>
      <w:r>
        <w:rPr>
          <w:b/>
          <w:bCs/>
        </w:rPr>
        <w:t>касающимся безопасности</w:t>
      </w:r>
    </w:p>
    <w:p w:rsidR="001C314E" w:rsidRPr="00280F4D" w:rsidRDefault="001C314E" w:rsidP="001C314E">
      <w:pPr>
        <w:spacing w:before="120"/>
        <w:rPr>
          <w:b/>
        </w:rPr>
      </w:pPr>
      <w:r>
        <w:rPr>
          <w:b/>
          <w:bCs/>
        </w:rPr>
        <w:t>118-я сессия</w:t>
      </w:r>
    </w:p>
    <w:p w:rsidR="001C314E" w:rsidRPr="00280F4D" w:rsidRDefault="001C314E" w:rsidP="001C314E">
      <w:r>
        <w:t xml:space="preserve">Женева, 30 марта </w:t>
      </w:r>
      <w:r>
        <w:rPr>
          <w:lang w:val="en-US"/>
        </w:rPr>
        <w:t>–</w:t>
      </w:r>
      <w:r>
        <w:t xml:space="preserve"> 3 апреля 2020 года</w:t>
      </w:r>
    </w:p>
    <w:p w:rsidR="001C314E" w:rsidRPr="00280F4D" w:rsidRDefault="001C314E" w:rsidP="001C314E">
      <w:r>
        <w:t>Пункт 9 предварительной повестки дня</w:t>
      </w:r>
    </w:p>
    <w:p w:rsidR="00E12C5F" w:rsidRDefault="001C314E" w:rsidP="001C314E">
      <w:r>
        <w:rPr>
          <w:b/>
          <w:bCs/>
        </w:rPr>
        <w:t xml:space="preserve">Правила № 93 ООН (передняя </w:t>
      </w:r>
      <w:proofErr w:type="spellStart"/>
      <w:r>
        <w:rPr>
          <w:b/>
          <w:bCs/>
        </w:rPr>
        <w:t>противоподкатная</w:t>
      </w:r>
      <w:proofErr w:type="spellEnd"/>
      <w:r>
        <w:rPr>
          <w:b/>
          <w:bCs/>
        </w:rPr>
        <w:t xml:space="preserve"> защита)</w:t>
      </w:r>
    </w:p>
    <w:p w:rsidR="001C314E" w:rsidRPr="00280F4D" w:rsidRDefault="001C314E" w:rsidP="001C314E">
      <w:pPr>
        <w:pStyle w:val="HChG"/>
      </w:pPr>
      <w:r>
        <w:tab/>
      </w:r>
      <w:r>
        <w:tab/>
      </w:r>
      <w:r>
        <w:t xml:space="preserve">Предложение по поправкам серии 01 к Правилам № 93 ООН (передняя </w:t>
      </w:r>
      <w:proofErr w:type="spellStart"/>
      <w:r>
        <w:t>противоподкатная</w:t>
      </w:r>
      <w:proofErr w:type="spellEnd"/>
      <w:r>
        <w:t xml:space="preserve"> защита (ППЗ))</w:t>
      </w:r>
    </w:p>
    <w:p w:rsidR="001C314E" w:rsidRPr="00280F4D" w:rsidRDefault="001C314E" w:rsidP="001C314E">
      <w:pPr>
        <w:pStyle w:val="H1G"/>
      </w:pPr>
      <w:r>
        <w:tab/>
      </w:r>
      <w:r>
        <w:tab/>
      </w:r>
      <w:r>
        <w:rPr>
          <w:bCs/>
        </w:rPr>
        <w:t>Представлено экспертом от Европейской комиссии</w:t>
      </w:r>
      <w:r w:rsidRPr="001C314E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1C314E" w:rsidRDefault="001C314E" w:rsidP="001C314E">
      <w:pPr>
        <w:pStyle w:val="SingleTxtG"/>
      </w:pPr>
      <w:r>
        <w:tab/>
      </w:r>
      <w:r>
        <w:tab/>
      </w:r>
      <w:r>
        <w:t xml:space="preserve">Воспроизведенный ниже текст был подготовлен экспертом от Европейской комиссии в целях обновления положений об устройствах передней </w:t>
      </w:r>
      <w:proofErr w:type="spellStart"/>
      <w:r>
        <w:t>противоподкатной</w:t>
      </w:r>
      <w:proofErr w:type="spellEnd"/>
      <w:r>
        <w:t xml:space="preserve"> защиты (ППЗ), официально утвержденных в качестве неотъемлемого элемента автотранспортного средства. В данной поправке предлагается, в частности, распространить преимущества в плане безопасности и аэродинамики, связанные с произо</w:t>
      </w:r>
      <w:r>
        <w:t>ше</w:t>
      </w:r>
      <w:r>
        <w:t xml:space="preserve">дшей в последнее время эволюцией кабины (гибкость и округлые формы), на большее количество моделей автомобилей. Изменения к нынешнему тексту правил ООН, отраженные в документе ECE/TRANS/WP.29/GRSG/2019/19 с поправками, содержащимися в документе GRSG-117-48, выделены </w:t>
      </w:r>
      <w:r>
        <w:rPr>
          <w:b/>
          <w:bCs/>
        </w:rPr>
        <w:t xml:space="preserve">жирным </w:t>
      </w:r>
      <w:r w:rsidRPr="00280F4D">
        <w:t>шрифтом</w:t>
      </w:r>
      <w:r>
        <w:t>.</w:t>
      </w:r>
    </w:p>
    <w:p w:rsidR="001C314E" w:rsidRDefault="001C314E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1C314E" w:rsidRPr="00280F4D" w:rsidRDefault="001C314E" w:rsidP="001C314E">
      <w:pPr>
        <w:pStyle w:val="HChG"/>
      </w:pPr>
      <w:r>
        <w:lastRenderedPageBreak/>
        <w:tab/>
      </w:r>
      <w:r>
        <w:tab/>
      </w:r>
      <w:r>
        <w:t xml:space="preserve">Предложение по поправкам серии 01 к Правилам № 93 ООН (передняя </w:t>
      </w:r>
      <w:proofErr w:type="spellStart"/>
      <w:r>
        <w:t>противоподкатная</w:t>
      </w:r>
      <w:proofErr w:type="spellEnd"/>
      <w:r>
        <w:t xml:space="preserve"> защита (ППЗ))</w:t>
      </w:r>
      <w:r>
        <w:tab/>
      </w:r>
    </w:p>
    <w:p w:rsidR="001C314E" w:rsidRPr="00280F4D" w:rsidRDefault="001C314E" w:rsidP="001C314E">
      <w:pPr>
        <w:pStyle w:val="HChG"/>
      </w:pPr>
      <w:r>
        <w:tab/>
      </w:r>
      <w:r>
        <w:t>I.</w:t>
      </w:r>
      <w:r>
        <w:tab/>
        <w:t>Предложение</w:t>
      </w:r>
    </w:p>
    <w:p w:rsidR="001C314E" w:rsidRPr="00280F4D" w:rsidRDefault="001C314E" w:rsidP="001C314E">
      <w:pPr>
        <w:pStyle w:val="SingleTxtG"/>
        <w:rPr>
          <w:bCs/>
        </w:rPr>
      </w:pPr>
      <w:r>
        <w:tab/>
      </w:r>
      <w:r>
        <w:rPr>
          <w:i/>
          <w:iCs/>
        </w:rPr>
        <w:t xml:space="preserve">Пункт 1.3 </w:t>
      </w:r>
      <w:r>
        <w:t>изменить следующим образом:</w:t>
      </w:r>
    </w:p>
    <w:p w:rsidR="001C314E" w:rsidRPr="00280F4D" w:rsidRDefault="001C314E" w:rsidP="001C314E">
      <w:pPr>
        <w:pStyle w:val="SingleTxtG"/>
        <w:ind w:left="2268" w:hanging="1134"/>
        <w:rPr>
          <w:b/>
        </w:rPr>
      </w:pPr>
      <w:r>
        <w:rPr>
          <w:bCs/>
        </w:rPr>
        <w:t>«</w:t>
      </w:r>
      <w:r>
        <w:rPr>
          <w:b/>
          <w:bCs/>
        </w:rPr>
        <w:t>1.3</w:t>
      </w:r>
      <w:r>
        <w:tab/>
      </w:r>
      <w:r>
        <w:rPr>
          <w:b/>
          <w:bCs/>
        </w:rPr>
        <w:t>По решению органа по официальному утверждению типа транспортные средства, у которых установка какого-либо устройства ППЗ (например, фиксированного, съемного, складного, регулируемого и т. д.) несовместима с их использованием в дорожных условиях, могут быть частично или полностью освобождены от действия настоящих Правил</w:t>
      </w:r>
      <w:r w:rsidRPr="001C314E">
        <w:rPr>
          <w:bCs/>
        </w:rPr>
        <w:t>».</w:t>
      </w:r>
    </w:p>
    <w:p w:rsidR="001C314E" w:rsidRPr="00280F4D" w:rsidRDefault="001C314E" w:rsidP="001C314E">
      <w:pPr>
        <w:pStyle w:val="SingleTxtG"/>
        <w:ind w:left="567" w:firstLine="567"/>
        <w:rPr>
          <w:bCs/>
        </w:rPr>
      </w:pPr>
      <w:r>
        <w:rPr>
          <w:i/>
          <w:iCs/>
        </w:rPr>
        <w:t xml:space="preserve">Пункты 1.3.1 и 1.3.2 </w:t>
      </w:r>
      <w:r>
        <w:t>исключить.</w:t>
      </w:r>
    </w:p>
    <w:p w:rsidR="001C314E" w:rsidRPr="00280F4D" w:rsidRDefault="001C314E" w:rsidP="001C314E">
      <w:pPr>
        <w:pStyle w:val="SingleTxtG"/>
      </w:pPr>
      <w:r w:rsidRPr="0002231D">
        <w:rPr>
          <w:i/>
        </w:rPr>
        <w:t>Пункт 10.5</w:t>
      </w:r>
      <w:r>
        <w:t xml:space="preserve"> изменить следующим образом:</w:t>
      </w:r>
    </w:p>
    <w:p w:rsidR="001C314E" w:rsidRPr="00280F4D" w:rsidRDefault="001C314E" w:rsidP="001C314E">
      <w:pPr>
        <w:pStyle w:val="SingleTxtG"/>
        <w:ind w:left="2268" w:hanging="1134"/>
      </w:pPr>
      <w:r>
        <w:t>«</w:t>
      </w:r>
      <w:r>
        <w:t>10.5</w:t>
      </w:r>
      <w:r>
        <w:tab/>
        <w:t xml:space="preserve">ППЗ должна обладать достаточной прочностью, с тем чтобы расстояние, измеренное по горизонтали в заднем направлении между наиболее выступающей передней частью транспортного средства, определенной в вертикальной плоскости, параллельной средней продольной плоскости транспортного средства и соответствующей геометрическому центру ударной поверхности испытательного устройства в его первоначальном положении, </w:t>
      </w:r>
      <w:r>
        <w:rPr>
          <w:strike/>
        </w:rPr>
        <w:t>после приложения испытательных нагрузок (указанных в настоящем приложении)</w:t>
      </w:r>
      <w:r>
        <w:t xml:space="preserve"> и ударной поверхностью испытательного устройства, после приложения испытательных нагрузок (указанных в приложении 5), не превышало 400 мм».</w:t>
      </w:r>
    </w:p>
    <w:p w:rsidR="001C314E" w:rsidRPr="00280F4D" w:rsidRDefault="001C314E" w:rsidP="001C314E">
      <w:pPr>
        <w:pStyle w:val="SingleTxtG"/>
        <w:rPr>
          <w:bCs/>
        </w:rPr>
      </w:pPr>
      <w:r>
        <w:rPr>
          <w:i/>
          <w:iCs/>
        </w:rPr>
        <w:t>Включить новые пункты 11–11.6</w:t>
      </w:r>
      <w:r>
        <w:t xml:space="preserve"> следующего содержания:</w:t>
      </w:r>
    </w:p>
    <w:p w:rsidR="001C314E" w:rsidRPr="00280F4D" w:rsidRDefault="001C314E" w:rsidP="001C314E">
      <w:pPr>
        <w:pStyle w:val="HChG"/>
      </w:pPr>
      <w:r>
        <w:tab/>
      </w:r>
      <w:r>
        <w:tab/>
      </w:r>
      <w:r>
        <w:rPr>
          <w:b w:val="0"/>
          <w:bCs/>
          <w:sz w:val="20"/>
        </w:rPr>
        <w:t>«</w:t>
      </w:r>
      <w:r>
        <w:rPr>
          <w:bCs/>
        </w:rPr>
        <w:t>11.</w:t>
      </w:r>
      <w:r>
        <w:tab/>
      </w:r>
      <w:r>
        <w:tab/>
      </w:r>
      <w:r>
        <w:rPr>
          <w:bCs/>
        </w:rPr>
        <w:t>Переходные положения</w:t>
      </w:r>
    </w:p>
    <w:p w:rsidR="001C314E" w:rsidRPr="001C314E" w:rsidRDefault="001C314E" w:rsidP="001C314E">
      <w:pPr>
        <w:pStyle w:val="SingleTxtG"/>
        <w:ind w:left="2268" w:hanging="1134"/>
        <w:rPr>
          <w:b/>
        </w:rPr>
      </w:pPr>
      <w:r w:rsidRPr="0002231D">
        <w:rPr>
          <w:b/>
        </w:rPr>
        <w:t>11.1</w:t>
      </w:r>
      <w:r>
        <w:tab/>
      </w:r>
      <w:r w:rsidRPr="001C314E">
        <w:rPr>
          <w:b/>
        </w:rPr>
        <w:t>Начиная с официальной даты вступления в силу поправок серии 01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01.</w:t>
      </w:r>
    </w:p>
    <w:p w:rsidR="001C314E" w:rsidRPr="00280F4D" w:rsidRDefault="001C314E" w:rsidP="001C314E">
      <w:pPr>
        <w:pStyle w:val="SingleTxtG"/>
        <w:ind w:left="2268" w:hanging="1134"/>
        <w:rPr>
          <w:b/>
        </w:rPr>
      </w:pPr>
      <w:r w:rsidRPr="0002231D">
        <w:rPr>
          <w:b/>
        </w:rPr>
        <w:t>11.2</w:t>
      </w:r>
      <w:r>
        <w:tab/>
      </w:r>
      <w:r>
        <w:rPr>
          <w:b/>
          <w:bCs/>
        </w:rPr>
        <w:t>Начиная с 7 января 2026 года Договаривающиеся стороны, применяющие настоящие Правила, не обязаны признавать официальные утверждения типа, которые были впервые выданы после 7 января 2026 года, на основании поправок первоначальной серии.</w:t>
      </w:r>
    </w:p>
    <w:p w:rsidR="001C314E" w:rsidRPr="00280F4D" w:rsidRDefault="001C314E" w:rsidP="001C314E">
      <w:pPr>
        <w:pStyle w:val="SingleTxtG"/>
        <w:ind w:left="2268" w:hanging="1134"/>
        <w:rPr>
          <w:b/>
        </w:rPr>
      </w:pPr>
      <w:r w:rsidRPr="0002231D">
        <w:rPr>
          <w:b/>
        </w:rPr>
        <w:t>11.3</w:t>
      </w:r>
      <w:r>
        <w:tab/>
      </w:r>
      <w:r>
        <w:rPr>
          <w:b/>
          <w:bCs/>
        </w:rPr>
        <w:t>До 7 января 2029 года Договаривающиеся стороны, применяющие настоящие Правила, признают официальные утверждения типа, которые были впервые выданы до 7 января 2026 года, на основании поправок первоначальной серии.</w:t>
      </w:r>
    </w:p>
    <w:p w:rsidR="001C314E" w:rsidRPr="00280F4D" w:rsidRDefault="001C314E" w:rsidP="001C314E">
      <w:pPr>
        <w:pStyle w:val="SingleTxtG"/>
        <w:ind w:left="2268" w:hanging="1134"/>
        <w:rPr>
          <w:b/>
        </w:rPr>
      </w:pPr>
      <w:r w:rsidRPr="0002231D">
        <w:rPr>
          <w:b/>
        </w:rPr>
        <w:t>11.4</w:t>
      </w:r>
      <w:r>
        <w:tab/>
      </w:r>
      <w:r>
        <w:rPr>
          <w:b/>
          <w:bCs/>
        </w:rPr>
        <w:t>Независимо от положений пункта 11.3 Договаривающиеся стороны, применяющие настоящие Правила, продолжают признавать официальные утверждения типа ППЗУ, выданные на основании поправок первоначальной серии к настоящим Правилам.</w:t>
      </w:r>
    </w:p>
    <w:p w:rsidR="001C314E" w:rsidRPr="00280F4D" w:rsidRDefault="001C314E" w:rsidP="001C314E">
      <w:pPr>
        <w:pStyle w:val="SingleTxtG"/>
        <w:ind w:left="2268" w:hanging="1134"/>
        <w:rPr>
          <w:b/>
        </w:rPr>
      </w:pPr>
      <w:r w:rsidRPr="0002231D">
        <w:rPr>
          <w:b/>
        </w:rPr>
        <w:t>11.5</w:t>
      </w:r>
      <w:r>
        <w:tab/>
      </w:r>
      <w:r>
        <w:rPr>
          <w:b/>
          <w:bCs/>
        </w:rPr>
        <w:t>Независимо от пункта 11.3 Договаривающиеся стороны, применяющие настоящие Правила, продолжают признавать официальные утверждения типа, выданные на основании первоначальной серии поправок к настоящим Правилам для транспортных средств, которые не затронуты изменениями, внесенными на основании поправок серии 01.</w:t>
      </w:r>
    </w:p>
    <w:p w:rsidR="001C314E" w:rsidRPr="00280F4D" w:rsidRDefault="001C314E" w:rsidP="001C314E">
      <w:pPr>
        <w:pStyle w:val="SingleTxtG"/>
        <w:ind w:left="2268" w:hanging="1134"/>
        <w:rPr>
          <w:b/>
        </w:rPr>
      </w:pPr>
      <w:r w:rsidRPr="0002231D">
        <w:rPr>
          <w:b/>
        </w:rPr>
        <w:lastRenderedPageBreak/>
        <w:t>11.6</w:t>
      </w:r>
      <w:r>
        <w:tab/>
      </w:r>
      <w:r>
        <w:rPr>
          <w:b/>
          <w:bCs/>
        </w:rPr>
        <w:t>Договаривающиеся стороны, применяющие настоящие Правила, не отказывают в предоставлении или распространении официальных утверждений типа на основании поправок первоначальной серии к настоящим Правилам</w:t>
      </w:r>
      <w:r w:rsidRPr="001C314E">
        <w:rPr>
          <w:bCs/>
        </w:rPr>
        <w:t>»</w:t>
      </w:r>
      <w:r w:rsidRPr="001C314E">
        <w:rPr>
          <w:bCs/>
        </w:rPr>
        <w:t>.</w:t>
      </w:r>
      <w:r w:rsidRPr="001C314E">
        <w:rPr>
          <w:b/>
        </w:rPr>
        <w:t xml:space="preserve"> </w:t>
      </w:r>
    </w:p>
    <w:p w:rsidR="001C314E" w:rsidRPr="00280F4D" w:rsidRDefault="001C314E" w:rsidP="001C314E">
      <w:pPr>
        <w:pStyle w:val="SingleTxtG"/>
      </w:pPr>
      <w:r>
        <w:rPr>
          <w:i/>
          <w:iCs/>
        </w:rPr>
        <w:t>Приложение 5, добавить новый пункт 2.2</w:t>
      </w:r>
      <w:r>
        <w:t>.6 следующего содержания:</w:t>
      </w:r>
    </w:p>
    <w:p w:rsidR="001C314E" w:rsidRPr="00280F4D" w:rsidRDefault="001C314E" w:rsidP="001C314E">
      <w:pPr>
        <w:pStyle w:val="SingleTxtG"/>
        <w:ind w:left="2268" w:hanging="1134"/>
      </w:pPr>
      <w:r>
        <w:t>«</w:t>
      </w:r>
      <w:r>
        <w:t>2.2.6</w:t>
      </w:r>
      <w:r>
        <w:tab/>
        <w:t>Для недопущения боковой нагрузки на испытательное устройство в ходе испытания ППЗ можно адаптировать в нужном месте с целью обеспечить надлежащий ровный участок для приложения нагрузки. Вместе с тем любое подобное изменение не должно служить для усиления конструкции самой ППЗ».</w:t>
      </w:r>
    </w:p>
    <w:p w:rsidR="001C314E" w:rsidRPr="00280F4D" w:rsidRDefault="001C314E" w:rsidP="001C314E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:rsidR="001C314E" w:rsidRPr="00280F4D" w:rsidRDefault="001C314E" w:rsidP="001C314E">
      <w:pPr>
        <w:pStyle w:val="SingleTxtG"/>
      </w:pPr>
      <w:r>
        <w:t>1.</w:t>
      </w:r>
      <w:r>
        <w:tab/>
        <w:t>Предполагается, что для повышения топливной экономичности и снижения уровня выбросов CO</w:t>
      </w:r>
      <w:r>
        <w:rPr>
          <w:vertAlign w:val="subscript"/>
        </w:rPr>
        <w:t>2</w:t>
      </w:r>
      <w:r>
        <w:t xml:space="preserve"> кабинам грузовых транспортных средств будет придаваться </w:t>
      </w:r>
      <w:proofErr w:type="spellStart"/>
      <w:r w:rsidRPr="002801BC">
        <w:rPr>
          <w:rFonts w:asciiTheme="majorBidi" w:hAnsiTheme="majorBidi" w:cstheme="majorBidi"/>
        </w:rPr>
        <w:t>б</w:t>
      </w:r>
      <w:r w:rsidRPr="002801BC">
        <w:rPr>
          <w:rFonts w:asciiTheme="majorBidi" w:hAnsiTheme="majorBidi" w:cstheme="majorBidi"/>
          <w:color w:val="333333"/>
          <w:shd w:val="clear" w:color="auto" w:fill="FFFFFF"/>
        </w:rPr>
        <w:t>о́</w:t>
      </w:r>
      <w:r w:rsidRPr="002801BC">
        <w:rPr>
          <w:rFonts w:asciiTheme="majorBidi" w:hAnsiTheme="majorBidi" w:cstheme="majorBidi"/>
        </w:rPr>
        <w:t>льшая</w:t>
      </w:r>
      <w:proofErr w:type="spellEnd"/>
      <w:r>
        <w:t xml:space="preserve"> </w:t>
      </w:r>
      <w:proofErr w:type="spellStart"/>
      <w:r>
        <w:t>аэродинамичность</w:t>
      </w:r>
      <w:proofErr w:type="spellEnd"/>
      <w:r>
        <w:t>. В этой связи форма кабин грузовых транспортных средств станет, возможно, более округлой и более уникальной. Таким образом, настоящее предложение имеют целью обновить положения части III, которые предусматривают, что устройства ППЗ служат неотъемлемым элементом автотранспортного средства.</w:t>
      </w:r>
    </w:p>
    <w:p w:rsidR="001C314E" w:rsidRPr="00280F4D" w:rsidRDefault="001C314E" w:rsidP="001C314E">
      <w:pPr>
        <w:pStyle w:val="SingleTxtG"/>
      </w:pPr>
      <w:r>
        <w:t>2.</w:t>
      </w:r>
      <w:r>
        <w:tab/>
        <w:t>Для того чтобы не допустить необоснованных исключений, предлагается согласовать доводы, которые служат основанием для таких исключений, с теми доводами, которые предусмотрены Правилами № 73 ООН.</w:t>
      </w:r>
    </w:p>
    <w:p w:rsidR="001C314E" w:rsidRPr="00280F4D" w:rsidRDefault="001C314E" w:rsidP="001C314E">
      <w:pPr>
        <w:pStyle w:val="SingleTxtG"/>
      </w:pPr>
      <w:r>
        <w:t>3.</w:t>
      </w:r>
      <w:r>
        <w:tab/>
        <w:t xml:space="preserve">Нераспространение действия этого положения на переднюю кабину транспортных средств повышенной проходимости уже возможно в соответствии с требованием RE3 для 4 из 6 проверочных спецификаций (включая положение, регламентирующее </w:t>
      </w:r>
      <w:proofErr w:type="spellStart"/>
      <w:r>
        <w:t>противоподкатные</w:t>
      </w:r>
      <w:proofErr w:type="spellEnd"/>
      <w:r>
        <w:t xml:space="preserve"> параметры передней кабины).</w:t>
      </w:r>
    </w:p>
    <w:p w:rsidR="001C314E" w:rsidRPr="00280F4D" w:rsidRDefault="001C314E" w:rsidP="001C314E">
      <w:pPr>
        <w:pStyle w:val="SingleTxtG"/>
      </w:pPr>
      <w:r>
        <w:t>4.</w:t>
      </w:r>
      <w:r>
        <w:tab/>
        <w:t>Увязка переходных положений с прямым обзором (январь 2026 года для новых типов и январь 2029 года для существующих моделей) возможна по той причине, что концепция прямого обзора предполагает необходимость полного изменения конструкции каби</w:t>
      </w:r>
      <w:bookmarkStart w:id="0" w:name="_GoBack"/>
      <w:bookmarkEnd w:id="0"/>
      <w:r>
        <w:t xml:space="preserve">н и в то же время позволит пересмотреть концепцию передней </w:t>
      </w:r>
      <w:proofErr w:type="spellStart"/>
      <w:r>
        <w:t>противо</w:t>
      </w:r>
      <w:r>
        <w:t>под</w:t>
      </w:r>
      <w:r>
        <w:t>окатной</w:t>
      </w:r>
      <w:proofErr w:type="spellEnd"/>
      <w:r>
        <w:t xml:space="preserve"> защиты. </w:t>
      </w:r>
    </w:p>
    <w:p w:rsidR="001C314E" w:rsidRDefault="001C314E" w:rsidP="001C314E">
      <w:pPr>
        <w:pStyle w:val="SingleTxtG"/>
      </w:pPr>
      <w:r>
        <w:t>5.</w:t>
      </w:r>
      <w:r>
        <w:tab/>
        <w:t>Для того чтобы обеспечить более полный учет изменений, предлагаемых в настоящем документе, было бы целесообразнее сохранить те изменения, касающиеся исключений, которые предусмотрены в этом документе.</w:t>
      </w:r>
    </w:p>
    <w:p w:rsidR="001C314E" w:rsidRPr="001C314E" w:rsidRDefault="001C314E" w:rsidP="001C314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314E" w:rsidRPr="001C314E" w:rsidSect="001C314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AAF" w:rsidRPr="00A312BC" w:rsidRDefault="00321AAF" w:rsidP="00A312BC"/>
  </w:endnote>
  <w:endnote w:type="continuationSeparator" w:id="0">
    <w:p w:rsidR="00321AAF" w:rsidRPr="00A312BC" w:rsidRDefault="00321AA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14E" w:rsidRPr="001C314E" w:rsidRDefault="001C314E">
    <w:pPr>
      <w:pStyle w:val="a8"/>
    </w:pPr>
    <w:r w:rsidRPr="001C314E">
      <w:rPr>
        <w:b/>
        <w:sz w:val="18"/>
      </w:rPr>
      <w:fldChar w:fldCharType="begin"/>
    </w:r>
    <w:r w:rsidRPr="001C314E">
      <w:rPr>
        <w:b/>
        <w:sz w:val="18"/>
      </w:rPr>
      <w:instrText xml:space="preserve"> PAGE  \* MERGEFORMAT </w:instrText>
    </w:r>
    <w:r w:rsidRPr="001C314E">
      <w:rPr>
        <w:b/>
        <w:sz w:val="18"/>
      </w:rPr>
      <w:fldChar w:fldCharType="separate"/>
    </w:r>
    <w:r w:rsidR="007246E4">
      <w:rPr>
        <w:b/>
        <w:noProof/>
        <w:sz w:val="18"/>
      </w:rPr>
      <w:t>2</w:t>
    </w:r>
    <w:r w:rsidRPr="001C314E">
      <w:rPr>
        <w:b/>
        <w:sz w:val="18"/>
      </w:rPr>
      <w:fldChar w:fldCharType="end"/>
    </w:r>
    <w:r>
      <w:rPr>
        <w:b/>
        <w:sz w:val="18"/>
      </w:rPr>
      <w:tab/>
    </w:r>
    <w:r>
      <w:t>GE.20-00806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14E" w:rsidRPr="001C314E" w:rsidRDefault="001C314E" w:rsidP="001C314E">
    <w:pPr>
      <w:pStyle w:val="a8"/>
      <w:tabs>
        <w:tab w:val="clear" w:pos="9639"/>
        <w:tab w:val="right" w:pos="9638"/>
      </w:tabs>
      <w:rPr>
        <w:b/>
        <w:sz w:val="18"/>
      </w:rPr>
    </w:pPr>
    <w:r>
      <w:t>GE.20-00806</w:t>
    </w:r>
    <w:r>
      <w:tab/>
    </w:r>
    <w:r w:rsidRPr="001C314E">
      <w:rPr>
        <w:b/>
        <w:sz w:val="18"/>
      </w:rPr>
      <w:fldChar w:fldCharType="begin"/>
    </w:r>
    <w:r w:rsidRPr="001C314E">
      <w:rPr>
        <w:b/>
        <w:sz w:val="18"/>
      </w:rPr>
      <w:instrText xml:space="preserve"> PAGE  \* MERGEFORMAT </w:instrText>
    </w:r>
    <w:r w:rsidRPr="001C314E">
      <w:rPr>
        <w:b/>
        <w:sz w:val="18"/>
      </w:rPr>
      <w:fldChar w:fldCharType="separate"/>
    </w:r>
    <w:r w:rsidR="007246E4">
      <w:rPr>
        <w:b/>
        <w:noProof/>
        <w:sz w:val="18"/>
      </w:rPr>
      <w:t>3</w:t>
    </w:r>
    <w:r w:rsidRPr="001C314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1C314E" w:rsidRDefault="001C314E" w:rsidP="001C314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00806  (</w:t>
    </w:r>
    <w:proofErr w:type="gramEnd"/>
    <w:r>
      <w:t>R)</w:t>
    </w:r>
    <w:r w:rsidR="0002231D">
      <w:t xml:space="preserve">  220120  230120</w:t>
    </w:r>
    <w:r>
      <w:br/>
    </w:r>
    <w:r w:rsidRPr="001C314E">
      <w:rPr>
        <w:rFonts w:ascii="C39T30Lfz" w:hAnsi="C39T30Lfz"/>
        <w:kern w:val="14"/>
        <w:sz w:val="56"/>
      </w:rPr>
      <w:t></w:t>
    </w:r>
    <w:r w:rsidRPr="001C314E">
      <w:rPr>
        <w:rFonts w:ascii="C39T30Lfz" w:hAnsi="C39T30Lfz"/>
        <w:kern w:val="14"/>
        <w:sz w:val="56"/>
      </w:rPr>
      <w:t></w:t>
    </w:r>
    <w:r w:rsidRPr="001C314E">
      <w:rPr>
        <w:rFonts w:ascii="C39T30Lfz" w:hAnsi="C39T30Lfz"/>
        <w:kern w:val="14"/>
        <w:sz w:val="56"/>
      </w:rPr>
      <w:t></w:t>
    </w:r>
    <w:r w:rsidRPr="001C314E">
      <w:rPr>
        <w:rFonts w:ascii="C39T30Lfz" w:hAnsi="C39T30Lfz"/>
        <w:kern w:val="14"/>
        <w:sz w:val="56"/>
      </w:rPr>
      <w:t></w:t>
    </w:r>
    <w:r w:rsidRPr="001C314E">
      <w:rPr>
        <w:rFonts w:ascii="C39T30Lfz" w:hAnsi="C39T30Lfz"/>
        <w:kern w:val="14"/>
        <w:sz w:val="56"/>
      </w:rPr>
      <w:t></w:t>
    </w:r>
    <w:r w:rsidRPr="001C314E">
      <w:rPr>
        <w:rFonts w:ascii="C39T30Lfz" w:hAnsi="C39T30Lfz"/>
        <w:kern w:val="14"/>
        <w:sz w:val="56"/>
      </w:rPr>
      <w:t></w:t>
    </w:r>
    <w:r w:rsidRPr="001C314E">
      <w:rPr>
        <w:rFonts w:ascii="C39T30Lfz" w:hAnsi="C39T30Lfz"/>
        <w:kern w:val="14"/>
        <w:sz w:val="56"/>
      </w:rPr>
      <w:t></w:t>
    </w:r>
    <w:r w:rsidRPr="001C314E">
      <w:rPr>
        <w:rFonts w:ascii="C39T30Lfz" w:hAnsi="C39T30Lfz"/>
        <w:kern w:val="14"/>
        <w:sz w:val="56"/>
      </w:rPr>
      <w:t></w:t>
    </w:r>
    <w:r w:rsidRPr="001C314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20/1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20/1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AAF" w:rsidRPr="001075E9" w:rsidRDefault="00321AA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21AAF" w:rsidRDefault="00321AA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C314E" w:rsidRPr="00464D74" w:rsidRDefault="001C314E" w:rsidP="001C314E">
      <w:pPr>
        <w:pStyle w:val="ad"/>
        <w:rPr>
          <w:sz w:val="16"/>
          <w:szCs w:val="18"/>
        </w:rPr>
      </w:pPr>
      <w:r>
        <w:tab/>
      </w:r>
      <w:r w:rsidRPr="001C314E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Организации Объединенных Наций в целях повышения эффективности автотранспортных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14E" w:rsidRPr="001C314E" w:rsidRDefault="001C314E">
    <w:pPr>
      <w:pStyle w:val="a5"/>
    </w:pPr>
    <w:fldSimple w:instr=" TITLE  \* MERGEFORMAT ">
      <w:r w:rsidR="007246E4">
        <w:t>ECE/TRANS/WP.29/GRSG/2020/10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14E" w:rsidRPr="001C314E" w:rsidRDefault="001C314E" w:rsidP="001C314E">
    <w:pPr>
      <w:pStyle w:val="a5"/>
      <w:jc w:val="right"/>
    </w:pPr>
    <w:fldSimple w:instr=" TITLE  \* MERGEFORMAT ">
      <w:r w:rsidR="007246E4">
        <w:t>ECE/TRANS/WP.29/GRSG/2020/10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D6AF4"/>
    <w:multiLevelType w:val="hybridMultilevel"/>
    <w:tmpl w:val="C9507486"/>
    <w:lvl w:ilvl="0" w:tplc="3AD8E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AF"/>
    <w:rsid w:val="0002231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314E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1AAF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145A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46E4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61916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E33D1C"/>
  <w15:docId w15:val="{06C65C2B-16EC-48E1-B24A-26A8247A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1C314E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1C314E"/>
    <w:rPr>
      <w:lang w:val="ru-RU" w:eastAsia="en-US"/>
    </w:rPr>
  </w:style>
  <w:style w:type="paragraph" w:customStyle="1" w:styleId="para">
    <w:name w:val="para"/>
    <w:basedOn w:val="a"/>
    <w:link w:val="paraChar"/>
    <w:rsid w:val="001C314E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1C314E"/>
    <w:rPr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3</Pages>
  <Words>727</Words>
  <Characters>5146</Characters>
  <Application>Microsoft Office Word</Application>
  <DocSecurity>0</DocSecurity>
  <Lines>115</Lines>
  <Paragraphs>41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ECE/TRANS/WP.29/GRSG/2020/10</vt:lpstr>
      <vt:lpstr>A/</vt:lpstr>
      <vt:lpstr>A/</vt:lpstr>
    </vt:vector>
  </TitlesOfParts>
  <Company>DCM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ECE/TRANS/WP.29/GRSG/2020/10</dc:title>
  <dc:subject/>
  <dc:creator>Marina KOROTKOVA</dc:creator>
  <cp:keywords/>
  <cp:lastModifiedBy>Marina Korotkova</cp:lastModifiedBy>
  <cp:revision>3</cp:revision>
  <cp:lastPrinted>2020-01-23T08:37:00Z</cp:lastPrinted>
  <dcterms:created xsi:type="dcterms:W3CDTF">2020-01-23T08:37:00Z</dcterms:created>
  <dcterms:modified xsi:type="dcterms:W3CDTF">2020-01-23T08:39:00Z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