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775E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775E4" w:rsidP="00D775E4">
            <w:pPr>
              <w:jc w:val="right"/>
            </w:pPr>
            <w:proofErr w:type="spellStart"/>
            <w:r w:rsidRPr="00D775E4">
              <w:rPr>
                <w:sz w:val="40"/>
              </w:rPr>
              <w:t>ECE</w:t>
            </w:r>
            <w:proofErr w:type="spellEnd"/>
            <w:r>
              <w:t>/TRANS/WP.29/</w:t>
            </w:r>
            <w:proofErr w:type="spellStart"/>
            <w:r>
              <w:t>GRSG</w:t>
            </w:r>
            <w:proofErr w:type="spellEnd"/>
            <w:r>
              <w:t>/2020/10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775E4" w:rsidP="00C97039">
            <w:pPr>
              <w:spacing w:before="240"/>
            </w:pPr>
            <w:proofErr w:type="spellStart"/>
            <w:r>
              <w:t>Distr</w:t>
            </w:r>
            <w:proofErr w:type="spellEnd"/>
            <w:r>
              <w:t>. générale</w:t>
            </w:r>
          </w:p>
          <w:p w:rsidR="00D775E4" w:rsidRDefault="00D775E4" w:rsidP="00D775E4">
            <w:pPr>
              <w:spacing w:line="240" w:lineRule="exact"/>
            </w:pPr>
            <w:r>
              <w:t>20 janvier 2020</w:t>
            </w:r>
          </w:p>
          <w:p w:rsidR="00D775E4" w:rsidRDefault="00D775E4" w:rsidP="00D775E4">
            <w:pPr>
              <w:spacing w:line="240" w:lineRule="exact"/>
            </w:pPr>
            <w:r>
              <w:t>Français</w:t>
            </w:r>
          </w:p>
          <w:p w:rsidR="00D775E4" w:rsidRPr="00DB58B5" w:rsidRDefault="00D775E4" w:rsidP="00D775E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25D00" w:rsidRDefault="00325D0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25D00" w:rsidRDefault="00325D00" w:rsidP="00257168">
      <w:pPr>
        <w:spacing w:before="120" w:after="120" w:line="240" w:lineRule="exact"/>
        <w:rPr>
          <w:b/>
        </w:rPr>
      </w:pPr>
      <w:r>
        <w:rPr>
          <w:b/>
        </w:rPr>
        <w:t>Groupe de travail des dispositions générales de sécurité</w:t>
      </w:r>
    </w:p>
    <w:p w:rsidR="00325D00" w:rsidRDefault="00325D00" w:rsidP="00257168">
      <w:pPr>
        <w:spacing w:before="120" w:line="240" w:lineRule="exact"/>
        <w:rPr>
          <w:b/>
        </w:rPr>
      </w:pPr>
      <w:r>
        <w:rPr>
          <w:b/>
        </w:rPr>
        <w:t>118</w:t>
      </w:r>
      <w:r w:rsidRPr="00325D00">
        <w:rPr>
          <w:b/>
          <w:vertAlign w:val="superscript"/>
        </w:rPr>
        <w:t>e</w:t>
      </w:r>
      <w:r>
        <w:rPr>
          <w:b/>
        </w:rPr>
        <w:t> session</w:t>
      </w:r>
    </w:p>
    <w:p w:rsidR="00325D00" w:rsidRDefault="00325D00" w:rsidP="00257168">
      <w:pPr>
        <w:spacing w:line="240" w:lineRule="exact"/>
      </w:pPr>
      <w:r>
        <w:t xml:space="preserve">Genève, </w:t>
      </w:r>
      <w:r w:rsidRPr="003D4130">
        <w:rPr>
          <w:lang w:eastAsia="fr-FR"/>
        </w:rPr>
        <w:t>30</w:t>
      </w:r>
      <w:r>
        <w:rPr>
          <w:lang w:eastAsia="fr-FR"/>
        </w:rPr>
        <w:t> </w:t>
      </w:r>
      <w:r w:rsidRPr="003D4130">
        <w:rPr>
          <w:lang w:eastAsia="fr-FR"/>
        </w:rPr>
        <w:t>mars-3</w:t>
      </w:r>
      <w:r>
        <w:rPr>
          <w:lang w:eastAsia="fr-FR"/>
        </w:rPr>
        <w:t> </w:t>
      </w:r>
      <w:r w:rsidRPr="003D4130">
        <w:rPr>
          <w:lang w:eastAsia="fr-FR"/>
        </w:rPr>
        <w:t>avril 2020</w:t>
      </w:r>
    </w:p>
    <w:p w:rsidR="00325D00" w:rsidRDefault="00325D00" w:rsidP="00257168">
      <w:pPr>
        <w:spacing w:line="240" w:lineRule="exact"/>
      </w:pPr>
      <w:r>
        <w:t>Point 9 de l’ordre du jour</w:t>
      </w:r>
      <w:r w:rsidR="00C575E9">
        <w:t xml:space="preserve"> provisoire</w:t>
      </w:r>
      <w:bookmarkStart w:id="0" w:name="_GoBack"/>
      <w:bookmarkEnd w:id="0"/>
    </w:p>
    <w:p w:rsidR="00F9573C" w:rsidRDefault="00325D00" w:rsidP="00AF0CB5">
      <w:pPr>
        <w:rPr>
          <w:b/>
          <w:lang w:eastAsia="fr-FR"/>
        </w:rPr>
      </w:pPr>
      <w:r w:rsidRPr="003D4130">
        <w:rPr>
          <w:b/>
          <w:lang w:eastAsia="fr-FR"/>
        </w:rPr>
        <w:t xml:space="preserve">Règlement ONU </w:t>
      </w:r>
      <w:r w:rsidRPr="00325D00">
        <w:rPr>
          <w:rFonts w:eastAsia="MS Mincho"/>
          <w:b/>
          <w:lang w:eastAsia="fr-FR"/>
        </w:rPr>
        <w:t>n</w:t>
      </w:r>
      <w:r w:rsidRPr="00325D00">
        <w:rPr>
          <w:rFonts w:eastAsia="MS Mincho"/>
          <w:b/>
          <w:vertAlign w:val="superscript"/>
          <w:lang w:eastAsia="fr-FR"/>
        </w:rPr>
        <w:t>o</w:t>
      </w:r>
      <w:r>
        <w:rPr>
          <w:b/>
          <w:lang w:eastAsia="fr-FR"/>
        </w:rPr>
        <w:t> </w:t>
      </w:r>
      <w:r w:rsidRPr="003D4130">
        <w:rPr>
          <w:b/>
          <w:lang w:eastAsia="fr-FR"/>
        </w:rPr>
        <w:t>93 (Protection contre l</w:t>
      </w:r>
      <w:r>
        <w:rPr>
          <w:b/>
          <w:lang w:eastAsia="fr-FR"/>
        </w:rPr>
        <w:t>’</w:t>
      </w:r>
      <w:r w:rsidRPr="003D4130">
        <w:rPr>
          <w:b/>
          <w:lang w:eastAsia="fr-FR"/>
        </w:rPr>
        <w:t>encastrement à l</w:t>
      </w:r>
      <w:r>
        <w:rPr>
          <w:b/>
          <w:lang w:eastAsia="fr-FR"/>
        </w:rPr>
        <w:t>’</w:t>
      </w:r>
      <w:r w:rsidRPr="003D4130">
        <w:rPr>
          <w:b/>
          <w:lang w:eastAsia="fr-FR"/>
        </w:rPr>
        <w:t>avant)</w:t>
      </w:r>
    </w:p>
    <w:p w:rsidR="00273770" w:rsidRPr="003D4130" w:rsidRDefault="00273770" w:rsidP="00273770">
      <w:pPr>
        <w:pStyle w:val="HChG"/>
        <w:rPr>
          <w:lang w:eastAsia="fr-FR"/>
        </w:rPr>
      </w:pPr>
      <w:r>
        <w:rPr>
          <w:lang w:eastAsia="fr-FR"/>
        </w:rPr>
        <w:tab/>
      </w:r>
      <w:r>
        <w:rPr>
          <w:lang w:eastAsia="fr-FR"/>
        </w:rPr>
        <w:tab/>
      </w:r>
      <w:r w:rsidRPr="003D4130">
        <w:rPr>
          <w:lang w:eastAsia="fr-FR"/>
        </w:rPr>
        <w:t>Proposition de série 01 d</w:t>
      </w:r>
      <w:r>
        <w:rPr>
          <w:lang w:eastAsia="fr-FR"/>
        </w:rPr>
        <w:t>’</w:t>
      </w:r>
      <w:r w:rsidRPr="003D4130">
        <w:rPr>
          <w:lang w:eastAsia="fr-FR"/>
        </w:rPr>
        <w:t xml:space="preserve">amendements au Règlement ONU </w:t>
      </w:r>
      <w:r w:rsidRPr="00273770">
        <w:rPr>
          <w:rFonts w:eastAsia="MS Mincho"/>
          <w:lang w:eastAsia="fr-FR"/>
        </w:rPr>
        <w:t>n</w:t>
      </w:r>
      <w:r w:rsidRPr="00273770">
        <w:rPr>
          <w:rFonts w:eastAsia="MS Mincho"/>
          <w:vertAlign w:val="superscript"/>
          <w:lang w:eastAsia="fr-FR"/>
        </w:rPr>
        <w:t>o</w:t>
      </w:r>
      <w:r>
        <w:rPr>
          <w:lang w:eastAsia="fr-FR"/>
        </w:rPr>
        <w:t> </w:t>
      </w:r>
      <w:r w:rsidRPr="003D4130">
        <w:rPr>
          <w:lang w:eastAsia="fr-FR"/>
        </w:rPr>
        <w:t>93 (Protection contre l</w:t>
      </w:r>
      <w:r>
        <w:rPr>
          <w:lang w:eastAsia="fr-FR"/>
        </w:rPr>
        <w:t>’</w:t>
      </w:r>
      <w:r w:rsidRPr="003D4130">
        <w:rPr>
          <w:lang w:eastAsia="fr-FR"/>
        </w:rPr>
        <w:t>encastrement à l</w:t>
      </w:r>
      <w:r>
        <w:rPr>
          <w:lang w:eastAsia="fr-FR"/>
        </w:rPr>
        <w:t>’</w:t>
      </w:r>
      <w:r w:rsidRPr="003D4130">
        <w:rPr>
          <w:lang w:eastAsia="fr-FR"/>
        </w:rPr>
        <w:t>avant)</w:t>
      </w:r>
    </w:p>
    <w:p w:rsidR="00273770" w:rsidRPr="003D4130" w:rsidRDefault="00273770" w:rsidP="00273770">
      <w:pPr>
        <w:pStyle w:val="H1G"/>
        <w:rPr>
          <w:lang w:eastAsia="fr-FR"/>
        </w:rPr>
      </w:pPr>
      <w:r w:rsidRPr="003D4130">
        <w:rPr>
          <w:lang w:eastAsia="fr-FR"/>
        </w:rPr>
        <w:tab/>
      </w:r>
      <w:r w:rsidRPr="003D4130">
        <w:rPr>
          <w:lang w:eastAsia="fr-FR"/>
        </w:rPr>
        <w:tab/>
        <w:t>Communication de l</w:t>
      </w:r>
      <w:r>
        <w:rPr>
          <w:lang w:eastAsia="fr-FR"/>
        </w:rPr>
        <w:t>’</w:t>
      </w:r>
      <w:r w:rsidRPr="003D4130">
        <w:rPr>
          <w:lang w:eastAsia="fr-FR"/>
        </w:rPr>
        <w:t>expert de la Commission européenne</w:t>
      </w:r>
      <w:r w:rsidR="000C4456" w:rsidRPr="000C4456">
        <w:rPr>
          <w:rStyle w:val="Appelnotedebasdep"/>
          <w:b w:val="0"/>
          <w:sz w:val="20"/>
          <w:vertAlign w:val="baseline"/>
          <w:lang w:eastAsia="fr-FR"/>
        </w:rPr>
        <w:footnoteReference w:customMarkFollows="1" w:id="2"/>
        <w:t>*</w:t>
      </w:r>
    </w:p>
    <w:p w:rsidR="003525A2" w:rsidRDefault="00273770" w:rsidP="00273770">
      <w:pPr>
        <w:pStyle w:val="SingleTxtG"/>
        <w:ind w:firstLine="567"/>
        <w:rPr>
          <w:lang w:eastAsia="fr-FR"/>
        </w:rPr>
      </w:pPr>
      <w:r w:rsidRPr="003D4130">
        <w:rPr>
          <w:lang w:eastAsia="fr-FR"/>
        </w:rPr>
        <w:t>Le texte reproduit ci-dessous, établi par l</w:t>
      </w:r>
      <w:r>
        <w:rPr>
          <w:lang w:eastAsia="fr-FR"/>
        </w:rPr>
        <w:t>’</w:t>
      </w:r>
      <w:r w:rsidRPr="003D4130">
        <w:rPr>
          <w:lang w:eastAsia="fr-FR"/>
        </w:rPr>
        <w:t>expert de la Commission européenne, vise à actualiser les dispositions relatives aux dispositifs de protection contre l</w:t>
      </w:r>
      <w:r>
        <w:rPr>
          <w:lang w:eastAsia="fr-FR"/>
        </w:rPr>
        <w:t>’</w:t>
      </w:r>
      <w:r w:rsidRPr="003D4130">
        <w:rPr>
          <w:lang w:eastAsia="fr-FR"/>
        </w:rPr>
        <w:t>encastrement à l</w:t>
      </w:r>
      <w:r>
        <w:rPr>
          <w:lang w:eastAsia="fr-FR"/>
        </w:rPr>
        <w:t>’</w:t>
      </w:r>
      <w:r w:rsidRPr="003D4130">
        <w:rPr>
          <w:lang w:eastAsia="fr-FR"/>
        </w:rPr>
        <w:t>avant (</w:t>
      </w:r>
      <w:proofErr w:type="spellStart"/>
      <w:r w:rsidRPr="003D4130">
        <w:rPr>
          <w:lang w:eastAsia="fr-FR"/>
        </w:rPr>
        <w:t>PEA</w:t>
      </w:r>
      <w:proofErr w:type="spellEnd"/>
      <w:r w:rsidRPr="003D4130">
        <w:rPr>
          <w:lang w:eastAsia="fr-FR"/>
        </w:rPr>
        <w:t>) homologués en tant que partie intégrante du véhicule. L</w:t>
      </w:r>
      <w:r>
        <w:rPr>
          <w:lang w:eastAsia="fr-FR"/>
        </w:rPr>
        <w:t>’</w:t>
      </w:r>
      <w:r w:rsidRPr="003D4130">
        <w:rPr>
          <w:lang w:eastAsia="fr-FR"/>
        </w:rPr>
        <w:t>amendement est proposé, en particulier, pour étendre à davantage de modèles de véhicules les avantages en termes de sécurité et d</w:t>
      </w:r>
      <w:r>
        <w:rPr>
          <w:lang w:eastAsia="fr-FR"/>
        </w:rPr>
        <w:t>’</w:t>
      </w:r>
      <w:r w:rsidRPr="003D4130">
        <w:rPr>
          <w:lang w:eastAsia="fr-FR"/>
        </w:rPr>
        <w:t>aérodynamisme de l</w:t>
      </w:r>
      <w:r>
        <w:rPr>
          <w:lang w:eastAsia="fr-FR"/>
        </w:rPr>
        <w:t>’</w:t>
      </w:r>
      <w:r w:rsidRPr="003D4130">
        <w:rPr>
          <w:lang w:eastAsia="fr-FR"/>
        </w:rPr>
        <w:t xml:space="preserve">évolution récente des cabines (souplesse et forme arrondie). Les modifications au texte actuel au Règlement ONU proposées dans le document </w:t>
      </w:r>
      <w:proofErr w:type="spellStart"/>
      <w:r w:rsidRPr="003D4130">
        <w:rPr>
          <w:lang w:eastAsia="fr-FR"/>
        </w:rPr>
        <w:t>ECE</w:t>
      </w:r>
      <w:proofErr w:type="spellEnd"/>
      <w:r w:rsidRPr="003D4130">
        <w:rPr>
          <w:lang w:eastAsia="fr-FR"/>
        </w:rPr>
        <w:t>/TRANS/WP.29/</w:t>
      </w:r>
      <w:proofErr w:type="spellStart"/>
      <w:r w:rsidRPr="003D4130">
        <w:rPr>
          <w:lang w:eastAsia="fr-FR"/>
        </w:rPr>
        <w:t>GRSG</w:t>
      </w:r>
      <w:proofErr w:type="spellEnd"/>
      <w:r w:rsidRPr="003D4130">
        <w:rPr>
          <w:lang w:eastAsia="fr-FR"/>
        </w:rPr>
        <w:t>/2019/19, tel que modifié par le document GRSG</w:t>
      </w:r>
      <w:r w:rsidR="000C4456">
        <w:rPr>
          <w:lang w:eastAsia="fr-FR"/>
        </w:rPr>
        <w:noBreakHyphen/>
      </w:r>
      <w:r w:rsidRPr="003D4130">
        <w:rPr>
          <w:lang w:eastAsia="fr-FR"/>
        </w:rPr>
        <w:t>117</w:t>
      </w:r>
      <w:r w:rsidR="000C4456">
        <w:rPr>
          <w:lang w:eastAsia="fr-FR"/>
        </w:rPr>
        <w:noBreakHyphen/>
      </w:r>
      <w:r w:rsidRPr="003D4130">
        <w:rPr>
          <w:lang w:eastAsia="fr-FR"/>
        </w:rPr>
        <w:t xml:space="preserve">48, sont indiquées en caractères </w:t>
      </w:r>
      <w:r w:rsidRPr="003D4130">
        <w:rPr>
          <w:b/>
          <w:lang w:eastAsia="fr-FR"/>
        </w:rPr>
        <w:t>gras</w:t>
      </w:r>
      <w:r w:rsidRPr="003D4130">
        <w:rPr>
          <w:lang w:eastAsia="fr-FR"/>
        </w:rPr>
        <w:t>.</w:t>
      </w:r>
    </w:p>
    <w:p w:rsidR="003525A2" w:rsidRPr="003D4130" w:rsidRDefault="003525A2" w:rsidP="003525A2">
      <w:pPr>
        <w:pStyle w:val="HChG"/>
        <w:tabs>
          <w:tab w:val="clear" w:pos="851"/>
        </w:tabs>
        <w:ind w:firstLine="0"/>
        <w:rPr>
          <w:lang w:eastAsia="fr-FR"/>
        </w:rPr>
      </w:pPr>
      <w:r>
        <w:rPr>
          <w:lang w:eastAsia="fr-FR"/>
        </w:rPr>
        <w:br w:type="page"/>
      </w:r>
      <w:r w:rsidRPr="003D4130">
        <w:rPr>
          <w:lang w:eastAsia="fr-FR"/>
        </w:rPr>
        <w:lastRenderedPageBreak/>
        <w:t>Proposition de série 01 d</w:t>
      </w:r>
      <w:r>
        <w:rPr>
          <w:lang w:eastAsia="fr-FR"/>
        </w:rPr>
        <w:t>’</w:t>
      </w:r>
      <w:r w:rsidRPr="003D4130">
        <w:rPr>
          <w:lang w:eastAsia="fr-FR"/>
        </w:rPr>
        <w:t xml:space="preserve">amendements au Règlement ONU </w:t>
      </w:r>
      <w:r w:rsidRPr="003525A2">
        <w:rPr>
          <w:rFonts w:eastAsia="MS Mincho"/>
          <w:lang w:eastAsia="fr-FR"/>
        </w:rPr>
        <w:t>n</w:t>
      </w:r>
      <w:r w:rsidRPr="003525A2">
        <w:rPr>
          <w:rFonts w:eastAsia="MS Mincho"/>
          <w:vertAlign w:val="superscript"/>
          <w:lang w:eastAsia="fr-FR"/>
        </w:rPr>
        <w:t>o</w:t>
      </w:r>
      <w:r>
        <w:rPr>
          <w:lang w:eastAsia="fr-FR"/>
        </w:rPr>
        <w:t> </w:t>
      </w:r>
      <w:r w:rsidRPr="003D4130">
        <w:rPr>
          <w:lang w:eastAsia="fr-FR"/>
        </w:rPr>
        <w:t>93 (Protection contre l</w:t>
      </w:r>
      <w:r>
        <w:rPr>
          <w:lang w:eastAsia="fr-FR"/>
        </w:rPr>
        <w:t>’</w:t>
      </w:r>
      <w:r w:rsidRPr="003D4130">
        <w:rPr>
          <w:lang w:eastAsia="fr-FR"/>
        </w:rPr>
        <w:t>encastrement à l</w:t>
      </w:r>
      <w:r>
        <w:rPr>
          <w:lang w:eastAsia="fr-FR"/>
        </w:rPr>
        <w:t>’</w:t>
      </w:r>
      <w:r w:rsidRPr="003D4130">
        <w:rPr>
          <w:lang w:eastAsia="fr-FR"/>
        </w:rPr>
        <w:t>avant)</w:t>
      </w:r>
    </w:p>
    <w:p w:rsidR="003525A2" w:rsidRPr="003D4130" w:rsidRDefault="003525A2" w:rsidP="003525A2">
      <w:pPr>
        <w:pStyle w:val="HChG"/>
        <w:rPr>
          <w:lang w:eastAsia="fr-FR"/>
        </w:rPr>
      </w:pPr>
      <w:r>
        <w:rPr>
          <w:lang w:eastAsia="fr-FR"/>
        </w:rPr>
        <w:tab/>
      </w:r>
      <w:r w:rsidRPr="003D4130">
        <w:rPr>
          <w:lang w:eastAsia="fr-FR"/>
        </w:rPr>
        <w:t>I.</w:t>
      </w:r>
      <w:r w:rsidRPr="003D4130">
        <w:rPr>
          <w:lang w:eastAsia="fr-FR"/>
        </w:rPr>
        <w:tab/>
        <w:t>Proposition</w:t>
      </w:r>
    </w:p>
    <w:p w:rsidR="003525A2" w:rsidRPr="003D4130" w:rsidRDefault="003525A2" w:rsidP="003525A2">
      <w:pPr>
        <w:pStyle w:val="SingleTxtG"/>
        <w:rPr>
          <w:lang w:eastAsia="fr-FR"/>
        </w:rPr>
      </w:pPr>
      <w:r w:rsidRPr="003D4130">
        <w:rPr>
          <w:i/>
          <w:lang w:eastAsia="fr-FR"/>
        </w:rPr>
        <w:t>Paragraphe</w:t>
      </w:r>
      <w:r>
        <w:rPr>
          <w:i/>
          <w:lang w:eastAsia="fr-FR"/>
        </w:rPr>
        <w:t> </w:t>
      </w:r>
      <w:r w:rsidRPr="003D4130">
        <w:rPr>
          <w:i/>
          <w:lang w:eastAsia="fr-FR"/>
        </w:rPr>
        <w:t xml:space="preserve">1.3, </w:t>
      </w:r>
      <w:r w:rsidRPr="003D4130">
        <w:rPr>
          <w:lang w:eastAsia="fr-FR"/>
        </w:rPr>
        <w:t>modifier comme suit</w:t>
      </w:r>
      <w:r>
        <w:rPr>
          <w:lang w:eastAsia="fr-FR"/>
        </w:rPr>
        <w:t> </w:t>
      </w:r>
      <w:r w:rsidRPr="003D4130">
        <w:rPr>
          <w:lang w:eastAsia="fr-FR"/>
        </w:rPr>
        <w:t>:</w:t>
      </w:r>
    </w:p>
    <w:p w:rsidR="003525A2" w:rsidRPr="003D4130" w:rsidRDefault="003525A2" w:rsidP="003525A2">
      <w:pPr>
        <w:pStyle w:val="SingleTxtG"/>
        <w:ind w:left="2268" w:hanging="1134"/>
        <w:rPr>
          <w:lang w:eastAsia="fr-FR"/>
        </w:rPr>
      </w:pPr>
      <w:r>
        <w:rPr>
          <w:lang w:eastAsia="fr-FR"/>
        </w:rPr>
        <w:t>« </w:t>
      </w:r>
      <w:r w:rsidRPr="003525A2">
        <w:rPr>
          <w:b/>
          <w:lang w:eastAsia="fr-FR"/>
        </w:rPr>
        <w:t>1.3</w:t>
      </w:r>
      <w:r w:rsidRPr="003525A2">
        <w:rPr>
          <w:b/>
          <w:lang w:eastAsia="fr-FR"/>
        </w:rPr>
        <w:tab/>
        <w:t>Les véhicules dont l’usage sur route est incompatible avec un dispositif de protection contre l’encastrement à l’avant (par exemple : fixe, démontable, pliable, ajustable) peuvent être partiellement ou totalement exemptés du présent Règlement, sous réserve de la décision de l’autorité d’homologation de type.</w:t>
      </w:r>
      <w:r>
        <w:rPr>
          <w:lang w:eastAsia="fr-FR"/>
        </w:rPr>
        <w:t> »</w:t>
      </w:r>
      <w:r w:rsidRPr="003D4130">
        <w:rPr>
          <w:lang w:eastAsia="fr-FR"/>
        </w:rPr>
        <w:t>.</w:t>
      </w:r>
    </w:p>
    <w:p w:rsidR="003525A2" w:rsidRPr="003D4130" w:rsidRDefault="003525A2" w:rsidP="003525A2">
      <w:pPr>
        <w:pStyle w:val="SingleTxtG"/>
        <w:rPr>
          <w:bCs/>
          <w:lang w:eastAsia="ja-JP"/>
        </w:rPr>
      </w:pPr>
      <w:r w:rsidRPr="003D4130">
        <w:rPr>
          <w:bCs/>
          <w:i/>
          <w:lang w:eastAsia="ja-JP"/>
        </w:rPr>
        <w:t>Paragraphes</w:t>
      </w:r>
      <w:r>
        <w:rPr>
          <w:bCs/>
          <w:i/>
          <w:lang w:eastAsia="ja-JP"/>
        </w:rPr>
        <w:t> </w:t>
      </w:r>
      <w:r w:rsidRPr="003D4130">
        <w:rPr>
          <w:bCs/>
          <w:i/>
          <w:lang w:eastAsia="ja-JP"/>
        </w:rPr>
        <w:t xml:space="preserve">1.3.1 et 1.3.2, </w:t>
      </w:r>
      <w:r w:rsidRPr="003D4130">
        <w:rPr>
          <w:bCs/>
          <w:lang w:eastAsia="ja-JP"/>
        </w:rPr>
        <w:t>supprimer</w:t>
      </w:r>
      <w:r w:rsidRPr="003D4130">
        <w:rPr>
          <w:bCs/>
          <w:i/>
          <w:lang w:eastAsia="ja-JP"/>
        </w:rPr>
        <w:t>.</w:t>
      </w:r>
    </w:p>
    <w:p w:rsidR="003525A2" w:rsidRPr="003D4130" w:rsidRDefault="003525A2" w:rsidP="003525A2">
      <w:pPr>
        <w:pStyle w:val="SingleTxtG"/>
        <w:rPr>
          <w:lang w:eastAsia="fr-FR"/>
        </w:rPr>
      </w:pPr>
      <w:r w:rsidRPr="003D4130">
        <w:rPr>
          <w:i/>
          <w:lang w:eastAsia="fr-FR"/>
        </w:rPr>
        <w:t>Paragraphe</w:t>
      </w:r>
      <w:r>
        <w:rPr>
          <w:i/>
          <w:lang w:eastAsia="fr-FR"/>
        </w:rPr>
        <w:t> </w:t>
      </w:r>
      <w:r w:rsidRPr="003D4130">
        <w:rPr>
          <w:i/>
          <w:lang w:eastAsia="fr-FR"/>
        </w:rPr>
        <w:t xml:space="preserve">10.5, </w:t>
      </w:r>
      <w:r w:rsidRPr="003D4130">
        <w:rPr>
          <w:bCs/>
          <w:lang w:eastAsia="fr-FR"/>
        </w:rPr>
        <w:t>modifier comme suit</w:t>
      </w:r>
      <w:r>
        <w:rPr>
          <w:bCs/>
          <w:lang w:eastAsia="fr-FR"/>
        </w:rPr>
        <w:t> </w:t>
      </w:r>
      <w:r w:rsidRPr="003D4130">
        <w:rPr>
          <w:lang w:eastAsia="fr-FR"/>
        </w:rPr>
        <w:t>:</w:t>
      </w:r>
    </w:p>
    <w:p w:rsidR="003525A2" w:rsidRPr="003D4130" w:rsidRDefault="003525A2" w:rsidP="003525A2">
      <w:pPr>
        <w:pStyle w:val="SingleTxtG"/>
        <w:ind w:left="2268" w:hanging="1134"/>
        <w:rPr>
          <w:lang w:eastAsia="fr-FR"/>
        </w:rPr>
      </w:pPr>
      <w:r>
        <w:rPr>
          <w:lang w:eastAsia="fr-FR"/>
        </w:rPr>
        <w:t>« </w:t>
      </w:r>
      <w:r w:rsidRPr="003D4130">
        <w:rPr>
          <w:lang w:eastAsia="fr-FR"/>
        </w:rPr>
        <w:t>10.5</w:t>
      </w:r>
      <w:r w:rsidRPr="003D4130">
        <w:rPr>
          <w:lang w:eastAsia="fr-FR"/>
        </w:rPr>
        <w:tab/>
        <w:t>La protection contre l</w:t>
      </w:r>
      <w:r>
        <w:rPr>
          <w:lang w:eastAsia="fr-FR"/>
        </w:rPr>
        <w:t>’</w:t>
      </w:r>
      <w:r w:rsidRPr="003D4130">
        <w:rPr>
          <w:lang w:eastAsia="fr-FR"/>
        </w:rPr>
        <w:t>encastrement à l</w:t>
      </w:r>
      <w:r>
        <w:rPr>
          <w:lang w:eastAsia="fr-FR"/>
        </w:rPr>
        <w:t>’</w:t>
      </w:r>
      <w:r w:rsidRPr="003D4130">
        <w:rPr>
          <w:lang w:eastAsia="fr-FR"/>
        </w:rPr>
        <w:t>avant doit avoir une résistance suffisante pour que la distance horizontale mesurée vers l</w:t>
      </w:r>
      <w:r>
        <w:rPr>
          <w:lang w:eastAsia="fr-FR"/>
        </w:rPr>
        <w:t>’</w:t>
      </w:r>
      <w:r w:rsidRPr="003D4130">
        <w:rPr>
          <w:lang w:eastAsia="fr-FR"/>
        </w:rPr>
        <w:t>arrière entre l</w:t>
      </w:r>
      <w:r>
        <w:rPr>
          <w:lang w:eastAsia="fr-FR"/>
        </w:rPr>
        <w:t>’</w:t>
      </w:r>
      <w:r w:rsidRPr="003D4130">
        <w:rPr>
          <w:lang w:eastAsia="fr-FR"/>
        </w:rPr>
        <w:t>extrémité avant du véhicule mesurée dans le plan vertical parallèle au plan longitudinal médian du véhicule qui correspond au centre géométrique de la surface de contact du vérin d</w:t>
      </w:r>
      <w:r>
        <w:rPr>
          <w:lang w:eastAsia="fr-FR"/>
        </w:rPr>
        <w:t>’</w:t>
      </w:r>
      <w:r w:rsidRPr="003D4130">
        <w:rPr>
          <w:lang w:eastAsia="fr-FR"/>
        </w:rPr>
        <w:t xml:space="preserve">essai dans sa position initiale </w:t>
      </w:r>
      <w:r w:rsidRPr="003D4130">
        <w:rPr>
          <w:strike/>
          <w:lang w:eastAsia="fr-FR"/>
        </w:rPr>
        <w:t>après l</w:t>
      </w:r>
      <w:r>
        <w:rPr>
          <w:strike/>
          <w:lang w:eastAsia="fr-FR"/>
        </w:rPr>
        <w:t>’</w:t>
      </w:r>
      <w:r w:rsidRPr="003D4130">
        <w:rPr>
          <w:strike/>
          <w:lang w:eastAsia="fr-FR"/>
        </w:rPr>
        <w:t>application des forces d</w:t>
      </w:r>
      <w:r>
        <w:rPr>
          <w:strike/>
          <w:lang w:eastAsia="fr-FR"/>
        </w:rPr>
        <w:t>’</w:t>
      </w:r>
      <w:r w:rsidRPr="003D4130">
        <w:rPr>
          <w:strike/>
          <w:lang w:eastAsia="fr-FR"/>
        </w:rPr>
        <w:t>essai (spécifiées en annexe)</w:t>
      </w:r>
      <w:r w:rsidRPr="003D4130">
        <w:rPr>
          <w:lang w:eastAsia="fr-FR"/>
        </w:rPr>
        <w:t xml:space="preserve"> et la surface de contact du vérin d</w:t>
      </w:r>
      <w:r>
        <w:rPr>
          <w:lang w:eastAsia="fr-FR"/>
        </w:rPr>
        <w:t>’</w:t>
      </w:r>
      <w:r w:rsidRPr="003D4130">
        <w:rPr>
          <w:lang w:eastAsia="fr-FR"/>
        </w:rPr>
        <w:t>essai après l</w:t>
      </w:r>
      <w:r>
        <w:rPr>
          <w:lang w:eastAsia="fr-FR"/>
        </w:rPr>
        <w:t>’</w:t>
      </w:r>
      <w:r w:rsidRPr="003D4130">
        <w:rPr>
          <w:lang w:eastAsia="fr-FR"/>
        </w:rPr>
        <w:t>application forces spécifiées dans l</w:t>
      </w:r>
      <w:r>
        <w:rPr>
          <w:lang w:eastAsia="fr-FR"/>
        </w:rPr>
        <w:t>’</w:t>
      </w:r>
      <w:r w:rsidRPr="003D4130">
        <w:rPr>
          <w:lang w:eastAsia="fr-FR"/>
        </w:rPr>
        <w:t>annexe</w:t>
      </w:r>
      <w:r w:rsidR="007A6B2A">
        <w:rPr>
          <w:lang w:eastAsia="fr-FR"/>
        </w:rPr>
        <w:t> </w:t>
      </w:r>
      <w:r w:rsidRPr="003D4130">
        <w:rPr>
          <w:lang w:eastAsia="fr-FR"/>
        </w:rPr>
        <w:t>5 ne dépasse pas 400</w:t>
      </w:r>
      <w:r w:rsidR="007A6B2A">
        <w:rPr>
          <w:lang w:eastAsia="fr-FR"/>
        </w:rPr>
        <w:t> </w:t>
      </w:r>
      <w:proofErr w:type="spellStart"/>
      <w:r w:rsidRPr="003D4130">
        <w:rPr>
          <w:lang w:eastAsia="fr-FR"/>
        </w:rPr>
        <w:t>mm.</w:t>
      </w:r>
      <w:proofErr w:type="spellEnd"/>
      <w:r>
        <w:rPr>
          <w:lang w:eastAsia="fr-FR"/>
        </w:rPr>
        <w:t> »</w:t>
      </w:r>
      <w:r w:rsidRPr="003D4130">
        <w:rPr>
          <w:lang w:eastAsia="fr-FR"/>
        </w:rPr>
        <w:t>.</w:t>
      </w:r>
    </w:p>
    <w:p w:rsidR="003525A2" w:rsidRPr="003D4130" w:rsidRDefault="003525A2" w:rsidP="003525A2">
      <w:pPr>
        <w:pStyle w:val="SingleTxtG"/>
        <w:rPr>
          <w:bCs/>
          <w:lang w:eastAsia="fr-FR"/>
        </w:rPr>
      </w:pPr>
      <w:r w:rsidRPr="003D4130">
        <w:rPr>
          <w:bCs/>
          <w:i/>
          <w:lang w:eastAsia="fr-FR"/>
        </w:rPr>
        <w:t xml:space="preserve">Ajouter de nouveaux paragraphes 11. à 11.6, </w:t>
      </w:r>
      <w:r w:rsidRPr="003D4130">
        <w:rPr>
          <w:bCs/>
          <w:lang w:eastAsia="fr-FR"/>
        </w:rPr>
        <w:t>ainsi conçus</w:t>
      </w:r>
      <w:r w:rsidR="000D5472">
        <w:rPr>
          <w:bCs/>
          <w:lang w:eastAsia="fr-FR"/>
        </w:rPr>
        <w:t> </w:t>
      </w:r>
      <w:r w:rsidRPr="003D4130">
        <w:rPr>
          <w:bCs/>
          <w:lang w:eastAsia="fr-FR"/>
        </w:rPr>
        <w:t>:</w:t>
      </w:r>
    </w:p>
    <w:p w:rsidR="003525A2" w:rsidRPr="003D4130" w:rsidRDefault="003525A2" w:rsidP="0050587A">
      <w:pPr>
        <w:pStyle w:val="HChG"/>
        <w:rPr>
          <w:lang w:eastAsia="fr-FR"/>
        </w:rPr>
      </w:pPr>
      <w:r w:rsidRPr="003D4130">
        <w:rPr>
          <w:lang w:eastAsia="fr-FR"/>
        </w:rPr>
        <w:tab/>
      </w:r>
      <w:r w:rsidRPr="003D4130">
        <w:rPr>
          <w:lang w:eastAsia="fr-FR"/>
        </w:rPr>
        <w:tab/>
      </w:r>
      <w:r w:rsidR="000D5472">
        <w:rPr>
          <w:lang w:eastAsia="fr-FR"/>
        </w:rPr>
        <w:t>« </w:t>
      </w:r>
      <w:r w:rsidRPr="003D4130">
        <w:rPr>
          <w:lang w:eastAsia="fr-FR"/>
        </w:rPr>
        <w:t>11.</w:t>
      </w:r>
      <w:r w:rsidR="000D5472">
        <w:rPr>
          <w:lang w:eastAsia="fr-FR"/>
        </w:rPr>
        <w:tab/>
      </w:r>
      <w:r w:rsidR="000D5472">
        <w:rPr>
          <w:lang w:eastAsia="fr-FR"/>
        </w:rPr>
        <w:tab/>
      </w:r>
      <w:r w:rsidRPr="003D4130">
        <w:rPr>
          <w:lang w:eastAsia="fr-FR"/>
        </w:rPr>
        <w:t>Dispositions transitoires</w:t>
      </w:r>
    </w:p>
    <w:p w:rsidR="003525A2" w:rsidRPr="0050587A" w:rsidRDefault="003525A2" w:rsidP="0050587A">
      <w:pPr>
        <w:pStyle w:val="SingleTxtG"/>
        <w:ind w:left="2268" w:hanging="1134"/>
        <w:rPr>
          <w:b/>
          <w:snapToGrid w:val="0"/>
        </w:rPr>
      </w:pPr>
      <w:r w:rsidRPr="0050587A">
        <w:rPr>
          <w:b/>
          <w:snapToGrid w:val="0"/>
        </w:rPr>
        <w:t>11.1</w:t>
      </w:r>
      <w:r w:rsidRPr="0050587A">
        <w:rPr>
          <w:b/>
          <w:snapToGrid w:val="0"/>
        </w:rPr>
        <w:tab/>
        <w:t>À compter de la date officielle d’entrée en vigueur de la série</w:t>
      </w:r>
      <w:r w:rsidR="00A331A4" w:rsidRPr="0050587A">
        <w:rPr>
          <w:b/>
          <w:snapToGrid w:val="0"/>
        </w:rPr>
        <w:t> </w:t>
      </w:r>
      <w:r w:rsidRPr="0050587A">
        <w:rPr>
          <w:b/>
          <w:snapToGrid w:val="0"/>
        </w:rPr>
        <w:t>01 d’amendements au présent Règlement, aucune Partie contractante appliquant ce Règlement ne pourra refuser d’accorder ou refuser d’accepter des homologations de type accordées au titre du présent Règlement modifié par la série 01 d’amendements.</w:t>
      </w:r>
    </w:p>
    <w:p w:rsidR="003525A2" w:rsidRPr="003D4130" w:rsidRDefault="003525A2" w:rsidP="0050587A">
      <w:pPr>
        <w:pStyle w:val="SingleTxtG"/>
        <w:ind w:left="2268" w:hanging="1134"/>
        <w:rPr>
          <w:b/>
          <w:snapToGrid w:val="0"/>
        </w:rPr>
      </w:pPr>
      <w:r w:rsidRPr="003D4130">
        <w:rPr>
          <w:b/>
          <w:snapToGrid w:val="0"/>
        </w:rPr>
        <w:t>11.2</w:t>
      </w:r>
      <w:r w:rsidRPr="003D4130">
        <w:rPr>
          <w:b/>
          <w:snapToGrid w:val="0"/>
        </w:rPr>
        <w:tab/>
        <w:t>À compter du 7</w:t>
      </w:r>
      <w:r w:rsidR="00A331A4">
        <w:rPr>
          <w:b/>
          <w:snapToGrid w:val="0"/>
        </w:rPr>
        <w:t> </w:t>
      </w:r>
      <w:r w:rsidRPr="003D4130">
        <w:rPr>
          <w:b/>
          <w:snapToGrid w:val="0"/>
        </w:rPr>
        <w:t>janvier 2026, les Parties contractantes appliquant le présent Règlement ne seront plus tenues d</w:t>
      </w:r>
      <w:r>
        <w:rPr>
          <w:b/>
          <w:snapToGrid w:val="0"/>
        </w:rPr>
        <w:t>’</w:t>
      </w:r>
      <w:r w:rsidRPr="003D4130">
        <w:rPr>
          <w:b/>
          <w:snapToGrid w:val="0"/>
        </w:rPr>
        <w:t>accepter les homologations de type établies conformément à la version originale du Règlement délivrées pour la première fois après le 7</w:t>
      </w:r>
      <w:r w:rsidR="0050587A">
        <w:rPr>
          <w:b/>
          <w:snapToGrid w:val="0"/>
        </w:rPr>
        <w:t> </w:t>
      </w:r>
      <w:r w:rsidRPr="003D4130">
        <w:rPr>
          <w:b/>
          <w:snapToGrid w:val="0"/>
        </w:rPr>
        <w:t>janvier 2026.</w:t>
      </w:r>
    </w:p>
    <w:p w:rsidR="003525A2" w:rsidRPr="003D4130" w:rsidRDefault="003525A2" w:rsidP="0050587A">
      <w:pPr>
        <w:pStyle w:val="SingleTxtG"/>
        <w:ind w:left="2268" w:hanging="1134"/>
        <w:rPr>
          <w:b/>
          <w:snapToGrid w:val="0"/>
        </w:rPr>
      </w:pPr>
      <w:r w:rsidRPr="003D4130">
        <w:rPr>
          <w:b/>
          <w:snapToGrid w:val="0"/>
        </w:rPr>
        <w:t>11.3</w:t>
      </w:r>
      <w:r w:rsidRPr="003D4130">
        <w:rPr>
          <w:b/>
          <w:snapToGrid w:val="0"/>
        </w:rPr>
        <w:tab/>
        <w:t>Jusqu</w:t>
      </w:r>
      <w:r>
        <w:rPr>
          <w:b/>
          <w:snapToGrid w:val="0"/>
        </w:rPr>
        <w:t>’</w:t>
      </w:r>
      <w:r w:rsidRPr="003D4130">
        <w:rPr>
          <w:b/>
          <w:snapToGrid w:val="0"/>
        </w:rPr>
        <w:t>au 7</w:t>
      </w:r>
      <w:r w:rsidR="0050587A">
        <w:rPr>
          <w:b/>
          <w:snapToGrid w:val="0"/>
        </w:rPr>
        <w:t> </w:t>
      </w:r>
      <w:r w:rsidRPr="003D4130">
        <w:rPr>
          <w:b/>
          <w:snapToGrid w:val="0"/>
        </w:rPr>
        <w:t>janvier 2029, les Parties contractantes appliquant le présent Règlement seront tenues d</w:t>
      </w:r>
      <w:r>
        <w:rPr>
          <w:b/>
          <w:snapToGrid w:val="0"/>
        </w:rPr>
        <w:t>’</w:t>
      </w:r>
      <w:r w:rsidRPr="003D4130">
        <w:rPr>
          <w:b/>
          <w:snapToGrid w:val="0"/>
        </w:rPr>
        <w:t>accepter les homologations de type établies conformément à la version originale du Règlement, délivrées pour la première fois avant le 7</w:t>
      </w:r>
      <w:r w:rsidR="0050587A">
        <w:rPr>
          <w:b/>
          <w:snapToGrid w:val="0"/>
        </w:rPr>
        <w:t> </w:t>
      </w:r>
      <w:r w:rsidRPr="003D4130">
        <w:rPr>
          <w:b/>
          <w:snapToGrid w:val="0"/>
        </w:rPr>
        <w:t>janvier 2026.</w:t>
      </w:r>
    </w:p>
    <w:p w:rsidR="003525A2" w:rsidRPr="003D4130" w:rsidRDefault="003525A2" w:rsidP="0050587A">
      <w:pPr>
        <w:pStyle w:val="SingleTxtG"/>
        <w:ind w:left="2268" w:hanging="1134"/>
        <w:rPr>
          <w:b/>
          <w:snapToGrid w:val="0"/>
        </w:rPr>
      </w:pPr>
      <w:r w:rsidRPr="003D4130">
        <w:rPr>
          <w:b/>
          <w:snapToGrid w:val="0"/>
        </w:rPr>
        <w:t>11.4</w:t>
      </w:r>
      <w:r w:rsidRPr="003D4130">
        <w:rPr>
          <w:b/>
          <w:snapToGrid w:val="0"/>
        </w:rPr>
        <w:tab/>
        <w:t>Nonobstant le paragraphe</w:t>
      </w:r>
      <w:r w:rsidR="0050587A">
        <w:rPr>
          <w:b/>
          <w:snapToGrid w:val="0"/>
        </w:rPr>
        <w:t> </w:t>
      </w:r>
      <w:r w:rsidRPr="003D4130">
        <w:rPr>
          <w:b/>
          <w:snapToGrid w:val="0"/>
        </w:rPr>
        <w:t>11.3, les Parties contractantes appliquant le présent Règlement doivent continuer à accepter les homologations de type de dispositifs de protection contre l</w:t>
      </w:r>
      <w:r>
        <w:rPr>
          <w:b/>
          <w:snapToGrid w:val="0"/>
        </w:rPr>
        <w:t>’</w:t>
      </w:r>
      <w:r w:rsidRPr="003D4130">
        <w:rPr>
          <w:b/>
          <w:snapToGrid w:val="0"/>
        </w:rPr>
        <w:t>encastrement à l</w:t>
      </w:r>
      <w:r>
        <w:rPr>
          <w:b/>
          <w:snapToGrid w:val="0"/>
        </w:rPr>
        <w:t>’</w:t>
      </w:r>
      <w:r w:rsidRPr="003D4130">
        <w:rPr>
          <w:b/>
          <w:snapToGrid w:val="0"/>
        </w:rPr>
        <w:t>avant délivrées au titre de la version originale du Règlement.</w:t>
      </w:r>
    </w:p>
    <w:p w:rsidR="003525A2" w:rsidRPr="003D4130" w:rsidRDefault="003525A2" w:rsidP="0050587A">
      <w:pPr>
        <w:pStyle w:val="SingleTxtG"/>
        <w:ind w:left="2268" w:hanging="1134"/>
        <w:rPr>
          <w:b/>
          <w:snapToGrid w:val="0"/>
        </w:rPr>
      </w:pPr>
      <w:r w:rsidRPr="003D4130">
        <w:rPr>
          <w:b/>
          <w:snapToGrid w:val="0"/>
        </w:rPr>
        <w:t>11.5</w:t>
      </w:r>
      <w:r w:rsidRPr="003D4130">
        <w:rPr>
          <w:b/>
          <w:snapToGrid w:val="0"/>
        </w:rPr>
        <w:tab/>
        <w:t>Nonobstant le paragraphe</w:t>
      </w:r>
      <w:r w:rsidR="0050587A">
        <w:rPr>
          <w:b/>
          <w:snapToGrid w:val="0"/>
        </w:rPr>
        <w:t> </w:t>
      </w:r>
      <w:r w:rsidRPr="003D4130">
        <w:rPr>
          <w:b/>
          <w:snapToGrid w:val="0"/>
        </w:rPr>
        <w:t>11.3, les Parties contractantes appliquant le présent Règlement doivent continuer à accepter les homologations de type délivrées au titre de la version originale du Règlement pour les véhicules non concernés par les modifications apportées par la série</w:t>
      </w:r>
      <w:r w:rsidR="0050587A">
        <w:rPr>
          <w:b/>
          <w:snapToGrid w:val="0"/>
        </w:rPr>
        <w:t> </w:t>
      </w:r>
      <w:r w:rsidRPr="003D4130">
        <w:rPr>
          <w:b/>
          <w:snapToGrid w:val="0"/>
        </w:rPr>
        <w:t>01 d</w:t>
      </w:r>
      <w:r>
        <w:rPr>
          <w:b/>
          <w:snapToGrid w:val="0"/>
        </w:rPr>
        <w:t>’</w:t>
      </w:r>
      <w:r w:rsidRPr="003D4130">
        <w:rPr>
          <w:b/>
          <w:snapToGrid w:val="0"/>
        </w:rPr>
        <w:t xml:space="preserve">amendements. </w:t>
      </w:r>
    </w:p>
    <w:p w:rsidR="003525A2" w:rsidRPr="003D4130" w:rsidRDefault="003525A2" w:rsidP="0050587A">
      <w:pPr>
        <w:pStyle w:val="SingleTxtG"/>
        <w:ind w:left="2268" w:hanging="1134"/>
        <w:rPr>
          <w:b/>
          <w:snapToGrid w:val="0"/>
        </w:rPr>
      </w:pPr>
      <w:r w:rsidRPr="003D4130">
        <w:rPr>
          <w:b/>
          <w:snapToGrid w:val="0"/>
        </w:rPr>
        <w:t>11.6</w:t>
      </w:r>
      <w:r w:rsidRPr="003D4130">
        <w:rPr>
          <w:b/>
          <w:snapToGrid w:val="0"/>
        </w:rPr>
        <w:tab/>
        <w:t>Les Parties contractantes appliquant le présent Règlement ne pourront refuser d</w:t>
      </w:r>
      <w:r>
        <w:rPr>
          <w:b/>
          <w:snapToGrid w:val="0"/>
        </w:rPr>
        <w:t>’</w:t>
      </w:r>
      <w:r w:rsidRPr="003D4130">
        <w:rPr>
          <w:b/>
          <w:snapToGrid w:val="0"/>
        </w:rPr>
        <w:t>accorder des homologations de type délivrées au titre de la version originale du Règlement ou des extensions à ces homologations.</w:t>
      </w:r>
      <w:r w:rsidR="0050587A">
        <w:rPr>
          <w:b/>
          <w:snapToGrid w:val="0"/>
        </w:rPr>
        <w:t> »</w:t>
      </w:r>
      <w:r w:rsidRPr="003D4130">
        <w:rPr>
          <w:b/>
          <w:snapToGrid w:val="0"/>
        </w:rPr>
        <w:t xml:space="preserve"> </w:t>
      </w:r>
    </w:p>
    <w:p w:rsidR="003525A2" w:rsidRPr="003D4130" w:rsidRDefault="003525A2" w:rsidP="009A3CD1">
      <w:pPr>
        <w:pStyle w:val="SingleTxtG"/>
        <w:keepNext/>
        <w:rPr>
          <w:lang w:eastAsia="ja-JP"/>
        </w:rPr>
      </w:pPr>
      <w:r w:rsidRPr="009A3CD1">
        <w:rPr>
          <w:i/>
          <w:lang w:eastAsia="ja-JP"/>
        </w:rPr>
        <w:lastRenderedPageBreak/>
        <w:t>Annexe 5, ajouter un nouveau paragraphe 2.2.6</w:t>
      </w:r>
      <w:r w:rsidRPr="003D4130">
        <w:rPr>
          <w:lang w:eastAsia="ja-JP"/>
        </w:rPr>
        <w:t>, ainsi conçu</w:t>
      </w:r>
      <w:r w:rsidR="009A3CD1">
        <w:rPr>
          <w:lang w:eastAsia="ja-JP"/>
        </w:rPr>
        <w:t> </w:t>
      </w:r>
      <w:r w:rsidRPr="003D4130">
        <w:rPr>
          <w:lang w:eastAsia="ja-JP"/>
        </w:rPr>
        <w:t>:</w:t>
      </w:r>
    </w:p>
    <w:p w:rsidR="003525A2" w:rsidRPr="003D4130" w:rsidRDefault="009A3CD1" w:rsidP="009A3CD1">
      <w:pPr>
        <w:pStyle w:val="SingleTxtG"/>
        <w:ind w:left="2268" w:hanging="1134"/>
        <w:rPr>
          <w:lang w:eastAsia="fr-FR"/>
        </w:rPr>
      </w:pPr>
      <w:r>
        <w:rPr>
          <w:lang w:eastAsia="fr-FR"/>
        </w:rPr>
        <w:t>« </w:t>
      </w:r>
      <w:r w:rsidR="003525A2" w:rsidRPr="003D4130">
        <w:rPr>
          <w:lang w:eastAsia="fr-FR"/>
        </w:rPr>
        <w:t>2.2.6</w:t>
      </w:r>
      <w:r w:rsidR="003525A2" w:rsidRPr="003D4130">
        <w:rPr>
          <w:lang w:eastAsia="fr-FR"/>
        </w:rPr>
        <w:tab/>
        <w:t>Afin d</w:t>
      </w:r>
      <w:r w:rsidR="003525A2">
        <w:rPr>
          <w:lang w:eastAsia="fr-FR"/>
        </w:rPr>
        <w:t>’</w:t>
      </w:r>
      <w:r w:rsidR="003525A2" w:rsidRPr="003D4130">
        <w:rPr>
          <w:lang w:eastAsia="fr-FR"/>
        </w:rPr>
        <w:t>éviter que des forces latérales s</w:t>
      </w:r>
      <w:r w:rsidR="003525A2">
        <w:rPr>
          <w:lang w:eastAsia="fr-FR"/>
        </w:rPr>
        <w:t>’</w:t>
      </w:r>
      <w:r w:rsidR="003525A2" w:rsidRPr="003D4130">
        <w:rPr>
          <w:lang w:eastAsia="fr-FR"/>
        </w:rPr>
        <w:t>exercent sur le vérin d</w:t>
      </w:r>
      <w:r w:rsidR="003525A2">
        <w:rPr>
          <w:lang w:eastAsia="fr-FR"/>
        </w:rPr>
        <w:t>’</w:t>
      </w:r>
      <w:r w:rsidR="003525A2" w:rsidRPr="003D4130">
        <w:rPr>
          <w:lang w:eastAsia="fr-FR"/>
        </w:rPr>
        <w:t>essai pendant l</w:t>
      </w:r>
      <w:r w:rsidR="003525A2">
        <w:rPr>
          <w:lang w:eastAsia="fr-FR"/>
        </w:rPr>
        <w:t>’</w:t>
      </w:r>
      <w:r w:rsidR="003525A2" w:rsidRPr="003D4130">
        <w:rPr>
          <w:lang w:eastAsia="fr-FR"/>
        </w:rPr>
        <w:t>essai, la protection contre l</w:t>
      </w:r>
      <w:r w:rsidR="003525A2">
        <w:rPr>
          <w:lang w:eastAsia="fr-FR"/>
        </w:rPr>
        <w:t>’</w:t>
      </w:r>
      <w:r w:rsidR="003525A2" w:rsidRPr="003D4130">
        <w:rPr>
          <w:lang w:eastAsia="fr-FR"/>
        </w:rPr>
        <w:t>encastrement à l</w:t>
      </w:r>
      <w:r w:rsidR="003525A2">
        <w:rPr>
          <w:lang w:eastAsia="fr-FR"/>
        </w:rPr>
        <w:t>’</w:t>
      </w:r>
      <w:r w:rsidR="003525A2" w:rsidRPr="003D4130">
        <w:rPr>
          <w:lang w:eastAsia="fr-FR"/>
        </w:rPr>
        <w:t>avant peut être localement adaptée pour fournir une zone plate pour l</w:t>
      </w:r>
      <w:r w:rsidR="003525A2">
        <w:rPr>
          <w:lang w:eastAsia="fr-FR"/>
        </w:rPr>
        <w:t>’</w:t>
      </w:r>
      <w:r w:rsidR="003525A2" w:rsidRPr="003D4130">
        <w:rPr>
          <w:lang w:eastAsia="fr-FR"/>
        </w:rPr>
        <w:t>application de la force. Toute modification de ce type ne doit toutefois pas avoir pour effet de renforcer la structure de protection contre l</w:t>
      </w:r>
      <w:r w:rsidR="003525A2">
        <w:rPr>
          <w:lang w:eastAsia="fr-FR"/>
        </w:rPr>
        <w:t>’</w:t>
      </w:r>
      <w:r w:rsidR="003525A2" w:rsidRPr="003D4130">
        <w:rPr>
          <w:lang w:eastAsia="fr-FR"/>
        </w:rPr>
        <w:t>encastrement à l</w:t>
      </w:r>
      <w:r w:rsidR="003525A2">
        <w:rPr>
          <w:lang w:eastAsia="fr-FR"/>
        </w:rPr>
        <w:t>’</w:t>
      </w:r>
      <w:r w:rsidR="003525A2" w:rsidRPr="003D4130">
        <w:rPr>
          <w:lang w:eastAsia="fr-FR"/>
        </w:rPr>
        <w:t>avant elle-même.</w:t>
      </w:r>
      <w:r>
        <w:rPr>
          <w:lang w:eastAsia="fr-FR"/>
        </w:rPr>
        <w:t> »</w:t>
      </w:r>
      <w:r w:rsidR="003525A2" w:rsidRPr="003D4130">
        <w:rPr>
          <w:lang w:eastAsia="fr-FR"/>
        </w:rPr>
        <w:t>.</w:t>
      </w:r>
    </w:p>
    <w:p w:rsidR="003525A2" w:rsidRPr="003D4130" w:rsidRDefault="003525A2" w:rsidP="000B018C">
      <w:pPr>
        <w:pStyle w:val="HChG"/>
        <w:rPr>
          <w:lang w:eastAsia="fr-FR"/>
        </w:rPr>
      </w:pPr>
      <w:r w:rsidRPr="003D4130">
        <w:rPr>
          <w:lang w:eastAsia="fr-FR"/>
        </w:rPr>
        <w:tab/>
        <w:t>II.</w:t>
      </w:r>
      <w:r w:rsidRPr="003D4130">
        <w:rPr>
          <w:lang w:eastAsia="fr-FR"/>
        </w:rPr>
        <w:tab/>
        <w:t>Justification</w:t>
      </w:r>
    </w:p>
    <w:p w:rsidR="003525A2" w:rsidRPr="003D4130" w:rsidRDefault="003525A2" w:rsidP="000B018C">
      <w:pPr>
        <w:pStyle w:val="SingleTxtG"/>
        <w:rPr>
          <w:lang w:eastAsia="fr-FR"/>
        </w:rPr>
      </w:pPr>
      <w:r w:rsidRPr="003D4130">
        <w:rPr>
          <w:lang w:eastAsia="fr-FR"/>
        </w:rPr>
        <w:t>1.</w:t>
      </w:r>
      <w:r w:rsidRPr="003D4130">
        <w:rPr>
          <w:lang w:eastAsia="fr-FR"/>
        </w:rPr>
        <w:tab/>
        <w:t>On s</w:t>
      </w:r>
      <w:r>
        <w:rPr>
          <w:lang w:eastAsia="fr-FR"/>
        </w:rPr>
        <w:t>’</w:t>
      </w:r>
      <w:r w:rsidRPr="003D4130">
        <w:rPr>
          <w:lang w:eastAsia="fr-FR"/>
        </w:rPr>
        <w:t>attend à ce que les cabines de</w:t>
      </w:r>
      <w:r w:rsidRPr="003D4130">
        <w:t xml:space="preserve"> </w:t>
      </w:r>
      <w:r w:rsidRPr="003D4130">
        <w:rPr>
          <w:lang w:eastAsia="fr-FR"/>
        </w:rPr>
        <w:t>véhicules utilitaires deviennent plus aérodynamiques pour améliorer le rendement énergétique et réduire les émissions de CO</w:t>
      </w:r>
      <w:r w:rsidRPr="003D4130">
        <w:rPr>
          <w:vertAlign w:val="subscript"/>
          <w:lang w:eastAsia="fr-FR"/>
        </w:rPr>
        <w:t>2</w:t>
      </w:r>
      <w:r w:rsidRPr="003D4130">
        <w:rPr>
          <w:lang w:eastAsia="fr-FR"/>
        </w:rPr>
        <w:t>. Cela peut se traduire par des cabines plus arrondies et des formes de véhicules plus inhabituelles. Il est donc proposé de mettre à jour la Partie</w:t>
      </w:r>
      <w:r w:rsidR="000B018C">
        <w:rPr>
          <w:lang w:eastAsia="fr-FR"/>
        </w:rPr>
        <w:t> </w:t>
      </w:r>
      <w:r w:rsidRPr="003D4130">
        <w:rPr>
          <w:lang w:eastAsia="fr-FR"/>
        </w:rPr>
        <w:t>III où la protection contre l</w:t>
      </w:r>
      <w:r>
        <w:rPr>
          <w:lang w:eastAsia="fr-FR"/>
        </w:rPr>
        <w:t>’</w:t>
      </w:r>
      <w:r w:rsidRPr="003D4130">
        <w:rPr>
          <w:lang w:eastAsia="fr-FR"/>
        </w:rPr>
        <w:t>encastrement à l</w:t>
      </w:r>
      <w:r>
        <w:rPr>
          <w:lang w:eastAsia="fr-FR"/>
        </w:rPr>
        <w:t>’</w:t>
      </w:r>
      <w:r w:rsidRPr="003D4130">
        <w:rPr>
          <w:lang w:eastAsia="fr-FR"/>
        </w:rPr>
        <w:t>avant est intégrée au véhicule.</w:t>
      </w:r>
    </w:p>
    <w:p w:rsidR="003525A2" w:rsidRPr="003D4130" w:rsidRDefault="003525A2" w:rsidP="000B018C">
      <w:pPr>
        <w:pStyle w:val="SingleTxtG"/>
        <w:rPr>
          <w:lang w:eastAsia="fr-FR"/>
        </w:rPr>
      </w:pPr>
      <w:r w:rsidRPr="003D4130">
        <w:rPr>
          <w:lang w:eastAsia="fr-FR"/>
        </w:rPr>
        <w:t>2.</w:t>
      </w:r>
      <w:r w:rsidRPr="003D4130">
        <w:rPr>
          <w:lang w:eastAsia="fr-FR"/>
        </w:rPr>
        <w:tab/>
        <w:t>Afin de réduire les possibilités d</w:t>
      </w:r>
      <w:r>
        <w:rPr>
          <w:lang w:eastAsia="fr-FR"/>
        </w:rPr>
        <w:t>’</w:t>
      </w:r>
      <w:r w:rsidRPr="003D4130">
        <w:rPr>
          <w:lang w:eastAsia="fr-FR"/>
        </w:rPr>
        <w:t>exemptions inappropriées, il est proposé d</w:t>
      </w:r>
      <w:r>
        <w:rPr>
          <w:lang w:eastAsia="fr-FR"/>
        </w:rPr>
        <w:t>’</w:t>
      </w:r>
      <w:r w:rsidRPr="003D4130">
        <w:rPr>
          <w:lang w:eastAsia="fr-FR"/>
        </w:rPr>
        <w:t>aligner les motifs d</w:t>
      </w:r>
      <w:r>
        <w:rPr>
          <w:lang w:eastAsia="fr-FR"/>
        </w:rPr>
        <w:t>’</w:t>
      </w:r>
      <w:r w:rsidRPr="003D4130">
        <w:rPr>
          <w:lang w:eastAsia="fr-FR"/>
        </w:rPr>
        <w:t xml:space="preserve">exemption sur ceux qui ont été convenus pour le Règlement </w:t>
      </w:r>
      <w:r w:rsidR="000B018C" w:rsidRPr="000B018C">
        <w:rPr>
          <w:rFonts w:eastAsia="MS Mincho"/>
          <w:lang w:eastAsia="fr-FR"/>
        </w:rPr>
        <w:t>n</w:t>
      </w:r>
      <w:r w:rsidR="000B018C" w:rsidRPr="000B018C">
        <w:rPr>
          <w:rFonts w:eastAsia="MS Mincho"/>
          <w:vertAlign w:val="superscript"/>
          <w:lang w:eastAsia="fr-FR"/>
        </w:rPr>
        <w:t>o</w:t>
      </w:r>
      <w:r w:rsidR="000B018C">
        <w:rPr>
          <w:lang w:eastAsia="fr-FR"/>
        </w:rPr>
        <w:t> </w:t>
      </w:r>
      <w:r w:rsidRPr="003D4130">
        <w:rPr>
          <w:lang w:eastAsia="fr-FR"/>
        </w:rPr>
        <w:t>73.</w:t>
      </w:r>
    </w:p>
    <w:p w:rsidR="003525A2" w:rsidRPr="003D4130" w:rsidRDefault="003525A2" w:rsidP="000B018C">
      <w:pPr>
        <w:pStyle w:val="SingleTxtG"/>
        <w:rPr>
          <w:lang w:eastAsia="fr-FR"/>
        </w:rPr>
      </w:pPr>
      <w:r w:rsidRPr="003D4130">
        <w:rPr>
          <w:lang w:eastAsia="fr-FR"/>
        </w:rPr>
        <w:t>3.</w:t>
      </w:r>
      <w:r w:rsidRPr="003D4130">
        <w:rPr>
          <w:lang w:eastAsia="fr-FR"/>
        </w:rPr>
        <w:tab/>
        <w:t>L</w:t>
      </w:r>
      <w:r>
        <w:rPr>
          <w:lang w:eastAsia="fr-FR"/>
        </w:rPr>
        <w:t>’</w:t>
      </w:r>
      <w:r w:rsidRPr="003D4130">
        <w:rPr>
          <w:lang w:eastAsia="fr-FR"/>
        </w:rPr>
        <w:t>exemption de la cabine avant pour les véhicules tout-terrain est déjà possible via les prescriptions de la RE3 pour 4 des 6</w:t>
      </w:r>
      <w:r w:rsidR="000B018C">
        <w:rPr>
          <w:lang w:eastAsia="fr-FR"/>
        </w:rPr>
        <w:t> </w:t>
      </w:r>
      <w:r w:rsidRPr="003D4130">
        <w:rPr>
          <w:lang w:eastAsia="fr-FR"/>
        </w:rPr>
        <w:t>spécifications à valider (y compris le point relatif à la protection des cabines contre l</w:t>
      </w:r>
      <w:r>
        <w:rPr>
          <w:lang w:eastAsia="fr-FR"/>
        </w:rPr>
        <w:t>’</w:t>
      </w:r>
      <w:r w:rsidRPr="003D4130">
        <w:rPr>
          <w:lang w:eastAsia="fr-FR"/>
        </w:rPr>
        <w:t>encastrement à l</w:t>
      </w:r>
      <w:r>
        <w:rPr>
          <w:lang w:eastAsia="fr-FR"/>
        </w:rPr>
        <w:t>’</w:t>
      </w:r>
      <w:r w:rsidRPr="003D4130">
        <w:rPr>
          <w:lang w:eastAsia="fr-FR"/>
        </w:rPr>
        <w:t>avant).</w:t>
      </w:r>
    </w:p>
    <w:p w:rsidR="003525A2" w:rsidRPr="003D4130" w:rsidRDefault="003525A2" w:rsidP="000B018C">
      <w:pPr>
        <w:pStyle w:val="SingleTxtG"/>
        <w:rPr>
          <w:lang w:eastAsia="fr-FR"/>
        </w:rPr>
      </w:pPr>
      <w:r w:rsidRPr="003D4130">
        <w:rPr>
          <w:lang w:eastAsia="fr-FR"/>
        </w:rPr>
        <w:t>4.</w:t>
      </w:r>
      <w:r w:rsidRPr="003D4130">
        <w:rPr>
          <w:lang w:eastAsia="fr-FR"/>
        </w:rPr>
        <w:tab/>
        <w:t>Il y a une possibilité de lier les dispositions transitoires à la question de la vision directe (janvier 2026 pour les nouveaux modèles et janvier 2029 pour les modèles existants), car il va falloir, pour la vision directe, complétement revoir la conception des cabines. Il s</w:t>
      </w:r>
      <w:r>
        <w:rPr>
          <w:lang w:eastAsia="fr-FR"/>
        </w:rPr>
        <w:t>’</w:t>
      </w:r>
      <w:r w:rsidRPr="003D4130">
        <w:rPr>
          <w:lang w:eastAsia="fr-FR"/>
        </w:rPr>
        <w:t>agit donc d</w:t>
      </w:r>
      <w:r>
        <w:rPr>
          <w:lang w:eastAsia="fr-FR"/>
        </w:rPr>
        <w:t>’</w:t>
      </w:r>
      <w:r w:rsidRPr="003D4130">
        <w:rPr>
          <w:lang w:eastAsia="fr-FR"/>
        </w:rPr>
        <w:t>une bonne occasion de redessiner en même temps la protection contre l</w:t>
      </w:r>
      <w:r>
        <w:rPr>
          <w:lang w:eastAsia="fr-FR"/>
        </w:rPr>
        <w:t>’</w:t>
      </w:r>
      <w:r w:rsidRPr="003D4130">
        <w:rPr>
          <w:lang w:eastAsia="fr-FR"/>
        </w:rPr>
        <w:t>encastrement à l</w:t>
      </w:r>
      <w:r>
        <w:rPr>
          <w:lang w:eastAsia="fr-FR"/>
        </w:rPr>
        <w:t>’</w:t>
      </w:r>
      <w:r w:rsidRPr="003D4130">
        <w:rPr>
          <w:lang w:eastAsia="fr-FR"/>
        </w:rPr>
        <w:t xml:space="preserve">avant. </w:t>
      </w:r>
    </w:p>
    <w:p w:rsidR="003525A2" w:rsidRPr="003D4130" w:rsidRDefault="003525A2" w:rsidP="000B018C">
      <w:pPr>
        <w:pStyle w:val="SingleTxtG"/>
        <w:rPr>
          <w:lang w:eastAsia="fr-FR"/>
        </w:rPr>
      </w:pPr>
      <w:r w:rsidRPr="003D4130">
        <w:rPr>
          <w:lang w:eastAsia="fr-FR"/>
        </w:rPr>
        <w:t>5.</w:t>
      </w:r>
      <w:r w:rsidRPr="003D4130">
        <w:rPr>
          <w:lang w:eastAsia="fr-FR"/>
        </w:rPr>
        <w:tab/>
        <w:t>Pour assurer une plus large intégration des modifications proposées dans le présent document, il est préférable de limiter les modifications aux exemptions dans ce document.</w:t>
      </w:r>
    </w:p>
    <w:p w:rsidR="00273770" w:rsidRPr="00692E12" w:rsidRDefault="00692E12" w:rsidP="00692E12">
      <w:pPr>
        <w:pStyle w:val="SingleTxtG"/>
        <w:spacing w:before="240" w:after="0"/>
        <w:jc w:val="center"/>
        <w:rPr>
          <w:u w:val="single"/>
          <w:lang w:eastAsia="fr-FR"/>
        </w:rPr>
      </w:pPr>
      <w:r>
        <w:rPr>
          <w:u w:val="single"/>
          <w:lang w:eastAsia="fr-FR"/>
        </w:rPr>
        <w:tab/>
      </w:r>
      <w:r>
        <w:rPr>
          <w:u w:val="single"/>
          <w:lang w:eastAsia="fr-FR"/>
        </w:rPr>
        <w:tab/>
      </w:r>
      <w:r>
        <w:rPr>
          <w:u w:val="single"/>
          <w:lang w:eastAsia="fr-FR"/>
        </w:rPr>
        <w:tab/>
      </w:r>
    </w:p>
    <w:sectPr w:rsidR="00273770" w:rsidRPr="00692E12" w:rsidSect="00D775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C6C" w:rsidRDefault="00B91C6C" w:rsidP="00F95C08">
      <w:pPr>
        <w:spacing w:line="240" w:lineRule="auto"/>
      </w:pPr>
    </w:p>
  </w:endnote>
  <w:endnote w:type="continuationSeparator" w:id="0">
    <w:p w:rsidR="00B91C6C" w:rsidRPr="00AC3823" w:rsidRDefault="00B91C6C" w:rsidP="00AC3823">
      <w:pPr>
        <w:pStyle w:val="Pieddepage"/>
      </w:pPr>
    </w:p>
  </w:endnote>
  <w:endnote w:type="continuationNotice" w:id="1">
    <w:p w:rsidR="00B91C6C" w:rsidRDefault="00B91C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E4" w:rsidRPr="00D775E4" w:rsidRDefault="00D775E4" w:rsidP="00D775E4">
    <w:pPr>
      <w:pStyle w:val="Pieddepage"/>
      <w:tabs>
        <w:tab w:val="right" w:pos="9638"/>
      </w:tabs>
    </w:pPr>
    <w:r w:rsidRPr="00D775E4">
      <w:rPr>
        <w:b/>
        <w:sz w:val="18"/>
      </w:rPr>
      <w:fldChar w:fldCharType="begin"/>
    </w:r>
    <w:r w:rsidRPr="00D775E4">
      <w:rPr>
        <w:b/>
        <w:sz w:val="18"/>
      </w:rPr>
      <w:instrText xml:space="preserve"> PAGE  \* MERGEFORMAT </w:instrText>
    </w:r>
    <w:r w:rsidRPr="00D775E4">
      <w:rPr>
        <w:b/>
        <w:sz w:val="18"/>
      </w:rPr>
      <w:fldChar w:fldCharType="separate"/>
    </w:r>
    <w:r w:rsidRPr="00D775E4">
      <w:rPr>
        <w:b/>
        <w:noProof/>
        <w:sz w:val="18"/>
      </w:rPr>
      <w:t>2</w:t>
    </w:r>
    <w:r w:rsidRPr="00D775E4">
      <w:rPr>
        <w:b/>
        <w:sz w:val="18"/>
      </w:rPr>
      <w:fldChar w:fldCharType="end"/>
    </w:r>
    <w:r>
      <w:rPr>
        <w:b/>
        <w:sz w:val="18"/>
      </w:rPr>
      <w:tab/>
    </w:r>
    <w:r>
      <w:t>GE.20-00806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E4" w:rsidRPr="00D775E4" w:rsidRDefault="00D775E4" w:rsidP="00D775E4">
    <w:pPr>
      <w:pStyle w:val="Pieddepage"/>
      <w:tabs>
        <w:tab w:val="right" w:pos="9638"/>
      </w:tabs>
      <w:rPr>
        <w:b/>
        <w:sz w:val="18"/>
      </w:rPr>
    </w:pPr>
    <w:r>
      <w:t>GE.20-00806</w:t>
    </w:r>
    <w:r>
      <w:tab/>
    </w:r>
    <w:r w:rsidRPr="00D775E4">
      <w:rPr>
        <w:b/>
        <w:sz w:val="18"/>
      </w:rPr>
      <w:fldChar w:fldCharType="begin"/>
    </w:r>
    <w:r w:rsidRPr="00D775E4">
      <w:rPr>
        <w:b/>
        <w:sz w:val="18"/>
      </w:rPr>
      <w:instrText xml:space="preserve"> PAGE  \* MERGEFORMAT </w:instrText>
    </w:r>
    <w:r w:rsidRPr="00D775E4">
      <w:rPr>
        <w:b/>
        <w:sz w:val="18"/>
      </w:rPr>
      <w:fldChar w:fldCharType="separate"/>
    </w:r>
    <w:r w:rsidRPr="00D775E4">
      <w:rPr>
        <w:b/>
        <w:noProof/>
        <w:sz w:val="18"/>
      </w:rPr>
      <w:t>3</w:t>
    </w:r>
    <w:r w:rsidRPr="00D775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775E4" w:rsidRDefault="00D775E4" w:rsidP="00D775E4">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20-00806  (F)    310120    030220</w:t>
    </w:r>
    <w:r>
      <w:rPr>
        <w:sz w:val="20"/>
      </w:rPr>
      <w:br/>
    </w:r>
    <w:r w:rsidRPr="00D775E4">
      <w:rPr>
        <w:rFonts w:ascii="C39T30Lfz" w:hAnsi="C39T30Lfz"/>
        <w:sz w:val="56"/>
      </w:rPr>
      <w:t></w:t>
    </w:r>
    <w:r w:rsidRPr="00D775E4">
      <w:rPr>
        <w:rFonts w:ascii="C39T30Lfz" w:hAnsi="C39T30Lfz"/>
        <w:sz w:val="56"/>
      </w:rPr>
      <w:t></w:t>
    </w:r>
    <w:r w:rsidRPr="00D775E4">
      <w:rPr>
        <w:rFonts w:ascii="C39T30Lfz" w:hAnsi="C39T30Lfz"/>
        <w:sz w:val="56"/>
      </w:rPr>
      <w:t></w:t>
    </w:r>
    <w:r w:rsidRPr="00D775E4">
      <w:rPr>
        <w:rFonts w:ascii="C39T30Lfz" w:hAnsi="C39T30Lfz"/>
        <w:sz w:val="56"/>
      </w:rPr>
      <w:t></w:t>
    </w:r>
    <w:r w:rsidRPr="00D775E4">
      <w:rPr>
        <w:rFonts w:ascii="C39T30Lfz" w:hAnsi="C39T30Lfz"/>
        <w:sz w:val="56"/>
      </w:rPr>
      <w:t></w:t>
    </w:r>
    <w:r w:rsidRPr="00D775E4">
      <w:rPr>
        <w:rFonts w:ascii="C39T30Lfz" w:hAnsi="C39T30Lfz"/>
        <w:sz w:val="56"/>
      </w:rPr>
      <w:t></w:t>
    </w:r>
    <w:r w:rsidRPr="00D775E4">
      <w:rPr>
        <w:rFonts w:ascii="C39T30Lfz" w:hAnsi="C39T30Lfz"/>
        <w:sz w:val="56"/>
      </w:rPr>
      <w:t></w:t>
    </w:r>
    <w:r w:rsidRPr="00D775E4">
      <w:rPr>
        <w:rFonts w:ascii="C39T30Lfz" w:hAnsi="C39T30Lfz"/>
        <w:sz w:val="56"/>
      </w:rPr>
      <w:t></w:t>
    </w:r>
    <w:r w:rsidRPr="00D775E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C6C" w:rsidRPr="00AC3823" w:rsidRDefault="00B91C6C" w:rsidP="00AC3823">
      <w:pPr>
        <w:pStyle w:val="Pieddepage"/>
        <w:tabs>
          <w:tab w:val="right" w:pos="2155"/>
        </w:tabs>
        <w:spacing w:after="80" w:line="240" w:lineRule="atLeast"/>
        <w:ind w:left="680"/>
        <w:rPr>
          <w:u w:val="single"/>
        </w:rPr>
      </w:pPr>
      <w:r>
        <w:rPr>
          <w:u w:val="single"/>
        </w:rPr>
        <w:tab/>
      </w:r>
    </w:p>
  </w:footnote>
  <w:footnote w:type="continuationSeparator" w:id="0">
    <w:p w:rsidR="00B91C6C" w:rsidRPr="00AC3823" w:rsidRDefault="00B91C6C" w:rsidP="00AC3823">
      <w:pPr>
        <w:pStyle w:val="Pieddepage"/>
        <w:tabs>
          <w:tab w:val="right" w:pos="2155"/>
        </w:tabs>
        <w:spacing w:after="80" w:line="240" w:lineRule="atLeast"/>
        <w:ind w:left="680"/>
        <w:rPr>
          <w:u w:val="single"/>
        </w:rPr>
      </w:pPr>
      <w:r>
        <w:rPr>
          <w:u w:val="single"/>
        </w:rPr>
        <w:tab/>
      </w:r>
    </w:p>
  </w:footnote>
  <w:footnote w:type="continuationNotice" w:id="1">
    <w:p w:rsidR="00B91C6C" w:rsidRPr="00AC3823" w:rsidRDefault="00B91C6C">
      <w:pPr>
        <w:spacing w:line="240" w:lineRule="auto"/>
        <w:rPr>
          <w:sz w:val="2"/>
          <w:szCs w:val="2"/>
        </w:rPr>
      </w:pPr>
    </w:p>
  </w:footnote>
  <w:footnote w:id="2">
    <w:p w:rsidR="000C4456" w:rsidRPr="000C4456" w:rsidRDefault="000C4456">
      <w:pPr>
        <w:pStyle w:val="Notedebasdepage"/>
      </w:pPr>
      <w:r>
        <w:rPr>
          <w:rStyle w:val="Appelnotedebasdep"/>
        </w:rPr>
        <w:tab/>
      </w:r>
      <w:r w:rsidRPr="000C4456">
        <w:rPr>
          <w:rStyle w:val="Appelnotedebasdep"/>
          <w:sz w:val="20"/>
          <w:vertAlign w:val="baseline"/>
        </w:rPr>
        <w:t>*</w:t>
      </w:r>
      <w:r>
        <w:rPr>
          <w:rStyle w:val="Appelnotedebasdep"/>
          <w:sz w:val="20"/>
          <w:vertAlign w:val="baseline"/>
        </w:rPr>
        <w:tab/>
      </w:r>
      <w:r w:rsidRPr="00EB67F8">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r>
        <w:t xml:space="preserve"> </w:t>
      </w:r>
      <w:r w:rsidRPr="00EB67F8">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E4" w:rsidRPr="00D775E4" w:rsidRDefault="00D775E4">
    <w:pPr>
      <w:pStyle w:val="En-tte"/>
    </w:pPr>
    <w:r>
      <w:fldChar w:fldCharType="begin"/>
    </w:r>
    <w:r>
      <w:instrText xml:space="preserve"> TITLE  \* MERGEFORMAT </w:instrText>
    </w:r>
    <w:r>
      <w:fldChar w:fldCharType="separate"/>
    </w:r>
    <w:proofErr w:type="spellStart"/>
    <w:r w:rsidR="00C575E9">
      <w:t>ECE</w:t>
    </w:r>
    <w:proofErr w:type="spellEnd"/>
    <w:r w:rsidR="00C575E9">
      <w:t>/TRANS/WP.29/</w:t>
    </w:r>
    <w:proofErr w:type="spellStart"/>
    <w:r w:rsidR="00C575E9">
      <w:t>GRSG</w:t>
    </w:r>
    <w:proofErr w:type="spellEnd"/>
    <w:r w:rsidR="00C575E9">
      <w:t>/2020/10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E4" w:rsidRPr="00D775E4" w:rsidRDefault="00D775E4" w:rsidP="00D775E4">
    <w:pPr>
      <w:pStyle w:val="En-tte"/>
      <w:jc w:val="right"/>
    </w:pPr>
    <w:r>
      <w:fldChar w:fldCharType="begin"/>
    </w:r>
    <w:r>
      <w:instrText xml:space="preserve"> TITLE  \* MERGEFORMAT </w:instrText>
    </w:r>
    <w:r>
      <w:fldChar w:fldCharType="separate"/>
    </w:r>
    <w:proofErr w:type="spellStart"/>
    <w:r w:rsidR="00C575E9">
      <w:t>ECE</w:t>
    </w:r>
    <w:proofErr w:type="spellEnd"/>
    <w:r w:rsidR="00C575E9">
      <w:t>/TRANS/WP.29/</w:t>
    </w:r>
    <w:proofErr w:type="spellStart"/>
    <w:r w:rsidR="00C575E9">
      <w:t>GRSG</w:t>
    </w:r>
    <w:proofErr w:type="spellEnd"/>
    <w:r w:rsidR="00C575E9">
      <w:t>/2020/10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1C6C"/>
    <w:rsid w:val="00017F94"/>
    <w:rsid w:val="00023842"/>
    <w:rsid w:val="000334F9"/>
    <w:rsid w:val="00045FEB"/>
    <w:rsid w:val="0007796D"/>
    <w:rsid w:val="000B018C"/>
    <w:rsid w:val="000B7790"/>
    <w:rsid w:val="000C4456"/>
    <w:rsid w:val="000D5472"/>
    <w:rsid w:val="00111F2F"/>
    <w:rsid w:val="0014365E"/>
    <w:rsid w:val="00143C66"/>
    <w:rsid w:val="00176178"/>
    <w:rsid w:val="001F525A"/>
    <w:rsid w:val="00223272"/>
    <w:rsid w:val="0024779E"/>
    <w:rsid w:val="00257168"/>
    <w:rsid w:val="00273770"/>
    <w:rsid w:val="002744B8"/>
    <w:rsid w:val="002832AC"/>
    <w:rsid w:val="002D7C93"/>
    <w:rsid w:val="00305801"/>
    <w:rsid w:val="00325D00"/>
    <w:rsid w:val="003525A2"/>
    <w:rsid w:val="003916DE"/>
    <w:rsid w:val="00421996"/>
    <w:rsid w:val="00441C3B"/>
    <w:rsid w:val="00446FE5"/>
    <w:rsid w:val="00452396"/>
    <w:rsid w:val="004837D8"/>
    <w:rsid w:val="004E2EED"/>
    <w:rsid w:val="004E468C"/>
    <w:rsid w:val="0050587A"/>
    <w:rsid w:val="005505B7"/>
    <w:rsid w:val="005511A5"/>
    <w:rsid w:val="00573BE5"/>
    <w:rsid w:val="00586ED3"/>
    <w:rsid w:val="00596AA9"/>
    <w:rsid w:val="00692E12"/>
    <w:rsid w:val="0071601D"/>
    <w:rsid w:val="007A62E6"/>
    <w:rsid w:val="007A6B2A"/>
    <w:rsid w:val="007F20FA"/>
    <w:rsid w:val="0080684C"/>
    <w:rsid w:val="00871C75"/>
    <w:rsid w:val="008776DC"/>
    <w:rsid w:val="009446C0"/>
    <w:rsid w:val="009705C8"/>
    <w:rsid w:val="009A3CD1"/>
    <w:rsid w:val="009C1CF4"/>
    <w:rsid w:val="009F6B74"/>
    <w:rsid w:val="00A3029F"/>
    <w:rsid w:val="00A30353"/>
    <w:rsid w:val="00A331A4"/>
    <w:rsid w:val="00AC3823"/>
    <w:rsid w:val="00AE323C"/>
    <w:rsid w:val="00AF0CB5"/>
    <w:rsid w:val="00B00181"/>
    <w:rsid w:val="00B00B0D"/>
    <w:rsid w:val="00B45F2E"/>
    <w:rsid w:val="00B765F7"/>
    <w:rsid w:val="00B91C6C"/>
    <w:rsid w:val="00BA0CA9"/>
    <w:rsid w:val="00C02897"/>
    <w:rsid w:val="00C575E9"/>
    <w:rsid w:val="00C97039"/>
    <w:rsid w:val="00D3439C"/>
    <w:rsid w:val="00D775E4"/>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0E5ED1"/>
  <w15:docId w15:val="{566A1251-81FC-417B-8E3E-8B5F29DB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744</Words>
  <Characters>5210</Characters>
  <Application>Microsoft Office Word</Application>
  <DocSecurity>0</DocSecurity>
  <Lines>434</Lines>
  <Paragraphs>238</Paragraphs>
  <ScaleCrop>false</ScaleCrop>
  <HeadingPairs>
    <vt:vector size="2" baseType="variant">
      <vt:variant>
        <vt:lpstr>Titre</vt:lpstr>
      </vt:variant>
      <vt:variant>
        <vt:i4>1</vt:i4>
      </vt:variant>
    </vt:vector>
  </HeadingPairs>
  <TitlesOfParts>
    <vt:vector size="1" baseType="lpstr">
      <vt:lpstr>ECE/TRANS/WP.29/GRSG/2020/10</vt:lpstr>
    </vt:vector>
  </TitlesOfParts>
  <Company>DCM</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ECE/TRANS/WP.29/GRSG/2020/10</dc:title>
  <dc:subject/>
  <dc:creator>Brianne MAGNAT</dc:creator>
  <cp:keywords/>
  <cp:lastModifiedBy>Brianne Magnat</cp:lastModifiedBy>
  <cp:revision>2</cp:revision>
  <cp:lastPrinted>2020-02-03T08:30:00Z</cp:lastPrinted>
  <dcterms:created xsi:type="dcterms:W3CDTF">2020-02-03T08:42:00Z</dcterms:created>
  <dcterms:modified xsi:type="dcterms:W3CDTF">2020-02-03T08:42:00Z</dcterms:modified>
</cp:coreProperties>
</file>