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9583E3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588DA3" w14:textId="77777777" w:rsidR="00F35BAF" w:rsidRPr="00DB58B5" w:rsidRDefault="00F35BAF" w:rsidP="00DB0D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3E65C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D27826" w14:textId="77777777" w:rsidR="00F35BAF" w:rsidRPr="00DB58B5" w:rsidRDefault="00DB0D58" w:rsidP="00DB0D58">
            <w:pPr>
              <w:jc w:val="right"/>
            </w:pPr>
            <w:r w:rsidRPr="00DB0D58">
              <w:rPr>
                <w:sz w:val="40"/>
              </w:rPr>
              <w:t>ECE</w:t>
            </w:r>
            <w:r>
              <w:t>/TRANS/WP.29/GRSG/2020/8</w:t>
            </w:r>
          </w:p>
        </w:tc>
      </w:tr>
      <w:tr w:rsidR="00F35BAF" w:rsidRPr="00DB58B5" w14:paraId="1FCE13A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58B4B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5564D80" wp14:editId="3AE807D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1931A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93EDAD" w14:textId="77777777" w:rsidR="00F35BAF" w:rsidRDefault="00DB0D58" w:rsidP="00C97039">
            <w:pPr>
              <w:spacing w:before="240"/>
            </w:pPr>
            <w:r>
              <w:t>Distr. générale</w:t>
            </w:r>
          </w:p>
          <w:p w14:paraId="0611DD4B" w14:textId="77777777" w:rsidR="00DB0D58" w:rsidRDefault="00DB0D58" w:rsidP="00DB0D58">
            <w:pPr>
              <w:spacing w:line="240" w:lineRule="exact"/>
            </w:pPr>
            <w:r>
              <w:t>20 janvier 2020</w:t>
            </w:r>
          </w:p>
          <w:p w14:paraId="766338BF" w14:textId="77777777" w:rsidR="00DB0D58" w:rsidRDefault="00DB0D58" w:rsidP="00DB0D58">
            <w:pPr>
              <w:spacing w:line="240" w:lineRule="exact"/>
            </w:pPr>
            <w:r>
              <w:t>Français</w:t>
            </w:r>
          </w:p>
          <w:p w14:paraId="5784E18F" w14:textId="77777777" w:rsidR="00DB0D58" w:rsidRPr="00DB58B5" w:rsidRDefault="00DB0D58" w:rsidP="00DB0D58">
            <w:pPr>
              <w:spacing w:line="240" w:lineRule="exact"/>
            </w:pPr>
            <w:r>
              <w:t>Original : anglais</w:t>
            </w:r>
          </w:p>
        </w:tc>
      </w:tr>
    </w:tbl>
    <w:p w14:paraId="3FD3B17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06AD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74B57D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0752BB1" w14:textId="77777777" w:rsidR="00DB0D58" w:rsidRDefault="00DB0D5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06AD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A1A10AD" w14:textId="77777777" w:rsidR="00DB0D58" w:rsidRDefault="00DB0D58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</w:t>
      </w:r>
      <w:bookmarkStart w:id="0" w:name="_GoBack"/>
      <w:bookmarkEnd w:id="0"/>
      <w:r>
        <w:rPr>
          <w:b/>
        </w:rPr>
        <w:t>ispositions générales de sécurité</w:t>
      </w:r>
    </w:p>
    <w:p w14:paraId="24FE7B7D" w14:textId="77777777" w:rsidR="00DB0D58" w:rsidRDefault="00DB0D58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118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51D43E8E" w14:textId="77777777" w:rsidR="00DB0D58" w:rsidRDefault="00DB0D58" w:rsidP="00257168">
      <w:pPr>
        <w:spacing w:line="240" w:lineRule="exact"/>
      </w:pPr>
      <w:r>
        <w:t xml:space="preserve">Genève, </w:t>
      </w:r>
      <w:r>
        <w:rPr>
          <w:lang w:val="fr-FR"/>
        </w:rPr>
        <w:t>30 mars-3 avril 2020</w:t>
      </w:r>
    </w:p>
    <w:p w14:paraId="5670A6C0" w14:textId="77777777" w:rsidR="00DB0D58" w:rsidRDefault="00DB0D58" w:rsidP="00257168">
      <w:pPr>
        <w:spacing w:line="240" w:lineRule="exact"/>
      </w:pPr>
      <w:r>
        <w:t>Point 6 de l</w:t>
      </w:r>
      <w:r w:rsidR="00506AD5">
        <w:t>’</w:t>
      </w:r>
      <w:r>
        <w:t>ordre du jour provisoire</w:t>
      </w:r>
    </w:p>
    <w:p w14:paraId="3AB9F36F" w14:textId="77777777" w:rsidR="00DB0D58" w:rsidRPr="00546329" w:rsidRDefault="00DB0D58" w:rsidP="00DB0D58">
      <w:pPr>
        <w:rPr>
          <w:b/>
        </w:rPr>
      </w:pPr>
      <w:r>
        <w:rPr>
          <w:b/>
          <w:bCs/>
          <w:lang w:val="fr-FR"/>
        </w:rPr>
        <w:t>Règlement ONU n</w:t>
      </w:r>
      <w:r w:rsidRPr="006D1E42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55 (Pièces mécaniques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attelage)</w:t>
      </w:r>
    </w:p>
    <w:p w14:paraId="0ABCC172" w14:textId="77777777" w:rsidR="00DB0D58" w:rsidRPr="00546329" w:rsidRDefault="00DB0D58" w:rsidP="00DB0D5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9 à la série 01 d</w:t>
      </w:r>
      <w:r w:rsidR="00506AD5">
        <w:rPr>
          <w:lang w:val="fr-FR"/>
        </w:rPr>
        <w:t>’</w:t>
      </w:r>
      <w:r>
        <w:rPr>
          <w:lang w:val="fr-FR"/>
        </w:rPr>
        <w:t>amendements et de série 02 d</w:t>
      </w:r>
      <w:r w:rsidR="00506AD5">
        <w:rPr>
          <w:lang w:val="fr-FR"/>
        </w:rPr>
        <w:t>’</w:t>
      </w:r>
      <w:r>
        <w:rPr>
          <w:lang w:val="fr-FR"/>
        </w:rPr>
        <w:t>amendements au Règlement ONU n</w:t>
      </w:r>
      <w:r w:rsidRPr="006D1E42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55 (Pièces mécaniques d</w:t>
      </w:r>
      <w:r w:rsidR="00506AD5">
        <w:rPr>
          <w:lang w:val="fr-FR"/>
        </w:rPr>
        <w:t>’</w:t>
      </w:r>
      <w:r>
        <w:rPr>
          <w:lang w:val="fr-FR"/>
        </w:rPr>
        <w:t>attelage)</w:t>
      </w:r>
    </w:p>
    <w:p w14:paraId="0655D6E8" w14:textId="77777777" w:rsidR="00DB0D58" w:rsidRPr="00546329" w:rsidRDefault="00DB0D58" w:rsidP="00DB0D58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506AD5">
        <w:rPr>
          <w:lang w:val="fr-FR"/>
        </w:rPr>
        <w:t>’</w:t>
      </w:r>
      <w:r>
        <w:rPr>
          <w:lang w:val="fr-FR"/>
        </w:rPr>
        <w:t>expert de la Finlande</w:t>
      </w:r>
      <w:r w:rsidRPr="00DB0D58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622475E" w14:textId="77777777" w:rsidR="00F9573C" w:rsidRDefault="00DB0D58" w:rsidP="00DB0D58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 w:rsidR="00506AD5">
        <w:rPr>
          <w:lang w:val="fr-FR"/>
        </w:rPr>
        <w:t>’</w:t>
      </w:r>
      <w:r>
        <w:rPr>
          <w:lang w:val="fr-FR"/>
        </w:rPr>
        <w:t>expert de la Finlande, a pour objet d</w:t>
      </w:r>
      <w:r w:rsidR="00506AD5">
        <w:rPr>
          <w:lang w:val="fr-FR"/>
        </w:rPr>
        <w:t>’</w:t>
      </w:r>
      <w:r>
        <w:rPr>
          <w:lang w:val="fr-FR"/>
        </w:rPr>
        <w:t>apporter des modifications aux dispositions relatives aux pièces mécaniques d</w:t>
      </w:r>
      <w:r w:rsidR="00506AD5">
        <w:rPr>
          <w:lang w:val="fr-FR"/>
        </w:rPr>
        <w:t>’</w:t>
      </w:r>
      <w:r>
        <w:rPr>
          <w:lang w:val="fr-FR"/>
        </w:rPr>
        <w:t>attelage. Il est fondé sur le document informel GRSG-117-06. Les modifications qu</w:t>
      </w:r>
      <w:r w:rsidR="00506AD5">
        <w:rPr>
          <w:lang w:val="fr-FR"/>
        </w:rPr>
        <w:t>’</w:t>
      </w:r>
      <w:r>
        <w:rPr>
          <w:lang w:val="fr-FR"/>
        </w:rPr>
        <w:t>il est proposé d</w:t>
      </w:r>
      <w:r w:rsidR="00506AD5">
        <w:rPr>
          <w:lang w:val="fr-FR"/>
        </w:rPr>
        <w:t>’</w:t>
      </w:r>
      <w:r>
        <w:rPr>
          <w:lang w:val="fr-FR"/>
        </w:rPr>
        <w:t>apporter au texte actuel du Règlement ONU n</w:t>
      </w:r>
      <w:r w:rsidRPr="00DD0B08">
        <w:rPr>
          <w:vertAlign w:val="superscript"/>
          <w:lang w:val="fr-FR"/>
        </w:rPr>
        <w:t>o</w:t>
      </w:r>
      <w:r>
        <w:rPr>
          <w:lang w:val="fr-FR"/>
        </w:rPr>
        <w:t> 55 figurent en caractères gras pour les ajouts et biffés pour les suppressions.</w:t>
      </w:r>
    </w:p>
    <w:p w14:paraId="0C18A6C3" w14:textId="77777777" w:rsidR="00DB0D58" w:rsidRPr="00546329" w:rsidRDefault="00DB0D58" w:rsidP="00DB0D58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 de complément 9 à la série 01 d</w:t>
      </w:r>
      <w:r w:rsidR="00506AD5">
        <w:rPr>
          <w:lang w:val="fr-FR"/>
        </w:rPr>
        <w:t>’</w:t>
      </w:r>
      <w:r>
        <w:rPr>
          <w:lang w:val="fr-FR"/>
        </w:rPr>
        <w:t>amendements au Règlement ONU n</w:t>
      </w:r>
      <w:r w:rsidRPr="00DB0D58">
        <w:rPr>
          <w:vertAlign w:val="superscript"/>
          <w:lang w:val="fr-FR"/>
        </w:rPr>
        <w:t>o</w:t>
      </w:r>
      <w:r>
        <w:rPr>
          <w:lang w:val="fr-FR"/>
        </w:rPr>
        <w:t> 55 (Pièces mécaniques d</w:t>
      </w:r>
      <w:r w:rsidR="00506AD5">
        <w:rPr>
          <w:lang w:val="fr-FR"/>
        </w:rPr>
        <w:t>’</w:t>
      </w:r>
      <w:r>
        <w:rPr>
          <w:lang w:val="fr-FR"/>
        </w:rPr>
        <w:t>attelage)</w:t>
      </w:r>
    </w:p>
    <w:p w14:paraId="28C23080" w14:textId="77777777" w:rsidR="00DB0D58" w:rsidRPr="00DB0D58" w:rsidRDefault="00DB0D58" w:rsidP="00DB0D58">
      <w:pPr>
        <w:pStyle w:val="SingleTxtG"/>
        <w:rPr>
          <w:i/>
        </w:rPr>
      </w:pPr>
      <w:r w:rsidRPr="00DB0D58">
        <w:rPr>
          <w:i/>
          <w:lang w:val="fr-FR"/>
        </w:rPr>
        <w:t>Annexe 5</w:t>
      </w:r>
    </w:p>
    <w:p w14:paraId="3CCB780A" w14:textId="77777777" w:rsidR="00DB0D58" w:rsidRPr="00546329" w:rsidRDefault="00DB0D58" w:rsidP="00DB0D58">
      <w:pPr>
        <w:pStyle w:val="SingleTxtG"/>
      </w:pPr>
      <w:r w:rsidRPr="00DB0D58">
        <w:rPr>
          <w:i/>
          <w:lang w:val="fr-FR"/>
        </w:rPr>
        <w:t>Paragraphe</w:t>
      </w:r>
      <w:r>
        <w:rPr>
          <w:i/>
          <w:iCs/>
          <w:lang w:val="fr-FR"/>
        </w:rPr>
        <w:t xml:space="preserve"> 3.4</w:t>
      </w:r>
      <w:r>
        <w:rPr>
          <w:lang w:val="fr-FR"/>
        </w:rPr>
        <w:t>, modifier comme suit :</w:t>
      </w:r>
    </w:p>
    <w:p w14:paraId="64C8F3CB" w14:textId="77777777" w:rsidR="00DB0D58" w:rsidRPr="00546329" w:rsidRDefault="00DB0D58" w:rsidP="00DB0D58">
      <w:pPr>
        <w:pStyle w:val="SingleTxtG"/>
        <w:tabs>
          <w:tab w:val="left" w:pos="2268"/>
        </w:tabs>
      </w:pPr>
      <w:r>
        <w:rPr>
          <w:lang w:val="fr-FR"/>
        </w:rPr>
        <w:t>« 3.4</w:t>
      </w:r>
      <w:r>
        <w:rPr>
          <w:lang w:val="fr-FR"/>
        </w:rPr>
        <w:tab/>
        <w:t>Débattement minimal d</w:t>
      </w:r>
      <w:r w:rsidR="00506AD5">
        <w:rPr>
          <w:lang w:val="fr-FR"/>
        </w:rPr>
        <w:t>’</w:t>
      </w:r>
      <w:r>
        <w:rPr>
          <w:lang w:val="fr-FR"/>
        </w:rPr>
        <w:t xml:space="preserve">un anneau de timon attelé </w:t>
      </w:r>
    </w:p>
    <w:p w14:paraId="0C3D9CA0" w14:textId="77777777" w:rsidR="00DB0D58" w:rsidRPr="00546329" w:rsidRDefault="00DB0D58" w:rsidP="00DB0D58">
      <w:pPr>
        <w:pStyle w:val="SingleTxtG"/>
        <w:ind w:left="2268"/>
      </w:pPr>
      <w:r>
        <w:rPr>
          <w:lang w:val="fr-FR"/>
        </w:rPr>
        <w:t>Un anneau de timon accouplé à une chape d</w:t>
      </w:r>
      <w:r w:rsidR="00506AD5">
        <w:rPr>
          <w:lang w:val="fr-FR"/>
        </w:rPr>
        <w:t>’</w:t>
      </w:r>
      <w:r>
        <w:rPr>
          <w:lang w:val="fr-FR"/>
        </w:rPr>
        <w:t>attelage mais non fixé à un véhicule doit présenter les débattements indiqués ci-dessous. Si une partie du débattement est obtenue grâce à une articulation spéciale (uniquement pour les chapes d</w:t>
      </w:r>
      <w:r w:rsidR="00506AD5">
        <w:rPr>
          <w:lang w:val="fr-FR"/>
        </w:rPr>
        <w:t>’</w:t>
      </w:r>
      <w:r>
        <w:rPr>
          <w:lang w:val="fr-FR"/>
        </w:rPr>
        <w:t>attelage de la classe C50-X), le champ d</w:t>
      </w:r>
      <w:r w:rsidR="00506AD5">
        <w:rPr>
          <w:lang w:val="fr-FR"/>
        </w:rPr>
        <w:t>’</w:t>
      </w:r>
      <w:r>
        <w:rPr>
          <w:lang w:val="fr-FR"/>
        </w:rPr>
        <w:t>application indiqué sur la fiche de communication reproduite à l</w:t>
      </w:r>
      <w:r w:rsidR="00506AD5">
        <w:rPr>
          <w:lang w:val="fr-FR"/>
        </w:rPr>
        <w:t>’</w:t>
      </w:r>
      <w:r>
        <w:rPr>
          <w:lang w:val="fr-FR"/>
        </w:rPr>
        <w:t>annexe</w:t>
      </w:r>
      <w:r w:rsidR="00506AD5">
        <w:rPr>
          <w:lang w:val="fr-FR"/>
        </w:rPr>
        <w:t> </w:t>
      </w:r>
      <w:r>
        <w:rPr>
          <w:lang w:val="fr-FR"/>
        </w:rPr>
        <w:t>1 doit être limité aux cas définis au paragraphe</w:t>
      </w:r>
      <w:r w:rsidR="00506AD5">
        <w:rPr>
          <w:lang w:val="fr-FR"/>
        </w:rPr>
        <w:t> </w:t>
      </w:r>
      <w:r>
        <w:rPr>
          <w:lang w:val="fr-FR"/>
        </w:rPr>
        <w:t>1.3.8 de l</w:t>
      </w:r>
      <w:r w:rsidR="00506AD5">
        <w:rPr>
          <w:lang w:val="fr-FR"/>
        </w:rPr>
        <w:t>’</w:t>
      </w:r>
      <w:r>
        <w:rPr>
          <w:lang w:val="fr-FR"/>
        </w:rPr>
        <w:t>annexe</w:t>
      </w:r>
      <w:r w:rsidR="00506AD5">
        <w:rPr>
          <w:lang w:val="fr-FR"/>
        </w:rPr>
        <w:t> </w:t>
      </w:r>
      <w:r>
        <w:rPr>
          <w:lang w:val="fr-FR"/>
        </w:rPr>
        <w:t xml:space="preserve">7. </w:t>
      </w:r>
      <w:r>
        <w:rPr>
          <w:b/>
          <w:bCs/>
          <w:lang w:val="fr-FR"/>
        </w:rPr>
        <w:t>Tout élément souple grâce auquel est obtenue une partie du débattement n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est pas considéré comme une articulation spéciale.</w:t>
      </w:r>
      <w:r>
        <w:rPr>
          <w:lang w:val="fr-FR"/>
        </w:rPr>
        <w:t> ».</w:t>
      </w:r>
    </w:p>
    <w:p w14:paraId="32AE4C7D" w14:textId="77777777" w:rsidR="00DB0D58" w:rsidRPr="00546329" w:rsidRDefault="00DB0D58" w:rsidP="00DB0D58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DB0D58">
        <w:rPr>
          <w:lang w:val="fr-FR"/>
        </w:rPr>
        <w:t>Proposition</w:t>
      </w:r>
      <w:r>
        <w:rPr>
          <w:bCs/>
          <w:lang w:val="fr-FR"/>
        </w:rPr>
        <w:t xml:space="preserve"> de série 02 d</w:t>
      </w:r>
      <w:r w:rsidR="00506AD5">
        <w:rPr>
          <w:bCs/>
          <w:lang w:val="fr-FR"/>
        </w:rPr>
        <w:t>’</w:t>
      </w:r>
      <w:r>
        <w:rPr>
          <w:bCs/>
          <w:lang w:val="fr-FR"/>
        </w:rPr>
        <w:t>amendements au Règlement ONU n</w:t>
      </w:r>
      <w:r w:rsidRPr="00DB0D58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55 (Pièces mécaniques d</w:t>
      </w:r>
      <w:r w:rsidR="00506AD5">
        <w:rPr>
          <w:bCs/>
          <w:lang w:val="fr-FR"/>
        </w:rPr>
        <w:t>’</w:t>
      </w:r>
      <w:r>
        <w:rPr>
          <w:bCs/>
          <w:lang w:val="fr-FR"/>
        </w:rPr>
        <w:t>attelage)</w:t>
      </w:r>
    </w:p>
    <w:p w14:paraId="63B9313F" w14:textId="77777777" w:rsidR="00DB0D58" w:rsidRPr="00546329" w:rsidRDefault="00DB0D58" w:rsidP="00DB0D58">
      <w:pPr>
        <w:pStyle w:val="SingleTxtG"/>
      </w:pPr>
      <w:r>
        <w:rPr>
          <w:i/>
          <w:iCs/>
          <w:lang w:val="fr-FR"/>
        </w:rPr>
        <w:t>Paragraphe 13</w:t>
      </w:r>
      <w:r>
        <w:rPr>
          <w:lang w:val="fr-FR"/>
        </w:rPr>
        <w:t xml:space="preserve">, </w:t>
      </w:r>
      <w:r w:rsidRPr="00DF04AA">
        <w:rPr>
          <w:lang w:val="fr-FR"/>
        </w:rPr>
        <w:t>modifier comme suit</w:t>
      </w:r>
      <w:r>
        <w:rPr>
          <w:lang w:val="fr-FR"/>
        </w:rPr>
        <w:t> :</w:t>
      </w:r>
    </w:p>
    <w:p w14:paraId="52A335EC" w14:textId="77777777" w:rsidR="00DB0D58" w:rsidRPr="00546329" w:rsidRDefault="00DB0D58" w:rsidP="00DB0D58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Pr="000C5C88">
        <w:rPr>
          <w:b/>
          <w:lang w:val="fr-FR"/>
        </w:rPr>
        <w:t>13.1</w:t>
      </w:r>
      <w:r>
        <w:rPr>
          <w:lang w:val="fr-FR"/>
        </w:rPr>
        <w:tab/>
        <w:t>Jusqu</w:t>
      </w:r>
      <w:r w:rsidR="00506AD5">
        <w:rPr>
          <w:lang w:val="fr-FR"/>
        </w:rPr>
        <w:t>’</w:t>
      </w:r>
      <w:r>
        <w:rPr>
          <w:lang w:val="fr-FR"/>
        </w:rPr>
        <w:t>à notification contraire adressée au Secrétaire général des Nations</w:t>
      </w:r>
      <w:r w:rsidR="0063761D">
        <w:rPr>
          <w:lang w:val="fr-FR"/>
        </w:rPr>
        <w:t> </w:t>
      </w:r>
      <w:r>
        <w:rPr>
          <w:lang w:val="fr-FR"/>
        </w:rPr>
        <w:t>Unies, les Parties contractantes appliquant le présent Règlement qui sont des États membres de l</w:t>
      </w:r>
      <w:r w:rsidR="00506AD5">
        <w:rPr>
          <w:lang w:val="fr-FR"/>
        </w:rPr>
        <w:t>’</w:t>
      </w:r>
      <w:r>
        <w:rPr>
          <w:lang w:val="fr-FR"/>
        </w:rPr>
        <w:t>Union européenne (au moment de l</w:t>
      </w:r>
      <w:r w:rsidR="00506AD5">
        <w:rPr>
          <w:lang w:val="fr-FR"/>
        </w:rPr>
        <w:t>’</w:t>
      </w:r>
      <w:r>
        <w:rPr>
          <w:lang w:val="fr-FR"/>
        </w:rPr>
        <w:t>adoption de la série</w:t>
      </w:r>
      <w:r w:rsidR="00506AD5">
        <w:rPr>
          <w:lang w:val="fr-FR"/>
        </w:rPr>
        <w:t> </w:t>
      </w:r>
      <w:r>
        <w:rPr>
          <w:lang w:val="fr-FR"/>
        </w:rPr>
        <w:t>01 d</w:t>
      </w:r>
      <w:r w:rsidR="00506AD5">
        <w:rPr>
          <w:lang w:val="fr-FR"/>
        </w:rPr>
        <w:t>’</w:t>
      </w:r>
      <w:r>
        <w:rPr>
          <w:lang w:val="fr-FR"/>
        </w:rPr>
        <w:t>amendements : Allemagne, Autriche, Belgique, Danemark, Espagne, Finlande, France, Grèce, Irlande, Italie, Luxembourg, Pays-Bas, Portugal, Royaume-Uni et Suède) déclarent qu</w:t>
      </w:r>
      <w:r w:rsidR="00506AD5">
        <w:rPr>
          <w:lang w:val="fr-FR"/>
        </w:rPr>
        <w:t>’</w:t>
      </w:r>
      <w:r>
        <w:rPr>
          <w:lang w:val="fr-FR"/>
        </w:rPr>
        <w:t>à propos des dispositifs et pièces mécaniques d</w:t>
      </w:r>
      <w:r w:rsidR="00506AD5">
        <w:rPr>
          <w:lang w:val="fr-FR"/>
        </w:rPr>
        <w:t>’</w:t>
      </w:r>
      <w:r>
        <w:rPr>
          <w:lang w:val="fr-FR"/>
        </w:rPr>
        <w:t>attelage ils seront seulement liés par les obligations de l</w:t>
      </w:r>
      <w:r w:rsidR="00506AD5">
        <w:rPr>
          <w:lang w:val="fr-FR"/>
        </w:rPr>
        <w:t>’</w:t>
      </w:r>
      <w:r>
        <w:rPr>
          <w:lang w:val="fr-FR"/>
        </w:rPr>
        <w:t>Accord auquel le présent Règlement est annexé en ce qui concerne les dispositifs et pièces destinés aux véhicules des catégories autres que la catégorie M</w:t>
      </w:r>
      <w:r>
        <w:rPr>
          <w:vertAlign w:val="subscript"/>
          <w:lang w:val="fr-FR"/>
        </w:rPr>
        <w:t>1</w:t>
      </w:r>
      <w:r>
        <w:rPr>
          <w:lang w:val="fr-FR"/>
        </w:rPr>
        <w:t>.</w:t>
      </w:r>
    </w:p>
    <w:p w14:paraId="5A58781F" w14:textId="77777777" w:rsidR="00DB0D58" w:rsidRPr="00546329" w:rsidRDefault="00DB0D58" w:rsidP="000C5C88">
      <w:pPr>
        <w:pStyle w:val="SingleTxtG"/>
        <w:tabs>
          <w:tab w:val="left" w:pos="2268"/>
        </w:tabs>
        <w:ind w:left="2268" w:hanging="1134"/>
        <w:rPr>
          <w:b/>
        </w:rPr>
      </w:pPr>
      <w:r w:rsidRPr="00FE6E22">
        <w:rPr>
          <w:b/>
          <w:lang w:val="fr-FR"/>
        </w:rPr>
        <w:t>13.2</w:t>
      </w:r>
      <w:r>
        <w:rPr>
          <w:lang w:val="fr-FR"/>
        </w:rPr>
        <w:tab/>
      </w:r>
      <w:r>
        <w:rPr>
          <w:b/>
          <w:bCs/>
          <w:lang w:val="fr-FR"/>
        </w:rPr>
        <w:t>À compter de la date officielle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de la série 02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amendements, aucune Partie contractante appliquant le présent Règlement ne pourra refuser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accorder ou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accepter une homologation de type en vertu de ce Règlement tel qu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il est modifié par la série 02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amendements.</w:t>
      </w:r>
    </w:p>
    <w:p w14:paraId="0F0531DA" w14:textId="77777777" w:rsidR="00DB0D58" w:rsidRPr="00546329" w:rsidRDefault="00DB0D58" w:rsidP="00FE6E22">
      <w:pPr>
        <w:pStyle w:val="SingleTxtG"/>
        <w:tabs>
          <w:tab w:val="left" w:pos="2268"/>
        </w:tabs>
        <w:ind w:left="2268" w:hanging="1134"/>
        <w:rPr>
          <w:b/>
        </w:rPr>
      </w:pPr>
      <w:r w:rsidRPr="00C52688">
        <w:rPr>
          <w:b/>
          <w:bCs/>
          <w:lang w:val="fr-FR"/>
        </w:rPr>
        <w:t>13.3</w:t>
      </w:r>
      <w:r>
        <w:rPr>
          <w:lang w:val="fr-FR"/>
        </w:rPr>
        <w:tab/>
      </w:r>
      <w:r>
        <w:rPr>
          <w:b/>
          <w:bCs/>
          <w:lang w:val="fr-FR"/>
        </w:rPr>
        <w:t>À compter du 1</w:t>
      </w:r>
      <w:r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 xml:space="preserve"> septembre 2021, les Parties contractantes appliquant le présent Règlement ne seront plus tenues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accepter les homologations de type établies conformément aux précédentes séries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amendements, délivrées pour la première fois après le 1</w:t>
      </w:r>
      <w:r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 xml:space="preserve"> septembre 2021.</w:t>
      </w:r>
    </w:p>
    <w:p w14:paraId="555643F2" w14:textId="77777777" w:rsidR="00DB0D58" w:rsidRPr="00546329" w:rsidRDefault="00DB0D58" w:rsidP="00C52688">
      <w:pPr>
        <w:pStyle w:val="SingleTxtG"/>
        <w:tabs>
          <w:tab w:val="left" w:pos="2268"/>
        </w:tabs>
        <w:ind w:left="2268" w:hanging="1134"/>
        <w:rPr>
          <w:b/>
        </w:rPr>
      </w:pPr>
      <w:r w:rsidRPr="00C52688">
        <w:rPr>
          <w:b/>
          <w:bCs/>
          <w:lang w:val="fr-FR"/>
        </w:rPr>
        <w:t>13.4</w:t>
      </w:r>
      <w:r>
        <w:rPr>
          <w:lang w:val="fr-FR"/>
        </w:rPr>
        <w:tab/>
      </w:r>
      <w:r w:rsidRPr="0054117C">
        <w:rPr>
          <w:b/>
          <w:bCs/>
          <w:lang w:val="fr-FR"/>
        </w:rPr>
        <w:t>Jusqu</w:t>
      </w:r>
      <w:r w:rsidR="00506AD5">
        <w:rPr>
          <w:b/>
          <w:bCs/>
          <w:lang w:val="fr-FR"/>
        </w:rPr>
        <w:t>’</w:t>
      </w:r>
      <w:r w:rsidRPr="0054117C">
        <w:rPr>
          <w:b/>
          <w:bCs/>
          <w:lang w:val="fr-FR"/>
        </w:rPr>
        <w:t>au 1</w:t>
      </w:r>
      <w:r w:rsidRPr="0054117C">
        <w:rPr>
          <w:b/>
          <w:bCs/>
          <w:vertAlign w:val="superscript"/>
          <w:lang w:val="fr-FR"/>
        </w:rPr>
        <w:t>er</w:t>
      </w:r>
      <w:r w:rsidRPr="0054117C">
        <w:rPr>
          <w:b/>
          <w:bCs/>
          <w:lang w:val="fr-FR"/>
        </w:rPr>
        <w:t xml:space="preserve"> septembre </w:t>
      </w:r>
      <w:r>
        <w:rPr>
          <w:b/>
          <w:bCs/>
          <w:lang w:val="fr-FR"/>
        </w:rPr>
        <w:t>2023</w:t>
      </w:r>
      <w:r w:rsidRPr="0054117C">
        <w:rPr>
          <w:b/>
          <w:bCs/>
          <w:lang w:val="fr-FR"/>
        </w:rPr>
        <w:t>, les Parties contractantes appliquant le présent Règlement seront tenues d</w:t>
      </w:r>
      <w:r w:rsidR="00506AD5">
        <w:rPr>
          <w:b/>
          <w:bCs/>
          <w:lang w:val="fr-FR"/>
        </w:rPr>
        <w:t>’</w:t>
      </w:r>
      <w:r w:rsidRPr="0054117C">
        <w:rPr>
          <w:b/>
          <w:bCs/>
          <w:lang w:val="fr-FR"/>
        </w:rPr>
        <w:t>accepter les homologations de type établies conformément aux précédentes séries d</w:t>
      </w:r>
      <w:r w:rsidR="00506AD5">
        <w:rPr>
          <w:b/>
          <w:bCs/>
          <w:lang w:val="fr-FR"/>
        </w:rPr>
        <w:t>’</w:t>
      </w:r>
      <w:r w:rsidRPr="0054117C">
        <w:rPr>
          <w:b/>
          <w:bCs/>
          <w:lang w:val="fr-FR"/>
        </w:rPr>
        <w:t>amendements, délivrées pour la première fois avant le 1</w:t>
      </w:r>
      <w:r w:rsidRPr="00546329">
        <w:rPr>
          <w:b/>
          <w:bCs/>
          <w:vertAlign w:val="superscript"/>
          <w:lang w:val="fr-FR"/>
        </w:rPr>
        <w:t>er</w:t>
      </w:r>
      <w:r w:rsidR="00506AD5" w:rsidRPr="00506AD5">
        <w:rPr>
          <w:b/>
          <w:bCs/>
          <w:lang w:val="fr-FR"/>
        </w:rPr>
        <w:t> </w:t>
      </w:r>
      <w:r w:rsidRPr="0054117C">
        <w:rPr>
          <w:b/>
          <w:bCs/>
          <w:lang w:val="fr-FR"/>
        </w:rPr>
        <w:t>septembre 2021.</w:t>
      </w:r>
    </w:p>
    <w:p w14:paraId="69798D41" w14:textId="77777777" w:rsidR="00DB0D58" w:rsidRPr="00546329" w:rsidRDefault="00DB0D58" w:rsidP="00C52688">
      <w:pPr>
        <w:pStyle w:val="SingleTxtG"/>
        <w:tabs>
          <w:tab w:val="left" w:pos="2268"/>
        </w:tabs>
        <w:ind w:left="2268" w:hanging="1134"/>
        <w:rPr>
          <w:b/>
        </w:rPr>
      </w:pPr>
      <w:r w:rsidRPr="00C52688">
        <w:rPr>
          <w:b/>
          <w:bCs/>
          <w:lang w:val="fr-FR"/>
        </w:rPr>
        <w:t>13.5</w:t>
      </w:r>
      <w:r>
        <w:rPr>
          <w:lang w:val="fr-FR"/>
        </w:rPr>
        <w:tab/>
      </w:r>
      <w:r>
        <w:rPr>
          <w:b/>
          <w:bCs/>
          <w:lang w:val="fr-FR"/>
        </w:rPr>
        <w:t>À compter du 1</w:t>
      </w:r>
      <w:r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 xml:space="preserve"> septembre 202</w:t>
      </w:r>
      <w:r w:rsidR="0063761D">
        <w:rPr>
          <w:b/>
          <w:bCs/>
          <w:lang w:val="fr-FR"/>
        </w:rPr>
        <w:t>3</w:t>
      </w:r>
      <w:r>
        <w:rPr>
          <w:b/>
          <w:bCs/>
          <w:lang w:val="fr-FR"/>
        </w:rPr>
        <w:t>, les Parties contractantes appliquant le présent Règlement ne seront plus tenues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accepter les homologations de type délivrées en vertu des précédentes séries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ce Règlement.</w:t>
      </w:r>
    </w:p>
    <w:p w14:paraId="772CD77E" w14:textId="77777777" w:rsidR="00DB0D58" w:rsidRPr="00546329" w:rsidRDefault="00DB0D58" w:rsidP="00C52688">
      <w:pPr>
        <w:pStyle w:val="SingleTxtG"/>
        <w:tabs>
          <w:tab w:val="left" w:pos="2268"/>
        </w:tabs>
        <w:ind w:left="2268" w:hanging="1134"/>
        <w:rPr>
          <w:b/>
        </w:rPr>
      </w:pPr>
      <w:r w:rsidRPr="00C52688">
        <w:rPr>
          <w:b/>
          <w:bCs/>
          <w:lang w:val="fr-FR"/>
        </w:rPr>
        <w:t>13.6.</w:t>
      </w:r>
      <w:r>
        <w:rPr>
          <w:lang w:val="fr-FR"/>
        </w:rPr>
        <w:tab/>
      </w:r>
      <w:r>
        <w:rPr>
          <w:b/>
          <w:bCs/>
          <w:lang w:val="fr-FR"/>
        </w:rPr>
        <w:t>Nonobstant les dispositions transitoires ci-dessus, les Parties contractantes qui commenceront à appliquer le présent Règlement après la date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de la série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la plus récente ne seront pas tenues de reconnaître les homologations de type délivrées au titre de l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ce Règlement.</w:t>
      </w:r>
    </w:p>
    <w:p w14:paraId="0E53F7A9" w14:textId="77777777" w:rsidR="00DB0D58" w:rsidRPr="00546329" w:rsidRDefault="00DB0D58" w:rsidP="00C52688">
      <w:pPr>
        <w:pStyle w:val="SingleTxtG"/>
        <w:tabs>
          <w:tab w:val="left" w:pos="2268"/>
        </w:tabs>
        <w:ind w:left="2268" w:hanging="1134"/>
        <w:rPr>
          <w:b/>
        </w:rPr>
      </w:pPr>
      <w:r w:rsidRPr="00C52688">
        <w:rPr>
          <w:b/>
          <w:bCs/>
          <w:lang w:val="fr-FR"/>
        </w:rPr>
        <w:lastRenderedPageBreak/>
        <w:t>13.7.</w:t>
      </w:r>
      <w:r>
        <w:rPr>
          <w:lang w:val="fr-FR"/>
        </w:rPr>
        <w:tab/>
      </w:r>
      <w:r>
        <w:rPr>
          <w:b/>
          <w:bCs/>
          <w:lang w:val="fr-FR"/>
        </w:rPr>
        <w:t>Nonobstant les dispositions du paragraphe 13.5, les Parties contractantes appliquant le présent Règlement devront continuer à reconnaître les homologations de type délivrées au titre des précédentes séries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ce Règlement pour les véhicules, les équipements ou les composants non concernés par les modifications apportées par la série 02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amendements.</w:t>
      </w:r>
    </w:p>
    <w:p w14:paraId="4650BDAD" w14:textId="77777777" w:rsidR="00DB0D58" w:rsidRPr="00546329" w:rsidRDefault="00DB0D58" w:rsidP="00C52688">
      <w:pPr>
        <w:pStyle w:val="SingleTxtG"/>
        <w:tabs>
          <w:tab w:val="left" w:pos="2268"/>
        </w:tabs>
        <w:ind w:left="2268" w:hanging="1134"/>
      </w:pPr>
      <w:r w:rsidRPr="00C52688">
        <w:rPr>
          <w:b/>
          <w:bCs/>
          <w:lang w:val="fr-FR"/>
        </w:rPr>
        <w:t>13.8</w:t>
      </w:r>
      <w:r>
        <w:rPr>
          <w:lang w:val="fr-FR"/>
        </w:rPr>
        <w:tab/>
      </w:r>
      <w:r>
        <w:rPr>
          <w:b/>
          <w:bCs/>
          <w:lang w:val="fr-FR"/>
        </w:rPr>
        <w:t>Les Parties contractantes appliquant le présent Règlement ne pourront refuser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homologations de type en vertu de l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ce Règlement, ou d</w:t>
      </w:r>
      <w:r w:rsidR="00506AD5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extensions pour les homologations en question.</w:t>
      </w:r>
      <w:r>
        <w:rPr>
          <w:lang w:val="fr-FR"/>
        </w:rPr>
        <w:t> ».</w:t>
      </w:r>
    </w:p>
    <w:p w14:paraId="228960EE" w14:textId="77777777" w:rsidR="00DB0D58" w:rsidRPr="00546329" w:rsidRDefault="00DB0D58" w:rsidP="00C52688">
      <w:pPr>
        <w:pStyle w:val="SingleTxtG"/>
      </w:pPr>
      <w:r w:rsidRPr="00C52688">
        <w:rPr>
          <w:i/>
          <w:lang w:val="fr-FR"/>
        </w:rPr>
        <w:t>Annexe</w:t>
      </w:r>
      <w:r>
        <w:rPr>
          <w:i/>
          <w:iCs/>
          <w:lang w:val="fr-FR"/>
        </w:rPr>
        <w:t xml:space="preserve"> 3</w:t>
      </w:r>
      <w:r>
        <w:rPr>
          <w:lang w:val="fr-FR"/>
        </w:rPr>
        <w:t xml:space="preserve">, </w:t>
      </w:r>
      <w:r w:rsidRPr="007A169C">
        <w:rPr>
          <w:lang w:val="fr-FR"/>
        </w:rPr>
        <w:t>modifier comme suit</w:t>
      </w:r>
      <w:r w:rsidR="00506AD5">
        <w:rPr>
          <w:lang w:val="fr-FR"/>
        </w:rPr>
        <w:t> </w:t>
      </w:r>
      <w:r>
        <w:rPr>
          <w:lang w:val="fr-FR"/>
        </w:rPr>
        <w:t>:</w:t>
      </w:r>
    </w:p>
    <w:p w14:paraId="0B583E17" w14:textId="77777777" w:rsidR="00DB0D58" w:rsidRPr="00546329" w:rsidRDefault="00DB0D58" w:rsidP="00C52688">
      <w:pPr>
        <w:pStyle w:val="SingleTxtG"/>
      </w:pPr>
      <w:r w:rsidRPr="00546329">
        <w:t>«</w:t>
      </w:r>
    </w:p>
    <w:p w14:paraId="5352B19A" w14:textId="77777777" w:rsidR="00DB0D58" w:rsidRPr="00B668CE" w:rsidRDefault="0015086F" w:rsidP="00C52688">
      <w:pPr>
        <w:pStyle w:val="SingleTxtG"/>
        <w:rPr>
          <w:lang w:eastAsia="en-GB"/>
        </w:rPr>
      </w:pPr>
      <w:r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24D06" wp14:editId="0BD1D1AC">
                <wp:simplePos x="0" y="0"/>
                <wp:positionH relativeFrom="column">
                  <wp:posOffset>2251880</wp:posOffset>
                </wp:positionH>
                <wp:positionV relativeFrom="paragraph">
                  <wp:posOffset>1090684</wp:posOffset>
                </wp:positionV>
                <wp:extent cx="361950" cy="579258"/>
                <wp:effectExtent l="0" t="0" r="0" b="0"/>
                <wp:wrapNone/>
                <wp:docPr id="14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9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376B" w14:textId="77777777" w:rsidR="0015086F" w:rsidRPr="00B668CE" w:rsidRDefault="0015086F" w:rsidP="0015086F">
                            <w:pPr>
                              <w:ind w:left="-113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668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4D06" id="Suorakulmio 2" o:spid="_x0000_s1026" style="position:absolute;left:0;text-align:left;margin-left:177.3pt;margin-top:85.9pt;width:28.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" fillcolor="white [3212]" stroked="f" strokeweight="2pt">
                <v:textbox>
                  <w:txbxContent>
                    <w:p w14:paraId="5531376B" w14:textId="77777777" w:rsidR="0015086F" w:rsidRPr="00B668CE" w:rsidRDefault="0015086F" w:rsidP="0015086F">
                      <w:pPr>
                        <w:ind w:left="-113"/>
                        <w:rPr>
                          <w:color w:val="000000" w:themeColor="text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668CE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0D58" w:rsidRPr="00B668CE">
        <w:rPr>
          <w:noProof/>
          <w:lang w:eastAsia="fr-CH"/>
        </w:rPr>
        <w:drawing>
          <wp:inline distT="0" distB="0" distL="0" distR="0" wp14:anchorId="0B657BF2" wp14:editId="4F5098D4">
            <wp:extent cx="3505200" cy="1676400"/>
            <wp:effectExtent l="0" t="0" r="0" b="0"/>
            <wp:docPr id="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3218" w14:textId="77777777" w:rsidR="00DB0D58" w:rsidRPr="00546329" w:rsidRDefault="00DB0D58" w:rsidP="00C52688">
      <w:pPr>
        <w:pStyle w:val="SingleTxtG"/>
        <w:jc w:val="right"/>
      </w:pPr>
      <w:r>
        <w:rPr>
          <w:lang w:val="fr-FR"/>
        </w:rPr>
        <w:t>a = 8 mm minimum</w:t>
      </w:r>
    </w:p>
    <w:p w14:paraId="52B291B1" w14:textId="77777777" w:rsidR="00DB0D58" w:rsidRPr="00546329" w:rsidRDefault="00DB0D58" w:rsidP="00C52688">
      <w:pPr>
        <w:pStyle w:val="SingleTxtG"/>
        <w:ind w:firstLine="567"/>
      </w:pPr>
      <w:r>
        <w:rPr>
          <w:lang w:val="fr-FR"/>
        </w:rPr>
        <w:t>La marque d</w:t>
      </w:r>
      <w:r w:rsidR="00506AD5">
        <w:rPr>
          <w:lang w:val="fr-FR"/>
        </w:rPr>
        <w:t>’</w:t>
      </w:r>
      <w:r>
        <w:rPr>
          <w:lang w:val="fr-FR"/>
        </w:rPr>
        <w:t>homologation ci-dessus, apposée sur un dispositif ou des pièces mécaniques d</w:t>
      </w:r>
      <w:r w:rsidR="00506AD5">
        <w:rPr>
          <w:lang w:val="fr-FR"/>
        </w:rPr>
        <w:t>’</w:t>
      </w:r>
      <w:r>
        <w:rPr>
          <w:lang w:val="fr-FR"/>
        </w:rPr>
        <w:t>attelage ou sur un véhicule, indique qu</w:t>
      </w:r>
      <w:r w:rsidR="00506AD5">
        <w:rPr>
          <w:lang w:val="fr-FR"/>
        </w:rPr>
        <w:t>’</w:t>
      </w:r>
      <w:r>
        <w:rPr>
          <w:lang w:val="fr-FR"/>
        </w:rPr>
        <w:t>ils ont été homologués aux Pays-Bas (E 4), sous le numéro d</w:t>
      </w:r>
      <w:r w:rsidR="00506AD5">
        <w:rPr>
          <w:lang w:val="fr-FR"/>
        </w:rPr>
        <w:t>’</w:t>
      </w:r>
      <w:r>
        <w:rPr>
          <w:lang w:val="fr-FR"/>
        </w:rPr>
        <w:t>homologation 2439, conformément aux prescriptions de la série</w:t>
      </w:r>
      <w:r>
        <w:rPr>
          <w:strike/>
          <w:lang w:val="fr-FR"/>
        </w:rPr>
        <w:t xml:space="preserve"> 01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02</w:t>
      </w:r>
      <w:r>
        <w:rPr>
          <w:lang w:val="fr-FR"/>
        </w:rPr>
        <w:t xml:space="preserve"> d</w:t>
      </w:r>
      <w:r w:rsidR="00506AD5">
        <w:rPr>
          <w:lang w:val="fr-FR"/>
        </w:rPr>
        <w:t>’</w:t>
      </w:r>
      <w:r>
        <w:rPr>
          <w:lang w:val="fr-FR"/>
        </w:rPr>
        <w:t>amendements au présent Règlement.</w:t>
      </w:r>
    </w:p>
    <w:p w14:paraId="278C1E60" w14:textId="77777777" w:rsidR="00DB0D58" w:rsidRPr="00546329" w:rsidRDefault="00DB0D58" w:rsidP="00C52688">
      <w:pPr>
        <w:pStyle w:val="SingleTxtG"/>
        <w:ind w:firstLine="567"/>
      </w:pPr>
      <w:r w:rsidRPr="0063761D">
        <w:rPr>
          <w:i/>
          <w:lang w:val="fr-FR"/>
        </w:rPr>
        <w:t>Note</w:t>
      </w:r>
      <w:r>
        <w:rPr>
          <w:lang w:val="fr-FR"/>
        </w:rPr>
        <w:t> : Le numéro d</w:t>
      </w:r>
      <w:r w:rsidR="00506AD5">
        <w:rPr>
          <w:lang w:val="fr-FR"/>
        </w:rPr>
        <w:t>’</w:t>
      </w:r>
      <w:r>
        <w:rPr>
          <w:lang w:val="fr-FR"/>
        </w:rPr>
        <w:t xml:space="preserve">homologation et les symboles additionnels doivent être placés à proximité du cercle, soit au-dessus ou au-dessous de la lettre </w:t>
      </w:r>
      <w:r w:rsidRPr="00546329">
        <w:t>“</w:t>
      </w:r>
      <w:r>
        <w:rPr>
          <w:lang w:val="fr-FR"/>
        </w:rPr>
        <w:t>E</w:t>
      </w:r>
      <w:r w:rsidRPr="00546329">
        <w:t>”</w:t>
      </w:r>
      <w:r>
        <w:rPr>
          <w:lang w:val="fr-FR"/>
        </w:rPr>
        <w:t>, soit à sa gauche ou à sa droite. Les chiffres du numéro d</w:t>
      </w:r>
      <w:r w:rsidR="00506AD5">
        <w:rPr>
          <w:lang w:val="fr-FR"/>
        </w:rPr>
        <w:t>’</w:t>
      </w:r>
      <w:r>
        <w:rPr>
          <w:lang w:val="fr-FR"/>
        </w:rPr>
        <w:t xml:space="preserve">homologation doivent être placés du même côté de la lettre </w:t>
      </w:r>
      <w:r w:rsidRPr="00546329">
        <w:t>“</w:t>
      </w:r>
      <w:r>
        <w:rPr>
          <w:lang w:val="fr-FR"/>
        </w:rPr>
        <w:t>E</w:t>
      </w:r>
      <w:r w:rsidRPr="00546329">
        <w:t>”</w:t>
      </w:r>
      <w:r>
        <w:rPr>
          <w:lang w:val="fr-FR"/>
        </w:rPr>
        <w:t xml:space="preserve"> et être orientés dans le même sens. L</w:t>
      </w:r>
      <w:r w:rsidR="00506AD5">
        <w:rPr>
          <w:lang w:val="fr-FR"/>
        </w:rPr>
        <w:t>’</w:t>
      </w:r>
      <w:r>
        <w:rPr>
          <w:lang w:val="fr-FR"/>
        </w:rPr>
        <w:t>utilisation de chiffres romains dans le numéro d</w:t>
      </w:r>
      <w:r w:rsidR="00506AD5">
        <w:rPr>
          <w:lang w:val="fr-FR"/>
        </w:rPr>
        <w:t>’</w:t>
      </w:r>
      <w:r>
        <w:rPr>
          <w:lang w:val="fr-FR"/>
        </w:rPr>
        <w:t>homologation devrait être évitée, afin d</w:t>
      </w:r>
      <w:r w:rsidR="00506AD5">
        <w:rPr>
          <w:lang w:val="fr-FR"/>
        </w:rPr>
        <w:t>’</w:t>
      </w:r>
      <w:r>
        <w:rPr>
          <w:lang w:val="fr-FR"/>
        </w:rPr>
        <w:t>éviter toute confusion avec d</w:t>
      </w:r>
      <w:r w:rsidR="00506AD5">
        <w:rPr>
          <w:lang w:val="fr-FR"/>
        </w:rPr>
        <w:t>’</w:t>
      </w:r>
      <w:r>
        <w:rPr>
          <w:lang w:val="fr-FR"/>
        </w:rPr>
        <w:t>autres symboles. ».</w:t>
      </w:r>
    </w:p>
    <w:p w14:paraId="45761201" w14:textId="77777777" w:rsidR="00DB0D58" w:rsidRPr="00546329" w:rsidRDefault="00DB0D58" w:rsidP="00C52688">
      <w:pPr>
        <w:pStyle w:val="SingleTxtG"/>
        <w:rPr>
          <w:i/>
        </w:rPr>
      </w:pPr>
      <w:r w:rsidRPr="00C52688">
        <w:rPr>
          <w:i/>
          <w:lang w:val="fr-FR"/>
        </w:rPr>
        <w:t>Annexe</w:t>
      </w:r>
      <w:r>
        <w:rPr>
          <w:i/>
          <w:iCs/>
          <w:lang w:val="fr-FR"/>
        </w:rPr>
        <w:t xml:space="preserve"> 5</w:t>
      </w:r>
    </w:p>
    <w:p w14:paraId="5D9D94FE" w14:textId="77777777" w:rsidR="00DB0D58" w:rsidRPr="00546329" w:rsidRDefault="00DB0D58" w:rsidP="00C52688">
      <w:pPr>
        <w:pStyle w:val="SingleTxtG"/>
      </w:pPr>
      <w:r w:rsidRPr="00C52688">
        <w:rPr>
          <w:i/>
          <w:lang w:val="fr-FR"/>
        </w:rPr>
        <w:t>Paragraphe</w:t>
      </w:r>
      <w:r>
        <w:rPr>
          <w:i/>
          <w:iCs/>
          <w:lang w:val="fr-FR"/>
        </w:rPr>
        <w:t xml:space="preserve"> 4.1</w:t>
      </w:r>
      <w:r>
        <w:rPr>
          <w:lang w:val="fr-FR"/>
        </w:rPr>
        <w:t xml:space="preserve">, </w:t>
      </w:r>
      <w:r w:rsidRPr="007A169C">
        <w:rPr>
          <w:lang w:val="fr-FR"/>
        </w:rPr>
        <w:t>modifier comme suit</w:t>
      </w:r>
      <w:r w:rsidR="00C52688">
        <w:rPr>
          <w:lang w:val="fr-FR"/>
        </w:rPr>
        <w:t> </w:t>
      </w:r>
      <w:r>
        <w:rPr>
          <w:lang w:val="fr-FR"/>
        </w:rPr>
        <w:t>:</w:t>
      </w:r>
    </w:p>
    <w:p w14:paraId="0169ABF2" w14:textId="77777777" w:rsidR="00DB0D58" w:rsidRPr="00546329" w:rsidRDefault="00DB0D58" w:rsidP="00C52688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4.1</w:t>
      </w:r>
      <w:r>
        <w:rPr>
          <w:lang w:val="fr-FR"/>
        </w:rPr>
        <w:tab/>
        <w:t>Prescriptions générales applicables aux anneaux de timon de la classe D50 :</w:t>
      </w:r>
    </w:p>
    <w:p w14:paraId="4DF603F5" w14:textId="77777777" w:rsidR="00DB0D58" w:rsidRPr="00546329" w:rsidRDefault="00DB0D58" w:rsidP="00C52688">
      <w:pPr>
        <w:pStyle w:val="SingleTxtG"/>
        <w:ind w:left="2268"/>
      </w:pPr>
      <w:r>
        <w:rPr>
          <w:lang w:val="fr-FR"/>
        </w:rPr>
        <w:t>Tous les anneaux de timon de la classe D50 doivent satisfaire aux essais prescrits au paragraphe 3.4 de l</w:t>
      </w:r>
      <w:r w:rsidR="00506AD5">
        <w:rPr>
          <w:lang w:val="fr-FR"/>
        </w:rPr>
        <w:t>’</w:t>
      </w:r>
      <w:r>
        <w:rPr>
          <w:lang w:val="fr-FR"/>
        </w:rPr>
        <w:t xml:space="preserve">annexe 6. </w:t>
      </w:r>
    </w:p>
    <w:p w14:paraId="7202ABD0" w14:textId="77777777" w:rsidR="00DB0D58" w:rsidRPr="00546329" w:rsidRDefault="00DB0D58" w:rsidP="00C52688">
      <w:pPr>
        <w:pStyle w:val="SingleTxtG"/>
        <w:ind w:left="2268"/>
      </w:pPr>
      <w:r>
        <w:rPr>
          <w:lang w:val="fr-FR"/>
        </w:rPr>
        <w:t>Les anneaux de timon de la classe D50 sont conçus pour être attelés à des chapes d</w:t>
      </w:r>
      <w:r w:rsidR="00506AD5">
        <w:rPr>
          <w:lang w:val="fr-FR"/>
        </w:rPr>
        <w:t>’</w:t>
      </w:r>
      <w:r>
        <w:rPr>
          <w:lang w:val="fr-FR"/>
        </w:rPr>
        <w:t>attelage C50. Les anneaux de timon ne doivent pas pouvoir tourner axialement (étant donné que la chape d</w:t>
      </w:r>
      <w:r w:rsidR="00506AD5">
        <w:rPr>
          <w:lang w:val="fr-FR"/>
        </w:rPr>
        <w:t>’</w:t>
      </w:r>
      <w:r>
        <w:rPr>
          <w:lang w:val="fr-FR"/>
        </w:rPr>
        <w:t xml:space="preserve">attelage peut le faire). </w:t>
      </w:r>
    </w:p>
    <w:p w14:paraId="6B863FBF" w14:textId="77777777" w:rsidR="00DB0D58" w:rsidRPr="00546329" w:rsidRDefault="00DB0D58" w:rsidP="00C52688">
      <w:pPr>
        <w:pStyle w:val="SingleTxtG"/>
        <w:ind w:left="2268"/>
      </w:pPr>
      <w:r>
        <w:rPr>
          <w:lang w:val="fr-FR"/>
        </w:rPr>
        <w:t>Les anneaux de timon de la classe D50 équipés d</w:t>
      </w:r>
      <w:r w:rsidR="00506AD5">
        <w:rPr>
          <w:lang w:val="fr-FR"/>
        </w:rPr>
        <w:t>’</w:t>
      </w:r>
      <w:r>
        <w:rPr>
          <w:lang w:val="fr-FR"/>
        </w:rPr>
        <w:t>une douille doivent avoir les dimensions indiquées à la figure 9 (ils ne sont pas autorisés pour la classe D50-C) ou à la figure 10. La douille ne doit pas être soudée dans l</w:t>
      </w:r>
      <w:r w:rsidR="00506AD5">
        <w:rPr>
          <w:lang w:val="fr-FR"/>
        </w:rPr>
        <w:t>’</w:t>
      </w:r>
      <w:r>
        <w:rPr>
          <w:lang w:val="fr-FR"/>
        </w:rPr>
        <w:t xml:space="preserve">anneau de timon. Les anneaux de timon de la classe D50 doivent avoir les dimensions indiquées au paragraphe 4.2. Pour les anneaux de timon de la classe D50-X la forme de la tige </w:t>
      </w:r>
      <w:r>
        <w:rPr>
          <w:strike/>
          <w:lang w:val="fr-FR"/>
        </w:rPr>
        <w:t>n</w:t>
      </w:r>
      <w:r w:rsidR="00506AD5">
        <w:rPr>
          <w:strike/>
          <w:lang w:val="fr-FR"/>
        </w:rPr>
        <w:t>’</w:t>
      </w:r>
      <w:r>
        <w:rPr>
          <w:strike/>
          <w:lang w:val="fr-FR"/>
        </w:rPr>
        <w:t>est pas prescrite</w:t>
      </w:r>
      <w:r w:rsidR="00C52688">
        <w:rPr>
          <w:strike/>
          <w:lang w:val="fr-FR"/>
        </w:rPr>
        <w:t> </w:t>
      </w:r>
      <w:r>
        <w:rPr>
          <w:strike/>
          <w:lang w:val="fr-FR"/>
        </w:rPr>
        <w:t>; toutefois,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doit être limitée conformément aux spécifications données à la figure 11 et, </w:t>
      </w:r>
      <w:r>
        <w:rPr>
          <w:lang w:val="fr-FR"/>
        </w:rPr>
        <w:t>sur une longueur de 210 mm à partir du centre de l</w:t>
      </w:r>
      <w:r w:rsidR="00506AD5">
        <w:rPr>
          <w:lang w:val="fr-FR"/>
        </w:rPr>
        <w:t>’</w:t>
      </w:r>
      <w:r>
        <w:rPr>
          <w:lang w:val="fr-FR"/>
        </w:rPr>
        <w:t xml:space="preserve">anneau, la hauteur </w:t>
      </w:r>
      <w:r w:rsidRPr="00546329">
        <w:t>“</w:t>
      </w:r>
      <w:r>
        <w:rPr>
          <w:lang w:val="fr-FR"/>
        </w:rPr>
        <w:t>h</w:t>
      </w:r>
      <w:r w:rsidRPr="00546329">
        <w:t>”</w:t>
      </w:r>
      <w:r>
        <w:rPr>
          <w:lang w:val="fr-FR"/>
        </w:rPr>
        <w:t xml:space="preserve"> et la largeur </w:t>
      </w:r>
      <w:r w:rsidRPr="00546329">
        <w:t>“</w:t>
      </w:r>
      <w:r>
        <w:rPr>
          <w:lang w:val="fr-FR"/>
        </w:rPr>
        <w:t>b</w:t>
      </w:r>
      <w:r w:rsidRPr="00546329">
        <w:t>”</w:t>
      </w:r>
      <w:r>
        <w:rPr>
          <w:lang w:val="fr-FR"/>
        </w:rPr>
        <w:t xml:space="preserve"> de l</w:t>
      </w:r>
      <w:r w:rsidR="00506AD5">
        <w:rPr>
          <w:lang w:val="fr-FR"/>
        </w:rPr>
        <w:t>’</w:t>
      </w:r>
      <w:r>
        <w:rPr>
          <w:lang w:val="fr-FR"/>
        </w:rPr>
        <w:t>anneau doivent être comprises dans les limites définies au tableau 6. ».</w:t>
      </w:r>
    </w:p>
    <w:p w14:paraId="184885E3" w14:textId="77777777" w:rsidR="00DB0D58" w:rsidRPr="00546329" w:rsidRDefault="00DB0D58" w:rsidP="00C52688">
      <w:pPr>
        <w:pStyle w:val="HChG"/>
      </w:pPr>
      <w:r>
        <w:rPr>
          <w:lang w:val="fr-FR"/>
        </w:rPr>
        <w:lastRenderedPageBreak/>
        <w:tab/>
        <w:t>III.</w:t>
      </w:r>
      <w:r>
        <w:rPr>
          <w:lang w:val="fr-FR"/>
        </w:rPr>
        <w:tab/>
        <w:t>Justification</w:t>
      </w:r>
    </w:p>
    <w:p w14:paraId="314526EA" w14:textId="77777777" w:rsidR="00DB0D58" w:rsidRDefault="00DB0D58" w:rsidP="0015086F">
      <w:pPr>
        <w:pStyle w:val="SingleTxtG"/>
        <w:spacing w:after="240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Dans les cas où une partie du débattement est obtenue grâce à des éléments souples, la formulation actuelle du Règlement laisse une marge d</w:t>
      </w:r>
      <w:r w:rsidR="00506AD5">
        <w:rPr>
          <w:lang w:val="fr-FR"/>
        </w:rPr>
        <w:t>’</w:t>
      </w:r>
      <w:r>
        <w:rPr>
          <w:lang w:val="fr-FR"/>
        </w:rPr>
        <w:t>interprétation. L</w:t>
      </w:r>
      <w:r w:rsidR="00506AD5">
        <w:rPr>
          <w:lang w:val="fr-FR"/>
        </w:rPr>
        <w:t>’</w:t>
      </w:r>
      <w:r>
        <w:rPr>
          <w:lang w:val="fr-FR"/>
        </w:rPr>
        <w:t>examen de documents d</w:t>
      </w:r>
      <w:r w:rsidR="00506AD5">
        <w:rPr>
          <w:lang w:val="fr-FR"/>
        </w:rPr>
        <w:t>’</w:t>
      </w:r>
      <w:r>
        <w:rPr>
          <w:lang w:val="fr-FR"/>
        </w:rPr>
        <w:t>homologation concernant des dispositifs d</w:t>
      </w:r>
      <w:r w:rsidR="00506AD5">
        <w:rPr>
          <w:lang w:val="fr-FR"/>
        </w:rPr>
        <w:t>’</w:t>
      </w:r>
      <w:r>
        <w:rPr>
          <w:lang w:val="fr-FR"/>
        </w:rPr>
        <w:t>accouplement C50 commercialisés révèle que la restriction d</w:t>
      </w:r>
      <w:r w:rsidR="00506AD5">
        <w:rPr>
          <w:lang w:val="fr-FR"/>
        </w:rPr>
        <w:t>’</w:t>
      </w:r>
      <w:r>
        <w:rPr>
          <w:lang w:val="fr-FR"/>
        </w:rPr>
        <w:t>utilisation conformément au paragraphe 1.3.8 de l</w:t>
      </w:r>
      <w:r w:rsidR="00506AD5">
        <w:rPr>
          <w:lang w:val="fr-FR"/>
        </w:rPr>
        <w:t>’</w:t>
      </w:r>
      <w:r>
        <w:rPr>
          <w:lang w:val="fr-FR"/>
        </w:rPr>
        <w:t>annexe 7 n</w:t>
      </w:r>
      <w:r w:rsidR="00506AD5">
        <w:rPr>
          <w:lang w:val="fr-FR"/>
        </w:rPr>
        <w:t>’</w:t>
      </w:r>
      <w:r>
        <w:rPr>
          <w:lang w:val="fr-FR"/>
        </w:rPr>
        <w:t>est pas employée dans les cas susmentionnés. Il semble que le libellé actuel de cette disposition soit généralement interprété dans le sens suggéré par la présente proposition.</w:t>
      </w:r>
    </w:p>
    <w:p w14:paraId="44F2A37E" w14:textId="77777777" w:rsidR="00C52688" w:rsidRDefault="0015086F" w:rsidP="0015086F">
      <w:pPr>
        <w:pStyle w:val="SingleTxtG"/>
        <w:spacing w:before="12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3D368" wp14:editId="47D2272E">
                <wp:simplePos x="0" y="0"/>
                <wp:positionH relativeFrom="column">
                  <wp:posOffset>862804</wp:posOffset>
                </wp:positionH>
                <wp:positionV relativeFrom="paragraph">
                  <wp:posOffset>44450</wp:posOffset>
                </wp:positionV>
                <wp:extent cx="1705970" cy="266131"/>
                <wp:effectExtent l="0" t="0" r="8890" b="6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760D9" w14:textId="77777777" w:rsidR="0015086F" w:rsidRPr="0015086F" w:rsidRDefault="0015086F" w:rsidP="0015086F">
                            <w:pPr>
                              <w:spacing w:line="18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5086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Éléments souples grâce auxquels est obtenue </w:t>
                            </w:r>
                            <w:r w:rsidRPr="0015086F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une partie du débattement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D36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left:0;text-align:left;margin-left:67.95pt;margin-top:3.5pt;width:134.3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" filled="f" stroked="f" strokeweight=".5pt">
                <v:textbox inset="0,0,0,0">
                  <w:txbxContent>
                    <w:p w14:paraId="033760D9" w14:textId="77777777" w:rsidR="0015086F" w:rsidRPr="0015086F" w:rsidRDefault="0015086F" w:rsidP="0015086F">
                      <w:pPr>
                        <w:spacing w:line="18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15086F">
                        <w:rPr>
                          <w:b/>
                          <w:sz w:val="14"/>
                          <w:szCs w:val="14"/>
                        </w:rPr>
                        <w:t xml:space="preserve">Éléments souples grâce auxquels est obtenue </w:t>
                      </w:r>
                      <w:r w:rsidRPr="0015086F">
                        <w:rPr>
                          <w:b/>
                          <w:sz w:val="14"/>
                          <w:szCs w:val="14"/>
                        </w:rPr>
                        <w:br/>
                        <w:t>une partie du débattement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6435E6DA" wp14:editId="02E61C8E">
            <wp:extent cx="3437313" cy="22693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313" cy="226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6F35D" w14:textId="77777777" w:rsidR="00DB0D58" w:rsidRDefault="00DB0D58" w:rsidP="0015086F">
      <w:pPr>
        <w:pStyle w:val="SingleTxtG"/>
        <w:spacing w:before="240" w:after="240"/>
      </w:pPr>
      <w:r>
        <w:rPr>
          <w:lang w:val="fr-FR"/>
        </w:rPr>
        <w:t>2.</w:t>
      </w:r>
      <w:r>
        <w:rPr>
          <w:lang w:val="fr-FR"/>
        </w:rPr>
        <w:tab/>
        <w:t>Les ensembles de véhicules de grande capacité qui sont actuellement autorisés en Finlande nécessitent des dispositifs d</w:t>
      </w:r>
      <w:r w:rsidR="00506AD5">
        <w:rPr>
          <w:lang w:val="fr-FR"/>
        </w:rPr>
        <w:t>’</w:t>
      </w:r>
      <w:r>
        <w:rPr>
          <w:lang w:val="fr-FR"/>
        </w:rPr>
        <w:t>accouplement ayant une valeur D élevée. Par conséquent, les dimensions des dispositifs d</w:t>
      </w:r>
      <w:r w:rsidR="00506AD5">
        <w:rPr>
          <w:lang w:val="fr-FR"/>
        </w:rPr>
        <w:t>’</w:t>
      </w:r>
      <w:r>
        <w:rPr>
          <w:lang w:val="fr-FR"/>
        </w:rPr>
        <w:t>accouplement sont souvent très proches des limites prévues par la réglementation actuelle. En Finlande, la surveillance du marché a permis de déceler l</w:t>
      </w:r>
      <w:r w:rsidR="00506AD5">
        <w:rPr>
          <w:lang w:val="fr-FR"/>
        </w:rPr>
        <w:t>’</w:t>
      </w:r>
      <w:r>
        <w:rPr>
          <w:lang w:val="fr-FR"/>
        </w:rPr>
        <w:t>utilisation d</w:t>
      </w:r>
      <w:r w:rsidR="00506AD5">
        <w:rPr>
          <w:lang w:val="fr-FR"/>
        </w:rPr>
        <w:t>’</w:t>
      </w:r>
      <w:r>
        <w:rPr>
          <w:lang w:val="fr-FR"/>
        </w:rPr>
        <w:t>anneaux de timon et de chapes d</w:t>
      </w:r>
      <w:r w:rsidR="00506AD5">
        <w:rPr>
          <w:lang w:val="fr-FR"/>
        </w:rPr>
        <w:t>’</w:t>
      </w:r>
      <w:r>
        <w:rPr>
          <w:lang w:val="fr-FR"/>
        </w:rPr>
        <w:t>attelage homologués mutuellement incompatibles. Le principal problème provient de l</w:t>
      </w:r>
      <w:r w:rsidR="00506AD5">
        <w:rPr>
          <w:lang w:val="fr-FR"/>
        </w:rPr>
        <w:t>’</w:t>
      </w:r>
      <w:r>
        <w:rPr>
          <w:lang w:val="fr-FR"/>
        </w:rPr>
        <w:t>épaisseur verticale de la tige de l</w:t>
      </w:r>
      <w:r w:rsidR="00506AD5">
        <w:rPr>
          <w:lang w:val="fr-FR"/>
        </w:rPr>
        <w:t>’</w:t>
      </w:r>
      <w:r>
        <w:rPr>
          <w:lang w:val="fr-FR"/>
        </w:rPr>
        <w:t>anneau de timon. Comme le montrent les photographies ci-dessous, une tige D50</w:t>
      </w:r>
      <w:r w:rsidR="00506AD5">
        <w:rPr>
          <w:lang w:val="fr-FR"/>
        </w:rPr>
        <w:noBreakHyphen/>
      </w:r>
      <w:r>
        <w:rPr>
          <w:lang w:val="fr-FR"/>
        </w:rPr>
        <w:t>X aux dimensions maximales ne peut pas effectuer son plein débattement à l</w:t>
      </w:r>
      <w:r w:rsidR="00506AD5">
        <w:rPr>
          <w:lang w:val="fr-FR"/>
        </w:rPr>
        <w:t>’</w:t>
      </w:r>
      <w:r>
        <w:rPr>
          <w:lang w:val="fr-FR"/>
        </w:rPr>
        <w:t>intérieur d</w:t>
      </w:r>
      <w:r w:rsidR="00506AD5">
        <w:rPr>
          <w:lang w:val="fr-FR"/>
        </w:rPr>
        <w:t>’</w:t>
      </w:r>
      <w:r>
        <w:rPr>
          <w:lang w:val="fr-FR"/>
        </w:rPr>
        <w:t>une chape d</w:t>
      </w:r>
      <w:r w:rsidR="00506AD5">
        <w:rPr>
          <w:lang w:val="fr-FR"/>
        </w:rPr>
        <w:t>’</w:t>
      </w:r>
      <w:r>
        <w:rPr>
          <w:lang w:val="fr-FR"/>
        </w:rPr>
        <w:t>attelage C50.</w:t>
      </w:r>
    </w:p>
    <w:p w14:paraId="0D63016B" w14:textId="77777777" w:rsidR="00DB0D58" w:rsidRDefault="00DB0D58" w:rsidP="0015086F">
      <w:pPr>
        <w:pStyle w:val="SingleTxtG"/>
      </w:pPr>
      <w:r w:rsidRPr="00CA5EA3">
        <w:rPr>
          <w:noProof/>
          <w:lang w:eastAsia="fr-CH"/>
        </w:rPr>
        <w:drawing>
          <wp:inline distT="0" distB="0" distL="0" distR="0" wp14:anchorId="50E22184" wp14:editId="0E2CAC0F">
            <wp:extent cx="3715200" cy="2782800"/>
            <wp:effectExtent l="0" t="0" r="0" b="0"/>
            <wp:docPr id="8" name="Kuva 8" descr="C:\Users\takkihen\Pictures\IMG_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kihen\Pictures\IMG_7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A3A160D" w14:textId="77777777" w:rsidR="00DB0D58" w:rsidRDefault="00DB0D58" w:rsidP="0015086F">
      <w:pPr>
        <w:pStyle w:val="SingleTxtG"/>
      </w:pPr>
      <w:r w:rsidRPr="00CA5EA3">
        <w:rPr>
          <w:noProof/>
          <w:lang w:eastAsia="fr-CH"/>
        </w:rPr>
        <w:lastRenderedPageBreak/>
        <w:drawing>
          <wp:inline distT="0" distB="0" distL="0" distR="0" wp14:anchorId="62D18387" wp14:editId="1AAFC835">
            <wp:extent cx="3726000" cy="2797200"/>
            <wp:effectExtent l="0" t="0" r="8255" b="3175"/>
            <wp:docPr id="6" name="Kuva 6" descr="C:\Users\takkihen\Pictures\IMG_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kihen\Pictures\IMG_77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C2B3" w14:textId="77777777" w:rsidR="00DB0D58" w:rsidRPr="00546329" w:rsidRDefault="00DB0D58" w:rsidP="0015086F">
      <w:pPr>
        <w:pStyle w:val="SingleTxtG"/>
        <w:spacing w:before="240" w:after="240"/>
      </w:pPr>
      <w:r>
        <w:rPr>
          <w:lang w:val="fr-FR"/>
        </w:rPr>
        <w:t>Un dimensionnement plus précis de la tige D50-X garantirait la compatibilité avec les chapes d</w:t>
      </w:r>
      <w:r w:rsidR="00506AD5">
        <w:rPr>
          <w:lang w:val="fr-FR"/>
        </w:rPr>
        <w:t>’</w:t>
      </w:r>
      <w:r>
        <w:rPr>
          <w:lang w:val="fr-FR"/>
        </w:rPr>
        <w:t>attelage C50.</w:t>
      </w:r>
    </w:p>
    <w:p w14:paraId="1475F591" w14:textId="77777777" w:rsidR="00DB0D58" w:rsidRPr="00546329" w:rsidRDefault="00DB0D58" w:rsidP="0015086F">
      <w:pPr>
        <w:pStyle w:val="SingleTxtG"/>
        <w:spacing w:before="240" w:after="240"/>
      </w:pPr>
      <w:r>
        <w:rPr>
          <w:lang w:val="fr-FR"/>
        </w:rPr>
        <w:t>Voir les exemples suivants :</w:t>
      </w:r>
    </w:p>
    <w:p w14:paraId="0C5A796C" w14:textId="77777777" w:rsidR="0015086F" w:rsidRDefault="00DB0D58" w:rsidP="0015086F">
      <w:pPr>
        <w:pStyle w:val="SingleTxtG"/>
        <w:rPr>
          <w:lang w:val="fr-FR"/>
        </w:rPr>
      </w:pPr>
      <w:r w:rsidRPr="00427C90">
        <w:rPr>
          <w:noProof/>
          <w:lang w:eastAsia="fr-CH"/>
        </w:rPr>
        <w:drawing>
          <wp:inline distT="0" distB="0" distL="0" distR="0" wp14:anchorId="64A05DE3" wp14:editId="773EB5FD">
            <wp:extent cx="4005618" cy="1212835"/>
            <wp:effectExtent l="0" t="0" r="0" b="6985"/>
            <wp:docPr id="5" name="Kuva 5" descr="C:\Users\takkihen\Documents\silmukka not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kihen\Documents\silmukka not 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139" cy="12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86F" w:rsidRPr="0015086F">
        <w:rPr>
          <w:b/>
          <w:lang w:val="fr-FR"/>
        </w:rPr>
        <w:t>INADAPTÉ</w:t>
      </w:r>
    </w:p>
    <w:p w14:paraId="05F0CB20" w14:textId="77777777" w:rsidR="00DB0D58" w:rsidRPr="00546329" w:rsidRDefault="00DB0D58" w:rsidP="00DB0D58"/>
    <w:p w14:paraId="01AD4885" w14:textId="77777777" w:rsidR="00DB0D58" w:rsidRPr="00546329" w:rsidRDefault="00DB0D58" w:rsidP="0015086F">
      <w:pPr>
        <w:pStyle w:val="SingleTxtG"/>
        <w:rPr>
          <w:noProof/>
        </w:rPr>
      </w:pPr>
      <w:r w:rsidRPr="00011FF5">
        <w:rPr>
          <w:noProof/>
          <w:lang w:eastAsia="fr-CH"/>
        </w:rPr>
        <w:drawing>
          <wp:inline distT="0" distB="0" distL="0" distR="0" wp14:anchorId="3BD893A9" wp14:editId="7EA591D5">
            <wp:extent cx="4019265" cy="1216550"/>
            <wp:effectExtent l="0" t="0" r="635" b="3175"/>
            <wp:docPr id="10" name="Kuva 4" descr="C:\Users\takkihen\Documents\silmukka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kihen\Documents\silmukka 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16" cy="12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fr-FR"/>
        </w:rPr>
        <w:t>ADAPT</w:t>
      </w:r>
      <w:r w:rsidR="0015086F" w:rsidRPr="0015086F">
        <w:rPr>
          <w:b/>
          <w:lang w:val="fr-FR"/>
        </w:rPr>
        <w:t>É</w:t>
      </w:r>
    </w:p>
    <w:p w14:paraId="6FC3CB23" w14:textId="77777777" w:rsidR="00DB0D58" w:rsidRPr="00546329" w:rsidRDefault="00DB0D58" w:rsidP="00DB0D58">
      <w:pPr>
        <w:rPr>
          <w:noProof/>
          <w:lang w:eastAsia="fi-FI"/>
        </w:rPr>
      </w:pPr>
    </w:p>
    <w:p w14:paraId="45550018" w14:textId="77777777" w:rsidR="00DB0D58" w:rsidRPr="00546329" w:rsidRDefault="00DB0D58" w:rsidP="0015086F">
      <w:pPr>
        <w:pStyle w:val="SingleTxtG"/>
      </w:pPr>
      <w:r w:rsidRPr="00011FF5">
        <w:rPr>
          <w:noProof/>
          <w:lang w:eastAsia="fr-CH"/>
        </w:rPr>
        <w:drawing>
          <wp:inline distT="0" distB="0" distL="0" distR="0" wp14:anchorId="30D8979C" wp14:editId="003CFFA3">
            <wp:extent cx="4039737" cy="1216649"/>
            <wp:effectExtent l="0" t="0" r="0" b="3175"/>
            <wp:docPr id="11" name="Kuva 3" descr="C:\Users\takkihen\Documents\silmukka 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kihen\Documents\silmukka ok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71" cy="122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82">
        <w:rPr>
          <w:b/>
          <w:bCs/>
          <w:lang w:val="fr-FR"/>
        </w:rPr>
        <w:t>ADAPT</w:t>
      </w:r>
      <w:r w:rsidR="0015086F" w:rsidRPr="0015086F">
        <w:rPr>
          <w:b/>
          <w:lang w:val="fr-FR"/>
        </w:rPr>
        <w:t>É</w:t>
      </w:r>
    </w:p>
    <w:p w14:paraId="68F1655E" w14:textId="77777777" w:rsidR="00DB0D58" w:rsidRPr="00546329" w:rsidRDefault="00DB0D58" w:rsidP="00DB0D58"/>
    <w:p w14:paraId="0FCAC063" w14:textId="77777777" w:rsidR="00DB0D58" w:rsidRPr="0015086F" w:rsidRDefault="00DB0D58" w:rsidP="0015086F">
      <w:pPr>
        <w:pStyle w:val="SingleTxtG"/>
        <w:rPr>
          <w:spacing w:val="-2"/>
        </w:rPr>
      </w:pPr>
      <w:r w:rsidRPr="0015086F">
        <w:rPr>
          <w:spacing w:val="-2"/>
          <w:lang w:val="fr-FR"/>
        </w:rPr>
        <w:t>Des dispositions transitoires concernant la série 02 d</w:t>
      </w:r>
      <w:r w:rsidR="00506AD5">
        <w:rPr>
          <w:spacing w:val="-2"/>
          <w:lang w:val="fr-FR"/>
        </w:rPr>
        <w:t>’</w:t>
      </w:r>
      <w:r w:rsidRPr="0015086F">
        <w:rPr>
          <w:spacing w:val="-2"/>
          <w:lang w:val="fr-FR"/>
        </w:rPr>
        <w:t>amendements sont proposées. La nouvelle série 02 d</w:t>
      </w:r>
      <w:r w:rsidR="00506AD5">
        <w:rPr>
          <w:spacing w:val="-2"/>
          <w:lang w:val="fr-FR"/>
        </w:rPr>
        <w:t>’</w:t>
      </w:r>
      <w:r w:rsidRPr="0015086F">
        <w:rPr>
          <w:spacing w:val="-2"/>
          <w:lang w:val="fr-FR"/>
        </w:rPr>
        <w:t>amendements ne serait obligatoire que pour les anneaux de timon D50</w:t>
      </w:r>
      <w:r w:rsidR="0015086F" w:rsidRPr="0015086F">
        <w:rPr>
          <w:spacing w:val="-2"/>
          <w:lang w:val="fr-FR"/>
        </w:rPr>
        <w:noBreakHyphen/>
      </w:r>
      <w:r w:rsidRPr="0015086F">
        <w:rPr>
          <w:spacing w:val="-2"/>
          <w:lang w:val="fr-FR"/>
        </w:rPr>
        <w:t xml:space="preserve">X. </w:t>
      </w:r>
    </w:p>
    <w:p w14:paraId="70434564" w14:textId="77777777" w:rsidR="00DB0D58" w:rsidRPr="0015086F" w:rsidRDefault="00DB0D58" w:rsidP="0015086F">
      <w:pPr>
        <w:pStyle w:val="SingleTxtG"/>
        <w:rPr>
          <w:spacing w:val="-2"/>
          <w:lang w:val="fr-FR"/>
        </w:rPr>
      </w:pPr>
      <w:r w:rsidRPr="0015086F">
        <w:rPr>
          <w:spacing w:val="-2"/>
          <w:lang w:val="fr-FR"/>
        </w:rPr>
        <w:t>L</w:t>
      </w:r>
      <w:r w:rsidR="00506AD5">
        <w:rPr>
          <w:spacing w:val="-2"/>
          <w:lang w:val="fr-FR"/>
        </w:rPr>
        <w:t>’</w:t>
      </w:r>
      <w:r w:rsidRPr="0015086F">
        <w:rPr>
          <w:spacing w:val="-2"/>
          <w:lang w:val="fr-FR"/>
        </w:rPr>
        <w:t>exemple de marque d</w:t>
      </w:r>
      <w:r w:rsidR="00506AD5">
        <w:rPr>
          <w:spacing w:val="-2"/>
          <w:lang w:val="fr-FR"/>
        </w:rPr>
        <w:t>’</w:t>
      </w:r>
      <w:r w:rsidRPr="0015086F">
        <w:rPr>
          <w:spacing w:val="-2"/>
          <w:lang w:val="fr-FR"/>
        </w:rPr>
        <w:t>homologation figurant dans l</w:t>
      </w:r>
      <w:r w:rsidR="00506AD5">
        <w:rPr>
          <w:spacing w:val="-2"/>
          <w:lang w:val="fr-FR"/>
        </w:rPr>
        <w:t>’</w:t>
      </w:r>
      <w:r w:rsidRPr="0015086F">
        <w:rPr>
          <w:spacing w:val="-2"/>
          <w:lang w:val="fr-FR"/>
        </w:rPr>
        <w:t>annexe 3 doit également être actualisé.</w:t>
      </w:r>
    </w:p>
    <w:p w14:paraId="5FCA0CB4" w14:textId="77777777" w:rsidR="0015086F" w:rsidRPr="0015086F" w:rsidRDefault="0015086F" w:rsidP="001508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086F" w:rsidRPr="0015086F" w:rsidSect="00DB0D58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C4D3" w14:textId="77777777" w:rsidR="00664233" w:rsidRDefault="00664233" w:rsidP="00F95C08">
      <w:pPr>
        <w:spacing w:line="240" w:lineRule="auto"/>
      </w:pPr>
    </w:p>
  </w:endnote>
  <w:endnote w:type="continuationSeparator" w:id="0">
    <w:p w14:paraId="62A75C1A" w14:textId="77777777" w:rsidR="00664233" w:rsidRPr="00AC3823" w:rsidRDefault="00664233" w:rsidP="00AC3823">
      <w:pPr>
        <w:pStyle w:val="Pieddepage"/>
      </w:pPr>
    </w:p>
  </w:endnote>
  <w:endnote w:type="continuationNotice" w:id="1">
    <w:p w14:paraId="16D16A90" w14:textId="77777777" w:rsidR="00664233" w:rsidRDefault="00664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724" w14:textId="77777777" w:rsidR="00DB0D58" w:rsidRPr="00DB0D58" w:rsidRDefault="00DB0D58" w:rsidP="00DB0D58">
    <w:pPr>
      <w:pStyle w:val="Pieddepage"/>
      <w:tabs>
        <w:tab w:val="right" w:pos="9638"/>
      </w:tabs>
    </w:pPr>
    <w:r w:rsidRPr="00DB0D58">
      <w:rPr>
        <w:b/>
        <w:sz w:val="18"/>
      </w:rPr>
      <w:fldChar w:fldCharType="begin"/>
    </w:r>
    <w:r w:rsidRPr="00DB0D58">
      <w:rPr>
        <w:b/>
        <w:sz w:val="18"/>
      </w:rPr>
      <w:instrText xml:space="preserve"> PAGE  \* MERGEFORMAT </w:instrText>
    </w:r>
    <w:r w:rsidRPr="00DB0D58">
      <w:rPr>
        <w:b/>
        <w:sz w:val="18"/>
      </w:rPr>
      <w:fldChar w:fldCharType="separate"/>
    </w:r>
    <w:r w:rsidRPr="00DB0D58">
      <w:rPr>
        <w:b/>
        <w:noProof/>
        <w:sz w:val="18"/>
      </w:rPr>
      <w:t>2</w:t>
    </w:r>
    <w:r w:rsidRPr="00DB0D58">
      <w:rPr>
        <w:b/>
        <w:sz w:val="18"/>
      </w:rPr>
      <w:fldChar w:fldCharType="end"/>
    </w:r>
    <w:r>
      <w:rPr>
        <w:b/>
        <w:sz w:val="18"/>
      </w:rPr>
      <w:tab/>
    </w:r>
    <w:r>
      <w:t>GE.20-00794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D96D" w14:textId="77777777" w:rsidR="00DB0D58" w:rsidRPr="00DB0D58" w:rsidRDefault="00DB0D58" w:rsidP="00DB0D58">
    <w:pPr>
      <w:pStyle w:val="Pieddepage"/>
      <w:tabs>
        <w:tab w:val="right" w:pos="9638"/>
      </w:tabs>
      <w:rPr>
        <w:b/>
        <w:sz w:val="18"/>
      </w:rPr>
    </w:pPr>
    <w:r>
      <w:t>GE.20-00794</w:t>
    </w:r>
    <w:r>
      <w:tab/>
    </w:r>
    <w:r w:rsidRPr="00DB0D58">
      <w:rPr>
        <w:b/>
        <w:sz w:val="18"/>
      </w:rPr>
      <w:fldChar w:fldCharType="begin"/>
    </w:r>
    <w:r w:rsidRPr="00DB0D58">
      <w:rPr>
        <w:b/>
        <w:sz w:val="18"/>
      </w:rPr>
      <w:instrText xml:space="preserve"> PAGE  \* MERGEFORMAT </w:instrText>
    </w:r>
    <w:r w:rsidRPr="00DB0D58">
      <w:rPr>
        <w:b/>
        <w:sz w:val="18"/>
      </w:rPr>
      <w:fldChar w:fldCharType="separate"/>
    </w:r>
    <w:r w:rsidRPr="00DB0D58">
      <w:rPr>
        <w:b/>
        <w:noProof/>
        <w:sz w:val="18"/>
      </w:rPr>
      <w:t>3</w:t>
    </w:r>
    <w:r w:rsidRPr="00DB0D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F359" w14:textId="77777777" w:rsidR="007F20FA" w:rsidRPr="00DB0D58" w:rsidRDefault="00DB0D58" w:rsidP="00DB0D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7F62C1" wp14:editId="75FC513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20-00794  (F)</w:t>
    </w:r>
    <w:r w:rsidR="00506AD5">
      <w:rPr>
        <w:sz w:val="20"/>
      </w:rPr>
      <w:t xml:space="preserve">    300120    300120</w:t>
    </w:r>
    <w:r>
      <w:rPr>
        <w:sz w:val="20"/>
      </w:rPr>
      <w:br/>
    </w:r>
    <w:r w:rsidRPr="00DB0D58">
      <w:rPr>
        <w:rFonts w:ascii="C39T30Lfz" w:hAnsi="C39T30Lfz"/>
        <w:sz w:val="56"/>
      </w:rPr>
      <w:t></w:t>
    </w:r>
    <w:r w:rsidRPr="00DB0D58">
      <w:rPr>
        <w:rFonts w:ascii="C39T30Lfz" w:hAnsi="C39T30Lfz"/>
        <w:sz w:val="56"/>
      </w:rPr>
      <w:t></w:t>
    </w:r>
    <w:r w:rsidRPr="00DB0D58">
      <w:rPr>
        <w:rFonts w:ascii="C39T30Lfz" w:hAnsi="C39T30Lfz"/>
        <w:sz w:val="56"/>
      </w:rPr>
      <w:t></w:t>
    </w:r>
    <w:r w:rsidRPr="00DB0D58">
      <w:rPr>
        <w:rFonts w:ascii="C39T30Lfz" w:hAnsi="C39T30Lfz"/>
        <w:sz w:val="56"/>
      </w:rPr>
      <w:t></w:t>
    </w:r>
    <w:r w:rsidRPr="00DB0D58">
      <w:rPr>
        <w:rFonts w:ascii="C39T30Lfz" w:hAnsi="C39T30Lfz"/>
        <w:sz w:val="56"/>
      </w:rPr>
      <w:t></w:t>
    </w:r>
    <w:r w:rsidRPr="00DB0D58">
      <w:rPr>
        <w:rFonts w:ascii="C39T30Lfz" w:hAnsi="C39T30Lfz"/>
        <w:sz w:val="56"/>
      </w:rPr>
      <w:t></w:t>
    </w:r>
    <w:r w:rsidRPr="00DB0D58">
      <w:rPr>
        <w:rFonts w:ascii="C39T30Lfz" w:hAnsi="C39T30Lfz"/>
        <w:sz w:val="56"/>
      </w:rPr>
      <w:t></w:t>
    </w:r>
    <w:r w:rsidRPr="00DB0D58">
      <w:rPr>
        <w:rFonts w:ascii="C39T30Lfz" w:hAnsi="C39T30Lfz"/>
        <w:sz w:val="56"/>
      </w:rPr>
      <w:t></w:t>
    </w:r>
    <w:r w:rsidRPr="00DB0D5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BC39ECA" wp14:editId="4AAF8B1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20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5FA8" w14:textId="77777777" w:rsidR="00664233" w:rsidRPr="00AC3823" w:rsidRDefault="0066423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CD313" w14:textId="77777777" w:rsidR="00664233" w:rsidRPr="00AC3823" w:rsidRDefault="0066423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E48BDD" w14:textId="77777777" w:rsidR="00664233" w:rsidRPr="00AC3823" w:rsidRDefault="00664233">
      <w:pPr>
        <w:spacing w:line="240" w:lineRule="auto"/>
        <w:rPr>
          <w:sz w:val="2"/>
          <w:szCs w:val="2"/>
        </w:rPr>
      </w:pPr>
    </w:p>
  </w:footnote>
  <w:footnote w:id="2">
    <w:p w14:paraId="4B76E35E" w14:textId="77777777" w:rsidR="00DB0D58" w:rsidRPr="00DB0D58" w:rsidRDefault="00DB0D58">
      <w:pPr>
        <w:pStyle w:val="Notedebasdepage"/>
      </w:pPr>
      <w:r>
        <w:rPr>
          <w:rStyle w:val="Appelnotedebasdep"/>
        </w:rPr>
        <w:tab/>
      </w:r>
      <w:r w:rsidRPr="00DB0D5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506AD5"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 w:rsidR="00506AD5">
        <w:rPr>
          <w:lang w:val="fr-FR"/>
        </w:rPr>
        <w:t>’</w:t>
      </w:r>
      <w:r>
        <w:rPr>
          <w:lang w:val="fr-FR"/>
        </w:rPr>
        <w:t>élaborer, d</w:t>
      </w:r>
      <w:r w:rsidR="00506AD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06AD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EF83" w14:textId="1A402C40" w:rsidR="00DB0D58" w:rsidRPr="00DB0D58" w:rsidRDefault="00DF184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4016" w14:textId="12F6956B" w:rsidR="00DB0D58" w:rsidRPr="00DB0D58" w:rsidRDefault="00DF1844" w:rsidP="00DB0D5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233"/>
    <w:rsid w:val="00017F94"/>
    <w:rsid w:val="00023842"/>
    <w:rsid w:val="000334F9"/>
    <w:rsid w:val="00045FEB"/>
    <w:rsid w:val="0007796D"/>
    <w:rsid w:val="000B7790"/>
    <w:rsid w:val="000C5C88"/>
    <w:rsid w:val="00111F2F"/>
    <w:rsid w:val="0014365E"/>
    <w:rsid w:val="00143C66"/>
    <w:rsid w:val="0015086F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136B"/>
    <w:rsid w:val="00421996"/>
    <w:rsid w:val="00441C3B"/>
    <w:rsid w:val="00446FE5"/>
    <w:rsid w:val="00452396"/>
    <w:rsid w:val="004837D8"/>
    <w:rsid w:val="004E2EED"/>
    <w:rsid w:val="004E468C"/>
    <w:rsid w:val="00506AD5"/>
    <w:rsid w:val="005505B7"/>
    <w:rsid w:val="00573BE5"/>
    <w:rsid w:val="00586ED3"/>
    <w:rsid w:val="00596AA9"/>
    <w:rsid w:val="0063761D"/>
    <w:rsid w:val="0066423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D0850"/>
    <w:rsid w:val="00AE323C"/>
    <w:rsid w:val="00AF0CB5"/>
    <w:rsid w:val="00B00181"/>
    <w:rsid w:val="00B00B0D"/>
    <w:rsid w:val="00B45F2E"/>
    <w:rsid w:val="00B765F7"/>
    <w:rsid w:val="00BA0CA9"/>
    <w:rsid w:val="00C02897"/>
    <w:rsid w:val="00C52688"/>
    <w:rsid w:val="00C97039"/>
    <w:rsid w:val="00D3439C"/>
    <w:rsid w:val="00DB0D58"/>
    <w:rsid w:val="00DB1831"/>
    <w:rsid w:val="00DD3BFD"/>
    <w:rsid w:val="00DF1844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6E4AF"/>
  <w15:docId w15:val="{3577998B-6357-4610-B95F-3732FE17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5</Pages>
  <Words>1038</Words>
  <Characters>7273</Characters>
  <Application>Microsoft Office Word</Application>
  <DocSecurity>0</DocSecurity>
  <Lines>606</Lines>
  <Paragraphs>332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ECE/TRANS/WP.29/GRSG/2020/8</vt:lpstr>
    </vt:vector>
  </TitlesOfParts>
  <Company>DCM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ECE/TRANS/WP.29/GRSG/2020/8</dc:title>
  <dc:subject/>
  <dc:creator>Julien OKRZESIK</dc:creator>
  <cp:keywords/>
  <cp:lastModifiedBy>Julien Okrzesik</cp:lastModifiedBy>
  <cp:revision>3</cp:revision>
  <cp:lastPrinted>2020-01-30T10:35:00Z</cp:lastPrinted>
  <dcterms:created xsi:type="dcterms:W3CDTF">2020-01-30T10:35:00Z</dcterms:created>
  <dcterms:modified xsi:type="dcterms:W3CDTF">2020-01-30T10:37:00Z</dcterms:modified>
</cp:coreProperties>
</file>