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19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1910" w:rsidP="00D51910">
            <w:pPr>
              <w:jc w:val="right"/>
            </w:pPr>
            <w:r w:rsidRPr="00D51910">
              <w:rPr>
                <w:sz w:val="40"/>
              </w:rPr>
              <w:t>ECE</w:t>
            </w:r>
            <w:r>
              <w:t>/TRANS/WP.29/GRSG/2020/7</w:t>
            </w:r>
          </w:p>
        </w:tc>
      </w:tr>
      <w:tr w:rsidR="002D5AAC" w:rsidRPr="00E05A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519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51910" w:rsidRDefault="00D51910" w:rsidP="00D51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D51910" w:rsidRDefault="00D51910" w:rsidP="00D51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51910" w:rsidRPr="008D53B6" w:rsidRDefault="00D51910" w:rsidP="00D51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5191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1910" w:rsidRPr="000918F2" w:rsidRDefault="00D51910" w:rsidP="00D51910">
      <w:pPr>
        <w:spacing w:before="120"/>
        <w:rPr>
          <w:sz w:val="28"/>
          <w:szCs w:val="28"/>
        </w:rPr>
      </w:pPr>
      <w:r w:rsidRPr="000918F2">
        <w:rPr>
          <w:sz w:val="28"/>
          <w:szCs w:val="28"/>
        </w:rPr>
        <w:t>Комитет по внутреннему транспорту</w:t>
      </w:r>
    </w:p>
    <w:p w:rsidR="00D51910" w:rsidRDefault="00D51910" w:rsidP="00D51910">
      <w:pPr>
        <w:spacing w:before="120"/>
        <w:rPr>
          <w:b/>
        </w:rPr>
      </w:pPr>
      <w:r w:rsidRPr="000918F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918F2">
        <w:rPr>
          <w:b/>
          <w:sz w:val="24"/>
          <w:szCs w:val="24"/>
        </w:rPr>
        <w:t>в области транспортных средств</w:t>
      </w:r>
      <w:r w:rsidRPr="00692D8D">
        <w:rPr>
          <w:b/>
        </w:rPr>
        <w:t xml:space="preserve"> </w:t>
      </w:r>
    </w:p>
    <w:p w:rsidR="00D51910" w:rsidRPr="00E05A90" w:rsidRDefault="00D51910" w:rsidP="00D51910">
      <w:pPr>
        <w:spacing w:before="120"/>
        <w:rPr>
          <w:b/>
          <w:szCs w:val="20"/>
        </w:rPr>
      </w:pPr>
      <w:r w:rsidRPr="00E05A90">
        <w:rPr>
          <w:b/>
          <w:bCs/>
          <w:color w:val="333333"/>
          <w:szCs w:val="20"/>
        </w:rPr>
        <w:t xml:space="preserve">Рабочая группа по общим предписаниям, </w:t>
      </w:r>
      <w:r w:rsidRPr="00E05A90">
        <w:rPr>
          <w:b/>
          <w:bCs/>
          <w:color w:val="333333"/>
          <w:szCs w:val="20"/>
        </w:rPr>
        <w:br/>
        <w:t>касающимся безопасности</w:t>
      </w:r>
    </w:p>
    <w:p w:rsidR="00D51910" w:rsidRPr="00E05A90" w:rsidRDefault="00D51910" w:rsidP="00D51910">
      <w:pPr>
        <w:tabs>
          <w:tab w:val="center" w:pos="4819"/>
        </w:tabs>
        <w:spacing w:before="120"/>
        <w:rPr>
          <w:b/>
          <w:szCs w:val="20"/>
        </w:rPr>
      </w:pPr>
      <w:r w:rsidRPr="00E05A90">
        <w:rPr>
          <w:b/>
          <w:szCs w:val="20"/>
        </w:rPr>
        <w:t>118-я сессия</w:t>
      </w:r>
    </w:p>
    <w:p w:rsidR="00D51910" w:rsidRPr="00E05A90" w:rsidRDefault="00D51910" w:rsidP="00D51910">
      <w:pPr>
        <w:rPr>
          <w:szCs w:val="20"/>
        </w:rPr>
      </w:pPr>
      <w:r w:rsidRPr="00E05A90">
        <w:rPr>
          <w:szCs w:val="20"/>
        </w:rPr>
        <w:t>Женева, 30 марта – 3 апреля 2020 года</w:t>
      </w:r>
    </w:p>
    <w:p w:rsidR="00D51910" w:rsidRPr="00E05A90" w:rsidRDefault="00D51910" w:rsidP="00D51910">
      <w:pPr>
        <w:rPr>
          <w:szCs w:val="20"/>
        </w:rPr>
      </w:pPr>
      <w:r w:rsidRPr="00E05A90">
        <w:rPr>
          <w:szCs w:val="20"/>
        </w:rPr>
        <w:t>Пункт 5 b) предварительной повестки дня</w:t>
      </w:r>
    </w:p>
    <w:p w:rsidR="00E12C5F" w:rsidRPr="00E05A90" w:rsidRDefault="00D51910" w:rsidP="00D51910">
      <w:pPr>
        <w:rPr>
          <w:szCs w:val="20"/>
        </w:rPr>
      </w:pPr>
      <w:r w:rsidRPr="00E05A90">
        <w:rPr>
          <w:b/>
          <w:bCs/>
          <w:color w:val="333333"/>
          <w:szCs w:val="20"/>
        </w:rPr>
        <w:t xml:space="preserve">Предупреждение о присутствии уязвимых участников </w:t>
      </w:r>
      <w:r w:rsidRPr="00E05A90">
        <w:rPr>
          <w:b/>
          <w:bCs/>
          <w:color w:val="333333"/>
          <w:szCs w:val="20"/>
        </w:rPr>
        <w:br/>
        <w:t>дорожного движения в непосредственной близости</w:t>
      </w:r>
      <w:r w:rsidRPr="00E05A90">
        <w:rPr>
          <w:b/>
          <w:bCs/>
          <w:color w:val="333333"/>
          <w:szCs w:val="20"/>
        </w:rPr>
        <w:br/>
        <w:t xml:space="preserve">Правила ООН, касающиеся систем индикации </w:t>
      </w:r>
      <w:r w:rsidRPr="00E05A90">
        <w:rPr>
          <w:b/>
          <w:bCs/>
          <w:color w:val="333333"/>
          <w:szCs w:val="20"/>
        </w:rPr>
        <w:br/>
        <w:t>мертвой зоны (СИМЗ)</w:t>
      </w:r>
    </w:p>
    <w:p w:rsidR="00D51910" w:rsidRPr="000A255A" w:rsidRDefault="00D51910" w:rsidP="00D51910">
      <w:pPr>
        <w:pStyle w:val="HChG"/>
      </w:pPr>
      <w:bookmarkStart w:id="0" w:name="_Hlk29406381"/>
      <w:r>
        <w:tab/>
      </w:r>
      <w:r>
        <w:tab/>
        <w:t>Предложение</w:t>
      </w:r>
      <w:r w:rsidRPr="000A255A">
        <w:t xml:space="preserve"> </w:t>
      </w:r>
      <w:r>
        <w:t>по</w:t>
      </w:r>
      <w:r w:rsidRPr="000A255A">
        <w:t xml:space="preserve"> </w:t>
      </w:r>
      <w:r>
        <w:t>дополнению</w:t>
      </w:r>
      <w:r w:rsidRPr="000A255A">
        <w:t xml:space="preserve"> </w:t>
      </w:r>
      <w:bookmarkStart w:id="1" w:name="_Hlk26969997"/>
      <w:r w:rsidRPr="000A255A">
        <w:t xml:space="preserve">2 </w:t>
      </w:r>
      <w:r>
        <w:t>к</w:t>
      </w:r>
      <w:r w:rsidRPr="000A255A">
        <w:t xml:space="preserve"> </w:t>
      </w:r>
      <w:r>
        <w:t>Правилам</w:t>
      </w:r>
      <w:r w:rsidRPr="000A255A">
        <w:t xml:space="preserve"> № 151 </w:t>
      </w:r>
      <w:r>
        <w:t>ООН</w:t>
      </w:r>
      <w:r w:rsidRPr="000A255A">
        <w:t xml:space="preserve"> (</w:t>
      </w:r>
      <w:r w:rsidRPr="000A255A">
        <w:rPr>
          <w:bCs/>
          <w:color w:val="333333"/>
          <w:szCs w:val="28"/>
        </w:rPr>
        <w:t>системы индикации мертвой зоны (СИМЗ)</w:t>
      </w:r>
      <w:r w:rsidRPr="000A255A">
        <w:t>)</w:t>
      </w:r>
      <w:bookmarkEnd w:id="0"/>
      <w:bookmarkEnd w:id="1"/>
    </w:p>
    <w:p w:rsidR="00D51910" w:rsidRPr="000A255A" w:rsidRDefault="00D51910" w:rsidP="00D51910">
      <w:pPr>
        <w:pStyle w:val="H1G"/>
      </w:pPr>
      <w:r w:rsidRPr="000A255A">
        <w:tab/>
      </w:r>
      <w:r w:rsidRPr="000A255A">
        <w:tab/>
      </w:r>
      <w:r>
        <w:t>Представлено</w:t>
      </w:r>
      <w:r w:rsidRPr="000A255A">
        <w:t xml:space="preserve"> </w:t>
      </w:r>
      <w:r>
        <w:t>экспертом</w:t>
      </w:r>
      <w:r w:rsidRPr="000A255A">
        <w:t xml:space="preserve"> </w:t>
      </w:r>
      <w:r>
        <w:t>от</w:t>
      </w:r>
      <w:r w:rsidRPr="000A255A">
        <w:t xml:space="preserve"> </w:t>
      </w:r>
      <w:r>
        <w:t>Европейской</w:t>
      </w:r>
      <w:r w:rsidRPr="000A255A">
        <w:t xml:space="preserve"> </w:t>
      </w:r>
      <w:r>
        <w:t>комиссии</w:t>
      </w:r>
      <w:r w:rsidRPr="00D5191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D51910" w:rsidRDefault="00D51910" w:rsidP="00D51910">
      <w:pPr>
        <w:pStyle w:val="SingleTxt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A255A">
        <w:rPr>
          <w:shd w:val="clear" w:color="auto" w:fill="FFFFFF"/>
        </w:rPr>
        <w:t>Воспроизведенный ниже текст был подготовлен экспертом от Европейской комиссии в целях</w:t>
      </w:r>
      <w:r>
        <w:rPr>
          <w:shd w:val="clear" w:color="auto" w:fill="FFFFFF"/>
        </w:rPr>
        <w:t xml:space="preserve"> изменения области применения Правил наряду с внесением надлежащих поправок. </w:t>
      </w:r>
      <w:r w:rsidRPr="000A255A">
        <w:rPr>
          <w:shd w:val="clear" w:color="auto" w:fill="FFFFFF"/>
        </w:rPr>
        <w:t xml:space="preserve">Изменения к действующему тексту </w:t>
      </w:r>
      <w:r>
        <w:rPr>
          <w:shd w:val="clear" w:color="auto" w:fill="FFFFFF"/>
        </w:rPr>
        <w:t>П</w:t>
      </w:r>
      <w:r w:rsidRPr="000A255A">
        <w:rPr>
          <w:shd w:val="clear" w:color="auto" w:fill="FFFFFF"/>
        </w:rPr>
        <w:t>равил ООН выделены жирным шрифтом в случае новых положений или зачеркиванием в случае исключенных элементов.</w:t>
      </w:r>
    </w:p>
    <w:p w:rsidR="00D51910" w:rsidRDefault="00D5191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D51910" w:rsidRPr="00E05A90" w:rsidRDefault="00D51910" w:rsidP="00E05A90">
      <w:pPr>
        <w:pStyle w:val="HChG"/>
      </w:pPr>
      <w:r>
        <w:lastRenderedPageBreak/>
        <w:tab/>
      </w:r>
      <w:r>
        <w:tab/>
      </w:r>
      <w:r w:rsidRPr="00E60E47">
        <w:t>Предложение по дополнению 2 к Правилам № 151 ООН (</w:t>
      </w:r>
      <w:r w:rsidRPr="00E05A90">
        <w:t>системы индикации мертвой зоны (СИМЗ)</w:t>
      </w:r>
      <w:r w:rsidRPr="00E60E47">
        <w:t>)</w:t>
      </w:r>
    </w:p>
    <w:p w:rsidR="00D51910" w:rsidRPr="001506C7" w:rsidRDefault="00D51910" w:rsidP="00D51910">
      <w:pPr>
        <w:pStyle w:val="HChG"/>
      </w:pPr>
      <w:r w:rsidRPr="00E60E47">
        <w:tab/>
      </w:r>
      <w:r>
        <w:t>I</w:t>
      </w:r>
      <w:r w:rsidRPr="001506C7">
        <w:t>.</w:t>
      </w:r>
      <w:r w:rsidRPr="001506C7">
        <w:tab/>
      </w:r>
      <w:r>
        <w:t>Предложение</w:t>
      </w:r>
    </w:p>
    <w:p w:rsidR="00D51910" w:rsidRPr="00D51910" w:rsidRDefault="00D51910" w:rsidP="00D51910">
      <w:pPr>
        <w:pStyle w:val="SingleTxtG"/>
      </w:pPr>
      <w:r w:rsidRPr="001506C7">
        <w:tab/>
      </w:r>
      <w:r>
        <w:rPr>
          <w:i/>
        </w:rPr>
        <w:t>Пункт</w:t>
      </w:r>
      <w:r w:rsidRPr="00D51910">
        <w:rPr>
          <w:i/>
        </w:rPr>
        <w:t xml:space="preserve"> 1.1 </w:t>
      </w:r>
      <w:r w:rsidRPr="001506C7">
        <w:t>изменить</w:t>
      </w:r>
      <w:r w:rsidRPr="00D51910">
        <w:t xml:space="preserve"> </w:t>
      </w:r>
      <w:r w:rsidRPr="001506C7">
        <w:t>следующим</w:t>
      </w:r>
      <w:r w:rsidRPr="00D51910">
        <w:t xml:space="preserve"> </w:t>
      </w:r>
      <w:r w:rsidRPr="001506C7">
        <w:t>образом</w:t>
      </w:r>
      <w:r w:rsidRPr="00D51910">
        <w:t>:</w:t>
      </w:r>
    </w:p>
    <w:p w:rsidR="00D51910" w:rsidRPr="00C71EAE" w:rsidRDefault="00D51910" w:rsidP="00D51910">
      <w:pPr>
        <w:pStyle w:val="SingleTxtG"/>
        <w:ind w:left="2268" w:hanging="1134"/>
      </w:pPr>
      <w:r w:rsidRPr="00C71EAE">
        <w:t>«1.1</w:t>
      </w:r>
      <w:r w:rsidRPr="00C71EAE">
        <w:tab/>
        <w:t xml:space="preserve">Настоящие Правила применяются в отношении систем индикации мертвой зоны транспортных средств </w:t>
      </w:r>
      <w:r w:rsidRPr="00C71EAE">
        <w:tab/>
        <w:t xml:space="preserve">категорий </w:t>
      </w:r>
      <w:r w:rsidRPr="00CC17F2">
        <w:t>N</w:t>
      </w:r>
      <w:r w:rsidRPr="00C71EAE">
        <w:rPr>
          <w:vertAlign w:val="subscript"/>
        </w:rPr>
        <w:t>2</w:t>
      </w:r>
      <w:r w:rsidRPr="00C71EAE">
        <w:t xml:space="preserve"> </w:t>
      </w:r>
      <w:r w:rsidRPr="00C71EAE">
        <w:rPr>
          <w:strike/>
        </w:rPr>
        <w:t>(с технически разрешенной максимальной массой &gt;8 т)</w:t>
      </w:r>
      <w:r w:rsidRPr="00C71EAE">
        <w:t xml:space="preserve"> и </w:t>
      </w:r>
      <w:r w:rsidRPr="00CC17F2">
        <w:t>N</w:t>
      </w:r>
      <w:r w:rsidRPr="00C71EAE">
        <w:rPr>
          <w:vertAlign w:val="subscript"/>
        </w:rPr>
        <w:t>3</w:t>
      </w:r>
      <w:r w:rsidRPr="00C71EAE">
        <w:t xml:space="preserve">. </w:t>
      </w:r>
      <w:r w:rsidRPr="00C71EAE">
        <w:rPr>
          <w:strike/>
        </w:rPr>
        <w:t>Транспортные средства категории N</w:t>
      </w:r>
      <w:r w:rsidRPr="00C71EAE">
        <w:rPr>
          <w:strike/>
          <w:vertAlign w:val="subscript"/>
        </w:rPr>
        <w:t>2</w:t>
      </w:r>
      <w:r w:rsidRPr="00C71EAE">
        <w:rPr>
          <w:strike/>
        </w:rPr>
        <w:t xml:space="preserve"> (с технически разрешенной максимальной массой ≤8 т), M</w:t>
      </w:r>
      <w:r w:rsidRPr="00C71EAE">
        <w:rPr>
          <w:strike/>
          <w:vertAlign w:val="subscript"/>
        </w:rPr>
        <w:t>2</w:t>
      </w:r>
      <w:r w:rsidRPr="00C71EAE">
        <w:rPr>
          <w:strike/>
        </w:rPr>
        <w:t> и M</w:t>
      </w:r>
      <w:r w:rsidRPr="00C71EAE">
        <w:rPr>
          <w:strike/>
          <w:vertAlign w:val="subscript"/>
        </w:rPr>
        <w:t>3</w:t>
      </w:r>
      <w:r w:rsidRPr="00C71EAE">
        <w:rPr>
          <w:strike/>
        </w:rPr>
        <w:t xml:space="preserve"> могут официально утверждаться по просьбе изготовителя</w:t>
      </w:r>
      <w:r>
        <w:t>»</w:t>
      </w:r>
      <w:r w:rsidRPr="00C71EAE">
        <w:t>.</w:t>
      </w:r>
    </w:p>
    <w:p w:rsidR="00D51910" w:rsidRPr="001506C7" w:rsidRDefault="00D51910" w:rsidP="00D51910">
      <w:pPr>
        <w:pStyle w:val="SingleTxtG"/>
      </w:pPr>
      <w:r w:rsidRPr="001506C7">
        <w:rPr>
          <w:i/>
        </w:rPr>
        <w:t xml:space="preserve">Включить новый пункт 5.5.4 </w:t>
      </w:r>
      <w:r w:rsidRPr="001506C7">
        <w:t>следующего содержания:</w:t>
      </w:r>
    </w:p>
    <w:p w:rsidR="00D51910" w:rsidRPr="00C71EAE" w:rsidRDefault="00D51910" w:rsidP="00D51910">
      <w:pPr>
        <w:pStyle w:val="SingleTxtG"/>
        <w:ind w:left="2268" w:hanging="1134"/>
        <w:rPr>
          <w:i/>
        </w:rPr>
      </w:pPr>
      <w:r w:rsidRPr="00C71EAE">
        <w:t>«</w:t>
      </w:r>
      <w:r w:rsidRPr="00C71EAE">
        <w:rPr>
          <w:b/>
        </w:rPr>
        <w:t>5.5.4</w:t>
      </w:r>
      <w:r w:rsidRPr="00C71EAE">
        <w:rPr>
          <w:b/>
        </w:rPr>
        <w:tab/>
        <w:t>Предупреждающий сигнал, предусмотренный в пункте 5.3.1.2,</w:t>
      </w:r>
      <w:r>
        <w:rPr>
          <w:b/>
        </w:rPr>
        <w:t xml:space="preserve"> не требуется в случае транспортных средств категорий </w:t>
      </w:r>
      <w:r>
        <w:rPr>
          <w:b/>
          <w:lang w:val="en-GB"/>
        </w:rPr>
        <w:t>N</w:t>
      </w:r>
      <w:r w:rsidRPr="00C71EAE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rPr>
          <w:b/>
        </w:rPr>
        <w:t>с</w:t>
      </w:r>
      <w:r w:rsidRPr="00C71EAE">
        <w:rPr>
          <w:b/>
        </w:rPr>
        <w:t xml:space="preserve"> </w:t>
      </w:r>
      <w:r>
        <w:rPr>
          <w:b/>
        </w:rPr>
        <w:t>технически</w:t>
      </w:r>
      <w:r w:rsidRPr="00C71EAE">
        <w:rPr>
          <w:b/>
        </w:rPr>
        <w:t xml:space="preserve"> </w:t>
      </w:r>
      <w:r>
        <w:rPr>
          <w:b/>
        </w:rPr>
        <w:t>допустимой</w:t>
      </w:r>
      <w:r w:rsidRPr="00C71EAE">
        <w:rPr>
          <w:b/>
        </w:rPr>
        <w:t xml:space="preserve"> </w:t>
      </w:r>
      <w:r>
        <w:rPr>
          <w:b/>
        </w:rPr>
        <w:t>максимальной</w:t>
      </w:r>
      <w:r w:rsidRPr="00C71EAE">
        <w:rPr>
          <w:b/>
        </w:rPr>
        <w:t xml:space="preserve"> </w:t>
      </w:r>
      <w:r>
        <w:rPr>
          <w:b/>
        </w:rPr>
        <w:t>массой</w:t>
      </w:r>
      <w:r w:rsidRPr="00C71EAE">
        <w:rPr>
          <w:b/>
        </w:rPr>
        <w:t xml:space="preserve"> </w:t>
      </w:r>
      <w:r>
        <w:rPr>
          <w:b/>
        </w:rPr>
        <w:t>не</w:t>
      </w:r>
      <w:r w:rsidRPr="00C71EAE">
        <w:rPr>
          <w:b/>
        </w:rPr>
        <w:t xml:space="preserve"> </w:t>
      </w:r>
      <w:r>
        <w:rPr>
          <w:b/>
        </w:rPr>
        <w:t>более</w:t>
      </w:r>
      <w:r w:rsidRPr="00C71EAE">
        <w:rPr>
          <w:b/>
        </w:rPr>
        <w:t xml:space="preserve"> 8 </w:t>
      </w:r>
      <w:r>
        <w:rPr>
          <w:b/>
        </w:rPr>
        <w:t xml:space="preserve">тонн и </w:t>
      </w:r>
      <w:r>
        <w:rPr>
          <w:b/>
          <w:lang w:val="en-GB"/>
        </w:rPr>
        <w:t>M</w:t>
      </w:r>
      <w:r w:rsidRPr="00C71EAE">
        <w:rPr>
          <w:b/>
          <w:vertAlign w:val="subscript"/>
        </w:rPr>
        <w:t>2</w:t>
      </w:r>
      <w:r w:rsidRPr="00071B25">
        <w:t>».</w:t>
      </w:r>
    </w:p>
    <w:p w:rsidR="00D51910" w:rsidRPr="001506C7" w:rsidRDefault="00D51910" w:rsidP="00D51910">
      <w:pPr>
        <w:pStyle w:val="SingleTxtG"/>
      </w:pPr>
      <w:r w:rsidRPr="001506C7">
        <w:rPr>
          <w:i/>
        </w:rPr>
        <w:t xml:space="preserve">Включить новый пункт 6.5.11 </w:t>
      </w:r>
      <w:r w:rsidRPr="001506C7">
        <w:t>следующего содержания:</w:t>
      </w:r>
    </w:p>
    <w:p w:rsidR="00D51910" w:rsidRPr="00E05A90" w:rsidRDefault="00D51910" w:rsidP="00D51910">
      <w:pPr>
        <w:pStyle w:val="SingleTxtG"/>
        <w:ind w:left="2268" w:hanging="1134"/>
      </w:pPr>
      <w:r w:rsidRPr="00C71EAE">
        <w:t>«</w:t>
      </w:r>
      <w:r w:rsidRPr="00C71EAE">
        <w:rPr>
          <w:b/>
        </w:rPr>
        <w:t>6.5.11</w:t>
      </w:r>
      <w:r w:rsidRPr="00C71EAE">
        <w:rPr>
          <w:b/>
        </w:rPr>
        <w:tab/>
      </w:r>
      <w:r>
        <w:rPr>
          <w:b/>
        </w:rPr>
        <w:t>Считается, что транспортные</w:t>
      </w:r>
      <w:r w:rsidRPr="00C71EAE">
        <w:rPr>
          <w:b/>
        </w:rPr>
        <w:t xml:space="preserve"> </w:t>
      </w:r>
      <w:r>
        <w:rPr>
          <w:b/>
        </w:rPr>
        <w:t>средства</w:t>
      </w:r>
      <w:r w:rsidRPr="00C71EAE">
        <w:rPr>
          <w:b/>
        </w:rPr>
        <w:t xml:space="preserve"> </w:t>
      </w:r>
      <w:r>
        <w:rPr>
          <w:b/>
        </w:rPr>
        <w:t>категорий</w:t>
      </w:r>
      <w:r w:rsidRPr="00C71EAE">
        <w:rPr>
          <w:b/>
        </w:rPr>
        <w:t xml:space="preserve"> </w:t>
      </w:r>
      <w:r>
        <w:rPr>
          <w:b/>
          <w:lang w:val="en-GB"/>
        </w:rPr>
        <w:t>N</w:t>
      </w:r>
      <w:r w:rsidRPr="00C71EAE">
        <w:rPr>
          <w:b/>
          <w:vertAlign w:val="subscript"/>
        </w:rPr>
        <w:t xml:space="preserve">2 </w:t>
      </w:r>
      <w:r>
        <w:rPr>
          <w:b/>
        </w:rPr>
        <w:t>с</w:t>
      </w:r>
      <w:r w:rsidRPr="00C71EAE">
        <w:rPr>
          <w:b/>
        </w:rPr>
        <w:t xml:space="preserve"> </w:t>
      </w:r>
      <w:r>
        <w:rPr>
          <w:b/>
        </w:rPr>
        <w:t>технически</w:t>
      </w:r>
      <w:r w:rsidRPr="00C71EAE">
        <w:rPr>
          <w:b/>
        </w:rPr>
        <w:t xml:space="preserve"> </w:t>
      </w:r>
      <w:r>
        <w:rPr>
          <w:b/>
        </w:rPr>
        <w:t>допустимой</w:t>
      </w:r>
      <w:r w:rsidRPr="00C71EAE">
        <w:rPr>
          <w:b/>
        </w:rPr>
        <w:t xml:space="preserve"> </w:t>
      </w:r>
      <w:r>
        <w:rPr>
          <w:b/>
        </w:rPr>
        <w:t>максимальной</w:t>
      </w:r>
      <w:r w:rsidRPr="00C71EAE">
        <w:rPr>
          <w:b/>
        </w:rPr>
        <w:t xml:space="preserve"> </w:t>
      </w:r>
      <w:r>
        <w:rPr>
          <w:b/>
        </w:rPr>
        <w:t>массой</w:t>
      </w:r>
      <w:r w:rsidRPr="00C71EAE">
        <w:rPr>
          <w:b/>
        </w:rPr>
        <w:t xml:space="preserve"> </w:t>
      </w:r>
      <w:r>
        <w:rPr>
          <w:b/>
        </w:rPr>
        <w:t>не</w:t>
      </w:r>
      <w:r w:rsidRPr="00C71EAE">
        <w:rPr>
          <w:b/>
        </w:rPr>
        <w:t xml:space="preserve"> </w:t>
      </w:r>
      <w:r>
        <w:rPr>
          <w:b/>
        </w:rPr>
        <w:t>более</w:t>
      </w:r>
      <w:r w:rsidRPr="00C71EAE">
        <w:rPr>
          <w:b/>
        </w:rPr>
        <w:t xml:space="preserve"> 8 </w:t>
      </w:r>
      <w:r>
        <w:rPr>
          <w:b/>
        </w:rPr>
        <w:t>тонн</w:t>
      </w:r>
      <w:r w:rsidRPr="00C71EAE">
        <w:rPr>
          <w:b/>
        </w:rPr>
        <w:t xml:space="preserve"> </w:t>
      </w:r>
      <w:r>
        <w:rPr>
          <w:b/>
        </w:rPr>
        <w:t>и</w:t>
      </w:r>
      <w:r w:rsidRPr="00C71EAE">
        <w:rPr>
          <w:b/>
        </w:rPr>
        <w:t xml:space="preserve"> </w:t>
      </w:r>
      <w:r>
        <w:rPr>
          <w:b/>
          <w:lang w:val="en-GB"/>
        </w:rPr>
        <w:t>M</w:t>
      </w:r>
      <w:r w:rsidRPr="00C71EAE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 w:rsidRPr="00E05A90">
        <w:rPr>
          <w:b/>
        </w:rPr>
        <w:t xml:space="preserve">удовлетворяют требованиям пункта 6.5, если информационный сигнал индикации мертвой зоны срабатывает, когда макет велосипеда перемещается вперед, назад либо в поперечном направлении в зону, прилегающую к </w:t>
      </w:r>
      <w:r w:rsidRPr="00E05A90">
        <w:rPr>
          <w:b/>
          <w:bCs/>
          <w:color w:val="333333"/>
        </w:rPr>
        <w:t xml:space="preserve">движущемуся или неподвижному транспортному средству. В таком случае он должен срабатывать </w:t>
      </w:r>
      <w:r w:rsidRPr="00E05A90">
        <w:rPr>
          <w:b/>
          <w:color w:val="333333"/>
          <w:shd w:val="clear" w:color="auto" w:fill="FFFFFF"/>
        </w:rPr>
        <w:t>в соответствии с техническими требованиями изготовителя</w:t>
      </w:r>
      <w:r w:rsidRPr="00E05A90">
        <w:rPr>
          <w:color w:val="333333"/>
          <w:shd w:val="clear" w:color="auto" w:fill="FFFFFF"/>
        </w:rPr>
        <w:t>».</w:t>
      </w:r>
    </w:p>
    <w:p w:rsidR="00D51910" w:rsidRPr="001506C7" w:rsidRDefault="00D51910" w:rsidP="00D51910">
      <w:pPr>
        <w:pStyle w:val="SingleTxtG"/>
      </w:pPr>
      <w:r w:rsidRPr="001506C7">
        <w:rPr>
          <w:i/>
        </w:rPr>
        <w:t xml:space="preserve">Включить новый пункт 6.6.3 </w:t>
      </w:r>
      <w:r w:rsidRPr="001506C7">
        <w:t>следующего содержания:</w:t>
      </w:r>
    </w:p>
    <w:p w:rsidR="00D51910" w:rsidRPr="00E05A90" w:rsidRDefault="00D51910" w:rsidP="00D51910">
      <w:pPr>
        <w:pStyle w:val="SingleTxtG"/>
        <w:ind w:left="2268" w:hanging="1134"/>
        <w:rPr>
          <w:b/>
        </w:rPr>
      </w:pPr>
      <w:r>
        <w:t>«</w:t>
      </w:r>
      <w:r w:rsidRPr="00E31D12">
        <w:rPr>
          <w:b/>
        </w:rPr>
        <w:t>6.6.3</w:t>
      </w:r>
      <w:r w:rsidRPr="00E31D12">
        <w:rPr>
          <w:b/>
        </w:rPr>
        <w:tab/>
      </w:r>
      <w:r>
        <w:rPr>
          <w:b/>
        </w:rPr>
        <w:t>Считается</w:t>
      </w:r>
      <w:r w:rsidRPr="00E31D12">
        <w:rPr>
          <w:b/>
        </w:rPr>
        <w:t xml:space="preserve">, </w:t>
      </w:r>
      <w:r>
        <w:rPr>
          <w:b/>
        </w:rPr>
        <w:t>что</w:t>
      </w:r>
      <w:r w:rsidRPr="00E31D12">
        <w:rPr>
          <w:b/>
        </w:rPr>
        <w:t xml:space="preserve"> </w:t>
      </w:r>
      <w:r>
        <w:rPr>
          <w:b/>
        </w:rPr>
        <w:t>транспортные</w:t>
      </w:r>
      <w:r w:rsidRPr="00E31D12">
        <w:rPr>
          <w:b/>
        </w:rPr>
        <w:t xml:space="preserve"> </w:t>
      </w:r>
      <w:r>
        <w:rPr>
          <w:b/>
        </w:rPr>
        <w:t>средства</w:t>
      </w:r>
      <w:r w:rsidRPr="00E31D12">
        <w:rPr>
          <w:b/>
        </w:rPr>
        <w:t xml:space="preserve"> </w:t>
      </w:r>
      <w:r>
        <w:rPr>
          <w:b/>
        </w:rPr>
        <w:t>категорий</w:t>
      </w:r>
      <w:r w:rsidRPr="00E31D12">
        <w:rPr>
          <w:b/>
        </w:rPr>
        <w:t xml:space="preserve"> </w:t>
      </w:r>
      <w:r>
        <w:rPr>
          <w:b/>
          <w:lang w:val="en-GB"/>
        </w:rPr>
        <w:t>N</w:t>
      </w:r>
      <w:r w:rsidRPr="00E31D12">
        <w:rPr>
          <w:b/>
          <w:vertAlign w:val="subscript"/>
        </w:rPr>
        <w:t xml:space="preserve">2 </w:t>
      </w:r>
      <w:r>
        <w:rPr>
          <w:b/>
        </w:rPr>
        <w:t>с</w:t>
      </w:r>
      <w:r w:rsidRPr="00E31D12">
        <w:rPr>
          <w:b/>
        </w:rPr>
        <w:t xml:space="preserve"> </w:t>
      </w:r>
      <w:r>
        <w:rPr>
          <w:b/>
        </w:rPr>
        <w:t>технически</w:t>
      </w:r>
      <w:r w:rsidRPr="00E31D12">
        <w:rPr>
          <w:b/>
        </w:rPr>
        <w:t xml:space="preserve"> </w:t>
      </w:r>
      <w:r>
        <w:rPr>
          <w:b/>
        </w:rPr>
        <w:t>допустимой</w:t>
      </w:r>
      <w:r w:rsidRPr="00E31D12">
        <w:rPr>
          <w:b/>
        </w:rPr>
        <w:t xml:space="preserve"> </w:t>
      </w:r>
      <w:r>
        <w:rPr>
          <w:b/>
        </w:rPr>
        <w:t>максимальной</w:t>
      </w:r>
      <w:r w:rsidRPr="00E31D12">
        <w:rPr>
          <w:b/>
        </w:rPr>
        <w:t xml:space="preserve"> </w:t>
      </w:r>
      <w:r>
        <w:rPr>
          <w:b/>
        </w:rPr>
        <w:t>массой</w:t>
      </w:r>
      <w:r w:rsidRPr="00E31D12">
        <w:rPr>
          <w:b/>
        </w:rPr>
        <w:t xml:space="preserve"> </w:t>
      </w:r>
      <w:r>
        <w:rPr>
          <w:b/>
        </w:rPr>
        <w:t>не</w:t>
      </w:r>
      <w:r w:rsidRPr="00E31D12">
        <w:rPr>
          <w:b/>
        </w:rPr>
        <w:t xml:space="preserve"> </w:t>
      </w:r>
      <w:r>
        <w:rPr>
          <w:b/>
        </w:rPr>
        <w:t>более</w:t>
      </w:r>
      <w:r w:rsidRPr="00E31D12">
        <w:rPr>
          <w:b/>
        </w:rPr>
        <w:t xml:space="preserve"> 8 </w:t>
      </w:r>
      <w:r>
        <w:rPr>
          <w:b/>
        </w:rPr>
        <w:t>тонн</w:t>
      </w:r>
      <w:r w:rsidRPr="00E31D12">
        <w:rPr>
          <w:b/>
        </w:rPr>
        <w:t xml:space="preserve"> </w:t>
      </w:r>
      <w:r>
        <w:rPr>
          <w:b/>
        </w:rPr>
        <w:t>и</w:t>
      </w:r>
      <w:r w:rsidRPr="00E31D12">
        <w:rPr>
          <w:b/>
        </w:rPr>
        <w:t xml:space="preserve"> </w:t>
      </w:r>
      <w:r>
        <w:rPr>
          <w:b/>
          <w:lang w:val="en-GB"/>
        </w:rPr>
        <w:t>M</w:t>
      </w:r>
      <w:r w:rsidRPr="00E31D12">
        <w:rPr>
          <w:b/>
          <w:vertAlign w:val="subscript"/>
        </w:rPr>
        <w:t xml:space="preserve">2 </w:t>
      </w:r>
      <w:r w:rsidRPr="00E05A90">
        <w:rPr>
          <w:b/>
        </w:rPr>
        <w:t>удовлетворяют требованиям пункта 6.6 при условии, что информационный сигнал индикации мертвой зоны срабатывает, когда макет велосипеда перемещается в продольном направлении вперед от</w:t>
      </w:r>
      <w:bookmarkStart w:id="3" w:name="_GoBack"/>
      <w:bookmarkEnd w:id="3"/>
      <w:r w:rsidRPr="00E05A90">
        <w:rPr>
          <w:b/>
        </w:rPr>
        <w:t xml:space="preserve"> задней части в зону шириной 3,0 м, прилегающую к транспортному средству, с переднего правого угла транспортного средства на 5,0 м назад либо к задней части автотранспортного средства, если расстояние от переднего правого угла транспортного средства составляет более 5,0 м. </w:t>
      </w:r>
      <w:r w:rsidRPr="00E05A90">
        <w:rPr>
          <w:b/>
          <w:bCs/>
          <w:color w:val="333333"/>
        </w:rPr>
        <w:t xml:space="preserve">В таком случае он должен срабатывать до того, как </w:t>
      </w:r>
      <w:r w:rsidRPr="00E05A90">
        <w:rPr>
          <w:b/>
        </w:rPr>
        <w:t>макет велосипеда оказался</w:t>
      </w:r>
      <w:r w:rsidR="004502AB" w:rsidRPr="00E05A90">
        <w:rPr>
          <w:b/>
        </w:rPr>
        <w:t xml:space="preserve"> в</w:t>
      </w:r>
      <w:r w:rsidRPr="00E05A90">
        <w:rPr>
          <w:b/>
        </w:rPr>
        <w:t xml:space="preserve"> этой зоне</w:t>
      </w:r>
      <w:r w:rsidRPr="00E05A90">
        <w:t>».</w:t>
      </w:r>
    </w:p>
    <w:p w:rsidR="00D51910" w:rsidRDefault="00D51910" w:rsidP="00D51910">
      <w:pPr>
        <w:pStyle w:val="HChG"/>
      </w:pPr>
      <w:r w:rsidRPr="00A74B65">
        <w:tab/>
      </w:r>
      <w:r w:rsidRPr="00EA229B">
        <w:t>II.</w:t>
      </w:r>
      <w:r w:rsidRPr="00EA229B">
        <w:tab/>
      </w:r>
      <w:r>
        <w:t>Обоснование</w:t>
      </w:r>
    </w:p>
    <w:p w:rsidR="00D51910" w:rsidRPr="00A74B65" w:rsidRDefault="00D51910" w:rsidP="00D51910">
      <w:pPr>
        <w:pStyle w:val="SingleTxtG"/>
      </w:pPr>
      <w:r w:rsidRPr="00A74B65">
        <w:t>1.</w:t>
      </w:r>
      <w:r w:rsidRPr="00A74B65">
        <w:tab/>
      </w:r>
      <w:r>
        <w:t>Настоящее</w:t>
      </w:r>
      <w:r w:rsidRPr="00A74B65">
        <w:t xml:space="preserve"> </w:t>
      </w:r>
      <w:r>
        <w:t>предложение</w:t>
      </w:r>
      <w:r w:rsidRPr="00A74B65">
        <w:t xml:space="preserve"> </w:t>
      </w:r>
      <w:r>
        <w:t>позволит</w:t>
      </w:r>
      <w:r w:rsidRPr="00A74B65">
        <w:t xml:space="preserve"> </w:t>
      </w:r>
      <w:r>
        <w:t>Договаривающимся</w:t>
      </w:r>
      <w:r w:rsidRPr="00A74B65">
        <w:t xml:space="preserve"> </w:t>
      </w:r>
      <w:r>
        <w:t>сторонам</w:t>
      </w:r>
      <w:r w:rsidRPr="00A74B65">
        <w:t xml:space="preserve"> </w:t>
      </w:r>
      <w:r>
        <w:t>применять</w:t>
      </w:r>
      <w:r w:rsidRPr="00A74B65">
        <w:t xml:space="preserve"> </w:t>
      </w:r>
      <w:r>
        <w:t>предписания</w:t>
      </w:r>
      <w:r w:rsidRPr="00A74B65">
        <w:t xml:space="preserve">, </w:t>
      </w:r>
      <w:r>
        <w:t>касающиеся</w:t>
      </w:r>
      <w:r w:rsidRPr="00A74B65">
        <w:t xml:space="preserve"> </w:t>
      </w:r>
      <w:r>
        <w:t>СИМЗ</w:t>
      </w:r>
      <w:r w:rsidRPr="00A74B65">
        <w:t xml:space="preserve">, </w:t>
      </w:r>
      <w:r>
        <w:t>ко</w:t>
      </w:r>
      <w:r w:rsidRPr="00A74B65">
        <w:t xml:space="preserve"> </w:t>
      </w:r>
      <w:r>
        <w:t>всем</w:t>
      </w:r>
      <w:r w:rsidRPr="00A74B65">
        <w:t xml:space="preserve"> </w:t>
      </w:r>
      <w:r>
        <w:t>грузовым</w:t>
      </w:r>
      <w:r w:rsidRPr="00A74B65">
        <w:t xml:space="preserve"> </w:t>
      </w:r>
      <w:r>
        <w:t>транспортным</w:t>
      </w:r>
      <w:r w:rsidRPr="00A74B65">
        <w:t xml:space="preserve"> </w:t>
      </w:r>
      <w:r>
        <w:t>средствам</w:t>
      </w:r>
      <w:r w:rsidRPr="00A74B65">
        <w:t xml:space="preserve"> </w:t>
      </w:r>
      <w:r>
        <w:t>и</w:t>
      </w:r>
      <w:r w:rsidRPr="00A74B65">
        <w:t xml:space="preserve"> </w:t>
      </w:r>
      <w:r>
        <w:t>автобусам</w:t>
      </w:r>
      <w:r w:rsidRPr="00A74B65">
        <w:t xml:space="preserve">, </w:t>
      </w:r>
      <w:r>
        <w:t>в</w:t>
      </w:r>
      <w:r w:rsidRPr="00A74B65">
        <w:t xml:space="preserve"> </w:t>
      </w:r>
      <w:r>
        <w:t>том</w:t>
      </w:r>
      <w:r w:rsidRPr="00A74B65">
        <w:t xml:space="preserve"> </w:t>
      </w:r>
      <w:r>
        <w:t>числе</w:t>
      </w:r>
      <w:r w:rsidRPr="00A74B65">
        <w:t xml:space="preserve"> </w:t>
      </w:r>
      <w:r>
        <w:t>к</w:t>
      </w:r>
      <w:r w:rsidRPr="00A74B65">
        <w:t xml:space="preserve"> </w:t>
      </w:r>
      <w:r>
        <w:t>малогабаритным</w:t>
      </w:r>
      <w:r w:rsidRPr="00A74B65">
        <w:t xml:space="preserve"> </w:t>
      </w:r>
      <w:r>
        <w:t>и</w:t>
      </w:r>
      <w:r w:rsidRPr="00A74B65">
        <w:t xml:space="preserve"> </w:t>
      </w:r>
      <w:r>
        <w:t xml:space="preserve">легковесным. </w:t>
      </w:r>
    </w:p>
    <w:p w:rsidR="00D51910" w:rsidRPr="00A74B65" w:rsidRDefault="00D51910" w:rsidP="00D51910">
      <w:pPr>
        <w:pStyle w:val="SingleTxtG"/>
      </w:pPr>
      <w:r w:rsidRPr="00A74B65">
        <w:t>2.</w:t>
      </w:r>
      <w:r w:rsidRPr="00A74B65">
        <w:tab/>
      </w:r>
      <w:proofErr w:type="gramStart"/>
      <w:r>
        <w:t>С</w:t>
      </w:r>
      <w:proofErr w:type="gramEnd"/>
      <w:r w:rsidRPr="00A74B65">
        <w:t xml:space="preserve"> </w:t>
      </w:r>
      <w:r>
        <w:t>учетом</w:t>
      </w:r>
      <w:r w:rsidRPr="00A74B65">
        <w:t xml:space="preserve"> </w:t>
      </w:r>
      <w:r>
        <w:t>того</w:t>
      </w:r>
      <w:r w:rsidRPr="00A74B65">
        <w:t xml:space="preserve">, </w:t>
      </w:r>
      <w:r>
        <w:t>что</w:t>
      </w:r>
      <w:r w:rsidRPr="00A74B65">
        <w:t xml:space="preserve"> </w:t>
      </w:r>
      <w:r>
        <w:t>малогабаритные</w:t>
      </w:r>
      <w:r w:rsidRPr="00A74B65">
        <w:t xml:space="preserve"> </w:t>
      </w:r>
      <w:r>
        <w:t>и</w:t>
      </w:r>
      <w:r w:rsidRPr="00A74B65">
        <w:t xml:space="preserve"> </w:t>
      </w:r>
      <w:r>
        <w:t>легковесные грузовые</w:t>
      </w:r>
      <w:r w:rsidRPr="00A74B65">
        <w:t xml:space="preserve"> </w:t>
      </w:r>
      <w:r>
        <w:t>транспортные</w:t>
      </w:r>
      <w:r w:rsidRPr="00A74B65">
        <w:t xml:space="preserve"> </w:t>
      </w:r>
      <w:r>
        <w:t>средства</w:t>
      </w:r>
      <w:r w:rsidRPr="00A74B65">
        <w:t xml:space="preserve"> </w:t>
      </w:r>
      <w:r>
        <w:t>и</w:t>
      </w:r>
      <w:r w:rsidRPr="00A74B65">
        <w:t xml:space="preserve"> </w:t>
      </w:r>
      <w:r>
        <w:t xml:space="preserve">автобусы могут быть оснащены </w:t>
      </w:r>
      <w:r w:rsidRPr="00E05A90">
        <w:t>системами индикации мертвой зоны, основывающимися на системах, используемых в пассажирских автомобилях, требования, касающиеся этих транспортных средств, скорректированы.</w:t>
      </w:r>
    </w:p>
    <w:p w:rsidR="00D51910" w:rsidRDefault="00D51910" w:rsidP="00D51910">
      <w:pPr>
        <w:pStyle w:val="SingleTxtG"/>
      </w:pPr>
      <w:r w:rsidRPr="00CE01C6">
        <w:t>3.</w:t>
      </w:r>
      <w:r w:rsidRPr="00CE01C6">
        <w:tab/>
      </w:r>
      <w:r>
        <w:t>Данное</w:t>
      </w:r>
      <w:r w:rsidRPr="00CE01C6">
        <w:t xml:space="preserve"> </w:t>
      </w:r>
      <w:r>
        <w:t xml:space="preserve">расширение области применения должно быть реализовано в ЕС в результате пересмотра Общих правил по безопасности </w:t>
      </w:r>
      <w:r w:rsidRPr="00CE01C6">
        <w:t>2019/2144</w:t>
      </w:r>
      <w:r>
        <w:t xml:space="preserve"> (ЕС), которые вступят в силу с 6 июля 2022 года для транспортных средств нового типа и 7 июля 2024 года для всех новых транспортных средств.</w:t>
      </w:r>
    </w:p>
    <w:p w:rsidR="00D51910" w:rsidRPr="00D51910" w:rsidRDefault="00D51910" w:rsidP="00D51910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1910" w:rsidRPr="00D51910" w:rsidSect="00D519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7" w:rsidRPr="00A312BC" w:rsidRDefault="008F5577" w:rsidP="00A312BC"/>
  </w:endnote>
  <w:endnote w:type="continuationSeparator" w:id="0">
    <w:p w:rsidR="008F5577" w:rsidRPr="00A312BC" w:rsidRDefault="008F55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0" w:rsidRPr="00D51910" w:rsidRDefault="00D51910">
    <w:pPr>
      <w:pStyle w:val="a8"/>
    </w:pPr>
    <w:r w:rsidRPr="00D51910">
      <w:rPr>
        <w:b/>
        <w:sz w:val="18"/>
      </w:rPr>
      <w:fldChar w:fldCharType="begin"/>
    </w:r>
    <w:r w:rsidRPr="00D51910">
      <w:rPr>
        <w:b/>
        <w:sz w:val="18"/>
      </w:rPr>
      <w:instrText xml:space="preserve"> PAGE  \* MERGEFORMAT </w:instrText>
    </w:r>
    <w:r w:rsidRPr="00D51910">
      <w:rPr>
        <w:b/>
        <w:sz w:val="18"/>
      </w:rPr>
      <w:fldChar w:fldCharType="separate"/>
    </w:r>
    <w:r w:rsidR="003E3736">
      <w:rPr>
        <w:b/>
        <w:noProof/>
        <w:sz w:val="18"/>
      </w:rPr>
      <w:t>2</w:t>
    </w:r>
    <w:r w:rsidRPr="00D51910">
      <w:rPr>
        <w:b/>
        <w:sz w:val="18"/>
      </w:rPr>
      <w:fldChar w:fldCharType="end"/>
    </w:r>
    <w:r>
      <w:rPr>
        <w:b/>
        <w:sz w:val="18"/>
      </w:rPr>
      <w:tab/>
    </w:r>
    <w:r>
      <w:t>GE.20-00791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0" w:rsidRPr="00D51910" w:rsidRDefault="00D51910" w:rsidP="00D51910">
    <w:pPr>
      <w:pStyle w:val="a8"/>
      <w:tabs>
        <w:tab w:val="clear" w:pos="9639"/>
        <w:tab w:val="right" w:pos="9638"/>
      </w:tabs>
      <w:rPr>
        <w:b/>
        <w:sz w:val="18"/>
      </w:rPr>
    </w:pPr>
    <w:r>
      <w:t>GE.20-00791</w:t>
    </w:r>
    <w:r>
      <w:tab/>
    </w:r>
    <w:r w:rsidRPr="00D51910">
      <w:rPr>
        <w:b/>
        <w:sz w:val="18"/>
      </w:rPr>
      <w:fldChar w:fldCharType="begin"/>
    </w:r>
    <w:r w:rsidRPr="00D51910">
      <w:rPr>
        <w:b/>
        <w:sz w:val="18"/>
      </w:rPr>
      <w:instrText xml:space="preserve"> PAGE  \* MERGEFORMAT </w:instrText>
    </w:r>
    <w:r w:rsidRPr="00D5191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519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51910" w:rsidRDefault="00D51910" w:rsidP="00D5191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00791  (</w:t>
    </w:r>
    <w:proofErr w:type="gramEnd"/>
    <w:r>
      <w:t>R)  290120  300120</w:t>
    </w:r>
    <w:r>
      <w:br/>
    </w:r>
    <w:r w:rsidRPr="00D51910">
      <w:rPr>
        <w:rFonts w:ascii="C39T30Lfz" w:hAnsi="C39T30Lfz"/>
        <w:kern w:val="14"/>
        <w:sz w:val="56"/>
      </w:rPr>
      <w:t></w:t>
    </w:r>
    <w:r w:rsidRPr="00D51910">
      <w:rPr>
        <w:rFonts w:ascii="C39T30Lfz" w:hAnsi="C39T30Lfz"/>
        <w:kern w:val="14"/>
        <w:sz w:val="56"/>
      </w:rPr>
      <w:t></w:t>
    </w:r>
    <w:r w:rsidRPr="00D51910">
      <w:rPr>
        <w:rFonts w:ascii="C39T30Lfz" w:hAnsi="C39T30Lfz"/>
        <w:kern w:val="14"/>
        <w:sz w:val="56"/>
      </w:rPr>
      <w:t></w:t>
    </w:r>
    <w:r w:rsidRPr="00D51910">
      <w:rPr>
        <w:rFonts w:ascii="C39T30Lfz" w:hAnsi="C39T30Lfz"/>
        <w:kern w:val="14"/>
        <w:sz w:val="56"/>
      </w:rPr>
      <w:t></w:t>
    </w:r>
    <w:r w:rsidRPr="00D51910">
      <w:rPr>
        <w:rFonts w:ascii="C39T30Lfz" w:hAnsi="C39T30Lfz"/>
        <w:kern w:val="14"/>
        <w:sz w:val="56"/>
      </w:rPr>
      <w:t></w:t>
    </w:r>
    <w:r w:rsidRPr="00D51910">
      <w:rPr>
        <w:rFonts w:ascii="C39T30Lfz" w:hAnsi="C39T30Lfz"/>
        <w:kern w:val="14"/>
        <w:sz w:val="56"/>
      </w:rPr>
      <w:t></w:t>
    </w:r>
    <w:r w:rsidRPr="00D51910">
      <w:rPr>
        <w:rFonts w:ascii="C39T30Lfz" w:hAnsi="C39T30Lfz"/>
        <w:kern w:val="14"/>
        <w:sz w:val="56"/>
      </w:rPr>
      <w:t></w:t>
    </w:r>
    <w:r w:rsidRPr="00D51910">
      <w:rPr>
        <w:rFonts w:ascii="C39T30Lfz" w:hAnsi="C39T30Lfz"/>
        <w:kern w:val="14"/>
        <w:sz w:val="56"/>
      </w:rPr>
      <w:t></w:t>
    </w:r>
    <w:r w:rsidRPr="00D5191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7" w:rsidRPr="001075E9" w:rsidRDefault="008F55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5577" w:rsidRDefault="008F55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51910" w:rsidRPr="00D51910" w:rsidRDefault="00D51910" w:rsidP="00D51910">
      <w:pPr>
        <w:pStyle w:val="ad"/>
        <w:rPr>
          <w:szCs w:val="18"/>
          <w:lang w:val="en-US"/>
        </w:rPr>
      </w:pPr>
      <w:r>
        <w:tab/>
      </w:r>
      <w:r w:rsidRPr="00D51910">
        <w:rPr>
          <w:rStyle w:val="aa"/>
          <w:sz w:val="20"/>
          <w:vertAlign w:val="baseline"/>
        </w:rPr>
        <w:t>*</w:t>
      </w:r>
      <w:r w:rsidRPr="000918F2">
        <w:tab/>
      </w:r>
      <w:bookmarkStart w:id="2" w:name="_Hlk29979525"/>
      <w:r w:rsidRPr="00D51910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</w:t>
      </w:r>
      <w:r w:rsidRPr="00D51910">
        <w:rPr>
          <w:szCs w:val="18"/>
          <w:lang w:val="en-US"/>
        </w:rPr>
        <w:t>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0" w:rsidRPr="00D51910" w:rsidRDefault="003E37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0" w:rsidRPr="00D51910" w:rsidRDefault="003E3736" w:rsidP="00D5191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7"/>
    <w:rsid w:val="00033EE1"/>
    <w:rsid w:val="00042B72"/>
    <w:rsid w:val="000558BD"/>
    <w:rsid w:val="00071B2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736"/>
    <w:rsid w:val="00407B78"/>
    <w:rsid w:val="00424203"/>
    <w:rsid w:val="004502AB"/>
    <w:rsid w:val="00452493"/>
    <w:rsid w:val="00453318"/>
    <w:rsid w:val="00454AF2"/>
    <w:rsid w:val="00454E07"/>
    <w:rsid w:val="00472C5C"/>
    <w:rsid w:val="004E05B7"/>
    <w:rsid w:val="0050108D"/>
    <w:rsid w:val="005049E2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57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4BB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910"/>
    <w:rsid w:val="00D5253A"/>
    <w:rsid w:val="00D57251"/>
    <w:rsid w:val="00D873A8"/>
    <w:rsid w:val="00D90028"/>
    <w:rsid w:val="00D90138"/>
    <w:rsid w:val="00D9145B"/>
    <w:rsid w:val="00DD78D1"/>
    <w:rsid w:val="00DE32CD"/>
    <w:rsid w:val="00DF5767"/>
    <w:rsid w:val="00DF71B9"/>
    <w:rsid w:val="00E05A90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DDBD6-AC91-4BE5-BE6C-3E843A5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5191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D51910"/>
    <w:rPr>
      <w:lang w:val="ru-RU" w:eastAsia="en-US"/>
    </w:rPr>
  </w:style>
  <w:style w:type="paragraph" w:customStyle="1" w:styleId="para">
    <w:name w:val="para"/>
    <w:basedOn w:val="a"/>
    <w:link w:val="paraChar"/>
    <w:rsid w:val="00D51910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51910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382</Words>
  <Characters>3404</Characters>
  <Application>Microsoft Office Word</Application>
  <DocSecurity>0</DocSecurity>
  <Lines>309</Lines>
  <Paragraphs>126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ECE/TRANS/WP.29/GRSG/2020/7</vt:lpstr>
      <vt:lpstr>A/</vt:lpstr>
      <vt:lpstr>A/</vt:lpstr>
    </vt:vector>
  </TitlesOfParts>
  <Company>DCM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ECE/TRANS/WP.29/GRSG/2020/7</dc:title>
  <dc:subject/>
  <dc:creator>Marina KOROTKOVA</dc:creator>
  <cp:keywords/>
  <cp:lastModifiedBy>Marina Korotkova</cp:lastModifiedBy>
  <cp:revision>3</cp:revision>
  <cp:lastPrinted>2020-01-30T10:06:00Z</cp:lastPrinted>
  <dcterms:created xsi:type="dcterms:W3CDTF">2020-01-30T10:06:00Z</dcterms:created>
  <dcterms:modified xsi:type="dcterms:W3CDTF">2020-01-30T10:06:00Z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