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C2F7B"/>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C2F7B" w:rsidP="007C2F7B">
            <w:pPr>
              <w:jc w:val="right"/>
            </w:pPr>
            <w:r w:rsidRPr="007C2F7B">
              <w:rPr>
                <w:sz w:val="40"/>
              </w:rPr>
              <w:t>ECE</w:t>
            </w:r>
            <w:r>
              <w:t>/TRANS/WP.29/GRSG/2020/6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C2F7B" w:rsidP="00C97039">
            <w:pPr>
              <w:spacing w:before="240"/>
            </w:pPr>
            <w:r>
              <w:t>Distr. générale</w:t>
            </w:r>
          </w:p>
          <w:p w:rsidR="007C2F7B" w:rsidRDefault="007C2F7B" w:rsidP="007C2F7B">
            <w:pPr>
              <w:spacing w:line="240" w:lineRule="exact"/>
            </w:pPr>
            <w:r>
              <w:t>20 janvier 2020</w:t>
            </w:r>
          </w:p>
          <w:p w:rsidR="007C2F7B" w:rsidRDefault="007C2F7B" w:rsidP="007C2F7B">
            <w:pPr>
              <w:spacing w:line="240" w:lineRule="exact"/>
            </w:pPr>
            <w:r>
              <w:t>Français</w:t>
            </w:r>
          </w:p>
          <w:p w:rsidR="007C2F7B" w:rsidRPr="00DB58B5" w:rsidRDefault="007C2F7B" w:rsidP="007C2F7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9E246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7C2F7B" w:rsidRDefault="007C2F7B" w:rsidP="00AF0CB5">
      <w:pPr>
        <w:spacing w:before="120"/>
        <w:rPr>
          <w:b/>
          <w:sz w:val="24"/>
          <w:szCs w:val="24"/>
        </w:rPr>
      </w:pPr>
      <w:r w:rsidRPr="00685843">
        <w:rPr>
          <w:b/>
          <w:sz w:val="24"/>
          <w:szCs w:val="24"/>
        </w:rPr>
        <w:t>Forum mondial de l</w:t>
      </w:r>
      <w:r w:rsidR="009E246C">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7C2F7B" w:rsidRDefault="007C2F7B" w:rsidP="00AF0CB5">
      <w:pPr>
        <w:spacing w:before="120" w:line="240" w:lineRule="exact"/>
        <w:rPr>
          <w:b/>
        </w:rPr>
      </w:pPr>
      <w:r>
        <w:rPr>
          <w:b/>
          <w:bCs/>
          <w:lang w:val="fr-FR"/>
        </w:rPr>
        <w:t>Groupe de travail des dispositions générales de sécurité</w:t>
      </w:r>
    </w:p>
    <w:p w:rsidR="007C2F7B" w:rsidRDefault="007C2F7B" w:rsidP="00AF0CB5">
      <w:pPr>
        <w:spacing w:before="120" w:line="240" w:lineRule="exact"/>
        <w:rPr>
          <w:b/>
        </w:rPr>
      </w:pPr>
      <w:r>
        <w:rPr>
          <w:b/>
        </w:rPr>
        <w:t>118</w:t>
      </w:r>
      <w:r w:rsidRPr="007C2F7B">
        <w:rPr>
          <w:b/>
          <w:vertAlign w:val="superscript"/>
        </w:rPr>
        <w:t>e</w:t>
      </w:r>
      <w:r>
        <w:rPr>
          <w:b/>
        </w:rPr>
        <w:t xml:space="preserve"> session</w:t>
      </w:r>
    </w:p>
    <w:p w:rsidR="007C2F7B" w:rsidRDefault="007C2F7B" w:rsidP="007C2F7B">
      <w:pPr>
        <w:spacing w:line="240" w:lineRule="exact"/>
      </w:pPr>
      <w:r w:rsidRPr="007C2F7B">
        <w:rPr>
          <w:lang w:val="fr-FR"/>
        </w:rPr>
        <w:t>Genève, 30 mars-3 avril 2020</w:t>
      </w:r>
    </w:p>
    <w:p w:rsidR="007C2F7B" w:rsidRDefault="007C2F7B" w:rsidP="007C2F7B">
      <w:pPr>
        <w:spacing w:line="240" w:lineRule="exact"/>
      </w:pPr>
      <w:r w:rsidRPr="007C2F7B">
        <w:rPr>
          <w:lang w:val="fr-FR"/>
        </w:rPr>
        <w:t>Point 5 a) de l</w:t>
      </w:r>
      <w:r w:rsidR="009E246C">
        <w:rPr>
          <w:lang w:val="fr-FR"/>
        </w:rPr>
        <w:t>’</w:t>
      </w:r>
      <w:r w:rsidRPr="007C2F7B">
        <w:rPr>
          <w:lang w:val="fr-FR"/>
        </w:rPr>
        <w:t>ordre du jour provisoire</w:t>
      </w:r>
    </w:p>
    <w:p w:rsidR="00F9573C" w:rsidRDefault="009E246C" w:rsidP="00AF0CB5">
      <w:pPr>
        <w:rPr>
          <w:b/>
          <w:lang w:val="fr-FR"/>
        </w:rPr>
      </w:pPr>
      <w:r w:rsidRPr="00B91529">
        <w:rPr>
          <w:b/>
          <w:lang w:val="fr-FR"/>
        </w:rPr>
        <w:t>Détection de la présence d</w:t>
      </w:r>
      <w:r>
        <w:rPr>
          <w:b/>
          <w:lang w:val="fr-FR"/>
        </w:rPr>
        <w:t>’</w:t>
      </w:r>
      <w:r w:rsidRPr="00B91529">
        <w:rPr>
          <w:b/>
          <w:lang w:val="fr-FR"/>
        </w:rPr>
        <w:t>usagers de la route vulnérables</w:t>
      </w:r>
      <w:r>
        <w:rPr>
          <w:b/>
          <w:lang w:val="fr-FR"/>
        </w:rPr>
        <w:t xml:space="preserve"> à proximité du véhicule</w:t>
      </w:r>
      <w:r>
        <w:rPr>
          <w:b/>
          <w:lang w:val="fr-FR"/>
        </w:rPr>
        <w:t> </w:t>
      </w:r>
      <w:r w:rsidRPr="00B91529">
        <w:rPr>
          <w:b/>
          <w:lang w:val="fr-FR"/>
        </w:rPr>
        <w:t>:</w:t>
      </w:r>
      <w:r>
        <w:rPr>
          <w:b/>
          <w:lang w:val="fr-FR"/>
        </w:rPr>
        <w:t xml:space="preserve"> </w:t>
      </w:r>
      <w:r>
        <w:rPr>
          <w:b/>
          <w:lang w:val="fr-FR"/>
        </w:rPr>
        <w:br/>
      </w:r>
      <w:r w:rsidRPr="00B91529">
        <w:rPr>
          <w:b/>
          <w:lang w:val="fr-FR"/>
        </w:rPr>
        <w:t>Règlement ONU n</w:t>
      </w:r>
      <w:r w:rsidRPr="00827423">
        <w:rPr>
          <w:b/>
          <w:vertAlign w:val="superscript"/>
          <w:lang w:val="fr-FR"/>
        </w:rPr>
        <w:t>o</w:t>
      </w:r>
      <w:r w:rsidRPr="00B91529">
        <w:rPr>
          <w:b/>
          <w:lang w:val="fr-FR"/>
        </w:rPr>
        <w:t xml:space="preserve"> 46 (Systèmes de vision indirecte)</w:t>
      </w:r>
    </w:p>
    <w:p w:rsidR="009E246C" w:rsidRPr="008D238D" w:rsidRDefault="009E246C" w:rsidP="009E246C">
      <w:pPr>
        <w:pStyle w:val="HChG"/>
        <w:rPr>
          <w:lang w:val="fr-FR"/>
        </w:rPr>
      </w:pPr>
      <w:r w:rsidRPr="00B91529">
        <w:rPr>
          <w:sz w:val="26"/>
          <w:szCs w:val="26"/>
          <w:lang w:val="fr-FR"/>
        </w:rPr>
        <w:tab/>
      </w:r>
      <w:r w:rsidRPr="00B91529">
        <w:rPr>
          <w:sz w:val="26"/>
          <w:szCs w:val="26"/>
          <w:lang w:val="fr-FR"/>
        </w:rPr>
        <w:tab/>
      </w:r>
      <w:r w:rsidRPr="008D238D">
        <w:rPr>
          <w:lang w:val="fr-FR"/>
        </w:rPr>
        <w:t>Proposition de</w:t>
      </w:r>
      <w:r>
        <w:rPr>
          <w:lang w:val="fr-FR"/>
        </w:rPr>
        <w:t xml:space="preserve"> nouveau</w:t>
      </w:r>
      <w:r w:rsidRPr="008D238D">
        <w:rPr>
          <w:lang w:val="fr-FR"/>
        </w:rPr>
        <w:t xml:space="preserve"> complément à la sé</w:t>
      </w:r>
      <w:r>
        <w:rPr>
          <w:lang w:val="fr-FR"/>
        </w:rPr>
        <w:t>rie</w:t>
      </w:r>
      <w:r w:rsidRPr="008D238D">
        <w:rPr>
          <w:lang w:val="fr-FR"/>
        </w:rPr>
        <w:t xml:space="preserve"> 04 </w:t>
      </w:r>
      <w:r>
        <w:rPr>
          <w:lang w:val="fr-FR"/>
        </w:rPr>
        <w:t>d</w:t>
      </w:r>
      <w:r>
        <w:rPr>
          <w:lang w:val="fr-FR"/>
        </w:rPr>
        <w:t>’</w:t>
      </w:r>
      <w:r>
        <w:rPr>
          <w:lang w:val="fr-FR"/>
        </w:rPr>
        <w:t>amendements au Règlement ONU n</w:t>
      </w:r>
      <w:r w:rsidRPr="00827423">
        <w:rPr>
          <w:vertAlign w:val="superscript"/>
          <w:lang w:val="fr-FR"/>
        </w:rPr>
        <w:t>o</w:t>
      </w:r>
      <w:r w:rsidRPr="008D238D">
        <w:rPr>
          <w:lang w:val="fr-FR"/>
        </w:rPr>
        <w:t xml:space="preserve"> 46 </w:t>
      </w:r>
      <w:r>
        <w:rPr>
          <w:lang w:val="fr-FR"/>
        </w:rPr>
        <w:br/>
      </w:r>
      <w:r w:rsidRPr="008D238D">
        <w:rPr>
          <w:lang w:val="fr-FR"/>
        </w:rPr>
        <w:t>(</w:t>
      </w:r>
      <w:r>
        <w:rPr>
          <w:lang w:val="fr-FR"/>
        </w:rPr>
        <w:t>Systèmes de vision indirecte</w:t>
      </w:r>
      <w:r w:rsidRPr="008D238D">
        <w:rPr>
          <w:lang w:val="fr-FR"/>
        </w:rPr>
        <w:t>)</w:t>
      </w:r>
    </w:p>
    <w:p w:rsidR="009E246C" w:rsidRPr="009F216C" w:rsidRDefault="009E246C" w:rsidP="009E246C">
      <w:pPr>
        <w:pStyle w:val="H1G"/>
        <w:rPr>
          <w:vertAlign w:val="superscript"/>
          <w:lang w:val="fr-FR"/>
        </w:rPr>
      </w:pPr>
      <w:r>
        <w:rPr>
          <w:lang w:val="fr-FR"/>
        </w:rPr>
        <w:tab/>
      </w:r>
      <w:r>
        <w:rPr>
          <w:lang w:val="fr-FR"/>
        </w:rPr>
        <w:tab/>
      </w:r>
      <w:r w:rsidRPr="009F216C">
        <w:rPr>
          <w:lang w:val="fr-FR"/>
        </w:rPr>
        <w:t>Communication de l</w:t>
      </w:r>
      <w:r>
        <w:rPr>
          <w:lang w:val="fr-FR"/>
        </w:rPr>
        <w:t>’</w:t>
      </w:r>
      <w:r w:rsidRPr="009F216C">
        <w:rPr>
          <w:lang w:val="fr-FR"/>
        </w:rPr>
        <w:t>expert de l</w:t>
      </w:r>
      <w:r>
        <w:rPr>
          <w:lang w:val="fr-FR"/>
        </w:rPr>
        <w:t>’</w:t>
      </w:r>
      <w:r w:rsidRPr="009F216C">
        <w:rPr>
          <w:lang w:val="fr-FR"/>
        </w:rPr>
        <w:t>Italie</w:t>
      </w:r>
      <w:r w:rsidRPr="009E246C">
        <w:rPr>
          <w:rStyle w:val="Appelnotedebasdep"/>
          <w:b w:val="0"/>
          <w:bCs/>
          <w:sz w:val="20"/>
          <w:vertAlign w:val="baseline"/>
        </w:rPr>
        <w:footnoteReference w:customMarkFollows="1" w:id="2"/>
        <w:t>*</w:t>
      </w:r>
    </w:p>
    <w:p w:rsidR="009E246C" w:rsidRDefault="00E96D6C" w:rsidP="00E96D6C">
      <w:pPr>
        <w:pStyle w:val="SingleTxtG"/>
        <w:rPr>
          <w:lang w:val="fr-FR"/>
        </w:rPr>
      </w:pPr>
      <w:r>
        <w:rPr>
          <w:lang w:val="fr-FR"/>
        </w:rPr>
        <w:tab/>
      </w:r>
      <w:r w:rsidR="009E246C" w:rsidRPr="009A7DC4">
        <w:rPr>
          <w:lang w:val="fr-FR"/>
        </w:rPr>
        <w:t>Le texte ci-après, établi par l</w:t>
      </w:r>
      <w:r w:rsidR="009E246C">
        <w:rPr>
          <w:lang w:val="fr-FR"/>
        </w:rPr>
        <w:t>’</w:t>
      </w:r>
      <w:r w:rsidR="009E246C" w:rsidRPr="009A7DC4">
        <w:rPr>
          <w:lang w:val="fr-FR"/>
        </w:rPr>
        <w:t>expert de l</w:t>
      </w:r>
      <w:r w:rsidR="009E246C">
        <w:rPr>
          <w:lang w:val="fr-FR"/>
        </w:rPr>
        <w:t>’</w:t>
      </w:r>
      <w:r w:rsidR="009E246C" w:rsidRPr="009A7DC4">
        <w:rPr>
          <w:lang w:val="fr-FR"/>
        </w:rPr>
        <w:t>Italie, vise à adapter le</w:t>
      </w:r>
      <w:r w:rsidR="009E246C">
        <w:rPr>
          <w:lang w:val="fr-FR"/>
        </w:rPr>
        <w:t>s dispositions du Règlement ONU n</w:t>
      </w:r>
      <w:r w:rsidR="009E246C" w:rsidRPr="00C45625">
        <w:rPr>
          <w:vertAlign w:val="superscript"/>
          <w:lang w:val="fr-FR"/>
        </w:rPr>
        <w:t>o</w:t>
      </w:r>
      <w:r w:rsidR="009E246C" w:rsidRPr="009A7DC4">
        <w:rPr>
          <w:lang w:val="fr-FR"/>
        </w:rPr>
        <w:t xml:space="preserve"> 46 </w:t>
      </w:r>
      <w:r w:rsidR="009E246C">
        <w:rPr>
          <w:lang w:val="fr-FR"/>
        </w:rPr>
        <w:t>de façon à permettre l</w:t>
      </w:r>
      <w:r w:rsidR="009E246C">
        <w:rPr>
          <w:lang w:val="fr-FR"/>
        </w:rPr>
        <w:t>’</w:t>
      </w:r>
      <w:r w:rsidR="009E246C">
        <w:rPr>
          <w:lang w:val="fr-FR"/>
        </w:rPr>
        <w:t xml:space="preserve">utilisation de rétroviseurs </w:t>
      </w:r>
      <w:r w:rsidR="009E246C" w:rsidRPr="00685914">
        <w:rPr>
          <w:lang w:val="fr-FR"/>
        </w:rPr>
        <w:t xml:space="preserve">à </w:t>
      </w:r>
      <w:r w:rsidR="009E246C" w:rsidRPr="00617C4E">
        <w:rPr>
          <w:lang w:val="fr-FR"/>
        </w:rPr>
        <w:t>surfa</w:t>
      </w:r>
      <w:r w:rsidR="009E246C">
        <w:rPr>
          <w:lang w:val="fr-FR"/>
        </w:rPr>
        <w:t>ce</w:t>
      </w:r>
      <w:r w:rsidR="009E246C" w:rsidRPr="00617C4E">
        <w:rPr>
          <w:lang w:val="fr-FR"/>
        </w:rPr>
        <w:t xml:space="preserve"> </w:t>
      </w:r>
      <w:r>
        <w:rPr>
          <w:lang w:val="fr-FR"/>
        </w:rPr>
        <w:t>« </w:t>
      </w:r>
      <w:r w:rsidR="009E246C" w:rsidRPr="00617C4E">
        <w:rPr>
          <w:lang w:val="fr-FR"/>
        </w:rPr>
        <w:t>free form</w:t>
      </w:r>
      <w:r>
        <w:rPr>
          <w:lang w:val="fr-FR"/>
        </w:rPr>
        <w:t> »</w:t>
      </w:r>
      <w:r w:rsidR="009E246C">
        <w:rPr>
          <w:lang w:val="fr-FR"/>
        </w:rPr>
        <w:t xml:space="preserve"> à la place de rétroviseurs à miroir sphérique</w:t>
      </w:r>
      <w:r w:rsidR="009E246C" w:rsidRPr="009A7DC4">
        <w:rPr>
          <w:lang w:val="fr-FR"/>
        </w:rPr>
        <w:t xml:space="preserve">. </w:t>
      </w:r>
      <w:r w:rsidR="009E246C" w:rsidRPr="00BC2461">
        <w:rPr>
          <w:lang w:val="fr-FR"/>
        </w:rPr>
        <w:t>Il est fondé sur les documents informels GRSG-117-16 et GRSG-117-17, présentés à la 117</w:t>
      </w:r>
      <w:r w:rsidR="009E246C" w:rsidRPr="00681F36">
        <w:rPr>
          <w:vertAlign w:val="superscript"/>
          <w:lang w:val="fr-FR"/>
        </w:rPr>
        <w:t>e</w:t>
      </w:r>
      <w:r w:rsidR="009E246C" w:rsidRPr="00BC2461">
        <w:rPr>
          <w:lang w:val="fr-FR"/>
        </w:rPr>
        <w:t xml:space="preserve"> session du Grou</w:t>
      </w:r>
      <w:r w:rsidR="009E246C">
        <w:rPr>
          <w:lang w:val="fr-FR"/>
        </w:rPr>
        <w:t>pe de travail des dispositions générales de sécurité</w:t>
      </w:r>
      <w:r w:rsidR="009E246C" w:rsidRPr="00BC2461">
        <w:rPr>
          <w:lang w:val="fr-FR"/>
        </w:rPr>
        <w:t xml:space="preserve"> (GRSG) (</w:t>
      </w:r>
      <w:r w:rsidR="009E246C">
        <w:rPr>
          <w:lang w:val="fr-FR"/>
        </w:rPr>
        <w:t>voir rapport</w:t>
      </w:r>
      <w:r w:rsidR="009E246C" w:rsidRPr="00BC2461">
        <w:rPr>
          <w:lang w:val="fr-FR"/>
        </w:rPr>
        <w:t xml:space="preserve"> ECE/TRANS/WP.29/</w:t>
      </w:r>
      <w:r>
        <w:rPr>
          <w:lang w:val="fr-FR"/>
        </w:rPr>
        <w:br/>
      </w:r>
      <w:r w:rsidR="009E246C" w:rsidRPr="00BC2461">
        <w:rPr>
          <w:lang w:val="fr-FR"/>
        </w:rPr>
        <w:t xml:space="preserve">GRSG/96, par. </w:t>
      </w:r>
      <w:r w:rsidR="009E246C" w:rsidRPr="00796B50">
        <w:rPr>
          <w:lang w:val="fr-FR"/>
        </w:rPr>
        <w:t>32). Les modifications qu</w:t>
      </w:r>
      <w:r w:rsidR="009E246C">
        <w:rPr>
          <w:lang w:val="fr-FR"/>
        </w:rPr>
        <w:t>’</w:t>
      </w:r>
      <w:r w:rsidR="009E246C" w:rsidRPr="00796B50">
        <w:rPr>
          <w:lang w:val="fr-FR"/>
        </w:rPr>
        <w:t>il est proposé d</w:t>
      </w:r>
      <w:r w:rsidR="009E246C">
        <w:rPr>
          <w:lang w:val="fr-FR"/>
        </w:rPr>
        <w:t>’</w:t>
      </w:r>
      <w:r w:rsidR="009E246C" w:rsidRPr="00796B50">
        <w:rPr>
          <w:lang w:val="fr-FR"/>
        </w:rPr>
        <w:t xml:space="preserve">apporter au texte actuel du Règlement </w:t>
      </w:r>
      <w:r>
        <w:rPr>
          <w:lang w:val="fr-FR"/>
        </w:rPr>
        <w:t xml:space="preserve">ONU </w:t>
      </w:r>
      <w:r w:rsidR="009E246C">
        <w:rPr>
          <w:lang w:val="fr-FR"/>
        </w:rPr>
        <w:t>n</w:t>
      </w:r>
      <w:r w:rsidR="009E246C" w:rsidRPr="00681F36">
        <w:rPr>
          <w:vertAlign w:val="superscript"/>
          <w:lang w:val="fr-FR"/>
        </w:rPr>
        <w:t>o</w:t>
      </w:r>
      <w:r w:rsidR="009E246C">
        <w:rPr>
          <w:lang w:val="fr-FR"/>
        </w:rPr>
        <w:t> 46</w:t>
      </w:r>
      <w:r w:rsidR="009E246C" w:rsidRPr="00796B50">
        <w:rPr>
          <w:lang w:val="fr-FR"/>
        </w:rPr>
        <w:t xml:space="preserve"> figurent en caractères gras pour les ajouts et biffés pour les suppressions.</w:t>
      </w:r>
    </w:p>
    <w:p w:rsidR="009E246C" w:rsidRPr="00391368" w:rsidRDefault="009E246C" w:rsidP="00E96D6C">
      <w:pPr>
        <w:pStyle w:val="HChG"/>
        <w:rPr>
          <w:lang w:val="fr-FR"/>
        </w:rPr>
      </w:pPr>
      <w:r w:rsidRPr="00796B50">
        <w:rPr>
          <w:lang w:val="fr-FR"/>
        </w:rPr>
        <w:br w:type="page"/>
      </w:r>
      <w:r w:rsidRPr="00796B50">
        <w:rPr>
          <w:lang w:val="fr-FR"/>
        </w:rPr>
        <w:lastRenderedPageBreak/>
        <w:tab/>
      </w:r>
      <w:r w:rsidRPr="00391368">
        <w:rPr>
          <w:lang w:val="fr-FR"/>
        </w:rPr>
        <w:t>I.</w:t>
      </w:r>
      <w:r w:rsidRPr="00391368">
        <w:rPr>
          <w:lang w:val="fr-FR"/>
        </w:rPr>
        <w:tab/>
        <w:t>Proposition</w:t>
      </w:r>
    </w:p>
    <w:p w:rsidR="009E246C" w:rsidRPr="00391368" w:rsidRDefault="009E246C" w:rsidP="00E96D6C">
      <w:pPr>
        <w:pStyle w:val="SingleTxtG"/>
        <w:rPr>
          <w:lang w:val="fr-FR"/>
        </w:rPr>
      </w:pPr>
      <w:bookmarkStart w:id="0" w:name="__DdeLink__9642_1795226899"/>
      <w:r w:rsidRPr="00E96D6C">
        <w:rPr>
          <w:i/>
          <w:iCs/>
          <w:lang w:val="fr-FR"/>
        </w:rPr>
        <w:t>Paragraphes 2.1.1.7 à 2.1.1.9</w:t>
      </w:r>
      <w:r w:rsidRPr="00391368">
        <w:rPr>
          <w:lang w:val="fr-FR"/>
        </w:rPr>
        <w:t>,</w:t>
      </w:r>
      <w:bookmarkEnd w:id="0"/>
      <w:r w:rsidRPr="00391368">
        <w:rPr>
          <w:lang w:val="fr-FR"/>
        </w:rPr>
        <w:t xml:space="preserve"> lire :</w:t>
      </w:r>
    </w:p>
    <w:p w:rsidR="009E246C" w:rsidRPr="00347F28" w:rsidRDefault="009E246C" w:rsidP="00A77F38">
      <w:pPr>
        <w:pStyle w:val="SingleTxtG"/>
        <w:ind w:left="2268" w:hanging="1134"/>
        <w:rPr>
          <w:lang w:val="fr-FR"/>
        </w:rPr>
      </w:pPr>
      <w:bookmarkStart w:id="1" w:name="A0_S6_4_"/>
      <w:r w:rsidRPr="00391368">
        <w:rPr>
          <w:lang w:val="fr-FR"/>
        </w:rPr>
        <w:t>« 2.1.</w:t>
      </w:r>
      <w:bookmarkEnd w:id="1"/>
      <w:r w:rsidRPr="00391368">
        <w:rPr>
          <w:lang w:val="fr-FR"/>
        </w:rPr>
        <w:t>1.7</w:t>
      </w:r>
      <w:r w:rsidRPr="00391368">
        <w:rPr>
          <w:lang w:val="fr-FR"/>
        </w:rPr>
        <w:tab/>
      </w:r>
      <w:r w:rsidRPr="00347F28">
        <w:rPr>
          <w:lang w:val="fr-FR"/>
        </w:rPr>
        <w:t xml:space="preserve">Par </w:t>
      </w:r>
      <w:r w:rsidR="00C4603B">
        <w:t>“</w:t>
      </w:r>
      <w:r w:rsidRPr="00347F28">
        <w:rPr>
          <w:lang w:val="fr-FR"/>
        </w:rPr>
        <w:t>surface sphérique</w:t>
      </w:r>
      <w:r w:rsidR="00C4603B">
        <w:t>”</w:t>
      </w:r>
      <w:r w:rsidRPr="00347F28">
        <w:rPr>
          <w:lang w:val="fr-FR"/>
        </w:rPr>
        <w:t xml:space="preserve">, on désigne une surface </w:t>
      </w:r>
      <w:r w:rsidRPr="00347F28">
        <w:rPr>
          <w:b/>
          <w:bCs/>
          <w:lang w:val="fr-FR"/>
        </w:rPr>
        <w:t>convexe</w:t>
      </w:r>
      <w:r w:rsidRPr="00347F28">
        <w:rPr>
          <w:lang w:val="fr-FR"/>
        </w:rPr>
        <w:t xml:space="preserve"> qui présente</w:t>
      </w:r>
      <w:r w:rsidRPr="00665A15">
        <w:rPr>
          <w:strike/>
          <w:lang w:val="fr-FR"/>
        </w:rPr>
        <w:t xml:space="preserve"> </w:t>
      </w:r>
      <w:r w:rsidRPr="00347F28">
        <w:rPr>
          <w:strike/>
          <w:lang w:val="fr-FR"/>
        </w:rPr>
        <w:t>un rayon constant et égal dans toutes les directions</w:t>
      </w:r>
      <w:r w:rsidRPr="00347F28">
        <w:rPr>
          <w:b/>
          <w:bCs/>
          <w:lang w:val="fr-FR"/>
        </w:rPr>
        <w:t>, d</w:t>
      </w:r>
      <w:r>
        <w:rPr>
          <w:b/>
          <w:bCs/>
          <w:lang w:val="fr-FR"/>
        </w:rPr>
        <w:t>ans les axes horizontal et vertical</w:t>
      </w:r>
      <w:r w:rsidRPr="00347F28">
        <w:rPr>
          <w:b/>
          <w:bCs/>
          <w:lang w:val="fr-FR"/>
        </w:rPr>
        <w:t xml:space="preserve">, </w:t>
      </w:r>
      <w:r>
        <w:rPr>
          <w:b/>
          <w:bCs/>
          <w:lang w:val="fr-FR"/>
        </w:rPr>
        <w:t>un rayon de courbure mesuré conformes aux dispositions énoncées aux paragraphes</w:t>
      </w:r>
      <w:r w:rsidRPr="00347F28">
        <w:rPr>
          <w:b/>
          <w:bCs/>
          <w:lang w:val="fr-FR"/>
        </w:rPr>
        <w:t xml:space="preserve"> 6.1.2.2.2 </w:t>
      </w:r>
      <w:r>
        <w:rPr>
          <w:b/>
          <w:bCs/>
          <w:lang w:val="fr-FR"/>
        </w:rPr>
        <w:t>et</w:t>
      </w:r>
      <w:r w:rsidRPr="00347F28">
        <w:rPr>
          <w:b/>
          <w:bCs/>
          <w:lang w:val="fr-FR"/>
        </w:rPr>
        <w:t xml:space="preserve"> 6.1.2.2.4.</w:t>
      </w:r>
    </w:p>
    <w:p w:rsidR="009E246C" w:rsidRPr="005E066D" w:rsidRDefault="009E246C" w:rsidP="00A77F38">
      <w:pPr>
        <w:pStyle w:val="SingleTxtG"/>
        <w:ind w:left="2268" w:hanging="1134"/>
        <w:rPr>
          <w:lang w:val="fr-FR"/>
        </w:rPr>
      </w:pPr>
      <w:r w:rsidRPr="00EA59C9">
        <w:rPr>
          <w:lang w:val="fr-FR"/>
        </w:rPr>
        <w:t>2.1.1.8</w:t>
      </w:r>
      <w:r w:rsidRPr="00EA59C9">
        <w:rPr>
          <w:lang w:val="fr-FR"/>
        </w:rPr>
        <w:tab/>
      </w:r>
      <w:r w:rsidRPr="005E066D">
        <w:rPr>
          <w:lang w:val="fr-FR"/>
        </w:rPr>
        <w:t xml:space="preserve">Par </w:t>
      </w:r>
      <w:r w:rsidR="00C4603B">
        <w:t>“</w:t>
      </w:r>
      <w:r w:rsidRPr="005E066D">
        <w:rPr>
          <w:lang w:val="fr-FR"/>
        </w:rPr>
        <w:t>surface asphérique</w:t>
      </w:r>
      <w:r w:rsidR="00C4603B">
        <w:t>”</w:t>
      </w:r>
      <w:r w:rsidRPr="005E066D">
        <w:rPr>
          <w:lang w:val="fr-FR"/>
        </w:rPr>
        <w:t xml:space="preserve">, on désigne une surface </w:t>
      </w:r>
      <w:r w:rsidRPr="005E066D">
        <w:rPr>
          <w:b/>
          <w:bCs/>
          <w:lang w:val="fr-FR"/>
        </w:rPr>
        <w:t>convexe</w:t>
      </w:r>
      <w:r w:rsidRPr="005E066D">
        <w:rPr>
          <w:lang w:val="fr-FR"/>
        </w:rPr>
        <w:t xml:space="preserve"> qui</w:t>
      </w:r>
      <w:r w:rsidRPr="00665A15">
        <w:rPr>
          <w:strike/>
          <w:lang w:val="fr-FR"/>
        </w:rPr>
        <w:t xml:space="preserve"> </w:t>
      </w:r>
      <w:r w:rsidRPr="005E066D">
        <w:rPr>
          <w:strike/>
          <w:lang w:val="fr-FR"/>
        </w:rPr>
        <w:t>ne présente un rayon constant que dans un seul</w:t>
      </w:r>
      <w:r>
        <w:rPr>
          <w:strike/>
          <w:lang w:val="fr-FR"/>
        </w:rPr>
        <w:t xml:space="preserve"> plan</w:t>
      </w:r>
      <w:r w:rsidRPr="005E066D">
        <w:rPr>
          <w:lang w:val="fr-FR"/>
        </w:rPr>
        <w:t xml:space="preserve"> </w:t>
      </w:r>
      <w:r>
        <w:rPr>
          <w:b/>
          <w:bCs/>
          <w:lang w:val="fr-FR"/>
        </w:rPr>
        <w:t xml:space="preserve">peut présenter un rayon de courbure variable dans les </w:t>
      </w:r>
      <w:r w:rsidRPr="00F24F71">
        <w:rPr>
          <w:b/>
          <w:bCs/>
          <w:lang w:val="fr-FR"/>
        </w:rPr>
        <w:t>axes horizontal et vertical</w:t>
      </w:r>
      <w:r w:rsidRPr="005E066D">
        <w:rPr>
          <w:b/>
          <w:bCs/>
          <w:lang w:val="fr-FR"/>
        </w:rPr>
        <w:t>.</w:t>
      </w:r>
    </w:p>
    <w:p w:rsidR="009E246C" w:rsidRDefault="009E246C" w:rsidP="00A77F38">
      <w:pPr>
        <w:pStyle w:val="SingleTxtG"/>
        <w:ind w:left="2268" w:hanging="1134"/>
        <w:rPr>
          <w:lang w:val="fr-FR"/>
        </w:rPr>
      </w:pPr>
      <w:bookmarkStart w:id="2" w:name="A0_S6_4_2_"/>
      <w:r w:rsidRPr="00EA59C9">
        <w:rPr>
          <w:lang w:val="fr-FR"/>
        </w:rPr>
        <w:t>2.1.1.</w:t>
      </w:r>
      <w:bookmarkEnd w:id="2"/>
      <w:r w:rsidRPr="00EA59C9">
        <w:rPr>
          <w:lang w:val="fr-FR"/>
        </w:rPr>
        <w:t>9</w:t>
      </w:r>
      <w:r w:rsidRPr="00EA59C9">
        <w:rPr>
          <w:lang w:val="fr-FR"/>
        </w:rPr>
        <w:tab/>
      </w:r>
      <w:r w:rsidRPr="00A43922">
        <w:rPr>
          <w:lang w:val="fr-FR"/>
        </w:rPr>
        <w:t xml:space="preserve">Par </w:t>
      </w:r>
      <w:r w:rsidR="00C4603B">
        <w:t>“</w:t>
      </w:r>
      <w:r w:rsidRPr="00A43922">
        <w:rPr>
          <w:lang w:val="fr-FR"/>
        </w:rPr>
        <w:t>rétroviseur/antéviseur asphérique</w:t>
      </w:r>
      <w:r w:rsidR="00C4603B">
        <w:t>”</w:t>
      </w:r>
      <w:r w:rsidRPr="00A43922">
        <w:rPr>
          <w:lang w:val="fr-FR"/>
        </w:rPr>
        <w:t>, on désigne un rétroviseur/antéviseur composé d</w:t>
      </w:r>
      <w:r>
        <w:rPr>
          <w:lang w:val="fr-FR"/>
        </w:rPr>
        <w:t>’</w:t>
      </w:r>
      <w:r w:rsidRPr="00A43922">
        <w:rPr>
          <w:lang w:val="fr-FR"/>
        </w:rPr>
        <w:t>une portion sphérique et d</w:t>
      </w:r>
      <w:r>
        <w:rPr>
          <w:lang w:val="fr-FR"/>
        </w:rPr>
        <w:t>’</w:t>
      </w:r>
      <w:r w:rsidRPr="00A43922">
        <w:rPr>
          <w:lang w:val="fr-FR"/>
        </w:rPr>
        <w:t>une portion asphérique</w:t>
      </w:r>
      <w:r w:rsidRPr="00A43922">
        <w:rPr>
          <w:b/>
          <w:bCs/>
          <w:lang w:val="fr-FR"/>
        </w:rPr>
        <w:t xml:space="preserve">, </w:t>
      </w:r>
      <w:r>
        <w:rPr>
          <w:b/>
          <w:bCs/>
          <w:lang w:val="fr-FR"/>
        </w:rPr>
        <w:t>au sens des</w:t>
      </w:r>
      <w:r w:rsidRPr="00A43922">
        <w:rPr>
          <w:b/>
          <w:bCs/>
          <w:lang w:val="fr-FR"/>
        </w:rPr>
        <w:t xml:space="preserve"> paragraphes 2.1.1.7 et 2.1.1.8, respectivement</w:t>
      </w:r>
      <w:r>
        <w:rPr>
          <w:b/>
          <w:bCs/>
          <w:lang w:val="fr-FR"/>
        </w:rPr>
        <w:t>,</w:t>
      </w:r>
      <w:r w:rsidRPr="00A43922">
        <w:rPr>
          <w:lang w:val="fr-FR"/>
        </w:rPr>
        <w:t xml:space="preserve"> </w:t>
      </w:r>
      <w:r>
        <w:rPr>
          <w:lang w:val="fr-FR"/>
        </w:rPr>
        <w:t>sur lequel la transition entre la portion sphérique et la portion asphérique de la surface réfléchissante doit être marquée</w:t>
      </w:r>
      <w:r w:rsidRPr="00A43922">
        <w:rPr>
          <w:lang w:val="fr-FR"/>
        </w:rPr>
        <w:t xml:space="preserve">. </w:t>
      </w:r>
      <w:r>
        <w:rPr>
          <w:bCs/>
          <w:lang w:val="fr-FR"/>
        </w:rPr>
        <w:t>L</w:t>
      </w:r>
      <w:r w:rsidRPr="002629CD">
        <w:rPr>
          <w:bCs/>
          <w:lang w:val="fr-FR"/>
        </w:rPr>
        <w:t>a</w:t>
      </w:r>
      <w:r w:rsidRPr="002629CD">
        <w:rPr>
          <w:lang w:val="fr-FR"/>
        </w:rPr>
        <w:t xml:space="preserve"> courbure de l</w:t>
      </w:r>
      <w:r>
        <w:rPr>
          <w:lang w:val="fr-FR"/>
        </w:rPr>
        <w:t>’</w:t>
      </w:r>
      <w:r w:rsidRPr="002629CD">
        <w:rPr>
          <w:lang w:val="fr-FR"/>
        </w:rPr>
        <w:t xml:space="preserve">axe principal du rétroviseur/antéviseur </w:t>
      </w:r>
      <w:r w:rsidRPr="002629CD">
        <w:rPr>
          <w:strike/>
          <w:lang w:val="fr-FR"/>
        </w:rPr>
        <w:t>est</w:t>
      </w:r>
      <w:r w:rsidRPr="00A77F38">
        <w:rPr>
          <w:strike/>
          <w:lang w:val="fr-FR"/>
        </w:rPr>
        <w:t xml:space="preserve"> </w:t>
      </w:r>
      <w:r w:rsidRPr="002629CD">
        <w:rPr>
          <w:b/>
          <w:bCs/>
          <w:lang w:val="fr-FR"/>
        </w:rPr>
        <w:t>peut</w:t>
      </w:r>
      <w:r>
        <w:rPr>
          <w:b/>
          <w:bCs/>
          <w:lang w:val="fr-FR"/>
        </w:rPr>
        <w:t xml:space="preserve"> ainsi être</w:t>
      </w:r>
      <w:r w:rsidRPr="002629CD">
        <w:rPr>
          <w:lang w:val="fr-FR"/>
        </w:rPr>
        <w:t xml:space="preserve"> d</w:t>
      </w:r>
      <w:r>
        <w:rPr>
          <w:lang w:val="fr-FR"/>
        </w:rPr>
        <w:t>éfinie, dans le système de coordonnées x/y, par le rayon de la calotte sphérique primaire selon la formule </w:t>
      </w:r>
      <w:r w:rsidRPr="002629CD">
        <w:rPr>
          <w:lang w:val="fr-FR"/>
        </w:rPr>
        <w:t>:</w:t>
      </w:r>
    </w:p>
    <w:p w:rsidR="00A77F38" w:rsidRPr="00F44B23" w:rsidRDefault="00651042" w:rsidP="00A77F38">
      <w:pPr>
        <w:pStyle w:val="SingleTxtG"/>
        <w:ind w:left="2268" w:hanging="1134"/>
        <w:rPr>
          <w:iCs/>
          <w:lang w:val="fr-FR"/>
        </w:rPr>
      </w:pPr>
      <w:r>
        <w:rPr>
          <w:lang w:val="fr-FR"/>
        </w:rPr>
        <w:tab/>
      </w:r>
      <w:r>
        <w:rPr>
          <w:lang w:val="fr-FR"/>
        </w:rPr>
        <w:tab/>
      </w:r>
      <w:r>
        <w:rPr>
          <w:lang w:val="fr-FR"/>
        </w:rPr>
        <w:tab/>
      </w:r>
      <m:oMath>
        <m:r>
          <m:rPr>
            <m:sty m:val="p"/>
          </m:rPr>
          <w:rPr>
            <w:rFonts w:ascii="Cambria Math" w:hAnsi="Cambria Math"/>
            <w:lang w:val="fr-FR"/>
          </w:rPr>
          <m:t xml:space="preserve">y=R- </m:t>
        </m:r>
        <m:rad>
          <m:radPr>
            <m:degHide m:val="1"/>
            <m:ctrlPr>
              <w:rPr>
                <w:rFonts w:ascii="Cambria Math" w:hAnsi="Cambria Math"/>
                <w:iCs/>
                <w:lang w:val="fr-FR"/>
              </w:rPr>
            </m:ctrlPr>
          </m:radPr>
          <m:deg/>
          <m:e>
            <m:d>
              <m:dPr>
                <m:ctrlPr>
                  <w:rPr>
                    <w:rFonts w:ascii="Cambria Math" w:hAnsi="Cambria Math"/>
                    <w:iCs/>
                    <w:lang w:val="fr-FR"/>
                  </w:rPr>
                </m:ctrlPr>
              </m:dPr>
              <m:e>
                <m:sSup>
                  <m:sSupPr>
                    <m:ctrlPr>
                      <w:rPr>
                        <w:rFonts w:ascii="Cambria Math" w:hAnsi="Cambria Math"/>
                        <w:iCs/>
                        <w:lang w:val="fr-FR"/>
                      </w:rPr>
                    </m:ctrlPr>
                  </m:sSupPr>
                  <m:e>
                    <m:r>
                      <m:rPr>
                        <m:sty m:val="p"/>
                      </m:rPr>
                      <w:rPr>
                        <w:rFonts w:ascii="Cambria Math" w:hAnsi="Cambria Math"/>
                        <w:lang w:val="fr-FR"/>
                      </w:rPr>
                      <m:t>R</m:t>
                    </m:r>
                  </m:e>
                  <m:sup>
                    <m:r>
                      <m:rPr>
                        <m:sty m:val="p"/>
                      </m:rPr>
                      <w:rPr>
                        <w:rFonts w:ascii="Cambria Math" w:hAnsi="Cambria Math"/>
                        <w:lang w:val="fr-FR"/>
                      </w:rPr>
                      <m:t>2</m:t>
                    </m:r>
                  </m:sup>
                </m:sSup>
                <m:r>
                  <m:rPr>
                    <m:sty m:val="p"/>
                  </m:rPr>
                  <w:rPr>
                    <w:rFonts w:ascii="Cambria Math" w:hAnsi="Cambria Math"/>
                    <w:lang w:val="fr-FR"/>
                  </w:rPr>
                  <m:t xml:space="preserve">- </m:t>
                </m:r>
                <m:sSup>
                  <m:sSupPr>
                    <m:ctrlPr>
                      <w:rPr>
                        <w:rFonts w:ascii="Cambria Math" w:hAnsi="Cambria Math"/>
                        <w:iCs/>
                        <w:lang w:val="fr-FR"/>
                      </w:rPr>
                    </m:ctrlPr>
                  </m:sSupPr>
                  <m:e>
                    <m:r>
                      <m:rPr>
                        <m:sty m:val="p"/>
                      </m:rPr>
                      <w:rPr>
                        <w:rFonts w:ascii="Cambria Math" w:hAnsi="Cambria Math"/>
                        <w:lang w:val="fr-FR"/>
                      </w:rPr>
                      <m:t>x</m:t>
                    </m:r>
                  </m:e>
                  <m:sup>
                    <m:r>
                      <m:rPr>
                        <m:sty m:val="p"/>
                      </m:rPr>
                      <w:rPr>
                        <w:rFonts w:ascii="Cambria Math" w:hAnsi="Cambria Math"/>
                        <w:lang w:val="fr-FR"/>
                      </w:rPr>
                      <m:t>2</m:t>
                    </m:r>
                  </m:sup>
                </m:sSup>
              </m:e>
            </m:d>
            <m:r>
              <m:rPr>
                <m:sty m:val="p"/>
              </m:rPr>
              <w:rPr>
                <w:rFonts w:ascii="Cambria Math" w:hAnsi="Cambria Math"/>
                <w:lang w:val="fr-FR"/>
              </w:rPr>
              <m:t>+k (x-a</m:t>
            </m:r>
          </m:e>
        </m:rad>
        <m:sSup>
          <m:sSupPr>
            <m:ctrlPr>
              <w:rPr>
                <w:rFonts w:ascii="Cambria Math" w:hAnsi="Cambria Math"/>
                <w:iCs/>
                <w:lang w:val="fr-FR"/>
              </w:rPr>
            </m:ctrlPr>
          </m:sSupPr>
          <m:e>
            <m:r>
              <m:rPr>
                <m:sty m:val="p"/>
              </m:rPr>
              <w:rPr>
                <w:rFonts w:ascii="Cambria Math" w:hAnsi="Cambria Math"/>
                <w:lang w:val="fr-FR"/>
              </w:rPr>
              <m:t>)</m:t>
            </m:r>
          </m:e>
          <m:sup>
            <m:r>
              <m:rPr>
                <m:sty m:val="p"/>
              </m:rPr>
              <w:rPr>
                <w:rFonts w:ascii="Cambria Math" w:hAnsi="Cambria Math"/>
                <w:lang w:val="fr-FR"/>
              </w:rPr>
              <m:t>3</m:t>
            </m:r>
          </m:sup>
        </m:sSup>
      </m:oMath>
    </w:p>
    <w:p w:rsidR="009E246C" w:rsidRPr="00EA59C9" w:rsidRDefault="009E246C" w:rsidP="00F44B23">
      <w:pPr>
        <w:pStyle w:val="SingleTxtG"/>
        <w:ind w:left="2268" w:hanging="1134"/>
        <w:rPr>
          <w:lang w:val="fr-FR"/>
        </w:rPr>
      </w:pPr>
      <w:r w:rsidRPr="002629CD">
        <w:rPr>
          <w:lang w:val="fr-FR"/>
        </w:rPr>
        <w:tab/>
      </w:r>
      <w:r w:rsidRPr="002629CD">
        <w:rPr>
          <w:lang w:val="fr-FR"/>
        </w:rPr>
        <w:tab/>
      </w:r>
      <w:r w:rsidRPr="00EA59C9">
        <w:rPr>
          <w:lang w:val="fr-FR"/>
        </w:rPr>
        <w:t>où :</w:t>
      </w:r>
    </w:p>
    <w:p w:rsidR="009E246C" w:rsidRPr="00F6164A" w:rsidRDefault="009E246C" w:rsidP="00A77F38">
      <w:pPr>
        <w:pStyle w:val="SingleTxtG"/>
        <w:ind w:left="2268" w:hanging="1134"/>
        <w:rPr>
          <w:lang w:val="fr-FR"/>
        </w:rPr>
      </w:pPr>
      <w:r w:rsidRPr="00EA59C9">
        <w:rPr>
          <w:lang w:val="fr-FR"/>
        </w:rPr>
        <w:tab/>
      </w:r>
      <w:r w:rsidRPr="00F6164A">
        <w:rPr>
          <w:lang w:val="fr-FR"/>
        </w:rPr>
        <w:t>R</w:t>
      </w:r>
      <w:r w:rsidRPr="00F6164A">
        <w:rPr>
          <w:lang w:val="fr-FR"/>
        </w:rPr>
        <w:tab/>
        <w:t xml:space="preserve">Rayon nominal de la </w:t>
      </w:r>
      <w:r>
        <w:rPr>
          <w:lang w:val="fr-FR"/>
        </w:rPr>
        <w:t xml:space="preserve">partie </w:t>
      </w:r>
      <w:r w:rsidRPr="00F6164A">
        <w:rPr>
          <w:lang w:val="fr-FR"/>
        </w:rPr>
        <w:t>sphérique ;</w:t>
      </w:r>
    </w:p>
    <w:p w:rsidR="009E246C" w:rsidRPr="00F6164A" w:rsidRDefault="009E246C" w:rsidP="00A77F38">
      <w:pPr>
        <w:pStyle w:val="SingleTxtG"/>
        <w:ind w:left="2268" w:hanging="1134"/>
        <w:rPr>
          <w:lang w:val="fr-FR"/>
        </w:rPr>
      </w:pPr>
      <w:r w:rsidRPr="00F6164A">
        <w:rPr>
          <w:lang w:val="fr-FR"/>
        </w:rPr>
        <w:tab/>
        <w:t>k</w:t>
      </w:r>
      <w:r w:rsidRPr="00F6164A">
        <w:rPr>
          <w:lang w:val="fr-FR"/>
        </w:rPr>
        <w:tab/>
        <w:t>Constante pour la variation de la cou</w:t>
      </w:r>
      <w:r>
        <w:rPr>
          <w:lang w:val="fr-FR"/>
        </w:rPr>
        <w:t>rbure ;</w:t>
      </w:r>
    </w:p>
    <w:p w:rsidR="009E246C" w:rsidRPr="00F6164A" w:rsidRDefault="009E246C" w:rsidP="00F44B23">
      <w:pPr>
        <w:pStyle w:val="SingleTxtG"/>
        <w:ind w:left="2835" w:hanging="567"/>
      </w:pPr>
      <w:r w:rsidRPr="00F6164A">
        <w:rPr>
          <w:lang w:val="fr-FR"/>
        </w:rPr>
        <w:t>a</w:t>
      </w:r>
      <w:r w:rsidRPr="00F6164A">
        <w:rPr>
          <w:lang w:val="fr-FR"/>
        </w:rPr>
        <w:tab/>
        <w:t>Constante pour la dimension sphérique de la calotte sphérique pr</w:t>
      </w:r>
      <w:r>
        <w:rPr>
          <w:lang w:val="fr-FR"/>
        </w:rPr>
        <w:t>imaire</w:t>
      </w:r>
      <w:r>
        <w:t>. ».</w:t>
      </w:r>
    </w:p>
    <w:p w:rsidR="009E246C" w:rsidRPr="00EA59C9" w:rsidRDefault="009E246C" w:rsidP="00A77F38">
      <w:pPr>
        <w:pStyle w:val="SingleTxtG"/>
        <w:ind w:left="2268" w:hanging="1134"/>
        <w:rPr>
          <w:lang w:val="fr-FR"/>
        </w:rPr>
      </w:pPr>
      <w:r w:rsidRPr="00EA59C9">
        <w:rPr>
          <w:i/>
          <w:lang w:val="fr-FR"/>
        </w:rPr>
        <w:t xml:space="preserve">Paragraphe 6.1.2.2.1, </w:t>
      </w:r>
      <w:r w:rsidRPr="00EA59C9">
        <w:rPr>
          <w:iCs/>
          <w:lang w:val="fr-FR"/>
        </w:rPr>
        <w:t>lire </w:t>
      </w:r>
      <w:r w:rsidRPr="00EA59C9">
        <w:rPr>
          <w:lang w:val="fr-FR"/>
        </w:rPr>
        <w:t>:</w:t>
      </w:r>
    </w:p>
    <w:p w:rsidR="009E246C" w:rsidRPr="00DE758D" w:rsidRDefault="009E246C" w:rsidP="00A77F38">
      <w:pPr>
        <w:pStyle w:val="SingleTxtG"/>
        <w:ind w:left="2268" w:hanging="1134"/>
        <w:rPr>
          <w:b/>
          <w:color w:val="000000"/>
          <w:lang w:val="fr-FR"/>
        </w:rPr>
      </w:pPr>
      <w:r w:rsidRPr="00A81057">
        <w:rPr>
          <w:color w:val="000000"/>
          <w:lang w:val="fr-FR"/>
        </w:rPr>
        <w:t>« 6.1.2.2.1</w:t>
      </w:r>
      <w:r w:rsidRPr="00A81057">
        <w:rPr>
          <w:color w:val="000000"/>
          <w:lang w:val="fr-FR"/>
        </w:rPr>
        <w:tab/>
        <w:t>La surface réfléchissante d</w:t>
      </w:r>
      <w:r>
        <w:rPr>
          <w:b/>
          <w:color w:val="000000"/>
          <w:lang w:val="fr-FR"/>
        </w:rPr>
        <w:t>’</w:t>
      </w:r>
      <w:r w:rsidRPr="00A81057">
        <w:rPr>
          <w:color w:val="000000"/>
          <w:lang w:val="fr-FR"/>
        </w:rPr>
        <w:t xml:space="preserve">un rétroviseur doit être plane ou </w:t>
      </w:r>
      <w:r w:rsidRPr="00A81057">
        <w:rPr>
          <w:strike/>
          <w:color w:val="000000"/>
          <w:lang w:val="fr-FR"/>
        </w:rPr>
        <w:t>sphérique</w:t>
      </w:r>
      <w:r w:rsidRPr="00A81057">
        <w:rPr>
          <w:color w:val="000000"/>
          <w:lang w:val="fr-FR"/>
        </w:rPr>
        <w:t xml:space="preserve"> conv</w:t>
      </w:r>
      <w:r>
        <w:rPr>
          <w:color w:val="000000"/>
          <w:lang w:val="fr-FR"/>
        </w:rPr>
        <w:t>exe</w:t>
      </w:r>
      <w:r w:rsidRPr="00A81057">
        <w:rPr>
          <w:color w:val="000000"/>
          <w:lang w:val="fr-FR"/>
        </w:rPr>
        <w:t xml:space="preserve">. </w:t>
      </w:r>
      <w:r w:rsidRPr="00DE758D">
        <w:rPr>
          <w:color w:val="000000"/>
          <w:lang w:val="fr-FR"/>
        </w:rPr>
        <w:t>Les rétroviseurs extérieurs peuvent être munis d</w:t>
      </w:r>
      <w:r>
        <w:rPr>
          <w:b/>
          <w:color w:val="000000"/>
          <w:lang w:val="fr-FR"/>
        </w:rPr>
        <w:t>’</w:t>
      </w:r>
      <w:r w:rsidRPr="00DE758D">
        <w:rPr>
          <w:color w:val="000000"/>
          <w:lang w:val="fr-FR"/>
        </w:rPr>
        <w:t xml:space="preserve">une partie asphérique additionnelle </w:t>
      </w:r>
      <w:r>
        <w:rPr>
          <w:color w:val="000000"/>
          <w:lang w:val="fr-FR"/>
        </w:rPr>
        <w:t>à condition que le miroir principal satisfasse aux prescriptions concernant le champ de vision indirecte</w:t>
      </w:r>
      <w:r w:rsidRPr="00DE758D">
        <w:rPr>
          <w:color w:val="000000"/>
          <w:lang w:val="fr-FR"/>
        </w:rPr>
        <w:t>.</w:t>
      </w:r>
      <w:r>
        <w:rPr>
          <w:color w:val="000000"/>
          <w:lang w:val="fr-FR"/>
        </w:rPr>
        <w:t> ».</w:t>
      </w:r>
    </w:p>
    <w:p w:rsidR="009E246C" w:rsidRPr="00EA59C9" w:rsidRDefault="009E246C" w:rsidP="00A77F38">
      <w:pPr>
        <w:pStyle w:val="HChG"/>
        <w:rPr>
          <w:lang w:val="fr-FR"/>
        </w:rPr>
      </w:pPr>
      <w:r w:rsidRPr="00DE758D">
        <w:rPr>
          <w:lang w:val="fr-FR"/>
        </w:rPr>
        <w:tab/>
      </w:r>
      <w:r w:rsidRPr="00EA59C9">
        <w:rPr>
          <w:lang w:val="fr-FR"/>
        </w:rPr>
        <w:t>II.</w:t>
      </w:r>
      <w:r w:rsidRPr="00EA59C9">
        <w:rPr>
          <w:lang w:val="fr-FR"/>
        </w:rPr>
        <w:tab/>
        <w:t>Justification</w:t>
      </w:r>
    </w:p>
    <w:p w:rsidR="009E246C" w:rsidRPr="00163126" w:rsidRDefault="009E246C" w:rsidP="00A77F38">
      <w:pPr>
        <w:pStyle w:val="SingleTxtG"/>
        <w:rPr>
          <w:lang w:val="fr-FR"/>
        </w:rPr>
      </w:pPr>
      <w:r w:rsidRPr="00B118DB">
        <w:rPr>
          <w:lang w:val="fr-FR"/>
        </w:rPr>
        <w:t>1.</w:t>
      </w:r>
      <w:r w:rsidRPr="00B118DB">
        <w:rPr>
          <w:lang w:val="fr-FR"/>
        </w:rPr>
        <w:tab/>
        <w:t xml:space="preserve">La présente proposition vise à améliorer </w:t>
      </w:r>
      <w:r>
        <w:rPr>
          <w:lang w:val="fr-FR"/>
        </w:rPr>
        <w:t xml:space="preserve">les propriétés optiques des rétroviseurs grâce à des surfaces de conception innovante et à de nouveaux procédés de fabrication </w:t>
      </w:r>
      <w:r w:rsidRPr="00B118DB">
        <w:rPr>
          <w:lang w:val="fr-FR"/>
        </w:rPr>
        <w:t xml:space="preserve">. </w:t>
      </w:r>
      <w:r w:rsidRPr="00163126">
        <w:rPr>
          <w:lang w:val="fr-FR"/>
        </w:rPr>
        <w:t>Il est envisagé</w:t>
      </w:r>
      <w:r>
        <w:rPr>
          <w:lang w:val="fr-FR"/>
        </w:rPr>
        <w:t>, tout en</w:t>
      </w:r>
      <w:r w:rsidRPr="00163126">
        <w:rPr>
          <w:lang w:val="fr-FR"/>
        </w:rPr>
        <w:t xml:space="preserve"> mainten</w:t>
      </w:r>
      <w:r>
        <w:rPr>
          <w:lang w:val="fr-FR"/>
        </w:rPr>
        <w:t>ant</w:t>
      </w:r>
      <w:r w:rsidRPr="00163126">
        <w:rPr>
          <w:lang w:val="fr-FR"/>
        </w:rPr>
        <w:t xml:space="preserve"> l</w:t>
      </w:r>
      <w:r>
        <w:rPr>
          <w:lang w:val="fr-FR"/>
        </w:rPr>
        <w:t>’</w:t>
      </w:r>
      <w:r w:rsidRPr="00163126">
        <w:rPr>
          <w:lang w:val="fr-FR"/>
        </w:rPr>
        <w:t xml:space="preserve">offre </w:t>
      </w:r>
      <w:r>
        <w:rPr>
          <w:lang w:val="fr-FR"/>
        </w:rPr>
        <w:t xml:space="preserve">actuelle </w:t>
      </w:r>
      <w:r w:rsidRPr="00163126">
        <w:rPr>
          <w:lang w:val="fr-FR"/>
        </w:rPr>
        <w:t xml:space="preserve">de produits </w:t>
      </w:r>
      <w:r>
        <w:rPr>
          <w:lang w:val="fr-FR"/>
        </w:rPr>
        <w:t xml:space="preserve">à surface </w:t>
      </w:r>
      <w:r w:rsidRPr="00163126">
        <w:rPr>
          <w:lang w:val="fr-FR"/>
        </w:rPr>
        <w:t>sphérique</w:t>
      </w:r>
      <w:r>
        <w:rPr>
          <w:lang w:val="fr-FR"/>
        </w:rPr>
        <w:t>, de</w:t>
      </w:r>
      <w:r w:rsidRPr="00163126">
        <w:rPr>
          <w:lang w:val="fr-FR"/>
        </w:rPr>
        <w:t xml:space="preserve"> permett</w:t>
      </w:r>
      <w:r>
        <w:rPr>
          <w:lang w:val="fr-FR"/>
        </w:rPr>
        <w:t>re</w:t>
      </w:r>
      <w:r w:rsidRPr="00163126">
        <w:rPr>
          <w:lang w:val="fr-FR"/>
        </w:rPr>
        <w:t xml:space="preserve"> l</w:t>
      </w:r>
      <w:r>
        <w:rPr>
          <w:lang w:val="fr-FR"/>
        </w:rPr>
        <w:t>’</w:t>
      </w:r>
      <w:r w:rsidRPr="00163126">
        <w:rPr>
          <w:lang w:val="fr-FR"/>
        </w:rPr>
        <w:t xml:space="preserve">introduction </w:t>
      </w:r>
      <w:r>
        <w:rPr>
          <w:lang w:val="fr-FR"/>
        </w:rPr>
        <w:t xml:space="preserve">sur le marché </w:t>
      </w:r>
      <w:r w:rsidRPr="00163126">
        <w:rPr>
          <w:lang w:val="fr-FR"/>
        </w:rPr>
        <w:t xml:space="preserve">de la nouvelle génération </w:t>
      </w:r>
      <w:r w:rsidRPr="0003056D">
        <w:rPr>
          <w:lang w:val="fr-FR"/>
        </w:rPr>
        <w:t>d</w:t>
      </w:r>
      <w:r>
        <w:rPr>
          <w:lang w:val="fr-FR"/>
        </w:rPr>
        <w:t>’</w:t>
      </w:r>
      <w:r w:rsidRPr="0003056D">
        <w:rPr>
          <w:lang w:val="fr-FR"/>
        </w:rPr>
        <w:t>optiques de</w:t>
      </w:r>
      <w:r w:rsidRPr="00163126">
        <w:rPr>
          <w:lang w:val="fr-FR"/>
        </w:rPr>
        <w:t xml:space="preserve"> rét</w:t>
      </w:r>
      <w:r>
        <w:rPr>
          <w:lang w:val="fr-FR"/>
        </w:rPr>
        <w:t>roviseurs de façon à améliorer la qualité des images réfléchies et à optimiser la taille du rétroviseur pour un champ de vision donné</w:t>
      </w:r>
      <w:r w:rsidRPr="00163126">
        <w:rPr>
          <w:lang w:val="fr-FR"/>
        </w:rPr>
        <w:t>.</w:t>
      </w:r>
    </w:p>
    <w:p w:rsidR="009E246C" w:rsidRPr="009E2ED8" w:rsidRDefault="009E246C" w:rsidP="00A77F38">
      <w:pPr>
        <w:pStyle w:val="SingleTxtG"/>
        <w:rPr>
          <w:lang w:val="fr-FR"/>
        </w:rPr>
      </w:pPr>
      <w:r w:rsidRPr="00736E60">
        <w:rPr>
          <w:lang w:val="fr-FR"/>
        </w:rPr>
        <w:t>2.</w:t>
      </w:r>
      <w:r w:rsidRPr="00736E60">
        <w:rPr>
          <w:lang w:val="fr-FR"/>
        </w:rPr>
        <w:tab/>
      </w:r>
      <w:r w:rsidRPr="009372AD">
        <w:rPr>
          <w:lang w:val="fr-FR"/>
        </w:rPr>
        <w:t>À l</w:t>
      </w:r>
      <w:r>
        <w:rPr>
          <w:lang w:val="fr-FR"/>
        </w:rPr>
        <w:t>’</w:t>
      </w:r>
      <w:r w:rsidRPr="009372AD">
        <w:rPr>
          <w:lang w:val="fr-FR"/>
        </w:rPr>
        <w:t>origine</w:t>
      </w:r>
      <w:r>
        <w:rPr>
          <w:lang w:val="fr-FR"/>
        </w:rPr>
        <w:t>, c</w:t>
      </w:r>
      <w:r>
        <w:rPr>
          <w:lang w:val="fr-FR"/>
        </w:rPr>
        <w:t>’</w:t>
      </w:r>
      <w:r>
        <w:rPr>
          <w:lang w:val="fr-FR"/>
        </w:rPr>
        <w:t>est la nécessité</w:t>
      </w:r>
      <w:r w:rsidRPr="00736E60">
        <w:rPr>
          <w:lang w:val="fr-FR"/>
        </w:rPr>
        <w:t xml:space="preserve"> d</w:t>
      </w:r>
      <w:r>
        <w:rPr>
          <w:lang w:val="fr-FR"/>
        </w:rPr>
        <w:t>’</w:t>
      </w:r>
      <w:r w:rsidRPr="00736E60">
        <w:rPr>
          <w:lang w:val="fr-FR"/>
        </w:rPr>
        <w:t xml:space="preserve">élargir le champ de vision pour des raisons de sécurité </w:t>
      </w:r>
      <w:r>
        <w:rPr>
          <w:lang w:val="fr-FR"/>
        </w:rPr>
        <w:t xml:space="preserve">qui a </w:t>
      </w:r>
      <w:r w:rsidRPr="007E46E6">
        <w:rPr>
          <w:lang w:val="fr-FR"/>
        </w:rPr>
        <w:t>inspiré</w:t>
      </w:r>
      <w:r>
        <w:rPr>
          <w:lang w:val="fr-FR"/>
        </w:rPr>
        <w:t xml:space="preserve"> l</w:t>
      </w:r>
      <w:r>
        <w:rPr>
          <w:lang w:val="fr-FR"/>
        </w:rPr>
        <w:t>’</w:t>
      </w:r>
      <w:r>
        <w:rPr>
          <w:lang w:val="fr-FR"/>
        </w:rPr>
        <w:t xml:space="preserve">adoption des surfaces sphériques, </w:t>
      </w:r>
      <w:r w:rsidRPr="0003056D">
        <w:rPr>
          <w:lang w:val="fr-FR"/>
        </w:rPr>
        <w:t>qui étai</w:t>
      </w:r>
      <w:r>
        <w:rPr>
          <w:lang w:val="fr-FR"/>
        </w:rPr>
        <w:t>en</w:t>
      </w:r>
      <w:r w:rsidRPr="0003056D">
        <w:rPr>
          <w:lang w:val="fr-FR"/>
        </w:rPr>
        <w:t>t</w:t>
      </w:r>
      <w:r>
        <w:rPr>
          <w:lang w:val="fr-FR"/>
        </w:rPr>
        <w:t xml:space="preserve"> les plus simples à concevoir et à fabriquer</w:t>
      </w:r>
      <w:r w:rsidRPr="00736E60">
        <w:rPr>
          <w:lang w:val="fr-FR"/>
        </w:rPr>
        <w:t xml:space="preserve">. </w:t>
      </w:r>
      <w:r w:rsidRPr="009E2ED8">
        <w:rPr>
          <w:lang w:val="fr-FR"/>
        </w:rPr>
        <w:t>À titre d</w:t>
      </w:r>
      <w:r>
        <w:rPr>
          <w:lang w:val="fr-FR"/>
        </w:rPr>
        <w:t>’</w:t>
      </w:r>
      <w:r w:rsidRPr="009E2ED8">
        <w:rPr>
          <w:lang w:val="fr-FR"/>
        </w:rPr>
        <w:t>exemple, le rayon des rétroviseurs principaux a progressivement été réduit jusqu</w:t>
      </w:r>
      <w:r>
        <w:rPr>
          <w:lang w:val="fr-FR"/>
        </w:rPr>
        <w:t>’</w:t>
      </w:r>
      <w:r w:rsidRPr="009E2ED8">
        <w:rPr>
          <w:lang w:val="fr-FR"/>
        </w:rPr>
        <w:t xml:space="preserve">à sa limite actuelle, </w:t>
      </w:r>
      <w:r>
        <w:rPr>
          <w:lang w:val="fr-FR"/>
        </w:rPr>
        <w:t>fixée à 1 200 mm, qui représente un bon compromis entre les différentes exigences en matière de champ de vision, de taille du rétroviseur, de dimensions des objets réfléchis et de distorsion de l</w:t>
      </w:r>
      <w:r>
        <w:rPr>
          <w:lang w:val="fr-FR"/>
        </w:rPr>
        <w:t>’</w:t>
      </w:r>
      <w:r>
        <w:rPr>
          <w:lang w:val="fr-FR"/>
        </w:rPr>
        <w:t>image</w:t>
      </w:r>
      <w:r w:rsidRPr="009E2ED8">
        <w:rPr>
          <w:lang w:val="fr-FR"/>
        </w:rPr>
        <w:t>.</w:t>
      </w:r>
    </w:p>
    <w:p w:rsidR="009E246C" w:rsidRPr="005C6EAE" w:rsidRDefault="00DC75A1" w:rsidP="00A77F38">
      <w:pPr>
        <w:pStyle w:val="SingleTxtG"/>
        <w:rPr>
          <w:lang w:val="fr-FR"/>
        </w:rPr>
      </w:pPr>
      <w:r>
        <w:rPr>
          <w:lang w:val="fr-FR"/>
        </w:rPr>
        <w:tab/>
      </w:r>
      <w:r w:rsidR="009E246C" w:rsidRPr="005C6EAE">
        <w:rPr>
          <w:lang w:val="fr-FR"/>
        </w:rPr>
        <w:t>La version actuelle du Règlement ONU n</w:t>
      </w:r>
      <w:r w:rsidR="009E246C" w:rsidRPr="00C65B91">
        <w:rPr>
          <w:vertAlign w:val="superscript"/>
          <w:lang w:val="fr-FR"/>
        </w:rPr>
        <w:t>o</w:t>
      </w:r>
      <w:r w:rsidR="009E246C" w:rsidRPr="005C6EAE">
        <w:rPr>
          <w:lang w:val="fr-FR"/>
        </w:rPr>
        <w:t> 46 répond à la nécessité d</w:t>
      </w:r>
      <w:r w:rsidR="009E246C">
        <w:rPr>
          <w:lang w:val="fr-FR"/>
        </w:rPr>
        <w:t>’</w:t>
      </w:r>
      <w:r w:rsidR="009E246C" w:rsidRPr="005C6EAE">
        <w:rPr>
          <w:lang w:val="fr-FR"/>
        </w:rPr>
        <w:t xml:space="preserve">une vérification géométrique de la surface du rétroviseur </w:t>
      </w:r>
      <w:r w:rsidR="009E246C">
        <w:rPr>
          <w:lang w:val="fr-FR"/>
        </w:rPr>
        <w:t>selon des</w:t>
      </w:r>
      <w:r w:rsidR="009E246C" w:rsidRPr="005C6EAE">
        <w:rPr>
          <w:lang w:val="fr-FR"/>
        </w:rPr>
        <w:t xml:space="preserve"> prescriptions </w:t>
      </w:r>
      <w:r w:rsidR="009E246C">
        <w:rPr>
          <w:lang w:val="fr-FR"/>
        </w:rPr>
        <w:t xml:space="preserve">géométriques </w:t>
      </w:r>
      <w:r w:rsidR="009E246C" w:rsidRPr="005C6EAE">
        <w:rPr>
          <w:lang w:val="fr-FR"/>
        </w:rPr>
        <w:t>précises</w:t>
      </w:r>
      <w:r w:rsidR="009E246C">
        <w:rPr>
          <w:lang w:val="fr-FR"/>
        </w:rPr>
        <w:t xml:space="preserve"> (</w:t>
      </w:r>
      <w:r w:rsidR="009E246C" w:rsidRPr="00C5023D">
        <w:rPr>
          <w:lang w:val="fr-FR"/>
        </w:rPr>
        <w:t>cette surface</w:t>
      </w:r>
      <w:r w:rsidR="009E246C">
        <w:rPr>
          <w:lang w:val="fr-FR"/>
        </w:rPr>
        <w:t xml:space="preserve"> devant correspondre à celle d</w:t>
      </w:r>
      <w:r w:rsidR="009E246C">
        <w:rPr>
          <w:lang w:val="fr-FR"/>
        </w:rPr>
        <w:t>’</w:t>
      </w:r>
      <w:r w:rsidR="009E246C">
        <w:rPr>
          <w:lang w:val="fr-FR"/>
        </w:rPr>
        <w:t>une sphère convexe dont le rayon moyen serait compris entre certaines limites pour chaque classe) obtenue au moyen de mesures effectuées à des emplacements déterminés de ladite surface pour une taille minimale des objets réfléchis à une distance donnée</w:t>
      </w:r>
      <w:r w:rsidR="009E246C" w:rsidRPr="005C6EAE">
        <w:rPr>
          <w:lang w:val="fr-FR"/>
        </w:rPr>
        <w:t>.</w:t>
      </w:r>
    </w:p>
    <w:p w:rsidR="009E246C" w:rsidRPr="00A764CD" w:rsidRDefault="00DC75A1" w:rsidP="00A77F38">
      <w:pPr>
        <w:pStyle w:val="SingleTxtG"/>
        <w:rPr>
          <w:lang w:val="fr-FR"/>
        </w:rPr>
      </w:pPr>
      <w:r>
        <w:rPr>
          <w:lang w:val="fr-FR"/>
        </w:rPr>
        <w:lastRenderedPageBreak/>
        <w:tab/>
      </w:r>
      <w:r w:rsidR="009E246C" w:rsidRPr="00A764CD">
        <w:rPr>
          <w:lang w:val="fr-FR"/>
        </w:rPr>
        <w:t xml:space="preserve">Idéalement, les véhicules devraient être équipés de rétroviseurs </w:t>
      </w:r>
      <w:r w:rsidR="009E246C">
        <w:rPr>
          <w:lang w:val="fr-FR"/>
        </w:rPr>
        <w:t xml:space="preserve">à miroir </w:t>
      </w:r>
      <w:r w:rsidR="009E246C" w:rsidRPr="00A764CD">
        <w:rPr>
          <w:lang w:val="fr-FR"/>
        </w:rPr>
        <w:t>parfaitement sphériqu</w:t>
      </w:r>
      <w:r w:rsidR="009E246C">
        <w:rPr>
          <w:lang w:val="fr-FR"/>
        </w:rPr>
        <w:t>e</w:t>
      </w:r>
      <w:r w:rsidR="009E246C" w:rsidRPr="00A764CD">
        <w:rPr>
          <w:lang w:val="fr-FR"/>
        </w:rPr>
        <w:t>,</w:t>
      </w:r>
      <w:r w:rsidR="009E246C" w:rsidRPr="00651465">
        <w:rPr>
          <w:lang w:val="fr-FR"/>
        </w:rPr>
        <w:t xml:space="preserve"> mais</w:t>
      </w:r>
      <w:r w:rsidR="009E246C">
        <w:rPr>
          <w:lang w:val="fr-FR"/>
        </w:rPr>
        <w:t xml:space="preserve"> dans la pratique,</w:t>
      </w:r>
      <w:r w:rsidR="009E246C" w:rsidRPr="00651465">
        <w:rPr>
          <w:lang w:val="fr-FR"/>
        </w:rPr>
        <w:t xml:space="preserve"> à l</w:t>
      </w:r>
      <w:r w:rsidR="009E246C">
        <w:rPr>
          <w:lang w:val="fr-FR"/>
        </w:rPr>
        <w:t>’</w:t>
      </w:r>
      <w:r w:rsidR="009E246C" w:rsidRPr="00651465">
        <w:rPr>
          <w:lang w:val="fr-FR"/>
        </w:rPr>
        <w:t>issue du processus de fabrication</w:t>
      </w:r>
      <w:r w:rsidR="009E246C">
        <w:rPr>
          <w:lang w:val="fr-FR"/>
        </w:rPr>
        <w:t>,</w:t>
      </w:r>
      <w:r w:rsidR="009E246C" w:rsidRPr="00651465">
        <w:rPr>
          <w:lang w:val="fr-FR"/>
        </w:rPr>
        <w:t xml:space="preserve"> les différents points de la surface du miroir ne sont pas tout à fait là où ils devraient se trouver</w:t>
      </w:r>
      <w:r w:rsidR="009E246C">
        <w:rPr>
          <w:lang w:val="fr-FR"/>
        </w:rPr>
        <w:t xml:space="preserve"> sur une sphère idéale</w:t>
      </w:r>
      <w:r w:rsidR="009E246C" w:rsidRPr="00A764CD">
        <w:rPr>
          <w:lang w:val="fr-FR"/>
        </w:rPr>
        <w:t>.</w:t>
      </w:r>
    </w:p>
    <w:p w:rsidR="009E246C" w:rsidRPr="00A764CD" w:rsidRDefault="00DC75A1" w:rsidP="00A77F38">
      <w:pPr>
        <w:pStyle w:val="SingleTxtG"/>
        <w:rPr>
          <w:lang w:val="fr-FR"/>
        </w:rPr>
      </w:pPr>
      <w:r>
        <w:rPr>
          <w:lang w:val="fr-FR"/>
        </w:rPr>
        <w:tab/>
      </w:r>
      <w:r w:rsidR="009E246C" w:rsidRPr="00A764CD">
        <w:rPr>
          <w:lang w:val="fr-FR"/>
        </w:rPr>
        <w:t xml:space="preserve">De plus, les principales propriétés optiques </w:t>
      </w:r>
      <w:r w:rsidR="009E246C">
        <w:rPr>
          <w:lang w:val="fr-FR"/>
        </w:rPr>
        <w:t>dont dépend</w:t>
      </w:r>
      <w:r w:rsidR="009E246C" w:rsidRPr="00A764CD">
        <w:rPr>
          <w:lang w:val="fr-FR"/>
        </w:rPr>
        <w:t xml:space="preserve"> la qualité des objets réfléchis (distor</w:t>
      </w:r>
      <w:r w:rsidR="009E246C">
        <w:rPr>
          <w:lang w:val="fr-FR"/>
        </w:rPr>
        <w:t>sion et ratio d</w:t>
      </w:r>
      <w:r w:rsidR="009E246C">
        <w:rPr>
          <w:lang w:val="fr-FR"/>
        </w:rPr>
        <w:t>’</w:t>
      </w:r>
      <w:r w:rsidR="009E246C">
        <w:rPr>
          <w:lang w:val="fr-FR"/>
        </w:rPr>
        <w:t>aspect)</w:t>
      </w:r>
      <w:r w:rsidR="009E246C" w:rsidRPr="00A764CD">
        <w:rPr>
          <w:lang w:val="fr-FR"/>
        </w:rPr>
        <w:t xml:space="preserve"> </w:t>
      </w:r>
      <w:r w:rsidR="009E246C">
        <w:rPr>
          <w:lang w:val="fr-FR"/>
        </w:rPr>
        <w:t>ne sont pas définies dans le Règlement et relèvent des protocoles d</w:t>
      </w:r>
      <w:r w:rsidR="009E246C">
        <w:rPr>
          <w:lang w:val="fr-FR"/>
        </w:rPr>
        <w:t>’</w:t>
      </w:r>
      <w:r w:rsidR="009E246C">
        <w:rPr>
          <w:lang w:val="fr-FR"/>
        </w:rPr>
        <w:t>assurance qualité négociés entre les équipementiers et les fournisseurs de rétroviseurs</w:t>
      </w:r>
      <w:r w:rsidR="009E246C" w:rsidRPr="00A764CD">
        <w:rPr>
          <w:lang w:val="fr-FR"/>
        </w:rPr>
        <w:t>.</w:t>
      </w:r>
    </w:p>
    <w:p w:rsidR="009E246C" w:rsidRPr="00CB3A83" w:rsidRDefault="009E246C" w:rsidP="00A77F38">
      <w:pPr>
        <w:pStyle w:val="SingleTxtG"/>
        <w:rPr>
          <w:lang w:val="fr-FR"/>
        </w:rPr>
      </w:pPr>
      <w:r w:rsidRPr="008C1F96">
        <w:rPr>
          <w:lang w:val="fr-FR"/>
        </w:rPr>
        <w:t>3.</w:t>
      </w:r>
      <w:r w:rsidRPr="008C1F96">
        <w:rPr>
          <w:lang w:val="fr-FR"/>
        </w:rPr>
        <w:tab/>
        <w:t xml:space="preserve">Au cours des </w:t>
      </w:r>
      <w:r w:rsidR="00960AED">
        <w:rPr>
          <w:lang w:val="fr-FR"/>
        </w:rPr>
        <w:t>dix</w:t>
      </w:r>
      <w:r w:rsidRPr="008C1F96">
        <w:rPr>
          <w:lang w:val="fr-FR"/>
        </w:rPr>
        <w:t xml:space="preserve"> dernières années, de nombreuses études sur le comportement optique des surfaces non sphériques</w:t>
      </w:r>
      <w:r>
        <w:rPr>
          <w:lang w:val="fr-FR"/>
        </w:rPr>
        <w:t xml:space="preserve"> ont été menées</w:t>
      </w:r>
      <w:r w:rsidRPr="008C1F96">
        <w:rPr>
          <w:lang w:val="fr-FR"/>
        </w:rPr>
        <w:t xml:space="preserve">, </w:t>
      </w:r>
      <w:r>
        <w:rPr>
          <w:lang w:val="fr-FR"/>
        </w:rPr>
        <w:t>et toutes ont montré que l</w:t>
      </w:r>
      <w:r>
        <w:rPr>
          <w:lang w:val="fr-FR"/>
        </w:rPr>
        <w:t>’</w:t>
      </w:r>
      <w:r>
        <w:rPr>
          <w:lang w:val="fr-FR"/>
        </w:rPr>
        <w:t>utilisation de surfaces non sphériques permettait d</w:t>
      </w:r>
      <w:r>
        <w:rPr>
          <w:lang w:val="fr-FR"/>
        </w:rPr>
        <w:t>’</w:t>
      </w:r>
      <w:r>
        <w:rPr>
          <w:lang w:val="fr-FR"/>
        </w:rPr>
        <w:t xml:space="preserve">améliorer les performances optiques. </w:t>
      </w:r>
      <w:r w:rsidRPr="00CB3A83">
        <w:rPr>
          <w:lang w:val="fr-FR"/>
        </w:rPr>
        <w:t xml:space="preserve">En outre, </w:t>
      </w:r>
      <w:r>
        <w:rPr>
          <w:lang w:val="fr-FR"/>
        </w:rPr>
        <w:t xml:space="preserve">sachant que </w:t>
      </w:r>
      <w:r w:rsidRPr="00CB3A83">
        <w:rPr>
          <w:lang w:val="fr-FR"/>
        </w:rPr>
        <w:t>l</w:t>
      </w:r>
      <w:r>
        <w:rPr>
          <w:lang w:val="fr-FR"/>
        </w:rPr>
        <w:t>’</w:t>
      </w:r>
      <w:r w:rsidRPr="00CB3A83">
        <w:rPr>
          <w:lang w:val="fr-FR"/>
        </w:rPr>
        <w:t>axe optique d</w:t>
      </w:r>
      <w:r>
        <w:rPr>
          <w:lang w:val="fr-FR"/>
        </w:rPr>
        <w:t>’</w:t>
      </w:r>
      <w:r w:rsidRPr="00CB3A83">
        <w:rPr>
          <w:lang w:val="fr-FR"/>
        </w:rPr>
        <w:t xml:space="preserve">un rétroviseur sphérique monté sur une voiture est </w:t>
      </w:r>
      <w:r w:rsidRPr="00134F64">
        <w:rPr>
          <w:lang w:val="fr-FR"/>
        </w:rPr>
        <w:t>en position pivotée et décentrée</w:t>
      </w:r>
      <w:r>
        <w:rPr>
          <w:lang w:val="fr-FR"/>
        </w:rPr>
        <w:t xml:space="preserve"> par rapport à l</w:t>
      </w:r>
      <w:r>
        <w:rPr>
          <w:lang w:val="fr-FR"/>
        </w:rPr>
        <w:t>’</w:t>
      </w:r>
      <w:r>
        <w:rPr>
          <w:lang w:val="fr-FR"/>
        </w:rPr>
        <w:t>axe des yeux du conducteur, l</w:t>
      </w:r>
      <w:r>
        <w:rPr>
          <w:lang w:val="fr-FR"/>
        </w:rPr>
        <w:t>’</w:t>
      </w:r>
      <w:r>
        <w:rPr>
          <w:lang w:val="fr-FR"/>
        </w:rPr>
        <w:t>image est comprimée selon l</w:t>
      </w:r>
      <w:r>
        <w:rPr>
          <w:lang w:val="fr-FR"/>
        </w:rPr>
        <w:t>’</w:t>
      </w:r>
      <w:r>
        <w:rPr>
          <w:lang w:val="fr-FR"/>
        </w:rPr>
        <w:t xml:space="preserve">axe </w:t>
      </w:r>
      <w:r w:rsidRPr="00A7325C">
        <w:rPr>
          <w:lang w:val="fr-FR"/>
        </w:rPr>
        <w:t>horizontal</w:t>
      </w:r>
      <w:r w:rsidRPr="00CB3A83">
        <w:rPr>
          <w:lang w:val="fr-FR"/>
        </w:rPr>
        <w:t xml:space="preserve">. </w:t>
      </w:r>
      <w:r>
        <w:rPr>
          <w:lang w:val="fr-FR"/>
        </w:rPr>
        <w:t>U</w:t>
      </w:r>
      <w:r w:rsidRPr="00CB3A83">
        <w:rPr>
          <w:lang w:val="fr-FR"/>
        </w:rPr>
        <w:t xml:space="preserve">ne surface </w:t>
      </w:r>
      <w:r w:rsidR="00960AED">
        <w:rPr>
          <w:lang w:val="fr-FR"/>
        </w:rPr>
        <w:t>« </w:t>
      </w:r>
      <w:r>
        <w:rPr>
          <w:lang w:val="fr-FR"/>
        </w:rPr>
        <w:t>free form</w:t>
      </w:r>
      <w:r w:rsidR="00960AED">
        <w:rPr>
          <w:lang w:val="fr-FR"/>
        </w:rPr>
        <w:t> »</w:t>
      </w:r>
      <w:r>
        <w:rPr>
          <w:lang w:val="fr-FR"/>
        </w:rPr>
        <w:t xml:space="preserve"> </w:t>
      </w:r>
      <w:r w:rsidRPr="00CB3A83">
        <w:rPr>
          <w:lang w:val="fr-FR"/>
        </w:rPr>
        <w:t>peut compenser la position asymét</w:t>
      </w:r>
      <w:r>
        <w:rPr>
          <w:lang w:val="fr-FR"/>
        </w:rPr>
        <w:t>r</w:t>
      </w:r>
      <w:r w:rsidRPr="00CB3A83">
        <w:rPr>
          <w:lang w:val="fr-FR"/>
        </w:rPr>
        <w:t xml:space="preserve">ique des </w:t>
      </w:r>
      <w:r>
        <w:rPr>
          <w:lang w:val="fr-FR"/>
        </w:rPr>
        <w:t>rétroviseurs, ce qui aura pour effet de conserver les justes proportions des images réfléchies</w:t>
      </w:r>
      <w:r w:rsidRPr="00CB3A83">
        <w:rPr>
          <w:lang w:val="fr-FR"/>
        </w:rPr>
        <w:t>.</w:t>
      </w:r>
    </w:p>
    <w:p w:rsidR="009E246C" w:rsidRPr="001F434E" w:rsidRDefault="00DC75A1" w:rsidP="00A77F38">
      <w:pPr>
        <w:pStyle w:val="SingleTxtG"/>
        <w:rPr>
          <w:lang w:val="fr-FR"/>
        </w:rPr>
      </w:pPr>
      <w:r>
        <w:rPr>
          <w:lang w:val="fr-FR"/>
        </w:rPr>
        <w:tab/>
      </w:r>
      <w:r w:rsidR="009E246C" w:rsidRPr="00F81589">
        <w:rPr>
          <w:lang w:val="fr-FR"/>
        </w:rPr>
        <w:t>Il n</w:t>
      </w:r>
      <w:r w:rsidR="009E246C">
        <w:rPr>
          <w:lang w:val="fr-FR"/>
        </w:rPr>
        <w:t>’</w:t>
      </w:r>
      <w:r w:rsidR="009E246C" w:rsidRPr="00F81589">
        <w:rPr>
          <w:lang w:val="fr-FR"/>
        </w:rPr>
        <w:t xml:space="preserve">est pas possible de représenter une surface </w:t>
      </w:r>
      <w:r w:rsidR="00960AED">
        <w:rPr>
          <w:lang w:val="fr-FR"/>
        </w:rPr>
        <w:t>« </w:t>
      </w:r>
      <w:r w:rsidR="009E246C">
        <w:rPr>
          <w:lang w:val="fr-FR"/>
        </w:rPr>
        <w:t>free form</w:t>
      </w:r>
      <w:r w:rsidR="00960AED">
        <w:rPr>
          <w:lang w:val="fr-FR"/>
        </w:rPr>
        <w:t> »</w:t>
      </w:r>
      <w:r w:rsidR="009E246C" w:rsidRPr="00F81589">
        <w:rPr>
          <w:lang w:val="fr-FR"/>
        </w:rPr>
        <w:t xml:space="preserve"> par une équation car </w:t>
      </w:r>
      <w:r w:rsidR="009E246C">
        <w:rPr>
          <w:lang w:val="fr-FR"/>
        </w:rPr>
        <w:t xml:space="preserve">la position de </w:t>
      </w:r>
      <w:r w:rsidR="009E246C" w:rsidRPr="00F81589">
        <w:rPr>
          <w:lang w:val="fr-FR"/>
        </w:rPr>
        <w:t xml:space="preserve">chaque point y </w:t>
      </w:r>
      <w:r w:rsidR="009E246C" w:rsidRPr="00586C2B">
        <w:rPr>
          <w:lang w:val="fr-FR"/>
        </w:rPr>
        <w:t>est calculée en fonction d</w:t>
      </w:r>
      <w:r w:rsidR="009E246C">
        <w:rPr>
          <w:lang w:val="fr-FR"/>
        </w:rPr>
        <w:t>’</w:t>
      </w:r>
      <w:r w:rsidR="009E246C" w:rsidRPr="00586C2B">
        <w:rPr>
          <w:lang w:val="fr-FR"/>
        </w:rPr>
        <w:t xml:space="preserve">objectifs de rendu </w:t>
      </w:r>
      <w:r w:rsidR="009E246C">
        <w:rPr>
          <w:lang w:val="fr-FR"/>
        </w:rPr>
        <w:t>optique bien précis</w:t>
      </w:r>
      <w:r w:rsidR="009E246C" w:rsidRPr="00F81589">
        <w:rPr>
          <w:lang w:val="fr-FR"/>
        </w:rPr>
        <w:t xml:space="preserve">. </w:t>
      </w:r>
      <w:r w:rsidR="009E246C" w:rsidRPr="001F434E">
        <w:rPr>
          <w:lang w:val="fr-FR"/>
        </w:rPr>
        <w:t xml:space="preserve">Compte tenu des tolérances de fabrication, </w:t>
      </w:r>
      <w:r w:rsidR="009E246C">
        <w:rPr>
          <w:lang w:val="fr-FR"/>
        </w:rPr>
        <w:t xml:space="preserve">même </w:t>
      </w:r>
      <w:r w:rsidR="009E246C" w:rsidRPr="001F434E">
        <w:rPr>
          <w:lang w:val="fr-FR"/>
        </w:rPr>
        <w:t xml:space="preserve">les rétroviseurs sphériques </w:t>
      </w:r>
      <w:r w:rsidR="009E246C" w:rsidRPr="00586C2B">
        <w:rPr>
          <w:lang w:val="fr-FR"/>
        </w:rPr>
        <w:t>pour voitures produits avec le plus grand soin</w:t>
      </w:r>
      <w:r w:rsidR="009E246C" w:rsidRPr="001F434E">
        <w:rPr>
          <w:lang w:val="fr-FR"/>
        </w:rPr>
        <w:t xml:space="preserve"> ont</w:t>
      </w:r>
      <w:r w:rsidR="009E246C">
        <w:rPr>
          <w:lang w:val="fr-FR"/>
        </w:rPr>
        <w:t xml:space="preserve"> en réalité une surface de forme complexe, puisque dans la pratique la position radiale de chaque point peut varier de façon aléatoire, bien que minime, dans la limite établie par le Règlement</w:t>
      </w:r>
      <w:r w:rsidR="009E246C" w:rsidRPr="001F434E">
        <w:rPr>
          <w:lang w:val="fr-FR"/>
        </w:rPr>
        <w:t>.</w:t>
      </w:r>
    </w:p>
    <w:p w:rsidR="009E246C" w:rsidRPr="002D0ABA" w:rsidRDefault="00DC75A1" w:rsidP="00A77F38">
      <w:pPr>
        <w:pStyle w:val="SingleTxtG"/>
        <w:rPr>
          <w:lang w:val="fr-FR"/>
        </w:rPr>
      </w:pPr>
      <w:r>
        <w:rPr>
          <w:lang w:val="fr-FR"/>
        </w:rPr>
        <w:tab/>
      </w:r>
      <w:r w:rsidR="009E246C" w:rsidRPr="00743985">
        <w:rPr>
          <w:lang w:val="fr-FR"/>
        </w:rPr>
        <w:t>À l</w:t>
      </w:r>
      <w:r w:rsidR="009E246C">
        <w:rPr>
          <w:lang w:val="fr-FR"/>
        </w:rPr>
        <w:t>’</w:t>
      </w:r>
      <w:r w:rsidR="009E246C" w:rsidRPr="00743985">
        <w:rPr>
          <w:lang w:val="fr-FR"/>
        </w:rPr>
        <w:t xml:space="preserve">inverse, les logiciels de conception et le processus de fabrication des moules </w:t>
      </w:r>
      <w:r w:rsidR="00960AED">
        <w:rPr>
          <w:lang w:val="fr-FR"/>
        </w:rPr>
        <w:t>−</w:t>
      </w:r>
      <w:r w:rsidR="009E246C" w:rsidRPr="00743985">
        <w:rPr>
          <w:lang w:val="fr-FR"/>
        </w:rPr>
        <w:t xml:space="preserve"> u</w:t>
      </w:r>
      <w:r w:rsidR="009E246C">
        <w:rPr>
          <w:lang w:val="fr-FR"/>
        </w:rPr>
        <w:t>sinage multiaxial à commande numérique et polissage optique</w:t>
      </w:r>
      <w:r w:rsidR="009E246C" w:rsidRPr="00743985">
        <w:rPr>
          <w:lang w:val="fr-FR"/>
        </w:rPr>
        <w:t xml:space="preserve"> </w:t>
      </w:r>
      <w:r w:rsidR="00960AED">
        <w:rPr>
          <w:lang w:val="fr-FR"/>
        </w:rPr>
        <w:t>−</w:t>
      </w:r>
      <w:r w:rsidR="009E246C">
        <w:rPr>
          <w:lang w:val="fr-FR"/>
        </w:rPr>
        <w:t xml:space="preserve"> p</w:t>
      </w:r>
      <w:r w:rsidR="009E246C" w:rsidRPr="00C003FA">
        <w:rPr>
          <w:lang w:val="fr-FR"/>
        </w:rPr>
        <w:t xml:space="preserve">ermettent de produire avec précision, à un coût abordable, des séries uniformes de </w:t>
      </w:r>
      <w:r w:rsidR="009E246C">
        <w:rPr>
          <w:lang w:val="fr-FR"/>
        </w:rPr>
        <w:t xml:space="preserve">miroirs à </w:t>
      </w:r>
      <w:r w:rsidR="009E246C" w:rsidRPr="00C003FA">
        <w:rPr>
          <w:lang w:val="fr-FR"/>
        </w:rPr>
        <w:t xml:space="preserve">surface </w:t>
      </w:r>
      <w:r w:rsidR="00960AED">
        <w:rPr>
          <w:lang w:val="fr-FR"/>
        </w:rPr>
        <w:t>« </w:t>
      </w:r>
      <w:r w:rsidR="009E246C">
        <w:rPr>
          <w:lang w:val="fr-FR"/>
        </w:rPr>
        <w:t>free form</w:t>
      </w:r>
      <w:r w:rsidR="00960AED">
        <w:rPr>
          <w:lang w:val="fr-FR"/>
        </w:rPr>
        <w:t> »</w:t>
      </w:r>
      <w:r w:rsidR="009E246C" w:rsidRPr="00743985">
        <w:rPr>
          <w:lang w:val="fr-FR"/>
        </w:rPr>
        <w:t xml:space="preserve">. </w:t>
      </w:r>
      <w:r w:rsidR="009E246C" w:rsidRPr="00C003FA">
        <w:rPr>
          <w:lang w:val="fr-FR"/>
        </w:rPr>
        <w:t>Les procédé</w:t>
      </w:r>
      <w:r w:rsidR="009E246C">
        <w:rPr>
          <w:lang w:val="fr-FR"/>
        </w:rPr>
        <w:t>s</w:t>
      </w:r>
      <w:r w:rsidR="009E246C" w:rsidRPr="002D0ABA">
        <w:rPr>
          <w:lang w:val="fr-FR"/>
        </w:rPr>
        <w:t xml:space="preserve"> actuels de fabrication des rétroviseurs </w:t>
      </w:r>
      <w:r w:rsidR="009E246C">
        <w:rPr>
          <w:lang w:val="fr-FR"/>
        </w:rPr>
        <w:t>permettent de produire de telles surfaces de manière fiable</w:t>
      </w:r>
      <w:r w:rsidR="009E246C" w:rsidRPr="002D0ABA">
        <w:rPr>
          <w:lang w:val="fr-FR"/>
        </w:rPr>
        <w:t>.</w:t>
      </w:r>
    </w:p>
    <w:p w:rsidR="009E246C" w:rsidRPr="00251B46" w:rsidRDefault="00DC75A1" w:rsidP="00A77F38">
      <w:pPr>
        <w:pStyle w:val="SingleTxtG"/>
        <w:rPr>
          <w:lang w:val="fr-FR"/>
        </w:rPr>
      </w:pPr>
      <w:r>
        <w:rPr>
          <w:lang w:val="fr-FR"/>
        </w:rPr>
        <w:tab/>
      </w:r>
      <w:r w:rsidR="009E246C" w:rsidRPr="00004513">
        <w:rPr>
          <w:lang w:val="fr-FR"/>
        </w:rPr>
        <w:t>Le respect de la procédure de vérification géométrique en vigueur s</w:t>
      </w:r>
      <w:r w:rsidR="009E246C">
        <w:rPr>
          <w:lang w:val="fr-FR"/>
        </w:rPr>
        <w:t>’</w:t>
      </w:r>
      <w:r w:rsidR="009E246C" w:rsidRPr="00004513">
        <w:rPr>
          <w:lang w:val="fr-FR"/>
        </w:rPr>
        <w:t>agissant du champ de vision, telle que définie par le Règlement, et l</w:t>
      </w:r>
      <w:r w:rsidR="009E246C">
        <w:rPr>
          <w:lang w:val="fr-FR"/>
        </w:rPr>
        <w:t>’</w:t>
      </w:r>
      <w:r w:rsidR="009E246C" w:rsidRPr="00004513">
        <w:rPr>
          <w:lang w:val="fr-FR"/>
        </w:rPr>
        <w:t>utilisation de la tolérance de</w:t>
      </w:r>
      <w:r w:rsidR="009E246C">
        <w:rPr>
          <w:lang w:val="fr-FR"/>
        </w:rPr>
        <w:t xml:space="preserve"> 0,15 r que celui</w:t>
      </w:r>
      <w:r w:rsidR="00960AED">
        <w:rPr>
          <w:lang w:val="fr-FR"/>
        </w:rPr>
        <w:noBreakHyphen/>
      </w:r>
      <w:r w:rsidR="009E246C">
        <w:rPr>
          <w:lang w:val="fr-FR"/>
        </w:rPr>
        <w:t xml:space="preserve">ci prévoit comme marge de manœuvre potentielle pour la conception de surfaces </w:t>
      </w:r>
      <w:r w:rsidR="00960AED">
        <w:rPr>
          <w:lang w:val="fr-FR"/>
        </w:rPr>
        <w:t>« </w:t>
      </w:r>
      <w:r w:rsidR="009E246C">
        <w:rPr>
          <w:lang w:val="fr-FR"/>
        </w:rPr>
        <w:t>free form</w:t>
      </w:r>
      <w:r w:rsidR="00960AED">
        <w:rPr>
          <w:lang w:val="fr-FR"/>
        </w:rPr>
        <w:t> »</w:t>
      </w:r>
      <w:r w:rsidR="009E246C">
        <w:rPr>
          <w:lang w:val="fr-FR"/>
        </w:rPr>
        <w:t xml:space="preserve"> pourraient permettre de tirer le meilleur parti des performances optiques du rétroviseur, moyennant l</w:t>
      </w:r>
      <w:r w:rsidR="009E246C">
        <w:rPr>
          <w:lang w:val="fr-FR"/>
        </w:rPr>
        <w:t>’</w:t>
      </w:r>
      <w:r w:rsidR="009E246C">
        <w:rPr>
          <w:lang w:val="fr-FR"/>
        </w:rPr>
        <w:t>utilisation de logiciels d</w:t>
      </w:r>
      <w:r w:rsidR="009E246C">
        <w:rPr>
          <w:lang w:val="fr-FR"/>
        </w:rPr>
        <w:t>’</w:t>
      </w:r>
      <w:r w:rsidR="009E246C">
        <w:rPr>
          <w:lang w:val="fr-FR"/>
        </w:rPr>
        <w:t>optique adaptés</w:t>
      </w:r>
      <w:r w:rsidR="009E246C" w:rsidRPr="00004513">
        <w:rPr>
          <w:lang w:val="fr-FR"/>
        </w:rPr>
        <w:t xml:space="preserve">. </w:t>
      </w:r>
      <w:r w:rsidR="009E246C" w:rsidRPr="00251B46">
        <w:rPr>
          <w:lang w:val="fr-FR"/>
        </w:rPr>
        <w:t xml:space="preserve">La </w:t>
      </w:r>
      <w:r w:rsidR="009E246C">
        <w:rPr>
          <w:lang w:val="fr-FR"/>
        </w:rPr>
        <w:t>prescription du Règlement</w:t>
      </w:r>
      <w:r w:rsidR="009E246C" w:rsidRPr="00251B46">
        <w:rPr>
          <w:lang w:val="fr-FR"/>
        </w:rPr>
        <w:t xml:space="preserve"> relative </w:t>
      </w:r>
      <w:r w:rsidR="009E246C">
        <w:rPr>
          <w:lang w:val="fr-FR"/>
        </w:rPr>
        <w:t xml:space="preserve">à la </w:t>
      </w:r>
      <w:r w:rsidR="009E246C" w:rsidRPr="0074644D">
        <w:rPr>
          <w:lang w:val="fr-FR"/>
        </w:rPr>
        <w:t>moyenne des rayons de courbure</w:t>
      </w:r>
      <w:r w:rsidR="009E246C">
        <w:rPr>
          <w:lang w:val="fr-FR"/>
        </w:rPr>
        <w:t xml:space="preserve"> </w:t>
      </w:r>
      <w:r w:rsidR="009E246C" w:rsidRPr="00251B46">
        <w:rPr>
          <w:lang w:val="fr-FR"/>
        </w:rPr>
        <w:t>re</w:t>
      </w:r>
      <w:r w:rsidR="009E246C">
        <w:rPr>
          <w:lang w:val="fr-FR"/>
        </w:rPr>
        <w:t xml:space="preserve">sterait satisfaite, dans le cas des rétroviseurs </w:t>
      </w:r>
      <w:r w:rsidR="008C4597">
        <w:rPr>
          <w:lang w:val="fr-FR"/>
        </w:rPr>
        <w:t>« </w:t>
      </w:r>
      <w:r w:rsidR="009E246C">
        <w:rPr>
          <w:lang w:val="fr-FR"/>
        </w:rPr>
        <w:t>free form</w:t>
      </w:r>
      <w:r w:rsidR="008C4597">
        <w:rPr>
          <w:lang w:val="fr-FR"/>
        </w:rPr>
        <w:t> »</w:t>
      </w:r>
      <w:r w:rsidR="009E246C">
        <w:rPr>
          <w:lang w:val="fr-FR"/>
        </w:rPr>
        <w:t xml:space="preserve">, pour </w:t>
      </w:r>
      <w:r w:rsidR="009E246C" w:rsidRPr="0074644D">
        <w:rPr>
          <w:lang w:val="fr-FR"/>
        </w:rPr>
        <w:t>la surface réfléchissante</w:t>
      </w:r>
      <w:r w:rsidR="009E246C" w:rsidRPr="00251B46">
        <w:rPr>
          <w:lang w:val="fr-FR"/>
        </w:rPr>
        <w:t>.</w:t>
      </w:r>
    </w:p>
    <w:p w:rsidR="009E246C" w:rsidRPr="001D200B" w:rsidRDefault="00DC75A1" w:rsidP="00A77F38">
      <w:pPr>
        <w:pStyle w:val="SingleTxtG"/>
        <w:rPr>
          <w:lang w:val="fr-FR"/>
        </w:rPr>
      </w:pPr>
      <w:r>
        <w:rPr>
          <w:lang w:val="fr-FR"/>
        </w:rPr>
        <w:tab/>
      </w:r>
      <w:r w:rsidR="009E246C" w:rsidRPr="00C55ED9">
        <w:rPr>
          <w:lang w:val="fr-FR"/>
        </w:rPr>
        <w:t>Par ailleurs, des améliorations considérables peuvent être</w:t>
      </w:r>
      <w:r w:rsidR="009E246C">
        <w:rPr>
          <w:lang w:val="fr-FR"/>
        </w:rPr>
        <w:t xml:space="preserve"> obtenues grâce à </w:t>
      </w:r>
      <w:r w:rsidR="009E246C" w:rsidRPr="00C55ED9">
        <w:rPr>
          <w:lang w:val="fr-FR"/>
        </w:rPr>
        <w:t>l</w:t>
      </w:r>
      <w:r w:rsidR="009E246C">
        <w:rPr>
          <w:lang w:val="fr-FR"/>
        </w:rPr>
        <w:t>’</w:t>
      </w:r>
      <w:r w:rsidR="009E246C" w:rsidRPr="00C55ED9">
        <w:rPr>
          <w:lang w:val="fr-FR"/>
        </w:rPr>
        <w:t xml:space="preserve">application du concept de surface </w:t>
      </w:r>
      <w:r w:rsidR="008C4597">
        <w:rPr>
          <w:lang w:val="fr-FR"/>
        </w:rPr>
        <w:t>« </w:t>
      </w:r>
      <w:r w:rsidR="009E246C">
        <w:rPr>
          <w:lang w:val="fr-FR"/>
        </w:rPr>
        <w:t>free form</w:t>
      </w:r>
      <w:r w:rsidR="008C4597">
        <w:rPr>
          <w:lang w:val="fr-FR"/>
        </w:rPr>
        <w:t> »</w:t>
      </w:r>
      <w:r w:rsidR="009E246C" w:rsidRPr="00C55ED9">
        <w:rPr>
          <w:lang w:val="fr-FR"/>
        </w:rPr>
        <w:t xml:space="preserve"> </w:t>
      </w:r>
      <w:r w:rsidR="009E246C">
        <w:rPr>
          <w:lang w:val="fr-FR"/>
        </w:rPr>
        <w:t>à</w:t>
      </w:r>
      <w:r w:rsidR="009E246C" w:rsidRPr="00C55ED9">
        <w:rPr>
          <w:lang w:val="fr-FR"/>
        </w:rPr>
        <w:t xml:space="preserve"> la </w:t>
      </w:r>
      <w:r w:rsidR="009E246C">
        <w:rPr>
          <w:lang w:val="fr-FR"/>
        </w:rPr>
        <w:t>zone</w:t>
      </w:r>
      <w:r w:rsidR="009E246C" w:rsidRPr="00C55ED9">
        <w:rPr>
          <w:lang w:val="fr-FR"/>
        </w:rPr>
        <w:t xml:space="preserve"> asphérique du </w:t>
      </w:r>
      <w:r w:rsidR="009E246C">
        <w:rPr>
          <w:lang w:val="fr-FR"/>
        </w:rPr>
        <w:t>miroir</w:t>
      </w:r>
      <w:r w:rsidR="009E246C" w:rsidRPr="00C55ED9">
        <w:rPr>
          <w:lang w:val="fr-FR"/>
        </w:rPr>
        <w:t xml:space="preserve">, </w:t>
      </w:r>
      <w:r w:rsidR="009E246C">
        <w:rPr>
          <w:lang w:val="fr-FR"/>
        </w:rPr>
        <w:t>lorsque cette surface additionnelle est conçue pour agrandir la zone de visualisation de façon à améliorer la détection des véhicules arrivant par l</w:t>
      </w:r>
      <w:r w:rsidR="009E246C">
        <w:rPr>
          <w:lang w:val="fr-FR"/>
        </w:rPr>
        <w:t>’</w:t>
      </w:r>
      <w:r w:rsidR="009E246C">
        <w:rPr>
          <w:lang w:val="fr-FR"/>
        </w:rPr>
        <w:t>arrière dans les deux rétroviseurs extérieurs</w:t>
      </w:r>
      <w:r w:rsidR="009E246C" w:rsidRPr="00C55ED9">
        <w:rPr>
          <w:lang w:val="fr-FR"/>
        </w:rPr>
        <w:t xml:space="preserve">. </w:t>
      </w:r>
      <w:r w:rsidR="009E246C" w:rsidRPr="00B677A1">
        <w:rPr>
          <w:lang w:val="fr-FR"/>
        </w:rPr>
        <w:t>Tout en permettant d</w:t>
      </w:r>
      <w:r w:rsidR="009E246C">
        <w:rPr>
          <w:lang w:val="fr-FR"/>
        </w:rPr>
        <w:t>’</w:t>
      </w:r>
      <w:r w:rsidR="009E246C" w:rsidRPr="00B677A1">
        <w:rPr>
          <w:lang w:val="fr-FR"/>
        </w:rPr>
        <w:t xml:space="preserve">assurer le maintien de la conformité de la moyenne des rayons de courbure dans cette zone </w:t>
      </w:r>
      <w:r w:rsidR="009E246C">
        <w:rPr>
          <w:lang w:val="fr-FR"/>
        </w:rPr>
        <w:t>selon</w:t>
      </w:r>
      <w:r w:rsidR="009E246C" w:rsidRPr="00B677A1">
        <w:rPr>
          <w:lang w:val="fr-FR"/>
        </w:rPr>
        <w:t xml:space="preserve"> les dispositions du Règlement, la surface </w:t>
      </w:r>
      <w:r w:rsidR="008C4597">
        <w:rPr>
          <w:lang w:val="fr-FR"/>
        </w:rPr>
        <w:t>« </w:t>
      </w:r>
      <w:r w:rsidR="009E246C">
        <w:rPr>
          <w:lang w:val="fr-FR"/>
        </w:rPr>
        <w:t>free form</w:t>
      </w:r>
      <w:r w:rsidR="008C4597">
        <w:rPr>
          <w:lang w:val="fr-FR"/>
        </w:rPr>
        <w:t> »</w:t>
      </w:r>
      <w:r w:rsidR="009E246C" w:rsidRPr="00B677A1">
        <w:rPr>
          <w:lang w:val="fr-FR"/>
        </w:rPr>
        <w:t xml:space="preserve"> permettrait de réduire à la fois l</w:t>
      </w:r>
      <w:r w:rsidR="009E246C">
        <w:rPr>
          <w:lang w:val="fr-FR"/>
        </w:rPr>
        <w:t>’</w:t>
      </w:r>
      <w:r w:rsidR="009E246C" w:rsidRPr="00B677A1">
        <w:rPr>
          <w:lang w:val="fr-FR"/>
        </w:rPr>
        <w:t>altération des proportions et l</w:t>
      </w:r>
      <w:r w:rsidR="009E246C">
        <w:rPr>
          <w:lang w:val="fr-FR"/>
        </w:rPr>
        <w:t>’</w:t>
      </w:r>
      <w:r w:rsidR="009E246C" w:rsidRPr="00B677A1">
        <w:rPr>
          <w:lang w:val="fr-FR"/>
        </w:rPr>
        <w:t>écart de grossissement entre la zone du champ de vision et la zo</w:t>
      </w:r>
      <w:bookmarkStart w:id="3" w:name="_GoBack"/>
      <w:bookmarkEnd w:id="3"/>
      <w:r w:rsidR="009E246C" w:rsidRPr="00B677A1">
        <w:rPr>
          <w:lang w:val="fr-FR"/>
        </w:rPr>
        <w:t xml:space="preserve">ne additionnelle, ce qui améliorait le confort visuel du conducteur </w:t>
      </w:r>
      <w:r w:rsidR="009E246C">
        <w:rPr>
          <w:lang w:val="fr-FR"/>
        </w:rPr>
        <w:t>sur</w:t>
      </w:r>
      <w:r w:rsidR="009E246C" w:rsidRPr="00B677A1">
        <w:rPr>
          <w:lang w:val="fr-FR"/>
        </w:rPr>
        <w:t xml:space="preserve"> l</w:t>
      </w:r>
      <w:r w:rsidR="009E246C">
        <w:rPr>
          <w:lang w:val="fr-FR"/>
        </w:rPr>
        <w:t>’</w:t>
      </w:r>
      <w:r w:rsidR="009E246C" w:rsidRPr="00B677A1">
        <w:rPr>
          <w:lang w:val="fr-FR"/>
        </w:rPr>
        <w:t>ensemble du rétroviseur</w:t>
      </w:r>
      <w:r w:rsidR="009E246C" w:rsidRPr="001D200B">
        <w:rPr>
          <w:lang w:val="fr-FR"/>
        </w:rPr>
        <w:t>.</w:t>
      </w:r>
    </w:p>
    <w:p w:rsidR="009E246C" w:rsidRPr="00FA5C92" w:rsidRDefault="009E246C" w:rsidP="00A77F38">
      <w:pPr>
        <w:pStyle w:val="SingleTxtG"/>
        <w:rPr>
          <w:lang w:val="fr-FR"/>
        </w:rPr>
      </w:pPr>
      <w:r w:rsidRPr="00FA5C92">
        <w:rPr>
          <w:lang w:val="fr-FR"/>
        </w:rPr>
        <w:t>4.</w:t>
      </w:r>
      <w:r w:rsidRPr="00FA5C92">
        <w:rPr>
          <w:lang w:val="fr-FR"/>
        </w:rPr>
        <w:tab/>
        <w:t xml:space="preserve">Les modifications </w:t>
      </w:r>
      <w:r>
        <w:rPr>
          <w:lang w:val="fr-FR"/>
        </w:rPr>
        <w:t>qu</w:t>
      </w:r>
      <w:r>
        <w:rPr>
          <w:lang w:val="fr-FR"/>
        </w:rPr>
        <w:t>’</w:t>
      </w:r>
      <w:r>
        <w:rPr>
          <w:lang w:val="fr-FR"/>
        </w:rPr>
        <w:t>il est proposé d</w:t>
      </w:r>
      <w:r>
        <w:rPr>
          <w:lang w:val="fr-FR"/>
        </w:rPr>
        <w:t>’</w:t>
      </w:r>
      <w:r>
        <w:rPr>
          <w:lang w:val="fr-FR"/>
        </w:rPr>
        <w:t>apporter au</w:t>
      </w:r>
      <w:r w:rsidRPr="00FA5C92">
        <w:rPr>
          <w:lang w:val="fr-FR"/>
        </w:rPr>
        <w:t xml:space="preserve"> Règlement permettront aux constructeurs de véhicules de tirer pleinement parti des surfaces </w:t>
      </w:r>
      <w:r w:rsidR="008C4597">
        <w:rPr>
          <w:lang w:val="fr-FR"/>
        </w:rPr>
        <w:t>« </w:t>
      </w:r>
      <w:r>
        <w:rPr>
          <w:lang w:val="fr-FR"/>
        </w:rPr>
        <w:t>free form</w:t>
      </w:r>
      <w:r w:rsidR="008C4597">
        <w:rPr>
          <w:lang w:val="fr-FR"/>
        </w:rPr>
        <w:t> »</w:t>
      </w:r>
      <w:r w:rsidRPr="00FA5C92">
        <w:rPr>
          <w:lang w:val="fr-FR"/>
        </w:rPr>
        <w:t xml:space="preserve">, lesquelles </w:t>
      </w:r>
      <w:r>
        <w:rPr>
          <w:lang w:val="fr-FR"/>
        </w:rPr>
        <w:t>procureront</w:t>
      </w:r>
      <w:r w:rsidRPr="00FA5C92">
        <w:rPr>
          <w:lang w:val="fr-FR"/>
        </w:rPr>
        <w:t>, selon leur concepti</w:t>
      </w:r>
      <w:r>
        <w:rPr>
          <w:lang w:val="fr-FR"/>
        </w:rPr>
        <w:t>on, un ou plusieurs des avantages suivants </w:t>
      </w:r>
      <w:r w:rsidRPr="00FA5C92">
        <w:rPr>
          <w:lang w:val="fr-FR"/>
        </w:rPr>
        <w:t>:</w:t>
      </w:r>
    </w:p>
    <w:p w:rsidR="009E246C" w:rsidRPr="00FF2A66" w:rsidRDefault="009E246C" w:rsidP="00A77F38">
      <w:pPr>
        <w:pStyle w:val="Bullet1G"/>
        <w:rPr>
          <w:lang w:val="fr-FR"/>
        </w:rPr>
      </w:pPr>
      <w:r w:rsidRPr="00FF2A66">
        <w:rPr>
          <w:rFonts w:eastAsiaTheme="minorEastAsia"/>
          <w:lang w:val="fr-FR" w:eastAsia="zh-CN"/>
        </w:rPr>
        <w:t>Réduction de la distorsion optique</w:t>
      </w:r>
      <w:r w:rsidRPr="00FF2A66">
        <w:rPr>
          <w:lang w:val="fr-FR"/>
        </w:rPr>
        <w:t xml:space="preserve"> (cet objectif s</w:t>
      </w:r>
      <w:r>
        <w:rPr>
          <w:lang w:val="fr-FR"/>
        </w:rPr>
        <w:t>’</w:t>
      </w:r>
      <w:r w:rsidRPr="00FF2A66">
        <w:rPr>
          <w:lang w:val="fr-FR"/>
        </w:rPr>
        <w:t>applique en particulier aux surfaces asphériques des rétroviseurs asphériq</w:t>
      </w:r>
      <w:r>
        <w:rPr>
          <w:lang w:val="fr-FR"/>
        </w:rPr>
        <w:t>ues</w:t>
      </w:r>
      <w:r w:rsidRPr="00FF2A66">
        <w:rPr>
          <w:lang w:val="fr-FR"/>
        </w:rPr>
        <w:t xml:space="preserve">, </w:t>
      </w:r>
      <w:r>
        <w:rPr>
          <w:lang w:val="fr-FR"/>
        </w:rPr>
        <w:t xml:space="preserve">car la fonction simple énoncée au </w:t>
      </w:r>
      <w:r w:rsidRPr="00FF2A66">
        <w:rPr>
          <w:lang w:val="fr-FR"/>
        </w:rPr>
        <w:t xml:space="preserve">2.1.1.9 </w:t>
      </w:r>
      <w:r>
        <w:rPr>
          <w:lang w:val="fr-FR"/>
        </w:rPr>
        <w:t>donne en pratique une image réfléchie de mauvaise qualité</w:t>
      </w:r>
      <w:r w:rsidRPr="00FF2A66">
        <w:rPr>
          <w:lang w:val="fr-FR"/>
        </w:rPr>
        <w:t>)</w:t>
      </w:r>
      <w:r>
        <w:rPr>
          <w:lang w:val="fr-FR"/>
        </w:rPr>
        <w:t> </w:t>
      </w:r>
      <w:r w:rsidRPr="00FF2A66">
        <w:rPr>
          <w:lang w:val="fr-FR"/>
        </w:rPr>
        <w:t>;</w:t>
      </w:r>
    </w:p>
    <w:p w:rsidR="009E246C" w:rsidRPr="00B64FFE" w:rsidRDefault="009E246C" w:rsidP="00A77F38">
      <w:pPr>
        <w:pStyle w:val="Bullet1G"/>
        <w:rPr>
          <w:rFonts w:eastAsiaTheme="minorEastAsia"/>
          <w:lang w:eastAsia="zh-CN"/>
        </w:rPr>
      </w:pPr>
      <w:r>
        <w:t>Réduction de l</w:t>
      </w:r>
      <w:r>
        <w:t>’</w:t>
      </w:r>
      <w:r>
        <w:t>angle mort </w:t>
      </w:r>
      <w:r w:rsidRPr="00B64FFE">
        <w:rPr>
          <w:rFonts w:eastAsiaTheme="minorEastAsia"/>
          <w:lang w:eastAsia="zh-CN"/>
        </w:rPr>
        <w:t>;</w:t>
      </w:r>
    </w:p>
    <w:p w:rsidR="009E246C" w:rsidRPr="0054451F" w:rsidRDefault="009E246C" w:rsidP="00A77F38">
      <w:pPr>
        <w:pStyle w:val="Bullet1G"/>
        <w:tabs>
          <w:tab w:val="clear" w:pos="1701"/>
        </w:tabs>
        <w:rPr>
          <w:rFonts w:eastAsiaTheme="minorEastAsia"/>
          <w:lang w:eastAsia="zh-CN"/>
        </w:rPr>
      </w:pPr>
      <w:r w:rsidRPr="0054451F">
        <w:rPr>
          <w:rFonts w:eastAsiaTheme="minorEastAsia"/>
          <w:lang w:eastAsia="zh-CN"/>
        </w:rPr>
        <w:t xml:space="preserve">Réduction de la taille globale du rétroviseur, sans </w:t>
      </w:r>
      <w:r>
        <w:rPr>
          <w:rFonts w:eastAsiaTheme="minorEastAsia"/>
          <w:lang w:eastAsia="zh-CN"/>
        </w:rPr>
        <w:t>réduction</w:t>
      </w:r>
      <w:r w:rsidRPr="0054451F">
        <w:rPr>
          <w:rFonts w:eastAsiaTheme="minorEastAsia"/>
          <w:lang w:eastAsia="zh-CN"/>
        </w:rPr>
        <w:t xml:space="preserve"> du champ de vision, permettant une amélioration de l</w:t>
      </w:r>
      <w:r>
        <w:rPr>
          <w:rFonts w:eastAsiaTheme="minorEastAsia"/>
          <w:lang w:eastAsia="zh-CN"/>
        </w:rPr>
        <w:t>a performance aérodynamique du véhicule et une réduction de la consommation de carburant ou bien une augmentation de l</w:t>
      </w:r>
      <w:r>
        <w:rPr>
          <w:rFonts w:eastAsiaTheme="minorEastAsia"/>
          <w:lang w:eastAsia="zh-CN"/>
        </w:rPr>
        <w:t>’</w:t>
      </w:r>
      <w:r>
        <w:rPr>
          <w:rFonts w:eastAsiaTheme="minorEastAsia"/>
          <w:lang w:eastAsia="zh-CN"/>
        </w:rPr>
        <w:t>autonomie</w:t>
      </w:r>
      <w:r w:rsidRPr="0054451F">
        <w:rPr>
          <w:rFonts w:eastAsiaTheme="minorEastAsia"/>
          <w:lang w:eastAsia="zh-CN"/>
        </w:rPr>
        <w:t xml:space="preserve"> (</w:t>
      </w:r>
      <w:r>
        <w:rPr>
          <w:rFonts w:eastAsiaTheme="minorEastAsia"/>
          <w:lang w:eastAsia="zh-CN"/>
        </w:rPr>
        <w:t>dans le cas des voitures électriques à batterie</w:t>
      </w:r>
      <w:r w:rsidRPr="0054451F">
        <w:rPr>
          <w:rFonts w:eastAsiaTheme="minorEastAsia"/>
          <w:lang w:eastAsia="zh-CN"/>
        </w:rPr>
        <w:t>)</w:t>
      </w:r>
      <w:r>
        <w:rPr>
          <w:rFonts w:eastAsiaTheme="minorEastAsia"/>
          <w:lang w:eastAsia="zh-CN"/>
        </w:rPr>
        <w:t> </w:t>
      </w:r>
      <w:r w:rsidRPr="0054451F">
        <w:rPr>
          <w:rFonts w:eastAsiaTheme="minorEastAsia"/>
          <w:lang w:eastAsia="zh-CN"/>
        </w:rPr>
        <w:t>;</w:t>
      </w:r>
    </w:p>
    <w:p w:rsidR="009E246C" w:rsidRPr="001B4A5E" w:rsidRDefault="009E246C" w:rsidP="00A77F38">
      <w:pPr>
        <w:pStyle w:val="Bullet1G"/>
      </w:pPr>
      <w:r w:rsidRPr="001B4A5E">
        <w:rPr>
          <w:lang w:eastAsia="zh-CN"/>
        </w:rPr>
        <w:lastRenderedPageBreak/>
        <w:t>Vision plus claire et plus confortable pour le conducteur</w:t>
      </w:r>
      <w:r>
        <w:rPr>
          <w:lang w:eastAsia="zh-CN"/>
        </w:rPr>
        <w:t xml:space="preserve"> sur l</w:t>
      </w:r>
      <w:r>
        <w:rPr>
          <w:lang w:eastAsia="zh-CN"/>
        </w:rPr>
        <w:t>’</w:t>
      </w:r>
      <w:r>
        <w:rPr>
          <w:lang w:eastAsia="zh-CN"/>
        </w:rPr>
        <w:t>ensemble du rétroviseur</w:t>
      </w:r>
      <w:r w:rsidRPr="001B4A5E">
        <w:rPr>
          <w:lang w:eastAsia="zh-CN"/>
        </w:rPr>
        <w:t>, entraînant une amélioration de l</w:t>
      </w:r>
      <w:r>
        <w:rPr>
          <w:lang w:eastAsia="zh-CN"/>
        </w:rPr>
        <w:t>’</w:t>
      </w:r>
      <w:r w:rsidRPr="001B4A5E">
        <w:rPr>
          <w:lang w:eastAsia="zh-CN"/>
        </w:rPr>
        <w:t>ergonomie et de la sécurité</w:t>
      </w:r>
      <w:r w:rsidRPr="001B4A5E">
        <w:t>, lorsqu</w:t>
      </w:r>
      <w:r>
        <w:t>’</w:t>
      </w:r>
      <w:r w:rsidRPr="001B4A5E">
        <w:t xml:space="preserve">un rétroviseur asphérique est remplacé par un rétroviseur </w:t>
      </w:r>
      <w:r>
        <w:t xml:space="preserve">grand angle à surface </w:t>
      </w:r>
      <w:r w:rsidR="008C4597">
        <w:t>« </w:t>
      </w:r>
      <w:r>
        <w:t>free form</w:t>
      </w:r>
      <w:r w:rsidR="008C4597">
        <w:t> »</w:t>
      </w:r>
      <w:r>
        <w:t xml:space="preserve"> </w:t>
      </w:r>
      <w:r w:rsidRPr="001B4A5E">
        <w:t>(</w:t>
      </w:r>
      <w:r>
        <w:t xml:space="preserve">la vision binoculaire lors de la transition entre la zone sphérique et la zone asphérique peut être sensiblement améliorée si la surface </w:t>
      </w:r>
      <w:r w:rsidR="008C4597">
        <w:t>« </w:t>
      </w:r>
      <w:r>
        <w:t>free form</w:t>
      </w:r>
      <w:r w:rsidR="008C4597">
        <w:t> »</w:t>
      </w:r>
      <w:r>
        <w:t xml:space="preserve"> est correctement conçue de façon à garantir un changement de courbure fluide entre les deux parties du rétroviseur</w:t>
      </w:r>
      <w:r w:rsidRPr="001B4A5E">
        <w:t>).</w:t>
      </w:r>
    </w:p>
    <w:p w:rsidR="009E246C" w:rsidRPr="009E246C" w:rsidRDefault="009E246C" w:rsidP="009E246C">
      <w:pPr>
        <w:pStyle w:val="SingleTxtG"/>
        <w:spacing w:before="240" w:after="0"/>
        <w:jc w:val="center"/>
        <w:rPr>
          <w:u w:val="single"/>
        </w:rPr>
      </w:pPr>
      <w:r>
        <w:rPr>
          <w:u w:val="single"/>
        </w:rPr>
        <w:tab/>
      </w:r>
      <w:r>
        <w:rPr>
          <w:u w:val="single"/>
        </w:rPr>
        <w:tab/>
      </w:r>
      <w:r>
        <w:rPr>
          <w:u w:val="single"/>
        </w:rPr>
        <w:tab/>
      </w:r>
    </w:p>
    <w:sectPr w:rsidR="009E246C" w:rsidRPr="009E246C" w:rsidSect="007C2F7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1B5" w:rsidRDefault="00A771B5" w:rsidP="00F95C08">
      <w:pPr>
        <w:spacing w:line="240" w:lineRule="auto"/>
      </w:pPr>
    </w:p>
  </w:endnote>
  <w:endnote w:type="continuationSeparator" w:id="0">
    <w:p w:rsidR="00A771B5" w:rsidRPr="00AC3823" w:rsidRDefault="00A771B5" w:rsidP="00AC3823">
      <w:pPr>
        <w:pStyle w:val="Pieddepage"/>
      </w:pPr>
    </w:p>
  </w:endnote>
  <w:endnote w:type="continuationNotice" w:id="1">
    <w:p w:rsidR="00A771B5" w:rsidRDefault="00A771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F7B" w:rsidRPr="007C2F7B" w:rsidRDefault="007C2F7B" w:rsidP="007C2F7B">
    <w:pPr>
      <w:pStyle w:val="Pieddepage"/>
      <w:tabs>
        <w:tab w:val="right" w:pos="9638"/>
      </w:tabs>
    </w:pPr>
    <w:r w:rsidRPr="007C2F7B">
      <w:rPr>
        <w:b/>
        <w:sz w:val="18"/>
      </w:rPr>
      <w:fldChar w:fldCharType="begin"/>
    </w:r>
    <w:r w:rsidRPr="007C2F7B">
      <w:rPr>
        <w:b/>
        <w:sz w:val="18"/>
      </w:rPr>
      <w:instrText xml:space="preserve"> PAGE  \* MERGEFORMAT </w:instrText>
    </w:r>
    <w:r w:rsidRPr="007C2F7B">
      <w:rPr>
        <w:b/>
        <w:sz w:val="18"/>
      </w:rPr>
      <w:fldChar w:fldCharType="separate"/>
    </w:r>
    <w:r w:rsidRPr="007C2F7B">
      <w:rPr>
        <w:b/>
        <w:noProof/>
        <w:sz w:val="18"/>
      </w:rPr>
      <w:t>2</w:t>
    </w:r>
    <w:r w:rsidRPr="007C2F7B">
      <w:rPr>
        <w:b/>
        <w:sz w:val="18"/>
      </w:rPr>
      <w:fldChar w:fldCharType="end"/>
    </w:r>
    <w:r>
      <w:rPr>
        <w:b/>
        <w:sz w:val="18"/>
      </w:rPr>
      <w:tab/>
    </w:r>
    <w:r>
      <w:t>GE.20-00790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F7B" w:rsidRPr="007C2F7B" w:rsidRDefault="007C2F7B" w:rsidP="007C2F7B">
    <w:pPr>
      <w:pStyle w:val="Pieddepage"/>
      <w:tabs>
        <w:tab w:val="right" w:pos="9638"/>
      </w:tabs>
      <w:rPr>
        <w:b/>
        <w:sz w:val="18"/>
      </w:rPr>
    </w:pPr>
    <w:r>
      <w:t>GE.20-00790</w:t>
    </w:r>
    <w:r>
      <w:tab/>
    </w:r>
    <w:r w:rsidRPr="007C2F7B">
      <w:rPr>
        <w:b/>
        <w:sz w:val="18"/>
      </w:rPr>
      <w:fldChar w:fldCharType="begin"/>
    </w:r>
    <w:r w:rsidRPr="007C2F7B">
      <w:rPr>
        <w:b/>
        <w:sz w:val="18"/>
      </w:rPr>
      <w:instrText xml:space="preserve"> PAGE  \* MERGEFORMAT </w:instrText>
    </w:r>
    <w:r w:rsidRPr="007C2F7B">
      <w:rPr>
        <w:b/>
        <w:sz w:val="18"/>
      </w:rPr>
      <w:fldChar w:fldCharType="separate"/>
    </w:r>
    <w:r w:rsidRPr="007C2F7B">
      <w:rPr>
        <w:b/>
        <w:noProof/>
        <w:sz w:val="18"/>
      </w:rPr>
      <w:t>3</w:t>
    </w:r>
    <w:r w:rsidRPr="007C2F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7C2F7B" w:rsidRDefault="007C2F7B" w:rsidP="007C2F7B">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20-00790  (F)    310120    030220</w:t>
    </w:r>
    <w:r>
      <w:rPr>
        <w:sz w:val="20"/>
      </w:rPr>
      <w:br/>
    </w:r>
    <w:r w:rsidRPr="007C2F7B">
      <w:rPr>
        <w:rFonts w:ascii="C39T30Lfz" w:hAnsi="C39T30Lfz"/>
        <w:sz w:val="56"/>
      </w:rPr>
      <w:t></w:t>
    </w:r>
    <w:r w:rsidRPr="007C2F7B">
      <w:rPr>
        <w:rFonts w:ascii="C39T30Lfz" w:hAnsi="C39T30Lfz"/>
        <w:sz w:val="56"/>
      </w:rPr>
      <w:t></w:t>
    </w:r>
    <w:r w:rsidRPr="007C2F7B">
      <w:rPr>
        <w:rFonts w:ascii="C39T30Lfz" w:hAnsi="C39T30Lfz"/>
        <w:sz w:val="56"/>
      </w:rPr>
      <w:t></w:t>
    </w:r>
    <w:r w:rsidRPr="007C2F7B">
      <w:rPr>
        <w:rFonts w:ascii="C39T30Lfz" w:hAnsi="C39T30Lfz"/>
        <w:sz w:val="56"/>
      </w:rPr>
      <w:t></w:t>
    </w:r>
    <w:r w:rsidRPr="007C2F7B">
      <w:rPr>
        <w:rFonts w:ascii="C39T30Lfz" w:hAnsi="C39T30Lfz"/>
        <w:sz w:val="56"/>
      </w:rPr>
      <w:t></w:t>
    </w:r>
    <w:r w:rsidRPr="007C2F7B">
      <w:rPr>
        <w:rFonts w:ascii="C39T30Lfz" w:hAnsi="C39T30Lfz"/>
        <w:sz w:val="56"/>
      </w:rPr>
      <w:t></w:t>
    </w:r>
    <w:r w:rsidRPr="007C2F7B">
      <w:rPr>
        <w:rFonts w:ascii="C39T30Lfz" w:hAnsi="C39T30Lfz"/>
        <w:sz w:val="56"/>
      </w:rPr>
      <w:t></w:t>
    </w:r>
    <w:r w:rsidRPr="007C2F7B">
      <w:rPr>
        <w:rFonts w:ascii="C39T30Lfz" w:hAnsi="C39T30Lfz"/>
        <w:sz w:val="56"/>
      </w:rPr>
      <w:t></w:t>
    </w:r>
    <w:r w:rsidRPr="007C2F7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20/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1B5" w:rsidRPr="00AC3823" w:rsidRDefault="00A771B5" w:rsidP="00AC3823">
      <w:pPr>
        <w:pStyle w:val="Pieddepage"/>
        <w:tabs>
          <w:tab w:val="right" w:pos="2155"/>
        </w:tabs>
        <w:spacing w:after="80" w:line="240" w:lineRule="atLeast"/>
        <w:ind w:left="680"/>
        <w:rPr>
          <w:u w:val="single"/>
        </w:rPr>
      </w:pPr>
      <w:r>
        <w:rPr>
          <w:u w:val="single"/>
        </w:rPr>
        <w:tab/>
      </w:r>
    </w:p>
  </w:footnote>
  <w:footnote w:type="continuationSeparator" w:id="0">
    <w:p w:rsidR="00A771B5" w:rsidRPr="00AC3823" w:rsidRDefault="00A771B5" w:rsidP="00AC3823">
      <w:pPr>
        <w:pStyle w:val="Pieddepage"/>
        <w:tabs>
          <w:tab w:val="right" w:pos="2155"/>
        </w:tabs>
        <w:spacing w:after="80" w:line="240" w:lineRule="atLeast"/>
        <w:ind w:left="680"/>
        <w:rPr>
          <w:u w:val="single"/>
        </w:rPr>
      </w:pPr>
      <w:r>
        <w:rPr>
          <w:u w:val="single"/>
        </w:rPr>
        <w:tab/>
      </w:r>
    </w:p>
  </w:footnote>
  <w:footnote w:type="continuationNotice" w:id="1">
    <w:p w:rsidR="00A771B5" w:rsidRPr="00AC3823" w:rsidRDefault="00A771B5">
      <w:pPr>
        <w:spacing w:line="240" w:lineRule="auto"/>
        <w:rPr>
          <w:sz w:val="2"/>
          <w:szCs w:val="2"/>
        </w:rPr>
      </w:pPr>
    </w:p>
  </w:footnote>
  <w:footnote w:id="2">
    <w:p w:rsidR="009E246C" w:rsidRPr="009E246C" w:rsidRDefault="009E246C" w:rsidP="009E246C">
      <w:pPr>
        <w:pStyle w:val="Notedebasdepage"/>
      </w:pPr>
      <w:r>
        <w:rPr>
          <w:rStyle w:val="Appelnotedebasdep"/>
        </w:rPr>
        <w:tab/>
      </w:r>
      <w:r w:rsidRPr="009E246C">
        <w:rPr>
          <w:rStyle w:val="Appelnotedebasdep"/>
          <w:sz w:val="20"/>
          <w:vertAlign w:val="baseline"/>
        </w:rPr>
        <w:t>*</w:t>
      </w:r>
      <w:r>
        <w:rPr>
          <w:rStyle w:val="Appelnotedebasdep"/>
          <w:sz w:val="20"/>
          <w:vertAlign w:val="baseline"/>
        </w:rPr>
        <w:tab/>
      </w:r>
      <w:r w:rsidRPr="009E246C">
        <w:rPr>
          <w:szCs w:val="18"/>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F7B" w:rsidRPr="007C2F7B" w:rsidRDefault="007C2F7B">
    <w:pPr>
      <w:pStyle w:val="En-tte"/>
    </w:pPr>
    <w:fldSimple w:instr=" TITLE  \* MERGEFORMAT ">
      <w:r>
        <w:t>ECE/TRANS/WP.29/GRSG/2020/6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F7B" w:rsidRPr="007C2F7B" w:rsidRDefault="007C2F7B" w:rsidP="007C2F7B">
    <w:pPr>
      <w:pStyle w:val="En-tte"/>
      <w:jc w:val="right"/>
    </w:pPr>
    <w:fldSimple w:instr=" TITLE  \* MERGEFORMAT ">
      <w:r>
        <w:t>ECE/TRANS/WP.29/GRSG/2020/6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0AD4362"/>
    <w:multiLevelType w:val="hybridMultilevel"/>
    <w:tmpl w:val="7ED2CE36"/>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C75CCD18"/>
    <w:lvl w:ilvl="0" w:tplc="9DF65542">
      <w:start w:val="1"/>
      <w:numFmt w:val="bullet"/>
      <w:pStyle w:val="Bullet1G"/>
      <w:lvlText w:val="•"/>
      <w:lvlJc w:val="left"/>
      <w:pPr>
        <w:tabs>
          <w:tab w:val="num" w:pos="1701"/>
        </w:tabs>
        <w:ind w:left="1701" w:hanging="170"/>
      </w:pPr>
      <w:rPr>
        <w:rFonts w:ascii="Times New Roman" w:hAnsi="Times New Roman" w:cs="Times New Roman" w:hint="default"/>
        <w:lang w:val="fr-FR"/>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71B5"/>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51042"/>
    <w:rsid w:val="0071601D"/>
    <w:rsid w:val="007A62E6"/>
    <w:rsid w:val="007C2F7B"/>
    <w:rsid w:val="007F20FA"/>
    <w:rsid w:val="0080684C"/>
    <w:rsid w:val="00871C75"/>
    <w:rsid w:val="008776DC"/>
    <w:rsid w:val="008C4597"/>
    <w:rsid w:val="009446C0"/>
    <w:rsid w:val="00960AED"/>
    <w:rsid w:val="009705C8"/>
    <w:rsid w:val="009C1CF4"/>
    <w:rsid w:val="009E246C"/>
    <w:rsid w:val="009F6B74"/>
    <w:rsid w:val="00A3029F"/>
    <w:rsid w:val="00A30353"/>
    <w:rsid w:val="00A771B5"/>
    <w:rsid w:val="00A77F38"/>
    <w:rsid w:val="00AC3823"/>
    <w:rsid w:val="00AE323C"/>
    <w:rsid w:val="00AF0CB5"/>
    <w:rsid w:val="00B00181"/>
    <w:rsid w:val="00B00B0D"/>
    <w:rsid w:val="00B45F2E"/>
    <w:rsid w:val="00B765F7"/>
    <w:rsid w:val="00BA0CA9"/>
    <w:rsid w:val="00C02897"/>
    <w:rsid w:val="00C249B0"/>
    <w:rsid w:val="00C4603B"/>
    <w:rsid w:val="00C72D81"/>
    <w:rsid w:val="00C97039"/>
    <w:rsid w:val="00D3439C"/>
    <w:rsid w:val="00DB1831"/>
    <w:rsid w:val="00DC75A1"/>
    <w:rsid w:val="00DD3BFD"/>
    <w:rsid w:val="00DF6678"/>
    <w:rsid w:val="00E0299A"/>
    <w:rsid w:val="00E85C74"/>
    <w:rsid w:val="00E96D6C"/>
    <w:rsid w:val="00EA6547"/>
    <w:rsid w:val="00EF2E22"/>
    <w:rsid w:val="00F35BAF"/>
    <w:rsid w:val="00F44B23"/>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B9754C"/>
  <w15:docId w15:val="{14FE6A26-445D-4A2A-9DCD-8DAA6178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uiPriority w:val="99"/>
    <w:locked/>
    <w:rsid w:val="009E246C"/>
    <w:rPr>
      <w:rFonts w:ascii="Times New Roman" w:eastAsiaTheme="minorHAnsi" w:hAnsi="Times New Roman" w:cs="Times New Roman"/>
      <w:sz w:val="20"/>
      <w:szCs w:val="20"/>
      <w:lang w:eastAsia="en-US"/>
    </w:rPr>
  </w:style>
  <w:style w:type="character" w:customStyle="1" w:styleId="HChGChar">
    <w:name w:val="_ H _Ch_G Char"/>
    <w:link w:val="HChG"/>
    <w:uiPriority w:val="99"/>
    <w:locked/>
    <w:rsid w:val="009E246C"/>
    <w:rPr>
      <w:rFonts w:ascii="Times New Roman" w:eastAsiaTheme="minorHAnsi" w:hAnsi="Times New Roman" w:cs="Times New Roman"/>
      <w:b/>
      <w:sz w:val="28"/>
      <w:szCs w:val="20"/>
      <w:lang w:eastAsia="en-US"/>
    </w:rPr>
  </w:style>
  <w:style w:type="character" w:styleId="Textedelespacerserv">
    <w:name w:val="Placeholder Text"/>
    <w:basedOn w:val="Policepardfaut"/>
    <w:uiPriority w:val="99"/>
    <w:semiHidden/>
    <w:rsid w:val="006510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1399</Words>
  <Characters>7742</Characters>
  <Application>Microsoft Office Word</Application>
  <DocSecurity>0</DocSecurity>
  <Lines>140</Lines>
  <Paragraphs>54</Paragraphs>
  <ScaleCrop>false</ScaleCrop>
  <HeadingPairs>
    <vt:vector size="2" baseType="variant">
      <vt:variant>
        <vt:lpstr>Titre</vt:lpstr>
      </vt:variant>
      <vt:variant>
        <vt:i4>1</vt:i4>
      </vt:variant>
    </vt:vector>
  </HeadingPairs>
  <TitlesOfParts>
    <vt:vector size="1" baseType="lpstr">
      <vt:lpstr>ECE/TRANS/WP.29/GRSG/2020/6</vt:lpstr>
    </vt:vector>
  </TitlesOfParts>
  <Company>DCM</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ECE/TRANS/WP.29/GRSG/2020/6</dc:title>
  <dc:subject/>
  <dc:creator>Sandrine CLERE</dc:creator>
  <cp:keywords/>
  <cp:lastModifiedBy>Sandrine Clere</cp:lastModifiedBy>
  <cp:revision>2</cp:revision>
  <cp:lastPrinted>2014-05-14T10:59:00Z</cp:lastPrinted>
  <dcterms:created xsi:type="dcterms:W3CDTF">2020-02-03T07:01:00Z</dcterms:created>
  <dcterms:modified xsi:type="dcterms:W3CDTF">2020-02-03T07:01:00Z</dcterms:modified>
</cp:coreProperties>
</file>