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785AC2" w14:paraId="42A5C8D1" w14:textId="77777777" w:rsidTr="002E2BA8">
        <w:trPr>
          <w:cantSplit/>
          <w:trHeight w:hRule="exact" w:val="851"/>
        </w:trPr>
        <w:tc>
          <w:tcPr>
            <w:tcW w:w="1276" w:type="dxa"/>
            <w:tcBorders>
              <w:bottom w:val="single" w:sz="4" w:space="0" w:color="auto"/>
            </w:tcBorders>
            <w:vAlign w:val="bottom"/>
          </w:tcPr>
          <w:p w14:paraId="046631D7" w14:textId="77777777" w:rsidR="00785AC2" w:rsidRDefault="00785AC2" w:rsidP="002E2BA8">
            <w:pPr>
              <w:spacing w:after="80"/>
            </w:pPr>
          </w:p>
        </w:tc>
        <w:tc>
          <w:tcPr>
            <w:tcW w:w="2268" w:type="dxa"/>
            <w:tcBorders>
              <w:bottom w:val="single" w:sz="4" w:space="0" w:color="auto"/>
            </w:tcBorders>
            <w:vAlign w:val="bottom"/>
          </w:tcPr>
          <w:p w14:paraId="5F92BB5A" w14:textId="77777777" w:rsidR="00785AC2" w:rsidRPr="00B97172" w:rsidRDefault="00785AC2" w:rsidP="002E2BA8">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1B2A5905" w14:textId="0A073C32" w:rsidR="00785AC2" w:rsidRPr="00D47EEA" w:rsidRDefault="00785AC2" w:rsidP="002E2BA8">
            <w:pPr>
              <w:jc w:val="right"/>
            </w:pPr>
            <w:r w:rsidRPr="00735ECE">
              <w:rPr>
                <w:sz w:val="40"/>
              </w:rPr>
              <w:t>ECE</w:t>
            </w:r>
            <w:r>
              <w:t>/TRANS/WP.29/GRSG/20</w:t>
            </w:r>
            <w:r w:rsidR="002B4811">
              <w:t>20</w:t>
            </w:r>
            <w:r>
              <w:t>/</w:t>
            </w:r>
            <w:r w:rsidR="007D1EE3">
              <w:t>6</w:t>
            </w:r>
          </w:p>
        </w:tc>
      </w:tr>
      <w:tr w:rsidR="00785AC2" w14:paraId="3392CB4C" w14:textId="77777777" w:rsidTr="002E2BA8">
        <w:trPr>
          <w:cantSplit/>
          <w:trHeight w:hRule="exact" w:val="2835"/>
        </w:trPr>
        <w:tc>
          <w:tcPr>
            <w:tcW w:w="1276" w:type="dxa"/>
            <w:tcBorders>
              <w:top w:val="single" w:sz="4" w:space="0" w:color="auto"/>
              <w:bottom w:val="single" w:sz="12" w:space="0" w:color="auto"/>
            </w:tcBorders>
          </w:tcPr>
          <w:p w14:paraId="6D15D603" w14:textId="77777777" w:rsidR="00785AC2" w:rsidRDefault="00785AC2" w:rsidP="002E2BA8">
            <w:pPr>
              <w:spacing w:before="120"/>
            </w:pPr>
            <w:r>
              <w:rPr>
                <w:noProof/>
                <w:lang w:val="it-IT" w:eastAsia="it-IT"/>
              </w:rPr>
              <w:drawing>
                <wp:inline distT="0" distB="0" distL="0" distR="0" wp14:anchorId="6028CD4A" wp14:editId="18588BE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C013FE" w14:textId="77777777" w:rsidR="00785AC2" w:rsidRPr="00D773DF" w:rsidRDefault="00785AC2" w:rsidP="002E2BA8">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8CBEE7C" w14:textId="77777777" w:rsidR="00785AC2" w:rsidRDefault="00785AC2" w:rsidP="002E2BA8">
            <w:pPr>
              <w:spacing w:before="240" w:line="240" w:lineRule="exact"/>
            </w:pPr>
            <w:r>
              <w:t>Distr.: General</w:t>
            </w:r>
          </w:p>
          <w:p w14:paraId="2288E497" w14:textId="7614B034" w:rsidR="00785AC2" w:rsidRDefault="00B64FFE" w:rsidP="002E2BA8">
            <w:pPr>
              <w:spacing w:line="240" w:lineRule="exact"/>
            </w:pPr>
            <w:r>
              <w:t>20</w:t>
            </w:r>
            <w:r w:rsidR="00785AC2">
              <w:t xml:space="preserve"> J</w:t>
            </w:r>
            <w:r w:rsidR="002B4811">
              <w:t>anuary</w:t>
            </w:r>
            <w:r w:rsidR="00785AC2">
              <w:t xml:space="preserve"> 20</w:t>
            </w:r>
            <w:r w:rsidR="002B4811">
              <w:t>20</w:t>
            </w:r>
          </w:p>
          <w:p w14:paraId="78B62AA7" w14:textId="77777777" w:rsidR="00785AC2" w:rsidRDefault="00785AC2" w:rsidP="002E2BA8">
            <w:pPr>
              <w:spacing w:line="240" w:lineRule="exact"/>
            </w:pPr>
          </w:p>
          <w:p w14:paraId="7F8F328A" w14:textId="77777777" w:rsidR="00785AC2" w:rsidRDefault="00785AC2" w:rsidP="002E2BA8">
            <w:pPr>
              <w:spacing w:line="240" w:lineRule="exact"/>
            </w:pPr>
            <w:r>
              <w:t>Original: English</w:t>
            </w:r>
          </w:p>
        </w:tc>
      </w:tr>
    </w:tbl>
    <w:p w14:paraId="218E037E" w14:textId="77777777" w:rsidR="00785AC2" w:rsidRPr="001D703D" w:rsidRDefault="00785AC2" w:rsidP="00785AC2">
      <w:pPr>
        <w:spacing w:before="120"/>
        <w:rPr>
          <w:b/>
          <w:sz w:val="28"/>
          <w:szCs w:val="28"/>
        </w:rPr>
      </w:pPr>
      <w:r w:rsidRPr="001D703D">
        <w:rPr>
          <w:b/>
          <w:sz w:val="28"/>
          <w:szCs w:val="28"/>
        </w:rPr>
        <w:t>Economic Commission for Europe</w:t>
      </w:r>
    </w:p>
    <w:p w14:paraId="1FF657A2" w14:textId="77777777" w:rsidR="00F607C0" w:rsidRDefault="00F607C0">
      <w:pPr>
        <w:spacing w:before="120"/>
        <w:rPr>
          <w:sz w:val="28"/>
          <w:szCs w:val="28"/>
        </w:rPr>
      </w:pPr>
      <w:r>
        <w:rPr>
          <w:sz w:val="28"/>
          <w:szCs w:val="28"/>
        </w:rPr>
        <w:t>Inland Transport Committee</w:t>
      </w:r>
    </w:p>
    <w:p w14:paraId="488CB120" w14:textId="77777777" w:rsidR="00F607C0" w:rsidRDefault="00F607C0">
      <w:pPr>
        <w:spacing w:before="120"/>
        <w:rPr>
          <w:b/>
          <w:sz w:val="24"/>
          <w:szCs w:val="24"/>
        </w:rPr>
      </w:pPr>
      <w:r>
        <w:rPr>
          <w:b/>
          <w:sz w:val="24"/>
          <w:szCs w:val="24"/>
        </w:rPr>
        <w:t>World Forum for Harmonization of Vehicle Regulations</w:t>
      </w:r>
    </w:p>
    <w:p w14:paraId="5873F935" w14:textId="77777777" w:rsidR="00F607C0" w:rsidRDefault="00F607C0">
      <w:pPr>
        <w:spacing w:before="120"/>
        <w:rPr>
          <w:b/>
        </w:rPr>
      </w:pPr>
      <w:r>
        <w:rPr>
          <w:b/>
        </w:rPr>
        <w:t>Working Party on General Safety Provisions</w:t>
      </w:r>
    </w:p>
    <w:p w14:paraId="742C4543" w14:textId="76689DD7" w:rsidR="0082103C" w:rsidRPr="00C64574" w:rsidRDefault="0082103C" w:rsidP="0082103C">
      <w:pPr>
        <w:spacing w:before="120"/>
        <w:rPr>
          <w:b/>
        </w:rPr>
      </w:pPr>
      <w:r w:rsidRPr="00C64574">
        <w:rPr>
          <w:b/>
        </w:rPr>
        <w:t>1</w:t>
      </w:r>
      <w:r>
        <w:rPr>
          <w:b/>
        </w:rPr>
        <w:t>1</w:t>
      </w:r>
      <w:r w:rsidR="002B4811">
        <w:rPr>
          <w:b/>
        </w:rPr>
        <w:t>8</w:t>
      </w:r>
      <w:r w:rsidRPr="000A63F8">
        <w:rPr>
          <w:b/>
        </w:rPr>
        <w:t xml:space="preserve">th </w:t>
      </w:r>
      <w:r w:rsidRPr="00C64574">
        <w:rPr>
          <w:b/>
        </w:rPr>
        <w:t>session</w:t>
      </w:r>
    </w:p>
    <w:p w14:paraId="616A0177" w14:textId="2913F173" w:rsidR="0082103C" w:rsidRPr="00C64574" w:rsidRDefault="0082103C" w:rsidP="0082103C">
      <w:r w:rsidRPr="00C64574">
        <w:t xml:space="preserve">Geneva, </w:t>
      </w:r>
      <w:r w:rsidR="002B4811">
        <w:t>30 March</w:t>
      </w:r>
      <w:r w:rsidR="00222D9F">
        <w:t>-</w:t>
      </w:r>
      <w:r w:rsidR="002B4811">
        <w:t>3</w:t>
      </w:r>
      <w:r>
        <w:t xml:space="preserve"> </w:t>
      </w:r>
      <w:r w:rsidR="002B4811">
        <w:t>Ap</w:t>
      </w:r>
      <w:r>
        <w:t>r</w:t>
      </w:r>
      <w:r w:rsidR="002B4811">
        <w:t>il</w:t>
      </w:r>
      <w:r w:rsidRPr="00C64574">
        <w:t xml:space="preserve"> 20</w:t>
      </w:r>
      <w:r w:rsidR="002B4811">
        <w:t>20</w:t>
      </w:r>
    </w:p>
    <w:p w14:paraId="3AC72240" w14:textId="2729379F" w:rsidR="0082103C" w:rsidRDefault="0082103C" w:rsidP="0082103C">
      <w:r w:rsidRPr="00DF418A">
        <w:t xml:space="preserve">Item </w:t>
      </w:r>
      <w:r w:rsidR="007D1EE3">
        <w:t>5</w:t>
      </w:r>
      <w:r w:rsidR="00B64FFE">
        <w:t xml:space="preserve"> </w:t>
      </w:r>
      <w:r w:rsidR="002B4811">
        <w:t>(a)</w:t>
      </w:r>
      <w:r w:rsidRPr="00DF418A">
        <w:t xml:space="preserve"> of the provisional agenda</w:t>
      </w:r>
    </w:p>
    <w:p w14:paraId="73479D5C" w14:textId="7078524B" w:rsidR="008E03C3" w:rsidRPr="008E03C3" w:rsidRDefault="008E03C3" w:rsidP="0082103C">
      <w:pPr>
        <w:rPr>
          <w:b/>
        </w:rPr>
      </w:pPr>
      <w:r w:rsidRPr="008E03C3">
        <w:rPr>
          <w:b/>
        </w:rPr>
        <w:t>Awareness of the proximity of Vulnerable Road Users</w:t>
      </w:r>
      <w:r>
        <w:rPr>
          <w:b/>
        </w:rPr>
        <w:t>:</w:t>
      </w:r>
    </w:p>
    <w:p w14:paraId="0479B9EF" w14:textId="27F03497" w:rsidR="00F607C0" w:rsidRDefault="00F607C0">
      <w:pPr>
        <w:rPr>
          <w:b/>
          <w:lang w:val="en-US"/>
        </w:rPr>
      </w:pPr>
      <w:r>
        <w:rPr>
          <w:b/>
        </w:rPr>
        <w:t xml:space="preserve">UN Regulation No. </w:t>
      </w:r>
      <w:r w:rsidR="002B4811">
        <w:rPr>
          <w:b/>
        </w:rPr>
        <w:t>4</w:t>
      </w:r>
      <w:r>
        <w:rPr>
          <w:b/>
        </w:rPr>
        <w:t>6 (</w:t>
      </w:r>
      <w:r w:rsidR="002B4811">
        <w:rPr>
          <w:b/>
        </w:rPr>
        <w:t>Devices for indirect vision</w:t>
      </w:r>
      <w:r>
        <w:rPr>
          <w:b/>
        </w:rPr>
        <w:t>)</w:t>
      </w:r>
    </w:p>
    <w:p w14:paraId="4CDEC0A4" w14:textId="2AB82039" w:rsidR="00F607C0" w:rsidRDefault="00F607C0" w:rsidP="00B64FFE">
      <w:pPr>
        <w:pStyle w:val="HChG"/>
      </w:pPr>
      <w:r>
        <w:rPr>
          <w:sz w:val="26"/>
          <w:szCs w:val="26"/>
        </w:rPr>
        <w:tab/>
      </w:r>
      <w:r>
        <w:rPr>
          <w:sz w:val="26"/>
          <w:szCs w:val="26"/>
        </w:rPr>
        <w:tab/>
      </w:r>
      <w:r>
        <w:t xml:space="preserve">Proposal for </w:t>
      </w:r>
      <w:r w:rsidR="002B4811">
        <w:t xml:space="preserve">a new Supplement to </w:t>
      </w:r>
      <w:r>
        <w:t xml:space="preserve">the 04 series of </w:t>
      </w:r>
      <w:r w:rsidRPr="00B64FFE">
        <w:t>amendments</w:t>
      </w:r>
      <w:r>
        <w:t xml:space="preserve"> to UN Regulation No. </w:t>
      </w:r>
      <w:r w:rsidR="002B4811">
        <w:t>4</w:t>
      </w:r>
      <w:r>
        <w:t>6 (</w:t>
      </w:r>
      <w:r w:rsidR="002B4811">
        <w:t>Devices for indirect vision</w:t>
      </w:r>
      <w:r>
        <w:t>)</w:t>
      </w:r>
    </w:p>
    <w:p w14:paraId="189143F9" w14:textId="0C003F0B" w:rsidR="00F607C0" w:rsidRDefault="00F607C0">
      <w:pPr>
        <w:pStyle w:val="H1G"/>
        <w:tabs>
          <w:tab w:val="left" w:pos="8505"/>
        </w:tabs>
        <w:ind w:firstLine="0"/>
        <w:rPr>
          <w:vertAlign w:val="superscript"/>
        </w:rPr>
      </w:pPr>
      <w:r>
        <w:t xml:space="preserve">Submitted by the expert from </w:t>
      </w:r>
      <w:r w:rsidR="002B4811">
        <w:t>Italy</w:t>
      </w:r>
      <w:r w:rsidR="00E8137B" w:rsidRPr="0097132E">
        <w:rPr>
          <w:rStyle w:val="FootnoteReference"/>
          <w:sz w:val="24"/>
          <w:szCs w:val="24"/>
          <w:vertAlign w:val="baseline"/>
        </w:rPr>
        <w:footnoteReference w:customMarkFollows="1" w:id="1"/>
        <w:t>*</w:t>
      </w:r>
    </w:p>
    <w:p w14:paraId="17E96C9E" w14:textId="0E7FD288" w:rsidR="0082103C" w:rsidRDefault="00F607C0" w:rsidP="00B64FFE">
      <w:pPr>
        <w:pStyle w:val="SingleTxtG"/>
        <w:ind w:firstLine="567"/>
      </w:pPr>
      <w:r>
        <w:t xml:space="preserve">The text reproduced below was prepared by the expert from </w:t>
      </w:r>
      <w:r w:rsidR="002B4811">
        <w:t>Italy</w:t>
      </w:r>
      <w:r>
        <w:t xml:space="preserve"> to </w:t>
      </w:r>
      <w:r w:rsidR="002B4811">
        <w:t>adapt the provisions</w:t>
      </w:r>
      <w:r w:rsidR="00DC0D2A">
        <w:t xml:space="preserve"> of</w:t>
      </w:r>
      <w:r>
        <w:t xml:space="preserve"> UN Regulation No. </w:t>
      </w:r>
      <w:r w:rsidR="002B4811">
        <w:t>4</w:t>
      </w:r>
      <w:r>
        <w:t xml:space="preserve">6 </w:t>
      </w:r>
      <w:r w:rsidR="002B4811">
        <w:t>to allow the usage of free form mirrors as an alternative to spherical mirrors</w:t>
      </w:r>
      <w:r>
        <w:t xml:space="preserve">. It is based on </w:t>
      </w:r>
      <w:r w:rsidR="009B279C">
        <w:t xml:space="preserve">informal </w:t>
      </w:r>
      <w:r>
        <w:t>document</w:t>
      </w:r>
      <w:r w:rsidR="009B279C">
        <w:t>s</w:t>
      </w:r>
      <w:r>
        <w:t xml:space="preserve"> GRSG</w:t>
      </w:r>
      <w:r w:rsidR="009B279C">
        <w:t>-</w:t>
      </w:r>
      <w:r>
        <w:t>11</w:t>
      </w:r>
      <w:r w:rsidR="009B279C">
        <w:t>7-16 and GRSG-117-17</w:t>
      </w:r>
      <w:r>
        <w:t xml:space="preserve"> that </w:t>
      </w:r>
      <w:r w:rsidR="009B279C">
        <w:t>were</w:t>
      </w:r>
      <w:r>
        <w:t xml:space="preserve"> presented at the 11</w:t>
      </w:r>
      <w:r w:rsidR="009B279C">
        <w:t>7</w:t>
      </w:r>
      <w:r>
        <w:t>th session of the Working Party on General Safety Provisions (GRSG) (see report ECE/TRANS/WP.29/GRSG/9</w:t>
      </w:r>
      <w:r w:rsidR="009B279C">
        <w:t>6</w:t>
      </w:r>
      <w:r>
        <w:t xml:space="preserve">, para. </w:t>
      </w:r>
      <w:r w:rsidR="009B279C">
        <w:t>32</w:t>
      </w:r>
      <w:r>
        <w:t xml:space="preserve">). The modifications to the current text of UN Regulation No. </w:t>
      </w:r>
      <w:r w:rsidR="009B279C">
        <w:t>4</w:t>
      </w:r>
      <w:r>
        <w:t>6 are marked in bold characters for new and strikethrough for deleted characters.</w:t>
      </w:r>
    </w:p>
    <w:p w14:paraId="70F8B5F9" w14:textId="77777777" w:rsidR="0082103C" w:rsidRDefault="0082103C">
      <w:pPr>
        <w:tabs>
          <w:tab w:val="left" w:pos="8505"/>
        </w:tabs>
        <w:ind w:left="1134" w:right="1134" w:firstLine="567"/>
        <w:jc w:val="both"/>
      </w:pPr>
    </w:p>
    <w:p w14:paraId="106A03BA" w14:textId="77777777" w:rsidR="00F607C0" w:rsidRDefault="00F607C0">
      <w:pPr>
        <w:tabs>
          <w:tab w:val="left" w:pos="8505"/>
        </w:tabs>
        <w:ind w:left="1134" w:right="1134" w:firstLine="567"/>
        <w:jc w:val="both"/>
      </w:pPr>
      <w:r>
        <w:br w:type="page"/>
      </w:r>
    </w:p>
    <w:p w14:paraId="4E1DAA32" w14:textId="77777777" w:rsidR="00F607C0" w:rsidRDefault="006F6664" w:rsidP="006F6664">
      <w:pPr>
        <w:pStyle w:val="HChG"/>
      </w:pPr>
      <w:r>
        <w:lastRenderedPageBreak/>
        <w:tab/>
      </w:r>
      <w:r w:rsidR="00F607C0">
        <w:t>I.</w:t>
      </w:r>
      <w:r w:rsidR="00F607C0">
        <w:tab/>
        <w:t>Proposal</w:t>
      </w:r>
    </w:p>
    <w:p w14:paraId="63171FC5" w14:textId="1F7F20F0" w:rsidR="00F607C0" w:rsidRDefault="00F607C0">
      <w:pPr>
        <w:tabs>
          <w:tab w:val="left" w:pos="2268"/>
        </w:tabs>
        <w:spacing w:before="120" w:after="120" w:line="240" w:lineRule="auto"/>
        <w:ind w:left="2268" w:right="1134" w:hanging="1134"/>
        <w:jc w:val="both"/>
      </w:pPr>
      <w:bookmarkStart w:id="0" w:name="__DdeLink__9642_1795226899"/>
      <w:r>
        <w:rPr>
          <w:i/>
        </w:rPr>
        <w:t xml:space="preserve">Paragraphs </w:t>
      </w:r>
      <w:r w:rsidR="00AE6268">
        <w:rPr>
          <w:i/>
        </w:rPr>
        <w:t>2</w:t>
      </w:r>
      <w:r>
        <w:rPr>
          <w:i/>
        </w:rPr>
        <w:t>.</w:t>
      </w:r>
      <w:r w:rsidR="00AE6268">
        <w:rPr>
          <w:i/>
        </w:rPr>
        <w:t>1.1.7</w:t>
      </w:r>
      <w:r>
        <w:rPr>
          <w:i/>
        </w:rPr>
        <w:t xml:space="preserve">. to </w:t>
      </w:r>
      <w:r w:rsidR="00AE6268">
        <w:rPr>
          <w:i/>
        </w:rPr>
        <w:t>2</w:t>
      </w:r>
      <w:r>
        <w:rPr>
          <w:i/>
        </w:rPr>
        <w:t>.</w:t>
      </w:r>
      <w:r w:rsidR="00AE6268">
        <w:rPr>
          <w:i/>
        </w:rPr>
        <w:t>1.1</w:t>
      </w:r>
      <w:r>
        <w:rPr>
          <w:i/>
        </w:rPr>
        <w:t>.</w:t>
      </w:r>
      <w:r w:rsidR="00AE6268">
        <w:rPr>
          <w:i/>
        </w:rPr>
        <w:t>9</w:t>
      </w:r>
      <w:r>
        <w:rPr>
          <w:i/>
        </w:rPr>
        <w:t>.,</w:t>
      </w:r>
      <w:bookmarkEnd w:id="0"/>
      <w:r>
        <w:t xml:space="preserve"> amend to read:</w:t>
      </w:r>
    </w:p>
    <w:p w14:paraId="092AC015" w14:textId="5E27F371" w:rsidR="00F607C0" w:rsidRDefault="00F607C0">
      <w:pPr>
        <w:tabs>
          <w:tab w:val="left" w:pos="2268"/>
        </w:tabs>
        <w:spacing w:before="120" w:after="120" w:line="240" w:lineRule="auto"/>
        <w:ind w:left="2268" w:right="1134" w:hanging="1134"/>
        <w:jc w:val="both"/>
      </w:pPr>
      <w:bookmarkStart w:id="1" w:name="A0_S6_4_"/>
      <w:r>
        <w:t>"</w:t>
      </w:r>
      <w:r w:rsidR="00AE6268">
        <w:t>2</w:t>
      </w:r>
      <w:r>
        <w:t>.</w:t>
      </w:r>
      <w:r w:rsidR="00AE6268">
        <w:t>1</w:t>
      </w:r>
      <w:r>
        <w:t>.</w:t>
      </w:r>
      <w:bookmarkEnd w:id="1"/>
      <w:r w:rsidR="00AE6268">
        <w:t>1.7.</w:t>
      </w:r>
      <w:r>
        <w:tab/>
      </w:r>
      <w:r w:rsidR="00AE6268" w:rsidRPr="00AE6268">
        <w:t xml:space="preserve">"Spherical surface" means a </w:t>
      </w:r>
      <w:r w:rsidR="00AE6268" w:rsidRPr="00AE6268">
        <w:rPr>
          <w:b/>
          <w:bCs/>
        </w:rPr>
        <w:t>convex</w:t>
      </w:r>
      <w:r w:rsidR="00AE6268" w:rsidRPr="00AE6268">
        <w:t xml:space="preserve"> surface, which has </w:t>
      </w:r>
      <w:r w:rsidR="00AE6268" w:rsidRPr="00AE6268">
        <w:rPr>
          <w:strike/>
        </w:rPr>
        <w:t>a constant and equal radius in all directions</w:t>
      </w:r>
      <w:r w:rsidR="00AE6268" w:rsidRPr="00AE6268">
        <w:rPr>
          <w:b/>
          <w:bCs/>
        </w:rPr>
        <w:t>, in both horizontal and vertical direction, measured radii of curvature compliant with the provisions given in paragraphs 6.1.2.2.2 and 6.1.2.2.4.</w:t>
      </w:r>
    </w:p>
    <w:p w14:paraId="48178E3D" w14:textId="1AC811DD" w:rsidR="00F607C0" w:rsidRDefault="00AE6268">
      <w:pPr>
        <w:tabs>
          <w:tab w:val="left" w:pos="2268"/>
        </w:tabs>
        <w:spacing w:before="120" w:after="120" w:line="240" w:lineRule="auto"/>
        <w:ind w:left="2268" w:right="1134" w:hanging="1134"/>
        <w:jc w:val="both"/>
      </w:pPr>
      <w:r>
        <w:t>2</w:t>
      </w:r>
      <w:r w:rsidR="00F607C0">
        <w:t>.</w:t>
      </w:r>
      <w:r>
        <w:t>1</w:t>
      </w:r>
      <w:r w:rsidR="00F607C0">
        <w:t>.1.</w:t>
      </w:r>
      <w:r>
        <w:t>8.</w:t>
      </w:r>
      <w:r w:rsidR="00F607C0">
        <w:tab/>
      </w:r>
      <w:r w:rsidRPr="00AE6268">
        <w:t xml:space="preserve">"Aspherical surface" means a </w:t>
      </w:r>
      <w:r w:rsidRPr="00AE6268">
        <w:rPr>
          <w:b/>
          <w:bCs/>
        </w:rPr>
        <w:t>convex</w:t>
      </w:r>
      <w:r w:rsidRPr="00AE6268">
        <w:t xml:space="preserve"> surface, which </w:t>
      </w:r>
      <w:r w:rsidRPr="00AE6268">
        <w:rPr>
          <w:strike/>
        </w:rPr>
        <w:t>has only in one plane a constant radius</w:t>
      </w:r>
      <w:r w:rsidRPr="00AE6268">
        <w:t xml:space="preserve"> </w:t>
      </w:r>
      <w:r w:rsidRPr="00AE6268">
        <w:rPr>
          <w:b/>
          <w:bCs/>
        </w:rPr>
        <w:t>may have variable radii of curvature both in the horizontal and vertical direction.</w:t>
      </w:r>
    </w:p>
    <w:p w14:paraId="4AB8A53B" w14:textId="4D554976" w:rsidR="00F607C0" w:rsidRDefault="00AE6268">
      <w:pPr>
        <w:tabs>
          <w:tab w:val="left" w:pos="2268"/>
        </w:tabs>
        <w:spacing w:before="120" w:after="120" w:line="240" w:lineRule="auto"/>
        <w:ind w:left="2268" w:right="1134" w:hanging="1134"/>
        <w:jc w:val="both"/>
      </w:pPr>
      <w:bookmarkStart w:id="2" w:name="A0_S6_4_2_"/>
      <w:r>
        <w:t>2</w:t>
      </w:r>
      <w:r w:rsidR="00F607C0">
        <w:t>.</w:t>
      </w:r>
      <w:r>
        <w:t>1</w:t>
      </w:r>
      <w:r w:rsidR="00F607C0">
        <w:t>.</w:t>
      </w:r>
      <w:r>
        <w:t>1</w:t>
      </w:r>
      <w:r w:rsidR="00F607C0">
        <w:t>.</w:t>
      </w:r>
      <w:bookmarkEnd w:id="2"/>
      <w:r>
        <w:t>9.</w:t>
      </w:r>
      <w:r w:rsidR="00F607C0">
        <w:tab/>
      </w:r>
      <w:r w:rsidRPr="00AE6268">
        <w:t>"Aspherical mirror" means a mirror composed of a spherical and an aspherical part</w:t>
      </w:r>
      <w:r w:rsidRPr="00AE6268">
        <w:rPr>
          <w:b/>
          <w:bCs/>
        </w:rPr>
        <w:t>, defined in 2.1.1.7 and 2.1.1.8 respectively,</w:t>
      </w:r>
      <w:r w:rsidRPr="00AE6268">
        <w:t xml:space="preserve"> in which the transition of the reflecting surface from the spherical to the aspherical part has to be marked. </w:t>
      </w:r>
      <w:r w:rsidRPr="00AE6268">
        <w:rPr>
          <w:b/>
          <w:bCs/>
        </w:rPr>
        <w:t xml:space="preserve">As an example, </w:t>
      </w:r>
      <w:r w:rsidRPr="00AE6268">
        <w:t xml:space="preserve">the curvature of the main axis of the mirrors </w:t>
      </w:r>
      <w:r w:rsidRPr="00AE6268">
        <w:rPr>
          <w:strike/>
        </w:rPr>
        <w:t>is</w:t>
      </w:r>
      <w:r w:rsidRPr="00AE6268">
        <w:t xml:space="preserve"> </w:t>
      </w:r>
      <w:r w:rsidRPr="0027542D">
        <w:rPr>
          <w:b/>
          <w:bCs/>
        </w:rPr>
        <w:t>may be</w:t>
      </w:r>
      <w:r w:rsidRPr="00AE6268">
        <w:t xml:space="preserve"> defined in the x/y coordinate system defined by the radius of the spherical primary calotte with:</w:t>
      </w:r>
    </w:p>
    <w:p w14:paraId="298AC193" w14:textId="1020A657" w:rsidR="00AE6268" w:rsidRDefault="00AE6268">
      <w:pPr>
        <w:tabs>
          <w:tab w:val="left" w:pos="2268"/>
        </w:tabs>
        <w:spacing w:before="120" w:after="120" w:line="240" w:lineRule="auto"/>
        <w:ind w:left="2268" w:right="1134" w:hanging="1134"/>
        <w:jc w:val="both"/>
      </w:pPr>
      <w:r>
        <w:tab/>
      </w:r>
      <w:r w:rsidR="0027542D">
        <w:tab/>
      </w:r>
      <w:r w:rsidR="0027542D">
        <w:tab/>
      </w:r>
      <w:r w:rsidR="0027542D">
        <w:tab/>
      </w:r>
      <w:r w:rsidR="0027542D">
        <w:rPr>
          <w:rFonts w:ascii="Calibri" w:hAnsi="Calibri" w:cs="Calibri"/>
          <w:noProof/>
          <w:lang w:val="it-IT" w:eastAsia="it-IT"/>
        </w:rPr>
        <w:drawing>
          <wp:inline distT="0" distB="0" distL="0" distR="0" wp14:anchorId="5C4975D0" wp14:editId="4F9A0310">
            <wp:extent cx="2145600" cy="259200"/>
            <wp:effectExtent l="0" t="0" r="7620" b="7620"/>
            <wp:docPr id="4" name="Immagine 1" descr="C:\Users\musso\AppData\Local\Temp\notes95E17C\~b3724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musso\AppData\Local\Temp\notes95E17C\~b37248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5600" cy="259200"/>
                    </a:xfrm>
                    <a:prstGeom prst="rect">
                      <a:avLst/>
                    </a:prstGeom>
                    <a:noFill/>
                    <a:ln>
                      <a:noFill/>
                    </a:ln>
                  </pic:spPr>
                </pic:pic>
              </a:graphicData>
            </a:graphic>
          </wp:inline>
        </w:drawing>
      </w:r>
    </w:p>
    <w:p w14:paraId="094BC565" w14:textId="0622F6FF" w:rsidR="00AE6268" w:rsidRDefault="00AE6268">
      <w:pPr>
        <w:tabs>
          <w:tab w:val="left" w:pos="2268"/>
        </w:tabs>
        <w:spacing w:before="120" w:after="120" w:line="240" w:lineRule="auto"/>
        <w:ind w:left="2268" w:right="1134" w:hanging="1134"/>
        <w:jc w:val="both"/>
      </w:pPr>
      <w:r>
        <w:tab/>
      </w:r>
      <w:r w:rsidR="0027542D" w:rsidRPr="0027542D">
        <w:t>Where:</w:t>
      </w:r>
    </w:p>
    <w:p w14:paraId="597BE2CC" w14:textId="5A431ADE" w:rsidR="00AE6268" w:rsidRDefault="00AE6268">
      <w:pPr>
        <w:tabs>
          <w:tab w:val="left" w:pos="2268"/>
        </w:tabs>
        <w:spacing w:before="120" w:after="120" w:line="240" w:lineRule="auto"/>
        <w:ind w:left="2268" w:right="1134" w:hanging="1134"/>
        <w:jc w:val="both"/>
      </w:pPr>
      <w:r>
        <w:tab/>
      </w:r>
      <w:r w:rsidR="0027542D" w:rsidRPr="0027542D">
        <w:t>R: nominal radius in the spherical part</w:t>
      </w:r>
    </w:p>
    <w:p w14:paraId="34D1497E" w14:textId="3E3A3C32" w:rsidR="00AE6268" w:rsidRDefault="00AE6268">
      <w:pPr>
        <w:tabs>
          <w:tab w:val="left" w:pos="2268"/>
        </w:tabs>
        <w:spacing w:before="120" w:after="120" w:line="240" w:lineRule="auto"/>
        <w:ind w:left="2268" w:right="1134" w:hanging="1134"/>
        <w:jc w:val="both"/>
      </w:pPr>
      <w:r>
        <w:tab/>
      </w:r>
      <w:r w:rsidR="0027542D" w:rsidRPr="0027542D">
        <w:t>k: constant for the change of curvature</w:t>
      </w:r>
    </w:p>
    <w:p w14:paraId="3F0DD66B" w14:textId="7E8C8496" w:rsidR="00AE6268" w:rsidRDefault="00AE6268">
      <w:pPr>
        <w:tabs>
          <w:tab w:val="left" w:pos="2268"/>
        </w:tabs>
        <w:spacing w:before="120" w:after="120" w:line="240" w:lineRule="auto"/>
        <w:ind w:left="2268" w:right="1134" w:hanging="1134"/>
        <w:jc w:val="both"/>
      </w:pPr>
      <w:r>
        <w:tab/>
      </w:r>
      <w:r w:rsidR="0027542D" w:rsidRPr="0027542D">
        <w:t>a: constant for the spherical size of the spherical primary calotte</w:t>
      </w:r>
      <w:r w:rsidR="0027542D">
        <w:t>"</w:t>
      </w:r>
    </w:p>
    <w:p w14:paraId="7EAF63CC" w14:textId="7397B117" w:rsidR="00F607C0" w:rsidRDefault="0027542D" w:rsidP="00B64FFE">
      <w:pPr>
        <w:keepNext/>
        <w:tabs>
          <w:tab w:val="left" w:pos="2268"/>
        </w:tabs>
        <w:spacing w:before="120" w:after="120" w:line="240" w:lineRule="auto"/>
        <w:ind w:left="2268" w:right="1134" w:hanging="1134"/>
        <w:jc w:val="both"/>
      </w:pPr>
      <w:r>
        <w:rPr>
          <w:i/>
        </w:rPr>
        <w:t>P</w:t>
      </w:r>
      <w:r w:rsidR="00F607C0">
        <w:rPr>
          <w:i/>
        </w:rPr>
        <w:t xml:space="preserve">aragraph </w:t>
      </w:r>
      <w:r>
        <w:rPr>
          <w:i/>
        </w:rPr>
        <w:t>6</w:t>
      </w:r>
      <w:r w:rsidR="00F607C0">
        <w:rPr>
          <w:i/>
        </w:rPr>
        <w:t>.</w:t>
      </w:r>
      <w:r>
        <w:rPr>
          <w:i/>
        </w:rPr>
        <w:t>1.2.2</w:t>
      </w:r>
      <w:r w:rsidR="00F607C0">
        <w:rPr>
          <w:i/>
        </w:rPr>
        <w:t>.1</w:t>
      </w:r>
      <w:r w:rsidR="006F6664">
        <w:rPr>
          <w:i/>
        </w:rPr>
        <w:t>.</w:t>
      </w:r>
      <w:r w:rsidR="00F607C0">
        <w:rPr>
          <w:i/>
        </w:rPr>
        <w:t>,</w:t>
      </w:r>
      <w:r w:rsidR="006F6664">
        <w:rPr>
          <w:i/>
        </w:rPr>
        <w:t xml:space="preserve"> </w:t>
      </w:r>
      <w:r>
        <w:rPr>
          <w:iCs/>
        </w:rPr>
        <w:t>amend t</w:t>
      </w:r>
      <w:r w:rsidR="006F6664">
        <w:rPr>
          <w:iCs/>
        </w:rPr>
        <w:t>o read</w:t>
      </w:r>
      <w:r w:rsidR="00F607C0">
        <w:t>:</w:t>
      </w:r>
    </w:p>
    <w:p w14:paraId="29948C4F" w14:textId="50502008" w:rsidR="00F607C0" w:rsidRPr="0027542D" w:rsidRDefault="001D6C5C" w:rsidP="006F6664">
      <w:pPr>
        <w:pStyle w:val="HChG"/>
        <w:spacing w:before="0" w:after="120" w:line="240" w:lineRule="auto"/>
        <w:ind w:left="2268"/>
        <w:jc w:val="both"/>
        <w:rPr>
          <w:b w:val="0"/>
          <w:color w:val="000000"/>
          <w:sz w:val="20"/>
        </w:rPr>
      </w:pPr>
      <w:r w:rsidRPr="0027542D">
        <w:rPr>
          <w:b w:val="0"/>
          <w:color w:val="000000"/>
          <w:sz w:val="20"/>
          <w:lang w:eastAsia="en-US"/>
        </w:rPr>
        <w:t>"</w:t>
      </w:r>
      <w:r w:rsidR="0027542D" w:rsidRPr="0027542D">
        <w:rPr>
          <w:b w:val="0"/>
          <w:color w:val="000000"/>
          <w:sz w:val="20"/>
          <w:lang w:eastAsia="en-US"/>
        </w:rPr>
        <w:t>6.1.2.2.1.</w:t>
      </w:r>
      <w:r w:rsidR="00340A6E" w:rsidRPr="0027542D">
        <w:rPr>
          <w:b w:val="0"/>
          <w:color w:val="000000"/>
          <w:sz w:val="20"/>
          <w:lang w:eastAsia="en-US"/>
        </w:rPr>
        <w:tab/>
      </w:r>
      <w:r w:rsidR="0027542D" w:rsidRPr="0027542D">
        <w:rPr>
          <w:b w:val="0"/>
          <w:color w:val="000000"/>
          <w:sz w:val="20"/>
          <w:lang w:eastAsia="en-US"/>
        </w:rPr>
        <w:t xml:space="preserve">The reflecting surface of a mirror shall be either flat or </w:t>
      </w:r>
      <w:r w:rsidR="0027542D" w:rsidRPr="00541748">
        <w:rPr>
          <w:b w:val="0"/>
          <w:strike/>
          <w:color w:val="000000"/>
          <w:sz w:val="20"/>
          <w:lang w:eastAsia="en-US"/>
        </w:rPr>
        <w:t>spherically</w:t>
      </w:r>
      <w:r w:rsidR="0027542D" w:rsidRPr="0027542D">
        <w:rPr>
          <w:b w:val="0"/>
          <w:color w:val="000000"/>
          <w:sz w:val="20"/>
          <w:lang w:eastAsia="en-US"/>
        </w:rPr>
        <w:t xml:space="preserve"> convex. Exterior mirrors may be equipped with an additional aspherical part provided that the main mirror fulfils the requirements of the indirect field of vision."</w:t>
      </w:r>
    </w:p>
    <w:p w14:paraId="107D5C2B" w14:textId="77777777" w:rsidR="00F607C0" w:rsidRPr="006F6664" w:rsidRDefault="00F607C0" w:rsidP="006F6664">
      <w:pPr>
        <w:pStyle w:val="HChG"/>
      </w:pPr>
      <w:r w:rsidRPr="006F6664">
        <w:tab/>
        <w:t>II.</w:t>
      </w:r>
      <w:r w:rsidRPr="006F6664">
        <w:tab/>
        <w:t>Justification</w:t>
      </w:r>
    </w:p>
    <w:p w14:paraId="34458FF9" w14:textId="4AF26C17" w:rsidR="0005715A" w:rsidRDefault="001D6C5C">
      <w:pPr>
        <w:spacing w:before="120" w:line="240" w:lineRule="auto"/>
        <w:ind w:left="1134" w:right="1134"/>
        <w:jc w:val="both"/>
      </w:pPr>
      <w:r>
        <w:t>1.</w:t>
      </w:r>
      <w:r>
        <w:tab/>
      </w:r>
      <w:r w:rsidR="0027542D" w:rsidRPr="0027542D">
        <w:t xml:space="preserve">The purpose of the proposal is to offer an update of quality in optical vision by adopting innovative surface designs and manufacturing processes.  The intention is to let the current spherical product continue to be offered on the market and at the same time to allow </w:t>
      </w:r>
      <w:r w:rsidR="004A29E9">
        <w:t xml:space="preserve">for </w:t>
      </w:r>
      <w:r w:rsidR="0027542D" w:rsidRPr="0027542D">
        <w:t>the new generation of optical reflecting mirrors being offered to the market in order to improve the quality of the reflected images</w:t>
      </w:r>
      <w:r w:rsidR="004A29E9">
        <w:t xml:space="preserve"> and optimize the mirror size for a given field of vision</w:t>
      </w:r>
      <w:r w:rsidR="0027542D" w:rsidRPr="0027542D">
        <w:t>.</w:t>
      </w:r>
    </w:p>
    <w:p w14:paraId="00F31301" w14:textId="125EDB85" w:rsidR="004A29E9" w:rsidRDefault="004A29E9" w:rsidP="004A29E9">
      <w:pPr>
        <w:spacing w:before="120" w:line="240" w:lineRule="auto"/>
        <w:ind w:left="1134" w:right="1134"/>
        <w:jc w:val="both"/>
      </w:pPr>
      <w:r>
        <w:t>2.</w:t>
      </w:r>
      <w:r>
        <w:tab/>
      </w:r>
      <w:r w:rsidR="00852CAE">
        <w:t>Historically</w:t>
      </w:r>
      <w:r w:rsidR="00852CAE" w:rsidRPr="00852CAE">
        <w:t xml:space="preserve">, the need to extend the field of vision for safety purposes suggested to adopt the spherical surface as it was the easiest surface to design and to produce. </w:t>
      </w:r>
      <w:r w:rsidR="00852CAE">
        <w:t xml:space="preserve">As an example, for </w:t>
      </w:r>
      <w:r w:rsidR="00FC5A7E">
        <w:t>the main rear</w:t>
      </w:r>
      <w:r w:rsidR="00FC5A7E">
        <w:noBreakHyphen/>
        <w:t>view</w:t>
      </w:r>
      <w:r w:rsidR="00852CAE">
        <w:t xml:space="preserve"> mirrors, t</w:t>
      </w:r>
      <w:r w:rsidR="00852CAE" w:rsidRPr="00852CAE">
        <w:t>he radius was reduced step by step till the actual limit of 1200 mm as a good compromise among different requirements: field of view, mirror size, reflected objects dimensions and image distortion</w:t>
      </w:r>
      <w:r w:rsidR="00852CAE">
        <w:t>.</w:t>
      </w:r>
    </w:p>
    <w:p w14:paraId="33B52AC0" w14:textId="6DCA81E2" w:rsidR="00852CAE" w:rsidRDefault="00852CAE" w:rsidP="004A29E9">
      <w:pPr>
        <w:spacing w:before="120" w:line="240" w:lineRule="auto"/>
        <w:ind w:left="1134" w:right="1134"/>
        <w:jc w:val="both"/>
      </w:pPr>
      <w:r>
        <w:t>UN Reg</w:t>
      </w:r>
      <w:r w:rsidRPr="00852CAE">
        <w:t xml:space="preserve">ulation </w:t>
      </w:r>
      <w:r>
        <w:t xml:space="preserve">No. 46, in its actual form, </w:t>
      </w:r>
      <w:r w:rsidRPr="00852CAE">
        <w:t xml:space="preserve">is responding to the need of geometrical verification of the mirror surface indicating </w:t>
      </w:r>
      <w:r w:rsidR="00FC5A7E">
        <w:t>specific requirements</w:t>
      </w:r>
      <w:r w:rsidRPr="00852CAE">
        <w:t xml:space="preserve"> related to the surface geometry </w:t>
      </w:r>
      <w:r w:rsidR="00FC5A7E">
        <w:t>–</w:t>
      </w:r>
      <w:r w:rsidRPr="00852CAE">
        <w:t xml:space="preserve"> </w:t>
      </w:r>
      <w:r w:rsidR="00FC5A7E">
        <w:t xml:space="preserve">that has to be </w:t>
      </w:r>
      <w:r w:rsidRPr="00852CAE">
        <w:t xml:space="preserve">spherically convex </w:t>
      </w:r>
      <w:r w:rsidR="00E43A91">
        <w:t>with</w:t>
      </w:r>
      <w:r w:rsidRPr="00852CAE">
        <w:t xml:space="preserve"> </w:t>
      </w:r>
      <w:r w:rsidR="00FC5A7E">
        <w:t>a</w:t>
      </w:r>
      <w:r w:rsidRPr="00852CAE">
        <w:t xml:space="preserve"> mean radius </w:t>
      </w:r>
      <w:r w:rsidR="00FC5A7E">
        <w:t>within specified limits for each Class</w:t>
      </w:r>
      <w:r>
        <w:t xml:space="preserve"> </w:t>
      </w:r>
      <w:r w:rsidR="00FC5A7E">
        <w:t>–</w:t>
      </w:r>
      <w:r w:rsidRPr="00852CAE">
        <w:t xml:space="preserve"> as a result of measurements taken at given positions on the convex surface </w:t>
      </w:r>
      <w:r w:rsidR="00FC5A7E">
        <w:t xml:space="preserve">in order </w:t>
      </w:r>
      <w:r w:rsidRPr="00852CAE">
        <w:t xml:space="preserve">to </w:t>
      </w:r>
      <w:r w:rsidR="00FC5A7E">
        <w:t>ensure</w:t>
      </w:r>
      <w:r w:rsidRPr="00852CAE">
        <w:t xml:space="preserve"> a minimum size of reflected objects at a given distance</w:t>
      </w:r>
      <w:r>
        <w:t>.</w:t>
      </w:r>
    </w:p>
    <w:p w14:paraId="533D39C8" w14:textId="630BAE79" w:rsidR="00852CAE" w:rsidRDefault="00852CAE" w:rsidP="004A29E9">
      <w:pPr>
        <w:spacing w:before="120" w:line="240" w:lineRule="auto"/>
        <w:ind w:left="1134" w:right="1134"/>
        <w:jc w:val="both"/>
      </w:pPr>
      <w:r>
        <w:t>Vehicles</w:t>
      </w:r>
      <w:r w:rsidRPr="00852CAE">
        <w:t xml:space="preserve"> should ideally be equipped with perfectly spherical mirrors. In reality, because of the production process, all of the mirrors </w:t>
      </w:r>
      <w:r>
        <w:t>have been</w:t>
      </w:r>
      <w:r w:rsidRPr="00852CAE">
        <w:t xml:space="preserve"> provided with surfaces in which each point </w:t>
      </w:r>
      <w:r w:rsidR="00E43A91">
        <w:t xml:space="preserve">is </w:t>
      </w:r>
      <w:r w:rsidRPr="00852CAE">
        <w:t>randomly deviate</w:t>
      </w:r>
      <w:r w:rsidR="00E43A91">
        <w:t>d</w:t>
      </w:r>
      <w:r w:rsidRPr="00852CAE">
        <w:t xml:space="preserve"> with respect to the position on the ideal sphere</w:t>
      </w:r>
      <w:r>
        <w:t>.</w:t>
      </w:r>
    </w:p>
    <w:p w14:paraId="2AC02EF6" w14:textId="0A653626" w:rsidR="00852CAE" w:rsidRDefault="00E43A91" w:rsidP="004A29E9">
      <w:pPr>
        <w:spacing w:before="120" w:line="240" w:lineRule="auto"/>
        <w:ind w:left="1134" w:right="1134"/>
        <w:jc w:val="both"/>
      </w:pPr>
      <w:r>
        <w:t>Furthermore, t</w:t>
      </w:r>
      <w:r w:rsidRPr="00E43A91">
        <w:t xml:space="preserve">he </w:t>
      </w:r>
      <w:r w:rsidR="00FC5A7E">
        <w:t xml:space="preserve">main </w:t>
      </w:r>
      <w:r w:rsidR="00FC5A7E" w:rsidRPr="00E43A91">
        <w:t xml:space="preserve">optical </w:t>
      </w:r>
      <w:r w:rsidR="009E6A52">
        <w:t xml:space="preserve">properties which define the </w:t>
      </w:r>
      <w:r w:rsidRPr="00E43A91">
        <w:t>quality</w:t>
      </w:r>
      <w:r w:rsidR="009E6A52" w:rsidRPr="009E6A52">
        <w:t xml:space="preserve"> </w:t>
      </w:r>
      <w:r w:rsidR="009E6A52" w:rsidRPr="00E43A91">
        <w:t xml:space="preserve">of </w:t>
      </w:r>
      <w:r w:rsidR="009E6A52">
        <w:t xml:space="preserve">the </w:t>
      </w:r>
      <w:r w:rsidR="009E6A52" w:rsidRPr="00E43A91">
        <w:t xml:space="preserve">reflected objects </w:t>
      </w:r>
      <w:r w:rsidR="00FC5A7E">
        <w:t xml:space="preserve">– </w:t>
      </w:r>
      <w:r w:rsidR="009E6A52">
        <w:t xml:space="preserve">i.e. </w:t>
      </w:r>
      <w:r w:rsidRPr="00E43A91">
        <w:t xml:space="preserve">distortion and </w:t>
      </w:r>
      <w:r w:rsidR="00FC5A7E">
        <w:t xml:space="preserve">aspect </w:t>
      </w:r>
      <w:r w:rsidRPr="00E43A91">
        <w:t>ratio</w:t>
      </w:r>
      <w:r w:rsidR="009E6A52">
        <w:t xml:space="preserve"> </w:t>
      </w:r>
      <w:r w:rsidR="00FC5A7E">
        <w:t>–</w:t>
      </w:r>
      <w:r w:rsidRPr="00E43A91">
        <w:t xml:space="preserve"> are not </w:t>
      </w:r>
      <w:r w:rsidR="009E6A52">
        <w:t>defined</w:t>
      </w:r>
      <w:r w:rsidRPr="00E43A91">
        <w:t xml:space="preserve"> in the Regulation and are left to the quality assurance protocols negotiat</w:t>
      </w:r>
      <w:r w:rsidR="009E6A52">
        <w:t>ed</w:t>
      </w:r>
      <w:r w:rsidRPr="00E43A91">
        <w:t xml:space="preserve"> between </w:t>
      </w:r>
      <w:r w:rsidR="009E6A52">
        <w:t>OEMs</w:t>
      </w:r>
      <w:r w:rsidRPr="00E43A91">
        <w:t xml:space="preserve"> and mirror suppliers</w:t>
      </w:r>
      <w:r w:rsidR="009E6A52">
        <w:t>.</w:t>
      </w:r>
    </w:p>
    <w:p w14:paraId="4B7C9955" w14:textId="5B4C0BAB" w:rsidR="004A29E9" w:rsidRDefault="004A29E9" w:rsidP="004A29E9">
      <w:pPr>
        <w:spacing w:before="120" w:line="240" w:lineRule="auto"/>
        <w:ind w:left="1134" w:right="1134"/>
        <w:jc w:val="both"/>
      </w:pPr>
      <w:r>
        <w:t>3.</w:t>
      </w:r>
      <w:r>
        <w:tab/>
      </w:r>
      <w:r w:rsidR="009E6A52" w:rsidRPr="009E6A52">
        <w:t>In the last ten years many studies have been done on the optical behaviour of non</w:t>
      </w:r>
      <w:r w:rsidR="009E6A52">
        <w:noBreakHyphen/>
      </w:r>
      <w:r w:rsidR="009E6A52" w:rsidRPr="009E6A52">
        <w:t xml:space="preserve">spherical surfaces, </w:t>
      </w:r>
      <w:r w:rsidR="009E6A52">
        <w:t>all of them</w:t>
      </w:r>
      <w:r w:rsidR="009E6A52" w:rsidRPr="009E6A52">
        <w:t xml:space="preserve"> show</w:t>
      </w:r>
      <w:r w:rsidR="009E6A52">
        <w:t>ing</w:t>
      </w:r>
      <w:r w:rsidR="009E6A52" w:rsidRPr="009E6A52">
        <w:t xml:space="preserve"> that the usage of non-spherical surfaces allows </w:t>
      </w:r>
      <w:r w:rsidR="009E6A52" w:rsidRPr="009E6A52">
        <w:lastRenderedPageBreak/>
        <w:t>to get improvements of the optical performances. Moreover, it</w:t>
      </w:r>
      <w:r w:rsidR="009E6A52">
        <w:t xml:space="preserve"> i</w:t>
      </w:r>
      <w:r w:rsidR="009E6A52" w:rsidRPr="009E6A52">
        <w:t>s a matter of fact that the optical axis of a spherical mirror installed on a car is rotated and decentred with respect to the axis of the driver’s eyes; this condition leads to images squeezed in the horizontal direction. The adoption of a free form surface can compensate the asymmetrical position of the mirrors, reflecting images with the right proportions.</w:t>
      </w:r>
    </w:p>
    <w:p w14:paraId="2C75B170" w14:textId="1A289A3B" w:rsidR="009E6A52" w:rsidRDefault="009E6A52" w:rsidP="004A29E9">
      <w:pPr>
        <w:spacing w:before="120" w:line="240" w:lineRule="auto"/>
        <w:ind w:left="1134" w:right="1134"/>
        <w:jc w:val="both"/>
      </w:pPr>
      <w:r w:rsidRPr="009E6A52">
        <w:t>A free form surface can</w:t>
      </w:r>
      <w:r>
        <w:t>no</w:t>
      </w:r>
      <w:r w:rsidRPr="009E6A52">
        <w:t>t be described by an equation because each point has been defined through a mathematical procedure that allows to achieve specific optical design targets. Taking into account the production tolerances, real spherical mirrors installed on the cars, even those better produced, actually have random free form surfaces because the deviation of each point inside the limit established by the Regulation, even if small, is due only to the random result of the production.</w:t>
      </w:r>
    </w:p>
    <w:p w14:paraId="22B19BEF" w14:textId="4EAADDF2" w:rsidR="009E6A52" w:rsidRDefault="009E6A52" w:rsidP="004A29E9">
      <w:pPr>
        <w:spacing w:before="120" w:line="240" w:lineRule="auto"/>
        <w:ind w:left="1134" w:right="1134"/>
        <w:jc w:val="both"/>
      </w:pPr>
      <w:r>
        <w:t>On the other hand, d</w:t>
      </w:r>
      <w:r w:rsidRPr="009E6A52">
        <w:t xml:space="preserve">esign software and manufacturing processes of moulds </w:t>
      </w:r>
      <w:r>
        <w:t>–</w:t>
      </w:r>
      <w:r w:rsidRPr="009E6A52">
        <w:t xml:space="preserve"> CNC multi axes and optical polishing </w:t>
      </w:r>
      <w:r>
        <w:t>–</w:t>
      </w:r>
      <w:r w:rsidRPr="009E6A52">
        <w:t xml:space="preserve"> have created the concrete conditions to reproduce complex surfaces with very affordable </w:t>
      </w:r>
      <w:r>
        <w:t>precision, quali</w:t>
      </w:r>
      <w:r w:rsidRPr="009E6A52">
        <w:t xml:space="preserve">ty and reproducibility. Current manufacturing processes of mirrors can be </w:t>
      </w:r>
      <w:r w:rsidR="00F00C55">
        <w:t>used</w:t>
      </w:r>
      <w:r w:rsidRPr="009E6A52">
        <w:t xml:space="preserve"> </w:t>
      </w:r>
      <w:r w:rsidR="00F00C55">
        <w:t>to reliably produce</w:t>
      </w:r>
      <w:r w:rsidRPr="009E6A52">
        <w:t xml:space="preserve"> free form surfaces.</w:t>
      </w:r>
    </w:p>
    <w:p w14:paraId="0C115D2A" w14:textId="03968C54" w:rsidR="00F00C55" w:rsidRPr="00B64FFE" w:rsidRDefault="00F00C55" w:rsidP="004A29E9">
      <w:pPr>
        <w:spacing w:before="120" w:line="240" w:lineRule="auto"/>
        <w:ind w:left="1134" w:right="1134"/>
        <w:jc w:val="both"/>
      </w:pPr>
      <w:r w:rsidRPr="00B64FFE">
        <w:t>Complying with the actual geometrical verification procedure</w:t>
      </w:r>
      <w:r w:rsidR="00F44D0B" w:rsidRPr="00B64FFE">
        <w:t xml:space="preserve"> in the field of view area</w:t>
      </w:r>
      <w:r w:rsidRPr="00B64FFE">
        <w:t xml:space="preserve">, as defined in the Regulation, and utilizing the allowed tolerance (0.15 r) as a potential freedom allowance to design free form surfaces will bring the opportunity to optimize the optical performances of the mirror through the appropriate optical software tools. The Average Radius </w:t>
      </w:r>
      <w:r w:rsidR="00F7502A" w:rsidRPr="00B64FFE">
        <w:t>as defined in the Regulation will still be complied with by the</w:t>
      </w:r>
      <w:r w:rsidRPr="00B64FFE">
        <w:t xml:space="preserve"> free form </w:t>
      </w:r>
      <w:r w:rsidR="00F7502A" w:rsidRPr="00B64FFE">
        <w:t>mirror over th</w:t>
      </w:r>
      <w:r w:rsidR="00F44D0B" w:rsidRPr="00B64FFE">
        <w:t>at</w:t>
      </w:r>
      <w:r w:rsidR="00F7502A" w:rsidRPr="00B64FFE">
        <w:t xml:space="preserve"> reflecting </w:t>
      </w:r>
      <w:r w:rsidRPr="00B64FFE">
        <w:t>surface.</w:t>
      </w:r>
    </w:p>
    <w:p w14:paraId="4192379A" w14:textId="35A751D2" w:rsidR="00F44D0B" w:rsidRPr="00B64FFE" w:rsidRDefault="00F44D0B" w:rsidP="004A29E9">
      <w:pPr>
        <w:spacing w:before="120" w:line="240" w:lineRule="auto"/>
        <w:ind w:left="1134" w:right="1134"/>
        <w:jc w:val="both"/>
      </w:pPr>
      <w:r w:rsidRPr="00B64FFE">
        <w:t xml:space="preserve">In addition, significant improvements can be achieved by the application of the free form surface concept on the aspherical area of the mirror, when that additional surface is designed to extend the viewing area to enlarge the perception of an incoming vehicle from both side rear view mirrors. While still keeping the mean radius in that area in line with the requirements of the Regulation, the free form surface will </w:t>
      </w:r>
      <w:r w:rsidR="004E652D" w:rsidRPr="00B64FFE">
        <w:t>reduce both the change in aspect</w:t>
      </w:r>
      <w:r w:rsidRPr="00B64FFE">
        <w:t xml:space="preserve"> ratio</w:t>
      </w:r>
      <w:r w:rsidR="004E652D" w:rsidRPr="00B64FFE">
        <w:t xml:space="preserve"> and</w:t>
      </w:r>
      <w:r w:rsidRPr="00B64FFE">
        <w:t xml:space="preserve"> the </w:t>
      </w:r>
      <w:r w:rsidR="004E652D" w:rsidRPr="00B64FFE">
        <w:t xml:space="preserve">magnification </w:t>
      </w:r>
      <w:r w:rsidRPr="00B64FFE">
        <w:t xml:space="preserve">gap between the field of view area and the extended area, and </w:t>
      </w:r>
      <w:r w:rsidR="004E652D" w:rsidRPr="00B64FFE">
        <w:t>as a result</w:t>
      </w:r>
      <w:r w:rsidRPr="00B64FFE">
        <w:t xml:space="preserve"> will </w:t>
      </w:r>
      <w:r w:rsidR="004E652D" w:rsidRPr="00B64FFE">
        <w:t xml:space="preserve">provide the driver with a </w:t>
      </w:r>
      <w:r w:rsidRPr="00B64FFE">
        <w:t xml:space="preserve">more comfortable </w:t>
      </w:r>
      <w:r w:rsidR="004E652D" w:rsidRPr="00B64FFE">
        <w:t>vision through the full mirror</w:t>
      </w:r>
      <w:r w:rsidRPr="00B64FFE">
        <w:t>.</w:t>
      </w:r>
    </w:p>
    <w:p w14:paraId="6EB9F450" w14:textId="3803ABCA" w:rsidR="00351879" w:rsidRDefault="009E6A52">
      <w:pPr>
        <w:spacing w:before="120" w:line="240" w:lineRule="auto"/>
        <w:ind w:left="1134" w:right="1134"/>
        <w:jc w:val="both"/>
      </w:pPr>
      <w:r>
        <w:t>4</w:t>
      </w:r>
      <w:r w:rsidR="001D6C5C">
        <w:t>.</w:t>
      </w:r>
      <w:r w:rsidR="001D6C5C">
        <w:tab/>
      </w:r>
      <w:r w:rsidR="0027542D" w:rsidRPr="0027542D">
        <w:t>The proposed changes to the Regulation will allow vehicle manufacturers to get all of the benefits related to free form surfaces which, according to the way they have been designed, can be one or more of the following:</w:t>
      </w:r>
    </w:p>
    <w:p w14:paraId="0C822335" w14:textId="11D12395" w:rsidR="0027542D" w:rsidRPr="00B64FFE" w:rsidRDefault="0027542D" w:rsidP="00B64FFE">
      <w:pPr>
        <w:pStyle w:val="Bullet1G"/>
        <w:numPr>
          <w:ilvl w:val="0"/>
          <w:numId w:val="23"/>
        </w:numPr>
        <w:tabs>
          <w:tab w:val="num" w:pos="1701"/>
        </w:tabs>
        <w:kinsoku w:val="0"/>
        <w:overflowPunct w:val="0"/>
        <w:autoSpaceDE w:val="0"/>
        <w:autoSpaceDN w:val="0"/>
        <w:adjustRightInd w:val="0"/>
        <w:snapToGrid w:val="0"/>
        <w:ind w:left="1701" w:hanging="170"/>
      </w:pPr>
      <w:r w:rsidRPr="00B64FFE">
        <w:rPr>
          <w:rFonts w:eastAsiaTheme="minorEastAsia"/>
          <w:lang w:val="fr-CH" w:eastAsia="zh-CN"/>
        </w:rPr>
        <w:t>Reduction</w:t>
      </w:r>
      <w:r w:rsidRPr="00B64FFE">
        <w:t xml:space="preserve"> of the optical distortion</w:t>
      </w:r>
      <w:r w:rsidR="004E652D" w:rsidRPr="00B64FFE">
        <w:t xml:space="preserve"> (this target is valuable especially for the aspherical surface of an aspherical mirror, because the </w:t>
      </w:r>
      <w:r w:rsidR="00E01D68" w:rsidRPr="00B64FFE">
        <w:t xml:space="preserve">simple </w:t>
      </w:r>
      <w:r w:rsidR="004E652D" w:rsidRPr="00B64FFE">
        <w:t>function given in par. 2.1.1.9</w:t>
      </w:r>
      <w:r w:rsidR="00174644">
        <w:t>.</w:t>
      </w:r>
      <w:r w:rsidR="00E01D68" w:rsidRPr="00B64FFE">
        <w:t xml:space="preserve"> actually results in a poor</w:t>
      </w:r>
      <w:r w:rsidR="004E652D" w:rsidRPr="00B64FFE">
        <w:t xml:space="preserve"> quality of the reflected image)</w:t>
      </w:r>
      <w:r w:rsidRPr="00B64FFE">
        <w:t>;</w:t>
      </w:r>
    </w:p>
    <w:p w14:paraId="04165158" w14:textId="3EDF4379" w:rsidR="0027542D" w:rsidRPr="00B64FFE" w:rsidRDefault="0027542D" w:rsidP="00B64FFE">
      <w:pPr>
        <w:pStyle w:val="Bullet1G"/>
        <w:numPr>
          <w:ilvl w:val="0"/>
          <w:numId w:val="23"/>
        </w:numPr>
        <w:tabs>
          <w:tab w:val="num" w:pos="1701"/>
        </w:tabs>
        <w:kinsoku w:val="0"/>
        <w:overflowPunct w:val="0"/>
        <w:autoSpaceDE w:val="0"/>
        <w:autoSpaceDN w:val="0"/>
        <w:adjustRightInd w:val="0"/>
        <w:snapToGrid w:val="0"/>
        <w:ind w:left="1701" w:hanging="170"/>
        <w:rPr>
          <w:rFonts w:eastAsiaTheme="minorEastAsia"/>
          <w:lang w:val="fr-CH" w:eastAsia="zh-CN"/>
        </w:rPr>
      </w:pPr>
      <w:r w:rsidRPr="00B64FFE">
        <w:t xml:space="preserve">Blind </w:t>
      </w:r>
      <w:r w:rsidRPr="00B64FFE">
        <w:rPr>
          <w:rFonts w:eastAsiaTheme="minorEastAsia"/>
          <w:lang w:val="fr-CH" w:eastAsia="zh-CN"/>
        </w:rPr>
        <w:t>spot reduction;</w:t>
      </w:r>
    </w:p>
    <w:p w14:paraId="68FFFD4B" w14:textId="162C416A" w:rsidR="0027542D" w:rsidRPr="00B64FFE" w:rsidRDefault="0027542D" w:rsidP="00B64FFE">
      <w:pPr>
        <w:pStyle w:val="Bullet1G"/>
        <w:numPr>
          <w:ilvl w:val="0"/>
          <w:numId w:val="23"/>
        </w:numPr>
        <w:tabs>
          <w:tab w:val="num" w:pos="1701"/>
        </w:tabs>
        <w:kinsoku w:val="0"/>
        <w:overflowPunct w:val="0"/>
        <w:autoSpaceDE w:val="0"/>
        <w:autoSpaceDN w:val="0"/>
        <w:adjustRightInd w:val="0"/>
        <w:snapToGrid w:val="0"/>
        <w:ind w:left="1701" w:hanging="170"/>
        <w:rPr>
          <w:rFonts w:eastAsiaTheme="minorEastAsia"/>
          <w:lang w:val="fr-CH" w:eastAsia="zh-CN"/>
        </w:rPr>
      </w:pPr>
      <w:r w:rsidRPr="00B64FFE">
        <w:rPr>
          <w:rFonts w:eastAsiaTheme="minorEastAsia"/>
          <w:lang w:val="fr-CH" w:eastAsia="zh-CN"/>
        </w:rPr>
        <w:t>Mirror overall size reduction, while keeping the same field of view, to improve the aerodynamic efficiency of the vehicle and achieve either a reduction of fuel consumption or an increase of the range (in the case of BEVs);</w:t>
      </w:r>
    </w:p>
    <w:p w14:paraId="38D5D418" w14:textId="3AD64BC9" w:rsidR="0027542D" w:rsidRDefault="0027542D" w:rsidP="00B64FFE">
      <w:pPr>
        <w:pStyle w:val="Bullet1G"/>
        <w:numPr>
          <w:ilvl w:val="0"/>
          <w:numId w:val="23"/>
        </w:numPr>
        <w:tabs>
          <w:tab w:val="num" w:pos="1701"/>
        </w:tabs>
        <w:kinsoku w:val="0"/>
        <w:overflowPunct w:val="0"/>
        <w:autoSpaceDE w:val="0"/>
        <w:autoSpaceDN w:val="0"/>
        <w:adjustRightInd w:val="0"/>
        <w:snapToGrid w:val="0"/>
        <w:ind w:left="1701" w:hanging="170"/>
      </w:pPr>
      <w:r w:rsidRPr="00B64FFE">
        <w:rPr>
          <w:rFonts w:eastAsiaTheme="minorEastAsia"/>
          <w:lang w:val="fr-CH" w:eastAsia="zh-CN"/>
        </w:rPr>
        <w:t>A clear and more relaxed vision by the driver through the full mirror, thus resulting in</w:t>
      </w:r>
      <w:r w:rsidRPr="00B64FFE">
        <w:t xml:space="preserve"> a better ergonomics/safety, when an aspherical mirror is replaced with a wide angle free form mirror (the binocular vision through the transition between spherical and aspherical surfaces</w:t>
      </w:r>
      <w:r w:rsidRPr="0027542D">
        <w:t xml:space="preserve"> can be significantly improved by a proper design of the free form surface ensuring a smooth change in curvature between the two parts of the mirror).</w:t>
      </w:r>
    </w:p>
    <w:p w14:paraId="6AE0E1D9" w14:textId="77777777" w:rsidR="00F607C0" w:rsidRPr="00222D9F" w:rsidRDefault="00222D9F" w:rsidP="00222D9F">
      <w:pPr>
        <w:spacing w:before="240"/>
        <w:jc w:val="center"/>
        <w:rPr>
          <w:u w:val="single"/>
        </w:rPr>
      </w:pPr>
      <w:r>
        <w:rPr>
          <w:u w:val="single"/>
        </w:rPr>
        <w:tab/>
      </w:r>
      <w:r>
        <w:rPr>
          <w:u w:val="single"/>
        </w:rPr>
        <w:tab/>
      </w:r>
      <w:r>
        <w:rPr>
          <w:u w:val="single"/>
        </w:rPr>
        <w:tab/>
      </w:r>
      <w:bookmarkStart w:id="3" w:name="_GoBack"/>
      <w:bookmarkEnd w:id="3"/>
    </w:p>
    <w:sectPr w:rsidR="00F607C0" w:rsidRPr="00222D9F" w:rsidSect="00222D9F">
      <w:headerReference w:type="even" r:id="rId10"/>
      <w:headerReference w:type="default" r:id="rId11"/>
      <w:footerReference w:type="even" r:id="rId12"/>
      <w:footerReference w:type="default" r:id="rId13"/>
      <w:footerReference w:type="first" r:id="rId14"/>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26E2" w14:textId="77777777" w:rsidR="00214421" w:rsidRDefault="00214421" w:rsidP="00203C11">
      <w:pPr>
        <w:spacing w:line="240" w:lineRule="auto"/>
      </w:pPr>
      <w:r>
        <w:separator/>
      </w:r>
    </w:p>
  </w:endnote>
  <w:endnote w:type="continuationSeparator" w:id="0">
    <w:p w14:paraId="120CB63A" w14:textId="77777777" w:rsidR="00214421" w:rsidRDefault="00214421" w:rsidP="0020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iberation Sans">
    <w:altName w:val="Segoe Print"/>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7312" w14:textId="2A151548" w:rsidR="00340A6E" w:rsidRDefault="001B5B00" w:rsidP="001B5B00">
    <w:pPr>
      <w:pStyle w:val="Footer"/>
    </w:pPr>
    <w:r w:rsidRPr="008E0A25">
      <w:rPr>
        <w:b/>
        <w:sz w:val="18"/>
      </w:rPr>
      <w:fldChar w:fldCharType="begin"/>
    </w:r>
    <w:r w:rsidRPr="008E0A25">
      <w:rPr>
        <w:b/>
        <w:sz w:val="18"/>
      </w:rPr>
      <w:instrText xml:space="preserve"> PAGE  \* MERGEFORMAT </w:instrText>
    </w:r>
    <w:r w:rsidRPr="008E0A25">
      <w:rPr>
        <w:b/>
        <w:sz w:val="18"/>
      </w:rPr>
      <w:fldChar w:fldCharType="separate"/>
    </w:r>
    <w:r w:rsidR="00DC0D2A">
      <w:rPr>
        <w:b/>
        <w:noProof/>
        <w:sz w:val="18"/>
      </w:rPr>
      <w:t>2</w:t>
    </w:r>
    <w:r w:rsidRPr="008E0A25">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815293"/>
      <w:docPartObj>
        <w:docPartGallery w:val="Page Numbers (Bottom of Page)"/>
        <w:docPartUnique/>
      </w:docPartObj>
    </w:sdtPr>
    <w:sdtEndPr>
      <w:rPr>
        <w:noProof/>
      </w:rPr>
    </w:sdtEndPr>
    <w:sdtContent>
      <w:p w14:paraId="431FCFAD" w14:textId="396EAECE" w:rsidR="00340A6E" w:rsidRDefault="00785AC2" w:rsidP="00785AC2">
        <w:pPr>
          <w:pStyle w:val="Footer"/>
          <w:jc w:val="right"/>
        </w:pPr>
        <w:r w:rsidRPr="008E0A25">
          <w:rPr>
            <w:b/>
            <w:sz w:val="18"/>
          </w:rPr>
          <w:fldChar w:fldCharType="begin"/>
        </w:r>
        <w:r w:rsidRPr="008E0A25">
          <w:rPr>
            <w:b/>
            <w:sz w:val="18"/>
          </w:rPr>
          <w:instrText xml:space="preserve"> PAGE  \* MERGEFORMAT </w:instrText>
        </w:r>
        <w:r w:rsidRPr="008E0A25">
          <w:rPr>
            <w:b/>
            <w:sz w:val="18"/>
          </w:rPr>
          <w:fldChar w:fldCharType="separate"/>
        </w:r>
        <w:r w:rsidR="00DC0D2A">
          <w:rPr>
            <w:b/>
            <w:noProof/>
            <w:sz w:val="18"/>
          </w:rPr>
          <w:t>3</w:t>
        </w:r>
        <w:r w:rsidRPr="008E0A25">
          <w:rPr>
            <w:b/>
            <w:sz w:val="18"/>
          </w:rPr>
          <w:fldChar w:fldCharType="end"/>
        </w:r>
      </w:p>
    </w:sdtContent>
  </w:sdt>
  <w:p w14:paraId="366EF39E" w14:textId="77777777" w:rsidR="00340A6E" w:rsidRDefault="00340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5E2C" w14:textId="30E9A2FB" w:rsidR="0037180D" w:rsidRDefault="0037180D" w:rsidP="0037180D">
    <w:pPr>
      <w:pStyle w:val="Footer"/>
    </w:pPr>
    <w:r>
      <w:rPr>
        <w:noProof/>
        <w:lang w:eastAsia="zh-CN"/>
      </w:rPr>
      <w:drawing>
        <wp:anchor distT="0" distB="0" distL="114300" distR="114300" simplePos="0" relativeHeight="251659264" behindDoc="1" locked="1" layoutInCell="1" allowOverlap="1" wp14:anchorId="32B2E4AC" wp14:editId="13FB75F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E1E42A4" w14:textId="02E54FE4" w:rsidR="0037180D" w:rsidRDefault="0037180D" w:rsidP="0037180D">
    <w:pPr>
      <w:pStyle w:val="Footer"/>
      <w:ind w:right="1134"/>
      <w:rPr>
        <w:sz w:val="20"/>
      </w:rPr>
    </w:pPr>
    <w:r>
      <w:rPr>
        <w:sz w:val="20"/>
      </w:rPr>
      <w:t>GE.20-00790(E)</w:t>
    </w:r>
  </w:p>
  <w:p w14:paraId="32368338" w14:textId="7A6F27AA" w:rsidR="0037180D" w:rsidRPr="0037180D" w:rsidRDefault="0037180D" w:rsidP="0037180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rPr>
      <w:drawing>
        <wp:anchor distT="0" distB="0" distL="114300" distR="114300" simplePos="0" relativeHeight="251660288" behindDoc="0" locked="0" layoutInCell="1" allowOverlap="1" wp14:anchorId="4707AE00" wp14:editId="28C6F93F">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ECE/TRANS/WP.29/GRSG/2020/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SG/2020/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E21C" w14:textId="77777777" w:rsidR="00214421" w:rsidRPr="00E378AC" w:rsidRDefault="00214421" w:rsidP="00E378AC">
      <w:pPr>
        <w:tabs>
          <w:tab w:val="right" w:pos="2155"/>
        </w:tabs>
        <w:spacing w:after="80"/>
        <w:ind w:left="680"/>
        <w:rPr>
          <w:u w:val="single"/>
        </w:rPr>
      </w:pPr>
      <w:r>
        <w:rPr>
          <w:u w:val="single"/>
        </w:rPr>
        <w:tab/>
      </w:r>
    </w:p>
  </w:footnote>
  <w:footnote w:type="continuationSeparator" w:id="0">
    <w:p w14:paraId="7516EF87" w14:textId="77777777" w:rsidR="00214421" w:rsidRDefault="00214421">
      <w:r>
        <w:continuationSeparator/>
      </w:r>
    </w:p>
  </w:footnote>
  <w:footnote w:id="1">
    <w:p w14:paraId="1A543B9E" w14:textId="18600A3E" w:rsidR="00E8137B" w:rsidRPr="00E8137B" w:rsidRDefault="00E8137B" w:rsidP="00E8137B">
      <w:pPr>
        <w:pStyle w:val="FootnoteText"/>
        <w:tabs>
          <w:tab w:val="right" w:pos="1021"/>
        </w:tabs>
        <w:spacing w:line="220" w:lineRule="exact"/>
        <w:ind w:left="1134" w:right="1134" w:hanging="1134"/>
        <w:rPr>
          <w:sz w:val="16"/>
          <w:szCs w:val="18"/>
        </w:rPr>
      </w:pPr>
      <w:r w:rsidRPr="00E8137B">
        <w:rPr>
          <w:rStyle w:val="FootnoteReference"/>
          <w:vertAlign w:val="baseline"/>
          <w:lang w:eastAsia="fr-FR"/>
        </w:rPr>
        <w:tab/>
        <w:t>*</w:t>
      </w:r>
      <w:r w:rsidRPr="00E8137B">
        <w:rPr>
          <w:rStyle w:val="FootnoteReference"/>
          <w:vertAlign w:val="baseline"/>
          <w:lang w:eastAsia="fr-FR"/>
        </w:rPr>
        <w:tab/>
      </w:r>
      <w:r w:rsidR="002B4811" w:rsidRPr="002B4811">
        <w:rPr>
          <w:rStyle w:val="FootnoteReference"/>
          <w:vertAlign w:val="baseline"/>
          <w:lang w:eastAsia="fr-FR"/>
        </w:rPr>
        <w:t>In accordance with the programme of work of the Inland Transport Committee for 2020 as outlined in proposed programme budget for 2020 (A/74/6 (part V sect. 20) para 20.37), 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77DE" w14:textId="2BB912FD" w:rsidR="00340A6E" w:rsidRDefault="00340A6E" w:rsidP="00340A6E">
    <w:pPr>
      <w:pStyle w:val="Header"/>
    </w:pPr>
    <w:r>
      <w:t>ECE/TRANS/WP.29/GRSG/</w:t>
    </w:r>
    <w:r w:rsidRPr="00DF418A">
      <w:t>20</w:t>
    </w:r>
    <w:r w:rsidR="009B279C">
      <w:t>20</w:t>
    </w:r>
    <w:r>
      <w:t>/</w:t>
    </w:r>
    <w:r w:rsidR="007D1EE3">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8E0D" w14:textId="6A3C8F63" w:rsidR="0082103C" w:rsidRDefault="0082103C" w:rsidP="00340A6E">
    <w:pPr>
      <w:pStyle w:val="Header"/>
      <w:jc w:val="right"/>
    </w:pPr>
    <w:r>
      <w:t>ECE/TRANS/WP.29/GRSG/</w:t>
    </w:r>
    <w:r w:rsidRPr="00DF418A">
      <w:t>20</w:t>
    </w:r>
    <w:r w:rsidR="009B279C">
      <w:t>20</w:t>
    </w:r>
    <w:r w:rsidRPr="00340A6E">
      <w:t>/</w:t>
    </w:r>
    <w:r w:rsidR="007D1EE3">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AD4362"/>
    <w:multiLevelType w:val="hybridMultilevel"/>
    <w:tmpl w:val="7ED2CE36"/>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23D37"/>
    <w:multiLevelType w:val="hybridMultilevel"/>
    <w:tmpl w:val="39D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E4573"/>
    <w:multiLevelType w:val="hybridMultilevel"/>
    <w:tmpl w:val="55FACB94"/>
    <w:lvl w:ilvl="0" w:tplc="118A4690">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567"/>
  <w:hyphenationZone w:val="425"/>
  <w:evenAndOddHeaders/>
  <w:characterSpacingControl w:val="doNotCompress"/>
  <w:hdrShapeDefaults>
    <o:shapedefaults v:ext="edit" spidmax="16386"/>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5715A"/>
    <w:rsid w:val="000C75E6"/>
    <w:rsid w:val="001309F4"/>
    <w:rsid w:val="00174644"/>
    <w:rsid w:val="001B5B00"/>
    <w:rsid w:val="001D6C5C"/>
    <w:rsid w:val="001F1DCE"/>
    <w:rsid w:val="00203C11"/>
    <w:rsid w:val="00214421"/>
    <w:rsid w:val="00222D9F"/>
    <w:rsid w:val="00242021"/>
    <w:rsid w:val="00255851"/>
    <w:rsid w:val="0027542D"/>
    <w:rsid w:val="002B4811"/>
    <w:rsid w:val="00310E52"/>
    <w:rsid w:val="00326F61"/>
    <w:rsid w:val="00340A6E"/>
    <w:rsid w:val="00351879"/>
    <w:rsid w:val="0037180D"/>
    <w:rsid w:val="00411DA6"/>
    <w:rsid w:val="00416C08"/>
    <w:rsid w:val="00461D8F"/>
    <w:rsid w:val="004A29E9"/>
    <w:rsid w:val="004E652D"/>
    <w:rsid w:val="00541748"/>
    <w:rsid w:val="00592DED"/>
    <w:rsid w:val="005B3E3F"/>
    <w:rsid w:val="006F6664"/>
    <w:rsid w:val="00785AC2"/>
    <w:rsid w:val="007D1EE3"/>
    <w:rsid w:val="008058D9"/>
    <w:rsid w:val="0082103C"/>
    <w:rsid w:val="00852CAE"/>
    <w:rsid w:val="008D28DC"/>
    <w:rsid w:val="008E03C3"/>
    <w:rsid w:val="008F3F56"/>
    <w:rsid w:val="00926B71"/>
    <w:rsid w:val="00955848"/>
    <w:rsid w:val="0097132E"/>
    <w:rsid w:val="009B279C"/>
    <w:rsid w:val="009C5365"/>
    <w:rsid w:val="009D0DA6"/>
    <w:rsid w:val="009E646F"/>
    <w:rsid w:val="009E6A52"/>
    <w:rsid w:val="00AE003F"/>
    <w:rsid w:val="00AE6268"/>
    <w:rsid w:val="00B64FFE"/>
    <w:rsid w:val="00BA2AF9"/>
    <w:rsid w:val="00BE7A0C"/>
    <w:rsid w:val="00CD29FA"/>
    <w:rsid w:val="00D55DBE"/>
    <w:rsid w:val="00D87F6B"/>
    <w:rsid w:val="00D9262A"/>
    <w:rsid w:val="00DC0D2A"/>
    <w:rsid w:val="00E01D68"/>
    <w:rsid w:val="00E378AC"/>
    <w:rsid w:val="00E43A91"/>
    <w:rsid w:val="00E8137B"/>
    <w:rsid w:val="00E866A5"/>
    <w:rsid w:val="00E967C3"/>
    <w:rsid w:val="00ED2A2A"/>
    <w:rsid w:val="00F00C55"/>
    <w:rsid w:val="00F44D0B"/>
    <w:rsid w:val="00F607C0"/>
    <w:rsid w:val="00F7502A"/>
    <w:rsid w:val="00FC5A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uiPriority w:val="99"/>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uiPriority w:val="99"/>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uiPriority w:val="99"/>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qFormat/>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uiPriority w:val="9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99"/>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A26D-8EFE-485A-8185-C5DEFF24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1285</Words>
  <Characters>6746</Characters>
  <Application>Microsoft Office Word</Application>
  <DocSecurity>0</DocSecurity>
  <Lines>124</Lines>
  <Paragraphs>45</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ECE/TRANS/WP.29/GRSG/2019/34</vt:lpstr>
      <vt:lpstr>ECE/TRANS/WP.29/GRSG/2019/34</vt:lpstr>
      <vt:lpstr>ECE/TRANS/WP.29/GRSG/2019/11</vt:lpstr>
    </vt:vector>
  </TitlesOfParts>
  <Company>MIT</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ECE/TRANS/WP.29/GRSG/2020/6</dc:title>
  <dc:subject>2000790</dc:subject>
  <dc:creator>MIT</dc:creator>
  <cp:keywords/>
  <dc:description/>
  <cp:lastModifiedBy>Maria Rosario Corazon Gatmaytan</cp:lastModifiedBy>
  <cp:revision>2</cp:revision>
  <cp:lastPrinted>2019-07-19T11:29:00Z</cp:lastPrinted>
  <dcterms:created xsi:type="dcterms:W3CDTF">2020-01-20T15:47:00Z</dcterms:created>
  <dcterms:modified xsi:type="dcterms:W3CDTF">2020-01-20T15:47:00Z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