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132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132B8" w:rsidP="00E132B8">
            <w:pPr>
              <w:jc w:val="right"/>
            </w:pPr>
            <w:r w:rsidRPr="00E132B8">
              <w:rPr>
                <w:sz w:val="40"/>
              </w:rPr>
              <w:t>ECE</w:t>
            </w:r>
            <w:r>
              <w:t>/TRANS/WP.29/GRPE/2020/2</w:t>
            </w:r>
          </w:p>
        </w:tc>
      </w:tr>
      <w:tr w:rsidR="002D5AAC" w:rsidRPr="0083684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132B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132B8" w:rsidRDefault="00E132B8" w:rsidP="00E132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October 2019</w:t>
            </w:r>
          </w:p>
          <w:p w:rsidR="00E132B8" w:rsidRDefault="00E132B8" w:rsidP="00E132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132B8" w:rsidRPr="008D53B6" w:rsidRDefault="00E132B8" w:rsidP="00E132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132B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32B8" w:rsidRPr="00E132B8" w:rsidRDefault="00E132B8" w:rsidP="00E132B8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E132B8">
        <w:rPr>
          <w:sz w:val="28"/>
          <w:szCs w:val="28"/>
        </w:rPr>
        <w:t xml:space="preserve">Комитет по внутреннему транспорту </w:t>
      </w:r>
    </w:p>
    <w:p w:rsidR="00E132B8" w:rsidRPr="00E132B8" w:rsidRDefault="00E132B8" w:rsidP="00E132B8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E132B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132B8">
        <w:rPr>
          <w:b/>
          <w:bCs/>
          <w:sz w:val="24"/>
          <w:szCs w:val="24"/>
        </w:rPr>
        <w:t>в области транспортных средств</w:t>
      </w:r>
      <w:r w:rsidRPr="00E132B8">
        <w:rPr>
          <w:sz w:val="24"/>
          <w:szCs w:val="24"/>
        </w:rPr>
        <w:t xml:space="preserve"> </w:t>
      </w:r>
    </w:p>
    <w:p w:rsidR="00E132B8" w:rsidRPr="00DB4C68" w:rsidRDefault="00E132B8" w:rsidP="00E132B8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  <w:t>и загрязнения окружающей среды</w:t>
      </w:r>
    </w:p>
    <w:p w:rsidR="00E132B8" w:rsidRPr="00DB4C68" w:rsidRDefault="00E132B8" w:rsidP="00E132B8">
      <w:pPr>
        <w:rPr>
          <w:rFonts w:eastAsia="MS Mincho"/>
          <w:b/>
        </w:rPr>
      </w:pPr>
      <w:r>
        <w:rPr>
          <w:b/>
          <w:bCs/>
        </w:rPr>
        <w:t>Восьмидесятая сессия</w:t>
      </w:r>
    </w:p>
    <w:p w:rsidR="00E132B8" w:rsidRPr="00DB4C68" w:rsidRDefault="00E132B8" w:rsidP="00E132B8">
      <w:r>
        <w:t>Женева, 14–17 января 2020 года</w:t>
      </w:r>
    </w:p>
    <w:p w:rsidR="00E132B8" w:rsidRPr="00DB4C68" w:rsidRDefault="00E132B8" w:rsidP="00E132B8">
      <w:r>
        <w:t xml:space="preserve">Пункт </w:t>
      </w:r>
      <w:proofErr w:type="gramStart"/>
      <w:r>
        <w:t>3</w:t>
      </w:r>
      <w:proofErr w:type="gramEnd"/>
      <w:r>
        <w:t xml:space="preserve"> а) предварительной повестки дня</w:t>
      </w:r>
    </w:p>
    <w:p w:rsidR="00E12C5F" w:rsidRDefault="00E132B8" w:rsidP="00E132B8">
      <w:r>
        <w:rPr>
          <w:b/>
          <w:bCs/>
        </w:rPr>
        <w:t xml:space="preserve">Легкие транспортные средства: правила ООН № 68 </w:t>
      </w:r>
      <w:r>
        <w:rPr>
          <w:b/>
          <w:bCs/>
        </w:rPr>
        <w:br/>
        <w:t xml:space="preserve">(измерение максимальной скорости, включая электромобили), </w:t>
      </w:r>
      <w:r>
        <w:rPr>
          <w:b/>
          <w:bCs/>
        </w:rPr>
        <w:br/>
        <w:t>83 (выбросы загрязняющих веществ транспортными средствами</w:t>
      </w:r>
      <w:r>
        <w:rPr>
          <w:b/>
          <w:bCs/>
        </w:rPr>
        <w:br/>
        <w:t>категорий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>), 101 (выбросы СО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/расход топлива) </w:t>
      </w:r>
      <w:r>
        <w:rPr>
          <w:b/>
          <w:bCs/>
        </w:rPr>
        <w:br/>
        <w:t>и 103 (сменные устройства для предотвращения загрязнения)</w:t>
      </w:r>
    </w:p>
    <w:p w:rsidR="00E132B8" w:rsidRPr="00DB4C68" w:rsidRDefault="00E132B8" w:rsidP="00E132B8">
      <w:pPr>
        <w:pStyle w:val="HChG"/>
      </w:pPr>
      <w:r>
        <w:tab/>
      </w:r>
      <w:r>
        <w:tab/>
        <w:t>Предложение по поправкам серий 06 и 07 к Правилам № 83 ООН (выбросы загрязняющих веществ транспортными средствами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</w:t>
      </w:r>
    </w:p>
    <w:p w:rsidR="00E132B8" w:rsidRPr="00DB4C68" w:rsidRDefault="00E132B8" w:rsidP="00E132B8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E132B8">
        <w:rPr>
          <w:rStyle w:val="H1GChar"/>
          <w:sz w:val="20"/>
        </w:rPr>
        <w:footnoteReference w:customMarkFollows="1" w:id="1"/>
        <w:t>*</w:t>
      </w:r>
    </w:p>
    <w:p w:rsidR="00E132B8" w:rsidRDefault="00E132B8" w:rsidP="00E132B8">
      <w:pPr>
        <w:pStyle w:val="SingleTxtG"/>
      </w:pPr>
      <w:r>
        <w:tab/>
      </w:r>
      <w:r>
        <w:tab/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в целях уточнения оснований для ограничения емкости топливного бака </w:t>
      </w:r>
      <w:proofErr w:type="spellStart"/>
      <w:r>
        <w:t>монотопливных</w:t>
      </w:r>
      <w:proofErr w:type="spellEnd"/>
      <w:r>
        <w:t xml:space="preserve"> транспортных средств, работающих на газе, и решения некоторых административных вопросов, которые были особо отмечены в ходе транспонирования ВПИМ. Изменения к существующему тексту Правил выделены жирным шрифтом в случае новых элементов или зачеркивани</w:t>
      </w:r>
      <w:bookmarkStart w:id="0" w:name="_GoBack"/>
      <w:bookmarkEnd w:id="0"/>
      <w:r>
        <w:t>ем в случае исключенных элементов.</w:t>
      </w:r>
    </w:p>
    <w:p w:rsidR="00E132B8" w:rsidRDefault="00E132B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E132B8" w:rsidRPr="001B39B1" w:rsidRDefault="005203BC" w:rsidP="005203BC">
      <w:pPr>
        <w:pStyle w:val="HChG"/>
      </w:pPr>
      <w:r>
        <w:lastRenderedPageBreak/>
        <w:tab/>
      </w:r>
      <w:r w:rsidR="00E132B8">
        <w:t>I</w:t>
      </w:r>
      <w:r w:rsidR="00E132B8" w:rsidRPr="001B39B1">
        <w:t>.</w:t>
      </w:r>
      <w:r w:rsidR="00E132B8" w:rsidRPr="001B39B1">
        <w:tab/>
      </w:r>
      <w:r w:rsidR="00E132B8">
        <w:t>Предложение</w:t>
      </w:r>
    </w:p>
    <w:p w:rsidR="00E132B8" w:rsidRPr="001B39B1" w:rsidRDefault="00E132B8" w:rsidP="00E132B8">
      <w:pPr>
        <w:pStyle w:val="SingleTxtG"/>
        <w:rPr>
          <w:b/>
          <w:bCs/>
        </w:rPr>
      </w:pPr>
      <w:r>
        <w:rPr>
          <w:b/>
          <w:bCs/>
        </w:rPr>
        <w:t>В поправках серий 06 и 07</w:t>
      </w:r>
    </w:p>
    <w:p w:rsidR="00E132B8" w:rsidRPr="00DB4C68" w:rsidRDefault="00E132B8" w:rsidP="00E132B8">
      <w:pPr>
        <w:pStyle w:val="SingleTxtG"/>
        <w:rPr>
          <w:b/>
        </w:rPr>
      </w:pPr>
      <w:r>
        <w:rPr>
          <w:i/>
          <w:iCs/>
        </w:rPr>
        <w:t>Добавить новый пункт 5.3.9</w:t>
      </w:r>
      <w:r>
        <w:t xml:space="preserve"> следующего содержания:</w:t>
      </w:r>
    </w:p>
    <w:p w:rsidR="00E132B8" w:rsidRPr="00DB4C68" w:rsidRDefault="00E132B8" w:rsidP="00E132B8">
      <w:pPr>
        <w:pStyle w:val="SingleTxtG"/>
        <w:rPr>
          <w:b/>
        </w:rPr>
      </w:pPr>
      <w:r>
        <w:t>«</w:t>
      </w:r>
      <w:r w:rsidRPr="00937F14">
        <w:rPr>
          <w:b/>
        </w:rPr>
        <w:t>5.3.9</w:t>
      </w:r>
      <w:r w:rsidRPr="00937F14">
        <w:rPr>
          <w:b/>
        </w:rPr>
        <w:tab/>
      </w:r>
      <w:r w:rsidRPr="00937F14">
        <w:rPr>
          <w:b/>
          <w:bCs/>
        </w:rPr>
        <w:t>Трансп</w:t>
      </w:r>
      <w:r>
        <w:rPr>
          <w:b/>
          <w:bCs/>
        </w:rPr>
        <w:t xml:space="preserve">ортные средства, в которых используется реагент для системы </w:t>
      </w:r>
      <w:r w:rsidRPr="00937F14">
        <w:rPr>
          <w:b/>
        </w:rPr>
        <w:t>последующего ограничения выбросов</w:t>
      </w:r>
      <w:r w:rsidRPr="00937F14">
        <w:rPr>
          <w:b/>
          <w:bCs/>
        </w:rPr>
        <w:t>, долж</w:t>
      </w:r>
      <w:r>
        <w:rPr>
          <w:b/>
          <w:bCs/>
        </w:rPr>
        <w:t>ны отвечать требованиям, изложенным в добавлении 6 к настоящим Правилам</w:t>
      </w:r>
      <w:r>
        <w:rPr>
          <w:bCs/>
        </w:rPr>
        <w:t>»</w:t>
      </w:r>
      <w:r w:rsidRPr="00E132B8">
        <w:rPr>
          <w:bCs/>
        </w:rPr>
        <w:t>.</w:t>
      </w:r>
    </w:p>
    <w:p w:rsidR="00E132B8" w:rsidRPr="00DB4C68" w:rsidRDefault="00E132B8" w:rsidP="00E132B8">
      <w:pPr>
        <w:pStyle w:val="SingleTxtG"/>
      </w:pPr>
      <w:r>
        <w:rPr>
          <w:i/>
          <w:iCs/>
        </w:rPr>
        <w:t>Пункт 5.3.1.2.1.2</w:t>
      </w:r>
      <w:r>
        <w:t xml:space="preserve"> изменить следующим образом:</w:t>
      </w:r>
    </w:p>
    <w:p w:rsidR="00E132B8" w:rsidRPr="00DB4C68" w:rsidRDefault="00E132B8" w:rsidP="00E132B8">
      <w:pPr>
        <w:pStyle w:val="SingleTxtG"/>
        <w:ind w:left="2268" w:hanging="1134"/>
      </w:pPr>
      <w:r>
        <w:t xml:space="preserve">«5.3.1.2.1.2 </w:t>
      </w:r>
      <w:r>
        <w:tab/>
        <w:t xml:space="preserve">Независимо от требования, предусмотренного в пункте 5.3.1.2.1.2, </w:t>
      </w:r>
      <w:proofErr w:type="spellStart"/>
      <w:r>
        <w:rPr>
          <w:b/>
          <w:bCs/>
        </w:rPr>
        <w:t>монотопливные</w:t>
      </w:r>
      <w:proofErr w:type="spellEnd"/>
      <w:r>
        <w:rPr>
          <w:b/>
          <w:bCs/>
        </w:rPr>
        <w:t xml:space="preserve"> </w:t>
      </w:r>
      <w:r>
        <w:t xml:space="preserve">транспортные средства, </w:t>
      </w:r>
      <w:r>
        <w:rPr>
          <w:b/>
          <w:bCs/>
        </w:rPr>
        <w:t>работающие на газе,</w:t>
      </w:r>
      <w:r>
        <w:t xml:space="preserve"> </w:t>
      </w:r>
      <w:r>
        <w:rPr>
          <w:strike/>
        </w:rPr>
        <w:t>которые могут работать либо на бензине, либо на газообразном топливе, но в которых бензиновая система предназначена только для использования в чрезвычайных ситуациях или для запуска двигателя и максимальная емкость бензобака которых не превышает 15 л,</w:t>
      </w:r>
      <w:r w:rsidR="00BF6E11">
        <w:t xml:space="preserve"> для цели испытания типа </w:t>
      </w:r>
      <w:r>
        <w:t>I рассматриваются как транспортные средства, которые могут работать только на газообразном топливе».</w:t>
      </w:r>
    </w:p>
    <w:p w:rsidR="00E132B8" w:rsidRPr="00DB4C68" w:rsidRDefault="00E132B8" w:rsidP="00E132B8">
      <w:pPr>
        <w:pStyle w:val="SingleTxtG"/>
      </w:pPr>
      <w:r>
        <w:rPr>
          <w:i/>
          <w:iCs/>
        </w:rPr>
        <w:t>Пункт 5.3.2.1.2</w:t>
      </w:r>
      <w:r>
        <w:t xml:space="preserve"> изменить следующим образом:</w:t>
      </w:r>
    </w:p>
    <w:p w:rsidR="00E132B8" w:rsidRPr="00DB4C68" w:rsidRDefault="00E132B8" w:rsidP="00E132B8">
      <w:pPr>
        <w:pStyle w:val="SingleTxtG"/>
        <w:ind w:left="2268" w:hanging="1134"/>
      </w:pPr>
      <w:r>
        <w:t xml:space="preserve">«5.3.2.1.2 </w:t>
      </w:r>
      <w:r>
        <w:tab/>
        <w:t xml:space="preserve">Независимо от требования, предусмотренного в пункте 5.3.2.1.1, </w:t>
      </w:r>
      <w:proofErr w:type="spellStart"/>
      <w:r>
        <w:rPr>
          <w:b/>
          <w:bCs/>
        </w:rPr>
        <w:t>монотопливные</w:t>
      </w:r>
      <w:proofErr w:type="spellEnd"/>
      <w:r>
        <w:t xml:space="preserve"> транспортные средства, </w:t>
      </w:r>
      <w:r>
        <w:rPr>
          <w:b/>
          <w:bCs/>
        </w:rPr>
        <w:t>работающие на газе,</w:t>
      </w:r>
      <w:r>
        <w:t xml:space="preserve"> </w:t>
      </w:r>
      <w:r>
        <w:rPr>
          <w:strike/>
        </w:rPr>
        <w:t>которые могут работать либо на бензине, либо на газообразном топливе, но в которых бензиновая система предназначена только для использования в чрезвычайных ситуациях или для запуска двигателя и максимальная емкость бензобака которых не превышает 15 л,</w:t>
      </w:r>
      <w:r>
        <w:t xml:space="preserve"> для цели исп</w:t>
      </w:r>
      <w:r w:rsidR="00BF6E11">
        <w:t>ытания типа </w:t>
      </w:r>
      <w:r>
        <w:t xml:space="preserve">II рассматриваются как транспортные средства, которые могут работать только на газообразном топливе». </w:t>
      </w:r>
    </w:p>
    <w:p w:rsidR="00E132B8" w:rsidRPr="00DB4C68" w:rsidRDefault="00E132B8" w:rsidP="00E132B8">
      <w:pPr>
        <w:pStyle w:val="SingleTxtG"/>
      </w:pPr>
      <w:r>
        <w:rPr>
          <w:i/>
          <w:iCs/>
        </w:rPr>
        <w:t>Пункт 5.3.3.1.2</w:t>
      </w:r>
      <w:r>
        <w:t xml:space="preserve"> изменить следующим образом:</w:t>
      </w:r>
    </w:p>
    <w:p w:rsidR="00E132B8" w:rsidRPr="00DB4C68" w:rsidRDefault="00E132B8" w:rsidP="00E132B8">
      <w:pPr>
        <w:pStyle w:val="SingleTxtG"/>
        <w:ind w:left="2268" w:hanging="1134"/>
      </w:pPr>
      <w:r>
        <w:t xml:space="preserve">«5.3.3.1.2 </w:t>
      </w:r>
      <w:r>
        <w:tab/>
        <w:t xml:space="preserve">Независимо от требования, предусмотренного в пункте 5.3.3.1.1, </w:t>
      </w:r>
      <w:proofErr w:type="spellStart"/>
      <w:r>
        <w:rPr>
          <w:b/>
          <w:bCs/>
        </w:rPr>
        <w:t>монотопливные</w:t>
      </w:r>
      <w:proofErr w:type="spellEnd"/>
      <w:r>
        <w:t xml:space="preserve"> транспортные средства, </w:t>
      </w:r>
      <w:r>
        <w:rPr>
          <w:b/>
          <w:bCs/>
        </w:rPr>
        <w:t>работающие на газе,</w:t>
      </w:r>
      <w:r>
        <w:t xml:space="preserve"> </w:t>
      </w:r>
      <w:r>
        <w:rPr>
          <w:strike/>
        </w:rPr>
        <w:t>которые могут работать либо на бензине, либо на газообразном топливе, но в которых бензиновая система предназначена только для использования в чрезвычайных ситуациях или для запуска двигателя и максимальная емкость бензобака которых не превышает 15 л,</w:t>
      </w:r>
      <w:r w:rsidR="00BF6E11">
        <w:t xml:space="preserve"> для цели испытания типа </w:t>
      </w:r>
      <w:r>
        <w:t xml:space="preserve">III рассматриваются как транспортные средства, которые могут работать только на газообразном топливе». </w:t>
      </w:r>
    </w:p>
    <w:p w:rsidR="00E132B8" w:rsidRPr="00DB4C68" w:rsidRDefault="00E132B8" w:rsidP="00E132B8">
      <w:pPr>
        <w:pStyle w:val="SingleTxtG"/>
        <w:keepNext/>
        <w:keepLines/>
      </w:pPr>
      <w:r>
        <w:rPr>
          <w:i/>
          <w:iCs/>
        </w:rPr>
        <w:t xml:space="preserve">Приложение 1, пункт </w:t>
      </w:r>
      <w:r w:rsidR="00221BC5">
        <w:rPr>
          <w:i/>
          <w:iCs/>
        </w:rPr>
        <w:t>3</w:t>
      </w:r>
      <w:r>
        <w:rPr>
          <w:i/>
          <w:iCs/>
        </w:rPr>
        <w:t>.</w:t>
      </w:r>
      <w:r w:rsidR="00221BC5">
        <w:rPr>
          <w:i/>
          <w:iCs/>
        </w:rPr>
        <w:t>2</w:t>
      </w:r>
      <w:r>
        <w:rPr>
          <w:i/>
          <w:iCs/>
        </w:rPr>
        <w:t>.12.2.5.5</w:t>
      </w:r>
      <w:r>
        <w:t xml:space="preserve"> изменить следующим образом:</w:t>
      </w:r>
    </w:p>
    <w:p w:rsidR="00E132B8" w:rsidRPr="00DB4C68" w:rsidRDefault="000F015D" w:rsidP="00E132B8">
      <w:pPr>
        <w:pStyle w:val="SingleTxtG"/>
        <w:ind w:left="2268" w:hanging="1134"/>
      </w:pPr>
      <w:r>
        <w:t>"3.2.12.2.5.5</w:t>
      </w:r>
      <w:r>
        <w:tab/>
      </w:r>
      <w:r w:rsidR="00E132B8">
        <w:t xml:space="preserve">Схематический чертеж топливного бака с указанием </w:t>
      </w:r>
      <w:r w:rsidR="00E132B8">
        <w:rPr>
          <w:b/>
          <w:bCs/>
        </w:rPr>
        <w:t>номинальной</w:t>
      </w:r>
      <w:r w:rsidR="00E132B8">
        <w:t xml:space="preserve"> емкости и материала: .........................................».</w:t>
      </w:r>
    </w:p>
    <w:p w:rsidR="00E132B8" w:rsidRPr="00DB4C68" w:rsidRDefault="00E132B8" w:rsidP="00E132B8">
      <w:pPr>
        <w:pStyle w:val="SingleTxtG"/>
      </w:pPr>
      <w:r>
        <w:rPr>
          <w:i/>
          <w:iCs/>
        </w:rPr>
        <w:t>Приложение 7, пункт 4.7.2</w:t>
      </w:r>
      <w:r>
        <w:t xml:space="preserve"> изменить следующим образом (к тексту на русском языке не относится):</w:t>
      </w:r>
    </w:p>
    <w:p w:rsidR="00E132B8" w:rsidRPr="00DB4C68" w:rsidRDefault="00E132B8" w:rsidP="00E132B8">
      <w:pPr>
        <w:pStyle w:val="SingleTxtG"/>
        <w:ind w:left="2268" w:hanging="1134"/>
      </w:pPr>
      <w:r>
        <w:t>«4.7.2</w:t>
      </w:r>
      <w:r>
        <w:tab/>
        <w:t xml:space="preserve">Камера должна быть оборудована одним или несколькими </w:t>
      </w:r>
      <w:proofErr w:type="gramStart"/>
      <w:r>
        <w:t>вентиляторами</w:t>
      </w:r>
      <w:proofErr w:type="gramEnd"/>
      <w:r>
        <w:t xml:space="preserve"> или воздуходувными устройствами, расход которых может составлять 0,1–0,5 м</w:t>
      </w:r>
      <w:r>
        <w:rPr>
          <w:vertAlign w:val="superscript"/>
        </w:rPr>
        <w:t>3</w:t>
      </w:r>
      <w:r>
        <w:t>/с для обеспечения полного смешивания элементов воздушной среды в камере. Во время осуществления измерений должна быть обеспечена возможность равномерного распределения температуры и концентрации углеводородов в камере. Помещенное во внутреннее пространство транспортное средство не должно подвергаться воздействию прямого потока воздуха от вентиляторов или воздуходувных устройств».</w:t>
      </w:r>
    </w:p>
    <w:p w:rsidR="00E132B8" w:rsidRPr="00DB4C68" w:rsidRDefault="00E132B8" w:rsidP="00E132B8">
      <w:pPr>
        <w:pStyle w:val="SingleTxtG"/>
      </w:pPr>
      <w:r>
        <w:rPr>
          <w:i/>
          <w:iCs/>
        </w:rPr>
        <w:t>Приложение 11, пункт 3.1.1</w:t>
      </w:r>
      <w:r>
        <w:t xml:space="preserve"> изменить следующим образом:</w:t>
      </w:r>
    </w:p>
    <w:p w:rsidR="00370442" w:rsidRDefault="00E132B8" w:rsidP="00E132B8">
      <w:pPr>
        <w:pStyle w:val="SingleTxtG"/>
        <w:ind w:left="2268" w:hanging="1134"/>
      </w:pPr>
      <w:r>
        <w:t>«3.1.1</w:t>
      </w:r>
      <w:r>
        <w:tab/>
        <w:t xml:space="preserve">Доступ к системе БД, требуемый для осмотра, диагностики, обслуживания или ремонта транспортного средства, должен быть </w:t>
      </w:r>
      <w:proofErr w:type="spellStart"/>
      <w:r>
        <w:t>неограни</w:t>
      </w:r>
      <w:proofErr w:type="spellEnd"/>
    </w:p>
    <w:p w:rsidR="00E132B8" w:rsidRPr="00DB4C68" w:rsidRDefault="00E132B8" w:rsidP="00E132B8">
      <w:pPr>
        <w:pStyle w:val="SingleTxtG"/>
        <w:ind w:left="2268" w:hanging="1134"/>
      </w:pPr>
      <w:r>
        <w:t xml:space="preserve">ченным и стандартизированным. Все коды неисправностей, связанных с выбросами, должны соответствовать </w:t>
      </w:r>
      <w:r>
        <w:rPr>
          <w:strike/>
        </w:rPr>
        <w:t>пункту 6.5.3.4</w:t>
      </w:r>
      <w:r>
        <w:t xml:space="preserve"> </w:t>
      </w:r>
      <w:r>
        <w:rPr>
          <w:b/>
          <w:bCs/>
        </w:rPr>
        <w:t>пункту 6.5.3.5</w:t>
      </w:r>
      <w:r>
        <w:t xml:space="preserve"> добавления 1 к настоящему приложению».</w:t>
      </w:r>
    </w:p>
    <w:p w:rsidR="00E132B8" w:rsidRPr="00DB4C68" w:rsidRDefault="00E132B8" w:rsidP="00E132B8">
      <w:pPr>
        <w:pStyle w:val="SingleTxtG"/>
        <w:rPr>
          <w:b/>
          <w:bCs/>
        </w:rPr>
      </w:pPr>
      <w:r>
        <w:rPr>
          <w:b/>
          <w:bCs/>
        </w:rPr>
        <w:t>Только в поправках серии 06</w:t>
      </w:r>
    </w:p>
    <w:p w:rsidR="00E132B8" w:rsidRPr="00DB4C68" w:rsidRDefault="00E132B8" w:rsidP="00E132B8">
      <w:pPr>
        <w:pStyle w:val="SingleTxtG"/>
        <w:rPr>
          <w:iCs/>
        </w:rPr>
      </w:pPr>
      <w:r>
        <w:rPr>
          <w:i/>
          <w:iCs/>
        </w:rPr>
        <w:t>Пункт 1 добавления 6</w:t>
      </w:r>
      <w:r>
        <w:t xml:space="preserve"> изменить следующим образом:</w:t>
      </w:r>
    </w:p>
    <w:p w:rsidR="00E132B8" w:rsidRPr="00DB4C68" w:rsidRDefault="00E132B8" w:rsidP="00E132B8">
      <w:pPr>
        <w:pStyle w:val="SingleTxtG"/>
      </w:pPr>
      <w:r>
        <w:t>«1.</w:t>
      </w:r>
      <w:r>
        <w:tab/>
      </w:r>
      <w:r>
        <w:tab/>
        <w:t>Введение</w:t>
      </w:r>
    </w:p>
    <w:p w:rsidR="00E132B8" w:rsidRPr="00DB4C68" w:rsidRDefault="00E132B8" w:rsidP="00E132B8">
      <w:pPr>
        <w:pStyle w:val="SingleTxtG"/>
        <w:ind w:left="2268"/>
      </w:pPr>
      <w:r>
        <w:t xml:space="preserve">В настоящем </w:t>
      </w:r>
      <w:r>
        <w:rPr>
          <w:strike/>
        </w:rPr>
        <w:t>приложении</w:t>
      </w:r>
      <w:r>
        <w:t xml:space="preserve"> </w:t>
      </w:r>
      <w:r>
        <w:rPr>
          <w:b/>
          <w:bCs/>
        </w:rPr>
        <w:t>добавлении</w:t>
      </w:r>
      <w:r>
        <w:t xml:space="preserve"> содержатся требования, предъявляемые к транспортным средствам, на которых предусматривается использование реагента для системы последующего ограничения выбросов. Любая ссылка в настоящем </w:t>
      </w:r>
      <w:r>
        <w:rPr>
          <w:strike/>
        </w:rPr>
        <w:t>приложении</w:t>
      </w:r>
      <w:r>
        <w:t xml:space="preserve"> </w:t>
      </w:r>
      <w:r>
        <w:rPr>
          <w:b/>
          <w:bCs/>
        </w:rPr>
        <w:t>добавлении</w:t>
      </w:r>
      <w:r>
        <w:t xml:space="preserve"> на "емкость с реагентом" относится также к другим резервуарам, в которых хранится реагент.</w:t>
      </w:r>
    </w:p>
    <w:p w:rsidR="00E132B8" w:rsidRPr="00DB4C68" w:rsidRDefault="00E132B8" w:rsidP="00E132B8">
      <w:pPr>
        <w:pStyle w:val="SingleTxtG"/>
        <w:ind w:left="1701" w:firstLine="567"/>
      </w:pPr>
      <w:r>
        <w:t>…</w:t>
      </w:r>
      <w:r w:rsidR="00FB5D01">
        <w:t>»</w:t>
      </w:r>
    </w:p>
    <w:p w:rsidR="00E132B8" w:rsidRPr="00DB4C68" w:rsidRDefault="00E132B8" w:rsidP="00E132B8">
      <w:pPr>
        <w:pStyle w:val="SingleTxtG"/>
      </w:pPr>
      <w:r w:rsidRPr="00CF7040">
        <w:rPr>
          <w:i/>
        </w:rPr>
        <w:t>Приложение 1, пункт 3, сноску **</w:t>
      </w:r>
      <w:r>
        <w:t xml:space="preserve"> изменить следующим образом:</w:t>
      </w:r>
    </w:p>
    <w:p w:rsidR="00E132B8" w:rsidRPr="00DB4C68" w:rsidRDefault="00FB5D01" w:rsidP="00E132B8">
      <w:pPr>
        <w:pStyle w:val="SingleTxtG"/>
        <w:ind w:left="2268" w:hanging="1134"/>
      </w:pPr>
      <w:r>
        <w:t>«</w:t>
      </w:r>
      <w:r w:rsidR="00E132B8">
        <w:t>**</w:t>
      </w:r>
      <w:r w:rsidR="00E132B8">
        <w:tab/>
      </w:r>
      <w:proofErr w:type="spellStart"/>
      <w:r w:rsidR="00E132B8">
        <w:t>Монотопливные</w:t>
      </w:r>
      <w:proofErr w:type="spellEnd"/>
      <w:r w:rsidR="00E132B8">
        <w:t xml:space="preserve"> транспортные средства, </w:t>
      </w:r>
      <w:r w:rsidR="00E132B8">
        <w:rPr>
          <w:b/>
          <w:bCs/>
        </w:rPr>
        <w:t>работающие на газе,</w:t>
      </w:r>
      <w:r w:rsidR="00E132B8">
        <w:t xml:space="preserve"> </w:t>
      </w:r>
      <w:r w:rsidR="00E132B8">
        <w:rPr>
          <w:strike/>
        </w:rPr>
        <w:t>которые могут работать как на бензине, так и на газообразном топливе, но в которых бензиновая система предназначена только для использования в чрезвычайных ситуациях или для запуска двигателя и максимальная емкость бензобака которых не превышает 15 л,</w:t>
      </w:r>
      <w:r w:rsidR="00E132B8">
        <w:t xml:space="preserve"> для цели испытания рассматриваются как транспортные средства, которые могут работать только на газообразном топливе</w:t>
      </w:r>
      <w:r>
        <w:t>»</w:t>
      </w:r>
      <w:r w:rsidR="00E132B8">
        <w:t>.</w:t>
      </w:r>
    </w:p>
    <w:p w:rsidR="00E132B8" w:rsidRPr="00DB4C68" w:rsidRDefault="00E132B8" w:rsidP="00E132B8">
      <w:pPr>
        <w:pStyle w:val="SingleTxtG"/>
        <w:rPr>
          <w:b/>
          <w:bCs/>
          <w:iCs/>
        </w:rPr>
      </w:pPr>
      <w:r>
        <w:rPr>
          <w:b/>
          <w:bCs/>
        </w:rPr>
        <w:t xml:space="preserve">Только в поправках серии </w:t>
      </w:r>
      <w:r w:rsidR="00FB5D01">
        <w:rPr>
          <w:b/>
          <w:bCs/>
        </w:rPr>
        <w:t>0</w:t>
      </w:r>
      <w:r>
        <w:rPr>
          <w:b/>
          <w:bCs/>
        </w:rPr>
        <w:t>7</w:t>
      </w:r>
    </w:p>
    <w:p w:rsidR="00E132B8" w:rsidRPr="00DB4C68" w:rsidRDefault="00E132B8" w:rsidP="00E132B8">
      <w:pPr>
        <w:pStyle w:val="SingleTxtG"/>
        <w:rPr>
          <w:i/>
        </w:rPr>
      </w:pPr>
      <w:r>
        <w:rPr>
          <w:i/>
          <w:iCs/>
        </w:rPr>
        <w:t>Пункт 1 добавления 6</w:t>
      </w:r>
      <w:r>
        <w:t xml:space="preserve"> изменить следующим образом:</w:t>
      </w:r>
    </w:p>
    <w:p w:rsidR="00E132B8" w:rsidRPr="00DB4C68" w:rsidRDefault="00FB5D01" w:rsidP="00E132B8">
      <w:pPr>
        <w:pStyle w:val="SingleTxtG"/>
      </w:pPr>
      <w:r>
        <w:t>«</w:t>
      </w:r>
      <w:r w:rsidR="00E132B8">
        <w:t>1.</w:t>
      </w:r>
      <w:r w:rsidR="00E132B8">
        <w:tab/>
      </w:r>
      <w:r w:rsidR="00E132B8">
        <w:tab/>
        <w:t>Введение</w:t>
      </w:r>
      <w:bookmarkStart w:id="1" w:name="_Toc392497037"/>
      <w:bookmarkStart w:id="2" w:name="_Toc407097362"/>
      <w:bookmarkEnd w:id="1"/>
      <w:bookmarkEnd w:id="2"/>
    </w:p>
    <w:p w:rsidR="00E132B8" w:rsidRPr="00DB4C68" w:rsidRDefault="00E132B8" w:rsidP="00E132B8">
      <w:pPr>
        <w:pStyle w:val="SingleTxtG"/>
        <w:ind w:left="2268"/>
      </w:pPr>
      <w:bookmarkStart w:id="3" w:name="_Toc392497038"/>
      <w:bookmarkStart w:id="4" w:name="_Toc407097363"/>
      <w:r>
        <w:t xml:space="preserve">В настоящем добавлении содержатся требования, предъявляемые к транспортным средствам, на которых предусматривается использование реагента для системы последующего ограничения выбросов. Любая ссылка в настоящем </w:t>
      </w:r>
      <w:r>
        <w:rPr>
          <w:strike/>
        </w:rPr>
        <w:t>приложении</w:t>
      </w:r>
      <w:r>
        <w:t xml:space="preserve"> </w:t>
      </w:r>
      <w:r>
        <w:rPr>
          <w:b/>
          <w:bCs/>
        </w:rPr>
        <w:t>добавлении</w:t>
      </w:r>
      <w:r>
        <w:t xml:space="preserve"> на "емкость с реагентом" относится также к другим резервуарам, в которых хранится реагент.</w:t>
      </w:r>
      <w:bookmarkEnd w:id="3"/>
      <w:bookmarkEnd w:id="4"/>
    </w:p>
    <w:p w:rsidR="00E132B8" w:rsidRPr="00DB4C68" w:rsidRDefault="00E132B8" w:rsidP="00E132B8">
      <w:pPr>
        <w:pStyle w:val="SingleTxtG"/>
        <w:ind w:left="1701" w:firstLine="567"/>
        <w:rPr>
          <w:i/>
        </w:rPr>
      </w:pPr>
      <w:r>
        <w:t>…</w:t>
      </w:r>
      <w:r w:rsidR="00FB5D01">
        <w:t>»</w:t>
      </w:r>
    </w:p>
    <w:p w:rsidR="00E132B8" w:rsidRPr="00DB4C68" w:rsidRDefault="00E132B8" w:rsidP="00E132B8">
      <w:pPr>
        <w:pStyle w:val="SingleTxtG"/>
      </w:pPr>
      <w:r>
        <w:rPr>
          <w:i/>
          <w:iCs/>
        </w:rPr>
        <w:t>Приложение 1, пункт 3, сноску 8</w:t>
      </w:r>
      <w:r>
        <w:t xml:space="preserve"> изменить следующим образом:</w:t>
      </w:r>
    </w:p>
    <w:p w:rsidR="00E132B8" w:rsidRPr="00DB4C68" w:rsidRDefault="00FB5D01" w:rsidP="00E132B8">
      <w:pPr>
        <w:pStyle w:val="SingleTxtG"/>
        <w:ind w:left="2268" w:hanging="1134"/>
      </w:pPr>
      <w:r>
        <w:t>«</w:t>
      </w:r>
      <w:r w:rsidR="00E132B8">
        <w:t>(8)</w:t>
      </w:r>
      <w:r w:rsidR="00E132B8">
        <w:tab/>
      </w:r>
      <w:proofErr w:type="spellStart"/>
      <w:r w:rsidR="00E132B8">
        <w:t>Монотопливные</w:t>
      </w:r>
      <w:proofErr w:type="spellEnd"/>
      <w:r w:rsidR="00E132B8">
        <w:t xml:space="preserve"> транспортные средства, </w:t>
      </w:r>
      <w:r w:rsidR="00E132B8">
        <w:rPr>
          <w:b/>
          <w:bCs/>
        </w:rPr>
        <w:t>работающие на газе,</w:t>
      </w:r>
      <w:r w:rsidR="00E132B8">
        <w:t xml:space="preserve"> </w:t>
      </w:r>
      <w:r w:rsidR="00E132B8">
        <w:rPr>
          <w:strike/>
        </w:rPr>
        <w:t>которые могут работать как на бензине, так и на газообразном топливе, но в которых бензиновая система предназначена только для использования в чрезвычайных ситуациях или для запуска двигателя и максимальная емкость бензобака которых не превышает 15 л,</w:t>
      </w:r>
      <w:r w:rsidR="00E132B8">
        <w:t xml:space="preserve"> для цели испытания рассматриваются как транспортные средства, которые могут работать только на газообразном топливе</w:t>
      </w:r>
      <w:r>
        <w:t>»</w:t>
      </w:r>
      <w:r w:rsidR="00E132B8">
        <w:t>.</w:t>
      </w:r>
    </w:p>
    <w:p w:rsidR="00E132B8" w:rsidRPr="00DB4C68" w:rsidRDefault="00E132B8" w:rsidP="00E132B8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:rsidR="00E132B8" w:rsidRPr="00DB4C68" w:rsidRDefault="00E132B8" w:rsidP="00E132B8">
      <w:pPr>
        <w:pStyle w:val="SingleTxtG"/>
      </w:pPr>
      <w:r>
        <w:t>1.</w:t>
      </w:r>
      <w:r>
        <w:tab/>
      </w:r>
      <w:r w:rsidR="00FB5D01">
        <w:t>В настоящее время в «</w:t>
      </w:r>
      <w:r>
        <w:t>основном тексте</w:t>
      </w:r>
      <w:r w:rsidR="00FB5D01">
        <w:t>»</w:t>
      </w:r>
      <w:r>
        <w:t xml:space="preserve"> Правил № 83 ООН нет ссылки на добавление 6 и поэтому ничто не указывает на то, что при испытаниях таких транспортных средств на официальное утверждение типа необходимо соблюдать требования этого добавления.</w:t>
      </w:r>
    </w:p>
    <w:p w:rsidR="00E132B8" w:rsidRPr="00DB4C68" w:rsidRDefault="00E132B8" w:rsidP="00E132B8">
      <w:pPr>
        <w:pStyle w:val="SingleTxtG"/>
      </w:pPr>
      <w:r>
        <w:t>2.</w:t>
      </w:r>
      <w:r>
        <w:tab/>
        <w:t>Определе</w:t>
      </w:r>
      <w:r w:rsidR="00FB5D01">
        <w:t>ние термина «</w:t>
      </w:r>
      <w:proofErr w:type="spellStart"/>
      <w:r>
        <w:t>монотопливное</w:t>
      </w:r>
      <w:proofErr w:type="spellEnd"/>
      <w:r>
        <w:t xml:space="preserve"> транспортное средство, работающее на газе</w:t>
      </w:r>
      <w:r w:rsidR="00FB5D01">
        <w:t>»</w:t>
      </w:r>
      <w:r>
        <w:t xml:space="preserve"> было уточнено в рабочем документе ECE/TRANS/WP.29/GRPE/2018/13 и включено в поправку 12 к пересмотренному варианту 4 Правил № 83 ООН и в поправку 8 к пересмотренному варианту 5 Правил № 83 ООН.</w:t>
      </w:r>
    </w:p>
    <w:p w:rsidR="00E132B8" w:rsidRPr="00DB4C68" w:rsidRDefault="00E132B8" w:rsidP="00E132B8">
      <w:pPr>
        <w:pStyle w:val="SingleTxtG"/>
      </w:pPr>
      <w:r>
        <w:t xml:space="preserve">3. </w:t>
      </w:r>
      <w:r>
        <w:tab/>
        <w:t>Однако дальнейшее прочтение Правил показало, что, несмотря на наличие определения, в нескольких местах вместо самого определения термина используется его содержание.</w:t>
      </w:r>
    </w:p>
    <w:p w:rsidR="00E132B8" w:rsidRPr="00DB4C68" w:rsidRDefault="00E132B8" w:rsidP="00E132B8">
      <w:pPr>
        <w:pStyle w:val="SingleTxtG"/>
      </w:pPr>
      <w:r>
        <w:t>4.</w:t>
      </w:r>
      <w:r>
        <w:tab/>
        <w:t>Данное предложение предусматривает замену текста в этих положениях определенным термином.</w:t>
      </w:r>
    </w:p>
    <w:p w:rsidR="00E132B8" w:rsidRPr="00DB4C68" w:rsidRDefault="00FB5D01" w:rsidP="00E132B8">
      <w:pPr>
        <w:pStyle w:val="SingleTxtG"/>
      </w:pPr>
      <w:r>
        <w:t>5.</w:t>
      </w:r>
      <w:r>
        <w:tab/>
        <w:t>Три ссылки на «</w:t>
      </w:r>
      <w:r w:rsidR="00E132B8">
        <w:t>приложение</w:t>
      </w:r>
      <w:r>
        <w:t>» следует заменить ссылками на «</w:t>
      </w:r>
      <w:r w:rsidR="00E132B8">
        <w:t>добавление</w:t>
      </w:r>
      <w:r>
        <w:t>»</w:t>
      </w:r>
      <w:r w:rsidR="00E132B8">
        <w:t>.</w:t>
      </w:r>
    </w:p>
    <w:p w:rsidR="00E132B8" w:rsidRPr="00DB4C68" w:rsidRDefault="00E132B8" w:rsidP="00E132B8">
      <w:pPr>
        <w:pStyle w:val="SingleTxtG"/>
      </w:pPr>
      <w:r>
        <w:t>6.</w:t>
      </w:r>
      <w:r>
        <w:tab/>
      </w:r>
      <w:proofErr w:type="gramStart"/>
      <w:r>
        <w:t>В</w:t>
      </w:r>
      <w:proofErr w:type="gramEnd"/>
      <w:r>
        <w:t xml:space="preserve"> течение длительного времени в тексте было указано неправильное значение параметра для воздуходувных устройств в камере ГКИВИ. Это было замечено при разработке ГТП № 15 ООН, поэтому в Правилах № 83 ООН следует также использовать согласованную формулировку.</w:t>
      </w:r>
    </w:p>
    <w:p w:rsidR="00E132B8" w:rsidRDefault="00E132B8" w:rsidP="00E132B8">
      <w:pPr>
        <w:pStyle w:val="SingleTxtG"/>
      </w:pPr>
      <w:r>
        <w:t>7.</w:t>
      </w:r>
      <w:r>
        <w:tab/>
        <w:t>Кроме того, выяснилось, что одна ссылка в приложении 11 указана неверно.</w:t>
      </w:r>
    </w:p>
    <w:p w:rsidR="00E132B8" w:rsidRPr="00E132B8" w:rsidRDefault="00E132B8" w:rsidP="00E132B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32B8" w:rsidRPr="00E132B8" w:rsidSect="00E132B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F1" w:rsidRPr="00A312BC" w:rsidRDefault="004619F1" w:rsidP="00A312BC"/>
  </w:endnote>
  <w:endnote w:type="continuationSeparator" w:id="0">
    <w:p w:rsidR="004619F1" w:rsidRPr="00A312BC" w:rsidRDefault="004619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B8" w:rsidRPr="00E132B8" w:rsidRDefault="00E132B8">
    <w:pPr>
      <w:pStyle w:val="a8"/>
    </w:pPr>
    <w:r w:rsidRPr="00E132B8">
      <w:rPr>
        <w:b/>
        <w:sz w:val="18"/>
      </w:rPr>
      <w:fldChar w:fldCharType="begin"/>
    </w:r>
    <w:r w:rsidRPr="00E132B8">
      <w:rPr>
        <w:b/>
        <w:sz w:val="18"/>
      </w:rPr>
      <w:instrText xml:space="preserve"> PAGE  \* MERGEFORMAT </w:instrText>
    </w:r>
    <w:r w:rsidRPr="00E132B8">
      <w:rPr>
        <w:b/>
        <w:sz w:val="18"/>
      </w:rPr>
      <w:fldChar w:fldCharType="separate"/>
    </w:r>
    <w:r w:rsidR="004523D8">
      <w:rPr>
        <w:b/>
        <w:noProof/>
        <w:sz w:val="18"/>
      </w:rPr>
      <w:t>4</w:t>
    </w:r>
    <w:r w:rsidRPr="00E132B8">
      <w:rPr>
        <w:b/>
        <w:sz w:val="18"/>
      </w:rPr>
      <w:fldChar w:fldCharType="end"/>
    </w:r>
    <w:r>
      <w:rPr>
        <w:b/>
        <w:sz w:val="18"/>
      </w:rPr>
      <w:tab/>
    </w:r>
    <w:r>
      <w:t>GE.19-18890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B8" w:rsidRPr="00E132B8" w:rsidRDefault="00E132B8" w:rsidP="00E132B8">
    <w:pPr>
      <w:pStyle w:val="a8"/>
      <w:tabs>
        <w:tab w:val="clear" w:pos="9639"/>
        <w:tab w:val="right" w:pos="9638"/>
      </w:tabs>
      <w:rPr>
        <w:b/>
        <w:sz w:val="18"/>
      </w:rPr>
    </w:pPr>
    <w:r>
      <w:t>GE.19-18890</w:t>
    </w:r>
    <w:r>
      <w:tab/>
    </w:r>
    <w:r w:rsidRPr="00E132B8">
      <w:rPr>
        <w:b/>
        <w:sz w:val="18"/>
      </w:rPr>
      <w:fldChar w:fldCharType="begin"/>
    </w:r>
    <w:r w:rsidRPr="00E132B8">
      <w:rPr>
        <w:b/>
        <w:sz w:val="18"/>
      </w:rPr>
      <w:instrText xml:space="preserve"> PAGE  \* MERGEFORMAT </w:instrText>
    </w:r>
    <w:r w:rsidRPr="00E132B8">
      <w:rPr>
        <w:b/>
        <w:sz w:val="18"/>
      </w:rPr>
      <w:fldChar w:fldCharType="separate"/>
    </w:r>
    <w:r w:rsidR="004523D8">
      <w:rPr>
        <w:b/>
        <w:noProof/>
        <w:sz w:val="18"/>
      </w:rPr>
      <w:t>3</w:t>
    </w:r>
    <w:r w:rsidRPr="00E132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132B8" w:rsidRDefault="00E132B8" w:rsidP="00E132B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18890  (</w:t>
    </w:r>
    <w:proofErr w:type="gramEnd"/>
    <w:r>
      <w:t>R)</w:t>
    </w:r>
    <w:r>
      <w:rPr>
        <w:lang w:val="en-US"/>
      </w:rPr>
      <w:t xml:space="preserve">  111119  </w:t>
    </w:r>
    <w:r w:rsidR="00836841">
      <w:t>26</w:t>
    </w:r>
    <w:r>
      <w:rPr>
        <w:lang w:val="en-US"/>
      </w:rPr>
      <w:t>1119</w:t>
    </w:r>
    <w:r>
      <w:br/>
    </w:r>
    <w:r w:rsidRPr="00E132B8">
      <w:rPr>
        <w:rFonts w:ascii="C39T30Lfz" w:hAnsi="C39T30Lfz"/>
        <w:kern w:val="14"/>
        <w:sz w:val="56"/>
      </w:rPr>
      <w:t></w:t>
    </w:r>
    <w:r w:rsidRPr="00E132B8">
      <w:rPr>
        <w:rFonts w:ascii="C39T30Lfz" w:hAnsi="C39T30Lfz"/>
        <w:kern w:val="14"/>
        <w:sz w:val="56"/>
      </w:rPr>
      <w:t></w:t>
    </w:r>
    <w:r w:rsidRPr="00E132B8">
      <w:rPr>
        <w:rFonts w:ascii="C39T30Lfz" w:hAnsi="C39T30Lfz"/>
        <w:kern w:val="14"/>
        <w:sz w:val="56"/>
      </w:rPr>
      <w:t></w:t>
    </w:r>
    <w:r w:rsidRPr="00E132B8">
      <w:rPr>
        <w:rFonts w:ascii="C39T30Lfz" w:hAnsi="C39T30Lfz"/>
        <w:kern w:val="14"/>
        <w:sz w:val="56"/>
      </w:rPr>
      <w:t></w:t>
    </w:r>
    <w:r w:rsidRPr="00E132B8">
      <w:rPr>
        <w:rFonts w:ascii="C39T30Lfz" w:hAnsi="C39T30Lfz"/>
        <w:kern w:val="14"/>
        <w:sz w:val="56"/>
      </w:rPr>
      <w:t></w:t>
    </w:r>
    <w:r w:rsidRPr="00E132B8">
      <w:rPr>
        <w:rFonts w:ascii="C39T30Lfz" w:hAnsi="C39T30Lfz"/>
        <w:kern w:val="14"/>
        <w:sz w:val="56"/>
      </w:rPr>
      <w:t></w:t>
    </w:r>
    <w:r w:rsidRPr="00E132B8">
      <w:rPr>
        <w:rFonts w:ascii="C39T30Lfz" w:hAnsi="C39T30Lfz"/>
        <w:kern w:val="14"/>
        <w:sz w:val="56"/>
      </w:rPr>
      <w:t></w:t>
    </w:r>
    <w:r w:rsidRPr="00E132B8">
      <w:rPr>
        <w:rFonts w:ascii="C39T30Lfz" w:hAnsi="C39T30Lfz"/>
        <w:kern w:val="14"/>
        <w:sz w:val="56"/>
      </w:rPr>
      <w:t></w:t>
    </w:r>
    <w:r w:rsidRPr="00E132B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20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F1" w:rsidRPr="001075E9" w:rsidRDefault="004619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19F1" w:rsidRDefault="004619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132B8" w:rsidRPr="007E5C8F" w:rsidRDefault="00E132B8" w:rsidP="00E132B8">
      <w:pPr>
        <w:pStyle w:val="ad"/>
      </w:pPr>
      <w:r>
        <w:tab/>
      </w:r>
      <w:r w:rsidRPr="00E132B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B8" w:rsidRPr="00E132B8" w:rsidRDefault="004523D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ECE/TRANS/WP.29/GRPE/2020/2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B8" w:rsidRPr="00E132B8" w:rsidRDefault="004523D8" w:rsidP="00E132B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ECE/TRANS/WP.29/GRPE/2020/2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F1"/>
    <w:rsid w:val="00033EE1"/>
    <w:rsid w:val="00042B72"/>
    <w:rsid w:val="000558BD"/>
    <w:rsid w:val="000B57E7"/>
    <w:rsid w:val="000B6373"/>
    <w:rsid w:val="000E4E5B"/>
    <w:rsid w:val="000F015D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44A7"/>
    <w:rsid w:val="00221BC5"/>
    <w:rsid w:val="00255343"/>
    <w:rsid w:val="0027151D"/>
    <w:rsid w:val="0029400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0442"/>
    <w:rsid w:val="00381C24"/>
    <w:rsid w:val="00387CD4"/>
    <w:rsid w:val="003958D0"/>
    <w:rsid w:val="003A0D43"/>
    <w:rsid w:val="003A48CE"/>
    <w:rsid w:val="003B00E5"/>
    <w:rsid w:val="003E0B46"/>
    <w:rsid w:val="003F78A7"/>
    <w:rsid w:val="00407B78"/>
    <w:rsid w:val="00424203"/>
    <w:rsid w:val="004523D8"/>
    <w:rsid w:val="00452493"/>
    <w:rsid w:val="00453318"/>
    <w:rsid w:val="00454AF2"/>
    <w:rsid w:val="00454E07"/>
    <w:rsid w:val="004619F1"/>
    <w:rsid w:val="00472C5C"/>
    <w:rsid w:val="004E05B7"/>
    <w:rsid w:val="0050108D"/>
    <w:rsid w:val="00513081"/>
    <w:rsid w:val="00517901"/>
    <w:rsid w:val="005203BC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684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6E11"/>
    <w:rsid w:val="00C106D6"/>
    <w:rsid w:val="00C119AE"/>
    <w:rsid w:val="00C60F0C"/>
    <w:rsid w:val="00C71E84"/>
    <w:rsid w:val="00C805C9"/>
    <w:rsid w:val="00C92939"/>
    <w:rsid w:val="00CA1679"/>
    <w:rsid w:val="00CA25D6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32B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5D0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88117"/>
  <w15:docId w15:val="{A463FF8D-4286-43E9-88DE-274B7AEC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132B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132B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132B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971</Words>
  <Characters>6639</Characters>
  <Application>Microsoft Office Word</Application>
  <DocSecurity>0</DocSecurity>
  <Lines>147</Lines>
  <Paragraphs>57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ECE/TRANS/WP.29/GRPE/2020/2</vt:lpstr>
      <vt:lpstr>A/</vt:lpstr>
      <vt:lpstr>A/</vt:lpstr>
    </vt:vector>
  </TitlesOfParts>
  <Company>DCM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ECE/TRANS/WP.29/GRPE/2020/2</dc:title>
  <dc:subject/>
  <dc:creator>Marina KOROTKOVA</dc:creator>
  <cp:keywords/>
  <cp:lastModifiedBy>Marina Korotkova</cp:lastModifiedBy>
  <cp:revision>3</cp:revision>
  <cp:lastPrinted>2019-11-26T06:09:00Z</cp:lastPrinted>
  <dcterms:created xsi:type="dcterms:W3CDTF">2019-11-26T06:09:00Z</dcterms:created>
  <dcterms:modified xsi:type="dcterms:W3CDTF">2019-11-26T06:10:00Z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