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CC4A05" w:rsidTr="00C97039">
        <w:trPr>
          <w:trHeight w:hRule="exact" w:val="851"/>
        </w:trPr>
        <w:tc>
          <w:tcPr>
            <w:tcW w:w="1276" w:type="dxa"/>
            <w:tcBorders>
              <w:bottom w:val="single" w:sz="4" w:space="0" w:color="auto"/>
            </w:tcBorders>
          </w:tcPr>
          <w:p w:rsidR="00F35BAF" w:rsidRPr="00CC4A05" w:rsidRDefault="00F35BAF" w:rsidP="006A53B4"/>
        </w:tc>
        <w:tc>
          <w:tcPr>
            <w:tcW w:w="2268" w:type="dxa"/>
            <w:tcBorders>
              <w:bottom w:val="single" w:sz="4" w:space="0" w:color="auto"/>
            </w:tcBorders>
            <w:vAlign w:val="bottom"/>
          </w:tcPr>
          <w:p w:rsidR="00F35BAF" w:rsidRPr="00CC4A05" w:rsidRDefault="00F35BAF" w:rsidP="00C97039">
            <w:pPr>
              <w:spacing w:after="80" w:line="300" w:lineRule="exact"/>
              <w:rPr>
                <w:sz w:val="28"/>
              </w:rPr>
            </w:pPr>
            <w:r w:rsidRPr="00CC4A05">
              <w:rPr>
                <w:sz w:val="28"/>
              </w:rPr>
              <w:t>Nations Unies</w:t>
            </w:r>
          </w:p>
        </w:tc>
        <w:tc>
          <w:tcPr>
            <w:tcW w:w="6095" w:type="dxa"/>
            <w:gridSpan w:val="2"/>
            <w:tcBorders>
              <w:bottom w:val="single" w:sz="4" w:space="0" w:color="auto"/>
            </w:tcBorders>
            <w:vAlign w:val="bottom"/>
          </w:tcPr>
          <w:p w:rsidR="00F35BAF" w:rsidRPr="00CC4A05" w:rsidRDefault="006A53B4" w:rsidP="006A53B4">
            <w:pPr>
              <w:jc w:val="right"/>
            </w:pPr>
            <w:r w:rsidRPr="00CC4A05">
              <w:rPr>
                <w:sz w:val="40"/>
              </w:rPr>
              <w:t>ECE</w:t>
            </w:r>
            <w:r w:rsidRPr="00CC4A05">
              <w:t>/TRANS/WP.29/GRBP/2020/3</w:t>
            </w:r>
          </w:p>
        </w:tc>
      </w:tr>
      <w:tr w:rsidR="00F35BAF" w:rsidRPr="00CC4A05" w:rsidTr="00C97039">
        <w:trPr>
          <w:trHeight w:hRule="exact" w:val="2835"/>
        </w:trPr>
        <w:tc>
          <w:tcPr>
            <w:tcW w:w="1276" w:type="dxa"/>
            <w:tcBorders>
              <w:top w:val="single" w:sz="4" w:space="0" w:color="auto"/>
              <w:bottom w:val="single" w:sz="12" w:space="0" w:color="auto"/>
            </w:tcBorders>
          </w:tcPr>
          <w:p w:rsidR="00F35BAF" w:rsidRPr="00CC4A05" w:rsidRDefault="00F35BAF" w:rsidP="00C97039">
            <w:pPr>
              <w:spacing w:before="120"/>
              <w:jc w:val="center"/>
            </w:pPr>
            <w:r w:rsidRPr="00CC4A05">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CC4A05" w:rsidRDefault="00F35BAF" w:rsidP="00C97039">
            <w:pPr>
              <w:spacing w:before="120" w:line="420" w:lineRule="exact"/>
              <w:rPr>
                <w:b/>
                <w:sz w:val="40"/>
                <w:szCs w:val="40"/>
              </w:rPr>
            </w:pPr>
            <w:r w:rsidRPr="00CC4A05">
              <w:rPr>
                <w:b/>
                <w:sz w:val="40"/>
                <w:szCs w:val="40"/>
              </w:rPr>
              <w:t>Conseil économique et social</w:t>
            </w:r>
          </w:p>
        </w:tc>
        <w:tc>
          <w:tcPr>
            <w:tcW w:w="2835" w:type="dxa"/>
            <w:tcBorders>
              <w:top w:val="single" w:sz="4" w:space="0" w:color="auto"/>
              <w:bottom w:val="single" w:sz="12" w:space="0" w:color="auto"/>
            </w:tcBorders>
          </w:tcPr>
          <w:p w:rsidR="00F35BAF" w:rsidRPr="00CC4A05" w:rsidRDefault="006A53B4" w:rsidP="00C97039">
            <w:pPr>
              <w:spacing w:before="240"/>
            </w:pPr>
            <w:r w:rsidRPr="00CC4A05">
              <w:t>Distr. générale</w:t>
            </w:r>
          </w:p>
          <w:p w:rsidR="006A53B4" w:rsidRPr="00CC4A05" w:rsidRDefault="006A53B4" w:rsidP="006A53B4">
            <w:pPr>
              <w:spacing w:line="240" w:lineRule="exact"/>
            </w:pPr>
            <w:r w:rsidRPr="00CC4A05">
              <w:t>11 novembre 2019</w:t>
            </w:r>
          </w:p>
          <w:p w:rsidR="006A53B4" w:rsidRPr="00CC4A05" w:rsidRDefault="006A53B4" w:rsidP="006A53B4">
            <w:pPr>
              <w:spacing w:line="240" w:lineRule="exact"/>
            </w:pPr>
            <w:r w:rsidRPr="00CC4A05">
              <w:t>Français</w:t>
            </w:r>
          </w:p>
          <w:p w:rsidR="006A53B4" w:rsidRPr="00CC4A05" w:rsidRDefault="006A53B4" w:rsidP="006A53B4">
            <w:pPr>
              <w:spacing w:line="240" w:lineRule="exact"/>
            </w:pPr>
            <w:r w:rsidRPr="00CC4A05">
              <w:t>Original : anglais</w:t>
            </w:r>
          </w:p>
        </w:tc>
      </w:tr>
    </w:tbl>
    <w:p w:rsidR="007F20FA" w:rsidRPr="00CC4A05" w:rsidRDefault="007F20FA" w:rsidP="007F20FA">
      <w:pPr>
        <w:spacing w:before="120"/>
        <w:rPr>
          <w:b/>
          <w:sz w:val="28"/>
          <w:szCs w:val="28"/>
        </w:rPr>
      </w:pPr>
      <w:r w:rsidRPr="00CC4A05">
        <w:rPr>
          <w:b/>
          <w:sz w:val="28"/>
          <w:szCs w:val="28"/>
        </w:rPr>
        <w:t>Commission économique pour l</w:t>
      </w:r>
      <w:r w:rsidR="006A53B4" w:rsidRPr="00CC4A05">
        <w:rPr>
          <w:b/>
          <w:sz w:val="28"/>
          <w:szCs w:val="28"/>
        </w:rPr>
        <w:t>’</w:t>
      </w:r>
      <w:r w:rsidRPr="00CC4A05">
        <w:rPr>
          <w:b/>
          <w:sz w:val="28"/>
          <w:szCs w:val="28"/>
        </w:rPr>
        <w:t>Europe</w:t>
      </w:r>
    </w:p>
    <w:p w:rsidR="007F20FA" w:rsidRPr="00CC4A05" w:rsidRDefault="007F20FA" w:rsidP="007F20FA">
      <w:pPr>
        <w:spacing w:before="120"/>
        <w:rPr>
          <w:sz w:val="28"/>
          <w:szCs w:val="28"/>
        </w:rPr>
      </w:pPr>
      <w:r w:rsidRPr="00CC4A05">
        <w:rPr>
          <w:sz w:val="28"/>
          <w:szCs w:val="28"/>
        </w:rPr>
        <w:t>Comité des transports intérieurs</w:t>
      </w:r>
    </w:p>
    <w:p w:rsidR="006A53B4" w:rsidRPr="00CC4A05" w:rsidRDefault="006A53B4" w:rsidP="00AF0CB5">
      <w:pPr>
        <w:spacing w:before="120"/>
        <w:rPr>
          <w:b/>
          <w:sz w:val="24"/>
          <w:szCs w:val="24"/>
        </w:rPr>
      </w:pPr>
      <w:r w:rsidRPr="00CC4A05">
        <w:rPr>
          <w:b/>
          <w:sz w:val="24"/>
          <w:szCs w:val="24"/>
        </w:rPr>
        <w:t>Forum mondial de l’harmonisation</w:t>
      </w:r>
      <w:r w:rsidRPr="00CC4A05">
        <w:rPr>
          <w:b/>
          <w:sz w:val="24"/>
          <w:szCs w:val="24"/>
        </w:rPr>
        <w:br/>
        <w:t>des Règlements concernant les véhicules</w:t>
      </w:r>
    </w:p>
    <w:p w:rsidR="006A53B4" w:rsidRPr="00CC4A05" w:rsidRDefault="006A53B4" w:rsidP="00F9573C">
      <w:pPr>
        <w:spacing w:before="120" w:after="120" w:line="240" w:lineRule="exact"/>
        <w:rPr>
          <w:b/>
        </w:rPr>
      </w:pPr>
      <w:r w:rsidRPr="00CC4A05">
        <w:rPr>
          <w:b/>
        </w:rPr>
        <w:t xml:space="preserve">Groupe de travail du bruit </w:t>
      </w:r>
      <w:r w:rsidRPr="00CC4A05">
        <w:rPr>
          <w:b/>
          <w:bCs/>
        </w:rPr>
        <w:t>et des pneumatiques</w:t>
      </w:r>
    </w:p>
    <w:p w:rsidR="006A53B4" w:rsidRPr="006A53B4" w:rsidRDefault="006A53B4" w:rsidP="006A53B4">
      <w:pPr>
        <w:spacing w:line="240" w:lineRule="exact"/>
        <w:rPr>
          <w:b/>
        </w:rPr>
      </w:pPr>
      <w:r w:rsidRPr="006A53B4">
        <w:rPr>
          <w:b/>
          <w:bCs/>
        </w:rPr>
        <w:t>Soixante et onzième session</w:t>
      </w:r>
    </w:p>
    <w:p w:rsidR="006A53B4" w:rsidRPr="006A53B4" w:rsidRDefault="006A53B4" w:rsidP="006A53B4">
      <w:pPr>
        <w:spacing w:line="240" w:lineRule="exact"/>
        <w:rPr>
          <w:bCs/>
        </w:rPr>
      </w:pPr>
      <w:r w:rsidRPr="006A53B4">
        <w:t xml:space="preserve">Genève, 28-31 janvier 2020 </w:t>
      </w:r>
    </w:p>
    <w:p w:rsidR="006A53B4" w:rsidRPr="006A53B4" w:rsidRDefault="006A53B4" w:rsidP="006A53B4">
      <w:pPr>
        <w:spacing w:line="240" w:lineRule="exact"/>
        <w:rPr>
          <w:bCs/>
        </w:rPr>
      </w:pPr>
      <w:r w:rsidRPr="006A53B4">
        <w:t>Point</w:t>
      </w:r>
      <w:r w:rsidRPr="00CC4A05">
        <w:t> </w:t>
      </w:r>
      <w:r w:rsidRPr="006A53B4">
        <w:t>5</w:t>
      </w:r>
      <w:r w:rsidRPr="00CC4A05">
        <w:t> </w:t>
      </w:r>
      <w:r w:rsidRPr="006A53B4">
        <w:t>a) de l</w:t>
      </w:r>
      <w:r w:rsidRPr="00CC4A05">
        <w:t>’</w:t>
      </w:r>
      <w:r w:rsidRPr="006A53B4">
        <w:t>ordre du jour provisoire</w:t>
      </w:r>
    </w:p>
    <w:p w:rsidR="006A53B4" w:rsidRPr="006A53B4" w:rsidRDefault="006A53B4" w:rsidP="006A53B4">
      <w:pPr>
        <w:spacing w:line="240" w:lineRule="exact"/>
        <w:rPr>
          <w:b/>
          <w:bCs/>
        </w:rPr>
      </w:pPr>
      <w:r w:rsidRPr="006A53B4">
        <w:rPr>
          <w:b/>
          <w:bCs/>
        </w:rPr>
        <w:t>Pneumatiques</w:t>
      </w:r>
      <w:r w:rsidRPr="00CC4A05">
        <w:rPr>
          <w:b/>
          <w:bCs/>
        </w:rPr>
        <w:t> :</w:t>
      </w:r>
      <w:r w:rsidRPr="006A53B4">
        <w:rPr>
          <w:b/>
          <w:bCs/>
        </w:rPr>
        <w:t xml:space="preserve"> Règlement ONU </w:t>
      </w:r>
      <w:r w:rsidRPr="00CC4A05">
        <w:rPr>
          <w:rFonts w:eastAsia="MS Mincho"/>
          <w:b/>
          <w:bCs/>
          <w:szCs w:val="22"/>
        </w:rPr>
        <w:t>n</w:t>
      </w:r>
      <w:r w:rsidRPr="00CC4A05">
        <w:rPr>
          <w:rFonts w:eastAsia="MS Mincho"/>
          <w:b/>
          <w:bCs/>
          <w:szCs w:val="22"/>
          <w:vertAlign w:val="superscript"/>
        </w:rPr>
        <w:t>o</w:t>
      </w:r>
      <w:r w:rsidRPr="00CC4A05">
        <w:rPr>
          <w:b/>
          <w:bCs/>
        </w:rPr>
        <w:t> </w:t>
      </w:r>
      <w:r w:rsidRPr="006A53B4">
        <w:rPr>
          <w:b/>
          <w:bCs/>
        </w:rPr>
        <w:t xml:space="preserve">30 </w:t>
      </w:r>
    </w:p>
    <w:p w:rsidR="006A53B4" w:rsidRPr="00CC4A05" w:rsidRDefault="006A53B4" w:rsidP="006A53B4">
      <w:pPr>
        <w:spacing w:line="240" w:lineRule="exact"/>
      </w:pPr>
      <w:r w:rsidRPr="00CC4A05">
        <w:rPr>
          <w:b/>
          <w:bCs/>
        </w:rPr>
        <w:t>(Pneumatiques pour automobiles et leurs remorques)</w:t>
      </w:r>
    </w:p>
    <w:p w:rsidR="006A53B4" w:rsidRPr="00CC4A05" w:rsidRDefault="006A53B4" w:rsidP="006A53B4">
      <w:pPr>
        <w:pStyle w:val="HChG"/>
      </w:pPr>
      <w:r w:rsidRPr="00CC4A05">
        <w:tab/>
      </w:r>
      <w:r w:rsidRPr="00CC4A05">
        <w:tab/>
        <w:t xml:space="preserve">Proposition d’amendements au Règlement ONU </w:t>
      </w:r>
      <w:r w:rsidRPr="00CC4A05">
        <w:rPr>
          <w:rFonts w:eastAsia="MS Mincho"/>
          <w:szCs w:val="22"/>
        </w:rPr>
        <w:t>n</w:t>
      </w:r>
      <w:r w:rsidRPr="00CC4A05">
        <w:rPr>
          <w:rFonts w:eastAsia="MS Mincho"/>
          <w:szCs w:val="22"/>
          <w:vertAlign w:val="superscript"/>
        </w:rPr>
        <w:t>o</w:t>
      </w:r>
      <w:r w:rsidRPr="00CC4A05">
        <w:t> 30</w:t>
      </w:r>
    </w:p>
    <w:p w:rsidR="006A53B4" w:rsidRPr="00CC4A05" w:rsidRDefault="006A53B4" w:rsidP="006A53B4">
      <w:pPr>
        <w:pStyle w:val="H1G"/>
      </w:pPr>
      <w:r w:rsidRPr="00CC4A05">
        <w:tab/>
      </w:r>
      <w:r w:rsidRPr="00CC4A05">
        <w:tab/>
        <w:t xml:space="preserve">Communication des experts de l’Organisation technique européenne </w:t>
      </w:r>
      <w:r w:rsidRPr="00CC4A05">
        <w:br/>
        <w:t>du pneumatique et de la jante</w:t>
      </w:r>
      <w:r w:rsidRPr="00CC4A05">
        <w:footnoteReference w:customMarkFollows="1" w:id="2"/>
        <w:t>*</w:t>
      </w:r>
    </w:p>
    <w:p w:rsidR="006A53B4" w:rsidRPr="00CC4A05" w:rsidRDefault="006A53B4" w:rsidP="006A53B4">
      <w:pPr>
        <w:pStyle w:val="SingleTxtG"/>
        <w:ind w:firstLine="567"/>
      </w:pPr>
      <w:r w:rsidRPr="00CC4A05">
        <w:t xml:space="preserve">Le texte ci-après a été établi par les experts de l’Organisation technique européenne du pneumatique et de la jante (ETRTO). Les modifications qu’il est proposé d’apporter au texte actuel du Règlement ONU figurent en caractères gras pour les ajouts ou biffés pour les suppressions. </w:t>
      </w:r>
    </w:p>
    <w:p w:rsidR="006A53B4" w:rsidRPr="00CC4A05" w:rsidRDefault="006A53B4" w:rsidP="006A53B4">
      <w:pPr>
        <w:pStyle w:val="HChG"/>
      </w:pPr>
      <w:r w:rsidRPr="00CC4A05">
        <w:br w:type="page"/>
      </w:r>
      <w:r w:rsidRPr="00CC4A05">
        <w:lastRenderedPageBreak/>
        <w:tab/>
        <w:t xml:space="preserve">I. </w:t>
      </w:r>
      <w:r w:rsidRPr="00CC4A05">
        <w:tab/>
        <w:t>Proposition</w:t>
      </w:r>
    </w:p>
    <w:p w:rsidR="006A53B4" w:rsidRPr="00CC4A05" w:rsidRDefault="006A53B4" w:rsidP="006A53B4">
      <w:pPr>
        <w:pStyle w:val="SingleTxtG"/>
      </w:pPr>
      <w:r w:rsidRPr="00CC4A05">
        <w:rPr>
          <w:i/>
        </w:rPr>
        <w:t>Paragraphe 2.9.2</w:t>
      </w:r>
      <w:r w:rsidRPr="00CC4A05">
        <w:t>, lire :</w:t>
      </w:r>
    </w:p>
    <w:p w:rsidR="006A53B4" w:rsidRPr="006A53B4" w:rsidRDefault="006A53B4" w:rsidP="006A53B4">
      <w:pPr>
        <w:pStyle w:val="SingleTxtG"/>
        <w:ind w:left="2268" w:hanging="1134"/>
      </w:pPr>
      <w:r w:rsidRPr="006A53B4">
        <w:t>«</w:t>
      </w:r>
      <w:r w:rsidRPr="00CC4A05">
        <w:t> </w:t>
      </w:r>
      <w:r w:rsidRPr="006A53B4">
        <w:t>2.9.2</w:t>
      </w:r>
      <w:r w:rsidRPr="006A53B4">
        <w:tab/>
      </w:r>
      <w:r w:rsidRPr="00CC4A05">
        <w:t>“</w:t>
      </w:r>
      <w:r w:rsidRPr="006A53B4">
        <w:t>À structure diagonale ceinturée</w:t>
      </w:r>
      <w:r w:rsidRPr="00CC4A05">
        <w:t>”</w:t>
      </w:r>
      <w:r w:rsidRPr="006A53B4">
        <w:t xml:space="preserve"> désigne un </w:t>
      </w:r>
      <w:r w:rsidRPr="006A53B4">
        <w:rPr>
          <w:b/>
          <w:bCs/>
        </w:rPr>
        <w:t xml:space="preserve">une structure de </w:t>
      </w:r>
      <w:r w:rsidRPr="006A53B4">
        <w:t xml:space="preserve">pneumatique </w:t>
      </w:r>
      <w:r w:rsidRPr="006C2E04">
        <w:rPr>
          <w:strike/>
        </w:rPr>
        <w:t>de construction diagonale dans lequel la carcasse</w:t>
      </w:r>
      <w:r w:rsidRPr="006A53B4">
        <w:t xml:space="preserve"> </w:t>
      </w:r>
      <w:r w:rsidRPr="006A53B4">
        <w:rPr>
          <w:b/>
          <w:bCs/>
        </w:rPr>
        <w:t>laquelle</w:t>
      </w:r>
      <w:r w:rsidRPr="006A53B4">
        <w:t xml:space="preserve"> </w:t>
      </w:r>
      <w:r w:rsidRPr="006A53B4">
        <w:rPr>
          <w:b/>
          <w:bCs/>
        </w:rPr>
        <w:t>les câblés des plis qui s</w:t>
      </w:r>
      <w:r w:rsidRPr="00CC4A05">
        <w:rPr>
          <w:b/>
          <w:bCs/>
        </w:rPr>
        <w:t>’</w:t>
      </w:r>
      <w:r w:rsidRPr="006A53B4">
        <w:rPr>
          <w:b/>
          <w:bCs/>
        </w:rPr>
        <w:t>étendent jusqu</w:t>
      </w:r>
      <w:r w:rsidRPr="00CC4A05">
        <w:rPr>
          <w:b/>
          <w:bCs/>
        </w:rPr>
        <w:t>’</w:t>
      </w:r>
      <w:r w:rsidRPr="006A53B4">
        <w:rPr>
          <w:b/>
          <w:bCs/>
        </w:rPr>
        <w:t>aux talons sont orientés sous un angle sensiblement inférieur à 90° par rapport à l</w:t>
      </w:r>
      <w:r w:rsidRPr="00CC4A05">
        <w:rPr>
          <w:b/>
          <w:bCs/>
        </w:rPr>
        <w:t>’</w:t>
      </w:r>
      <w:r w:rsidRPr="006A53B4">
        <w:rPr>
          <w:b/>
          <w:bCs/>
        </w:rPr>
        <w:t xml:space="preserve">axe médian de la bande de roulement et dont la carcasse </w:t>
      </w:r>
      <w:r w:rsidRPr="006A53B4">
        <w:t xml:space="preserve">est bridée par une ceinture formée </w:t>
      </w:r>
      <w:r w:rsidRPr="006C2E04">
        <w:rPr>
          <w:strike/>
        </w:rPr>
        <w:t>de deux</w:t>
      </w:r>
      <w:r w:rsidRPr="006A53B4">
        <w:t xml:space="preserve"> </w:t>
      </w:r>
      <w:r w:rsidRPr="006A53B4">
        <w:rPr>
          <w:b/>
          <w:bCs/>
        </w:rPr>
        <w:t>d</w:t>
      </w:r>
      <w:r w:rsidRPr="00CC4A05">
        <w:rPr>
          <w:b/>
          <w:bCs/>
        </w:rPr>
        <w:t>’</w:t>
      </w:r>
      <w:r w:rsidRPr="006A53B4">
        <w:rPr>
          <w:b/>
          <w:bCs/>
        </w:rPr>
        <w:t xml:space="preserve">une </w:t>
      </w:r>
      <w:r w:rsidRPr="006A53B4">
        <w:t xml:space="preserve">ou </w:t>
      </w:r>
      <w:r w:rsidR="006C2E04">
        <w:t xml:space="preserve">de </w:t>
      </w:r>
      <w:r w:rsidRPr="006A53B4">
        <w:t>plusieurs couches de câblés essentiellement inextensibles</w:t>
      </w:r>
      <w:r w:rsidRPr="006C2E04">
        <w:rPr>
          <w:strike/>
        </w:rPr>
        <w:t>, formant des angles alternés proches de ceux de la carcasse</w:t>
      </w:r>
      <w:r w:rsidRPr="006A53B4">
        <w:t>. »</w:t>
      </w:r>
    </w:p>
    <w:p w:rsidR="006A53B4" w:rsidRPr="006A53B4" w:rsidRDefault="006A53B4" w:rsidP="006A53B4">
      <w:pPr>
        <w:pStyle w:val="SingleTxtG"/>
        <w:rPr>
          <w:i/>
        </w:rPr>
      </w:pPr>
      <w:r w:rsidRPr="006A53B4">
        <w:rPr>
          <w:i/>
          <w:iCs/>
        </w:rPr>
        <w:t xml:space="preserve">Le paragraphe 3.1.15 </w:t>
      </w:r>
      <w:r w:rsidRPr="006A53B4">
        <w:t>devient le paragraphe 3.1.14.</w:t>
      </w:r>
    </w:p>
    <w:p w:rsidR="006A53B4" w:rsidRPr="006A53B4" w:rsidRDefault="006A53B4" w:rsidP="006A53B4">
      <w:pPr>
        <w:pStyle w:val="SingleTxtG"/>
      </w:pPr>
      <w:r w:rsidRPr="006A53B4">
        <w:rPr>
          <w:i/>
          <w:iCs/>
        </w:rPr>
        <w:t xml:space="preserve">Paragraphe 4.1.10, </w:t>
      </w:r>
      <w:r w:rsidRPr="006A53B4">
        <w:t>lire</w:t>
      </w:r>
      <w:r w:rsidRPr="00CC4A05">
        <w:t> :</w:t>
      </w:r>
    </w:p>
    <w:p w:rsidR="006A53B4" w:rsidRPr="006A53B4" w:rsidRDefault="006A53B4" w:rsidP="006A53B4">
      <w:pPr>
        <w:pStyle w:val="SingleTxtG"/>
        <w:ind w:left="2268" w:hanging="1134"/>
      </w:pPr>
      <w:r w:rsidRPr="006A53B4">
        <w:t>« 4.1.10</w:t>
      </w:r>
      <w:r w:rsidRPr="006A53B4">
        <w:tab/>
        <w:t xml:space="preserve">pour les pneumatiques à structure diagonale, le nombre de </w:t>
      </w:r>
      <w:r w:rsidR="00CC4A05" w:rsidRPr="00CC4A05">
        <w:t>“</w:t>
      </w:r>
      <w:proofErr w:type="spellStart"/>
      <w:r w:rsidRPr="006A53B4">
        <w:t>ply</w:t>
      </w:r>
      <w:proofErr w:type="spellEnd"/>
      <w:r w:rsidRPr="006A53B4">
        <w:t>-rating</w:t>
      </w:r>
      <w:r w:rsidR="00CC4A05" w:rsidRPr="00CC4A05">
        <w:t>”</w:t>
      </w:r>
      <w:r w:rsidRPr="006A53B4">
        <w:t xml:space="preserve">, </w:t>
      </w:r>
      <w:r w:rsidRPr="006A53B4">
        <w:rPr>
          <w:b/>
          <w:bCs/>
        </w:rPr>
        <w:t>sauf pour les pneumatiques de secours pour usage temporaire du type T</w:t>
      </w:r>
      <w:r w:rsidRPr="006A53B4">
        <w:t>; »</w:t>
      </w:r>
    </w:p>
    <w:p w:rsidR="006A53B4" w:rsidRPr="006A53B4" w:rsidRDefault="006A53B4" w:rsidP="006A53B4">
      <w:pPr>
        <w:pStyle w:val="SingleTxtG"/>
      </w:pPr>
      <w:r w:rsidRPr="006A53B4">
        <w:rPr>
          <w:i/>
          <w:iCs/>
        </w:rPr>
        <w:t>Paragraphe 6.2.3,</w:t>
      </w:r>
      <w:r w:rsidRPr="006A53B4">
        <w:t xml:space="preserve"> lire</w:t>
      </w:r>
      <w:r w:rsidRPr="00CC4A05">
        <w:t> :</w:t>
      </w:r>
    </w:p>
    <w:p w:rsidR="006A53B4" w:rsidRPr="006A53B4" w:rsidRDefault="006A53B4" w:rsidP="006A53B4">
      <w:pPr>
        <w:pStyle w:val="SingleTxtG"/>
        <w:ind w:left="2268" w:hanging="1134"/>
      </w:pPr>
      <w:r w:rsidRPr="006A53B4">
        <w:t>« 6.2.3</w:t>
      </w:r>
      <w:r w:rsidRPr="006A53B4">
        <w:tab/>
      </w:r>
      <w:r w:rsidRPr="006A53B4">
        <w:tab/>
      </w:r>
      <w:r w:rsidRPr="006A53B4">
        <w:rPr>
          <w:b/>
          <w:bCs/>
        </w:rPr>
        <w:t>Dans le cas de structures diagonales ou ceinturées croisées, le</w:t>
      </w:r>
      <w:r w:rsidRPr="006A53B4">
        <w:t xml:space="preserve"> </w:t>
      </w:r>
      <w:proofErr w:type="spellStart"/>
      <w:r w:rsidRPr="006A53B4">
        <w:rPr>
          <w:strike/>
        </w:rPr>
        <w:t>Le</w:t>
      </w:r>
      <w:proofErr w:type="spellEnd"/>
      <w:r w:rsidRPr="006A53B4">
        <w:t xml:space="preserve"> diamètre extérieur du pneumatique, mesuré six heures après l</w:t>
      </w:r>
      <w:r w:rsidRPr="00CC4A05">
        <w:t>’</w:t>
      </w:r>
      <w:r w:rsidRPr="006A53B4">
        <w:t>essai de performance charge/vitesse, ne doit pas différer de plus de +3,5</w:t>
      </w:r>
      <w:r w:rsidRPr="00CC4A05">
        <w:t> </w:t>
      </w:r>
      <w:r w:rsidRPr="006A53B4">
        <w:t>% du diamètre extérieur mesuré avant l</w:t>
      </w:r>
      <w:r w:rsidRPr="00CC4A05">
        <w:t>’</w:t>
      </w:r>
      <w:r w:rsidRPr="006A53B4">
        <w:t>essai. »</w:t>
      </w:r>
    </w:p>
    <w:p w:rsidR="006A53B4" w:rsidRPr="006A53B4" w:rsidRDefault="006A53B4" w:rsidP="006A53B4">
      <w:pPr>
        <w:pStyle w:val="SingleTxtG"/>
      </w:pPr>
      <w:r w:rsidRPr="006A53B4">
        <w:rPr>
          <w:i/>
          <w:iCs/>
        </w:rPr>
        <w:t>Paragraphe 6.1.4.2.1,</w:t>
      </w:r>
      <w:r w:rsidRPr="006A53B4">
        <w:t xml:space="preserve"> lire</w:t>
      </w:r>
      <w:r w:rsidRPr="00CC4A05">
        <w:t> :</w:t>
      </w:r>
    </w:p>
    <w:p w:rsidR="006A53B4" w:rsidRPr="006A53B4" w:rsidRDefault="006A53B4" w:rsidP="006A53B4">
      <w:pPr>
        <w:pStyle w:val="SingleTxtG"/>
      </w:pPr>
      <w:r w:rsidRPr="006A53B4">
        <w:t>« 6.1.4.2.1</w:t>
      </w:r>
      <w:r w:rsidRPr="006A53B4">
        <w:tab/>
        <w:t xml:space="preserve">en cas de pneumatiques à structure diagonale </w:t>
      </w:r>
      <w:r w:rsidRPr="006A53B4">
        <w:rPr>
          <w:b/>
          <w:bCs/>
        </w:rPr>
        <w:t>ou ceinturée croisée</w:t>
      </w:r>
      <w:r w:rsidRPr="006A53B4">
        <w:t>, 6</w:t>
      </w:r>
      <w:r w:rsidR="00CC4A05" w:rsidRPr="00CC4A05">
        <w:t> </w:t>
      </w:r>
      <w:r w:rsidRPr="006A53B4">
        <w:t>%</w:t>
      </w:r>
      <w:r w:rsidR="006C2E04">
        <w:t> </w:t>
      </w:r>
      <w:r w:rsidRPr="006A53B4">
        <w:t>; »</w:t>
      </w:r>
    </w:p>
    <w:p w:rsidR="006A53B4" w:rsidRPr="006A53B4" w:rsidRDefault="006A53B4" w:rsidP="006A53B4">
      <w:pPr>
        <w:pStyle w:val="SingleTxtG"/>
        <w:rPr>
          <w:i/>
          <w:iCs/>
        </w:rPr>
      </w:pPr>
      <w:bookmarkStart w:id="0" w:name="_Hlk22638202"/>
      <w:r w:rsidRPr="006A53B4">
        <w:rPr>
          <w:i/>
          <w:iCs/>
        </w:rPr>
        <w:t>Ajouter le nouveau paragraphe</w:t>
      </w:r>
      <w:r w:rsidRPr="00CC4A05">
        <w:rPr>
          <w:i/>
          <w:iCs/>
        </w:rPr>
        <w:t> </w:t>
      </w:r>
      <w:r w:rsidRPr="006A53B4">
        <w:rPr>
          <w:i/>
          <w:iCs/>
        </w:rPr>
        <w:t>11.4,</w:t>
      </w:r>
      <w:r w:rsidRPr="006A53B4">
        <w:t xml:space="preserve"> libellé comme suit</w:t>
      </w:r>
      <w:r w:rsidRPr="00CC4A05">
        <w:t> :</w:t>
      </w:r>
    </w:p>
    <w:p w:rsidR="006A53B4" w:rsidRPr="006A53B4" w:rsidRDefault="006A53B4" w:rsidP="006A53B4">
      <w:pPr>
        <w:pStyle w:val="SingleTxtG"/>
        <w:ind w:left="2268" w:hanging="1134"/>
        <w:rPr>
          <w:b/>
          <w:bCs/>
        </w:rPr>
      </w:pPr>
      <w:r w:rsidRPr="006A53B4">
        <w:t>« 11.4</w:t>
      </w:r>
      <w:r w:rsidRPr="006A53B4">
        <w:tab/>
      </w:r>
      <w:r w:rsidRPr="006A53B4">
        <w:tab/>
      </w:r>
      <w:r w:rsidRPr="006A53B4">
        <w:rPr>
          <w:b/>
          <w:bCs/>
        </w:rPr>
        <w:t>Sauf indication contraire, pendant les trois mois suivant la date d</w:t>
      </w:r>
      <w:r w:rsidRPr="00CC4A05">
        <w:rPr>
          <w:b/>
          <w:bCs/>
        </w:rPr>
        <w:t>’</w:t>
      </w:r>
      <w:r w:rsidRPr="006A53B4">
        <w:rPr>
          <w:b/>
          <w:bCs/>
        </w:rPr>
        <w:t>entrée en vigueur d</w:t>
      </w:r>
      <w:r w:rsidRPr="00CC4A05">
        <w:rPr>
          <w:b/>
          <w:bCs/>
        </w:rPr>
        <w:t>’</w:t>
      </w:r>
      <w:r w:rsidRPr="006A53B4">
        <w:rPr>
          <w:b/>
          <w:bCs/>
        </w:rPr>
        <w:t>un nouveau complément à la série 02 d</w:t>
      </w:r>
      <w:r w:rsidRPr="00CC4A05">
        <w:rPr>
          <w:b/>
          <w:bCs/>
        </w:rPr>
        <w:t>’</w:t>
      </w:r>
      <w:r w:rsidRPr="006A53B4">
        <w:rPr>
          <w:b/>
          <w:bCs/>
        </w:rPr>
        <w:t>amendements au présent Règlement, les Parties contractantes appliquant le présent Règlement peuvent continuer à accorder et/ou à étendre des homologations de type conformément à la série</w:t>
      </w:r>
      <w:r w:rsidRPr="00CC4A05">
        <w:rPr>
          <w:b/>
          <w:bCs/>
        </w:rPr>
        <w:t> </w:t>
      </w:r>
      <w:r w:rsidRPr="006A53B4">
        <w:rPr>
          <w:b/>
          <w:bCs/>
        </w:rPr>
        <w:t>02 d</w:t>
      </w:r>
      <w:r w:rsidRPr="00CC4A05">
        <w:rPr>
          <w:b/>
          <w:bCs/>
        </w:rPr>
        <w:t>’</w:t>
      </w:r>
      <w:r w:rsidRPr="006A53B4">
        <w:rPr>
          <w:b/>
          <w:bCs/>
        </w:rPr>
        <w:t>amendements au présent Règlement, sans tenir compte des dispositions dudit nouveau complément</w:t>
      </w:r>
      <w:r w:rsidRPr="006A53B4">
        <w:t>. »</w:t>
      </w:r>
    </w:p>
    <w:bookmarkEnd w:id="0"/>
    <w:p w:rsidR="006A53B4" w:rsidRPr="006A53B4" w:rsidRDefault="006A53B4" w:rsidP="006A53B4">
      <w:pPr>
        <w:pStyle w:val="SingleTxtG"/>
      </w:pPr>
      <w:r w:rsidRPr="006A53B4">
        <w:rPr>
          <w:i/>
          <w:iCs/>
        </w:rPr>
        <w:t>Annexe</w:t>
      </w:r>
      <w:r w:rsidRPr="00CC4A05">
        <w:rPr>
          <w:i/>
          <w:iCs/>
        </w:rPr>
        <w:t> </w:t>
      </w:r>
      <w:r w:rsidRPr="006A53B4">
        <w:rPr>
          <w:i/>
          <w:iCs/>
        </w:rPr>
        <w:t>7, paragraphe</w:t>
      </w:r>
      <w:r w:rsidR="00CC4A05" w:rsidRPr="00CC4A05">
        <w:rPr>
          <w:i/>
          <w:iCs/>
        </w:rPr>
        <w:t> </w:t>
      </w:r>
      <w:r w:rsidRPr="006A53B4">
        <w:rPr>
          <w:i/>
          <w:iCs/>
        </w:rPr>
        <w:t>3.2</w:t>
      </w:r>
      <w:r w:rsidRPr="006C2E04">
        <w:t xml:space="preserve">, </w:t>
      </w:r>
      <w:r w:rsidR="00BF0269">
        <w:t>modification sans objet en français.</w:t>
      </w:r>
    </w:p>
    <w:p w:rsidR="006A53B4" w:rsidRPr="00CC4A05" w:rsidRDefault="006A53B4" w:rsidP="006A53B4">
      <w:pPr>
        <w:pStyle w:val="HChG"/>
        <w:rPr>
          <w:i/>
        </w:rPr>
      </w:pPr>
      <w:r w:rsidRPr="00CC4A05">
        <w:tab/>
        <w:t>II.</w:t>
      </w:r>
      <w:r w:rsidRPr="00CC4A05">
        <w:tab/>
        <w:t>Justification</w:t>
      </w:r>
    </w:p>
    <w:p w:rsidR="006A53B4" w:rsidRPr="006A53B4" w:rsidRDefault="006A53B4" w:rsidP="006A53B4">
      <w:pPr>
        <w:pStyle w:val="SingleTxtG"/>
      </w:pPr>
      <w:r w:rsidRPr="006A53B4">
        <w:t>1.</w:t>
      </w:r>
      <w:r w:rsidRPr="006A53B4">
        <w:tab/>
        <w:t>La présente proposition d</w:t>
      </w:r>
      <w:r w:rsidRPr="00CC4A05">
        <w:t>’</w:t>
      </w:r>
      <w:r w:rsidRPr="006A53B4">
        <w:t>amendement a pour objectif de faire converger les définitions des Règlements ONU sur les pneumatiques vers des définitions cohérentes, telles que présentées dans le document informel GRRF-82-21, qui devrait être modifié afin de permettre le progrès technique. Elle est conforme à la proposition d</w:t>
      </w:r>
      <w:r w:rsidRPr="00CC4A05">
        <w:t>’</w:t>
      </w:r>
      <w:r w:rsidRPr="006A53B4">
        <w:t xml:space="preserve">amendement au Règlement ONU </w:t>
      </w:r>
      <w:r w:rsidRPr="00CC4A05">
        <w:rPr>
          <w:rFonts w:eastAsia="MS Mincho"/>
          <w:szCs w:val="22"/>
        </w:rPr>
        <w:t>n</w:t>
      </w:r>
      <w:r w:rsidRPr="00CC4A05">
        <w:rPr>
          <w:rFonts w:eastAsia="MS Mincho"/>
          <w:szCs w:val="22"/>
          <w:vertAlign w:val="superscript"/>
        </w:rPr>
        <w:t>o</w:t>
      </w:r>
      <w:r w:rsidRPr="00CC4A05">
        <w:t> </w:t>
      </w:r>
      <w:r w:rsidRPr="006A53B4">
        <w:t>75.</w:t>
      </w:r>
    </w:p>
    <w:p w:rsidR="006A53B4" w:rsidRPr="00CC4A05" w:rsidRDefault="006A53B4" w:rsidP="006A53B4">
      <w:pPr>
        <w:pStyle w:val="SingleTxtG"/>
      </w:pPr>
      <w:r w:rsidRPr="00CC4A05">
        <w:t>2.</w:t>
      </w:r>
      <w:r w:rsidRPr="00CC4A05">
        <w:tab/>
        <w:t>La présente proposition vise à corriger une erreur rédactionnelle commise lors de la fusion des documents ECE/TRANS/WP.29/GRVA/2018/6, ECE/TRANS/WP.29/GRB/</w:t>
      </w:r>
      <w:r w:rsidRPr="00CC4A05">
        <w:br/>
        <w:t>2019/5 et l’annexe III du rapport.</w:t>
      </w:r>
    </w:p>
    <w:p w:rsidR="006A53B4" w:rsidRPr="006A53B4" w:rsidRDefault="006A53B4" w:rsidP="006A53B4">
      <w:pPr>
        <w:pStyle w:val="SingleTxtG"/>
      </w:pPr>
      <w:r w:rsidRPr="006A53B4">
        <w:t>3.</w:t>
      </w:r>
      <w:r w:rsidRPr="006A53B4">
        <w:tab/>
        <w:t>Le nombre de plis n</w:t>
      </w:r>
      <w:r w:rsidRPr="00CC4A05">
        <w:t>’</w:t>
      </w:r>
      <w:r w:rsidRPr="006A53B4">
        <w:t>est pas pertinent pour les pneumatiques de secours à usage temporaire de type</w:t>
      </w:r>
      <w:r w:rsidRPr="00CC4A05">
        <w:t> </w:t>
      </w:r>
      <w:r w:rsidRPr="006A53B4">
        <w:t>T, étant donné que tous ces pneumatiques sont soumis aux essais à la même pression de gonflage, quelle que soit leur construction.</w:t>
      </w:r>
    </w:p>
    <w:p w:rsidR="006A53B4" w:rsidRPr="006A53B4" w:rsidRDefault="006A53B4" w:rsidP="006A53B4">
      <w:pPr>
        <w:pStyle w:val="SingleTxtG"/>
      </w:pPr>
      <w:r w:rsidRPr="006A53B4">
        <w:t>4.</w:t>
      </w:r>
      <w:r w:rsidRPr="006A53B4">
        <w:tab/>
        <w:t>Pour les pneumatiques à carcasse radiale et les pneumatiques pour roulage à plat, la variation du diamètre extérieur du pneumatique, mesurée six heures après l</w:t>
      </w:r>
      <w:r w:rsidRPr="00CC4A05">
        <w:t>’</w:t>
      </w:r>
      <w:r w:rsidRPr="006A53B4">
        <w:t>essai d</w:t>
      </w:r>
      <w:r w:rsidRPr="00CC4A05">
        <w:t>’</w:t>
      </w:r>
      <w:r w:rsidRPr="006A53B4">
        <w:t>endurance à grande vitesse prescrit au paragraphe</w:t>
      </w:r>
      <w:r w:rsidRPr="00CC4A05">
        <w:t> </w:t>
      </w:r>
      <w:r w:rsidRPr="006A53B4">
        <w:t>2 de l</w:t>
      </w:r>
      <w:r w:rsidRPr="00CC4A05">
        <w:t>’</w:t>
      </w:r>
      <w:r w:rsidRPr="006A53B4">
        <w:t>annexe</w:t>
      </w:r>
      <w:r w:rsidRPr="00CC4A05">
        <w:t> </w:t>
      </w:r>
      <w:r w:rsidRPr="006A53B4">
        <w:t>7, est nettement inférieure à ±3,5</w:t>
      </w:r>
      <w:r w:rsidRPr="00CC4A05">
        <w:t> </w:t>
      </w:r>
      <w:r w:rsidRPr="006A53B4">
        <w:t>% du diamètre extérieur mesuré avant l</w:t>
      </w:r>
      <w:r w:rsidRPr="00CC4A05">
        <w:t>’</w:t>
      </w:r>
      <w:r w:rsidRPr="006A53B4">
        <w:t>essai.</w:t>
      </w:r>
    </w:p>
    <w:p w:rsidR="006A53B4" w:rsidRPr="006A53B4" w:rsidRDefault="006A53B4" w:rsidP="006A53B4">
      <w:pPr>
        <w:pStyle w:val="SingleTxtG"/>
      </w:pPr>
      <w:r w:rsidRPr="006A53B4">
        <w:t>5.</w:t>
      </w:r>
      <w:r w:rsidRPr="006A53B4">
        <w:tab/>
        <w:t>La référence aux pneumatiques à structure ceinturée croisée a été ajoutée par souci d</w:t>
      </w:r>
      <w:r w:rsidRPr="00CC4A05">
        <w:t>’</w:t>
      </w:r>
      <w:r w:rsidRPr="006A53B4">
        <w:t>exactitude.</w:t>
      </w:r>
    </w:p>
    <w:p w:rsidR="006A53B4" w:rsidRPr="006A53B4" w:rsidRDefault="006A53B4" w:rsidP="006A53B4">
      <w:pPr>
        <w:pStyle w:val="SingleTxtG"/>
      </w:pPr>
      <w:r w:rsidRPr="006A53B4">
        <w:t>6.</w:t>
      </w:r>
      <w:r w:rsidRPr="006A53B4">
        <w:tab/>
        <w:t>La présente proposition d</w:t>
      </w:r>
      <w:r w:rsidRPr="00CC4A05">
        <w:t>’</w:t>
      </w:r>
      <w:r w:rsidRPr="006A53B4">
        <w:t>amendement rectifie une erreur typographique provenant d</w:t>
      </w:r>
      <w:r w:rsidRPr="00CC4A05">
        <w:t>’</w:t>
      </w:r>
      <w:r w:rsidRPr="006A53B4">
        <w:t xml:space="preserve">un formatage erroné du symbole </w:t>
      </w:r>
      <w:r w:rsidRPr="00CC4A05">
        <w:t>« </w:t>
      </w:r>
      <w:r w:rsidRPr="006A53B4">
        <w:t>±</w:t>
      </w:r>
      <w:r w:rsidRPr="00CC4A05">
        <w:t> »</w:t>
      </w:r>
      <w:r w:rsidR="006833CC">
        <w:t xml:space="preserve"> dans la version anglaise du Règlement.</w:t>
      </w:r>
      <w:bookmarkStart w:id="1" w:name="_GoBack"/>
      <w:bookmarkEnd w:id="1"/>
    </w:p>
    <w:p w:rsidR="006A53B4" w:rsidRPr="006A53B4" w:rsidRDefault="006A53B4" w:rsidP="006A53B4">
      <w:pPr>
        <w:pStyle w:val="SingleTxtG"/>
      </w:pPr>
      <w:r w:rsidRPr="006A53B4">
        <w:t>7.</w:t>
      </w:r>
      <w:r w:rsidRPr="006A53B4">
        <w:tab/>
        <w:t>Il est proposé d</w:t>
      </w:r>
      <w:r w:rsidRPr="00CC4A05">
        <w:t>’</w:t>
      </w:r>
      <w:r w:rsidRPr="006A53B4">
        <w:t>inclure une disposition générale portant sur l</w:t>
      </w:r>
      <w:r w:rsidRPr="00CC4A05">
        <w:t>’</w:t>
      </w:r>
      <w:r w:rsidRPr="006A53B4">
        <w:t>écart entre la date d</w:t>
      </w:r>
      <w:r w:rsidRPr="00CC4A05">
        <w:t>’</w:t>
      </w:r>
      <w:r w:rsidRPr="006A53B4">
        <w:t>entrée en vigueur et la date de notification de l</w:t>
      </w:r>
      <w:r w:rsidRPr="00CC4A05">
        <w:t>’</w:t>
      </w:r>
      <w:r w:rsidRPr="006A53B4">
        <w:t>adoption du complément aux Parties contractantes. Actuellement, pendant cette période, l</w:t>
      </w:r>
      <w:r w:rsidRPr="00CC4A05">
        <w:t>’</w:t>
      </w:r>
      <w:r w:rsidRPr="006A53B4">
        <w:t>homologation de type ne peut pas être accordée en vertu du nouveau complément en vigueur, bien qu</w:t>
      </w:r>
      <w:r w:rsidRPr="00CC4A05">
        <w:t>’</w:t>
      </w:r>
      <w:r w:rsidRPr="006A53B4">
        <w:t>elle soit obligatoire. Même après la notification de l</w:t>
      </w:r>
      <w:r w:rsidRPr="00CC4A05">
        <w:t>’</w:t>
      </w:r>
      <w:r w:rsidRPr="006A53B4">
        <w:t>adoption du complément, les autorités d</w:t>
      </w:r>
      <w:r w:rsidRPr="00CC4A05">
        <w:t>’</w:t>
      </w:r>
      <w:r w:rsidRPr="006A53B4">
        <w:t>homologation de type et les services techniques peuvent avoir besoin d</w:t>
      </w:r>
      <w:r w:rsidRPr="00CC4A05">
        <w:t>’</w:t>
      </w:r>
      <w:r w:rsidRPr="006A53B4">
        <w:t>un délai supplémentaire pour mettre en œuvre les prescriptions du nouveau complément. Cette période est également prise en compte par les dispositions proposées.</w:t>
      </w:r>
    </w:p>
    <w:p w:rsidR="00F9573C" w:rsidRPr="00CC4A05" w:rsidRDefault="006A53B4" w:rsidP="006A53B4">
      <w:pPr>
        <w:pStyle w:val="SingleTxtG"/>
        <w:spacing w:before="240" w:after="0"/>
        <w:jc w:val="center"/>
        <w:rPr>
          <w:u w:val="single"/>
        </w:rPr>
      </w:pPr>
      <w:r w:rsidRPr="00CC4A05">
        <w:rPr>
          <w:u w:val="single"/>
        </w:rPr>
        <w:tab/>
      </w:r>
      <w:r w:rsidRPr="00CC4A05">
        <w:rPr>
          <w:u w:val="single"/>
        </w:rPr>
        <w:tab/>
      </w:r>
      <w:r w:rsidRPr="00CC4A05">
        <w:rPr>
          <w:u w:val="single"/>
        </w:rPr>
        <w:tab/>
      </w:r>
    </w:p>
    <w:sectPr w:rsidR="00F9573C" w:rsidRPr="00CC4A05" w:rsidSect="006A53B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2E9" w:rsidRDefault="000C32E9" w:rsidP="00F95C08">
      <w:pPr>
        <w:spacing w:line="240" w:lineRule="auto"/>
      </w:pPr>
    </w:p>
  </w:endnote>
  <w:endnote w:type="continuationSeparator" w:id="0">
    <w:p w:rsidR="000C32E9" w:rsidRPr="00AC3823" w:rsidRDefault="000C32E9" w:rsidP="00AC3823">
      <w:pPr>
        <w:pStyle w:val="Pieddepage"/>
      </w:pPr>
    </w:p>
  </w:endnote>
  <w:endnote w:type="continuationNotice" w:id="1">
    <w:p w:rsidR="000C32E9" w:rsidRDefault="000C32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B4" w:rsidRPr="006A53B4" w:rsidRDefault="006A53B4" w:rsidP="006A53B4">
    <w:pPr>
      <w:pStyle w:val="Pieddepage"/>
      <w:tabs>
        <w:tab w:val="right" w:pos="9638"/>
      </w:tabs>
    </w:pPr>
    <w:r w:rsidRPr="006A53B4">
      <w:rPr>
        <w:b/>
        <w:sz w:val="18"/>
      </w:rPr>
      <w:fldChar w:fldCharType="begin"/>
    </w:r>
    <w:r w:rsidRPr="006A53B4">
      <w:rPr>
        <w:b/>
        <w:sz w:val="18"/>
      </w:rPr>
      <w:instrText xml:space="preserve"> PAGE  \* MERGEFORMAT </w:instrText>
    </w:r>
    <w:r w:rsidRPr="006A53B4">
      <w:rPr>
        <w:b/>
        <w:sz w:val="18"/>
      </w:rPr>
      <w:fldChar w:fldCharType="separate"/>
    </w:r>
    <w:r w:rsidRPr="006A53B4">
      <w:rPr>
        <w:b/>
        <w:noProof/>
        <w:sz w:val="18"/>
      </w:rPr>
      <w:t>2</w:t>
    </w:r>
    <w:r w:rsidRPr="006A53B4">
      <w:rPr>
        <w:b/>
        <w:sz w:val="18"/>
      </w:rPr>
      <w:fldChar w:fldCharType="end"/>
    </w:r>
    <w:r>
      <w:rPr>
        <w:b/>
        <w:sz w:val="18"/>
      </w:rPr>
      <w:tab/>
    </w:r>
    <w:r>
      <w:t>GE.19-19439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B4" w:rsidRPr="006A53B4" w:rsidRDefault="006A53B4" w:rsidP="006A53B4">
    <w:pPr>
      <w:pStyle w:val="Pieddepage"/>
      <w:tabs>
        <w:tab w:val="right" w:pos="9638"/>
      </w:tabs>
      <w:rPr>
        <w:b/>
        <w:sz w:val="18"/>
      </w:rPr>
    </w:pPr>
    <w:r>
      <w:t>GE.19-19439</w:t>
    </w:r>
    <w:r>
      <w:tab/>
    </w:r>
    <w:r w:rsidRPr="006A53B4">
      <w:rPr>
        <w:b/>
        <w:sz w:val="18"/>
      </w:rPr>
      <w:fldChar w:fldCharType="begin"/>
    </w:r>
    <w:r w:rsidRPr="006A53B4">
      <w:rPr>
        <w:b/>
        <w:sz w:val="18"/>
      </w:rPr>
      <w:instrText xml:space="preserve"> PAGE  \* MERGEFORMAT </w:instrText>
    </w:r>
    <w:r w:rsidRPr="006A53B4">
      <w:rPr>
        <w:b/>
        <w:sz w:val="18"/>
      </w:rPr>
      <w:fldChar w:fldCharType="separate"/>
    </w:r>
    <w:r w:rsidRPr="006A53B4">
      <w:rPr>
        <w:b/>
        <w:noProof/>
        <w:sz w:val="18"/>
      </w:rPr>
      <w:t>3</w:t>
    </w:r>
    <w:r w:rsidRPr="006A53B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FA" w:rsidRPr="006A53B4" w:rsidRDefault="006A53B4" w:rsidP="006A53B4">
    <w:pPr>
      <w:pStyle w:val="Pieddepage"/>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19-19439  (F)    121119    </w:t>
    </w:r>
    <w:r w:rsidR="00A10304">
      <w:rPr>
        <w:sz w:val="20"/>
      </w:rPr>
      <w:t>12</w:t>
    </w:r>
    <w:r>
      <w:rPr>
        <w:sz w:val="20"/>
      </w:rPr>
      <w:t>1219</w:t>
    </w:r>
    <w:r>
      <w:rPr>
        <w:sz w:val="20"/>
      </w:rPr>
      <w:br/>
    </w:r>
    <w:r w:rsidRPr="006A53B4">
      <w:rPr>
        <w:rFonts w:ascii="C39T30Lfz" w:hAnsi="C39T30Lfz"/>
        <w:sz w:val="56"/>
      </w:rPr>
      <w:t></w:t>
    </w:r>
    <w:r w:rsidRPr="006A53B4">
      <w:rPr>
        <w:rFonts w:ascii="C39T30Lfz" w:hAnsi="C39T30Lfz"/>
        <w:sz w:val="56"/>
      </w:rPr>
      <w:t></w:t>
    </w:r>
    <w:r w:rsidRPr="006A53B4">
      <w:rPr>
        <w:rFonts w:ascii="C39T30Lfz" w:hAnsi="C39T30Lfz"/>
        <w:sz w:val="56"/>
      </w:rPr>
      <w:t></w:t>
    </w:r>
    <w:r w:rsidRPr="006A53B4">
      <w:rPr>
        <w:rFonts w:ascii="C39T30Lfz" w:hAnsi="C39T30Lfz"/>
        <w:sz w:val="56"/>
      </w:rPr>
      <w:t></w:t>
    </w:r>
    <w:r w:rsidRPr="006A53B4">
      <w:rPr>
        <w:rFonts w:ascii="C39T30Lfz" w:hAnsi="C39T30Lfz"/>
        <w:sz w:val="56"/>
      </w:rPr>
      <w:t></w:t>
    </w:r>
    <w:r w:rsidRPr="006A53B4">
      <w:rPr>
        <w:rFonts w:ascii="C39T30Lfz" w:hAnsi="C39T30Lfz"/>
        <w:sz w:val="56"/>
      </w:rPr>
      <w:t></w:t>
    </w:r>
    <w:r w:rsidRPr="006A53B4">
      <w:rPr>
        <w:rFonts w:ascii="C39T30Lfz" w:hAnsi="C39T30Lfz"/>
        <w:sz w:val="56"/>
      </w:rPr>
      <w:t></w:t>
    </w:r>
    <w:r w:rsidRPr="006A53B4">
      <w:rPr>
        <w:rFonts w:ascii="C39T30Lfz" w:hAnsi="C39T30Lfz"/>
        <w:sz w:val="56"/>
      </w:rPr>
      <w:t></w:t>
    </w:r>
    <w:r w:rsidRPr="006A53B4">
      <w:rPr>
        <w:rFonts w:ascii="C39T30Lfz" w:hAnsi="C39T30Lfz"/>
        <w:sz w:val="56"/>
      </w:rPr>
      <w:t></w:t>
    </w:r>
    <w:r>
      <w:rPr>
        <w:noProof/>
        <w:sz w:val="20"/>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GRBP/2020/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BP/2020/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2E9" w:rsidRPr="00AC3823" w:rsidRDefault="000C32E9" w:rsidP="00AC3823">
      <w:pPr>
        <w:pStyle w:val="Pieddepage"/>
        <w:tabs>
          <w:tab w:val="right" w:pos="2155"/>
        </w:tabs>
        <w:spacing w:after="80" w:line="240" w:lineRule="atLeast"/>
        <w:ind w:left="680"/>
        <w:rPr>
          <w:u w:val="single"/>
        </w:rPr>
      </w:pPr>
      <w:r>
        <w:rPr>
          <w:u w:val="single"/>
        </w:rPr>
        <w:tab/>
      </w:r>
    </w:p>
  </w:footnote>
  <w:footnote w:type="continuationSeparator" w:id="0">
    <w:p w:rsidR="000C32E9" w:rsidRPr="00AC3823" w:rsidRDefault="000C32E9" w:rsidP="00AC3823">
      <w:pPr>
        <w:pStyle w:val="Pieddepage"/>
        <w:tabs>
          <w:tab w:val="right" w:pos="2155"/>
        </w:tabs>
        <w:spacing w:after="80" w:line="240" w:lineRule="atLeast"/>
        <w:ind w:left="680"/>
        <w:rPr>
          <w:u w:val="single"/>
        </w:rPr>
      </w:pPr>
      <w:r>
        <w:rPr>
          <w:u w:val="single"/>
        </w:rPr>
        <w:tab/>
      </w:r>
    </w:p>
  </w:footnote>
  <w:footnote w:type="continuationNotice" w:id="1">
    <w:p w:rsidR="000C32E9" w:rsidRPr="00AC3823" w:rsidRDefault="000C32E9">
      <w:pPr>
        <w:spacing w:line="240" w:lineRule="auto"/>
        <w:rPr>
          <w:sz w:val="2"/>
          <w:szCs w:val="2"/>
        </w:rPr>
      </w:pPr>
    </w:p>
  </w:footnote>
  <w:footnote w:id="2">
    <w:p w:rsidR="006A53B4" w:rsidRPr="00473A2A" w:rsidRDefault="006A53B4" w:rsidP="006A53B4">
      <w:pPr>
        <w:pStyle w:val="Notedebasdepage"/>
        <w:rPr>
          <w:szCs w:val="18"/>
        </w:rPr>
      </w:pPr>
      <w:r>
        <w:rPr>
          <w:lang w:val="fr-FR"/>
        </w:rPr>
        <w:tab/>
        <w:t>*</w:t>
      </w:r>
      <w:r>
        <w:rPr>
          <w:lang w:val="fr-FR"/>
        </w:rPr>
        <w:tab/>
        <w:t xml:space="preserve">Conformément au programme de travail du Comité des transports intérieurs pour 2020 tel qu’il figure dans le projet de budget-programme pour 2020 (A/74/6 (partie V, sect. 20), par 20.37), le Forum mondial a pour mission d’élaborer, d’harmoniser et de mettre à jour les Règlements ONU en vue d’améliorer les caractéristiques fonctionnelles des véhicules. Le présent document est soumis en vertu de ce mandat.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B4" w:rsidRPr="006A53B4" w:rsidRDefault="006C2E04">
    <w:pPr>
      <w:pStyle w:val="En-tte"/>
    </w:pPr>
    <w:fldSimple w:instr=" TITLE  \* MERGEFORMAT ">
      <w:r w:rsidR="00CC4A05">
        <w:t>ECE/TRANS/WP.29/GRBP/2020/3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B4" w:rsidRPr="006A53B4" w:rsidRDefault="006C2E04" w:rsidP="006A53B4">
    <w:pPr>
      <w:pStyle w:val="En-tte"/>
      <w:jc w:val="right"/>
    </w:pPr>
    <w:fldSimple w:instr=" TITLE  \* MERGEFORMAT ">
      <w:r w:rsidR="00CC4A05">
        <w:t>ECE/TRANS/WP.29/GRBP/2020/3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567"/>
  <w:hyphenationZone w:val="425"/>
  <w:evenAndOddHeaders/>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32E9"/>
    <w:rsid w:val="00017F94"/>
    <w:rsid w:val="00023842"/>
    <w:rsid w:val="000334F9"/>
    <w:rsid w:val="00045FEB"/>
    <w:rsid w:val="0007796D"/>
    <w:rsid w:val="000B7790"/>
    <w:rsid w:val="000C32E9"/>
    <w:rsid w:val="00111F2F"/>
    <w:rsid w:val="0014365E"/>
    <w:rsid w:val="00143C66"/>
    <w:rsid w:val="00176178"/>
    <w:rsid w:val="001F525A"/>
    <w:rsid w:val="00223272"/>
    <w:rsid w:val="0024779E"/>
    <w:rsid w:val="00257168"/>
    <w:rsid w:val="002744B8"/>
    <w:rsid w:val="002832AC"/>
    <w:rsid w:val="002D7C93"/>
    <w:rsid w:val="00305801"/>
    <w:rsid w:val="003916DE"/>
    <w:rsid w:val="00421996"/>
    <w:rsid w:val="00441C3B"/>
    <w:rsid w:val="00446FE5"/>
    <w:rsid w:val="00452396"/>
    <w:rsid w:val="004837D8"/>
    <w:rsid w:val="004E2EED"/>
    <w:rsid w:val="004E468C"/>
    <w:rsid w:val="005505B7"/>
    <w:rsid w:val="00573BE5"/>
    <w:rsid w:val="00586ED3"/>
    <w:rsid w:val="00596AA9"/>
    <w:rsid w:val="006833CC"/>
    <w:rsid w:val="006A53B4"/>
    <w:rsid w:val="006C2E04"/>
    <w:rsid w:val="0071601D"/>
    <w:rsid w:val="007A62E6"/>
    <w:rsid w:val="007F20FA"/>
    <w:rsid w:val="0080684C"/>
    <w:rsid w:val="00871C75"/>
    <w:rsid w:val="008776DC"/>
    <w:rsid w:val="009446C0"/>
    <w:rsid w:val="009705C8"/>
    <w:rsid w:val="009C1CF4"/>
    <w:rsid w:val="009F6B74"/>
    <w:rsid w:val="00A10304"/>
    <w:rsid w:val="00A3029F"/>
    <w:rsid w:val="00A30353"/>
    <w:rsid w:val="00AC3823"/>
    <w:rsid w:val="00AE323C"/>
    <w:rsid w:val="00AF0CB5"/>
    <w:rsid w:val="00B00181"/>
    <w:rsid w:val="00B00B0D"/>
    <w:rsid w:val="00B45F2E"/>
    <w:rsid w:val="00B765F7"/>
    <w:rsid w:val="00BA0CA9"/>
    <w:rsid w:val="00BF0269"/>
    <w:rsid w:val="00C02897"/>
    <w:rsid w:val="00C97039"/>
    <w:rsid w:val="00CC4A05"/>
    <w:rsid w:val="00D3439C"/>
    <w:rsid w:val="00DB1831"/>
    <w:rsid w:val="00DC50C1"/>
    <w:rsid w:val="00DD3BFD"/>
    <w:rsid w:val="00DF6678"/>
    <w:rsid w:val="00E0299A"/>
    <w:rsid w:val="00E85C74"/>
    <w:rsid w:val="00EA654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276FC"/>
  <w15:docId w15:val="{49B5523A-BA73-4D5A-8EE5-4B2117EB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0</TotalTime>
  <Pages>3</Pages>
  <Words>723</Words>
  <Characters>3978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ECE/TRANS/WP.29/GRBP/2020/3</dc:title>
  <dc:subject/>
  <dc:creator>Edith BOURION</dc:creator>
  <cp:keywords/>
  <cp:lastModifiedBy>Edith Bourion</cp:lastModifiedBy>
  <cp:revision>2</cp:revision>
  <cp:lastPrinted>2019-12-08T11:52:00Z</cp:lastPrinted>
  <dcterms:created xsi:type="dcterms:W3CDTF">2019-12-12T15:34:00Z</dcterms:created>
  <dcterms:modified xsi:type="dcterms:W3CDTF">2019-12-12T15:34:00Z</dcterms:modified>
</cp:coreProperties>
</file>