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E5C33" w14:paraId="03047F11" w14:textId="77777777" w:rsidTr="00C97039">
        <w:trPr>
          <w:trHeight w:hRule="exact" w:val="851"/>
        </w:trPr>
        <w:tc>
          <w:tcPr>
            <w:tcW w:w="1276" w:type="dxa"/>
            <w:tcBorders>
              <w:bottom w:val="single" w:sz="4" w:space="0" w:color="auto"/>
            </w:tcBorders>
          </w:tcPr>
          <w:p w14:paraId="0DB17B88" w14:textId="77777777" w:rsidR="00F35BAF" w:rsidRPr="00DB58B5" w:rsidRDefault="00F35BAF" w:rsidP="00DE5C33"/>
        </w:tc>
        <w:tc>
          <w:tcPr>
            <w:tcW w:w="2268" w:type="dxa"/>
            <w:tcBorders>
              <w:bottom w:val="single" w:sz="4" w:space="0" w:color="auto"/>
            </w:tcBorders>
            <w:vAlign w:val="bottom"/>
          </w:tcPr>
          <w:p w14:paraId="6CDCBA8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6AEC36F0" w14:textId="77777777" w:rsidR="00F35BAF" w:rsidRPr="00DE5C33" w:rsidRDefault="00DE5C33" w:rsidP="00DE5C33">
            <w:pPr>
              <w:jc w:val="right"/>
              <w:rPr>
                <w:lang w:val="en-US"/>
              </w:rPr>
            </w:pPr>
            <w:r w:rsidRPr="00DE5C33">
              <w:rPr>
                <w:sz w:val="40"/>
                <w:lang w:val="en-US"/>
              </w:rPr>
              <w:t>ECE</w:t>
            </w:r>
            <w:r w:rsidRPr="00DE5C33">
              <w:rPr>
                <w:lang w:val="en-US"/>
              </w:rPr>
              <w:t>/TRANS/WP.11/242/Add.1/Rev.1</w:t>
            </w:r>
          </w:p>
        </w:tc>
      </w:tr>
      <w:tr w:rsidR="00F35BAF" w:rsidRPr="00DB58B5" w14:paraId="47220609" w14:textId="77777777" w:rsidTr="00C97039">
        <w:trPr>
          <w:trHeight w:hRule="exact" w:val="2835"/>
        </w:trPr>
        <w:tc>
          <w:tcPr>
            <w:tcW w:w="1276" w:type="dxa"/>
            <w:tcBorders>
              <w:top w:val="single" w:sz="4" w:space="0" w:color="auto"/>
              <w:bottom w:val="single" w:sz="12" w:space="0" w:color="auto"/>
            </w:tcBorders>
          </w:tcPr>
          <w:p w14:paraId="5E8B559D" w14:textId="77777777" w:rsidR="00F35BAF" w:rsidRPr="00DB58B5" w:rsidRDefault="00F35BAF" w:rsidP="00C97039">
            <w:pPr>
              <w:spacing w:before="120"/>
              <w:jc w:val="center"/>
            </w:pPr>
            <w:r>
              <w:rPr>
                <w:noProof/>
                <w:lang w:eastAsia="fr-CH"/>
              </w:rPr>
              <w:drawing>
                <wp:inline distT="0" distB="0" distL="0" distR="0" wp14:anchorId="5560D557" wp14:editId="7EE557FF">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26048D9"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62D76B05" w14:textId="77777777" w:rsidR="00F35BAF" w:rsidRDefault="00DE5C33" w:rsidP="00C97039">
            <w:pPr>
              <w:spacing w:before="240"/>
            </w:pPr>
            <w:proofErr w:type="spellStart"/>
            <w:r>
              <w:t>Distr</w:t>
            </w:r>
            <w:proofErr w:type="spellEnd"/>
            <w:r>
              <w:t xml:space="preserve">. </w:t>
            </w:r>
            <w:proofErr w:type="gramStart"/>
            <w:r>
              <w:t>générale</w:t>
            </w:r>
            <w:proofErr w:type="gramEnd"/>
          </w:p>
          <w:p w14:paraId="7D3195E0" w14:textId="77777777" w:rsidR="00DE5C33" w:rsidRDefault="00DE5C33" w:rsidP="00DE5C33">
            <w:pPr>
              <w:spacing w:line="240" w:lineRule="exact"/>
            </w:pPr>
            <w:r>
              <w:t>28 juillet 2020</w:t>
            </w:r>
          </w:p>
          <w:p w14:paraId="724FA443" w14:textId="77777777" w:rsidR="00DE5C33" w:rsidRDefault="00DE5C33" w:rsidP="00DE5C33">
            <w:pPr>
              <w:spacing w:line="240" w:lineRule="exact"/>
            </w:pPr>
            <w:r>
              <w:t>Français</w:t>
            </w:r>
          </w:p>
          <w:p w14:paraId="745DA223" w14:textId="77777777" w:rsidR="00DE5C33" w:rsidRPr="00DB58B5" w:rsidRDefault="00DE5C33" w:rsidP="00DE5C33">
            <w:pPr>
              <w:spacing w:line="240" w:lineRule="exact"/>
            </w:pPr>
            <w:r>
              <w:t>Original : anglais</w:t>
            </w:r>
          </w:p>
        </w:tc>
      </w:tr>
    </w:tbl>
    <w:p w14:paraId="7F4E61B4" w14:textId="77777777" w:rsidR="007F20FA" w:rsidRPr="000312C0" w:rsidRDefault="007F20FA" w:rsidP="007F20FA">
      <w:pPr>
        <w:spacing w:before="120"/>
        <w:rPr>
          <w:b/>
          <w:sz w:val="28"/>
          <w:szCs w:val="28"/>
        </w:rPr>
      </w:pPr>
      <w:r w:rsidRPr="000312C0">
        <w:rPr>
          <w:b/>
          <w:sz w:val="28"/>
          <w:szCs w:val="28"/>
        </w:rPr>
        <w:t>Commission économique pour l’Europe</w:t>
      </w:r>
    </w:p>
    <w:p w14:paraId="7D073FCE" w14:textId="77777777" w:rsidR="007F20FA" w:rsidRDefault="007F20FA" w:rsidP="007F20FA">
      <w:pPr>
        <w:spacing w:before="120"/>
        <w:rPr>
          <w:sz w:val="28"/>
          <w:szCs w:val="28"/>
        </w:rPr>
      </w:pPr>
      <w:r w:rsidRPr="00685843">
        <w:rPr>
          <w:sz w:val="28"/>
          <w:szCs w:val="28"/>
        </w:rPr>
        <w:t>Comité des transports intérieurs</w:t>
      </w:r>
    </w:p>
    <w:p w14:paraId="1A27C723" w14:textId="77777777" w:rsidR="00DE5C33" w:rsidRPr="00685843" w:rsidRDefault="00DE5C33" w:rsidP="00DE5C33">
      <w:pPr>
        <w:spacing w:before="120"/>
        <w:rPr>
          <w:b/>
          <w:sz w:val="24"/>
          <w:szCs w:val="24"/>
        </w:rPr>
      </w:pPr>
      <w:r>
        <w:rPr>
          <w:b/>
          <w:sz w:val="24"/>
          <w:szCs w:val="24"/>
        </w:rPr>
        <w:t>Groupe de travail du transport des denrées périssables</w:t>
      </w:r>
    </w:p>
    <w:p w14:paraId="030F4297" w14:textId="77777777" w:rsidR="00DE5C33" w:rsidRPr="00DC2D0A" w:rsidRDefault="00DE5C33" w:rsidP="00DE5C33">
      <w:pPr>
        <w:spacing w:before="120" w:line="240" w:lineRule="auto"/>
        <w:rPr>
          <w:b/>
          <w:lang w:val="fr-FR"/>
        </w:rPr>
      </w:pPr>
      <w:r w:rsidRPr="00DC2D0A">
        <w:rPr>
          <w:b/>
          <w:bCs/>
          <w:lang w:val="fr-FR"/>
        </w:rPr>
        <w:t>Soixante-seizième session</w:t>
      </w:r>
    </w:p>
    <w:p w14:paraId="7B7A4928" w14:textId="77777777" w:rsidR="00DE5C33" w:rsidRPr="00DC2D0A" w:rsidRDefault="00DE5C33" w:rsidP="00DE5C33">
      <w:pPr>
        <w:spacing w:line="240" w:lineRule="auto"/>
        <w:rPr>
          <w:lang w:val="fr-FR"/>
        </w:rPr>
      </w:pPr>
      <w:r w:rsidRPr="00DC2D0A">
        <w:rPr>
          <w:lang w:val="fr-FR"/>
        </w:rPr>
        <w:t xml:space="preserve">Genève, 13-16 octobre 2020 </w:t>
      </w:r>
    </w:p>
    <w:p w14:paraId="1D558D7B" w14:textId="77777777" w:rsidR="00DE5C33" w:rsidRPr="00DC2D0A" w:rsidRDefault="00DE5C33" w:rsidP="00DE5C33">
      <w:pPr>
        <w:spacing w:line="240" w:lineRule="auto"/>
        <w:rPr>
          <w:lang w:val="fr-FR"/>
        </w:rPr>
      </w:pPr>
      <w:r w:rsidRPr="00DC2D0A">
        <w:rPr>
          <w:lang w:val="fr-FR"/>
        </w:rPr>
        <w:t>Point 1 de l’ordre du jour provisoire</w:t>
      </w:r>
    </w:p>
    <w:p w14:paraId="76215B28" w14:textId="77777777" w:rsidR="00DE5C33" w:rsidRPr="00DC2D0A" w:rsidRDefault="00DE5C33" w:rsidP="00DE5C33">
      <w:pPr>
        <w:spacing w:line="240" w:lineRule="auto"/>
        <w:jc w:val="both"/>
        <w:rPr>
          <w:b/>
          <w:lang w:val="fr-FR"/>
        </w:rPr>
      </w:pPr>
      <w:r w:rsidRPr="00DC2D0A">
        <w:rPr>
          <w:b/>
          <w:bCs/>
          <w:lang w:val="fr-FR"/>
        </w:rPr>
        <w:t>Adoption de l’ordre du jour</w:t>
      </w:r>
    </w:p>
    <w:p w14:paraId="78B30590" w14:textId="77777777" w:rsidR="00DE5C33" w:rsidRPr="00DC2D0A" w:rsidRDefault="00DE5C33" w:rsidP="00DE5C33">
      <w:pPr>
        <w:pStyle w:val="HChG"/>
        <w:rPr>
          <w:lang w:val="fr-FR"/>
        </w:rPr>
      </w:pPr>
      <w:r w:rsidRPr="00DC2D0A">
        <w:rPr>
          <w:lang w:val="fr-FR"/>
        </w:rPr>
        <w:tab/>
      </w:r>
      <w:r w:rsidRPr="00DC2D0A">
        <w:rPr>
          <w:lang w:val="fr-FR"/>
        </w:rPr>
        <w:tab/>
        <w:t>Ordre du jour provisoire révisé de la session</w:t>
      </w:r>
    </w:p>
    <w:p w14:paraId="06E96538" w14:textId="77777777" w:rsidR="00DE5C33" w:rsidRPr="00DC2D0A" w:rsidRDefault="00DE5C33" w:rsidP="00DE5C33">
      <w:pPr>
        <w:pStyle w:val="H23G"/>
        <w:rPr>
          <w:lang w:val="fr-FR"/>
        </w:rPr>
      </w:pPr>
      <w:r w:rsidRPr="00DC2D0A">
        <w:rPr>
          <w:lang w:val="fr-FR"/>
        </w:rPr>
        <w:tab/>
      </w:r>
      <w:r w:rsidRPr="00DC2D0A">
        <w:rPr>
          <w:lang w:val="fr-FR"/>
        </w:rPr>
        <w:tab/>
        <w:t>Additif</w:t>
      </w:r>
    </w:p>
    <w:p w14:paraId="42DCCB38" w14:textId="77777777" w:rsidR="00DE5C33" w:rsidRPr="00DC2D0A" w:rsidRDefault="00DE5C33" w:rsidP="00DE5C33">
      <w:pPr>
        <w:pStyle w:val="H1G"/>
        <w:rPr>
          <w:lang w:val="fr-FR"/>
        </w:rPr>
      </w:pPr>
      <w:r w:rsidRPr="00DC2D0A">
        <w:rPr>
          <w:lang w:val="fr-FR"/>
        </w:rPr>
        <w:tab/>
      </w:r>
      <w:r w:rsidRPr="00DC2D0A">
        <w:rPr>
          <w:lang w:val="fr-FR"/>
        </w:rPr>
        <w:tab/>
        <w:t>Annotations</w:t>
      </w:r>
    </w:p>
    <w:p w14:paraId="2B6CEDD3" w14:textId="77777777" w:rsidR="00DE5C33" w:rsidRPr="00CF771A" w:rsidRDefault="00DE5C33" w:rsidP="00DE5C33">
      <w:pPr>
        <w:pStyle w:val="SingleTxtG"/>
        <w:rPr>
          <w:b/>
          <w:i/>
          <w:iCs/>
          <w:lang w:val="fr-FR"/>
        </w:rPr>
      </w:pPr>
      <w:r w:rsidRPr="00CF771A">
        <w:rPr>
          <w:b/>
          <w:bCs/>
          <w:i/>
          <w:iCs/>
          <w:lang w:val="fr-FR"/>
        </w:rPr>
        <w:t>Note du secrétariat</w:t>
      </w:r>
      <w:r w:rsidRPr="00CF771A">
        <w:rPr>
          <w:i/>
          <w:iCs/>
          <w:lang w:val="fr-FR"/>
        </w:rPr>
        <w:t xml:space="preserve"> : En raison de la pandémie de maladie à coronavirus et des mesures que la Commission économique pour l</w:t>
      </w:r>
      <w:r w:rsidRPr="00CF771A">
        <w:rPr>
          <w:b/>
          <w:i/>
          <w:iCs/>
          <w:lang w:val="fr-FR"/>
        </w:rPr>
        <w:t>’</w:t>
      </w:r>
      <w:r w:rsidRPr="00CF771A">
        <w:rPr>
          <w:i/>
          <w:iCs/>
          <w:lang w:val="fr-FR"/>
        </w:rPr>
        <w:t>Europe et les Parties contractantes à l</w:t>
      </w:r>
      <w:r w:rsidRPr="00CF771A">
        <w:rPr>
          <w:b/>
          <w:i/>
          <w:iCs/>
          <w:lang w:val="fr-FR"/>
        </w:rPr>
        <w:t>’</w:t>
      </w:r>
      <w:r w:rsidRPr="00CF771A">
        <w:rPr>
          <w:i/>
          <w:iCs/>
          <w:lang w:val="fr-FR"/>
        </w:rPr>
        <w:t>ATP ont mises en place pour protéger la santé publique, notamment la restriction des déplacements, il a été décidé de reporter la soixante-seizième session du Groupe de travail. Cette session, initialement prévue du 7 au 9</w:t>
      </w:r>
      <w:r>
        <w:rPr>
          <w:i/>
          <w:iCs/>
          <w:lang w:val="fr-FR"/>
        </w:rPr>
        <w:t> </w:t>
      </w:r>
      <w:r w:rsidRPr="00CF771A">
        <w:rPr>
          <w:i/>
          <w:iCs/>
          <w:lang w:val="fr-FR"/>
        </w:rPr>
        <w:t>avril, se tiendra du 13 au 16</w:t>
      </w:r>
      <w:r>
        <w:rPr>
          <w:i/>
          <w:iCs/>
          <w:lang w:val="fr-FR"/>
        </w:rPr>
        <w:t> </w:t>
      </w:r>
      <w:r w:rsidRPr="00CF771A">
        <w:rPr>
          <w:i/>
          <w:iCs/>
          <w:lang w:val="fr-FR"/>
        </w:rPr>
        <w:t>octobre 2020 en lieu et place de la soixante-dix-septième session. Les documents officiels soumis en vue de la session d</w:t>
      </w:r>
      <w:r w:rsidRPr="00CF771A">
        <w:rPr>
          <w:b/>
          <w:i/>
          <w:iCs/>
          <w:lang w:val="fr-FR"/>
        </w:rPr>
        <w:t>’</w:t>
      </w:r>
      <w:r w:rsidRPr="00CF771A">
        <w:rPr>
          <w:i/>
          <w:iCs/>
          <w:lang w:val="fr-FR"/>
        </w:rPr>
        <w:t>avril ou leur version révisée restent à l</w:t>
      </w:r>
      <w:r w:rsidRPr="00CF771A">
        <w:rPr>
          <w:b/>
          <w:i/>
          <w:iCs/>
          <w:lang w:val="fr-FR"/>
        </w:rPr>
        <w:t>’</w:t>
      </w:r>
      <w:r w:rsidRPr="00CF771A">
        <w:rPr>
          <w:i/>
          <w:iCs/>
          <w:lang w:val="fr-FR"/>
        </w:rPr>
        <w:t>ordre du jour.</w:t>
      </w:r>
    </w:p>
    <w:p w14:paraId="0CEC8043" w14:textId="77777777" w:rsidR="00DE5C33" w:rsidRPr="00DC2D0A" w:rsidRDefault="00DE5C33" w:rsidP="00DE5C33">
      <w:pPr>
        <w:pStyle w:val="H1G"/>
        <w:rPr>
          <w:lang w:val="fr-FR"/>
        </w:rPr>
      </w:pPr>
      <w:r>
        <w:rPr>
          <w:lang w:val="fr-FR"/>
        </w:rPr>
        <w:tab/>
      </w:r>
      <w:r w:rsidRPr="00DC2D0A">
        <w:rPr>
          <w:lang w:val="fr-FR"/>
        </w:rPr>
        <w:t>1.</w:t>
      </w:r>
      <w:r w:rsidRPr="00DC2D0A">
        <w:rPr>
          <w:lang w:val="fr-FR"/>
        </w:rPr>
        <w:tab/>
        <w:t>Adoption de l’ordre du jour</w:t>
      </w:r>
    </w:p>
    <w:p w14:paraId="68013E30" w14:textId="77777777" w:rsidR="00DE5C33" w:rsidRPr="00DC2D0A" w:rsidRDefault="00DE5C33" w:rsidP="00DE5C33">
      <w:pPr>
        <w:pStyle w:val="SingleTxtG"/>
        <w:ind w:firstLine="567"/>
        <w:rPr>
          <w:lang w:val="fr-FR"/>
        </w:rPr>
      </w:pPr>
      <w:r w:rsidRPr="00DC2D0A">
        <w:rPr>
          <w:lang w:val="fr-FR"/>
        </w:rPr>
        <w:t>Conformément au Règlement intérieur du Groupe de travail du transport des denrées périssables (WP.11), le premier point de l’ordre du jour provisoire est l’adoption de l’ordre du jour.</w:t>
      </w:r>
    </w:p>
    <w:p w14:paraId="12BBABF4" w14:textId="77777777" w:rsidR="00DE5C33" w:rsidRPr="00DC2D0A" w:rsidRDefault="00DE5C33" w:rsidP="00DE5C33">
      <w:pPr>
        <w:pStyle w:val="H1G"/>
        <w:rPr>
          <w:lang w:val="fr-FR"/>
        </w:rPr>
      </w:pPr>
      <w:r>
        <w:rPr>
          <w:lang w:val="fr-FR"/>
        </w:rPr>
        <w:tab/>
      </w:r>
      <w:r w:rsidRPr="00DC2D0A">
        <w:rPr>
          <w:lang w:val="fr-FR"/>
        </w:rPr>
        <w:t>2.</w:t>
      </w:r>
      <w:r w:rsidRPr="00DC2D0A">
        <w:rPr>
          <w:lang w:val="fr-FR"/>
        </w:rPr>
        <w:tab/>
        <w:t>Élection du Bureau</w:t>
      </w:r>
    </w:p>
    <w:p w14:paraId="44C0746D" w14:textId="77777777" w:rsidR="00DE5C33" w:rsidRPr="00DC2D0A" w:rsidRDefault="00DE5C33" w:rsidP="00DE5C33">
      <w:pPr>
        <w:pStyle w:val="SingleTxtG"/>
        <w:ind w:firstLine="567"/>
        <w:rPr>
          <w:lang w:val="fr-FR"/>
        </w:rPr>
      </w:pPr>
      <w:r w:rsidRPr="00DC2D0A">
        <w:rPr>
          <w:lang w:val="fr-FR"/>
        </w:rPr>
        <w:t xml:space="preserve">Le Groupe de travail aura à élire le (la) </w:t>
      </w:r>
      <w:r>
        <w:rPr>
          <w:lang w:val="fr-FR"/>
        </w:rPr>
        <w:t>p</w:t>
      </w:r>
      <w:r w:rsidRPr="00DC2D0A">
        <w:rPr>
          <w:lang w:val="fr-FR"/>
        </w:rPr>
        <w:t xml:space="preserve">résident(e) et les </w:t>
      </w:r>
      <w:r>
        <w:rPr>
          <w:lang w:val="fr-FR"/>
        </w:rPr>
        <w:t>v</w:t>
      </w:r>
      <w:r w:rsidRPr="00DC2D0A">
        <w:rPr>
          <w:lang w:val="fr-FR"/>
        </w:rPr>
        <w:t>ice-</w:t>
      </w:r>
      <w:r>
        <w:rPr>
          <w:lang w:val="fr-FR"/>
        </w:rPr>
        <w:t>p</w:t>
      </w:r>
      <w:r w:rsidRPr="00DC2D0A">
        <w:rPr>
          <w:lang w:val="fr-FR"/>
        </w:rPr>
        <w:t>résident(e)s pour sa session de 2020.</w:t>
      </w:r>
    </w:p>
    <w:p w14:paraId="263F49B3" w14:textId="77777777" w:rsidR="00DE5C33" w:rsidRPr="00DC2D0A" w:rsidRDefault="00DE5C33" w:rsidP="00DE5C33">
      <w:pPr>
        <w:pStyle w:val="H1G"/>
        <w:rPr>
          <w:lang w:val="fr-FR"/>
        </w:rPr>
      </w:pPr>
      <w:r>
        <w:rPr>
          <w:lang w:val="fr-FR"/>
        </w:rPr>
        <w:tab/>
      </w:r>
      <w:r w:rsidRPr="00DC2D0A">
        <w:rPr>
          <w:lang w:val="fr-FR"/>
        </w:rPr>
        <w:t>3.</w:t>
      </w:r>
      <w:r w:rsidRPr="00DC2D0A">
        <w:rPr>
          <w:lang w:val="fr-FR"/>
        </w:rPr>
        <w:tab/>
        <w:t xml:space="preserve">Activités des organes de la CEE qui sont d’un intérêt </w:t>
      </w:r>
      <w:r>
        <w:rPr>
          <w:lang w:val="fr-FR"/>
        </w:rPr>
        <w:br/>
      </w:r>
      <w:r w:rsidRPr="00DC2D0A">
        <w:rPr>
          <w:lang w:val="fr-FR"/>
        </w:rPr>
        <w:t xml:space="preserve">pour le </w:t>
      </w:r>
      <w:proofErr w:type="gramStart"/>
      <w:r w:rsidRPr="00DC2D0A">
        <w:rPr>
          <w:lang w:val="fr-FR"/>
        </w:rPr>
        <w:t>Groupe  de</w:t>
      </w:r>
      <w:proofErr w:type="gramEnd"/>
      <w:r w:rsidRPr="00DC2D0A">
        <w:rPr>
          <w:lang w:val="fr-FR"/>
        </w:rPr>
        <w:t xml:space="preserve"> travail</w:t>
      </w:r>
    </w:p>
    <w:p w14:paraId="64FB122B" w14:textId="77777777" w:rsidR="00DE5C33" w:rsidRPr="00DC2D0A" w:rsidRDefault="00DE5C33" w:rsidP="00DE5C33">
      <w:pPr>
        <w:pStyle w:val="H23G"/>
        <w:rPr>
          <w:lang w:val="fr-FR"/>
        </w:rPr>
      </w:pPr>
      <w:r>
        <w:rPr>
          <w:lang w:val="fr-FR"/>
        </w:rPr>
        <w:tab/>
      </w:r>
      <w:r w:rsidRPr="00DC2D0A">
        <w:rPr>
          <w:lang w:val="fr-FR"/>
        </w:rPr>
        <w:t>a)</w:t>
      </w:r>
      <w:r w:rsidRPr="00DC2D0A">
        <w:rPr>
          <w:lang w:val="fr-FR"/>
        </w:rPr>
        <w:tab/>
        <w:t>Comité des transports intérieurs</w:t>
      </w:r>
    </w:p>
    <w:p w14:paraId="0EF4FA07" w14:textId="77777777" w:rsidR="00DE5C33" w:rsidRPr="00DC2D0A" w:rsidRDefault="00DE5C33" w:rsidP="00DE5C33">
      <w:pPr>
        <w:pStyle w:val="SingleTxtG"/>
        <w:ind w:firstLine="567"/>
        <w:rPr>
          <w:lang w:val="fr-FR"/>
        </w:rPr>
      </w:pPr>
      <w:r w:rsidRPr="00DC2D0A">
        <w:rPr>
          <w:lang w:val="fr-FR"/>
        </w:rPr>
        <w:t>Le Groupe de travail est invité à examiner toute question en suspens figurant aux paragraphes</w:t>
      </w:r>
      <w:r>
        <w:rPr>
          <w:lang w:val="fr-FR"/>
        </w:rPr>
        <w:t> </w:t>
      </w:r>
      <w:r w:rsidRPr="00DC2D0A">
        <w:rPr>
          <w:lang w:val="fr-FR"/>
        </w:rPr>
        <w:t>99 à 104 du rapport (ECE/TRANS/288) du Comité des transports intérieurs sur sa quatre-vingt-unième session (19-22 février 2019).</w:t>
      </w:r>
    </w:p>
    <w:p w14:paraId="6728A26D" w14:textId="77777777" w:rsidR="00DE5C33" w:rsidRPr="00DC2D0A" w:rsidRDefault="00DE5C33" w:rsidP="00DE5C33">
      <w:pPr>
        <w:pStyle w:val="SingleTxtG"/>
        <w:ind w:firstLine="567"/>
        <w:rPr>
          <w:lang w:val="fr-FR"/>
        </w:rPr>
      </w:pPr>
      <w:r w:rsidRPr="00C10CAB">
        <w:rPr>
          <w:spacing w:val="-2"/>
          <w:lang w:val="fr-FR"/>
        </w:rPr>
        <w:lastRenderedPageBreak/>
        <w:t>Le Groupe de travail est également invité à prendre note des paragraphes 87 à 90 du rapport (ECE/TRANS/294) du Comité des transports intérieurs sur sa quatre-vingt-deuxième session</w:t>
      </w:r>
      <w:r w:rsidRPr="00DC2D0A">
        <w:rPr>
          <w:lang w:val="fr-FR"/>
        </w:rPr>
        <w:t xml:space="preserve"> (25-28 février 2020).</w:t>
      </w:r>
    </w:p>
    <w:p w14:paraId="1CEC1F2B" w14:textId="77777777" w:rsidR="00DE5C33" w:rsidRPr="00DC2D0A" w:rsidRDefault="00DE5C33" w:rsidP="00DE5C33">
      <w:pPr>
        <w:pStyle w:val="H23G"/>
        <w:rPr>
          <w:lang w:val="fr-FR"/>
        </w:rPr>
      </w:pPr>
      <w:r w:rsidRPr="00DC2D0A">
        <w:rPr>
          <w:lang w:val="fr-FR"/>
        </w:rPr>
        <w:tab/>
      </w:r>
      <w:r w:rsidRPr="00DC2D0A">
        <w:rPr>
          <w:lang w:val="fr-FR"/>
        </w:rPr>
        <w:tab/>
        <w:t>Objectifs de développement durable et stratégie du Comité des transports intérieurs</w:t>
      </w:r>
    </w:p>
    <w:p w14:paraId="297479DB" w14:textId="77777777" w:rsidR="00DE5C33" w:rsidRPr="00DC2D0A" w:rsidRDefault="00DE5C33" w:rsidP="00DE5C33">
      <w:pPr>
        <w:pStyle w:val="SingleTxtG"/>
        <w:ind w:firstLine="567"/>
        <w:rPr>
          <w:lang w:val="fr-FR"/>
        </w:rPr>
      </w:pPr>
      <w:r w:rsidRPr="00DC2D0A">
        <w:rPr>
          <w:lang w:val="fr-FR"/>
        </w:rPr>
        <w:t>Le Groupe de travail voudra sans doute examiner les thèmes présentés par le Vice</w:t>
      </w:r>
      <w:r>
        <w:rPr>
          <w:lang w:val="fr-FR"/>
        </w:rPr>
        <w:noBreakHyphen/>
      </w:r>
      <w:r w:rsidRPr="00DC2D0A">
        <w:rPr>
          <w:lang w:val="fr-FR"/>
        </w:rPr>
        <w:t>Président du WP.11 (ECE/TRANS/WP.11/2020/16).</w:t>
      </w:r>
    </w:p>
    <w:p w14:paraId="74739A1A" w14:textId="77777777" w:rsidR="00DE5C33" w:rsidRPr="00DC2D0A" w:rsidRDefault="00DE5C33" w:rsidP="00DE5C33">
      <w:pPr>
        <w:pStyle w:val="H23G"/>
        <w:rPr>
          <w:lang w:val="fr-FR"/>
        </w:rPr>
      </w:pPr>
      <w:r>
        <w:rPr>
          <w:lang w:val="fr-FR"/>
        </w:rPr>
        <w:tab/>
      </w:r>
      <w:r w:rsidRPr="00DC2D0A">
        <w:rPr>
          <w:lang w:val="fr-FR"/>
        </w:rPr>
        <w:t>b)</w:t>
      </w:r>
      <w:r w:rsidRPr="00DC2D0A">
        <w:rPr>
          <w:lang w:val="fr-FR"/>
        </w:rPr>
        <w:tab/>
        <w:t>Groupe de travail des normes de qualité des produits agricoles</w:t>
      </w:r>
    </w:p>
    <w:p w14:paraId="11EBC598" w14:textId="77777777" w:rsidR="00DE5C33" w:rsidRPr="00DC2D0A" w:rsidRDefault="00DE5C33" w:rsidP="00DE5C33">
      <w:pPr>
        <w:pStyle w:val="SingleTxtG"/>
        <w:keepNext/>
        <w:ind w:firstLine="567"/>
        <w:rPr>
          <w:lang w:val="fr-FR"/>
        </w:rPr>
      </w:pPr>
      <w:r w:rsidRPr="00DC2D0A">
        <w:rPr>
          <w:lang w:val="fr-FR"/>
        </w:rPr>
        <w:t>Les activités du Groupe de travail des normes de qualité des produits agricoles (WP.7) qui présentent un intérêt pour le WP.11 sont les suivantes :</w:t>
      </w:r>
    </w:p>
    <w:p w14:paraId="1D080C4C" w14:textId="222AF2ED" w:rsidR="00DE5C33" w:rsidRPr="00DC2D0A" w:rsidRDefault="00F0197A" w:rsidP="00DE5C33">
      <w:pPr>
        <w:pStyle w:val="Bullet1G"/>
        <w:numPr>
          <w:ilvl w:val="0"/>
          <w:numId w:val="1"/>
        </w:numPr>
        <w:rPr>
          <w:rFonts w:asciiTheme="majorBidi" w:hAnsiTheme="majorBidi" w:cstheme="majorBidi"/>
          <w:lang w:val="fr-FR"/>
        </w:rPr>
      </w:pPr>
      <w:hyperlink r:id="rId8" w:history="1">
        <w:r w:rsidR="00DE5C33" w:rsidRPr="00DC2D0A">
          <w:rPr>
            <w:lang w:val="fr-FR"/>
          </w:rPr>
          <w:t>Quarante-septième session de la Section spécialisée de la normalisation des plants de pomme de terre (GE.6), 16 et 17 mars 2020, Genève</w:t>
        </w:r>
        <w:r w:rsidR="00DE5C33">
          <w:rPr>
            <w:lang w:val="fr-FR"/>
          </w:rPr>
          <w:t> ;</w:t>
        </w:r>
      </w:hyperlink>
    </w:p>
    <w:p w14:paraId="58CC7C4D" w14:textId="64B62086" w:rsidR="00DE5C33" w:rsidRPr="00DC2D0A" w:rsidRDefault="00F0197A" w:rsidP="00DE5C33">
      <w:pPr>
        <w:pStyle w:val="Bullet1G"/>
        <w:numPr>
          <w:ilvl w:val="0"/>
          <w:numId w:val="1"/>
        </w:numPr>
        <w:rPr>
          <w:rFonts w:asciiTheme="majorBidi" w:hAnsiTheme="majorBidi" w:cstheme="majorBidi"/>
          <w:lang w:val="fr-FR"/>
        </w:rPr>
      </w:pPr>
      <w:hyperlink r:id="rId9" w:history="1">
        <w:r w:rsidR="00DE5C33" w:rsidRPr="00DC2D0A">
          <w:rPr>
            <w:lang w:val="fr-FR"/>
          </w:rPr>
          <w:t>Soixante-huitième session de la Section spécialisée de la normalisation des fruits et légumes frais (GE.1), 6-8 mai 2020, Genève</w:t>
        </w:r>
        <w:r w:rsidR="00DE5C33" w:rsidRPr="00354876">
          <w:t> ;</w:t>
        </w:r>
      </w:hyperlink>
    </w:p>
    <w:p w14:paraId="37C974C2" w14:textId="3A0A97E3" w:rsidR="00DE5C33" w:rsidRPr="00DC2D0A" w:rsidRDefault="00F0197A" w:rsidP="00DE5C33">
      <w:pPr>
        <w:pStyle w:val="Bullet1G"/>
        <w:numPr>
          <w:ilvl w:val="0"/>
          <w:numId w:val="1"/>
        </w:numPr>
        <w:rPr>
          <w:rFonts w:asciiTheme="majorBidi" w:hAnsiTheme="majorBidi" w:cstheme="majorBidi"/>
          <w:lang w:val="fr-FR"/>
        </w:rPr>
      </w:pPr>
      <w:hyperlink r:id="rId10" w:history="1">
        <w:r w:rsidR="00DE5C33" w:rsidRPr="00DC2D0A">
          <w:rPr>
            <w:lang w:val="fr-FR"/>
          </w:rPr>
          <w:t>Soixante-septième session de la Section spécialisée de la normalisation des produits secs et séchés (GE.2), 15-17 juin 2020, Genève</w:t>
        </w:r>
        <w:r w:rsidR="00DE5C33" w:rsidRPr="00354876">
          <w:t> ;</w:t>
        </w:r>
      </w:hyperlink>
    </w:p>
    <w:p w14:paraId="469107B3" w14:textId="4371A5D3" w:rsidR="00DE5C33" w:rsidRPr="00DC2D0A" w:rsidRDefault="00F0197A" w:rsidP="00DE5C33">
      <w:pPr>
        <w:pStyle w:val="Bullet1G"/>
        <w:numPr>
          <w:ilvl w:val="0"/>
          <w:numId w:val="1"/>
        </w:numPr>
        <w:rPr>
          <w:rFonts w:asciiTheme="majorBidi" w:hAnsiTheme="majorBidi" w:cstheme="majorBidi"/>
          <w:lang w:val="fr-FR"/>
        </w:rPr>
      </w:pPr>
      <w:hyperlink r:id="rId11" w:history="1">
        <w:r w:rsidR="00DE5C33" w:rsidRPr="00DC2D0A">
          <w:rPr>
            <w:lang w:val="fr-FR"/>
          </w:rPr>
          <w:t>Vingt-huitième session de la Section spécialisée de la normalisation de la viande (GE.11), 2-4 septembre 2020, Genève</w:t>
        </w:r>
        <w:r w:rsidR="00DE5C33" w:rsidRPr="00364828">
          <w:rPr>
            <w:lang w:val="fr-FR"/>
          </w:rPr>
          <w:t> ;</w:t>
        </w:r>
      </w:hyperlink>
    </w:p>
    <w:p w14:paraId="44E133F8" w14:textId="79F358A1" w:rsidR="00DE5C33" w:rsidRPr="00DC2D0A" w:rsidRDefault="00DE5C33" w:rsidP="00DE5C33">
      <w:pPr>
        <w:pStyle w:val="Bullet1G"/>
        <w:numPr>
          <w:ilvl w:val="0"/>
          <w:numId w:val="1"/>
        </w:numPr>
        <w:rPr>
          <w:rFonts w:asciiTheme="majorBidi" w:hAnsiTheme="majorBidi" w:cstheme="majorBidi"/>
          <w:lang w:val="fr-FR"/>
        </w:rPr>
      </w:pPr>
      <w:hyperlink r:id="rId12" w:history="1">
        <w:r w:rsidRPr="00DC2D0A">
          <w:rPr>
            <w:lang w:val="fr-FR"/>
          </w:rPr>
          <w:t>Soixante-seizième session du Groupe de travail des normes de qualité des produits agricoles (WP.7), 16 et 17 novembre 2020, Genève.</w:t>
        </w:r>
      </w:hyperlink>
    </w:p>
    <w:p w14:paraId="0E93980C" w14:textId="77777777" w:rsidR="00DE5C33" w:rsidRPr="00DC2D0A" w:rsidRDefault="00DE5C33" w:rsidP="00DE5C33">
      <w:pPr>
        <w:pStyle w:val="SingleTxtG"/>
        <w:ind w:firstLine="567"/>
        <w:rPr>
          <w:spacing w:val="-3"/>
          <w:lang w:val="fr-FR"/>
        </w:rPr>
      </w:pPr>
      <w:r w:rsidRPr="00DC2D0A">
        <w:rPr>
          <w:lang w:val="fr-FR"/>
        </w:rPr>
        <w:t xml:space="preserve">Le dernier des outils conçus par la CEE pour lutter contre la perte et le gaspillage de denrées alimentaires est disponible à l’adresse </w:t>
      </w:r>
      <w:hyperlink r:id="rId13" w:history="1">
        <w:r w:rsidRPr="00364828">
          <w:rPr>
            <w:rStyle w:val="Hyperlink"/>
            <w:color w:val="auto"/>
            <w:lang w:val="fr-FR"/>
          </w:rPr>
          <w:t>www.unece.org/trade/agr/unece-foodlosschallenge.html</w:t>
        </w:r>
      </w:hyperlink>
      <w:r w:rsidRPr="00DC2D0A">
        <w:rPr>
          <w:lang w:val="fr-FR"/>
        </w:rPr>
        <w:t>.</w:t>
      </w:r>
    </w:p>
    <w:p w14:paraId="4F3CCDDD" w14:textId="77777777" w:rsidR="00DE5C33" w:rsidRPr="00DC2D0A" w:rsidRDefault="00DE5C33" w:rsidP="00DE5C33">
      <w:pPr>
        <w:pStyle w:val="SingleTxtG"/>
        <w:ind w:firstLine="567"/>
        <w:rPr>
          <w:spacing w:val="-3"/>
          <w:lang w:val="fr-FR"/>
        </w:rPr>
      </w:pPr>
      <w:r w:rsidRPr="00DC2D0A">
        <w:rPr>
          <w:lang w:val="fr-FR"/>
        </w:rPr>
        <w:t xml:space="preserve">On trouvera de plus amples renseignements sur ces activités et d’autres sur le site Web du WP.7, à l’adresse </w:t>
      </w:r>
      <w:hyperlink r:id="rId14" w:history="1">
        <w:r>
          <w:rPr>
            <w:rStyle w:val="Hyperlink"/>
            <w:color w:val="auto"/>
            <w:lang w:val="fr-FR"/>
          </w:rPr>
          <w:t>/www.unece.org/trade/agr/welcome.html</w:t>
        </w:r>
      </w:hyperlink>
      <w:r w:rsidRPr="00DC2D0A">
        <w:rPr>
          <w:lang w:val="fr-FR"/>
        </w:rPr>
        <w:t>.</w:t>
      </w:r>
    </w:p>
    <w:p w14:paraId="6AB27864" w14:textId="77777777" w:rsidR="00DE5C33" w:rsidRPr="00DC2D0A" w:rsidRDefault="00DE5C33" w:rsidP="00DE5C33">
      <w:pPr>
        <w:pStyle w:val="H1G"/>
        <w:rPr>
          <w:lang w:val="fr-FR"/>
        </w:rPr>
      </w:pPr>
      <w:r>
        <w:rPr>
          <w:lang w:val="fr-FR"/>
        </w:rPr>
        <w:tab/>
      </w:r>
      <w:r w:rsidRPr="00DC2D0A">
        <w:rPr>
          <w:lang w:val="fr-FR"/>
        </w:rPr>
        <w:t>4.</w:t>
      </w:r>
      <w:r w:rsidRPr="00DC2D0A">
        <w:rPr>
          <w:lang w:val="fr-FR"/>
        </w:rPr>
        <w:tab/>
        <w:t xml:space="preserve">Activités d’autres organisations internationales qui s’occupent </w:t>
      </w:r>
      <w:r>
        <w:rPr>
          <w:lang w:val="fr-FR"/>
        </w:rPr>
        <w:br/>
      </w:r>
      <w:r w:rsidRPr="00DC2D0A">
        <w:rPr>
          <w:lang w:val="fr-FR"/>
        </w:rPr>
        <w:t>de questions intéressant le Groupe de travail</w:t>
      </w:r>
    </w:p>
    <w:p w14:paraId="5BC17DC0" w14:textId="77777777" w:rsidR="00DE5C33" w:rsidRPr="00DC2D0A" w:rsidRDefault="00DE5C33" w:rsidP="00DE5C33">
      <w:pPr>
        <w:pStyle w:val="H23G"/>
        <w:rPr>
          <w:lang w:val="fr-FR"/>
        </w:rPr>
      </w:pPr>
      <w:r>
        <w:rPr>
          <w:lang w:val="fr-FR"/>
        </w:rPr>
        <w:tab/>
      </w:r>
      <w:r w:rsidRPr="00DC2D0A">
        <w:rPr>
          <w:lang w:val="fr-FR"/>
        </w:rPr>
        <w:t>a)</w:t>
      </w:r>
      <w:r w:rsidRPr="00DC2D0A">
        <w:rPr>
          <w:lang w:val="fr-FR"/>
        </w:rPr>
        <w:tab/>
        <w:t>Institut international du froid (IIF)</w:t>
      </w:r>
    </w:p>
    <w:p w14:paraId="29021E65" w14:textId="77777777" w:rsidR="00DE5C33" w:rsidRPr="00DC2D0A" w:rsidRDefault="00DE5C33" w:rsidP="00DE5C33">
      <w:pPr>
        <w:pStyle w:val="SingleTxtG"/>
        <w:ind w:firstLine="567"/>
        <w:rPr>
          <w:lang w:val="fr-FR"/>
        </w:rPr>
      </w:pPr>
      <w:r w:rsidRPr="00DC2D0A">
        <w:rPr>
          <w:lang w:val="fr-FR"/>
        </w:rPr>
        <w:t>Le Groupe de travail sera informé des résultats de la réunion de la Sous-Commission du transport réfrigéré de l’IIF, qui s’est tenue par vidéoconférence le 19</w:t>
      </w:r>
      <w:r>
        <w:rPr>
          <w:lang w:val="fr-FR"/>
        </w:rPr>
        <w:t> </w:t>
      </w:r>
      <w:r w:rsidRPr="00DC2D0A">
        <w:rPr>
          <w:lang w:val="fr-FR"/>
        </w:rPr>
        <w:t>mai 2020 (document informel INF.3).</w:t>
      </w:r>
    </w:p>
    <w:p w14:paraId="5154D4E5" w14:textId="77777777" w:rsidR="00DE5C33" w:rsidRPr="00DC2D0A" w:rsidRDefault="00DE5C33" w:rsidP="00DE5C33">
      <w:pPr>
        <w:pStyle w:val="H23G"/>
        <w:rPr>
          <w:lang w:val="fr-FR"/>
        </w:rPr>
      </w:pPr>
      <w:r>
        <w:rPr>
          <w:lang w:val="fr-FR"/>
        </w:rPr>
        <w:tab/>
      </w:r>
      <w:r w:rsidRPr="00DC2D0A">
        <w:rPr>
          <w:lang w:val="fr-FR"/>
        </w:rPr>
        <w:t>b)</w:t>
      </w:r>
      <w:r w:rsidRPr="00DC2D0A">
        <w:rPr>
          <w:lang w:val="fr-FR"/>
        </w:rPr>
        <w:tab/>
      </w:r>
      <w:proofErr w:type="spellStart"/>
      <w:r w:rsidRPr="00DC2D0A">
        <w:rPr>
          <w:lang w:val="fr-FR"/>
        </w:rPr>
        <w:t>Transfrigoroute</w:t>
      </w:r>
      <w:proofErr w:type="spellEnd"/>
      <w:r w:rsidRPr="00DC2D0A">
        <w:rPr>
          <w:lang w:val="fr-FR"/>
        </w:rPr>
        <w:t xml:space="preserve"> International</w:t>
      </w:r>
    </w:p>
    <w:p w14:paraId="3E78249E" w14:textId="77777777" w:rsidR="00DE5C33" w:rsidRPr="00DC2D0A" w:rsidRDefault="00DE5C33" w:rsidP="00DE5C33">
      <w:pPr>
        <w:pStyle w:val="SingleTxtG"/>
        <w:ind w:firstLine="567"/>
        <w:rPr>
          <w:lang w:val="fr-FR"/>
        </w:rPr>
      </w:pPr>
      <w:r w:rsidRPr="00DC2D0A">
        <w:rPr>
          <w:lang w:val="fr-FR"/>
        </w:rPr>
        <w:t xml:space="preserve">Le représentant de </w:t>
      </w:r>
      <w:proofErr w:type="spellStart"/>
      <w:r w:rsidRPr="00DC2D0A">
        <w:rPr>
          <w:lang w:val="fr-FR"/>
        </w:rPr>
        <w:t>Transfrigoroute</w:t>
      </w:r>
      <w:proofErr w:type="spellEnd"/>
      <w:r w:rsidRPr="00DC2D0A">
        <w:rPr>
          <w:lang w:val="fr-FR"/>
        </w:rPr>
        <w:t xml:space="preserve"> International est invité à présenter les activités récemment menées par son organisation.</w:t>
      </w:r>
    </w:p>
    <w:p w14:paraId="2221898E" w14:textId="77777777" w:rsidR="00DE5C33" w:rsidRPr="00DC2D0A" w:rsidRDefault="00DE5C33" w:rsidP="00DE5C33">
      <w:pPr>
        <w:pStyle w:val="H23G"/>
        <w:rPr>
          <w:lang w:val="fr-FR"/>
        </w:rPr>
      </w:pPr>
      <w:r>
        <w:rPr>
          <w:lang w:val="fr-FR"/>
        </w:rPr>
        <w:tab/>
      </w:r>
      <w:r w:rsidRPr="00DC2D0A">
        <w:rPr>
          <w:lang w:val="fr-FR"/>
        </w:rPr>
        <w:t>c)</w:t>
      </w:r>
      <w:r w:rsidRPr="00DC2D0A">
        <w:rPr>
          <w:lang w:val="fr-FR"/>
        </w:rPr>
        <w:tab/>
        <w:t>Organismes de normalisation</w:t>
      </w:r>
    </w:p>
    <w:p w14:paraId="7BA6E359" w14:textId="77777777" w:rsidR="00DE5C33" w:rsidRPr="00DC2D0A" w:rsidRDefault="00DE5C33" w:rsidP="00DE5C33">
      <w:pPr>
        <w:pStyle w:val="SingleTxtG"/>
        <w:ind w:firstLine="567"/>
        <w:rPr>
          <w:lang w:val="fr-FR"/>
        </w:rPr>
      </w:pPr>
      <w:r w:rsidRPr="00DC2D0A">
        <w:rPr>
          <w:lang w:val="fr-FR"/>
        </w:rPr>
        <w:t>Les délégations participant aux travaux des organismes de normalisation sont invitées à informer le Groupe de travail de l’état d’avancement des travaux d’élaboration de normes concernant le transport avec régulation de température, ainsi que des incidences que ces travaux pourraient avoir sur l’Accord relatif aux transports internationaux de denrées périssables et aux engins spéciaux à utiliser pour ces transports (ATP).</w:t>
      </w:r>
    </w:p>
    <w:p w14:paraId="4C6CDA92" w14:textId="77777777" w:rsidR="00DE5C33" w:rsidRPr="00DC2D0A" w:rsidRDefault="00DE5C33" w:rsidP="00DE5C33">
      <w:pPr>
        <w:pStyle w:val="H1G"/>
        <w:rPr>
          <w:lang w:val="fr-FR"/>
        </w:rPr>
      </w:pPr>
      <w:bookmarkStart w:id="0" w:name="_GoBack"/>
      <w:bookmarkEnd w:id="0"/>
      <w:r>
        <w:rPr>
          <w:lang w:val="fr-FR"/>
        </w:rPr>
        <w:lastRenderedPageBreak/>
        <w:tab/>
      </w:r>
      <w:r w:rsidRPr="00DC2D0A">
        <w:rPr>
          <w:lang w:val="fr-FR"/>
        </w:rPr>
        <w:t>5.</w:t>
      </w:r>
      <w:r w:rsidRPr="00DC2D0A">
        <w:rPr>
          <w:lang w:val="fr-FR"/>
        </w:rPr>
        <w:tab/>
        <w:t xml:space="preserve">État et application de l’Accord relatif aux transports internationaux </w:t>
      </w:r>
      <w:r>
        <w:rPr>
          <w:lang w:val="fr-FR"/>
        </w:rPr>
        <w:br/>
      </w:r>
      <w:r w:rsidRPr="00DC2D0A">
        <w:rPr>
          <w:lang w:val="fr-FR"/>
        </w:rPr>
        <w:t xml:space="preserve">de denrées périssables et aux engins spéciaux à utiliser </w:t>
      </w:r>
      <w:r>
        <w:rPr>
          <w:lang w:val="fr-FR"/>
        </w:rPr>
        <w:br/>
      </w:r>
      <w:r w:rsidRPr="00DC2D0A">
        <w:rPr>
          <w:lang w:val="fr-FR"/>
        </w:rPr>
        <w:t>pour ces transports</w:t>
      </w:r>
    </w:p>
    <w:p w14:paraId="0709FC04" w14:textId="77777777" w:rsidR="00DE5C33" w:rsidRPr="00DC2D0A" w:rsidRDefault="00DE5C33" w:rsidP="00DE5C33">
      <w:pPr>
        <w:pStyle w:val="H23G"/>
        <w:rPr>
          <w:lang w:val="fr-FR"/>
        </w:rPr>
      </w:pPr>
      <w:r>
        <w:rPr>
          <w:lang w:val="fr-FR"/>
        </w:rPr>
        <w:tab/>
      </w:r>
      <w:r w:rsidRPr="00DC2D0A">
        <w:rPr>
          <w:lang w:val="fr-FR"/>
        </w:rPr>
        <w:t>a)</w:t>
      </w:r>
      <w:r w:rsidRPr="00DC2D0A">
        <w:rPr>
          <w:lang w:val="fr-FR"/>
        </w:rPr>
        <w:tab/>
        <w:t>État de l’Accord</w:t>
      </w:r>
    </w:p>
    <w:p w14:paraId="2515EB4A" w14:textId="77777777" w:rsidR="00DE5C33" w:rsidRPr="00DC2D0A" w:rsidRDefault="00DE5C33" w:rsidP="00DE5C33">
      <w:pPr>
        <w:pStyle w:val="SingleTxtG"/>
        <w:ind w:firstLine="567"/>
        <w:rPr>
          <w:lang w:val="fr-FR"/>
        </w:rPr>
      </w:pPr>
      <w:r w:rsidRPr="00DC2D0A">
        <w:rPr>
          <w:lang w:val="fr-FR"/>
        </w:rPr>
        <w:t>Aucune adhésion nouvelle à l’ATP n’est à signaler depuis la dernière session ; le nombre de Parties contractantes reste donc de 50.</w:t>
      </w:r>
    </w:p>
    <w:p w14:paraId="54F03472" w14:textId="77777777" w:rsidR="00DE5C33" w:rsidRPr="00DC2D0A" w:rsidRDefault="00DE5C33" w:rsidP="00DE5C33">
      <w:pPr>
        <w:pStyle w:val="H23G"/>
        <w:rPr>
          <w:lang w:val="fr-FR"/>
        </w:rPr>
      </w:pPr>
      <w:r>
        <w:rPr>
          <w:lang w:val="fr-FR"/>
        </w:rPr>
        <w:tab/>
      </w:r>
      <w:r w:rsidRPr="00DC2D0A">
        <w:rPr>
          <w:lang w:val="fr-FR"/>
        </w:rPr>
        <w:t>b)</w:t>
      </w:r>
      <w:r w:rsidRPr="00DC2D0A">
        <w:rPr>
          <w:lang w:val="fr-FR"/>
        </w:rPr>
        <w:tab/>
        <w:t>État des amendements</w:t>
      </w:r>
    </w:p>
    <w:p w14:paraId="1E18ECF5" w14:textId="77777777" w:rsidR="00DE5C33" w:rsidRPr="00DC2D0A" w:rsidRDefault="00DE5C33" w:rsidP="00DE5C33">
      <w:pPr>
        <w:pStyle w:val="SingleTxtG"/>
        <w:ind w:firstLine="567"/>
        <w:rPr>
          <w:color w:val="000000"/>
          <w:lang w:val="fr-FR"/>
        </w:rPr>
      </w:pPr>
      <w:r w:rsidRPr="00DC2D0A">
        <w:rPr>
          <w:lang w:val="fr-FR"/>
        </w:rPr>
        <w:t>Les propositions d’amendements à l’ATP adoptées par le Groupe de travail à ses soixante</w:t>
      </w:r>
      <w:r>
        <w:rPr>
          <w:lang w:val="fr-FR"/>
        </w:rPr>
        <w:noBreakHyphen/>
      </w:r>
      <w:r w:rsidRPr="00DC2D0A">
        <w:rPr>
          <w:lang w:val="fr-FR"/>
        </w:rPr>
        <w:t>treizième et soixante</w:t>
      </w:r>
      <w:r>
        <w:rPr>
          <w:lang w:val="fr-FR"/>
        </w:rPr>
        <w:noBreakHyphen/>
      </w:r>
      <w:r w:rsidRPr="00DC2D0A">
        <w:rPr>
          <w:lang w:val="fr-FR"/>
        </w:rPr>
        <w:t>quatorzième sessions, tenues à Genève respectivement du 10 au 13</w:t>
      </w:r>
      <w:r>
        <w:rPr>
          <w:lang w:val="fr-FR"/>
        </w:rPr>
        <w:t> </w:t>
      </w:r>
      <w:r w:rsidRPr="00DC2D0A">
        <w:rPr>
          <w:lang w:val="fr-FR"/>
        </w:rPr>
        <w:t>octobre 2017 et du 8 au 12</w:t>
      </w:r>
      <w:r>
        <w:rPr>
          <w:lang w:val="fr-FR"/>
        </w:rPr>
        <w:t> </w:t>
      </w:r>
      <w:r w:rsidRPr="00DC2D0A">
        <w:rPr>
          <w:lang w:val="fr-FR"/>
        </w:rPr>
        <w:t>octobre 2018, sont réputées acceptées à compter du 6</w:t>
      </w:r>
      <w:r>
        <w:rPr>
          <w:lang w:val="fr-FR"/>
        </w:rPr>
        <w:t> </w:t>
      </w:r>
      <w:r w:rsidRPr="00DC2D0A">
        <w:rPr>
          <w:lang w:val="fr-FR"/>
        </w:rPr>
        <w:t>janvier 2020 (notification dépositaire C.N.</w:t>
      </w:r>
      <w:proofErr w:type="gramStart"/>
      <w:r w:rsidRPr="00DC2D0A">
        <w:rPr>
          <w:lang w:val="fr-FR"/>
        </w:rPr>
        <w:t>5.2020.TREATIES</w:t>
      </w:r>
      <w:proofErr w:type="gramEnd"/>
      <w:r w:rsidRPr="00DC2D0A">
        <w:rPr>
          <w:lang w:val="fr-FR"/>
        </w:rPr>
        <w:t>-XI.B.22) et sont entrées en vigueur le 6</w:t>
      </w:r>
      <w:r>
        <w:rPr>
          <w:lang w:val="fr-FR"/>
        </w:rPr>
        <w:t> </w:t>
      </w:r>
      <w:r w:rsidRPr="00DC2D0A">
        <w:rPr>
          <w:lang w:val="fr-FR"/>
        </w:rPr>
        <w:t>juillet 2020.</w:t>
      </w:r>
    </w:p>
    <w:p w14:paraId="3D4729ED" w14:textId="77777777" w:rsidR="00DE5C33" w:rsidRPr="00DC2D0A" w:rsidRDefault="00DE5C33" w:rsidP="00DE5C33">
      <w:pPr>
        <w:pStyle w:val="H23G"/>
        <w:rPr>
          <w:lang w:val="fr-FR"/>
        </w:rPr>
      </w:pPr>
      <w:r>
        <w:rPr>
          <w:lang w:val="fr-FR"/>
        </w:rPr>
        <w:tab/>
      </w:r>
      <w:r w:rsidRPr="00DC2D0A">
        <w:rPr>
          <w:lang w:val="fr-FR"/>
        </w:rPr>
        <w:t>c)</w:t>
      </w:r>
      <w:r w:rsidRPr="00DC2D0A">
        <w:rPr>
          <w:lang w:val="fr-FR"/>
        </w:rPr>
        <w:tab/>
        <w:t xml:space="preserve">Stations d’essai officiellement désignées par l’autorité compétente </w:t>
      </w:r>
      <w:r>
        <w:rPr>
          <w:lang w:val="fr-FR"/>
        </w:rPr>
        <w:br/>
      </w:r>
      <w:r w:rsidRPr="00DC2D0A">
        <w:rPr>
          <w:lang w:val="fr-FR"/>
        </w:rPr>
        <w:t xml:space="preserve">des pays </w:t>
      </w:r>
      <w:proofErr w:type="gramStart"/>
      <w:r w:rsidRPr="00DC2D0A">
        <w:rPr>
          <w:lang w:val="fr-FR"/>
        </w:rPr>
        <w:t>parties  à</w:t>
      </w:r>
      <w:proofErr w:type="gramEnd"/>
      <w:r w:rsidRPr="00DC2D0A">
        <w:rPr>
          <w:lang w:val="fr-FR"/>
        </w:rPr>
        <w:t xml:space="preserve"> l’ATP</w:t>
      </w:r>
    </w:p>
    <w:p w14:paraId="6E204867" w14:textId="77777777" w:rsidR="00DE5C33" w:rsidRPr="00DC2D0A" w:rsidRDefault="00DE5C33" w:rsidP="00DE5C33">
      <w:pPr>
        <w:pStyle w:val="SingleTxtG"/>
        <w:ind w:firstLine="567"/>
        <w:rPr>
          <w:lang w:val="fr-FR"/>
        </w:rPr>
      </w:pPr>
      <w:r w:rsidRPr="00DC2D0A">
        <w:rPr>
          <w:lang w:val="fr-FR"/>
        </w:rPr>
        <w:t xml:space="preserve">La liste actualisée des stations d’essai officiellement désignées peut être consultée à l’adresse </w:t>
      </w:r>
      <w:hyperlink r:id="rId15" w:history="1">
        <w:r w:rsidRPr="00481B9A">
          <w:rPr>
            <w:rStyle w:val="Hyperlink"/>
            <w:color w:val="auto"/>
            <w:lang w:val="fr-FR"/>
          </w:rPr>
          <w:t>www.unece.org/trans/main/wp11/teststationsnew.html</w:t>
        </w:r>
      </w:hyperlink>
      <w:r w:rsidRPr="00DC2D0A">
        <w:rPr>
          <w:lang w:val="fr-FR"/>
        </w:rPr>
        <w:t>.</w:t>
      </w:r>
    </w:p>
    <w:p w14:paraId="6786996B" w14:textId="77777777" w:rsidR="00DE5C33" w:rsidRPr="00DC2D0A" w:rsidRDefault="00DE5C33" w:rsidP="00DE5C33">
      <w:pPr>
        <w:pStyle w:val="H23G"/>
        <w:rPr>
          <w:lang w:val="fr-FR"/>
        </w:rPr>
      </w:pPr>
      <w:r>
        <w:rPr>
          <w:lang w:val="fr-FR"/>
        </w:rPr>
        <w:tab/>
      </w:r>
      <w:r w:rsidRPr="00DC2D0A">
        <w:rPr>
          <w:lang w:val="fr-FR"/>
        </w:rPr>
        <w:t>d)</w:t>
      </w:r>
      <w:r w:rsidRPr="00DC2D0A">
        <w:rPr>
          <w:lang w:val="fr-FR"/>
        </w:rPr>
        <w:tab/>
        <w:t>Échange d’informations entre les Parties en vertu de l’article 6 de l’ATP</w:t>
      </w:r>
    </w:p>
    <w:p w14:paraId="31B87D68" w14:textId="77777777" w:rsidR="00DE5C33" w:rsidRPr="00DC2D0A" w:rsidRDefault="00DE5C33" w:rsidP="00DE5C33">
      <w:pPr>
        <w:pStyle w:val="SingleTxtG"/>
        <w:ind w:firstLine="567"/>
        <w:rPr>
          <w:lang w:val="fr-FR"/>
        </w:rPr>
      </w:pPr>
      <w:r w:rsidRPr="00DC2D0A">
        <w:rPr>
          <w:lang w:val="fr-FR"/>
        </w:rPr>
        <w:t xml:space="preserve">À sa soixante-quinzième session, le Groupe de travail a remercié les 22 pays qui avaient fourni des données en réponse au questionnaire sur l’application de l’ATP en 2018 et a souligné qu’il était indispensable d’obtenir des informations de toutes les Parties contractantes à l’ATP puisque cela permettait d’harmoniser la mise en œuvre de l’Accord. </w:t>
      </w:r>
    </w:p>
    <w:p w14:paraId="0DAFC8F7" w14:textId="77777777" w:rsidR="00DE5C33" w:rsidRPr="00DC2D0A" w:rsidRDefault="00DE5C33" w:rsidP="00DE5C33">
      <w:pPr>
        <w:pStyle w:val="SingleTxtG"/>
        <w:ind w:firstLine="567"/>
        <w:rPr>
          <w:lang w:val="fr-FR"/>
        </w:rPr>
      </w:pPr>
      <w:r w:rsidRPr="00DC2D0A">
        <w:rPr>
          <w:lang w:val="fr-FR"/>
        </w:rPr>
        <w:t xml:space="preserve">Les informations reçues pour l’année 2019 figurent dans le document ECE/TRANS/WP.11/2020/17. Les pays ont également été priés de répondre à une question supplémentaire sur la manière dont les colis et petits conteneurs utilisés pour le transport de denrées périssables sont réglementés </w:t>
      </w:r>
      <w:proofErr w:type="gramStart"/>
      <w:r w:rsidRPr="00DC2D0A">
        <w:rPr>
          <w:lang w:val="fr-FR"/>
        </w:rPr>
        <w:t>au</w:t>
      </w:r>
      <w:proofErr w:type="gramEnd"/>
      <w:r w:rsidRPr="00DC2D0A">
        <w:rPr>
          <w:lang w:val="fr-FR"/>
        </w:rPr>
        <w:t xml:space="preserve"> plan national. Les réponses reçues par le secrétariat figurent à l’annexe I du document ECE/TRANS/WP.11/2020/17. Les pays ont en outre été priés de communiquer au secrétariat des informations sur les mesures supplémentaires prises pour garantir la sécurité du transport transfrontalier de denrées périssables en réponse à la pandémie de COVID-19. Les réponses reçues par le secrétariat figurent à l’annexe</w:t>
      </w:r>
      <w:r>
        <w:rPr>
          <w:lang w:val="fr-FR"/>
        </w:rPr>
        <w:t> </w:t>
      </w:r>
      <w:r w:rsidRPr="00DC2D0A">
        <w:rPr>
          <w:lang w:val="fr-FR"/>
        </w:rPr>
        <w:t>II dudit document.</w:t>
      </w:r>
    </w:p>
    <w:p w14:paraId="2BBD5877" w14:textId="77777777" w:rsidR="00DE5C33" w:rsidRPr="00DC2D0A" w:rsidRDefault="00DE5C33" w:rsidP="00DE5C33">
      <w:pPr>
        <w:pStyle w:val="SingleTxtG"/>
        <w:ind w:firstLine="567"/>
        <w:rPr>
          <w:lang w:val="fr-FR"/>
        </w:rPr>
      </w:pPr>
      <w:r w:rsidRPr="00DC2D0A">
        <w:rPr>
          <w:lang w:val="fr-FR"/>
        </w:rPr>
        <w:t xml:space="preserve">À sa soixante-treizième session, le Groupe de travail avait prié le secrétariat d’envoyer une lettre à toutes les Parties contractantes pour leur demander de s’acquitter de l’obligation qui leur est faite par l’article 6 de l’ATP de répondre au questionnaire qui leur est adressé chaque année et de mettre à jour les informations de contact des autorités compétentes et des stations d’essai. Toutes les informations reçues par le secrétariat ont été intégrées à la liste des autorités compétentes et des stations d’essai officiellement désignées, qui peut être consultée à l’adresse </w:t>
      </w:r>
      <w:hyperlink r:id="rId16" w:history="1">
        <w:r w:rsidRPr="00481B9A">
          <w:rPr>
            <w:rStyle w:val="Hyperlink"/>
            <w:color w:val="auto"/>
            <w:lang w:val="fr-FR"/>
          </w:rPr>
          <w:t>www.unece.org/trans/main/wp11/teststationsnew.html</w:t>
        </w:r>
      </w:hyperlink>
      <w:r w:rsidRPr="00DC2D0A">
        <w:rPr>
          <w:lang w:val="fr-FR"/>
        </w:rPr>
        <w:t>.</w:t>
      </w:r>
    </w:p>
    <w:p w14:paraId="19F79191" w14:textId="77777777" w:rsidR="00DE5C33" w:rsidRPr="00DC2D0A" w:rsidRDefault="00DE5C33" w:rsidP="00DE5C33">
      <w:pPr>
        <w:pStyle w:val="H23G"/>
        <w:rPr>
          <w:lang w:val="fr-FR"/>
        </w:rPr>
      </w:pPr>
      <w:r>
        <w:rPr>
          <w:lang w:val="fr-FR"/>
        </w:rPr>
        <w:tab/>
      </w:r>
      <w:r w:rsidRPr="00DC2D0A">
        <w:rPr>
          <w:lang w:val="fr-FR"/>
        </w:rPr>
        <w:t>e)</w:t>
      </w:r>
      <w:r w:rsidRPr="00DC2D0A">
        <w:rPr>
          <w:lang w:val="fr-FR"/>
        </w:rPr>
        <w:tab/>
        <w:t>Échange de bonnes pratiques pour une meilleure application de l’ATP</w:t>
      </w:r>
    </w:p>
    <w:p w14:paraId="49983454" w14:textId="77777777" w:rsidR="00DE5C33" w:rsidRPr="00DC2D0A" w:rsidRDefault="00DE5C33" w:rsidP="00DE5C33">
      <w:pPr>
        <w:pStyle w:val="SingleTxtG"/>
        <w:ind w:firstLine="567"/>
        <w:rPr>
          <w:lang w:val="fr-FR"/>
        </w:rPr>
      </w:pPr>
      <w:r w:rsidRPr="00DC2D0A">
        <w:rPr>
          <w:lang w:val="fr-FR"/>
        </w:rPr>
        <w:t>Le Groupe de travail souhaitera peut-être examiner toute proposition visant à améliorer l’application de l’ATP.</w:t>
      </w:r>
    </w:p>
    <w:p w14:paraId="6F1C4D62" w14:textId="77777777" w:rsidR="00DE5C33" w:rsidRPr="00DC2D0A" w:rsidRDefault="00DE5C33" w:rsidP="00DE5C33">
      <w:pPr>
        <w:pStyle w:val="H23G"/>
        <w:rPr>
          <w:lang w:val="fr-FR"/>
        </w:rPr>
      </w:pPr>
      <w:r>
        <w:rPr>
          <w:lang w:val="fr-FR"/>
        </w:rPr>
        <w:tab/>
      </w:r>
      <w:r w:rsidRPr="00DC2D0A">
        <w:rPr>
          <w:lang w:val="fr-FR"/>
        </w:rPr>
        <w:t>f)</w:t>
      </w:r>
      <w:r w:rsidRPr="00DC2D0A">
        <w:rPr>
          <w:lang w:val="fr-FR"/>
        </w:rPr>
        <w:tab/>
        <w:t>Interprétation de l’ATP</w:t>
      </w:r>
    </w:p>
    <w:p w14:paraId="2BD1A4C2" w14:textId="77777777" w:rsidR="00DE5C33" w:rsidRPr="00DC2D0A" w:rsidRDefault="00DE5C33" w:rsidP="00DE5C33">
      <w:pPr>
        <w:pStyle w:val="SingleTxtG"/>
        <w:ind w:firstLine="567"/>
        <w:rPr>
          <w:lang w:val="fr-FR"/>
        </w:rPr>
      </w:pPr>
      <w:r w:rsidRPr="00DC2D0A">
        <w:rPr>
          <w:lang w:val="fr-FR"/>
        </w:rPr>
        <w:t>Le Groupe de travail est invité à débattre de l’interprétation de toute disposition de l’ATP considérée comme ambiguë ou floue.</w:t>
      </w:r>
    </w:p>
    <w:p w14:paraId="24AA7F91" w14:textId="77777777" w:rsidR="00DE5C33" w:rsidRPr="00DC2D0A" w:rsidRDefault="00DE5C33" w:rsidP="00CC512D">
      <w:pPr>
        <w:pStyle w:val="H23G"/>
        <w:rPr>
          <w:lang w:val="fr-FR"/>
        </w:rPr>
      </w:pPr>
      <w:r w:rsidRPr="00DC2D0A">
        <w:rPr>
          <w:lang w:val="fr-FR"/>
        </w:rPr>
        <w:tab/>
      </w:r>
      <w:r w:rsidRPr="00DC2D0A">
        <w:rPr>
          <w:lang w:val="fr-FR"/>
        </w:rPr>
        <w:tab/>
        <w:t xml:space="preserve">Essai de descente en température pour les engins à températures et compartiments multiples </w:t>
      </w:r>
      <w:r w:rsidR="00CC512D">
        <w:rPr>
          <w:lang w:val="fr-FR"/>
        </w:rPr>
        <w:t xml:space="preserve">− </w:t>
      </w:r>
      <w:r w:rsidRPr="00DC2D0A">
        <w:rPr>
          <w:lang w:val="fr-FR"/>
        </w:rPr>
        <w:t xml:space="preserve">alinéa iii) du paragraphe 6.2.1 de l’appendice 2 de l’annexe 1 de l’ATP </w:t>
      </w:r>
    </w:p>
    <w:p w14:paraId="3BECB664" w14:textId="77777777" w:rsidR="00DE5C33" w:rsidRPr="00DC2D0A" w:rsidRDefault="00DE5C33" w:rsidP="00DE5C33">
      <w:pPr>
        <w:pStyle w:val="SingleTxtG"/>
        <w:ind w:firstLine="567"/>
        <w:rPr>
          <w:lang w:val="fr-FR"/>
        </w:rPr>
      </w:pPr>
      <w:r w:rsidRPr="00DC2D0A">
        <w:rPr>
          <w:lang w:val="fr-FR"/>
        </w:rPr>
        <w:t>Le Groupe de travail voudra sans doute examiner la proposition de la Finlande (ECE/TRANS/WP.11/2020/9).</w:t>
      </w:r>
    </w:p>
    <w:p w14:paraId="031DF692" w14:textId="77777777" w:rsidR="00DE5C33" w:rsidRPr="00DC2D0A" w:rsidRDefault="00DE5C33" w:rsidP="00CC512D">
      <w:pPr>
        <w:pStyle w:val="H23G"/>
        <w:rPr>
          <w:lang w:val="fr-FR"/>
        </w:rPr>
      </w:pPr>
      <w:r w:rsidRPr="00DC2D0A">
        <w:rPr>
          <w:lang w:val="fr-FR"/>
        </w:rPr>
        <w:lastRenderedPageBreak/>
        <w:tab/>
      </w:r>
      <w:r w:rsidRPr="00DC2D0A">
        <w:rPr>
          <w:lang w:val="fr-FR"/>
        </w:rPr>
        <w:tab/>
        <w:t>Précisions relatives à l’agrément des laboratoires d’essai et à la désignation d’experts pour le contrôle de la conformité des véhicules en circulation avec l’ATP</w:t>
      </w:r>
    </w:p>
    <w:p w14:paraId="2F88E328" w14:textId="77777777" w:rsidR="00DE5C33" w:rsidRPr="00DC2D0A" w:rsidRDefault="00DE5C33" w:rsidP="00DE5C33">
      <w:pPr>
        <w:pStyle w:val="SingleTxtG"/>
        <w:ind w:firstLine="567"/>
        <w:rPr>
          <w:lang w:val="fr-FR"/>
        </w:rPr>
      </w:pPr>
      <w:r w:rsidRPr="00DC2D0A">
        <w:rPr>
          <w:lang w:val="fr-FR"/>
        </w:rPr>
        <w:t>Le Groupe de travail voudra sans doute examiner la proposition de la Fédération de Russie (document informel INF.2).</w:t>
      </w:r>
    </w:p>
    <w:p w14:paraId="317F3E24" w14:textId="77777777" w:rsidR="00DE5C33" w:rsidRPr="00DC2D0A" w:rsidRDefault="00CC512D" w:rsidP="00CC512D">
      <w:pPr>
        <w:pStyle w:val="H1G"/>
        <w:rPr>
          <w:lang w:val="fr-FR"/>
        </w:rPr>
      </w:pPr>
      <w:r>
        <w:rPr>
          <w:lang w:val="fr-FR"/>
        </w:rPr>
        <w:tab/>
      </w:r>
      <w:r w:rsidR="00DE5C33" w:rsidRPr="00DC2D0A">
        <w:rPr>
          <w:lang w:val="fr-FR"/>
        </w:rPr>
        <w:t>6.</w:t>
      </w:r>
      <w:r w:rsidR="00DE5C33" w:rsidRPr="00DC2D0A">
        <w:rPr>
          <w:lang w:val="fr-FR"/>
        </w:rPr>
        <w:tab/>
        <w:t>Propositions d’amendements à l’ATP</w:t>
      </w:r>
    </w:p>
    <w:p w14:paraId="797FB5EE" w14:textId="77777777" w:rsidR="00DE5C33" w:rsidRPr="00DC2D0A" w:rsidRDefault="00CC512D" w:rsidP="00CC512D">
      <w:pPr>
        <w:pStyle w:val="H23G"/>
        <w:rPr>
          <w:lang w:val="fr-FR"/>
        </w:rPr>
      </w:pPr>
      <w:r>
        <w:rPr>
          <w:lang w:val="fr-FR"/>
        </w:rPr>
        <w:tab/>
      </w:r>
      <w:r w:rsidR="00DE5C33" w:rsidRPr="00DC2D0A">
        <w:rPr>
          <w:lang w:val="fr-FR"/>
        </w:rPr>
        <w:t>a)</w:t>
      </w:r>
      <w:r w:rsidR="00DE5C33" w:rsidRPr="00DC2D0A">
        <w:rPr>
          <w:lang w:val="fr-FR"/>
        </w:rPr>
        <w:tab/>
        <w:t>Propositions en suspens</w:t>
      </w:r>
    </w:p>
    <w:p w14:paraId="337356E9" w14:textId="77777777" w:rsidR="00DE5C33" w:rsidRPr="00DC2D0A" w:rsidRDefault="00DE5C33" w:rsidP="00CC512D">
      <w:pPr>
        <w:pStyle w:val="H23G"/>
        <w:rPr>
          <w:lang w:val="fr-FR"/>
        </w:rPr>
      </w:pPr>
      <w:r w:rsidRPr="00DC2D0A">
        <w:rPr>
          <w:lang w:val="fr-FR"/>
        </w:rPr>
        <w:tab/>
      </w:r>
      <w:r w:rsidRPr="00DC2D0A">
        <w:rPr>
          <w:lang w:val="fr-FR"/>
        </w:rPr>
        <w:tab/>
        <w:t xml:space="preserve">Définition de l’autonomie d’un engin avec prise en compte des technologies </w:t>
      </w:r>
      <w:r w:rsidR="00CC512D">
        <w:rPr>
          <w:lang w:val="fr-FR"/>
        </w:rPr>
        <w:br/>
      </w:r>
      <w:r w:rsidRPr="00DC2D0A">
        <w:rPr>
          <w:lang w:val="fr-FR"/>
        </w:rPr>
        <w:t>à sources mixtes</w:t>
      </w:r>
    </w:p>
    <w:p w14:paraId="6AD9EE67" w14:textId="77777777" w:rsidR="00DE5C33" w:rsidRPr="00DC2D0A" w:rsidRDefault="00DE5C33" w:rsidP="00CC512D">
      <w:pPr>
        <w:pStyle w:val="SingleTxtG"/>
        <w:ind w:firstLine="567"/>
        <w:rPr>
          <w:lang w:val="fr-FR"/>
        </w:rPr>
      </w:pPr>
      <w:r w:rsidRPr="00DC2D0A">
        <w:rPr>
          <w:lang w:val="fr-FR"/>
        </w:rPr>
        <w:t>Le Groupe de travail voudra sans doute examiner la proposition de la France (ECE/TRANS/WP.11/2020/1/Rev.1).</w:t>
      </w:r>
    </w:p>
    <w:p w14:paraId="459BC361" w14:textId="77777777" w:rsidR="00DE5C33" w:rsidRPr="00DC2D0A" w:rsidRDefault="00DE5C33" w:rsidP="00CC512D">
      <w:pPr>
        <w:pStyle w:val="H23G"/>
        <w:rPr>
          <w:lang w:val="fr-FR"/>
        </w:rPr>
      </w:pPr>
      <w:r w:rsidRPr="00DC2D0A">
        <w:rPr>
          <w:lang w:val="fr-FR"/>
        </w:rPr>
        <w:tab/>
      </w:r>
      <w:r w:rsidRPr="00DC2D0A">
        <w:rPr>
          <w:lang w:val="fr-FR"/>
        </w:rPr>
        <w:tab/>
        <w:t>Modification concernant l’application des contrôles à effectuer selon la section 4.3.4 de l’annexe 1, appendice 2</w:t>
      </w:r>
      <w:r w:rsidR="00CC512D">
        <w:rPr>
          <w:lang w:val="fr-FR"/>
        </w:rPr>
        <w:t>,</w:t>
      </w:r>
      <w:r w:rsidRPr="00DC2D0A">
        <w:rPr>
          <w:lang w:val="fr-FR"/>
        </w:rPr>
        <w:t xml:space="preserve"> de l’ATP en date du 6 janvier 2018</w:t>
      </w:r>
    </w:p>
    <w:p w14:paraId="03A331B0" w14:textId="77777777" w:rsidR="00DE5C33" w:rsidRPr="00DC2D0A" w:rsidRDefault="00DE5C33" w:rsidP="00CC512D">
      <w:pPr>
        <w:pStyle w:val="SingleTxtG"/>
        <w:ind w:firstLine="567"/>
        <w:rPr>
          <w:lang w:val="fr-FR"/>
        </w:rPr>
      </w:pPr>
      <w:r w:rsidRPr="00DC2D0A">
        <w:rPr>
          <w:lang w:val="fr-FR"/>
        </w:rPr>
        <w:t>Le Groupe de travail voudra sans doute examiner la proposition de la France (ECE/TRANS/WP.11/2020/3/Rev.1).</w:t>
      </w:r>
    </w:p>
    <w:p w14:paraId="26B5F16D" w14:textId="77777777" w:rsidR="00DE5C33" w:rsidRPr="00DC2D0A" w:rsidRDefault="00DE5C33" w:rsidP="00CC512D">
      <w:pPr>
        <w:pStyle w:val="H23G"/>
        <w:rPr>
          <w:lang w:val="fr-FR"/>
        </w:rPr>
      </w:pPr>
      <w:r w:rsidRPr="00DC2D0A">
        <w:rPr>
          <w:lang w:val="fr-FR"/>
        </w:rPr>
        <w:tab/>
      </w:r>
      <w:r w:rsidRPr="00DC2D0A">
        <w:rPr>
          <w:lang w:val="fr-FR"/>
        </w:rPr>
        <w:tab/>
        <w:t>Modification concernant les modèles de procès</w:t>
      </w:r>
      <w:r w:rsidR="00CC512D">
        <w:rPr>
          <w:lang w:val="fr-FR"/>
        </w:rPr>
        <w:noBreakHyphen/>
      </w:r>
      <w:r w:rsidRPr="00DC2D0A">
        <w:rPr>
          <w:lang w:val="fr-FR"/>
        </w:rPr>
        <w:t xml:space="preserve">verbaux qui définissent </w:t>
      </w:r>
      <w:r w:rsidR="00CC512D">
        <w:rPr>
          <w:lang w:val="fr-FR"/>
        </w:rPr>
        <w:br/>
      </w:r>
      <w:r w:rsidRPr="00DC2D0A">
        <w:rPr>
          <w:lang w:val="fr-FR"/>
        </w:rPr>
        <w:t>les spécifications des engins et engins</w:t>
      </w:r>
      <w:r w:rsidR="00CC512D">
        <w:rPr>
          <w:lang w:val="fr-FR"/>
        </w:rPr>
        <w:noBreakHyphen/>
      </w:r>
      <w:proofErr w:type="gramStart"/>
      <w:r w:rsidRPr="00DC2D0A">
        <w:rPr>
          <w:lang w:val="fr-FR"/>
        </w:rPr>
        <w:t>citernes destinés</w:t>
      </w:r>
      <w:proofErr w:type="gramEnd"/>
      <w:r w:rsidRPr="00DC2D0A">
        <w:rPr>
          <w:lang w:val="fr-FR"/>
        </w:rPr>
        <w:t xml:space="preserve"> aux transports </w:t>
      </w:r>
      <w:r w:rsidR="00CC512D">
        <w:rPr>
          <w:lang w:val="fr-FR"/>
        </w:rPr>
        <w:br/>
      </w:r>
      <w:r w:rsidRPr="00DC2D0A">
        <w:rPr>
          <w:lang w:val="fr-FR"/>
        </w:rPr>
        <w:t xml:space="preserve">de liquides alimentaires découlant de la nécessité de prendre en compte </w:t>
      </w:r>
      <w:r w:rsidR="00CC512D">
        <w:rPr>
          <w:lang w:val="fr-FR"/>
        </w:rPr>
        <w:br/>
      </w:r>
      <w:r w:rsidRPr="00DC2D0A">
        <w:rPr>
          <w:lang w:val="fr-FR"/>
        </w:rPr>
        <w:t>l’évolution technologique apportée par l’emploi de nouvelles mousses isolantes</w:t>
      </w:r>
    </w:p>
    <w:p w14:paraId="2CFB96D3" w14:textId="77777777" w:rsidR="00DE5C33" w:rsidRPr="00DC2D0A" w:rsidRDefault="00DE5C33" w:rsidP="00CC512D">
      <w:pPr>
        <w:pStyle w:val="SingleTxtG"/>
        <w:ind w:firstLine="567"/>
        <w:rPr>
          <w:lang w:val="fr-FR"/>
        </w:rPr>
      </w:pPr>
      <w:r w:rsidRPr="00DC2D0A">
        <w:rPr>
          <w:lang w:val="fr-FR"/>
        </w:rPr>
        <w:t>Le Groupe de travail voudra sans doute examiner la proposition de la France (ECE/TRANS/WP.11/2020/4/Rev.1).</w:t>
      </w:r>
    </w:p>
    <w:p w14:paraId="4AD5E748" w14:textId="77777777" w:rsidR="00DE5C33" w:rsidRPr="00DC2D0A" w:rsidRDefault="00DE5C33" w:rsidP="00CC512D">
      <w:pPr>
        <w:pStyle w:val="H23G"/>
        <w:rPr>
          <w:lang w:val="fr-FR"/>
        </w:rPr>
      </w:pPr>
      <w:r w:rsidRPr="00DC2D0A">
        <w:rPr>
          <w:lang w:val="fr-FR"/>
        </w:rPr>
        <w:tab/>
      </w:r>
      <w:r w:rsidRPr="00DC2D0A">
        <w:rPr>
          <w:lang w:val="fr-FR"/>
        </w:rPr>
        <w:tab/>
        <w:t xml:space="preserve">Amendements aux paragraphes 3.2.6 et 4.3.4 ii) de l’appendice 2 de l’annexe 1, </w:t>
      </w:r>
      <w:r w:rsidR="00CC512D">
        <w:rPr>
          <w:lang w:val="fr-FR"/>
        </w:rPr>
        <w:br/>
      </w:r>
      <w:r w:rsidRPr="00DC2D0A">
        <w:rPr>
          <w:lang w:val="fr-FR"/>
        </w:rPr>
        <w:t>à l’appendice 3 de l’annexe 1 et au Manuel ATP</w:t>
      </w:r>
    </w:p>
    <w:p w14:paraId="0B168BB4" w14:textId="77777777" w:rsidR="00DE5C33" w:rsidRPr="00DC2D0A" w:rsidRDefault="00DE5C33" w:rsidP="00CC512D">
      <w:pPr>
        <w:pStyle w:val="SingleTxtG"/>
        <w:ind w:firstLine="567"/>
        <w:rPr>
          <w:lang w:val="fr-FR"/>
        </w:rPr>
      </w:pPr>
      <w:r w:rsidRPr="00DC2D0A">
        <w:rPr>
          <w:lang w:val="fr-FR"/>
        </w:rPr>
        <w:t>Le Groupe de travail voudra sans doute examiner la proposition du Royaume-Uni (</w:t>
      </w:r>
      <w:bookmarkStart w:id="1" w:name="_Hlk48748352"/>
      <w:r w:rsidRPr="00DC2D0A">
        <w:rPr>
          <w:lang w:val="fr-FR"/>
        </w:rPr>
        <w:t>ECE/TRANS/WP.11/2020/5/Rev.1</w:t>
      </w:r>
      <w:bookmarkEnd w:id="1"/>
      <w:r w:rsidRPr="00DC2D0A">
        <w:rPr>
          <w:lang w:val="fr-FR"/>
        </w:rPr>
        <w:t>).</w:t>
      </w:r>
    </w:p>
    <w:p w14:paraId="7AFA23FF" w14:textId="77777777" w:rsidR="00DE5C33" w:rsidRPr="00DC2D0A" w:rsidRDefault="00DE5C33" w:rsidP="00CC512D">
      <w:pPr>
        <w:pStyle w:val="H23G"/>
        <w:rPr>
          <w:lang w:val="fr-FR"/>
        </w:rPr>
      </w:pPr>
      <w:r w:rsidRPr="00DC2D0A">
        <w:rPr>
          <w:lang w:val="fr-FR"/>
        </w:rPr>
        <w:tab/>
      </w:r>
      <w:r w:rsidRPr="00DC2D0A">
        <w:rPr>
          <w:lang w:val="fr-FR"/>
        </w:rPr>
        <w:tab/>
        <w:t xml:space="preserve">Ajout à l’ATP de dispositions permettant aux autorités compétentes </w:t>
      </w:r>
      <w:r w:rsidR="00CC512D">
        <w:rPr>
          <w:lang w:val="fr-FR"/>
        </w:rPr>
        <w:br/>
      </w:r>
      <w:r w:rsidRPr="00DC2D0A">
        <w:rPr>
          <w:lang w:val="fr-FR"/>
        </w:rPr>
        <w:t xml:space="preserve">des Parties contractantes de publier sur leur site Web les listes </w:t>
      </w:r>
      <w:r w:rsidR="00CC512D">
        <w:rPr>
          <w:lang w:val="fr-FR"/>
        </w:rPr>
        <w:br/>
      </w:r>
      <w:r w:rsidRPr="00DC2D0A">
        <w:rPr>
          <w:lang w:val="fr-FR"/>
        </w:rPr>
        <w:t>de tous les certificats ATP délivrés</w:t>
      </w:r>
    </w:p>
    <w:p w14:paraId="6943E2E6" w14:textId="77777777" w:rsidR="00DE5C33" w:rsidRPr="00DC2D0A" w:rsidRDefault="00DE5C33" w:rsidP="00CC512D">
      <w:pPr>
        <w:pStyle w:val="SingleTxtG"/>
        <w:ind w:firstLine="567"/>
        <w:rPr>
          <w:lang w:val="fr-FR"/>
        </w:rPr>
      </w:pPr>
      <w:r w:rsidRPr="00DC2D0A">
        <w:rPr>
          <w:lang w:val="fr-FR"/>
        </w:rPr>
        <w:t>Le Groupe de travail voudra sans doute examiner la proposition de la Fédération de Russie (</w:t>
      </w:r>
      <w:bookmarkStart w:id="2" w:name="_Hlk48748493"/>
      <w:r w:rsidRPr="00DC2D0A">
        <w:rPr>
          <w:lang w:val="fr-FR"/>
        </w:rPr>
        <w:t>ECE/TRANS/WP.11/2020/6</w:t>
      </w:r>
      <w:bookmarkEnd w:id="2"/>
      <w:r w:rsidRPr="00DC2D0A">
        <w:rPr>
          <w:lang w:val="fr-FR"/>
        </w:rPr>
        <w:t>).</w:t>
      </w:r>
    </w:p>
    <w:p w14:paraId="6C6475BB" w14:textId="77777777" w:rsidR="00DE5C33" w:rsidRPr="00DC2D0A" w:rsidRDefault="00DE5C33" w:rsidP="00CC512D">
      <w:pPr>
        <w:pStyle w:val="H23G"/>
        <w:rPr>
          <w:lang w:val="fr-FR"/>
        </w:rPr>
      </w:pPr>
      <w:r w:rsidRPr="00DC2D0A">
        <w:rPr>
          <w:lang w:val="fr-FR"/>
        </w:rPr>
        <w:tab/>
      </w:r>
      <w:r w:rsidRPr="00DC2D0A">
        <w:rPr>
          <w:lang w:val="fr-FR"/>
        </w:rPr>
        <w:tab/>
        <w:t>Amendement à l’appendice 2 de l’annexe 1</w:t>
      </w:r>
    </w:p>
    <w:p w14:paraId="65058184" w14:textId="77777777" w:rsidR="00DE5C33" w:rsidRPr="00DC2D0A" w:rsidRDefault="00DE5C33" w:rsidP="00CC512D">
      <w:pPr>
        <w:pStyle w:val="SingleTxtG"/>
        <w:ind w:firstLine="567"/>
        <w:rPr>
          <w:lang w:val="fr-FR"/>
        </w:rPr>
      </w:pPr>
      <w:r w:rsidRPr="00DC2D0A">
        <w:rPr>
          <w:lang w:val="fr-FR"/>
        </w:rPr>
        <w:t>Le Groupe de travail voudra sans doute examiner la proposition du Royaume-Uni (ECE/TRANS/WP.11/2020/7).</w:t>
      </w:r>
    </w:p>
    <w:p w14:paraId="1F468517" w14:textId="77777777" w:rsidR="00DE5C33" w:rsidRPr="00DC2D0A" w:rsidRDefault="00DE5C33" w:rsidP="00CC512D">
      <w:pPr>
        <w:pStyle w:val="H23G"/>
        <w:rPr>
          <w:lang w:val="fr-FR"/>
        </w:rPr>
      </w:pPr>
      <w:r w:rsidRPr="00DC2D0A">
        <w:rPr>
          <w:lang w:val="fr-FR"/>
        </w:rPr>
        <w:tab/>
      </w:r>
      <w:r w:rsidRPr="00DC2D0A">
        <w:rPr>
          <w:lang w:val="fr-FR"/>
        </w:rPr>
        <w:tab/>
        <w:t>Proposition d’amendement du modèle de procès-verbal d’essai n</w:t>
      </w:r>
      <w:r w:rsidRPr="00DC2D0A">
        <w:rPr>
          <w:vertAlign w:val="superscript"/>
          <w:lang w:val="fr-FR"/>
        </w:rPr>
        <w:t>o</w:t>
      </w:r>
      <w:r w:rsidRPr="00CC512D">
        <w:rPr>
          <w:lang w:val="fr-FR"/>
        </w:rPr>
        <w:t> </w:t>
      </w:r>
      <w:proofErr w:type="gramStart"/>
      <w:r w:rsidRPr="00DC2D0A">
        <w:rPr>
          <w:lang w:val="fr-FR"/>
        </w:rPr>
        <w:t>12  à</w:t>
      </w:r>
      <w:proofErr w:type="gramEnd"/>
      <w:r w:rsidRPr="00DC2D0A">
        <w:rPr>
          <w:lang w:val="fr-FR"/>
        </w:rPr>
        <w:t xml:space="preserve"> l’appendice</w:t>
      </w:r>
      <w:r w:rsidR="00CC512D">
        <w:rPr>
          <w:lang w:val="fr-FR"/>
        </w:rPr>
        <w:t> </w:t>
      </w:r>
      <w:r w:rsidRPr="00DC2D0A">
        <w:rPr>
          <w:lang w:val="fr-FR"/>
        </w:rPr>
        <w:t>2 de l’annexe 1, après « d) Observations</w:t>
      </w:r>
      <w:r w:rsidR="00CC512D">
        <w:rPr>
          <w:lang w:val="fr-FR"/>
        </w:rPr>
        <w:t> </w:t>
      </w:r>
      <w:r w:rsidRPr="00DC2D0A">
        <w:rPr>
          <w:lang w:val="fr-FR"/>
        </w:rPr>
        <w:t xml:space="preserve">: » Validité des procès-verbaux d’essai </w:t>
      </w:r>
      <w:r w:rsidR="00CC512D">
        <w:rPr>
          <w:lang w:val="fr-FR"/>
        </w:rPr>
        <w:br/>
      </w:r>
      <w:r w:rsidRPr="00DC2D0A">
        <w:rPr>
          <w:lang w:val="fr-FR"/>
        </w:rPr>
        <w:t>pour les groupes frigorifiques</w:t>
      </w:r>
    </w:p>
    <w:p w14:paraId="6F6C788D" w14:textId="77777777" w:rsidR="00DE5C33" w:rsidRPr="00DC2D0A" w:rsidRDefault="00DE5C33" w:rsidP="00CC512D">
      <w:pPr>
        <w:pStyle w:val="SingleTxtG"/>
        <w:ind w:firstLine="567"/>
        <w:rPr>
          <w:lang w:val="fr-FR"/>
        </w:rPr>
      </w:pPr>
      <w:r w:rsidRPr="00DC2D0A">
        <w:rPr>
          <w:lang w:val="fr-FR"/>
        </w:rPr>
        <w:t>Le Groupe de travail voudra sans doute examiner la proposition de l’Allemagne (ECE/TRANS/WP.11/2020/10).</w:t>
      </w:r>
    </w:p>
    <w:p w14:paraId="2F59B814" w14:textId="77777777" w:rsidR="00DE5C33" w:rsidRPr="00DC2D0A" w:rsidRDefault="00DE5C33" w:rsidP="00CC512D">
      <w:pPr>
        <w:pStyle w:val="H23G"/>
        <w:rPr>
          <w:lang w:val="fr-FR"/>
        </w:rPr>
      </w:pPr>
      <w:r w:rsidRPr="00DC2D0A">
        <w:rPr>
          <w:lang w:val="fr-FR"/>
        </w:rPr>
        <w:tab/>
      </w:r>
      <w:r w:rsidRPr="00DC2D0A">
        <w:rPr>
          <w:lang w:val="fr-FR"/>
        </w:rPr>
        <w:tab/>
        <w:t>Degrés Celsius et Kelvin</w:t>
      </w:r>
    </w:p>
    <w:p w14:paraId="1FF79EAD" w14:textId="77777777" w:rsidR="00DE5C33" w:rsidRPr="00DC2D0A" w:rsidRDefault="00DE5C33" w:rsidP="00CC512D">
      <w:pPr>
        <w:pStyle w:val="SingleTxtG"/>
        <w:ind w:firstLine="567"/>
        <w:rPr>
          <w:lang w:val="fr-FR"/>
        </w:rPr>
      </w:pPr>
      <w:r w:rsidRPr="00DC2D0A">
        <w:rPr>
          <w:lang w:val="fr-FR"/>
        </w:rPr>
        <w:t>Le Groupe de travail voudra sans doute examiner la proposition de l’Espagne (ECE/TRANS/WP.11/2020/11).</w:t>
      </w:r>
    </w:p>
    <w:p w14:paraId="798F0A4B" w14:textId="77777777" w:rsidR="00DE5C33" w:rsidRPr="00DC2D0A" w:rsidRDefault="00DE5C33" w:rsidP="00CC512D">
      <w:pPr>
        <w:pStyle w:val="H23G"/>
        <w:rPr>
          <w:lang w:val="fr-FR"/>
        </w:rPr>
      </w:pPr>
      <w:r w:rsidRPr="00DC2D0A">
        <w:rPr>
          <w:lang w:val="fr-FR"/>
        </w:rPr>
        <w:lastRenderedPageBreak/>
        <w:tab/>
      </w:r>
      <w:r w:rsidRPr="00DC2D0A">
        <w:rPr>
          <w:lang w:val="fr-FR"/>
        </w:rPr>
        <w:tab/>
        <w:t>Le rôle de l’incertitude de mesure dans les décisions d’évaluation de la conformité selon l’ATP</w:t>
      </w:r>
    </w:p>
    <w:p w14:paraId="7F8AC8F7" w14:textId="77777777" w:rsidR="00DE5C33" w:rsidRPr="00DC2D0A" w:rsidRDefault="00DE5C33" w:rsidP="00CC512D">
      <w:pPr>
        <w:pStyle w:val="SingleTxtG"/>
        <w:ind w:firstLine="567"/>
        <w:rPr>
          <w:lang w:val="fr-FR"/>
        </w:rPr>
      </w:pPr>
      <w:r w:rsidRPr="00DC2D0A">
        <w:rPr>
          <w:lang w:val="fr-FR"/>
        </w:rPr>
        <w:t>Le Groupe de travail voudra sans doute examiner la proposition de la Slovénie (ECE/TRANS/WP.11/2020/12).</w:t>
      </w:r>
    </w:p>
    <w:p w14:paraId="0A4CB753" w14:textId="77777777" w:rsidR="00DE5C33" w:rsidRPr="00DC2D0A" w:rsidRDefault="00CC512D" w:rsidP="00CC512D">
      <w:pPr>
        <w:pStyle w:val="H23G"/>
        <w:rPr>
          <w:lang w:val="fr-FR"/>
        </w:rPr>
      </w:pPr>
      <w:r>
        <w:rPr>
          <w:lang w:val="fr-FR"/>
        </w:rPr>
        <w:tab/>
      </w:r>
      <w:r w:rsidR="00DE5C33" w:rsidRPr="00DC2D0A">
        <w:rPr>
          <w:lang w:val="fr-FR"/>
        </w:rPr>
        <w:t>b)</w:t>
      </w:r>
      <w:r w:rsidR="00DE5C33" w:rsidRPr="00DC2D0A">
        <w:rPr>
          <w:lang w:val="fr-FR"/>
        </w:rPr>
        <w:tab/>
        <w:t>Nouvelles propositions</w:t>
      </w:r>
    </w:p>
    <w:p w14:paraId="3C21ADEA" w14:textId="77777777" w:rsidR="00DE5C33" w:rsidRPr="00DC2D0A" w:rsidRDefault="00DE5C33" w:rsidP="00CC512D">
      <w:pPr>
        <w:pStyle w:val="H23G"/>
        <w:rPr>
          <w:lang w:val="fr-FR"/>
        </w:rPr>
      </w:pPr>
      <w:r w:rsidRPr="00DC2D0A">
        <w:rPr>
          <w:lang w:val="fr-FR"/>
        </w:rPr>
        <w:tab/>
      </w:r>
      <w:r w:rsidRPr="00DC2D0A">
        <w:rPr>
          <w:lang w:val="fr-FR"/>
        </w:rPr>
        <w:tab/>
        <w:t xml:space="preserve">Possibilité d’étendre de manière volontaire à des denrées susceptibles de devenir impropres à la consommation humaine le champ d’application des accords </w:t>
      </w:r>
      <w:r w:rsidR="00CC512D">
        <w:rPr>
          <w:lang w:val="fr-FR"/>
        </w:rPr>
        <w:br/>
      </w:r>
      <w:r w:rsidRPr="00DC2D0A">
        <w:rPr>
          <w:lang w:val="fr-FR"/>
        </w:rPr>
        <w:t>bi- et multilatéraux découlant de l’accord ATP</w:t>
      </w:r>
    </w:p>
    <w:p w14:paraId="7319BDC6" w14:textId="77777777" w:rsidR="00DE5C33" w:rsidRPr="00DC2D0A" w:rsidRDefault="00DE5C33" w:rsidP="00CC512D">
      <w:pPr>
        <w:pStyle w:val="SingleTxtG"/>
        <w:ind w:firstLine="567"/>
        <w:rPr>
          <w:lang w:val="fr-FR"/>
        </w:rPr>
      </w:pPr>
      <w:r w:rsidRPr="00DC2D0A">
        <w:rPr>
          <w:lang w:val="fr-FR"/>
        </w:rPr>
        <w:t>Le Groupe de travail voudra sans doute examiner la proposition de la France (ECE/TRANS/WP.11/2020/2).</w:t>
      </w:r>
    </w:p>
    <w:p w14:paraId="3D9257FB" w14:textId="77777777" w:rsidR="00DE5C33" w:rsidRPr="00DC2D0A" w:rsidRDefault="00DE5C33" w:rsidP="00CC512D">
      <w:pPr>
        <w:pStyle w:val="H23G"/>
        <w:rPr>
          <w:lang w:val="fr-FR"/>
        </w:rPr>
      </w:pPr>
      <w:r w:rsidRPr="00DC2D0A">
        <w:rPr>
          <w:lang w:val="fr-FR"/>
        </w:rPr>
        <w:tab/>
      </w:r>
      <w:r w:rsidRPr="00DC2D0A">
        <w:rPr>
          <w:lang w:val="fr-FR"/>
        </w:rPr>
        <w:tab/>
        <w:t>Amendement au paragraphe 2.2.1 de l’appendice 2 de l’annexe 1</w:t>
      </w:r>
    </w:p>
    <w:p w14:paraId="3246062F" w14:textId="77777777" w:rsidR="00DE5C33" w:rsidRPr="00DC2D0A" w:rsidRDefault="00DE5C33" w:rsidP="00CC512D">
      <w:pPr>
        <w:pStyle w:val="SingleTxtG"/>
        <w:ind w:firstLine="567"/>
        <w:rPr>
          <w:lang w:val="fr-FR"/>
        </w:rPr>
      </w:pPr>
      <w:r w:rsidRPr="00DC2D0A">
        <w:rPr>
          <w:lang w:val="fr-FR"/>
        </w:rPr>
        <w:t>Le Groupe de travail voudra sans doute examiner la proposition de l’Espagne (ECE/TRANS/WP.11/2020/13).</w:t>
      </w:r>
    </w:p>
    <w:p w14:paraId="43681649" w14:textId="77777777" w:rsidR="00DE5C33" w:rsidRPr="00DC2D0A" w:rsidRDefault="00DE5C33" w:rsidP="00CC512D">
      <w:pPr>
        <w:pStyle w:val="H23G"/>
        <w:rPr>
          <w:lang w:val="fr-FR"/>
        </w:rPr>
      </w:pPr>
      <w:r w:rsidRPr="00DC2D0A">
        <w:rPr>
          <w:lang w:val="fr-FR"/>
        </w:rPr>
        <w:tab/>
      </w:r>
      <w:r w:rsidRPr="00DC2D0A">
        <w:rPr>
          <w:lang w:val="fr-FR"/>
        </w:rPr>
        <w:tab/>
        <w:t xml:space="preserve">Propositions d’amendements à l’ATP présentées par le groupe de travail informel </w:t>
      </w:r>
      <w:r w:rsidR="00CC512D">
        <w:rPr>
          <w:lang w:val="fr-FR"/>
        </w:rPr>
        <w:br/>
      </w:r>
      <w:r w:rsidRPr="00DC2D0A">
        <w:rPr>
          <w:lang w:val="fr-FR"/>
        </w:rPr>
        <w:t xml:space="preserve">de l’amélioration du système d’homologation des engins et dispositifs thermiques </w:t>
      </w:r>
      <w:r w:rsidR="00CC512D">
        <w:rPr>
          <w:lang w:val="fr-FR"/>
        </w:rPr>
        <w:br/>
      </w:r>
      <w:r w:rsidRPr="00DC2D0A">
        <w:rPr>
          <w:lang w:val="fr-FR"/>
        </w:rPr>
        <w:t>ATP</w:t>
      </w:r>
    </w:p>
    <w:p w14:paraId="0B2BC6DD" w14:textId="77777777" w:rsidR="00DE5C33" w:rsidRPr="00DC2D0A" w:rsidRDefault="00DE5C33" w:rsidP="00CC512D">
      <w:pPr>
        <w:pStyle w:val="SingleTxtG"/>
        <w:ind w:firstLine="567"/>
        <w:rPr>
          <w:lang w:val="fr-FR"/>
        </w:rPr>
      </w:pPr>
      <w:r w:rsidRPr="00DC2D0A">
        <w:rPr>
          <w:lang w:val="fr-FR"/>
        </w:rPr>
        <w:t>Le Groupe de travail voudra sans doute examiner la proposition des Pays-Bas au nom du groupe de travail informel (ECE/TRANS/WP.11/2020/14).</w:t>
      </w:r>
    </w:p>
    <w:p w14:paraId="2978C5AF" w14:textId="77777777" w:rsidR="00DE5C33" w:rsidRPr="00DC2D0A" w:rsidRDefault="00CC512D" w:rsidP="00CC512D">
      <w:pPr>
        <w:pStyle w:val="H1G"/>
        <w:rPr>
          <w:lang w:val="fr-FR"/>
        </w:rPr>
      </w:pPr>
      <w:r>
        <w:rPr>
          <w:lang w:val="fr-FR"/>
        </w:rPr>
        <w:tab/>
      </w:r>
      <w:r w:rsidR="00DE5C33" w:rsidRPr="00DC2D0A">
        <w:rPr>
          <w:lang w:val="fr-FR"/>
        </w:rPr>
        <w:t>7.</w:t>
      </w:r>
      <w:r w:rsidR="00DE5C33" w:rsidRPr="00DC2D0A">
        <w:rPr>
          <w:lang w:val="fr-FR"/>
        </w:rPr>
        <w:tab/>
        <w:t>Manuel ATP</w:t>
      </w:r>
    </w:p>
    <w:p w14:paraId="1944834C" w14:textId="77777777" w:rsidR="00DE5C33" w:rsidRPr="00DC2D0A" w:rsidRDefault="00DE5C33" w:rsidP="00CC512D">
      <w:pPr>
        <w:pStyle w:val="H23G"/>
        <w:rPr>
          <w:lang w:val="fr-FR"/>
        </w:rPr>
      </w:pPr>
      <w:r w:rsidRPr="00DC2D0A">
        <w:rPr>
          <w:lang w:val="fr-FR"/>
        </w:rPr>
        <w:tab/>
      </w:r>
      <w:r w:rsidRPr="00DC2D0A">
        <w:rPr>
          <w:lang w:val="fr-FR"/>
        </w:rPr>
        <w:tab/>
        <w:t xml:space="preserve">Amendements aux paragraphes 3.2.6 et 4.3.4 ii) de l’appendice 2 de l’annexe 1, </w:t>
      </w:r>
      <w:r w:rsidR="00CC512D">
        <w:rPr>
          <w:lang w:val="fr-FR"/>
        </w:rPr>
        <w:br/>
      </w:r>
      <w:r w:rsidRPr="00DC2D0A">
        <w:rPr>
          <w:lang w:val="fr-FR"/>
        </w:rPr>
        <w:t>à l’appendice 3 de l’annexe 1 et au Manuel ATP</w:t>
      </w:r>
    </w:p>
    <w:p w14:paraId="746DC157" w14:textId="77777777" w:rsidR="00DE5C33" w:rsidRPr="00DC2D0A" w:rsidRDefault="00DE5C33" w:rsidP="00CC512D">
      <w:pPr>
        <w:pStyle w:val="SingleTxtG"/>
        <w:ind w:firstLine="567"/>
        <w:rPr>
          <w:lang w:val="fr-FR"/>
        </w:rPr>
      </w:pPr>
      <w:r w:rsidRPr="00DC2D0A">
        <w:rPr>
          <w:lang w:val="fr-FR"/>
        </w:rPr>
        <w:t>Le Groupe de travail voudra sans doute examiner la proposition du Royaume-Uni (ECE/TRANS/WP.11/2020/5/Rev.1).</w:t>
      </w:r>
    </w:p>
    <w:p w14:paraId="319F126E" w14:textId="77777777" w:rsidR="00DE5C33" w:rsidRPr="00DC2D0A" w:rsidRDefault="00DE5C33" w:rsidP="00DE5C33">
      <w:pPr>
        <w:pStyle w:val="SingleTxtG"/>
        <w:ind w:firstLine="567"/>
        <w:rPr>
          <w:lang w:val="fr-FR"/>
        </w:rPr>
      </w:pPr>
      <w:r w:rsidRPr="00DC2D0A">
        <w:rPr>
          <w:lang w:val="fr-FR"/>
        </w:rPr>
        <w:t>La dernière version du Manuel ATP peut être consultée en anglais, en français et en</w:t>
      </w:r>
      <w:r w:rsidR="00E47732">
        <w:rPr>
          <w:lang w:val="fr-FR"/>
        </w:rPr>
        <w:t> </w:t>
      </w:r>
      <w:r w:rsidRPr="00DC2D0A">
        <w:rPr>
          <w:lang w:val="fr-FR"/>
        </w:rPr>
        <w:t xml:space="preserve">russe sur le site Web de la Division des transports, à l’adresse </w:t>
      </w:r>
      <w:hyperlink r:id="rId17" w:history="1">
        <w:r w:rsidR="00CC512D" w:rsidRPr="00CC512D">
          <w:rPr>
            <w:rStyle w:val="Hyperlink"/>
            <w:color w:val="auto"/>
            <w:lang w:val="fr-FR"/>
          </w:rPr>
          <w:t>http://www.unece.org/trans/main/wp11/atp_handbook.html</w:t>
        </w:r>
      </w:hyperlink>
      <w:r w:rsidRPr="00DC2D0A">
        <w:rPr>
          <w:lang w:val="fr-FR"/>
        </w:rPr>
        <w:t>.</w:t>
      </w:r>
    </w:p>
    <w:p w14:paraId="3E92C81F" w14:textId="77777777" w:rsidR="00DE5C33" w:rsidRPr="00DC2D0A" w:rsidRDefault="00E47732" w:rsidP="00E47732">
      <w:pPr>
        <w:pStyle w:val="H1G"/>
        <w:rPr>
          <w:lang w:val="fr-FR"/>
        </w:rPr>
      </w:pPr>
      <w:r>
        <w:rPr>
          <w:lang w:val="fr-FR"/>
        </w:rPr>
        <w:tab/>
      </w:r>
      <w:r w:rsidR="00DE5C33" w:rsidRPr="00DC2D0A">
        <w:rPr>
          <w:lang w:val="fr-FR"/>
        </w:rPr>
        <w:t>8.</w:t>
      </w:r>
      <w:r w:rsidR="00DE5C33" w:rsidRPr="00DC2D0A">
        <w:rPr>
          <w:lang w:val="fr-FR"/>
        </w:rPr>
        <w:tab/>
        <w:t>Rapports des groupes de travail informels.</w:t>
      </w:r>
    </w:p>
    <w:p w14:paraId="20143604" w14:textId="77777777" w:rsidR="00DE5C33" w:rsidRPr="00DC2D0A" w:rsidRDefault="00DE5C33" w:rsidP="00DE5C33">
      <w:pPr>
        <w:pStyle w:val="SingleTxtG"/>
        <w:ind w:firstLine="567"/>
        <w:rPr>
          <w:lang w:val="fr-FR"/>
        </w:rPr>
      </w:pPr>
      <w:r w:rsidRPr="00DC2D0A">
        <w:rPr>
          <w:lang w:val="fr-FR"/>
        </w:rPr>
        <w:t>Les rapports des groupes de travail informels qui seront reçus après la publication du présent ordre du jour annoté feront l’objet de documents informels.</w:t>
      </w:r>
    </w:p>
    <w:p w14:paraId="4268E862" w14:textId="77777777" w:rsidR="00DE5C33" w:rsidRPr="00DC2D0A" w:rsidRDefault="00E47732" w:rsidP="00E47732">
      <w:pPr>
        <w:pStyle w:val="H1G"/>
        <w:rPr>
          <w:lang w:val="fr-FR"/>
        </w:rPr>
      </w:pPr>
      <w:r>
        <w:rPr>
          <w:lang w:val="fr-FR"/>
        </w:rPr>
        <w:tab/>
      </w:r>
      <w:r w:rsidR="00DE5C33" w:rsidRPr="00DC2D0A">
        <w:rPr>
          <w:lang w:val="fr-FR"/>
        </w:rPr>
        <w:t>9.</w:t>
      </w:r>
      <w:r w:rsidR="00DE5C33" w:rsidRPr="00DC2D0A">
        <w:rPr>
          <w:lang w:val="fr-FR"/>
        </w:rPr>
        <w:tab/>
        <w:t>Portée de l’ATP</w:t>
      </w:r>
    </w:p>
    <w:p w14:paraId="4DA7C288" w14:textId="77777777" w:rsidR="00DE5C33" w:rsidRPr="00DC2D0A" w:rsidRDefault="00DE5C33" w:rsidP="00DE5C33">
      <w:pPr>
        <w:pStyle w:val="SingleTxtG"/>
        <w:ind w:firstLine="567"/>
        <w:rPr>
          <w:lang w:val="fr-FR"/>
        </w:rPr>
      </w:pPr>
      <w:r w:rsidRPr="00DC2D0A">
        <w:rPr>
          <w:lang w:val="fr-FR"/>
        </w:rPr>
        <w:t>Le Groupe de travail voudra sans doute examiner tout fait nouveau relatif à la portée de l’ATP ayant une incidence sur ses travaux.</w:t>
      </w:r>
    </w:p>
    <w:p w14:paraId="37DEA776" w14:textId="77777777" w:rsidR="00DE5C33" w:rsidRPr="00DC2D0A" w:rsidRDefault="00DE5C33" w:rsidP="00E47732">
      <w:pPr>
        <w:pStyle w:val="H23G"/>
        <w:rPr>
          <w:lang w:val="fr-FR"/>
        </w:rPr>
      </w:pPr>
      <w:r w:rsidRPr="00DC2D0A">
        <w:rPr>
          <w:lang w:val="fr-FR"/>
        </w:rPr>
        <w:tab/>
      </w:r>
      <w:r w:rsidRPr="00DC2D0A">
        <w:rPr>
          <w:lang w:val="fr-FR"/>
        </w:rPr>
        <w:tab/>
        <w:t xml:space="preserve">L’avenir de l’ATP </w:t>
      </w:r>
    </w:p>
    <w:p w14:paraId="73CB1B5A" w14:textId="77777777" w:rsidR="00DE5C33" w:rsidRPr="00DC2D0A" w:rsidRDefault="00DE5C33" w:rsidP="00DE5C33">
      <w:pPr>
        <w:pStyle w:val="SingleTxtG"/>
        <w:ind w:firstLine="567"/>
        <w:rPr>
          <w:lang w:val="fr-FR"/>
        </w:rPr>
      </w:pPr>
      <w:r w:rsidRPr="00DC2D0A">
        <w:rPr>
          <w:lang w:val="fr-FR"/>
        </w:rPr>
        <w:t>Le Groupe de travail voudra sans doute examiner les thèmes présentés par le Vice</w:t>
      </w:r>
      <w:r w:rsidR="00E47732">
        <w:rPr>
          <w:lang w:val="fr-FR"/>
        </w:rPr>
        <w:noBreakHyphen/>
      </w:r>
      <w:r w:rsidRPr="00DC2D0A">
        <w:rPr>
          <w:lang w:val="fr-FR"/>
        </w:rPr>
        <w:t>Président du WP.11 (ECE/TRANS/WP.11/2020/8).</w:t>
      </w:r>
    </w:p>
    <w:p w14:paraId="51E54275" w14:textId="77777777" w:rsidR="00DE5C33" w:rsidRPr="00E47732" w:rsidRDefault="00DE5C33" w:rsidP="00DE5C33">
      <w:pPr>
        <w:pStyle w:val="SingleTxtG"/>
        <w:ind w:firstLine="567"/>
        <w:rPr>
          <w:spacing w:val="-2"/>
          <w:lang w:val="fr-FR"/>
        </w:rPr>
      </w:pPr>
      <w:r w:rsidRPr="00E47732">
        <w:rPr>
          <w:spacing w:val="-2"/>
          <w:lang w:val="fr-FR"/>
        </w:rPr>
        <w:t xml:space="preserve">Le plan par étapes concernant l’adhésion à l’ATP et l’application de celui-ci tel qu’établi par le projet </w:t>
      </w:r>
      <w:proofErr w:type="spellStart"/>
      <w:r w:rsidRPr="00E47732">
        <w:rPr>
          <w:spacing w:val="-2"/>
          <w:lang w:val="fr-FR"/>
        </w:rPr>
        <w:t>Euro</w:t>
      </w:r>
      <w:r w:rsidR="00E47732" w:rsidRPr="00E47732">
        <w:rPr>
          <w:spacing w:val="-2"/>
          <w:lang w:val="fr-FR"/>
        </w:rPr>
        <w:t>M</w:t>
      </w:r>
      <w:r w:rsidRPr="00E47732">
        <w:rPr>
          <w:spacing w:val="-2"/>
          <w:lang w:val="fr-FR"/>
        </w:rPr>
        <w:t>ed</w:t>
      </w:r>
      <w:proofErr w:type="spellEnd"/>
      <w:r w:rsidRPr="00E47732">
        <w:rPr>
          <w:spacing w:val="-2"/>
          <w:lang w:val="fr-FR"/>
        </w:rPr>
        <w:t xml:space="preserve"> de transports urbains, ferroviaires et routiers avec des contributions du secrétariat et des présidents du Groupe de travail a été publié et peut être consulté sur le site Web de la CEE à l’adresse </w:t>
      </w:r>
      <w:hyperlink r:id="rId18" w:history="1">
        <w:r w:rsidR="00E47732" w:rsidRPr="00E47732">
          <w:rPr>
            <w:rStyle w:val="Hyperlink"/>
            <w:color w:val="auto"/>
            <w:spacing w:val="-2"/>
            <w:lang w:val="fr-FR"/>
          </w:rPr>
          <w:t>www.unece.org/trans/areas-of-work/transport-of-perishable-foodstuffs/road-map-for-accession-and-implementation-of-atp.html</w:t>
        </w:r>
      </w:hyperlink>
      <w:r w:rsidRPr="00E47732">
        <w:rPr>
          <w:spacing w:val="-2"/>
          <w:lang w:val="fr-FR"/>
        </w:rPr>
        <w:t>.</w:t>
      </w:r>
    </w:p>
    <w:p w14:paraId="63335898" w14:textId="77777777" w:rsidR="00DE5C33" w:rsidRPr="00DC2D0A" w:rsidRDefault="00E47732" w:rsidP="00E47732">
      <w:pPr>
        <w:pStyle w:val="H1G"/>
        <w:rPr>
          <w:lang w:val="fr-FR"/>
        </w:rPr>
      </w:pPr>
      <w:r>
        <w:rPr>
          <w:lang w:val="fr-FR"/>
        </w:rPr>
        <w:lastRenderedPageBreak/>
        <w:tab/>
      </w:r>
      <w:r w:rsidR="00DE5C33" w:rsidRPr="00DC2D0A">
        <w:rPr>
          <w:lang w:val="fr-FR"/>
        </w:rPr>
        <w:t>10.</w:t>
      </w:r>
      <w:r w:rsidR="00DE5C33" w:rsidRPr="00DC2D0A">
        <w:rPr>
          <w:lang w:val="fr-FR"/>
        </w:rPr>
        <w:tab/>
        <w:t>Étiquetage énergétique, fluides frigorigènes et agents d’expansion</w:t>
      </w:r>
    </w:p>
    <w:p w14:paraId="43DAB41B" w14:textId="77777777" w:rsidR="00DE5C33" w:rsidRPr="00DC2D0A" w:rsidRDefault="00DE5C33" w:rsidP="00DE5C33">
      <w:pPr>
        <w:pStyle w:val="SingleTxtG"/>
        <w:ind w:firstLine="567"/>
        <w:rPr>
          <w:lang w:val="fr-FR"/>
        </w:rPr>
      </w:pPr>
      <w:r w:rsidRPr="00DC2D0A">
        <w:rPr>
          <w:lang w:val="fr-FR"/>
        </w:rPr>
        <w:t xml:space="preserve">Le Groupe de travail voudra sans doute examiner tout fait nouveau dans le domaine de l’étiquetage énergétique, des fluides frigorigènes et des agents d’expansion ayant une incidence sur ses travaux. </w:t>
      </w:r>
    </w:p>
    <w:p w14:paraId="383C576F" w14:textId="77777777" w:rsidR="00DE5C33" w:rsidRPr="00DC2D0A" w:rsidRDefault="00E47732" w:rsidP="00E47732">
      <w:pPr>
        <w:pStyle w:val="H1G"/>
        <w:rPr>
          <w:lang w:val="fr-FR"/>
        </w:rPr>
      </w:pPr>
      <w:r>
        <w:rPr>
          <w:lang w:val="fr-FR"/>
        </w:rPr>
        <w:tab/>
      </w:r>
      <w:r w:rsidR="00DE5C33" w:rsidRPr="00DC2D0A">
        <w:rPr>
          <w:lang w:val="fr-FR"/>
        </w:rPr>
        <w:t>11.</w:t>
      </w:r>
      <w:r w:rsidR="00DE5C33" w:rsidRPr="00DC2D0A">
        <w:rPr>
          <w:lang w:val="fr-FR"/>
        </w:rPr>
        <w:tab/>
        <w:t xml:space="preserve">Programme de travail </w:t>
      </w:r>
    </w:p>
    <w:p w14:paraId="7DF31F2D" w14:textId="77777777" w:rsidR="00DE5C33" w:rsidRPr="00DC2D0A" w:rsidRDefault="00DE5C33" w:rsidP="00FE7664">
      <w:pPr>
        <w:pStyle w:val="H23G"/>
        <w:rPr>
          <w:lang w:val="fr-FR"/>
        </w:rPr>
      </w:pPr>
      <w:r w:rsidRPr="00DC2D0A">
        <w:rPr>
          <w:lang w:val="fr-FR"/>
        </w:rPr>
        <w:tab/>
      </w:r>
      <w:r w:rsidRPr="00DC2D0A">
        <w:rPr>
          <w:lang w:val="fr-FR"/>
        </w:rPr>
        <w:tab/>
        <w:t>Dates de la soixante-dix-septième session</w:t>
      </w:r>
    </w:p>
    <w:p w14:paraId="73000A17" w14:textId="77777777" w:rsidR="00DE5C33" w:rsidRPr="00DC2D0A" w:rsidRDefault="00DE5C33" w:rsidP="00DE5C33">
      <w:pPr>
        <w:pStyle w:val="SingleTxtG"/>
        <w:ind w:firstLine="567"/>
        <w:rPr>
          <w:lang w:val="fr-FR"/>
        </w:rPr>
      </w:pPr>
      <w:r w:rsidRPr="00DC2D0A">
        <w:rPr>
          <w:lang w:val="fr-FR"/>
        </w:rPr>
        <w:t>Les dates du 26 au 29</w:t>
      </w:r>
      <w:r w:rsidR="00FE7664">
        <w:rPr>
          <w:lang w:val="fr-FR"/>
        </w:rPr>
        <w:t> </w:t>
      </w:r>
      <w:r w:rsidRPr="00DC2D0A">
        <w:rPr>
          <w:lang w:val="fr-FR"/>
        </w:rPr>
        <w:t>octobre 2021 (mardi à vendredi) ont été retenues pour la soixante</w:t>
      </w:r>
      <w:r w:rsidR="00FE7664">
        <w:rPr>
          <w:lang w:val="fr-FR"/>
        </w:rPr>
        <w:noBreakHyphen/>
      </w:r>
      <w:r w:rsidRPr="00DC2D0A">
        <w:rPr>
          <w:lang w:val="fr-FR"/>
        </w:rPr>
        <w:t>dix</w:t>
      </w:r>
      <w:r w:rsidR="00FE7664">
        <w:rPr>
          <w:lang w:val="fr-FR"/>
        </w:rPr>
        <w:noBreakHyphen/>
      </w:r>
      <w:r w:rsidRPr="00DC2D0A">
        <w:rPr>
          <w:lang w:val="fr-FR"/>
        </w:rPr>
        <w:t>septième session du WP.11.</w:t>
      </w:r>
    </w:p>
    <w:p w14:paraId="63900139" w14:textId="77777777" w:rsidR="00DE5C33" w:rsidRPr="00DC2D0A" w:rsidRDefault="00FE7664" w:rsidP="00FE7664">
      <w:pPr>
        <w:pStyle w:val="H1G"/>
        <w:rPr>
          <w:lang w:val="fr-FR"/>
        </w:rPr>
      </w:pPr>
      <w:r>
        <w:rPr>
          <w:lang w:val="fr-FR"/>
        </w:rPr>
        <w:tab/>
      </w:r>
      <w:r w:rsidR="00DE5C33" w:rsidRPr="00DC2D0A">
        <w:rPr>
          <w:lang w:val="fr-FR"/>
        </w:rPr>
        <w:t>12.</w:t>
      </w:r>
      <w:r w:rsidR="00DE5C33" w:rsidRPr="00DC2D0A">
        <w:rPr>
          <w:lang w:val="fr-FR"/>
        </w:rPr>
        <w:tab/>
        <w:t>Questions diverses</w:t>
      </w:r>
    </w:p>
    <w:p w14:paraId="268BE510" w14:textId="77777777" w:rsidR="00DE5C33" w:rsidRPr="00DC2D0A" w:rsidRDefault="00DE5C33" w:rsidP="00FE7664">
      <w:pPr>
        <w:pStyle w:val="H23G"/>
        <w:rPr>
          <w:lang w:val="fr-FR"/>
        </w:rPr>
      </w:pPr>
      <w:r w:rsidRPr="00DC2D0A">
        <w:rPr>
          <w:lang w:val="fr-FR"/>
        </w:rPr>
        <w:tab/>
      </w:r>
      <w:r w:rsidRPr="00DC2D0A">
        <w:rPr>
          <w:lang w:val="fr-FR"/>
        </w:rPr>
        <w:tab/>
        <w:t xml:space="preserve">Examen des informations à communiquer au sujet de la table ronde </w:t>
      </w:r>
      <w:r w:rsidR="00FE7664">
        <w:rPr>
          <w:lang w:val="fr-FR"/>
        </w:rPr>
        <w:br/>
      </w:r>
      <w:r w:rsidRPr="00DC2D0A">
        <w:rPr>
          <w:lang w:val="fr-FR"/>
        </w:rPr>
        <w:t>tenue en octobre 2018</w:t>
      </w:r>
    </w:p>
    <w:p w14:paraId="5FDF6C3B" w14:textId="77777777" w:rsidR="00DE5C33" w:rsidRPr="00DC2D0A" w:rsidRDefault="00DE5C33" w:rsidP="00DE5C33">
      <w:pPr>
        <w:pStyle w:val="SingleTxtG"/>
        <w:ind w:firstLine="567"/>
        <w:rPr>
          <w:lang w:val="fr-FR"/>
        </w:rPr>
      </w:pPr>
      <w:r w:rsidRPr="00DC2D0A">
        <w:rPr>
          <w:lang w:val="fr-FR"/>
        </w:rPr>
        <w:t>Le Groupe de travail voudra sans doute examiner les thèmes et les propositions présentés par le Vice-Président du WP.11 (ECE/TRANS/WP.11/2020/15).</w:t>
      </w:r>
    </w:p>
    <w:p w14:paraId="1947EFF9" w14:textId="77777777" w:rsidR="00DE5C33" w:rsidRPr="00DC2D0A" w:rsidRDefault="00FE7664" w:rsidP="00FE7664">
      <w:pPr>
        <w:pStyle w:val="H1G"/>
        <w:rPr>
          <w:lang w:val="fr-FR"/>
        </w:rPr>
      </w:pPr>
      <w:r>
        <w:rPr>
          <w:lang w:val="fr-FR"/>
        </w:rPr>
        <w:tab/>
      </w:r>
      <w:r w:rsidR="00DE5C33" w:rsidRPr="00DC2D0A">
        <w:rPr>
          <w:lang w:val="fr-FR"/>
        </w:rPr>
        <w:t>13.</w:t>
      </w:r>
      <w:r w:rsidR="00DE5C33" w:rsidRPr="00DC2D0A">
        <w:rPr>
          <w:lang w:val="fr-FR"/>
        </w:rPr>
        <w:tab/>
        <w:t xml:space="preserve">Adoption </w:t>
      </w:r>
      <w:r w:rsidR="00DE5C33" w:rsidRPr="00FE7664">
        <w:rPr>
          <w:lang w:val="fr-FR"/>
        </w:rPr>
        <w:t>du rapport</w:t>
      </w:r>
    </w:p>
    <w:p w14:paraId="77CDE371" w14:textId="77777777" w:rsidR="00DE5C33" w:rsidRDefault="00DE5C33" w:rsidP="00CC512D">
      <w:pPr>
        <w:pStyle w:val="SingleTxtG"/>
        <w:ind w:firstLine="567"/>
        <w:rPr>
          <w:lang w:val="fr-FR"/>
        </w:rPr>
      </w:pPr>
      <w:r w:rsidRPr="00DC2D0A">
        <w:rPr>
          <w:lang w:val="fr-FR"/>
        </w:rPr>
        <w:t>Le Groupe de travail devrait adopter le rapport sur sa soixante-seizième session sur la base d’un projet établi par le secrétariat.</w:t>
      </w:r>
    </w:p>
    <w:p w14:paraId="309B6AE6" w14:textId="77777777" w:rsidR="00F9573C" w:rsidRPr="00CC512D" w:rsidRDefault="00CC512D" w:rsidP="00CC512D">
      <w:pPr>
        <w:pStyle w:val="SingleTxtG"/>
        <w:spacing w:before="240" w:after="0"/>
        <w:jc w:val="center"/>
        <w:rPr>
          <w:u w:val="single"/>
        </w:rPr>
      </w:pPr>
      <w:r>
        <w:rPr>
          <w:u w:val="single"/>
        </w:rPr>
        <w:tab/>
      </w:r>
      <w:r>
        <w:rPr>
          <w:u w:val="single"/>
        </w:rPr>
        <w:tab/>
      </w:r>
      <w:r>
        <w:rPr>
          <w:u w:val="single"/>
        </w:rPr>
        <w:tab/>
      </w:r>
    </w:p>
    <w:sectPr w:rsidR="00F9573C" w:rsidRPr="00CC512D" w:rsidSect="00DE5C33">
      <w:headerReference w:type="even" r:id="rId19"/>
      <w:headerReference w:type="default" r:id="rId20"/>
      <w:footerReference w:type="even" r:id="rId21"/>
      <w:footerReference w:type="default" r:id="rId22"/>
      <w:footerReference w:type="first" r:id="rId2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F5408" w14:textId="77777777" w:rsidR="00851FAB" w:rsidRDefault="00851FAB" w:rsidP="00F95C08">
      <w:pPr>
        <w:spacing w:line="240" w:lineRule="auto"/>
      </w:pPr>
    </w:p>
  </w:endnote>
  <w:endnote w:type="continuationSeparator" w:id="0">
    <w:p w14:paraId="52FB0557" w14:textId="77777777" w:rsidR="00851FAB" w:rsidRPr="00AC3823" w:rsidRDefault="00851FAB" w:rsidP="00AC3823">
      <w:pPr>
        <w:pStyle w:val="Footer"/>
      </w:pPr>
    </w:p>
  </w:endnote>
  <w:endnote w:type="continuationNotice" w:id="1">
    <w:p w14:paraId="040FDC46" w14:textId="77777777" w:rsidR="00851FAB" w:rsidRDefault="00851F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7D62B" w14:textId="77777777" w:rsidR="00DE5C33" w:rsidRPr="00DE5C33" w:rsidRDefault="00DE5C33" w:rsidP="00DE5C33">
    <w:pPr>
      <w:pStyle w:val="Footer"/>
      <w:tabs>
        <w:tab w:val="right" w:pos="9638"/>
      </w:tabs>
    </w:pPr>
    <w:r w:rsidRPr="00DE5C33">
      <w:rPr>
        <w:b/>
        <w:sz w:val="18"/>
      </w:rPr>
      <w:fldChar w:fldCharType="begin"/>
    </w:r>
    <w:r w:rsidRPr="00DE5C33">
      <w:rPr>
        <w:b/>
        <w:sz w:val="18"/>
      </w:rPr>
      <w:instrText xml:space="preserve"> PAGE  \* MERGEFORMAT </w:instrText>
    </w:r>
    <w:r w:rsidRPr="00DE5C33">
      <w:rPr>
        <w:b/>
        <w:sz w:val="18"/>
      </w:rPr>
      <w:fldChar w:fldCharType="separate"/>
    </w:r>
    <w:r w:rsidRPr="00DE5C33">
      <w:rPr>
        <w:b/>
        <w:noProof/>
        <w:sz w:val="18"/>
      </w:rPr>
      <w:t>2</w:t>
    </w:r>
    <w:r w:rsidRPr="00DE5C33">
      <w:rPr>
        <w:b/>
        <w:sz w:val="18"/>
      </w:rPr>
      <w:fldChar w:fldCharType="end"/>
    </w:r>
    <w:r>
      <w:rPr>
        <w:b/>
        <w:sz w:val="18"/>
      </w:rPr>
      <w:tab/>
    </w:r>
    <w:r>
      <w:t>GE.20-10166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2D4E" w14:textId="77777777" w:rsidR="00DE5C33" w:rsidRPr="00DE5C33" w:rsidRDefault="00DE5C33" w:rsidP="00DE5C33">
    <w:pPr>
      <w:pStyle w:val="Footer"/>
      <w:tabs>
        <w:tab w:val="right" w:pos="9638"/>
      </w:tabs>
      <w:rPr>
        <w:b/>
        <w:sz w:val="18"/>
      </w:rPr>
    </w:pPr>
    <w:r>
      <w:t>GE.20-10166</w:t>
    </w:r>
    <w:r>
      <w:tab/>
    </w:r>
    <w:r w:rsidRPr="00DE5C33">
      <w:rPr>
        <w:b/>
        <w:sz w:val="18"/>
      </w:rPr>
      <w:fldChar w:fldCharType="begin"/>
    </w:r>
    <w:r w:rsidRPr="00DE5C33">
      <w:rPr>
        <w:b/>
        <w:sz w:val="18"/>
      </w:rPr>
      <w:instrText xml:space="preserve"> PAGE  \* MERGEFORMAT </w:instrText>
    </w:r>
    <w:r w:rsidRPr="00DE5C33">
      <w:rPr>
        <w:b/>
        <w:sz w:val="18"/>
      </w:rPr>
      <w:fldChar w:fldCharType="separate"/>
    </w:r>
    <w:r w:rsidRPr="00DE5C33">
      <w:rPr>
        <w:b/>
        <w:noProof/>
        <w:sz w:val="18"/>
      </w:rPr>
      <w:t>3</w:t>
    </w:r>
    <w:r w:rsidRPr="00DE5C3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EAEA" w14:textId="77777777" w:rsidR="007F20FA" w:rsidRPr="00DE5C33" w:rsidRDefault="00DE5C33" w:rsidP="00DE5C33">
    <w:pPr>
      <w:pStyle w:val="Footer"/>
      <w:spacing w:before="120"/>
      <w:rPr>
        <w:sz w:val="20"/>
      </w:rPr>
    </w:pPr>
    <w:r>
      <w:rPr>
        <w:sz w:val="20"/>
      </w:rPr>
      <w:t>GE.</w:t>
    </w:r>
    <w:r w:rsidR="007F20FA">
      <w:rPr>
        <w:noProof/>
        <w:lang w:eastAsia="fr-CH"/>
      </w:rPr>
      <w:drawing>
        <wp:anchor distT="0" distB="0" distL="114300" distR="114300" simplePos="0" relativeHeight="251660288" behindDoc="0" locked="0" layoutInCell="1" allowOverlap="0" wp14:anchorId="5C8DE2DC" wp14:editId="4A44E7A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w:t>
    </w:r>
    <w:proofErr w:type="gramStart"/>
    <w:r>
      <w:rPr>
        <w:sz w:val="20"/>
      </w:rPr>
      <w:t>10166  (</w:t>
    </w:r>
    <w:proofErr w:type="gramEnd"/>
    <w:r>
      <w:rPr>
        <w:sz w:val="20"/>
      </w:rPr>
      <w:t>F)    270820    270820</w:t>
    </w:r>
    <w:r>
      <w:rPr>
        <w:sz w:val="20"/>
      </w:rPr>
      <w:br/>
    </w:r>
    <w:r w:rsidRPr="00DE5C33">
      <w:rPr>
        <w:rFonts w:ascii="C39T30Lfz" w:hAnsi="C39T30Lfz"/>
        <w:sz w:val="56"/>
      </w:rPr>
      <w:t></w:t>
    </w:r>
    <w:r w:rsidRPr="00DE5C33">
      <w:rPr>
        <w:rFonts w:ascii="C39T30Lfz" w:hAnsi="C39T30Lfz"/>
        <w:sz w:val="56"/>
      </w:rPr>
      <w:t></w:t>
    </w:r>
    <w:r w:rsidRPr="00DE5C33">
      <w:rPr>
        <w:rFonts w:ascii="C39T30Lfz" w:hAnsi="C39T30Lfz"/>
        <w:sz w:val="56"/>
      </w:rPr>
      <w:t></w:t>
    </w:r>
    <w:r w:rsidRPr="00DE5C33">
      <w:rPr>
        <w:rFonts w:ascii="C39T30Lfz" w:hAnsi="C39T30Lfz"/>
        <w:sz w:val="56"/>
      </w:rPr>
      <w:t></w:t>
    </w:r>
    <w:r w:rsidRPr="00DE5C33">
      <w:rPr>
        <w:rFonts w:ascii="C39T30Lfz" w:hAnsi="C39T30Lfz"/>
        <w:sz w:val="56"/>
      </w:rPr>
      <w:t></w:t>
    </w:r>
    <w:r w:rsidRPr="00DE5C33">
      <w:rPr>
        <w:rFonts w:ascii="C39T30Lfz" w:hAnsi="C39T30Lfz"/>
        <w:sz w:val="56"/>
      </w:rPr>
      <w:t></w:t>
    </w:r>
    <w:r w:rsidRPr="00DE5C33">
      <w:rPr>
        <w:rFonts w:ascii="C39T30Lfz" w:hAnsi="C39T30Lfz"/>
        <w:sz w:val="56"/>
      </w:rPr>
      <w:t></w:t>
    </w:r>
    <w:r w:rsidRPr="00DE5C33">
      <w:rPr>
        <w:rFonts w:ascii="C39T30Lfz" w:hAnsi="C39T30Lfz"/>
        <w:sz w:val="56"/>
      </w:rPr>
      <w:t></w:t>
    </w:r>
    <w:r w:rsidRPr="00DE5C33">
      <w:rPr>
        <w:rFonts w:ascii="C39T30Lfz" w:hAnsi="C39T30Lfz"/>
        <w:sz w:val="56"/>
      </w:rPr>
      <w:t></w:t>
    </w:r>
    <w:r>
      <w:rPr>
        <w:noProof/>
        <w:sz w:val="20"/>
      </w:rPr>
      <w:drawing>
        <wp:anchor distT="0" distB="0" distL="114300" distR="114300" simplePos="0" relativeHeight="251658240" behindDoc="0" locked="0" layoutInCell="1" allowOverlap="1" wp14:anchorId="4E6AB68D" wp14:editId="6EEA1277">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96B8A" w14:textId="77777777" w:rsidR="00851FAB" w:rsidRPr="00AC3823" w:rsidRDefault="00851FAB" w:rsidP="00AC3823">
      <w:pPr>
        <w:pStyle w:val="Footer"/>
        <w:tabs>
          <w:tab w:val="right" w:pos="2155"/>
        </w:tabs>
        <w:spacing w:after="80" w:line="240" w:lineRule="atLeast"/>
        <w:ind w:left="680"/>
        <w:rPr>
          <w:u w:val="single"/>
        </w:rPr>
      </w:pPr>
      <w:r>
        <w:rPr>
          <w:u w:val="single"/>
        </w:rPr>
        <w:tab/>
      </w:r>
    </w:p>
  </w:footnote>
  <w:footnote w:type="continuationSeparator" w:id="0">
    <w:p w14:paraId="669C2E0F" w14:textId="77777777" w:rsidR="00851FAB" w:rsidRPr="00AC3823" w:rsidRDefault="00851FAB" w:rsidP="00AC3823">
      <w:pPr>
        <w:pStyle w:val="Footer"/>
        <w:tabs>
          <w:tab w:val="right" w:pos="2155"/>
        </w:tabs>
        <w:spacing w:after="80" w:line="240" w:lineRule="atLeast"/>
        <w:ind w:left="680"/>
        <w:rPr>
          <w:u w:val="single"/>
        </w:rPr>
      </w:pPr>
      <w:r>
        <w:rPr>
          <w:u w:val="single"/>
        </w:rPr>
        <w:tab/>
      </w:r>
    </w:p>
  </w:footnote>
  <w:footnote w:type="continuationNotice" w:id="1">
    <w:p w14:paraId="5F6CC9B5" w14:textId="77777777" w:rsidR="00851FAB" w:rsidRPr="00AC3823" w:rsidRDefault="00851FAB">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5238" w14:textId="6FDF0CAD" w:rsidR="00DE5C33" w:rsidRPr="00DE5C33" w:rsidRDefault="00F0197A">
    <w:pPr>
      <w:pStyle w:val="Header"/>
    </w:pPr>
    <w:r>
      <w:fldChar w:fldCharType="begin"/>
    </w:r>
    <w:r>
      <w:instrText xml:space="preserve"> TITLE  \* MERGEFORMAT </w:instrText>
    </w:r>
    <w:r>
      <w:fldChar w:fldCharType="separate"/>
    </w:r>
    <w:r w:rsidR="005C6209">
      <w:t>ECE/TRANS/WP.11/242/Add.1/Rev.1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51DE" w14:textId="327A8AC8" w:rsidR="00DE5C33" w:rsidRPr="00DE5C33" w:rsidRDefault="00F0197A" w:rsidP="00DE5C33">
    <w:pPr>
      <w:pStyle w:val="Header"/>
      <w:jc w:val="right"/>
    </w:pPr>
    <w:r>
      <w:fldChar w:fldCharType="begin"/>
    </w:r>
    <w:r>
      <w:instrText xml:space="preserve"> TITLE  \* MERGEFORMAT </w:instrText>
    </w:r>
    <w:r>
      <w:fldChar w:fldCharType="separate"/>
    </w:r>
    <w:r w:rsidR="005C6209">
      <w:t>ECE/TRANS/WP.11/242/Add.1/Rev.1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AB"/>
    <w:rsid w:val="00017F94"/>
    <w:rsid w:val="00023842"/>
    <w:rsid w:val="000334F9"/>
    <w:rsid w:val="00045FEB"/>
    <w:rsid w:val="0007796D"/>
    <w:rsid w:val="000B7790"/>
    <w:rsid w:val="00111F2F"/>
    <w:rsid w:val="0014365E"/>
    <w:rsid w:val="00143C66"/>
    <w:rsid w:val="00176178"/>
    <w:rsid w:val="001F525A"/>
    <w:rsid w:val="00223272"/>
    <w:rsid w:val="0024779E"/>
    <w:rsid w:val="00257168"/>
    <w:rsid w:val="002744B8"/>
    <w:rsid w:val="002832AC"/>
    <w:rsid w:val="002D7C93"/>
    <w:rsid w:val="00305801"/>
    <w:rsid w:val="003916DE"/>
    <w:rsid w:val="00421996"/>
    <w:rsid w:val="00441C3B"/>
    <w:rsid w:val="00446FE5"/>
    <w:rsid w:val="00452396"/>
    <w:rsid w:val="004837D8"/>
    <w:rsid w:val="004E2EED"/>
    <w:rsid w:val="004E468C"/>
    <w:rsid w:val="005505B7"/>
    <w:rsid w:val="00573BE5"/>
    <w:rsid w:val="00586ED3"/>
    <w:rsid w:val="00596AA9"/>
    <w:rsid w:val="005C6209"/>
    <w:rsid w:val="0071601D"/>
    <w:rsid w:val="007A62E6"/>
    <w:rsid w:val="007F20FA"/>
    <w:rsid w:val="007F67C1"/>
    <w:rsid w:val="0080684C"/>
    <w:rsid w:val="00851FAB"/>
    <w:rsid w:val="00871C75"/>
    <w:rsid w:val="008776DC"/>
    <w:rsid w:val="009446C0"/>
    <w:rsid w:val="009705C8"/>
    <w:rsid w:val="009C1CF4"/>
    <w:rsid w:val="009F6B74"/>
    <w:rsid w:val="00A3029F"/>
    <w:rsid w:val="00A30353"/>
    <w:rsid w:val="00AC3823"/>
    <w:rsid w:val="00AE323C"/>
    <w:rsid w:val="00AF0CB5"/>
    <w:rsid w:val="00B00181"/>
    <w:rsid w:val="00B00B0D"/>
    <w:rsid w:val="00B45F2E"/>
    <w:rsid w:val="00B765F7"/>
    <w:rsid w:val="00BA0CA9"/>
    <w:rsid w:val="00C02897"/>
    <w:rsid w:val="00C97039"/>
    <w:rsid w:val="00CC512D"/>
    <w:rsid w:val="00D3439C"/>
    <w:rsid w:val="00DB1831"/>
    <w:rsid w:val="00DD3BFD"/>
    <w:rsid w:val="00DE5C33"/>
    <w:rsid w:val="00DF6678"/>
    <w:rsid w:val="00E0299A"/>
    <w:rsid w:val="00E47732"/>
    <w:rsid w:val="00E85C74"/>
    <w:rsid w:val="00EA6547"/>
    <w:rsid w:val="00EF2E22"/>
    <w:rsid w:val="00F0197A"/>
    <w:rsid w:val="00F35BAF"/>
    <w:rsid w:val="00F660DF"/>
    <w:rsid w:val="00F94664"/>
    <w:rsid w:val="00F9573C"/>
    <w:rsid w:val="00F95C08"/>
    <w:rsid w:val="00FE766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750A0"/>
  <w15:docId w15:val="{54EEFF25-B1BA-4682-B202-7967C550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DE5C33"/>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CC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ce.org/trade/wp7/ge6-47th-2020.html" TargetMode="External"/><Relationship Id="rId13" Type="http://schemas.openxmlformats.org/officeDocument/2006/relationships/hyperlink" Target="http://www.unece.org/trade/agr/unece-foodlosschallenge.html" TargetMode="External"/><Relationship Id="rId18" Type="http://schemas.openxmlformats.org/officeDocument/2006/relationships/hyperlink" Target="http://www.unece.org/trans/areas-of-work/transport-of-perishable-foodstuffs/road-map-for-accession-and-implementation-of-atp.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www.unece.org/trade/wp7/wp7-76th-2020.html" TargetMode="External"/><Relationship Id="rId17" Type="http://schemas.openxmlformats.org/officeDocument/2006/relationships/hyperlink" Target="http://www.unece.org/trans/main/wp11/atp_handbook.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ece.org/trans/main/wp11/teststationsnew.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ce.org/trade/wp7/meat-28th-2020.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ece.org/trans/main/wp11/teststationsnew.html" TargetMode="External"/><Relationship Id="rId23" Type="http://schemas.openxmlformats.org/officeDocument/2006/relationships/footer" Target="footer3.xml"/><Relationship Id="rId10" Type="http://schemas.openxmlformats.org/officeDocument/2006/relationships/hyperlink" Target="http://www.unece.org/trade/wp7/ddp-67th-2020.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ece.org/trade/wp7/ffv-68th-2020.html" TargetMode="External"/><Relationship Id="rId14" Type="http://schemas.openxmlformats.org/officeDocument/2006/relationships/hyperlink" Target="http://www.unece.org/trade/agr/welcome.html"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2107</Words>
  <Characters>12015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ECE/TRANS/WP.11/242/Add.1/Rev.1</vt:lpstr>
    </vt:vector>
  </TitlesOfParts>
  <Company>DCM</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ECE/TRANS/WP.11/242/Add.1/Rev.1</dc:title>
  <dc:subject/>
  <dc:creator>Nathalie VITTOZ</dc:creator>
  <cp:keywords/>
  <cp:lastModifiedBy>Secretariat</cp:lastModifiedBy>
  <cp:revision>2</cp:revision>
  <cp:lastPrinted>2020-08-27T08:21:00Z</cp:lastPrinted>
  <dcterms:created xsi:type="dcterms:W3CDTF">2020-09-23T07:26:00Z</dcterms:created>
  <dcterms:modified xsi:type="dcterms:W3CDTF">2020-09-23T07:26:00Z</dcterms:modified>
</cp:coreProperties>
</file>