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C6389EA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629C63C" w14:textId="77777777" w:rsidR="002D5AAC" w:rsidRDefault="002D5AAC" w:rsidP="00EC7BE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BA6B9F3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6386410" w14:textId="77777777" w:rsidR="002D5AAC" w:rsidRDefault="00EC7BEF" w:rsidP="00EC7BEF">
            <w:pPr>
              <w:jc w:val="right"/>
            </w:pPr>
            <w:r w:rsidRPr="00EC7BEF">
              <w:rPr>
                <w:sz w:val="40"/>
              </w:rPr>
              <w:t>ECE</w:t>
            </w:r>
            <w:r>
              <w:t>/TRANS/2020/16</w:t>
            </w:r>
          </w:p>
        </w:tc>
      </w:tr>
      <w:tr w:rsidR="002D5AAC" w14:paraId="21BA3CDB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1AE9028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F06CD1E" wp14:editId="02F7BC3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0DD003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95DDB81" w14:textId="77777777" w:rsidR="002D5AAC" w:rsidRDefault="00EC7BE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0BAC413" w14:textId="77777777" w:rsidR="00EC7BEF" w:rsidRDefault="00EC7BEF" w:rsidP="00EC7BE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18 December 2019</w:t>
            </w:r>
          </w:p>
          <w:p w14:paraId="1800C913" w14:textId="77777777" w:rsidR="00EC7BEF" w:rsidRDefault="00EC7BEF" w:rsidP="00EC7BE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12E8BE8" w14:textId="77777777" w:rsidR="00EC7BEF" w:rsidRPr="008D53B6" w:rsidRDefault="00EC7BEF" w:rsidP="00EC7BE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0BD5948" w14:textId="77777777" w:rsidR="00EC7BEF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B16C9B6" w14:textId="77777777" w:rsidR="00EC7BEF" w:rsidRPr="00C77F5D" w:rsidRDefault="00EC7BEF" w:rsidP="00EC7BEF">
      <w:pPr>
        <w:spacing w:before="120"/>
        <w:rPr>
          <w:sz w:val="28"/>
          <w:szCs w:val="28"/>
        </w:rPr>
      </w:pPr>
      <w:r w:rsidRPr="00C77F5D">
        <w:rPr>
          <w:sz w:val="28"/>
          <w:szCs w:val="28"/>
        </w:rPr>
        <w:t>Комитет по внутреннему транспорту</w:t>
      </w:r>
    </w:p>
    <w:p w14:paraId="344551EA" w14:textId="77777777" w:rsidR="00EC7BEF" w:rsidRPr="00C96576" w:rsidRDefault="00EC7BEF" w:rsidP="00EC7BEF">
      <w:pPr>
        <w:spacing w:before="120"/>
        <w:rPr>
          <w:b/>
          <w:bCs/>
        </w:rPr>
      </w:pPr>
      <w:r>
        <w:rPr>
          <w:b/>
          <w:bCs/>
        </w:rPr>
        <w:t>Восемьдесят вторая сессия</w:t>
      </w:r>
    </w:p>
    <w:p w14:paraId="62645AB1" w14:textId="77777777" w:rsidR="00EC7BEF" w:rsidRDefault="00EC7BEF" w:rsidP="00EC7BEF">
      <w:r>
        <w:t xml:space="preserve">Женева, 25–28 февраля 2020 года </w:t>
      </w:r>
    </w:p>
    <w:p w14:paraId="3EF82C97" w14:textId="77777777" w:rsidR="00EC7BEF" w:rsidRDefault="00EC7BEF" w:rsidP="00EC7BEF">
      <w:r>
        <w:t xml:space="preserve">Пункт 4 q) предварительной повестки дня </w:t>
      </w:r>
    </w:p>
    <w:p w14:paraId="51D37319" w14:textId="77777777" w:rsidR="00EC7BEF" w:rsidRDefault="00EC7BEF" w:rsidP="00EC7BEF">
      <w:r>
        <w:rPr>
          <w:b/>
          <w:bCs/>
        </w:rPr>
        <w:t xml:space="preserve">Стратегические вопросы горизонтальной политики </w:t>
      </w:r>
      <w:r w:rsidR="00E3248A">
        <w:rPr>
          <w:b/>
          <w:bCs/>
        </w:rPr>
        <w:br/>
      </w:r>
      <w:r>
        <w:rPr>
          <w:b/>
          <w:bCs/>
        </w:rPr>
        <w:t>или нормативного характера:</w:t>
      </w:r>
      <w:r>
        <w:t xml:space="preserve"> </w:t>
      </w:r>
    </w:p>
    <w:p w14:paraId="37F3628B" w14:textId="77777777" w:rsidR="00EC7BEF" w:rsidRPr="00E3248A" w:rsidRDefault="00EC7BEF" w:rsidP="00EC7BEF">
      <w:pPr>
        <w:rPr>
          <w:b/>
          <w:bCs/>
        </w:rPr>
      </w:pPr>
      <w:r w:rsidRPr="00E3248A">
        <w:rPr>
          <w:b/>
        </w:rPr>
        <w:t>Внутренний водный транспорт</w:t>
      </w:r>
    </w:p>
    <w:p w14:paraId="0F184DE2" w14:textId="77777777" w:rsidR="00EC7BEF" w:rsidRPr="00EC7BEF" w:rsidRDefault="00EC7BEF" w:rsidP="00EC7BEF">
      <w:pPr>
        <w:pStyle w:val="HChG"/>
      </w:pPr>
      <w:r w:rsidRPr="00EC7BEF">
        <w:tab/>
      </w:r>
      <w:r w:rsidRPr="00EC7BEF">
        <w:tab/>
        <w:t>«Умное» судоходство и автоматизация на внутреннем водном транспорте</w:t>
      </w:r>
    </w:p>
    <w:p w14:paraId="32709358" w14:textId="77777777" w:rsidR="00EC7BEF" w:rsidRPr="00EC7BEF" w:rsidRDefault="00EC7BEF" w:rsidP="00EC7BEF">
      <w:pPr>
        <w:pStyle w:val="H1G"/>
      </w:pPr>
      <w:r w:rsidRPr="00EC7BEF">
        <w:tab/>
      </w:r>
      <w:r w:rsidRPr="00EC7BEF">
        <w:tab/>
        <w:t>Записка секретариата</w:t>
      </w:r>
      <w:r w:rsidRPr="00EC7BEF">
        <w:rPr>
          <w:b w:val="0"/>
          <w:sz w:val="20"/>
        </w:rPr>
        <w:footnoteReference w:customMarkFollows="1" w:id="1"/>
        <w:t>*</w:t>
      </w:r>
    </w:p>
    <w:p w14:paraId="23D1724F" w14:textId="77777777" w:rsidR="00EC7BEF" w:rsidRPr="00EC7BEF" w:rsidRDefault="00EC7BEF" w:rsidP="00EC7BEF">
      <w:pPr>
        <w:pStyle w:val="HChG"/>
      </w:pPr>
      <w:r w:rsidRPr="00EC7BEF">
        <w:tab/>
        <w:t>I.</w:t>
      </w:r>
      <w:r w:rsidRPr="00EC7BEF">
        <w:tab/>
        <w:t>Мандат</w:t>
      </w:r>
    </w:p>
    <w:p w14:paraId="351B0449" w14:textId="77777777" w:rsidR="00EC7BEF" w:rsidRPr="00EC7BEF" w:rsidRDefault="00EC7BEF" w:rsidP="00EC7BEF">
      <w:pPr>
        <w:pStyle w:val="SingleTxtG"/>
      </w:pPr>
      <w:r w:rsidRPr="00EC7BEF">
        <w:t>1.</w:t>
      </w:r>
      <w:r w:rsidRPr="00EC7BEF">
        <w:tab/>
        <w:t xml:space="preserve">Комитет по внутреннему транспорту (КВТ) на своей восемьдесят первой сессии приветствовал действия Рабочей группы по внутреннему водному транспорту (SC.3) и ее вспомогательного органа </w:t>
      </w:r>
      <w:r>
        <w:t>–</w:t>
      </w:r>
      <w:r w:rsidRPr="00EC7BEF">
        <w:t xml:space="preserve"> Рабочей группы по унификации технических предписаний и правил безопасности на внутренних водных путях – в области автоматизации, </w:t>
      </w:r>
      <w:r>
        <w:t>«</w:t>
      </w:r>
      <w:r w:rsidRPr="00EC7BEF">
        <w:t>умного судоходства</w:t>
      </w:r>
      <w:r>
        <w:t>»</w:t>
      </w:r>
      <w:r w:rsidRPr="00EC7BEF">
        <w:t xml:space="preserve"> и цифровизации (SC.3/WP.3) (ECE/TRANS/288, пункты 82 и 83).</w:t>
      </w:r>
    </w:p>
    <w:p w14:paraId="68803836" w14:textId="77777777" w:rsidR="00EC7BEF" w:rsidRPr="00EC7BEF" w:rsidRDefault="00EC7BEF" w:rsidP="00EC7BEF">
      <w:pPr>
        <w:pStyle w:val="SingleTxtG"/>
      </w:pPr>
      <w:r w:rsidRPr="00EC7BEF">
        <w:t>2.</w:t>
      </w:r>
      <w:r w:rsidRPr="00EC7BEF">
        <w:tab/>
        <w:t>В соответствии с решениями декларации министров «Судоходство по внутренним водным путям во всемирном контексте», подписанной во Вроцлаве (Польша) 18 апреля 2019 года, резолюции министров «Укрепление сотрудничества, согласования и интеграции в эпоху цифровизации и автоматизации на транспорте»,</w:t>
      </w:r>
      <w:r>
        <w:t> </w:t>
      </w:r>
      <w:r w:rsidRPr="00EC7BEF">
        <w:t>которая была одобрена КВТ на его восемьдесят первой сессии, и</w:t>
      </w:r>
      <w:r>
        <w:t> </w:t>
      </w:r>
      <w:r w:rsidRPr="00EC7BEF">
        <w:t>резолюции</w:t>
      </w:r>
      <w:r>
        <w:t> </w:t>
      </w:r>
      <w:r w:rsidRPr="00EC7BEF">
        <w:t>КВТ</w:t>
      </w:r>
      <w:r>
        <w:t> </w:t>
      </w:r>
      <w:r w:rsidRPr="00EC7BEF">
        <w:t>№</w:t>
      </w:r>
      <w:r>
        <w:t> </w:t>
      </w:r>
      <w:r w:rsidRPr="00EC7BEF">
        <w:t>265 «Содействие развитию внутреннего водного транспорта», которая была принята 22 февраля 2019 года</w:t>
      </w:r>
      <w:r w:rsidR="00EC6D95" w:rsidRPr="00EC7BEF">
        <w:rPr>
          <w:sz w:val="18"/>
          <w:vertAlign w:val="superscript"/>
        </w:rPr>
        <w:footnoteReference w:id="2"/>
      </w:r>
      <w:r w:rsidRPr="00EC7BEF">
        <w:t>, обе стороны продолжили работу над решением этого вопроса и в 2019 году.</w:t>
      </w:r>
    </w:p>
    <w:p w14:paraId="19F96BB3" w14:textId="77777777" w:rsidR="00EC7BEF" w:rsidRPr="00EC7BEF" w:rsidRDefault="00EC7BEF" w:rsidP="00EC7BEF">
      <w:pPr>
        <w:pStyle w:val="SingleTxtG"/>
      </w:pPr>
      <w:r w:rsidRPr="00EC7BEF">
        <w:t>3.</w:t>
      </w:r>
      <w:r w:rsidRPr="00EC7BEF">
        <w:tab/>
        <w:t>В соответствии с просьбой SC.3, высказанной на ее шестьдесят третьей сессии, секретариат подготовил обзор своей деятельности и прогресса, достигнутого в области автоматизации в 2019 году во внутреннем судоходстве, для его представления на восемьдесят второй сессии КВТ, т.</w:t>
      </w:r>
      <w:r>
        <w:t> </w:t>
      </w:r>
      <w:r w:rsidRPr="00EC7BEF">
        <w:t>е. настоящего документа. КВТ, возможно, пожелает: а) принять к сведению прогресс, достигнутый SC.3</w:t>
      </w:r>
      <w:r w:rsidR="00EC6D95">
        <w:t>;</w:t>
      </w:r>
      <w:r w:rsidRPr="00EC7BEF">
        <w:t xml:space="preserve"> b) включить мероприятия, предусмотренные в дорожной карте на 2020</w:t>
      </w:r>
      <w:r>
        <w:t>–</w:t>
      </w:r>
      <w:r w:rsidRPr="00EC7BEF">
        <w:t xml:space="preserve">2024 годы по укреплению международного сотрудничества в целях создания международных законодательных </w:t>
      </w:r>
      <w:r w:rsidRPr="00EC7BEF">
        <w:lastRenderedPageBreak/>
        <w:t xml:space="preserve">рамок для внедрения </w:t>
      </w:r>
      <w:r>
        <w:t>«</w:t>
      </w:r>
      <w:r w:rsidRPr="00EC7BEF">
        <w:t>умного судоходства</w:t>
      </w:r>
      <w:r>
        <w:t>»</w:t>
      </w:r>
      <w:r w:rsidRPr="00EC7BEF">
        <w:t xml:space="preserve"> в свою дорожную карту по «интеллектуальным» транспортным системам (ИТС)</w:t>
      </w:r>
      <w:r w:rsidR="00EC6D95">
        <w:t>;</w:t>
      </w:r>
      <w:r w:rsidRPr="00EC7BEF">
        <w:t xml:space="preserve"> и с) дать SC.3 дальнейшие руководящие указания.</w:t>
      </w:r>
    </w:p>
    <w:p w14:paraId="10A58414" w14:textId="77777777" w:rsidR="00EC7BEF" w:rsidRPr="00EC7BEF" w:rsidRDefault="00EC7BEF" w:rsidP="00EC7BEF">
      <w:pPr>
        <w:pStyle w:val="HChG"/>
      </w:pPr>
      <w:r w:rsidRPr="00EC7BEF">
        <w:tab/>
        <w:t>II.</w:t>
      </w:r>
      <w:r w:rsidRPr="00EC7BEF">
        <w:tab/>
        <w:t>Последние направления деятельности и проекты:</w:t>
      </w:r>
    </w:p>
    <w:p w14:paraId="38C8A2C5" w14:textId="77777777" w:rsidR="00EC7BEF" w:rsidRPr="00EC7BEF" w:rsidRDefault="00EC7BEF" w:rsidP="00EC7BEF">
      <w:pPr>
        <w:pStyle w:val="SingleTxtG"/>
      </w:pPr>
      <w:bookmarkStart w:id="0" w:name="_Hlk7187209"/>
      <w:r w:rsidRPr="00EC7BEF">
        <w:t>4.</w:t>
      </w:r>
      <w:r w:rsidRPr="00EC7BEF">
        <w:tab/>
        <w:t>Автоматизированное судоходство и «интеллектуальные» перевозки в течение уже нескольких лет являются ключевыми направлениями работы сектора внутреннего водного транспорта. Это направление работы весьма востребовано судоходными компаниями в качестве потенциально выгодного средства обеспечения безопасности и надежности судоходства, а также в качестве одного из вариантов решения проблемы растущей нехватки кадров в этом секторе. Научно-исследовательские и экспериментальные проекты осуществляются по двум направлениям: а) создание «интеллектуальных» и автоматизированных судов различного назначения; и</w:t>
      </w:r>
      <w:r>
        <w:t> </w:t>
      </w:r>
      <w:r w:rsidRPr="00EC7BEF">
        <w:t>b)</w:t>
      </w:r>
      <w:r>
        <w:t> </w:t>
      </w:r>
      <w:r w:rsidRPr="00EC7BEF">
        <w:t>создание «интеллектуальной» береговой инфраструктуры, обеспечивающей безопасное и экономически эффективное судоходство «интеллектуальных» и</w:t>
      </w:r>
      <w:r>
        <w:t> </w:t>
      </w:r>
      <w:r w:rsidRPr="00EC7BEF">
        <w:t>автоматизированных судов.</w:t>
      </w:r>
    </w:p>
    <w:bookmarkEnd w:id="0"/>
    <w:p w14:paraId="04193F8E" w14:textId="77777777" w:rsidR="00EC7BEF" w:rsidRPr="00EC7BEF" w:rsidRDefault="00EC7BEF" w:rsidP="00EC7BEF">
      <w:pPr>
        <w:pStyle w:val="SingleTxtG"/>
      </w:pPr>
      <w:r w:rsidRPr="00EC7BEF">
        <w:t>5.</w:t>
      </w:r>
      <w:r w:rsidRPr="00EC7BEF">
        <w:tab/>
        <w:t>В 2019 году было обращено особое внимание на некоторые из недавних проектов и программ государств-членов и международных организаций:</w:t>
      </w:r>
    </w:p>
    <w:p w14:paraId="57A7D1D9" w14:textId="77777777" w:rsidR="00EC7BEF" w:rsidRPr="00EC7BEF" w:rsidRDefault="00EC7BEF" w:rsidP="00EC7BEF">
      <w:pPr>
        <w:pStyle w:val="SingleTxtG"/>
      </w:pPr>
      <w:r w:rsidRPr="00EC7BEF">
        <w:tab/>
      </w:r>
      <w:r w:rsidRPr="00EC7BEF">
        <w:tab/>
        <w:t>a)</w:t>
      </w:r>
      <w:r w:rsidRPr="00EC7BEF">
        <w:tab/>
        <w:t>проекты во Фландрии (Бельгия):</w:t>
      </w:r>
    </w:p>
    <w:p w14:paraId="5C2A5290" w14:textId="5947862C" w:rsidR="00EC7BEF" w:rsidRPr="00EC7BEF" w:rsidRDefault="00EC7BEF" w:rsidP="00EC7BEF">
      <w:pPr>
        <w:pStyle w:val="Bullet1G"/>
      </w:pPr>
      <w:r w:rsidRPr="00EC7BEF">
        <w:t xml:space="preserve">проект под названием «Корпус к корпусу» (H2H), начатый в 2017 году в целях обеспечения безопасного плавания судов и других объектов в непосредственной близости друг от друга с использованием систем </w:t>
      </w:r>
      <w:r>
        <w:t>«</w:t>
      </w:r>
      <w:r w:rsidRPr="00EC7BEF">
        <w:t>Галилео</w:t>
      </w:r>
      <w:r>
        <w:t>»</w:t>
      </w:r>
      <w:r w:rsidRPr="00EC7BEF">
        <w:t>, ЕГСНП</w:t>
      </w:r>
      <w:r w:rsidR="00473DA2" w:rsidRPr="00EC7BEF">
        <w:rPr>
          <w:sz w:val="18"/>
          <w:vertAlign w:val="superscript"/>
        </w:rPr>
        <w:footnoteReference w:id="3"/>
      </w:r>
      <w:r w:rsidRPr="00EC7BEF">
        <w:t xml:space="preserve"> и других методов позиционирования</w:t>
      </w:r>
      <w:r w:rsidR="00EC6D95">
        <w:t>;</w:t>
      </w:r>
    </w:p>
    <w:p w14:paraId="5EAE4B42" w14:textId="77777777" w:rsidR="00EC7BEF" w:rsidRPr="00EC7BEF" w:rsidRDefault="00EC7BEF" w:rsidP="00EC7BEF">
      <w:pPr>
        <w:pStyle w:val="Bullet1G"/>
      </w:pPr>
      <w:r w:rsidRPr="00EC7BEF">
        <w:tab/>
        <w:t>технологии судоходства без экипажа, которые разрабатывались компанией «СИФАР» («</w:t>
      </w:r>
      <w:r w:rsidRPr="00EC7BEF">
        <w:rPr>
          <w:lang w:val="en-GB"/>
        </w:rPr>
        <w:t>SEAFAR</w:t>
      </w:r>
      <w:r w:rsidRPr="00EC7BEF">
        <w:t>») для дистанционного управления автоматизированными внутренними баржами; начало испытаний было запланировано на сентябрь 2019 года</w:t>
      </w:r>
      <w:r w:rsidR="00EC6D95">
        <w:t>;</w:t>
      </w:r>
    </w:p>
    <w:p w14:paraId="5F8A00DC" w14:textId="77777777" w:rsidR="00EC7BEF" w:rsidRPr="00EC7BEF" w:rsidRDefault="00EC7BEF" w:rsidP="00EC7BEF">
      <w:pPr>
        <w:pStyle w:val="Bullet1G"/>
      </w:pPr>
      <w:r w:rsidRPr="00EC7BEF">
        <w:t>проект «АУТОШИП» (Инициатива в области автономного судоходства на европейских водных путях) имела целью испытать судно без экипажа на внутренних водных путях Фландрии; реализация данного проекта была начата в июне 201</w:t>
      </w:r>
      <w:r w:rsidR="00EC6D95">
        <w:t>9</w:t>
      </w:r>
      <w:r w:rsidRPr="00EC7BEF">
        <w:t xml:space="preserve"> год</w:t>
      </w:r>
      <w:r w:rsidR="00EC6D95">
        <w:t>а</w:t>
      </w:r>
      <w:r w:rsidRPr="00EC7BEF">
        <w:t xml:space="preserve"> и продлится до </w:t>
      </w:r>
      <w:r w:rsidR="00EC6D95">
        <w:t xml:space="preserve">декабря </w:t>
      </w:r>
      <w:r w:rsidRPr="00EC7BEF">
        <w:t>2022 года;</w:t>
      </w:r>
    </w:p>
    <w:p w14:paraId="4C4FE89D" w14:textId="77777777" w:rsidR="00EC7BEF" w:rsidRPr="00EC7BEF" w:rsidRDefault="00EC7BEF" w:rsidP="00EC7BEF">
      <w:pPr>
        <w:pStyle w:val="SingleTxtG"/>
      </w:pPr>
      <w:r w:rsidRPr="00EC7BEF">
        <w:tab/>
      </w:r>
      <w:r w:rsidRPr="00EC7BEF">
        <w:tab/>
        <w:t>b)</w:t>
      </w:r>
      <w:r w:rsidRPr="00EC7BEF">
        <w:tab/>
        <w:t>стратегия искусственного интеллекта, принятая Германией, включала план действий, направленный на развитие системы автоматизированного внутреннего водного транспорта, создание испытательных зон для «интеллектуального» судоходства и цифровизации, а также различные проекты в области автоматизированного судоходства;</w:t>
      </w:r>
    </w:p>
    <w:p w14:paraId="309BB012" w14:textId="77777777" w:rsidR="00EC7BEF" w:rsidRPr="00EC7BEF" w:rsidRDefault="00EC7BEF" w:rsidP="00EC7BEF">
      <w:pPr>
        <w:pStyle w:val="SingleTxtG"/>
      </w:pPr>
      <w:r w:rsidRPr="00EC7BEF">
        <w:tab/>
      </w:r>
      <w:r w:rsidRPr="00EC7BEF">
        <w:tab/>
        <w:t>с)</w:t>
      </w:r>
      <w:r w:rsidRPr="00EC7BEF">
        <w:tab/>
        <w:t>программа работы Европейского комитета по разработке стандартов в области внутреннего судоходства (КЕСНИ) на 2019</w:t>
      </w:r>
      <w:r w:rsidR="00EC6D95">
        <w:t>–</w:t>
      </w:r>
      <w:r w:rsidRPr="00EC7BEF">
        <w:t>2021 годы включала разработку и принятие стандартов в области технических требований к судам, активное рассмотрение вопросов цифровизации и автоматизации внутреннего судоходства, сбор данных, касающихся опыта реализации экспериментальных проектов, и оценку потребностей в области нормативного регулирования;</w:t>
      </w:r>
      <w:bookmarkStart w:id="1" w:name="_Hlk26912017"/>
      <w:bookmarkEnd w:id="1"/>
    </w:p>
    <w:p w14:paraId="5FBE5EA1" w14:textId="77777777" w:rsidR="00EC7BEF" w:rsidRPr="00EC7BEF" w:rsidRDefault="00EC7BEF" w:rsidP="00EC7BEF">
      <w:pPr>
        <w:pStyle w:val="SingleTxtG"/>
      </w:pPr>
      <w:r w:rsidRPr="00EC7BEF">
        <w:tab/>
      </w:r>
      <w:r w:rsidRPr="00EC7BEF">
        <w:tab/>
        <w:t>d)</w:t>
      </w:r>
      <w:r w:rsidRPr="00EC7BEF">
        <w:tab/>
        <w:t>Центральная комиссия судоходства по Рейну (ЦКСР) приступила к анализу своей нормативно-правовой базы в целях введения в действие положений, регламентирующих систему автоматизации, и продолжала работу над инвентаризацией проектов по автоматизации внутреннего судоходства;</w:t>
      </w:r>
    </w:p>
    <w:p w14:paraId="25413A41" w14:textId="77777777" w:rsidR="00EC7BEF" w:rsidRPr="00EC7BEF" w:rsidRDefault="00EC7BEF" w:rsidP="00EC7BEF">
      <w:pPr>
        <w:pStyle w:val="SingleTxtG"/>
      </w:pPr>
      <w:r w:rsidRPr="00EC7BEF">
        <w:tab/>
      </w:r>
      <w:r w:rsidRPr="00EC7BEF">
        <w:tab/>
        <w:t>e)</w:t>
      </w:r>
      <w:r w:rsidRPr="00EC7BEF">
        <w:tab/>
        <w:t xml:space="preserve">недавно созданная рабочая группа 210 «Система </w:t>
      </w:r>
      <w:r>
        <w:t>"</w:t>
      </w:r>
      <w:r w:rsidRPr="00EC7BEF">
        <w:t>интеллектуального судоходства</w:t>
      </w:r>
      <w:r>
        <w:t>"</w:t>
      </w:r>
      <w:r w:rsidRPr="00EC7BEF">
        <w:t xml:space="preserve"> по внутренним водным путям» Всемирной ассоциации инфраструктуры водного транспорта (ПМАКС) сосредотачивала свое внимание на вопросах </w:t>
      </w:r>
      <w:bookmarkStart w:id="2" w:name="_GoBack"/>
      <w:bookmarkEnd w:id="2"/>
      <w:r w:rsidRPr="00EC7BEF">
        <w:lastRenderedPageBreak/>
        <w:t xml:space="preserve">воздействия </w:t>
      </w:r>
      <w:r>
        <w:t>«</w:t>
      </w:r>
      <w:r w:rsidRPr="00EC7BEF">
        <w:t>интеллектуального</w:t>
      </w:r>
      <w:r>
        <w:t>»</w:t>
      </w:r>
      <w:r w:rsidRPr="00EC7BEF">
        <w:t xml:space="preserve"> судоходства на инфраструктуру и руководящий состав, отвечающий за управление движением на водных путях. </w:t>
      </w:r>
    </w:p>
    <w:p w14:paraId="52649B71" w14:textId="77777777" w:rsidR="00EC7BEF" w:rsidRPr="00EC7BEF" w:rsidRDefault="00EC7BEF" w:rsidP="00EC7BEF">
      <w:pPr>
        <w:pStyle w:val="SingleTxtG"/>
      </w:pPr>
      <w:r w:rsidRPr="00EC7BEF">
        <w:t>6.</w:t>
      </w:r>
      <w:r w:rsidRPr="00EC7BEF">
        <w:tab/>
        <w:t>Вместе с тем внедрение автоматизированной системы навигации на практике был</w:t>
      </w:r>
      <w:r w:rsidR="00EC6D95">
        <w:t>о</w:t>
      </w:r>
      <w:r w:rsidRPr="00EC7BEF">
        <w:t xml:space="preserve"> изучен</w:t>
      </w:r>
      <w:r w:rsidR="00EC6D95">
        <w:t>о</w:t>
      </w:r>
      <w:r w:rsidRPr="00EC7BEF">
        <w:t xml:space="preserve"> недостаточно. В этой связи необходимо обеспечивать развитие нормативно-правовой базы параллельно с развитием технического прогресса во избежание ситуации, когда отсутствие таких усилий препятствовало бы использованию новых технологий. В случае судоходства по трансграничным рекам и международным водным путям особую важность приобретает международная координация и согласованные усилия. Кроме того, государства-члены подчеркнули необходимость уделения более пристального внимания прибрежной инфраструктуре с целью оправдать значительные расходы, необходимые для ее модернизации. Все рабочие этапы следует определить на сбалансированной основе и спланировать должным образом.</w:t>
      </w:r>
    </w:p>
    <w:p w14:paraId="78AC10FE" w14:textId="77777777" w:rsidR="00EC7BEF" w:rsidRPr="00EC7BEF" w:rsidRDefault="00EC7BEF" w:rsidP="00EC7BEF">
      <w:pPr>
        <w:pStyle w:val="HChG"/>
      </w:pPr>
      <w:r w:rsidRPr="00EC7BEF">
        <w:tab/>
        <w:t>III.</w:t>
      </w:r>
      <w:r w:rsidRPr="00EC7BEF">
        <w:tab/>
        <w:t>Нормативная работа</w:t>
      </w:r>
    </w:p>
    <w:p w14:paraId="7C14E365" w14:textId="77777777" w:rsidR="00EC7BEF" w:rsidRPr="00EC7BEF" w:rsidRDefault="00EC7BEF" w:rsidP="00EC7BEF">
      <w:pPr>
        <w:pStyle w:val="H1G"/>
      </w:pPr>
      <w:r w:rsidRPr="00EC7BEF">
        <w:tab/>
        <w:t>A.</w:t>
      </w:r>
      <w:r w:rsidRPr="00EC7BEF">
        <w:tab/>
        <w:t>Терминология</w:t>
      </w:r>
    </w:p>
    <w:p w14:paraId="48649519" w14:textId="77777777" w:rsidR="00EC7BEF" w:rsidRPr="00EC7BEF" w:rsidRDefault="00EC7BEF" w:rsidP="00EC7BEF">
      <w:pPr>
        <w:pStyle w:val="SingleTxtG"/>
      </w:pPr>
      <w:r w:rsidRPr="00EC7BEF">
        <w:t>7.</w:t>
      </w:r>
      <w:r w:rsidRPr="00EC7BEF">
        <w:tab/>
        <w:t>На своей пятьдесят пятой сессии SC.3/WP.3 согласилась с определением уровней автоматизации внутреннего судоходства, принятых ЦКСР в декабре 2018 года (ECE/TRANS/2019/16). Рабочая группа отметила, что определения, введенные ЦКСР, являются более современными и всеобъемлющими, чем соответствующая терминология, предложенная ИМО, в том смысле, что они охватывают все уровни автоматизации.</w:t>
      </w:r>
    </w:p>
    <w:p w14:paraId="55B8C037" w14:textId="77777777" w:rsidR="00EC7BEF" w:rsidRPr="00EC7BEF" w:rsidRDefault="00EC7BEF" w:rsidP="00EC7BEF">
      <w:pPr>
        <w:pStyle w:val="SingleTxtG"/>
      </w:pPr>
      <w:r w:rsidRPr="00EC7BEF">
        <w:t>8.</w:t>
      </w:r>
      <w:r w:rsidRPr="00EC7BEF">
        <w:tab/>
        <w:t xml:space="preserve">На своей шестьдесят третьей сессии SC.3 рассмотрела определения </w:t>
      </w:r>
      <w:r>
        <w:t>«</w:t>
      </w:r>
      <w:r w:rsidRPr="00EC7BEF">
        <w:t>умного судоходства</w:t>
      </w:r>
      <w:r>
        <w:t>»</w:t>
      </w:r>
      <w:r w:rsidRPr="00EC7BEF">
        <w:t xml:space="preserve">, предложенные Бельгией: </w:t>
      </w:r>
      <w:r>
        <w:t>«</w:t>
      </w:r>
      <w:r w:rsidRPr="00EC7BEF">
        <w:t>умные суда</w:t>
      </w:r>
      <w:r>
        <w:t>»</w:t>
      </w:r>
      <w:r w:rsidRPr="00EC7BEF">
        <w:t xml:space="preserve">, </w:t>
      </w:r>
      <w:r>
        <w:t>«</w:t>
      </w:r>
      <w:r w:rsidRPr="00EC7BEF">
        <w:t>умная инфраструктура</w:t>
      </w:r>
      <w:r>
        <w:t>»</w:t>
      </w:r>
      <w:r w:rsidRPr="00EC7BEF">
        <w:t xml:space="preserve">, </w:t>
      </w:r>
      <w:r>
        <w:t>«</w:t>
      </w:r>
      <w:r w:rsidRPr="00EC7BEF">
        <w:t>умная связь</w:t>
      </w:r>
      <w:r>
        <w:t>»</w:t>
      </w:r>
      <w:r w:rsidRPr="00EC7BEF">
        <w:t xml:space="preserve"> и </w:t>
      </w:r>
      <w:r>
        <w:t>«</w:t>
      </w:r>
      <w:r w:rsidRPr="00EC7BEF">
        <w:t>умные правила</w:t>
      </w:r>
      <w:r>
        <w:t>»</w:t>
      </w:r>
      <w:r w:rsidRPr="00EC7BEF">
        <w:t xml:space="preserve"> (ECE/TRANS/SC.3/WP.3/2019/13). Работа над определениями продолжится и в 2020 году; в этой связи SC.3 поручила секретариату подготовить обзор существующих терминов и определений в этой области.</w:t>
      </w:r>
    </w:p>
    <w:p w14:paraId="2BB2D98B" w14:textId="77777777" w:rsidR="00EC7BEF" w:rsidRPr="00EC7BEF" w:rsidRDefault="00EC7BEF" w:rsidP="00EC7BEF">
      <w:pPr>
        <w:pStyle w:val="H1G"/>
      </w:pPr>
      <w:r w:rsidRPr="00EC7BEF">
        <w:tab/>
        <w:t>B.</w:t>
      </w:r>
      <w:r w:rsidRPr="00EC7BEF">
        <w:tab/>
        <w:t>Согласование международно-правовой базы и общих направлений политики в целях стимулирования инновационной деятельности</w:t>
      </w:r>
    </w:p>
    <w:p w14:paraId="075081FD" w14:textId="77777777" w:rsidR="00EC7BEF" w:rsidRPr="00EC7BEF" w:rsidRDefault="00EC7BEF" w:rsidP="00EC7BEF">
      <w:pPr>
        <w:pStyle w:val="SingleTxtG"/>
      </w:pPr>
      <w:r w:rsidRPr="00EC7BEF">
        <w:t>9.</w:t>
      </w:r>
      <w:r w:rsidRPr="00EC7BEF">
        <w:tab/>
        <w:t xml:space="preserve">Необходимым условием для начала коммерческого использования «интеллектуальных» судов на внутренних водных путях является современная правовая база.  В этой связи SC.3 приступила к обсуждению вопроса о согласовании международной нормативно-правовой базы и соответствующих программных областей в целях выработки общего подхода к стимулированию инновационной работы в области внутреннего судоходства. Компания «Фламандские водные пути НВ» (Бельгия) инициировала обсуждение и подготовила обзор программных областей, актуальных для правовой системы Европейской экономической комиссии (ЕЭК) Организации Объединенных Наций, которые нуждаются в соответствующей адаптации (ECE/TRANS/SC.3/WP.3/2019/13). </w:t>
      </w:r>
    </w:p>
    <w:p w14:paraId="36978E3E" w14:textId="77777777" w:rsidR="00EC7BEF" w:rsidRPr="00EC7BEF" w:rsidRDefault="00EC7BEF" w:rsidP="00EC7BEF">
      <w:pPr>
        <w:pStyle w:val="SingleTxtG"/>
      </w:pPr>
      <w:r w:rsidRPr="00EC7BEF">
        <w:t>10.</w:t>
      </w:r>
      <w:r w:rsidRPr="00EC7BEF">
        <w:tab/>
        <w:t>В нормативно-правовых документах и резолюциях ЕЭК, имеющих отношение к внутреннему судоходству, были выявлены пробелы, которые свидетельствуют об отсутствии ряда технических положений и которые следует устранить, прежде чем приступать к дальнейшему уточнению нормативно-правовой базы. В качестве основы для оценки были предложены следующие основные допущения: автоматизированные суда должны: а) обеспечивать максимальную безопасность сети внутренних водных путей; b) содействовать укреплению рынка внутреннего водного транспорта за счет привлечения новых грузовых потоков</w:t>
      </w:r>
      <w:r w:rsidR="00EC6D95">
        <w:t>;</w:t>
      </w:r>
      <w:r w:rsidRPr="00EC7BEF">
        <w:t xml:space="preserve"> и с) способствовать увеличению доли внутреннего водного транспорта в общем объеме перевозок. </w:t>
      </w:r>
    </w:p>
    <w:p w14:paraId="6F38B75D" w14:textId="77777777" w:rsidR="00EC7BEF" w:rsidRPr="00EC7BEF" w:rsidRDefault="00EC7BEF" w:rsidP="00EC6D95">
      <w:pPr>
        <w:pStyle w:val="SingleTxtG"/>
        <w:keepNext/>
      </w:pPr>
      <w:r w:rsidRPr="00EC7BEF">
        <w:lastRenderedPageBreak/>
        <w:t>11.</w:t>
      </w:r>
      <w:r w:rsidRPr="00EC7BEF">
        <w:tab/>
        <w:t>На основе проведенного анализа было выявлено 13 программных областей, которые нуждаются в согласованном подходе:</w:t>
      </w:r>
    </w:p>
    <w:p w14:paraId="6DDF58A1" w14:textId="77777777" w:rsidR="00EC7BEF" w:rsidRPr="00EC7BEF" w:rsidRDefault="00EC7BEF" w:rsidP="00EC7BEF">
      <w:pPr>
        <w:pStyle w:val="Bullet1G"/>
        <w:rPr>
          <w:lang w:val="en-GB"/>
        </w:rPr>
      </w:pPr>
      <w:r w:rsidRPr="00EC7BEF">
        <w:t>определения</w:t>
      </w:r>
      <w:r w:rsidR="00EC6D95">
        <w:t>;</w:t>
      </w:r>
    </w:p>
    <w:p w14:paraId="2C57FD6B" w14:textId="77777777" w:rsidR="00EC7BEF" w:rsidRPr="00EC7BEF" w:rsidRDefault="00EC7BEF" w:rsidP="00EC7BEF">
      <w:pPr>
        <w:pStyle w:val="Bullet1G"/>
        <w:rPr>
          <w:lang w:val="en-GB"/>
        </w:rPr>
      </w:pPr>
      <w:r w:rsidRPr="00EC7BEF">
        <w:t>компетенция и квалификация экипажей</w:t>
      </w:r>
      <w:r w:rsidR="00EC6D95">
        <w:t>;</w:t>
      </w:r>
    </w:p>
    <w:p w14:paraId="46A1BF1F" w14:textId="77777777" w:rsidR="00EC7BEF" w:rsidRPr="00EC7BEF" w:rsidRDefault="00EC7BEF" w:rsidP="00EC7BEF">
      <w:pPr>
        <w:pStyle w:val="Bullet1G"/>
      </w:pPr>
      <w:r w:rsidRPr="00EC7BEF">
        <w:t>технические требования к судам внутреннего плавания</w:t>
      </w:r>
      <w:r w:rsidR="00EC6D95">
        <w:t>;</w:t>
      </w:r>
    </w:p>
    <w:p w14:paraId="462DEC84" w14:textId="77777777" w:rsidR="00EC7BEF" w:rsidRPr="00EC7BEF" w:rsidRDefault="00EC7BEF" w:rsidP="00EC7BEF">
      <w:pPr>
        <w:pStyle w:val="Bullet1G"/>
      </w:pPr>
      <w:r w:rsidRPr="00EC7BEF">
        <w:t>присутствие судоводителя и членов экипажа на борту судна</w:t>
      </w:r>
      <w:r w:rsidR="00EC6D95">
        <w:t>;</w:t>
      </w:r>
    </w:p>
    <w:p w14:paraId="6AD75F23" w14:textId="77777777" w:rsidR="00EC7BEF" w:rsidRPr="00EC7BEF" w:rsidRDefault="00EC7BEF" w:rsidP="00EC7BEF">
      <w:pPr>
        <w:pStyle w:val="Bullet1G"/>
        <w:rPr>
          <w:lang w:val="en-GB"/>
        </w:rPr>
      </w:pPr>
      <w:r w:rsidRPr="00EC7BEF">
        <w:t>юридическая и материальная ответственность</w:t>
      </w:r>
      <w:r w:rsidR="00EC6D95">
        <w:t>;</w:t>
      </w:r>
    </w:p>
    <w:p w14:paraId="6369C417" w14:textId="77777777" w:rsidR="00EC7BEF" w:rsidRPr="00EC7BEF" w:rsidRDefault="00EC7BEF" w:rsidP="00EC7BEF">
      <w:pPr>
        <w:pStyle w:val="Bullet1G"/>
        <w:rPr>
          <w:lang w:val="en-GB"/>
        </w:rPr>
      </w:pPr>
      <w:r w:rsidRPr="00EC7BEF">
        <w:t>технические решения</w:t>
      </w:r>
      <w:r w:rsidR="00EC6D95">
        <w:t>;</w:t>
      </w:r>
    </w:p>
    <w:p w14:paraId="6B94824A" w14:textId="77777777" w:rsidR="00EC7BEF" w:rsidRPr="00EC7BEF" w:rsidRDefault="00EC7BEF" w:rsidP="00EC7BEF">
      <w:pPr>
        <w:pStyle w:val="Bullet1G"/>
        <w:rPr>
          <w:bCs/>
        </w:rPr>
      </w:pPr>
      <w:r w:rsidRPr="00EC7BEF">
        <w:t>связь между судном и компетентным органом</w:t>
      </w:r>
      <w:r w:rsidR="00EC6D95">
        <w:t>;</w:t>
      </w:r>
    </w:p>
    <w:p w14:paraId="3B574C37" w14:textId="77777777" w:rsidR="00EC7BEF" w:rsidRPr="00EC7BEF" w:rsidRDefault="00EC7BEF" w:rsidP="00EC7BEF">
      <w:pPr>
        <w:pStyle w:val="Bullet1G"/>
        <w:rPr>
          <w:lang w:val="en-GB"/>
        </w:rPr>
      </w:pPr>
      <w:r w:rsidRPr="00EC7BEF">
        <w:t>связь между судами</w:t>
      </w:r>
      <w:r w:rsidR="00EC6D95">
        <w:t>;</w:t>
      </w:r>
    </w:p>
    <w:p w14:paraId="1F13B339" w14:textId="77777777" w:rsidR="00EC7BEF" w:rsidRPr="00EC7BEF" w:rsidRDefault="00EC7BEF" w:rsidP="00EC7BEF">
      <w:pPr>
        <w:pStyle w:val="Bullet1G"/>
      </w:pPr>
      <w:r w:rsidRPr="00EC7BEF">
        <w:t>документы в цифровом формате и/или документы, которые должны иметься на борту судна</w:t>
      </w:r>
      <w:r w:rsidR="00EC6D95">
        <w:t>;</w:t>
      </w:r>
    </w:p>
    <w:p w14:paraId="51CF51FF" w14:textId="77777777" w:rsidR="00EC7BEF" w:rsidRPr="00EC7BEF" w:rsidRDefault="00EC7BEF" w:rsidP="00EC7BEF">
      <w:pPr>
        <w:pStyle w:val="Bullet1G"/>
        <w:rPr>
          <w:lang w:val="en-GB"/>
        </w:rPr>
      </w:pPr>
      <w:r w:rsidRPr="00EC7BEF">
        <w:t>прогулочное плавание</w:t>
      </w:r>
      <w:r w:rsidR="00EC6D95">
        <w:t>;</w:t>
      </w:r>
    </w:p>
    <w:p w14:paraId="198977A2" w14:textId="77777777" w:rsidR="00EC7BEF" w:rsidRPr="00EC7BEF" w:rsidRDefault="00EC7BEF" w:rsidP="00EC7BEF">
      <w:pPr>
        <w:pStyle w:val="Bullet1G"/>
        <w:rPr>
          <w:lang w:val="en-GB"/>
        </w:rPr>
      </w:pPr>
      <w:r w:rsidRPr="00EC7BEF">
        <w:t>аварийные ситуации</w:t>
      </w:r>
      <w:r w:rsidR="00EC6D95">
        <w:t>;</w:t>
      </w:r>
    </w:p>
    <w:p w14:paraId="49BF4D14" w14:textId="77777777" w:rsidR="00EC7BEF" w:rsidRPr="00EC7BEF" w:rsidRDefault="00EC7BEF" w:rsidP="00EC7BEF">
      <w:pPr>
        <w:pStyle w:val="Bullet1G"/>
        <w:rPr>
          <w:lang w:val="en-GB"/>
        </w:rPr>
      </w:pPr>
      <w:r w:rsidRPr="00EC7BEF">
        <w:t>кибербезопасность</w:t>
      </w:r>
      <w:r w:rsidR="00EC6D95">
        <w:t>;</w:t>
      </w:r>
    </w:p>
    <w:p w14:paraId="4AFCE031" w14:textId="77777777" w:rsidR="00EC7BEF" w:rsidRPr="00EC7BEF" w:rsidRDefault="00EC7BEF" w:rsidP="00EC7BEF">
      <w:pPr>
        <w:pStyle w:val="Bullet1G"/>
        <w:rPr>
          <w:lang w:val="en-GB"/>
        </w:rPr>
      </w:pPr>
      <w:r w:rsidRPr="00EC7BEF">
        <w:t>инфраструктура внутренних водных путей.</w:t>
      </w:r>
    </w:p>
    <w:p w14:paraId="62318F2A" w14:textId="77777777" w:rsidR="00EC7BEF" w:rsidRPr="00EC7BEF" w:rsidRDefault="00EC7BEF" w:rsidP="00EC7BEF">
      <w:pPr>
        <w:pStyle w:val="SingleTxtG"/>
      </w:pPr>
      <w:r w:rsidRPr="00EC7BEF">
        <w:t>12.</w:t>
      </w:r>
      <w:r w:rsidRPr="00EC7BEF">
        <w:tab/>
        <w:t>SC.3 поддержала это предложение и призвала государства-члены, международные организации и другие заинтересованные стороны поддержать и продолжить эту работу и представить свои предложения по этому документу. Следующие шаги предполагают необходимость параллельного взаимодействия между техническими экспертами и экспертами по вопросам регулирования, отражающего инновационные технические разработки и варианты развития существующей нормативно-правовой базы и обеспечивающего высокий уровень безопасности и эффективности судоходства.</w:t>
      </w:r>
    </w:p>
    <w:p w14:paraId="224E3685" w14:textId="77777777" w:rsidR="00EC7BEF" w:rsidRPr="00EC7BEF" w:rsidRDefault="00EC7BEF" w:rsidP="00EC7BEF">
      <w:pPr>
        <w:pStyle w:val="HChG"/>
      </w:pPr>
      <w:r w:rsidRPr="00EC7BEF">
        <w:tab/>
        <w:t>III.</w:t>
      </w:r>
      <w:r w:rsidRPr="00EC7BEF">
        <w:tab/>
        <w:t>Следующие задачи и шаги</w:t>
      </w:r>
    </w:p>
    <w:p w14:paraId="2D8E5440" w14:textId="77777777" w:rsidR="00EC7BEF" w:rsidRPr="00EC7BEF" w:rsidRDefault="00EC7BEF" w:rsidP="00EC7BEF">
      <w:pPr>
        <w:pStyle w:val="H1G"/>
      </w:pPr>
      <w:r w:rsidRPr="00EC7BEF">
        <w:tab/>
        <w:t>A.</w:t>
      </w:r>
      <w:r w:rsidRPr="00EC7BEF">
        <w:tab/>
      </w:r>
      <w:r w:rsidRPr="00EC7BEF">
        <w:rPr>
          <w:bCs/>
        </w:rPr>
        <w:t>Резолюция «Укрепление международного сотрудничества в</w:t>
      </w:r>
      <w:r>
        <w:rPr>
          <w:bCs/>
        </w:rPr>
        <w:t> </w:t>
      </w:r>
      <w:r w:rsidRPr="00EC7BEF">
        <w:rPr>
          <w:bCs/>
        </w:rPr>
        <w:t xml:space="preserve">поддержку развития "умного судоходства" по внутренним водным путям» и </w:t>
      </w:r>
      <w:r w:rsidRPr="00EC7BEF">
        <w:t xml:space="preserve">«Дорожная карта» по укреплению международного сотрудничества в целях поддержки развития </w:t>
      </w:r>
      <w:r>
        <w:rPr>
          <w:bCs/>
        </w:rPr>
        <w:t>«</w:t>
      </w:r>
      <w:r w:rsidRPr="00EC7BEF">
        <w:t>умного судоходства</w:t>
      </w:r>
      <w:r>
        <w:t>»</w:t>
      </w:r>
      <w:r w:rsidRPr="00EC7BEF">
        <w:t xml:space="preserve"> на внутренних водных путях</w:t>
      </w:r>
    </w:p>
    <w:p w14:paraId="4842DD1D" w14:textId="77777777" w:rsidR="00EC7BEF" w:rsidRPr="00EC7BEF" w:rsidRDefault="00EC7BEF" w:rsidP="00EC7BEF">
      <w:pPr>
        <w:pStyle w:val="SingleTxtG"/>
      </w:pPr>
      <w:bookmarkStart w:id="3" w:name="_Hlk21360033"/>
      <w:r w:rsidRPr="00EC7BEF">
        <w:t>13.</w:t>
      </w:r>
      <w:r w:rsidRPr="00EC7BEF">
        <w:tab/>
        <w:t xml:space="preserve">Признавая ключевую роль международного сотрудничества в этой области, SC.3 приняла на своей шестьдесят третьей сессии 8 ноября 2019 года (ECE/TRANS/SC.3/211) резолюцию № 95 «Укрепление международного сотрудничества в поддержку развития "умного судоходства" по внутренним водным путям». В этой резолюции SC.3 а) одобрила </w:t>
      </w:r>
      <w:r>
        <w:t>«</w:t>
      </w:r>
      <w:r w:rsidRPr="00EC7BEF">
        <w:t>дорожную карту</w:t>
      </w:r>
      <w:r>
        <w:t>»</w:t>
      </w:r>
      <w:r w:rsidRPr="00EC7BEF">
        <w:t xml:space="preserve"> международного сотрудничества, ориентированного на поощрение и развитие </w:t>
      </w:r>
      <w:r>
        <w:t>«</w:t>
      </w:r>
      <w:r w:rsidRPr="00EC7BEF">
        <w:t>умного судоходства</w:t>
      </w:r>
      <w:r>
        <w:t>»</w:t>
      </w:r>
      <w:r w:rsidRPr="00EC7BEF">
        <w:t xml:space="preserve"> по внутренним водным путям; b) предложила правительствам, международным организациям, речным комиссиям и другим заинтересованным сторонам принять активное участие в работе ЕЭК по согласованию общеевропейской нормативно-правовой базы </w:t>
      </w:r>
      <w:r>
        <w:t>«</w:t>
      </w:r>
      <w:r w:rsidRPr="00EC7BEF">
        <w:t>умного судоходства</w:t>
      </w:r>
      <w:r>
        <w:t>»</w:t>
      </w:r>
      <w:r w:rsidR="00EC6D95">
        <w:t>;</w:t>
      </w:r>
      <w:r w:rsidRPr="00EC7BEF">
        <w:t xml:space="preserve"> и c) призвала правительства включить систему автоматизации и цифровизации внутреннего водного транспорта в национальные стратегии развития и планы действий.</w:t>
      </w:r>
    </w:p>
    <w:p w14:paraId="48296E69" w14:textId="77777777" w:rsidR="00EC7BEF" w:rsidRPr="00EC7BEF" w:rsidRDefault="00EC7BEF" w:rsidP="00EC7BEF">
      <w:pPr>
        <w:pStyle w:val="SingleTxtG"/>
      </w:pPr>
      <w:r w:rsidRPr="00EC7BEF">
        <w:t>14.</w:t>
      </w:r>
      <w:r w:rsidRPr="00EC7BEF">
        <w:tab/>
        <w:t>Дорожная карта на период 2020–</w:t>
      </w:r>
      <w:r>
        <w:t>2</w:t>
      </w:r>
      <w:r w:rsidRPr="00EC7BEF">
        <w:t>024 годов «Укрепление международного сотрудничества в целях создания международных законодательных рамок для внедрения "умного судоходства"</w:t>
      </w:r>
      <w:r>
        <w:t>»</w:t>
      </w:r>
      <w:r w:rsidRPr="00EC7BEF">
        <w:t xml:space="preserve"> (приложение к ECE/TRANS/SC.3/211), утвержденная SC.3, включает следующие меры:</w:t>
      </w:r>
      <w:bookmarkEnd w:id="3"/>
    </w:p>
    <w:p w14:paraId="787D99EB" w14:textId="3481EC66" w:rsidR="00EC7BEF" w:rsidRPr="00EC7BEF" w:rsidRDefault="00473DA2" w:rsidP="00EC7BEF">
      <w:pPr>
        <w:pStyle w:val="Bullet1G"/>
      </w:pPr>
      <w:r>
        <w:lastRenderedPageBreak/>
        <w:t>в</w:t>
      </w:r>
      <w:r w:rsidR="00EC7BEF" w:rsidRPr="00EC7BEF">
        <w:t>ключение согласованных определений уровней автономности в документы ЕЭК ООН;</w:t>
      </w:r>
    </w:p>
    <w:p w14:paraId="0586BC2B" w14:textId="77777777" w:rsidR="00EC7BEF" w:rsidRPr="00EC7BEF" w:rsidRDefault="00EC7BEF" w:rsidP="00EC7BEF">
      <w:pPr>
        <w:pStyle w:val="Bullet1G"/>
      </w:pPr>
      <w:r w:rsidRPr="00EC7BEF">
        <w:tab/>
        <w:t>обзор резолюций ЕЭК ООН, международных конвенций и соглашений;</w:t>
      </w:r>
    </w:p>
    <w:p w14:paraId="1CED7166" w14:textId="58368571" w:rsidR="00EC7BEF" w:rsidRPr="00EC7BEF" w:rsidRDefault="00473DA2" w:rsidP="00EC7BEF">
      <w:pPr>
        <w:pStyle w:val="Bullet1G"/>
      </w:pPr>
      <w:r>
        <w:t>с</w:t>
      </w:r>
      <w:r w:rsidR="00EC7BEF" w:rsidRPr="00EC7BEF">
        <w:t>огласование подходов к созданию основы для внедрения «умного судоходства»;</w:t>
      </w:r>
    </w:p>
    <w:p w14:paraId="5C241D3C" w14:textId="77777777" w:rsidR="00EC7BEF" w:rsidRPr="00EC7BEF" w:rsidRDefault="00EC7BEF" w:rsidP="00EC7BEF">
      <w:pPr>
        <w:pStyle w:val="Bullet1G"/>
        <w:rPr>
          <w:lang w:val="en-GB"/>
        </w:rPr>
      </w:pPr>
      <w:r w:rsidRPr="00EC7BEF">
        <w:tab/>
        <w:t>оцифровка и цифровизация;</w:t>
      </w:r>
    </w:p>
    <w:p w14:paraId="70827610" w14:textId="77777777" w:rsidR="00EC7BEF" w:rsidRPr="00EC7BEF" w:rsidRDefault="00EC7BEF" w:rsidP="00EC7BEF">
      <w:pPr>
        <w:pStyle w:val="Bullet1G"/>
      </w:pPr>
      <w:r w:rsidRPr="00EC7BEF">
        <w:t>обеспечение защиты данных и кибербезопасности, решение вопросов ответственности и других соответствующих вопросов;</w:t>
      </w:r>
    </w:p>
    <w:p w14:paraId="57F839E6" w14:textId="77777777" w:rsidR="00EC7BEF" w:rsidRPr="00EC7BEF" w:rsidRDefault="00EC7BEF" w:rsidP="00EC7BEF">
      <w:pPr>
        <w:pStyle w:val="Bullet1G"/>
      </w:pPr>
      <w:r w:rsidRPr="00EC7BEF">
        <w:tab/>
        <w:t>социальное воздействие автоматизации, кадровые потребности, обучение и подготовка персонала;</w:t>
      </w:r>
    </w:p>
    <w:p w14:paraId="68D21095" w14:textId="77777777" w:rsidR="00EC7BEF" w:rsidRPr="00EC7BEF" w:rsidRDefault="00EC7BEF" w:rsidP="00EC7BEF">
      <w:pPr>
        <w:pStyle w:val="Bullet1G"/>
      </w:pPr>
      <w:r w:rsidRPr="00EC7BEF">
        <w:tab/>
        <w:t xml:space="preserve">оказание помощи правительствам, содействие наращиванию потенциала и повышению осведомленности, организация рабочих совещаний и круглых столов по вопросам автоматизации и </w:t>
      </w:r>
      <w:r>
        <w:t>«</w:t>
      </w:r>
      <w:r w:rsidRPr="00EC7BEF">
        <w:t>умного судоходства</w:t>
      </w:r>
      <w:r>
        <w:t>»</w:t>
      </w:r>
      <w:r w:rsidRPr="00EC7BEF">
        <w:t>, а также участие в круглых столах, организуемых Организацией Объединенных Наций по вопросам интеллектуальных транспортных систем и автоматизации транспорта</w:t>
      </w:r>
      <w:bookmarkStart w:id="4" w:name="_Hlk21450340"/>
      <w:bookmarkEnd w:id="4"/>
      <w:r>
        <w:t>.</w:t>
      </w:r>
    </w:p>
    <w:p w14:paraId="5DD310C6" w14:textId="77777777" w:rsidR="00EC7BEF" w:rsidRPr="00EC7BEF" w:rsidRDefault="00EC7BEF" w:rsidP="00EC7BEF">
      <w:pPr>
        <w:pStyle w:val="H1G"/>
      </w:pPr>
      <w:r w:rsidRPr="00EC7BEF">
        <w:tab/>
        <w:t>B.</w:t>
      </w:r>
      <w:r w:rsidRPr="00EC7BEF">
        <w:tab/>
        <w:t xml:space="preserve">Программные рекомендации </w:t>
      </w:r>
      <w:r>
        <w:t>«</w:t>
      </w:r>
      <w:r w:rsidRPr="00EC7BEF">
        <w:t>Белой книги</w:t>
      </w:r>
      <w:r>
        <w:t>»</w:t>
      </w:r>
      <w:r w:rsidRPr="00EC7BEF">
        <w:t>, касающиеся прогресса, достижений и будущего устойчивого внутреннего водного транспорта</w:t>
      </w:r>
    </w:p>
    <w:p w14:paraId="0537644F" w14:textId="77777777" w:rsidR="00EC7BEF" w:rsidRPr="00EC7BEF" w:rsidRDefault="00EC7BEF" w:rsidP="00EC7BEF">
      <w:pPr>
        <w:pStyle w:val="SingleTxtG"/>
      </w:pPr>
      <w:r w:rsidRPr="00EC7BEF">
        <w:t>15.</w:t>
      </w:r>
      <w:r w:rsidRPr="00EC7BEF">
        <w:tab/>
        <w:t xml:space="preserve">Изменения, выводы и заключения, сделанные рабочими группами, легли в основу следующих программных рекомендаций, содержащихся в новой </w:t>
      </w:r>
      <w:r>
        <w:t>«</w:t>
      </w:r>
      <w:r w:rsidRPr="00EC7BEF">
        <w:t>Белой книге</w:t>
      </w:r>
      <w:r>
        <w:t>»</w:t>
      </w:r>
      <w:r w:rsidRPr="00EC7BEF">
        <w:t>, которая была принята SC.3 на ее шестьдесят третьей сессии (ECE/TRANS/279):</w:t>
      </w:r>
    </w:p>
    <w:p w14:paraId="390FDF26" w14:textId="77777777" w:rsidR="00EC7BEF" w:rsidRPr="00EC7BEF" w:rsidRDefault="00EC7BEF" w:rsidP="00EC7BEF">
      <w:pPr>
        <w:pStyle w:val="Bullet1G"/>
      </w:pPr>
      <w:r w:rsidRPr="00EC7BEF">
        <w:tab/>
        <w:t>Стратегическая рекомендация № 6: Содействие процессам автоматизации, цифровизации и другим инновациям в секторе внутреннего водного транспорта</w:t>
      </w:r>
      <w:r w:rsidR="00EC6D95">
        <w:t>;</w:t>
      </w:r>
    </w:p>
    <w:p w14:paraId="30F09457" w14:textId="77777777" w:rsidR="00EC7BEF" w:rsidRDefault="00EC7BEF" w:rsidP="00EC7BEF">
      <w:pPr>
        <w:pStyle w:val="Bullet1G"/>
      </w:pPr>
      <w:r w:rsidRPr="00EC7BEF">
        <w:t>Стратегическая рекомендация № 8: Безопасность, надежность и кибербезопасность в области внутреннего водного транспорта – противодействие внутренним и внешним угрозам для данного сектора.</w:t>
      </w:r>
    </w:p>
    <w:p w14:paraId="187797CA" w14:textId="77777777" w:rsidR="00EC7BEF" w:rsidRPr="00EC7BEF" w:rsidRDefault="00EC7BEF" w:rsidP="00EC7BE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C7BEF" w:rsidRPr="00EC7BEF" w:rsidSect="00EC7BE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85128" w14:textId="77777777" w:rsidR="007346F5" w:rsidRPr="00A312BC" w:rsidRDefault="007346F5" w:rsidP="00A312BC"/>
  </w:endnote>
  <w:endnote w:type="continuationSeparator" w:id="0">
    <w:p w14:paraId="086DF5A2" w14:textId="77777777" w:rsidR="007346F5" w:rsidRPr="00A312BC" w:rsidRDefault="007346F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91EC6" w14:textId="77777777" w:rsidR="00EC7BEF" w:rsidRPr="00EC7BEF" w:rsidRDefault="00EC7BEF">
    <w:pPr>
      <w:pStyle w:val="Footer"/>
    </w:pPr>
    <w:r w:rsidRPr="00EC7BEF">
      <w:rPr>
        <w:b/>
        <w:sz w:val="18"/>
      </w:rPr>
      <w:fldChar w:fldCharType="begin"/>
    </w:r>
    <w:r w:rsidRPr="00EC7BEF">
      <w:rPr>
        <w:b/>
        <w:sz w:val="18"/>
      </w:rPr>
      <w:instrText xml:space="preserve"> PAGE  \* MERGEFORMAT </w:instrText>
    </w:r>
    <w:r w:rsidRPr="00EC7BEF">
      <w:rPr>
        <w:b/>
        <w:sz w:val="18"/>
      </w:rPr>
      <w:fldChar w:fldCharType="separate"/>
    </w:r>
    <w:r w:rsidRPr="00EC7BEF">
      <w:rPr>
        <w:b/>
        <w:noProof/>
        <w:sz w:val="18"/>
      </w:rPr>
      <w:t>2</w:t>
    </w:r>
    <w:r w:rsidRPr="00EC7BEF">
      <w:rPr>
        <w:b/>
        <w:sz w:val="18"/>
      </w:rPr>
      <w:fldChar w:fldCharType="end"/>
    </w:r>
    <w:r>
      <w:rPr>
        <w:b/>
        <w:sz w:val="18"/>
      </w:rPr>
      <w:tab/>
    </w:r>
    <w:r>
      <w:t>GE.19-21981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A9AD3" w14:textId="77777777" w:rsidR="00EC7BEF" w:rsidRPr="00EC7BEF" w:rsidRDefault="00EC7BEF" w:rsidP="00EC7BEF">
    <w:pPr>
      <w:pStyle w:val="Footer"/>
      <w:tabs>
        <w:tab w:val="clear" w:pos="9639"/>
        <w:tab w:val="right" w:pos="9638"/>
      </w:tabs>
      <w:rPr>
        <w:b/>
        <w:sz w:val="18"/>
      </w:rPr>
    </w:pPr>
    <w:r>
      <w:t>GE.19-21981</w:t>
    </w:r>
    <w:r>
      <w:tab/>
    </w:r>
    <w:r w:rsidRPr="00EC7BEF">
      <w:rPr>
        <w:b/>
        <w:sz w:val="18"/>
      </w:rPr>
      <w:fldChar w:fldCharType="begin"/>
    </w:r>
    <w:r w:rsidRPr="00EC7BEF">
      <w:rPr>
        <w:b/>
        <w:sz w:val="18"/>
      </w:rPr>
      <w:instrText xml:space="preserve"> PAGE  \* MERGEFORMAT </w:instrText>
    </w:r>
    <w:r w:rsidRPr="00EC7BEF">
      <w:rPr>
        <w:b/>
        <w:sz w:val="18"/>
      </w:rPr>
      <w:fldChar w:fldCharType="separate"/>
    </w:r>
    <w:r w:rsidRPr="00EC7BEF">
      <w:rPr>
        <w:b/>
        <w:noProof/>
        <w:sz w:val="18"/>
      </w:rPr>
      <w:t>3</w:t>
    </w:r>
    <w:r w:rsidRPr="00EC7BE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8A96E" w14:textId="77777777" w:rsidR="00042B72" w:rsidRPr="00EC7BEF" w:rsidRDefault="00EC7BEF" w:rsidP="00EC7BEF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8D69F2D" wp14:editId="7CA54D0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19-21981  (R)</w:t>
    </w:r>
    <w:r w:rsidR="002F0B0A">
      <w:t xml:space="preserve">  140120  140120</w:t>
    </w:r>
    <w:r>
      <w:br/>
    </w:r>
    <w:r w:rsidRPr="00EC7BEF">
      <w:rPr>
        <w:rFonts w:ascii="C39T30Lfz" w:hAnsi="C39T30Lfz"/>
        <w:kern w:val="14"/>
        <w:sz w:val="56"/>
      </w:rPr>
      <w:t></w:t>
    </w:r>
    <w:r w:rsidRPr="00EC7BEF">
      <w:rPr>
        <w:rFonts w:ascii="C39T30Lfz" w:hAnsi="C39T30Lfz"/>
        <w:kern w:val="14"/>
        <w:sz w:val="56"/>
      </w:rPr>
      <w:t></w:t>
    </w:r>
    <w:r w:rsidRPr="00EC7BEF">
      <w:rPr>
        <w:rFonts w:ascii="C39T30Lfz" w:hAnsi="C39T30Lfz"/>
        <w:kern w:val="14"/>
        <w:sz w:val="56"/>
      </w:rPr>
      <w:t></w:t>
    </w:r>
    <w:r w:rsidRPr="00EC7BEF">
      <w:rPr>
        <w:rFonts w:ascii="C39T30Lfz" w:hAnsi="C39T30Lfz"/>
        <w:kern w:val="14"/>
        <w:sz w:val="56"/>
      </w:rPr>
      <w:t></w:t>
    </w:r>
    <w:r w:rsidRPr="00EC7BEF">
      <w:rPr>
        <w:rFonts w:ascii="C39T30Lfz" w:hAnsi="C39T30Lfz"/>
        <w:kern w:val="14"/>
        <w:sz w:val="56"/>
      </w:rPr>
      <w:t></w:t>
    </w:r>
    <w:r w:rsidRPr="00EC7BEF">
      <w:rPr>
        <w:rFonts w:ascii="C39T30Lfz" w:hAnsi="C39T30Lfz"/>
        <w:kern w:val="14"/>
        <w:sz w:val="56"/>
      </w:rPr>
      <w:t></w:t>
    </w:r>
    <w:r w:rsidRPr="00EC7BEF">
      <w:rPr>
        <w:rFonts w:ascii="C39T30Lfz" w:hAnsi="C39T30Lfz"/>
        <w:kern w:val="14"/>
        <w:sz w:val="56"/>
      </w:rPr>
      <w:t></w:t>
    </w:r>
    <w:r w:rsidRPr="00EC7BEF">
      <w:rPr>
        <w:rFonts w:ascii="C39T30Lfz" w:hAnsi="C39T30Lfz"/>
        <w:kern w:val="14"/>
        <w:sz w:val="56"/>
      </w:rPr>
      <w:t></w:t>
    </w:r>
    <w:r w:rsidRPr="00EC7BEF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C88CA8D" wp14:editId="56CF684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ECE/TRANS/2020/1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2020/1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D1672" w14:textId="77777777" w:rsidR="007346F5" w:rsidRPr="001075E9" w:rsidRDefault="007346F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919292E" w14:textId="77777777" w:rsidR="007346F5" w:rsidRDefault="007346F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DE12D28" w14:textId="77777777" w:rsidR="00EC7BEF" w:rsidRPr="00C96576" w:rsidRDefault="00EC7BEF" w:rsidP="00EC7BEF">
      <w:pPr>
        <w:pStyle w:val="FootnoteText"/>
      </w:pPr>
      <w:r>
        <w:tab/>
      </w:r>
      <w:r w:rsidRPr="00EC7BEF">
        <w:rPr>
          <w:sz w:val="20"/>
        </w:rPr>
        <w:t>*</w:t>
      </w:r>
      <w:r>
        <w:tab/>
        <w:t>Настоящий документ было решено издать после установленного срока в связи с</w:t>
      </w:r>
      <w:r w:rsidR="00EC6D95">
        <w:t> </w:t>
      </w:r>
      <w:r>
        <w:t>обстоятельствами, не зависящи</w:t>
      </w:r>
      <w:r w:rsidR="00EC6D95">
        <w:t>ми</w:t>
      </w:r>
      <w:r>
        <w:t xml:space="preserve"> от представившей его стороны.</w:t>
      </w:r>
    </w:p>
  </w:footnote>
  <w:footnote w:id="2">
    <w:p w14:paraId="728E59E7" w14:textId="77777777" w:rsidR="00EC6D95" w:rsidRPr="00C96576" w:rsidRDefault="00EC6D95" w:rsidP="00EC6D95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>ECE/TRANS/288, приложение III.</w:t>
      </w:r>
    </w:p>
  </w:footnote>
  <w:footnote w:id="3">
    <w:p w14:paraId="27F335DB" w14:textId="77777777" w:rsidR="00473DA2" w:rsidRPr="00C96576" w:rsidRDefault="00473DA2" w:rsidP="00473DA2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>Европейская геостационарная служба навигационного покрытия.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3E918" w14:textId="0E3CDBD6" w:rsidR="00EC7BEF" w:rsidRPr="00EC7BEF" w:rsidRDefault="007422CE">
    <w:pPr>
      <w:pStyle w:val="Header"/>
    </w:pPr>
    <w:fldSimple w:instr=" TITLE  \* MERGEFORMAT ">
      <w:r w:rsidR="00794C22">
        <w:t>ECE/TRANS/2020/16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CCA37" w14:textId="2166AA80" w:rsidR="00EC7BEF" w:rsidRPr="00EC7BEF" w:rsidRDefault="007422CE" w:rsidP="00EC7BEF">
    <w:pPr>
      <w:pStyle w:val="Header"/>
      <w:jc w:val="right"/>
    </w:pPr>
    <w:fldSimple w:instr=" TITLE  \* MERGEFORMAT ">
      <w:r w:rsidR="00794C22">
        <w:t>ECE/TRANS/2020/16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6F5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29D2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0B0A"/>
    <w:rsid w:val="002F405F"/>
    <w:rsid w:val="002F7EEC"/>
    <w:rsid w:val="00301299"/>
    <w:rsid w:val="00305C08"/>
    <w:rsid w:val="00307FB6"/>
    <w:rsid w:val="00317339"/>
    <w:rsid w:val="00322004"/>
    <w:rsid w:val="00333FD7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73DA2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6F5"/>
    <w:rsid w:val="00734ACB"/>
    <w:rsid w:val="007422CE"/>
    <w:rsid w:val="00757357"/>
    <w:rsid w:val="00792497"/>
    <w:rsid w:val="00794C22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3248A"/>
    <w:rsid w:val="00E47BFE"/>
    <w:rsid w:val="00E73F76"/>
    <w:rsid w:val="00EA2C9F"/>
    <w:rsid w:val="00EA420E"/>
    <w:rsid w:val="00EC6D95"/>
    <w:rsid w:val="00EC7BEF"/>
    <w:rsid w:val="00ED0BDA"/>
    <w:rsid w:val="00EE142A"/>
    <w:rsid w:val="00EF1360"/>
    <w:rsid w:val="00EF3220"/>
    <w:rsid w:val="00F2523A"/>
    <w:rsid w:val="00F43903"/>
    <w:rsid w:val="00F43C5C"/>
    <w:rsid w:val="00F93A5F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FD562ED"/>
  <w15:docId w15:val="{D1529F24-AB28-4C99-AD92-66336BE8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,Footnote Creating"/>
    <w:basedOn w:val="Normal"/>
    <w:link w:val="FootnoteTextChar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,Footnote Creatin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1844</Words>
  <Characters>10516</Characters>
  <Application>Microsoft Office Word</Application>
  <DocSecurity>4</DocSecurity>
  <Lines>87</Lines>
  <Paragraphs>24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ECE/TRANS/2020/16</vt:lpstr>
      <vt:lpstr>ECE/TRANS/2020/16</vt:lpstr>
      <vt:lpstr>A/</vt:lpstr>
    </vt:vector>
  </TitlesOfParts>
  <Company>DCM</Company>
  <LinksUpToDate>false</LinksUpToDate>
  <CharactersWithSpaces>12336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ECE/TRANS/2020/16</dc:title>
  <dc:subject/>
  <dc:creator>Anna PETELINA</dc:creator>
  <cp:keywords/>
  <cp:lastModifiedBy>Anastasia Barinova</cp:lastModifiedBy>
  <cp:revision>2</cp:revision>
  <cp:lastPrinted>2020-01-14T14:06:00Z</cp:lastPrinted>
  <dcterms:created xsi:type="dcterms:W3CDTF">2020-01-24T16:47:00Z</dcterms:created>
  <dcterms:modified xsi:type="dcterms:W3CDTF">2020-01-24T16:47:00Z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