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0666842" w14:textId="77777777" w:rsidTr="00C97039">
        <w:trPr>
          <w:trHeight w:hRule="exact" w:val="851"/>
        </w:trPr>
        <w:tc>
          <w:tcPr>
            <w:tcW w:w="1276" w:type="dxa"/>
            <w:tcBorders>
              <w:bottom w:val="single" w:sz="4" w:space="0" w:color="auto"/>
            </w:tcBorders>
          </w:tcPr>
          <w:p w14:paraId="7D3C1B84" w14:textId="77777777" w:rsidR="00F35BAF" w:rsidRPr="00DB58B5" w:rsidRDefault="00F35BAF" w:rsidP="008224A7">
            <w:bookmarkStart w:id="0" w:name="_GoBack"/>
            <w:bookmarkEnd w:id="0"/>
          </w:p>
        </w:tc>
        <w:tc>
          <w:tcPr>
            <w:tcW w:w="2268" w:type="dxa"/>
            <w:tcBorders>
              <w:bottom w:val="single" w:sz="4" w:space="0" w:color="auto"/>
            </w:tcBorders>
            <w:vAlign w:val="bottom"/>
          </w:tcPr>
          <w:p w14:paraId="05F897A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DFCA73" w14:textId="77777777" w:rsidR="00F35BAF" w:rsidRPr="00DB58B5" w:rsidRDefault="008224A7" w:rsidP="008224A7">
            <w:pPr>
              <w:jc w:val="right"/>
            </w:pPr>
            <w:r w:rsidRPr="008224A7">
              <w:rPr>
                <w:sz w:val="40"/>
              </w:rPr>
              <w:t>ECE</w:t>
            </w:r>
            <w:r>
              <w:t>/TRANS/WP.15/AC.2/2020/37</w:t>
            </w:r>
          </w:p>
        </w:tc>
      </w:tr>
      <w:tr w:rsidR="00F35BAF" w:rsidRPr="00DB58B5" w14:paraId="26009656" w14:textId="77777777" w:rsidTr="00C97039">
        <w:trPr>
          <w:trHeight w:hRule="exact" w:val="2835"/>
        </w:trPr>
        <w:tc>
          <w:tcPr>
            <w:tcW w:w="1276" w:type="dxa"/>
            <w:tcBorders>
              <w:top w:val="single" w:sz="4" w:space="0" w:color="auto"/>
              <w:bottom w:val="single" w:sz="12" w:space="0" w:color="auto"/>
            </w:tcBorders>
          </w:tcPr>
          <w:p w14:paraId="13BA7496" w14:textId="77777777" w:rsidR="00F35BAF" w:rsidRPr="00DB58B5" w:rsidRDefault="00F35BAF" w:rsidP="00C97039">
            <w:pPr>
              <w:spacing w:before="120"/>
              <w:jc w:val="center"/>
            </w:pPr>
            <w:r>
              <w:rPr>
                <w:noProof/>
                <w:lang w:eastAsia="fr-CH"/>
              </w:rPr>
              <w:drawing>
                <wp:inline distT="0" distB="0" distL="0" distR="0" wp14:anchorId="7E2FDC36" wp14:editId="0D1FF1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7525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0BEC81E" w14:textId="77777777" w:rsidR="00F35BAF" w:rsidRDefault="008224A7" w:rsidP="00C97039">
            <w:pPr>
              <w:spacing w:before="240"/>
            </w:pPr>
            <w:r>
              <w:t>Distr. générale</w:t>
            </w:r>
          </w:p>
          <w:p w14:paraId="12101220" w14:textId="77777777" w:rsidR="008224A7" w:rsidRDefault="008224A7" w:rsidP="008224A7">
            <w:pPr>
              <w:spacing w:line="240" w:lineRule="exact"/>
            </w:pPr>
            <w:r>
              <w:t>5 juin 2020</w:t>
            </w:r>
          </w:p>
          <w:p w14:paraId="0D940655" w14:textId="77777777" w:rsidR="008224A7" w:rsidRDefault="008224A7" w:rsidP="008224A7">
            <w:pPr>
              <w:spacing w:line="240" w:lineRule="exact"/>
            </w:pPr>
            <w:r>
              <w:t>Français</w:t>
            </w:r>
          </w:p>
          <w:p w14:paraId="02C3A0E8" w14:textId="77777777" w:rsidR="008224A7" w:rsidRPr="00DB58B5" w:rsidRDefault="008224A7" w:rsidP="008224A7">
            <w:pPr>
              <w:spacing w:line="240" w:lineRule="exact"/>
            </w:pPr>
            <w:r>
              <w:t>Original : anglais</w:t>
            </w:r>
          </w:p>
        </w:tc>
      </w:tr>
    </w:tbl>
    <w:p w14:paraId="7F94219B" w14:textId="77777777" w:rsidR="007F20FA" w:rsidRPr="000312C0" w:rsidRDefault="007F20FA" w:rsidP="007F20FA">
      <w:pPr>
        <w:spacing w:before="120"/>
        <w:rPr>
          <w:b/>
          <w:sz w:val="28"/>
          <w:szCs w:val="28"/>
        </w:rPr>
      </w:pPr>
      <w:r w:rsidRPr="000312C0">
        <w:rPr>
          <w:b/>
          <w:sz w:val="28"/>
          <w:szCs w:val="28"/>
        </w:rPr>
        <w:t>Commission économique pour l’Europe</w:t>
      </w:r>
    </w:p>
    <w:p w14:paraId="70DA2946" w14:textId="77777777" w:rsidR="007F20FA" w:rsidRDefault="007F20FA" w:rsidP="007F20FA">
      <w:pPr>
        <w:spacing w:before="120"/>
        <w:rPr>
          <w:sz w:val="28"/>
          <w:szCs w:val="28"/>
        </w:rPr>
      </w:pPr>
      <w:r w:rsidRPr="00685843">
        <w:rPr>
          <w:sz w:val="28"/>
          <w:szCs w:val="28"/>
        </w:rPr>
        <w:t>Comité des transports intérieurs</w:t>
      </w:r>
    </w:p>
    <w:p w14:paraId="7C6E46E8" w14:textId="77777777" w:rsidR="008224A7" w:rsidRPr="009E01B8" w:rsidRDefault="008224A7"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DA32273" w14:textId="77777777" w:rsidR="008224A7" w:rsidRPr="004812F5" w:rsidRDefault="008224A7" w:rsidP="00AF0CB5">
      <w:pPr>
        <w:spacing w:before="120"/>
        <w:rPr>
          <w:b/>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14:paraId="666D6C78" w14:textId="77777777" w:rsidR="00046E1F" w:rsidRPr="00046E1F" w:rsidRDefault="00046E1F" w:rsidP="00046E1F">
      <w:pPr>
        <w:spacing w:before="120" w:line="240" w:lineRule="auto"/>
        <w:rPr>
          <w:b/>
          <w:lang w:val="fr-FR"/>
        </w:rPr>
      </w:pPr>
      <w:r w:rsidRPr="00046E1F">
        <w:rPr>
          <w:b/>
          <w:bCs/>
          <w:lang w:val="fr-FR"/>
        </w:rPr>
        <w:t>Trente-septième session</w:t>
      </w:r>
    </w:p>
    <w:p w14:paraId="0EE71781" w14:textId="77777777" w:rsidR="00046E1F" w:rsidRPr="00046E1F" w:rsidRDefault="00046E1F" w:rsidP="00046E1F">
      <w:pPr>
        <w:spacing w:line="240" w:lineRule="auto"/>
        <w:rPr>
          <w:lang w:val="fr-FR"/>
        </w:rPr>
      </w:pPr>
      <w:r w:rsidRPr="00046E1F">
        <w:rPr>
          <w:lang w:val="fr-FR"/>
        </w:rPr>
        <w:t>Genève, 24-28 août 2020</w:t>
      </w:r>
    </w:p>
    <w:p w14:paraId="527D7685" w14:textId="77777777" w:rsidR="00046E1F" w:rsidRPr="00046E1F" w:rsidRDefault="00046E1F" w:rsidP="00046E1F">
      <w:pPr>
        <w:spacing w:line="240" w:lineRule="auto"/>
        <w:rPr>
          <w:lang w:val="fr-FR"/>
        </w:rPr>
      </w:pPr>
      <w:r w:rsidRPr="00046E1F">
        <w:rPr>
          <w:lang w:val="fr-FR"/>
        </w:rPr>
        <w:t>Point 4 b) de l’ordre du jour provisoire</w:t>
      </w:r>
    </w:p>
    <w:p w14:paraId="3238B12C" w14:textId="77777777" w:rsidR="00046E1F" w:rsidRPr="00046E1F" w:rsidRDefault="00046E1F" w:rsidP="00046E1F">
      <w:pPr>
        <w:spacing w:line="240" w:lineRule="auto"/>
        <w:rPr>
          <w:b/>
          <w:bCs/>
          <w:lang w:val="fr-FR"/>
        </w:rPr>
      </w:pPr>
      <w:r w:rsidRPr="00046E1F">
        <w:rPr>
          <w:b/>
          <w:bCs/>
          <w:lang w:val="fr-FR"/>
        </w:rPr>
        <w:t>Propositions d’amendements au Règlement annexé à l’ADN</w:t>
      </w:r>
      <w:r w:rsidR="0002110A">
        <w:rPr>
          <w:b/>
          <w:bCs/>
          <w:lang w:val="fr-FR"/>
        </w:rPr>
        <w:t> </w:t>
      </w:r>
      <w:r w:rsidRPr="00046E1F">
        <w:rPr>
          <w:b/>
          <w:bCs/>
          <w:lang w:val="fr-FR"/>
        </w:rPr>
        <w:t>:</w:t>
      </w:r>
    </w:p>
    <w:p w14:paraId="43F1AB31" w14:textId="77777777" w:rsidR="00046E1F" w:rsidRPr="00046E1F" w:rsidRDefault="00046E1F" w:rsidP="00046E1F">
      <w:pPr>
        <w:spacing w:line="240" w:lineRule="auto"/>
        <w:rPr>
          <w:b/>
          <w:lang w:val="fr-FR"/>
        </w:rPr>
      </w:pPr>
      <w:r w:rsidRPr="00046E1F">
        <w:rPr>
          <w:b/>
          <w:bCs/>
          <w:lang w:val="fr-FR"/>
        </w:rPr>
        <w:t>Autres propositions</w:t>
      </w:r>
    </w:p>
    <w:p w14:paraId="29415836" w14:textId="77777777" w:rsidR="00046E1F" w:rsidRPr="00B46F54" w:rsidRDefault="00046E1F" w:rsidP="0002110A">
      <w:pPr>
        <w:pStyle w:val="HChG"/>
        <w:rPr>
          <w:lang w:val="fr-FR"/>
        </w:rPr>
      </w:pPr>
      <w:r w:rsidRPr="002E21B6">
        <w:rPr>
          <w:lang w:val="fr-FR"/>
        </w:rPr>
        <w:tab/>
      </w:r>
      <w:r w:rsidRPr="002E21B6">
        <w:rPr>
          <w:lang w:val="fr-FR"/>
        </w:rPr>
        <w:tab/>
        <w:t>Instructions de chargement et de déchargement</w:t>
      </w:r>
    </w:p>
    <w:p w14:paraId="4AE1C830" w14:textId="77777777" w:rsidR="00046E1F" w:rsidRDefault="00046E1F" w:rsidP="0002110A">
      <w:pPr>
        <w:pStyle w:val="H1G"/>
        <w:rPr>
          <w:lang w:val="fr-FR"/>
        </w:rPr>
      </w:pPr>
      <w:r w:rsidRPr="002E21B6">
        <w:rPr>
          <w:lang w:val="fr-FR"/>
        </w:rPr>
        <w:tab/>
      </w:r>
      <w:r w:rsidRPr="002E21B6">
        <w:rPr>
          <w:lang w:val="fr-FR"/>
        </w:rPr>
        <w:tab/>
        <w:t>Communication du Gouvernement des Pays-Bas</w:t>
      </w:r>
      <w:r w:rsidRPr="0002110A">
        <w:rPr>
          <w:rStyle w:val="FootnoteReference"/>
          <w:b w:val="0"/>
          <w:bCs/>
          <w:sz w:val="20"/>
          <w:vertAlign w:val="baseline"/>
          <w:lang w:val="fr-FR"/>
        </w:rPr>
        <w:footnoteReference w:customMarkFollows="1" w:id="2"/>
        <w:t>*</w:t>
      </w:r>
      <w:r w:rsidRPr="002E21B6">
        <w:rPr>
          <w:bCs/>
          <w:vertAlign w:val="superscript"/>
          <w:lang w:val="fr-FR"/>
        </w:rPr>
        <w:t>,</w:t>
      </w:r>
      <w:r w:rsidRPr="0002110A">
        <w:rPr>
          <w:rStyle w:val="FootnoteReference"/>
          <w:b w:val="0"/>
          <w:bCs/>
          <w:sz w:val="20"/>
          <w:vertAlign w:val="baseline"/>
          <w:lang w:val="fr-FR"/>
        </w:rPr>
        <w:footnoteReference w:customMarkFollows="1" w:id="3"/>
        <w:t>**</w:t>
      </w:r>
      <w:r>
        <w:rPr>
          <w:bCs/>
          <w:lang w:val="fr-FR"/>
        </w:rPr>
        <w:t>,</w:t>
      </w:r>
      <w:r w:rsidRPr="002E21B6">
        <w:rPr>
          <w:lang w:val="fr-FR"/>
        </w:rPr>
        <w:t xml:space="preserve"> avec l</w:t>
      </w:r>
      <w:r>
        <w:rPr>
          <w:lang w:val="fr-FR"/>
        </w:rPr>
        <w:t>’</w:t>
      </w:r>
      <w:r w:rsidRPr="002E21B6">
        <w:rPr>
          <w:lang w:val="fr-FR"/>
        </w:rPr>
        <w:t xml:space="preserve">appui </w:t>
      </w:r>
      <w:r w:rsidR="000D54D9">
        <w:rPr>
          <w:lang w:val="fr-FR"/>
        </w:rPr>
        <w:br/>
      </w:r>
      <w:r w:rsidRPr="002E21B6">
        <w:rPr>
          <w:lang w:val="fr-FR"/>
        </w:rPr>
        <w:t>de l</w:t>
      </w:r>
      <w:r>
        <w:rPr>
          <w:lang w:val="fr-FR"/>
        </w:rPr>
        <w:t>’</w:t>
      </w:r>
      <w:r w:rsidRPr="002E21B6">
        <w:rPr>
          <w:lang w:val="fr-FR"/>
        </w:rPr>
        <w:t xml:space="preserve">Union européenne de la navigation fluviale (UENF) </w:t>
      </w:r>
      <w:r w:rsidR="000D54D9">
        <w:rPr>
          <w:lang w:val="fr-FR"/>
        </w:rPr>
        <w:br/>
      </w:r>
      <w:r w:rsidRPr="002E21B6">
        <w:rPr>
          <w:lang w:val="fr-FR"/>
        </w:rPr>
        <w:t>et de l</w:t>
      </w:r>
      <w:r>
        <w:rPr>
          <w:lang w:val="fr-FR"/>
        </w:rPr>
        <w:t>’</w:t>
      </w:r>
      <w:r w:rsidRPr="002E21B6">
        <w:rPr>
          <w:lang w:val="fr-FR"/>
        </w:rPr>
        <w:t>Organisation européenne des bateliers (OEB)</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34311" w14:paraId="1FBB9349" w14:textId="77777777">
        <w:trPr>
          <w:jc w:val="center"/>
        </w:trPr>
        <w:tc>
          <w:tcPr>
            <w:tcW w:w="9637" w:type="dxa"/>
            <w:shd w:val="clear" w:color="auto" w:fill="auto"/>
          </w:tcPr>
          <w:p w14:paraId="52C9B898" w14:textId="77777777" w:rsidR="00334311" w:rsidRDefault="00334311">
            <w:pPr>
              <w:spacing w:before="240" w:after="120"/>
              <w:ind w:left="255"/>
              <w:rPr>
                <w:i/>
                <w:sz w:val="24"/>
              </w:rPr>
            </w:pPr>
            <w:r>
              <w:rPr>
                <w:i/>
                <w:sz w:val="24"/>
              </w:rPr>
              <w:t>Résumé</w:t>
            </w:r>
          </w:p>
        </w:tc>
      </w:tr>
      <w:tr w:rsidR="00334311" w14:paraId="09DC7263" w14:textId="77777777" w:rsidTr="000410B9">
        <w:trPr>
          <w:jc w:val="center"/>
        </w:trPr>
        <w:tc>
          <w:tcPr>
            <w:tcW w:w="9637" w:type="dxa"/>
            <w:shd w:val="clear" w:color="auto" w:fill="auto"/>
          </w:tcPr>
          <w:p w14:paraId="7A0E18DB" w14:textId="77777777" w:rsidR="00334311" w:rsidRDefault="00334311" w:rsidP="00334311">
            <w:pPr>
              <w:pStyle w:val="SingleTxtG"/>
              <w:ind w:left="3402" w:hanging="2268"/>
            </w:pPr>
            <w:r w:rsidRPr="00911F09">
              <w:rPr>
                <w:b/>
                <w:bCs/>
              </w:rPr>
              <w:t>Résumé analytique :</w:t>
            </w:r>
            <w:r>
              <w:tab/>
            </w:r>
            <w:r w:rsidRPr="00334311">
              <w:t>Le présent document vise à apporter des amendements à l’ADN afin d’établir un modèle unique pour les instructions de chargement et de déchargement.</w:t>
            </w:r>
          </w:p>
        </w:tc>
      </w:tr>
      <w:tr w:rsidR="00334311" w14:paraId="17607FF7" w14:textId="77777777" w:rsidTr="000410B9">
        <w:trPr>
          <w:jc w:val="center"/>
        </w:trPr>
        <w:tc>
          <w:tcPr>
            <w:tcW w:w="9637" w:type="dxa"/>
            <w:shd w:val="clear" w:color="auto" w:fill="auto"/>
          </w:tcPr>
          <w:p w14:paraId="691CF7EF" w14:textId="77777777" w:rsidR="00334311" w:rsidRDefault="00334311" w:rsidP="00334311">
            <w:pPr>
              <w:pStyle w:val="SingleTxtG"/>
              <w:ind w:left="3402" w:hanging="2268"/>
            </w:pPr>
            <w:r w:rsidRPr="00911F09">
              <w:rPr>
                <w:b/>
                <w:bCs/>
              </w:rPr>
              <w:t>Mesures à prendre :</w:t>
            </w:r>
            <w:r w:rsidR="00911F09" w:rsidRPr="00911F09">
              <w:rPr>
                <w:b/>
                <w:bCs/>
              </w:rPr>
              <w:t xml:space="preserve"> </w:t>
            </w:r>
            <w:r w:rsidR="00911F09">
              <w:tab/>
            </w:r>
            <w:r w:rsidR="00911F09" w:rsidRPr="00334311">
              <w:t>Le Comité de sécurité est invité à adopter les</w:t>
            </w:r>
            <w:r w:rsidR="00911F09" w:rsidRPr="00911F09">
              <w:t xml:space="preserve"> amendements proposés (voir par.</w:t>
            </w:r>
            <w:r w:rsidR="00E74C39">
              <w:t> </w:t>
            </w:r>
            <w:r w:rsidR="00911F09" w:rsidRPr="00911F09">
              <w:t>11).</w:t>
            </w:r>
          </w:p>
        </w:tc>
      </w:tr>
      <w:tr w:rsidR="00334311" w14:paraId="39F410F9" w14:textId="77777777">
        <w:trPr>
          <w:jc w:val="center"/>
        </w:trPr>
        <w:tc>
          <w:tcPr>
            <w:tcW w:w="9637" w:type="dxa"/>
            <w:shd w:val="clear" w:color="auto" w:fill="auto"/>
          </w:tcPr>
          <w:p w14:paraId="6C19EF09" w14:textId="77777777" w:rsidR="00334311" w:rsidRPr="00911F09" w:rsidRDefault="00911F09" w:rsidP="00E74C39">
            <w:pPr>
              <w:pStyle w:val="SingleTxtG"/>
              <w:ind w:left="3402" w:hanging="2268"/>
              <w:jc w:val="left"/>
              <w:rPr>
                <w:b/>
                <w:bCs/>
              </w:rPr>
            </w:pPr>
            <w:r w:rsidRPr="00911F09">
              <w:rPr>
                <w:b/>
                <w:bCs/>
              </w:rPr>
              <w:t>Documents connexes :</w:t>
            </w:r>
            <w:r w:rsidRPr="00911F09">
              <w:rPr>
                <w:b/>
                <w:bCs/>
              </w:rPr>
              <w:tab/>
            </w:r>
            <w:r w:rsidRPr="00911F09">
              <w:t>Document informel INF.12 de la trente-quatrième session</w:t>
            </w:r>
            <w:r w:rsidR="00E74C39">
              <w:t> ;</w:t>
            </w:r>
            <w:r>
              <w:br/>
            </w:r>
            <w:r w:rsidR="00E74C39">
              <w:t>d</w:t>
            </w:r>
            <w:r w:rsidRPr="00911F09">
              <w:t>ocument ECE/TRANS/WP.15/AC.2/70 (par.</w:t>
            </w:r>
            <w:r w:rsidR="00E74C39">
              <w:t> </w:t>
            </w:r>
            <w:r w:rsidRPr="00911F09">
              <w:t>16</w:t>
            </w:r>
            <w:r w:rsidR="00E74C39">
              <w:t xml:space="preserve"> et </w:t>
            </w:r>
            <w:r w:rsidRPr="00911F09">
              <w:t>17)</w:t>
            </w:r>
            <w:r w:rsidR="00E74C39">
              <w:t> ;</w:t>
            </w:r>
            <w:r>
              <w:br/>
            </w:r>
            <w:r w:rsidR="00E74C39">
              <w:t>d</w:t>
            </w:r>
            <w:r w:rsidRPr="00911F09">
              <w:t>ocument informel INF.9 de la trente-cinquième session</w:t>
            </w:r>
            <w:r w:rsidR="00E74C39">
              <w:t> ;</w:t>
            </w:r>
            <w:r>
              <w:br/>
            </w:r>
            <w:r w:rsidR="00E74C39">
              <w:t>d</w:t>
            </w:r>
            <w:r w:rsidR="0074464B" w:rsidRPr="00911F09">
              <w:t>ocument ECE/TRANS/WP.15/AC.2/72 (par.</w:t>
            </w:r>
            <w:r w:rsidR="00EA1DB1">
              <w:t> </w:t>
            </w:r>
            <w:r w:rsidR="0074464B" w:rsidRPr="00911F09">
              <w:t>14 à 16)</w:t>
            </w:r>
            <w:r w:rsidR="00E74C39">
              <w:t>.</w:t>
            </w:r>
          </w:p>
        </w:tc>
      </w:tr>
      <w:tr w:rsidR="00334311" w14:paraId="0FB5FF02" w14:textId="77777777">
        <w:trPr>
          <w:jc w:val="center"/>
        </w:trPr>
        <w:tc>
          <w:tcPr>
            <w:tcW w:w="9637" w:type="dxa"/>
            <w:shd w:val="clear" w:color="auto" w:fill="auto"/>
          </w:tcPr>
          <w:p w14:paraId="633BFF17" w14:textId="77777777" w:rsidR="00334311" w:rsidRDefault="00334311"/>
        </w:tc>
      </w:tr>
    </w:tbl>
    <w:p w14:paraId="5404A78C" w14:textId="77777777" w:rsidR="00046E1F" w:rsidRPr="00B46F54" w:rsidRDefault="00046E1F" w:rsidP="0074464B">
      <w:pPr>
        <w:pStyle w:val="HChG"/>
        <w:rPr>
          <w:lang w:val="fr-FR"/>
        </w:rPr>
      </w:pPr>
      <w:r w:rsidRPr="002E21B6">
        <w:rPr>
          <w:lang w:val="fr-FR"/>
        </w:rPr>
        <w:lastRenderedPageBreak/>
        <w:tab/>
      </w:r>
      <w:r w:rsidRPr="002E21B6">
        <w:rPr>
          <w:lang w:val="fr-FR"/>
        </w:rPr>
        <w:tab/>
        <w:t>Introduction</w:t>
      </w:r>
    </w:p>
    <w:p w14:paraId="519C8C10" w14:textId="77777777" w:rsidR="00046E1F" w:rsidRPr="00B46F54" w:rsidRDefault="00046E1F" w:rsidP="00EA1A4E">
      <w:pPr>
        <w:pStyle w:val="SingleTxtG"/>
        <w:spacing w:after="100" w:line="238" w:lineRule="atLeast"/>
        <w:rPr>
          <w:lang w:val="fr-FR"/>
        </w:rPr>
      </w:pPr>
      <w:r w:rsidRPr="002E21B6">
        <w:rPr>
          <w:lang w:val="fr-FR"/>
        </w:rPr>
        <w:t>1.</w:t>
      </w:r>
      <w:r w:rsidRPr="002E21B6">
        <w:rPr>
          <w:lang w:val="fr-FR"/>
        </w:rPr>
        <w:tab/>
        <w:t xml:space="preserve">Le </w:t>
      </w:r>
      <w:r>
        <w:rPr>
          <w:lang w:val="fr-FR"/>
        </w:rPr>
        <w:t>R</w:t>
      </w:r>
      <w:r w:rsidRPr="002E21B6">
        <w:rPr>
          <w:lang w:val="fr-FR"/>
        </w:rPr>
        <w:t>èglement annexé à l</w:t>
      </w:r>
      <w:r>
        <w:rPr>
          <w:lang w:val="fr-FR"/>
        </w:rPr>
        <w:t>’</w:t>
      </w:r>
      <w:r w:rsidRPr="002E21B6">
        <w:rPr>
          <w:lang w:val="fr-FR"/>
        </w:rPr>
        <w:t>ADN contient de nombreuses prescriptions spécifiques concernant les débits de chargement et de déchargement. Des prescriptions détaillées relatives aux débits maxim</w:t>
      </w:r>
      <w:r>
        <w:rPr>
          <w:lang w:val="fr-FR"/>
        </w:rPr>
        <w:t>aux</w:t>
      </w:r>
      <w:r w:rsidRPr="002E21B6">
        <w:rPr>
          <w:lang w:val="fr-FR"/>
        </w:rPr>
        <w:t xml:space="preserve"> admissibles de chargement et de déchargement contribuent à la prévention de la formation d</w:t>
      </w:r>
      <w:r>
        <w:rPr>
          <w:lang w:val="fr-FR"/>
        </w:rPr>
        <w:t>’</w:t>
      </w:r>
      <w:r w:rsidRPr="002E21B6">
        <w:rPr>
          <w:lang w:val="fr-FR"/>
        </w:rPr>
        <w:t>une charge électrostatique dans la cargaison, ainsi qu</w:t>
      </w:r>
      <w:r>
        <w:rPr>
          <w:lang w:val="fr-FR"/>
        </w:rPr>
        <w:t>’</w:t>
      </w:r>
      <w:r w:rsidRPr="002E21B6">
        <w:rPr>
          <w:lang w:val="fr-FR"/>
        </w:rPr>
        <w:t>à la prévention des déversements et de l</w:t>
      </w:r>
      <w:r>
        <w:rPr>
          <w:lang w:val="fr-FR"/>
        </w:rPr>
        <w:t>’</w:t>
      </w:r>
      <w:r w:rsidRPr="002E21B6">
        <w:rPr>
          <w:lang w:val="fr-FR"/>
        </w:rPr>
        <w:t>implosion ou de l</w:t>
      </w:r>
      <w:r>
        <w:rPr>
          <w:lang w:val="fr-FR"/>
        </w:rPr>
        <w:t>’</w:t>
      </w:r>
      <w:r w:rsidRPr="002E21B6">
        <w:rPr>
          <w:lang w:val="fr-FR"/>
        </w:rPr>
        <w:t>explosion de</w:t>
      </w:r>
      <w:r>
        <w:rPr>
          <w:lang w:val="fr-FR"/>
        </w:rPr>
        <w:t>s</w:t>
      </w:r>
      <w:r w:rsidRPr="002E21B6">
        <w:rPr>
          <w:lang w:val="fr-FR"/>
        </w:rPr>
        <w:t xml:space="preserve"> citerne</w:t>
      </w:r>
      <w:r>
        <w:rPr>
          <w:lang w:val="fr-FR"/>
        </w:rPr>
        <w:t>s</w:t>
      </w:r>
      <w:r w:rsidRPr="002E21B6">
        <w:rPr>
          <w:lang w:val="fr-FR"/>
        </w:rPr>
        <w:t xml:space="preserve"> à cargaison. Cependant, les prescriptions du</w:t>
      </w:r>
      <w:r>
        <w:rPr>
          <w:lang w:val="fr-FR"/>
        </w:rPr>
        <w:t>dit</w:t>
      </w:r>
      <w:r w:rsidRPr="002E21B6">
        <w:rPr>
          <w:lang w:val="fr-FR"/>
        </w:rPr>
        <w:t xml:space="preserve"> </w:t>
      </w:r>
      <w:r>
        <w:rPr>
          <w:lang w:val="fr-FR"/>
        </w:rPr>
        <w:t>R</w:t>
      </w:r>
      <w:r w:rsidRPr="002E21B6">
        <w:rPr>
          <w:lang w:val="fr-FR"/>
        </w:rPr>
        <w:t xml:space="preserve">èglement sont lacunaires en ce qui concerne les instructions de chargement et de déchargement. </w:t>
      </w:r>
    </w:p>
    <w:p w14:paraId="7DB6125B" w14:textId="77777777" w:rsidR="00046E1F" w:rsidRPr="00B46F54" w:rsidRDefault="00046E1F" w:rsidP="00EA1A4E">
      <w:pPr>
        <w:pStyle w:val="SingleTxtG"/>
        <w:spacing w:after="100" w:line="238" w:lineRule="atLeast"/>
        <w:rPr>
          <w:lang w:val="fr-FR"/>
        </w:rPr>
      </w:pPr>
      <w:r w:rsidRPr="002E21B6">
        <w:rPr>
          <w:lang w:val="fr-FR"/>
        </w:rPr>
        <w:t>2.</w:t>
      </w:r>
      <w:r w:rsidRPr="002E21B6">
        <w:rPr>
          <w:lang w:val="fr-FR"/>
        </w:rPr>
        <w:tab/>
        <w:t>En raison du caractère général des prescriptions actuelles, le</w:t>
      </w:r>
      <w:r>
        <w:rPr>
          <w:lang w:val="fr-FR"/>
        </w:rPr>
        <w:t>s</w:t>
      </w:r>
      <w:r w:rsidRPr="002E21B6">
        <w:rPr>
          <w:lang w:val="fr-FR"/>
        </w:rPr>
        <w:t xml:space="preserve"> </w:t>
      </w:r>
      <w:r>
        <w:rPr>
          <w:lang w:val="fr-FR"/>
        </w:rPr>
        <w:t xml:space="preserve">professionnels </w:t>
      </w:r>
      <w:r w:rsidRPr="002E21B6">
        <w:rPr>
          <w:lang w:val="fr-FR"/>
        </w:rPr>
        <w:t xml:space="preserve">du remplissage et </w:t>
      </w:r>
      <w:r>
        <w:rPr>
          <w:lang w:val="fr-FR"/>
        </w:rPr>
        <w:t xml:space="preserve">du </w:t>
      </w:r>
      <w:r w:rsidRPr="002E21B6">
        <w:rPr>
          <w:lang w:val="fr-FR"/>
        </w:rPr>
        <w:t xml:space="preserve">transport </w:t>
      </w:r>
      <w:r>
        <w:rPr>
          <w:lang w:val="fr-FR"/>
        </w:rPr>
        <w:t xml:space="preserve">ont </w:t>
      </w:r>
      <w:r w:rsidRPr="002E21B6">
        <w:rPr>
          <w:lang w:val="fr-FR"/>
        </w:rPr>
        <w:t xml:space="preserve">élaboré au cours des dernières décennies un grand nombre de modèles différents pour répondre aux prescriptions du </w:t>
      </w:r>
      <w:r>
        <w:rPr>
          <w:lang w:val="fr-FR"/>
        </w:rPr>
        <w:t>R</w:t>
      </w:r>
      <w:r w:rsidRPr="002E21B6">
        <w:rPr>
          <w:lang w:val="fr-FR"/>
        </w:rPr>
        <w:t>èglement annexé à l</w:t>
      </w:r>
      <w:r>
        <w:rPr>
          <w:lang w:val="fr-FR"/>
        </w:rPr>
        <w:t>’</w:t>
      </w:r>
      <w:r w:rsidRPr="002E21B6">
        <w:rPr>
          <w:lang w:val="fr-FR"/>
        </w:rPr>
        <w:t>ADN. Pour</w:t>
      </w:r>
      <w:r w:rsidR="00B24121">
        <w:rPr>
          <w:lang w:val="fr-FR"/>
        </w:rPr>
        <w:t> </w:t>
      </w:r>
      <w:r w:rsidRPr="002E21B6">
        <w:rPr>
          <w:lang w:val="fr-FR"/>
        </w:rPr>
        <w:t>que le</w:t>
      </w:r>
      <w:r>
        <w:rPr>
          <w:lang w:val="fr-FR"/>
        </w:rPr>
        <w:t>s</w:t>
      </w:r>
      <w:r w:rsidRPr="002E21B6">
        <w:rPr>
          <w:lang w:val="fr-FR"/>
        </w:rPr>
        <w:t xml:space="preserve"> processus de chargement et de déchargement soi</w:t>
      </w:r>
      <w:r>
        <w:rPr>
          <w:lang w:val="fr-FR"/>
        </w:rPr>
        <w:t>en</w:t>
      </w:r>
      <w:r w:rsidRPr="002E21B6">
        <w:rPr>
          <w:lang w:val="fr-FR"/>
        </w:rPr>
        <w:t>t sans risque</w:t>
      </w:r>
      <w:r>
        <w:rPr>
          <w:lang w:val="fr-FR"/>
        </w:rPr>
        <w:t>s</w:t>
      </w:r>
      <w:r w:rsidRPr="002E21B6">
        <w:rPr>
          <w:lang w:val="fr-FR"/>
        </w:rPr>
        <w:t>, il faut disposer d</w:t>
      </w:r>
      <w:r>
        <w:rPr>
          <w:lang w:val="fr-FR"/>
        </w:rPr>
        <w:t>’</w:t>
      </w:r>
      <w:r w:rsidRPr="002E21B6">
        <w:rPr>
          <w:lang w:val="fr-FR"/>
        </w:rPr>
        <w:t>informations essentielles sur le</w:t>
      </w:r>
      <w:r>
        <w:rPr>
          <w:lang w:val="fr-FR"/>
        </w:rPr>
        <w:t xml:space="preserve"> bateau</w:t>
      </w:r>
      <w:r w:rsidRPr="002E21B6">
        <w:rPr>
          <w:lang w:val="fr-FR"/>
        </w:rPr>
        <w:t xml:space="preserve"> transporteur et sur la (densité de vapeur de la) matière transportée. Cependant, ces informations ne sont</w:t>
      </w:r>
      <w:r w:rsidR="00B24121">
        <w:rPr>
          <w:lang w:val="fr-FR"/>
        </w:rPr>
        <w:t xml:space="preserve"> </w:t>
      </w:r>
      <w:r>
        <w:rPr>
          <w:lang w:val="fr-FR"/>
        </w:rPr>
        <w:t>hélas</w:t>
      </w:r>
      <w:r w:rsidRPr="002E21B6">
        <w:rPr>
          <w:lang w:val="fr-FR"/>
        </w:rPr>
        <w:t xml:space="preserve"> pas toujours communiquées ou</w:t>
      </w:r>
      <w:r w:rsidR="00B24121">
        <w:rPr>
          <w:lang w:val="fr-FR"/>
        </w:rPr>
        <w:t xml:space="preserve"> </w:t>
      </w:r>
      <w:r w:rsidRPr="002E21B6">
        <w:rPr>
          <w:lang w:val="fr-FR"/>
        </w:rPr>
        <w:t>utilisées à bon escient, ce qui crée des situations potentiellement dangereuses lors du chargement</w:t>
      </w:r>
      <w:r w:rsidR="00B24121">
        <w:rPr>
          <w:lang w:val="fr-FR"/>
        </w:rPr>
        <w:t xml:space="preserve"> </w:t>
      </w:r>
      <w:r>
        <w:rPr>
          <w:lang w:val="fr-FR"/>
        </w:rPr>
        <w:t>ou</w:t>
      </w:r>
      <w:r w:rsidRPr="002E21B6">
        <w:rPr>
          <w:lang w:val="fr-FR"/>
        </w:rPr>
        <w:t xml:space="preserve"> du déchargement. Dans la pratique, on a parfois utilisé les mauvais documents, comme le document pour le calcul de la perte de</w:t>
      </w:r>
      <w:r w:rsidR="00B24121">
        <w:rPr>
          <w:lang w:val="fr-FR"/>
        </w:rPr>
        <w:t xml:space="preserve"> </w:t>
      </w:r>
      <w:r>
        <w:rPr>
          <w:lang w:val="fr-FR"/>
        </w:rPr>
        <w:t>pression</w:t>
      </w:r>
      <w:r w:rsidRPr="002E21B6">
        <w:rPr>
          <w:lang w:val="fr-FR"/>
        </w:rPr>
        <w:t xml:space="preserve"> (qui est effectué pendant la construction du</w:t>
      </w:r>
      <w:r w:rsidR="00B24121">
        <w:rPr>
          <w:lang w:val="fr-FR"/>
        </w:rPr>
        <w:t xml:space="preserve"> </w:t>
      </w:r>
      <w:r>
        <w:rPr>
          <w:lang w:val="fr-FR"/>
        </w:rPr>
        <w:t>bateau</w:t>
      </w:r>
      <w:r w:rsidRPr="002E21B6">
        <w:rPr>
          <w:lang w:val="fr-FR"/>
        </w:rPr>
        <w:t>)</w:t>
      </w:r>
      <w:r w:rsidR="00B24121">
        <w:rPr>
          <w:lang w:val="fr-FR"/>
        </w:rPr>
        <w:t xml:space="preserve"> </w:t>
      </w:r>
      <w:r>
        <w:rPr>
          <w:lang w:val="fr-FR"/>
        </w:rPr>
        <w:t xml:space="preserve">ou </w:t>
      </w:r>
      <w:r w:rsidRPr="002E21B6">
        <w:rPr>
          <w:lang w:val="fr-FR"/>
        </w:rPr>
        <w:t>le document d</w:t>
      </w:r>
      <w:r>
        <w:rPr>
          <w:lang w:val="fr-FR"/>
        </w:rPr>
        <w:t>’</w:t>
      </w:r>
      <w:r w:rsidRPr="002E21B6">
        <w:rPr>
          <w:lang w:val="fr-FR"/>
        </w:rPr>
        <w:t xml:space="preserve">évaluation de la conception, pour y puiser des instructions de chargement et de déchargement. </w:t>
      </w:r>
    </w:p>
    <w:p w14:paraId="4CEB3760" w14:textId="77777777" w:rsidR="00046E1F" w:rsidRPr="00B46F54" w:rsidRDefault="00046E1F" w:rsidP="00EA1A4E">
      <w:pPr>
        <w:pStyle w:val="SingleTxtG"/>
        <w:spacing w:after="100" w:line="238" w:lineRule="atLeast"/>
        <w:rPr>
          <w:lang w:val="fr-FR"/>
        </w:rPr>
      </w:pPr>
      <w:r w:rsidRPr="002E21B6">
        <w:rPr>
          <w:lang w:val="fr-FR"/>
        </w:rPr>
        <w:t>3.</w:t>
      </w:r>
      <w:r w:rsidRPr="002E21B6">
        <w:rPr>
          <w:lang w:val="fr-FR"/>
        </w:rPr>
        <w:tab/>
      </w:r>
      <w:r>
        <w:rPr>
          <w:lang w:val="fr-FR"/>
        </w:rPr>
        <w:t>Aux</w:t>
      </w:r>
      <w:r w:rsidRPr="002E21B6">
        <w:rPr>
          <w:lang w:val="fr-FR"/>
        </w:rPr>
        <w:t xml:space="preserve"> trente-quatrième et trente-cinquième</w:t>
      </w:r>
      <w:r w:rsidR="00B24121">
        <w:rPr>
          <w:lang w:val="fr-FR"/>
        </w:rPr>
        <w:t xml:space="preserve"> </w:t>
      </w:r>
      <w:r>
        <w:rPr>
          <w:lang w:val="fr-FR"/>
        </w:rPr>
        <w:t xml:space="preserve">sessions </w:t>
      </w:r>
      <w:r w:rsidRPr="002E21B6">
        <w:rPr>
          <w:lang w:val="fr-FR"/>
        </w:rPr>
        <w:t>du Comité de sécurité, les Pays</w:t>
      </w:r>
      <w:r w:rsidR="0039010F">
        <w:rPr>
          <w:lang w:val="fr-FR"/>
        </w:rPr>
        <w:noBreakHyphen/>
      </w:r>
      <w:r w:rsidRPr="002E21B6">
        <w:rPr>
          <w:lang w:val="fr-FR"/>
        </w:rPr>
        <w:t>Bas ont présenté un modèle d</w:t>
      </w:r>
      <w:r>
        <w:rPr>
          <w:lang w:val="fr-FR"/>
        </w:rPr>
        <w:t>’</w:t>
      </w:r>
      <w:r w:rsidRPr="002E21B6">
        <w:rPr>
          <w:lang w:val="fr-FR"/>
        </w:rPr>
        <w:t>instructions de chargement et de déchargement, élaboré en 2018 en collaboration avec les organismes d</w:t>
      </w:r>
      <w:r>
        <w:rPr>
          <w:lang w:val="fr-FR"/>
        </w:rPr>
        <w:t>’</w:t>
      </w:r>
      <w:r w:rsidRPr="002E21B6">
        <w:rPr>
          <w:lang w:val="fr-FR"/>
        </w:rPr>
        <w:t>inspection, le secteur du remplissage et le secteur des transports</w:t>
      </w:r>
      <w:r>
        <w:rPr>
          <w:lang w:val="fr-FR"/>
        </w:rPr>
        <w:t xml:space="preserve"> </w:t>
      </w:r>
      <w:r w:rsidRPr="00B97C66">
        <w:rPr>
          <w:lang w:val="fr-FR"/>
        </w:rPr>
        <w:t>néerlandais</w:t>
      </w:r>
      <w:r w:rsidRPr="002E21B6">
        <w:rPr>
          <w:lang w:val="fr-FR"/>
        </w:rPr>
        <w:t>. Ce modèle</w:t>
      </w:r>
      <w:r w:rsidR="00B24121">
        <w:rPr>
          <w:lang w:val="fr-FR"/>
        </w:rPr>
        <w:t xml:space="preserve"> </w:t>
      </w:r>
      <w:r>
        <w:rPr>
          <w:lang w:val="fr-FR"/>
        </w:rPr>
        <w:t xml:space="preserve">permet de mener </w:t>
      </w:r>
      <w:r w:rsidRPr="002E21B6">
        <w:rPr>
          <w:lang w:val="fr-FR"/>
        </w:rPr>
        <w:t>des opérations de remplissage effica</w:t>
      </w:r>
      <w:r>
        <w:rPr>
          <w:lang w:val="fr-FR"/>
        </w:rPr>
        <w:t>cement,</w:t>
      </w:r>
      <w:r w:rsidRPr="002E21B6">
        <w:rPr>
          <w:lang w:val="fr-FR"/>
        </w:rPr>
        <w:t xml:space="preserve"> tout en évitant la formation d</w:t>
      </w:r>
      <w:r>
        <w:rPr>
          <w:lang w:val="fr-FR"/>
        </w:rPr>
        <w:t>’</w:t>
      </w:r>
      <w:r w:rsidRPr="002E21B6">
        <w:rPr>
          <w:lang w:val="fr-FR"/>
        </w:rPr>
        <w:t>une charge électrostatique, les déversements et les implosions ou explosions de la citerne de cargaison.</w:t>
      </w:r>
      <w:r w:rsidR="00B24121">
        <w:rPr>
          <w:lang w:val="fr-FR"/>
        </w:rPr>
        <w:t xml:space="preserve"> </w:t>
      </w:r>
      <w:r>
        <w:rPr>
          <w:lang w:val="fr-FR"/>
        </w:rPr>
        <w:t xml:space="preserve">Il </w:t>
      </w:r>
      <w:r w:rsidRPr="002E21B6">
        <w:rPr>
          <w:lang w:val="fr-FR"/>
        </w:rPr>
        <w:t>a été présenté par l</w:t>
      </w:r>
      <w:r>
        <w:rPr>
          <w:lang w:val="fr-FR"/>
        </w:rPr>
        <w:t>’</w:t>
      </w:r>
      <w:r w:rsidRPr="002E21B6">
        <w:rPr>
          <w:lang w:val="fr-FR"/>
        </w:rPr>
        <w:t>UENF et l</w:t>
      </w:r>
      <w:r>
        <w:rPr>
          <w:lang w:val="fr-FR"/>
        </w:rPr>
        <w:t>’</w:t>
      </w:r>
      <w:r w:rsidRPr="002E21B6">
        <w:rPr>
          <w:lang w:val="fr-FR"/>
        </w:rPr>
        <w:t>OEB à la trente-cinquième</w:t>
      </w:r>
      <w:r w:rsidR="00B24121">
        <w:rPr>
          <w:lang w:val="fr-FR"/>
        </w:rPr>
        <w:t xml:space="preserve"> </w:t>
      </w:r>
      <w:r>
        <w:rPr>
          <w:lang w:val="fr-FR"/>
        </w:rPr>
        <w:t xml:space="preserve">session </w:t>
      </w:r>
      <w:r w:rsidRPr="002E21B6">
        <w:rPr>
          <w:lang w:val="fr-FR"/>
        </w:rPr>
        <w:t>du Comité de sécurité.</w:t>
      </w:r>
      <w:r w:rsidR="00B24121">
        <w:rPr>
          <w:lang w:val="fr-FR"/>
        </w:rPr>
        <w:t xml:space="preserve"> </w:t>
      </w:r>
      <w:r>
        <w:rPr>
          <w:lang w:val="fr-FR"/>
        </w:rPr>
        <w:t xml:space="preserve">Celui-ci </w:t>
      </w:r>
      <w:r w:rsidRPr="002E21B6">
        <w:rPr>
          <w:lang w:val="fr-FR"/>
        </w:rPr>
        <w:t>a accueilli favorablement l</w:t>
      </w:r>
      <w:r>
        <w:rPr>
          <w:lang w:val="fr-FR"/>
        </w:rPr>
        <w:t>’</w:t>
      </w:r>
      <w:r w:rsidRPr="002E21B6">
        <w:rPr>
          <w:lang w:val="fr-FR"/>
        </w:rPr>
        <w:t>initiative des Pays-Bas</w:t>
      </w:r>
      <w:r>
        <w:rPr>
          <w:lang w:val="fr-FR"/>
        </w:rPr>
        <w:t>,</w:t>
      </w:r>
      <w:r w:rsidRPr="002E21B6">
        <w:rPr>
          <w:lang w:val="fr-FR"/>
        </w:rPr>
        <w:t xml:space="preserve"> consistant à élaborer un modèle type pour les instructions de chargement et de déchargement qui préciserait les débits admissibles de chargement et de déchargement, compte tenu de la configuration spécifique de la barge et des caractéristiques de la matière.</w:t>
      </w:r>
    </w:p>
    <w:p w14:paraId="76B843B3" w14:textId="77777777" w:rsidR="00046E1F" w:rsidRPr="00B46F54" w:rsidRDefault="00046E1F" w:rsidP="00E33FA1">
      <w:pPr>
        <w:pStyle w:val="HChG"/>
        <w:rPr>
          <w:lang w:val="fr-FR"/>
        </w:rPr>
      </w:pPr>
      <w:r w:rsidRPr="002E21B6">
        <w:rPr>
          <w:lang w:val="fr-FR"/>
        </w:rPr>
        <w:tab/>
      </w:r>
      <w:r w:rsidRPr="002E21B6">
        <w:rPr>
          <w:lang w:val="fr-FR"/>
        </w:rPr>
        <w:tab/>
        <w:t>Précisions sur les amendements proposés</w:t>
      </w:r>
    </w:p>
    <w:p w14:paraId="160A2477" w14:textId="77777777" w:rsidR="00046E1F" w:rsidRPr="00B46F54" w:rsidRDefault="00046E1F" w:rsidP="00EA1A4E">
      <w:pPr>
        <w:pStyle w:val="SingleTxtG"/>
        <w:spacing w:after="100" w:line="238" w:lineRule="atLeast"/>
        <w:rPr>
          <w:lang w:val="fr-FR"/>
        </w:rPr>
      </w:pPr>
      <w:r w:rsidRPr="002E21B6">
        <w:rPr>
          <w:lang w:val="fr-FR"/>
        </w:rPr>
        <w:t>4.</w:t>
      </w:r>
      <w:r w:rsidRPr="002E21B6">
        <w:rPr>
          <w:lang w:val="fr-FR"/>
        </w:rPr>
        <w:tab/>
      </w:r>
      <w:r w:rsidR="00E33FA1">
        <w:rPr>
          <w:lang w:val="fr-FR"/>
        </w:rPr>
        <w:t>À</w:t>
      </w:r>
      <w:r w:rsidRPr="002E21B6">
        <w:rPr>
          <w:lang w:val="fr-FR"/>
        </w:rPr>
        <w:t xml:space="preserve"> la trente-cinquième session du Comité de sécurité, la question s</w:t>
      </w:r>
      <w:r>
        <w:rPr>
          <w:lang w:val="fr-FR"/>
        </w:rPr>
        <w:t>’</w:t>
      </w:r>
      <w:r w:rsidRPr="002E21B6">
        <w:rPr>
          <w:lang w:val="fr-FR"/>
        </w:rPr>
        <w:t xml:space="preserve">est posée de savoir qui serait chargé de rédiger les instructions de chargement et de déchargement. </w:t>
      </w:r>
      <w:r>
        <w:rPr>
          <w:lang w:val="fr-FR"/>
        </w:rPr>
        <w:t>C</w:t>
      </w:r>
      <w:r w:rsidRPr="002E21B6">
        <w:rPr>
          <w:lang w:val="fr-FR"/>
        </w:rPr>
        <w:t>es</w:t>
      </w:r>
      <w:r w:rsidR="00543078">
        <w:rPr>
          <w:lang w:val="fr-FR"/>
        </w:rPr>
        <w:t> </w:t>
      </w:r>
      <w:r w:rsidRPr="002E21B6">
        <w:rPr>
          <w:lang w:val="fr-FR"/>
        </w:rPr>
        <w:t xml:space="preserve">instructions </w:t>
      </w:r>
      <w:r>
        <w:rPr>
          <w:lang w:val="fr-FR"/>
        </w:rPr>
        <w:t xml:space="preserve">devant </w:t>
      </w:r>
      <w:r w:rsidRPr="002E21B6">
        <w:rPr>
          <w:lang w:val="fr-FR"/>
        </w:rPr>
        <w:t>jouer un rôle important dans la sécurité de toutes les opérations de chargement et de déchargement, la délégation néerlandaise propose de demander à la société de classification chargée de</w:t>
      </w:r>
      <w:r w:rsidR="00B24121">
        <w:rPr>
          <w:lang w:val="fr-FR"/>
        </w:rPr>
        <w:t xml:space="preserve"> </w:t>
      </w:r>
      <w:r>
        <w:rPr>
          <w:lang w:val="fr-FR"/>
        </w:rPr>
        <w:t xml:space="preserve">classer le bateau </w:t>
      </w:r>
      <w:r w:rsidRPr="002E21B6">
        <w:rPr>
          <w:lang w:val="fr-FR"/>
        </w:rPr>
        <w:t xml:space="preserve">de </w:t>
      </w:r>
      <w:r>
        <w:rPr>
          <w:lang w:val="fr-FR"/>
        </w:rPr>
        <w:t xml:space="preserve">les </w:t>
      </w:r>
      <w:r w:rsidRPr="002E21B6">
        <w:rPr>
          <w:lang w:val="fr-FR"/>
        </w:rPr>
        <w:t xml:space="preserve">rédiger et de </w:t>
      </w:r>
      <w:r>
        <w:rPr>
          <w:lang w:val="fr-FR"/>
        </w:rPr>
        <w:t xml:space="preserve">les </w:t>
      </w:r>
      <w:r w:rsidRPr="002E21B6">
        <w:rPr>
          <w:lang w:val="fr-FR"/>
        </w:rPr>
        <w:t>publier. Cela facilitera également l</w:t>
      </w:r>
      <w:r>
        <w:rPr>
          <w:lang w:val="fr-FR"/>
        </w:rPr>
        <w:t>’</w:t>
      </w:r>
      <w:r w:rsidRPr="002E21B6">
        <w:rPr>
          <w:lang w:val="fr-FR"/>
        </w:rPr>
        <w:t>établissement d</w:t>
      </w:r>
      <w:r>
        <w:rPr>
          <w:lang w:val="fr-FR"/>
        </w:rPr>
        <w:t>’</w:t>
      </w:r>
      <w:r w:rsidRPr="002E21B6">
        <w:rPr>
          <w:lang w:val="fr-FR"/>
        </w:rPr>
        <w:t>un modèle unique d</w:t>
      </w:r>
      <w:r>
        <w:rPr>
          <w:lang w:val="fr-FR"/>
        </w:rPr>
        <w:t>’</w:t>
      </w:r>
      <w:r w:rsidRPr="002E21B6">
        <w:rPr>
          <w:lang w:val="fr-FR"/>
        </w:rPr>
        <w:t>instructions.</w:t>
      </w:r>
    </w:p>
    <w:p w14:paraId="1E259537" w14:textId="77777777" w:rsidR="00046E1F" w:rsidRPr="00B46F54" w:rsidRDefault="00046E1F" w:rsidP="00EA1A4E">
      <w:pPr>
        <w:pStyle w:val="SingleTxtG"/>
        <w:spacing w:after="100" w:line="238" w:lineRule="atLeast"/>
        <w:rPr>
          <w:lang w:val="fr-FR"/>
        </w:rPr>
      </w:pPr>
      <w:r w:rsidRPr="002E21B6">
        <w:rPr>
          <w:lang w:val="fr-FR"/>
        </w:rPr>
        <w:t>5.</w:t>
      </w:r>
      <w:r w:rsidRPr="002E21B6">
        <w:rPr>
          <w:lang w:val="fr-FR"/>
        </w:rPr>
        <w:tab/>
        <w:t xml:space="preserve">Les spécifications et prescriptions relatives aux instructions de chargement et de déchargement </w:t>
      </w:r>
      <w:r>
        <w:rPr>
          <w:lang w:val="fr-FR"/>
        </w:rPr>
        <w:t xml:space="preserve">actuelles </w:t>
      </w:r>
      <w:r w:rsidRPr="002E21B6">
        <w:rPr>
          <w:lang w:val="fr-FR"/>
        </w:rPr>
        <w:t>sont énoncées dans les 7.2.4.16.15 et 9.3.X.25.9. Les prescriptions relatives aux calculs nécessaires à l</w:t>
      </w:r>
      <w:r>
        <w:rPr>
          <w:lang w:val="fr-FR"/>
        </w:rPr>
        <w:t>’</w:t>
      </w:r>
      <w:r w:rsidRPr="002E21B6">
        <w:rPr>
          <w:lang w:val="fr-FR"/>
        </w:rPr>
        <w:t>élaboration des instructions et les prescriptions portant sur l</w:t>
      </w:r>
      <w:r>
        <w:rPr>
          <w:lang w:val="fr-FR"/>
        </w:rPr>
        <w:t>’</w:t>
      </w:r>
      <w:r w:rsidRPr="002E21B6">
        <w:rPr>
          <w:lang w:val="fr-FR"/>
        </w:rPr>
        <w:t>utilisation desdites instructions sont mélangées. La délégation néerlandaise propose de regrouper</w:t>
      </w:r>
      <w:r w:rsidR="00B24121">
        <w:rPr>
          <w:lang w:val="fr-FR"/>
        </w:rPr>
        <w:t xml:space="preserve"> </w:t>
      </w:r>
      <w:r>
        <w:rPr>
          <w:lang w:val="fr-FR"/>
        </w:rPr>
        <w:t xml:space="preserve">en un seul endroit </w:t>
      </w:r>
      <w:r w:rsidRPr="002E21B6">
        <w:rPr>
          <w:lang w:val="fr-FR"/>
        </w:rPr>
        <w:t>les prescriptions relatives aux calculs et à l</w:t>
      </w:r>
      <w:r>
        <w:rPr>
          <w:lang w:val="fr-FR"/>
        </w:rPr>
        <w:t>’</w:t>
      </w:r>
      <w:r w:rsidRPr="002E21B6">
        <w:rPr>
          <w:lang w:val="fr-FR"/>
        </w:rPr>
        <w:t>élaboration des instructions. Étant donné que les calculs nécessaires à l</w:t>
      </w:r>
      <w:r>
        <w:rPr>
          <w:lang w:val="fr-FR"/>
        </w:rPr>
        <w:t>’</w:t>
      </w:r>
      <w:r w:rsidRPr="002E21B6">
        <w:rPr>
          <w:lang w:val="fr-FR"/>
        </w:rPr>
        <w:t>élaboration des instructions sont liés à la configuration de la barge, il est proposé de regrouper dans le chapitre</w:t>
      </w:r>
      <w:r w:rsidR="00EA1A4E">
        <w:rPr>
          <w:lang w:val="fr-FR"/>
        </w:rPr>
        <w:t> </w:t>
      </w:r>
      <w:r w:rsidRPr="002E21B6">
        <w:rPr>
          <w:lang w:val="fr-FR"/>
        </w:rPr>
        <w:t xml:space="preserve">9 </w:t>
      </w:r>
      <w:r>
        <w:rPr>
          <w:lang w:val="fr-FR"/>
        </w:rPr>
        <w:t>l</w:t>
      </w:r>
      <w:r w:rsidRPr="002E21B6">
        <w:rPr>
          <w:lang w:val="fr-FR"/>
        </w:rPr>
        <w:t>es prescriptions</w:t>
      </w:r>
      <w:r>
        <w:rPr>
          <w:lang w:val="fr-FR"/>
        </w:rPr>
        <w:t xml:space="preserve"> qui se rapportent auxdits calculs et à l’élaboration desdites instructions</w:t>
      </w:r>
      <w:r w:rsidRPr="002E21B6">
        <w:rPr>
          <w:lang w:val="fr-FR"/>
        </w:rPr>
        <w:t xml:space="preserve">. </w:t>
      </w:r>
    </w:p>
    <w:p w14:paraId="22DA2A5C" w14:textId="77777777" w:rsidR="00046E1F" w:rsidRPr="00052627" w:rsidRDefault="00046E1F" w:rsidP="00EA1A4E">
      <w:pPr>
        <w:pStyle w:val="SingleTxtG"/>
        <w:spacing w:after="100" w:line="238" w:lineRule="atLeast"/>
        <w:rPr>
          <w:lang w:val="fr-FR"/>
        </w:rPr>
      </w:pPr>
      <w:r w:rsidRPr="002E21B6">
        <w:rPr>
          <w:lang w:val="fr-FR"/>
        </w:rPr>
        <w:t>6.</w:t>
      </w:r>
      <w:r w:rsidRPr="002E21B6">
        <w:rPr>
          <w:lang w:val="fr-FR"/>
        </w:rPr>
        <w:tab/>
        <w:t>Il est proposé de faire figurer les prescriptions portant sur l</w:t>
      </w:r>
      <w:r>
        <w:rPr>
          <w:lang w:val="fr-FR"/>
        </w:rPr>
        <w:t>’</w:t>
      </w:r>
      <w:r w:rsidRPr="002E21B6">
        <w:rPr>
          <w:lang w:val="fr-FR"/>
        </w:rPr>
        <w:t>utilisation des instructions de chargement et de déchargement dans le chapitre</w:t>
      </w:r>
      <w:r w:rsidR="00791C5F">
        <w:rPr>
          <w:lang w:val="fr-FR"/>
        </w:rPr>
        <w:t> </w:t>
      </w:r>
      <w:r w:rsidRPr="002E21B6">
        <w:rPr>
          <w:lang w:val="fr-FR"/>
        </w:rPr>
        <w:t>7. Les débits de chargement maxim</w:t>
      </w:r>
      <w:r>
        <w:rPr>
          <w:lang w:val="fr-FR"/>
        </w:rPr>
        <w:t>a</w:t>
      </w:r>
      <w:r w:rsidRPr="002E21B6">
        <w:rPr>
          <w:lang w:val="fr-FR"/>
        </w:rPr>
        <w:t>u</w:t>
      </w:r>
      <w:r>
        <w:rPr>
          <w:lang w:val="fr-FR"/>
        </w:rPr>
        <w:t>x</w:t>
      </w:r>
      <w:r w:rsidRPr="002E21B6">
        <w:rPr>
          <w:lang w:val="fr-FR"/>
        </w:rPr>
        <w:t xml:space="preserve"> au début, au milieu et à la fin </w:t>
      </w:r>
      <w:r>
        <w:rPr>
          <w:lang w:val="fr-FR"/>
        </w:rPr>
        <w:t>de l’opération</w:t>
      </w:r>
      <w:r w:rsidRPr="002E21B6">
        <w:rPr>
          <w:lang w:val="fr-FR"/>
        </w:rPr>
        <w:t xml:space="preserve"> devraient être définis à l</w:t>
      </w:r>
      <w:r>
        <w:rPr>
          <w:lang w:val="fr-FR"/>
        </w:rPr>
        <w:t>’</w:t>
      </w:r>
      <w:r w:rsidRPr="002E21B6">
        <w:rPr>
          <w:lang w:val="fr-FR"/>
        </w:rPr>
        <w:t>aide de</w:t>
      </w:r>
      <w:r>
        <w:rPr>
          <w:lang w:val="fr-FR"/>
        </w:rPr>
        <w:t xml:space="preserve"> ce</w:t>
      </w:r>
      <w:r w:rsidRPr="002E21B6">
        <w:rPr>
          <w:lang w:val="fr-FR"/>
        </w:rPr>
        <w:t>s instructions. Toutefois, le capitaine du</w:t>
      </w:r>
      <w:r w:rsidR="00B24121">
        <w:rPr>
          <w:lang w:val="fr-FR"/>
        </w:rPr>
        <w:t xml:space="preserve"> </w:t>
      </w:r>
      <w:r>
        <w:rPr>
          <w:lang w:val="fr-FR"/>
        </w:rPr>
        <w:t>bateau</w:t>
      </w:r>
      <w:r w:rsidRPr="002E21B6">
        <w:rPr>
          <w:lang w:val="fr-FR"/>
        </w:rPr>
        <w:t xml:space="preserve"> doit avoir la possibilité de s</w:t>
      </w:r>
      <w:r>
        <w:rPr>
          <w:lang w:val="fr-FR"/>
        </w:rPr>
        <w:t>’</w:t>
      </w:r>
      <w:r w:rsidRPr="002E21B6">
        <w:rPr>
          <w:lang w:val="fr-FR"/>
        </w:rPr>
        <w:t>écarter des débits de chargement maxim</w:t>
      </w:r>
      <w:r>
        <w:rPr>
          <w:lang w:val="fr-FR"/>
        </w:rPr>
        <w:t>a</w:t>
      </w:r>
      <w:r w:rsidRPr="002E21B6">
        <w:rPr>
          <w:lang w:val="fr-FR"/>
        </w:rPr>
        <w:t>u</w:t>
      </w:r>
      <w:r>
        <w:rPr>
          <w:lang w:val="fr-FR"/>
        </w:rPr>
        <w:t>x</w:t>
      </w:r>
      <w:r w:rsidRPr="002E21B6">
        <w:rPr>
          <w:lang w:val="fr-FR"/>
        </w:rPr>
        <w:t xml:space="preserve"> décrits dans les instructions en raison des circonstances locales ou pour des raisons liées à la navigation. Les débits de chargement à</w:t>
      </w:r>
      <w:r w:rsidR="00B24121">
        <w:rPr>
          <w:lang w:val="fr-FR"/>
        </w:rPr>
        <w:t xml:space="preserve"> </w:t>
      </w:r>
      <w:r>
        <w:rPr>
          <w:lang w:val="fr-FR"/>
        </w:rPr>
        <w:t xml:space="preserve">appliquer </w:t>
      </w:r>
      <w:r w:rsidRPr="002E21B6">
        <w:rPr>
          <w:lang w:val="fr-FR"/>
        </w:rPr>
        <w:t>devraient être convenus entre le capitaine et le personnel de l</w:t>
      </w:r>
      <w:r>
        <w:rPr>
          <w:lang w:val="fr-FR"/>
        </w:rPr>
        <w:t>’</w:t>
      </w:r>
      <w:r w:rsidRPr="002E21B6">
        <w:rPr>
          <w:lang w:val="fr-FR"/>
        </w:rPr>
        <w:t>installation à terre, compte tenu des débits de chargement maxim</w:t>
      </w:r>
      <w:r>
        <w:rPr>
          <w:lang w:val="fr-FR"/>
        </w:rPr>
        <w:t>a</w:t>
      </w:r>
      <w:r w:rsidRPr="002E21B6">
        <w:rPr>
          <w:lang w:val="fr-FR"/>
        </w:rPr>
        <w:t>u</w:t>
      </w:r>
      <w:r>
        <w:rPr>
          <w:lang w:val="fr-FR"/>
        </w:rPr>
        <w:t>x</w:t>
      </w:r>
      <w:r w:rsidRPr="002E21B6">
        <w:rPr>
          <w:lang w:val="fr-FR"/>
        </w:rPr>
        <w:t xml:space="preserve"> et des autres</w:t>
      </w:r>
      <w:r w:rsidR="00B24121">
        <w:rPr>
          <w:lang w:val="fr-FR"/>
        </w:rPr>
        <w:t xml:space="preserve"> </w:t>
      </w:r>
      <w:r>
        <w:rPr>
          <w:lang w:val="fr-FR"/>
        </w:rPr>
        <w:t>paramètres</w:t>
      </w:r>
      <w:r w:rsidRPr="002E21B6">
        <w:rPr>
          <w:lang w:val="fr-FR"/>
        </w:rPr>
        <w:t xml:space="preserve">, comme </w:t>
      </w:r>
      <w:r>
        <w:rPr>
          <w:lang w:val="fr-FR"/>
        </w:rPr>
        <w:t xml:space="preserve">cela est </w:t>
      </w:r>
      <w:r w:rsidRPr="002E21B6">
        <w:rPr>
          <w:lang w:val="fr-FR"/>
        </w:rPr>
        <w:t xml:space="preserve">proposé </w:t>
      </w:r>
      <w:r w:rsidRPr="00052627">
        <w:rPr>
          <w:lang w:val="fr-FR"/>
        </w:rPr>
        <w:t>dans le 7.2.4.16.1. Un amendement corollaire à la liste de contrôle ADN est proposé dans le</w:t>
      </w:r>
      <w:r w:rsidR="00791C5F">
        <w:rPr>
          <w:lang w:val="fr-FR"/>
        </w:rPr>
        <w:t> </w:t>
      </w:r>
      <w:r w:rsidRPr="00052627">
        <w:rPr>
          <w:lang w:val="fr-FR"/>
        </w:rPr>
        <w:t xml:space="preserve">8.6.3. </w:t>
      </w:r>
    </w:p>
    <w:p w14:paraId="2697DAEC" w14:textId="77777777" w:rsidR="00046E1F" w:rsidRPr="00052627" w:rsidRDefault="00046E1F" w:rsidP="00052627">
      <w:pPr>
        <w:pStyle w:val="SingleTxtG"/>
        <w:rPr>
          <w:lang w:val="fr-FR"/>
        </w:rPr>
      </w:pPr>
      <w:r w:rsidRPr="00052627">
        <w:rPr>
          <w:lang w:val="fr-FR"/>
        </w:rPr>
        <w:lastRenderedPageBreak/>
        <w:t>7.</w:t>
      </w:r>
      <w:r w:rsidRPr="00052627">
        <w:rPr>
          <w:lang w:val="fr-FR"/>
        </w:rPr>
        <w:tab/>
        <w:t>Il incombe au remplisseur</w:t>
      </w:r>
      <w:r w:rsidR="00B24121">
        <w:rPr>
          <w:lang w:val="fr-FR"/>
        </w:rPr>
        <w:t xml:space="preserve"> </w:t>
      </w:r>
      <w:r w:rsidRPr="00052627">
        <w:rPr>
          <w:lang w:val="fr-FR"/>
        </w:rPr>
        <w:t>de s’assurer que les débits de chargement sont conformes aux instructions de chargement et de déchargement (1.4.3.3.s). Pour ce faire, le remplisseur doit fournir les données pertinentes concernant la pression de vapeur de la matière à charger. Un amendement corollaire est proposé concernant la description de la responsabilité du déchargeur.</w:t>
      </w:r>
    </w:p>
    <w:p w14:paraId="2AB65EDC" w14:textId="77777777" w:rsidR="00046E1F" w:rsidRPr="00052627" w:rsidRDefault="00046E1F" w:rsidP="00052627">
      <w:pPr>
        <w:pStyle w:val="SingleTxtG"/>
        <w:rPr>
          <w:lang w:val="fr-FR"/>
        </w:rPr>
      </w:pPr>
      <w:r w:rsidRPr="00052627">
        <w:rPr>
          <w:lang w:val="fr-FR"/>
        </w:rPr>
        <w:t>8.</w:t>
      </w:r>
      <w:r w:rsidRPr="00052627">
        <w:rPr>
          <w:lang w:val="fr-FR"/>
        </w:rPr>
        <w:tab/>
        <w:t>Les instructions de chargement et de déchargement faisant partie de la liste des documents</w:t>
      </w:r>
      <w:r w:rsidR="00B24121">
        <w:rPr>
          <w:lang w:val="fr-FR"/>
        </w:rPr>
        <w:t xml:space="preserve"> </w:t>
      </w:r>
      <w:r w:rsidRPr="00052627">
        <w:rPr>
          <w:lang w:val="fr-FR"/>
        </w:rPr>
        <w:t>devant être présents à bord des bateaux-citernes (8.1.2.3.i), une modification visant à harmoniser la formulation dans l’ensemble de l’ADN est proposée. Il n’est pas proposé, en revanche, d’inclure une définition desdites instructions dans l’ADN, car ce dernier ne contient pas en principe de définitions concernant les documents.</w:t>
      </w:r>
    </w:p>
    <w:p w14:paraId="3161F092" w14:textId="77777777" w:rsidR="00046E1F" w:rsidRPr="00052627" w:rsidRDefault="00046E1F" w:rsidP="00C76CC9">
      <w:pPr>
        <w:pStyle w:val="HChG"/>
        <w:rPr>
          <w:lang w:val="fr-FR"/>
        </w:rPr>
      </w:pPr>
      <w:r w:rsidRPr="00052627">
        <w:rPr>
          <w:lang w:val="fr-FR"/>
        </w:rPr>
        <w:tab/>
      </w:r>
      <w:r w:rsidRPr="00052627">
        <w:rPr>
          <w:lang w:val="fr-FR"/>
        </w:rPr>
        <w:tab/>
        <w:t>Amendements</w:t>
      </w:r>
    </w:p>
    <w:p w14:paraId="1556D1EE" w14:textId="77777777" w:rsidR="00046E1F" w:rsidRPr="00052627" w:rsidRDefault="00046E1F" w:rsidP="00052627">
      <w:pPr>
        <w:pStyle w:val="SingleTxtG"/>
        <w:rPr>
          <w:lang w:val="fr-FR"/>
        </w:rPr>
      </w:pPr>
      <w:r w:rsidRPr="00052627">
        <w:rPr>
          <w:lang w:val="fr-FR"/>
        </w:rPr>
        <w:t>9.</w:t>
      </w:r>
      <w:r w:rsidRPr="00052627">
        <w:rPr>
          <w:lang w:val="fr-FR"/>
        </w:rPr>
        <w:tab/>
        <w:t>Les amendements proposés figurent en caractères gras et soulignés pour les ajouts, et en caractères biffés pour les suppressions</w:t>
      </w:r>
      <w:r w:rsidR="00774A99">
        <w:rPr>
          <w:lang w:val="fr-FR"/>
        </w:rPr>
        <w:t> </w:t>
      </w:r>
      <w:r w:rsidRPr="00052627">
        <w:rPr>
          <w:lang w:val="fr-FR"/>
        </w:rPr>
        <w:t>:</w:t>
      </w:r>
    </w:p>
    <w:p w14:paraId="3EC0567A" w14:textId="77777777" w:rsidR="00046E1F" w:rsidRPr="00052627" w:rsidRDefault="00046E1F" w:rsidP="00774A99">
      <w:pPr>
        <w:pStyle w:val="H23G"/>
        <w:rPr>
          <w:lang w:val="fr-FR"/>
        </w:rPr>
      </w:pPr>
      <w:r w:rsidRPr="00052627">
        <w:rPr>
          <w:lang w:val="fr-FR"/>
        </w:rPr>
        <w:tab/>
      </w:r>
      <w:r w:rsidRPr="00052627">
        <w:rPr>
          <w:lang w:val="fr-FR"/>
        </w:rPr>
        <w:tab/>
        <w:t>1.4.3.3 s</w:t>
      </w:r>
    </w:p>
    <w:p w14:paraId="73C256F1" w14:textId="77777777" w:rsidR="00046E1F" w:rsidRPr="00052627" w:rsidRDefault="00046E1F" w:rsidP="00052627">
      <w:pPr>
        <w:pStyle w:val="SingleTxtG"/>
        <w:rPr>
          <w:lang w:val="fr-FR"/>
        </w:rPr>
      </w:pPr>
      <w:r w:rsidRPr="00052627">
        <w:rPr>
          <w:lang w:val="fr-FR"/>
        </w:rPr>
        <w:t xml:space="preserve">« Il doit </w:t>
      </w:r>
      <w:r w:rsidRPr="00774A99">
        <w:rPr>
          <w:b/>
          <w:bCs/>
          <w:u w:val="single"/>
          <w:lang w:val="fr-FR"/>
        </w:rPr>
        <w:t>indiquer la densité de vapeur de la matière à charger et</w:t>
      </w:r>
      <w:r w:rsidRPr="00052627">
        <w:rPr>
          <w:lang w:val="fr-FR"/>
        </w:rPr>
        <w:t xml:space="preserve"> s’assurer que les débits de chargement </w:t>
      </w:r>
      <w:r w:rsidRPr="00052627">
        <w:rPr>
          <w:strike/>
          <w:lang w:val="fr-FR"/>
        </w:rPr>
        <w:t>sont conformes aux</w:t>
      </w:r>
      <w:r w:rsidRPr="00052627">
        <w:rPr>
          <w:lang w:val="fr-FR"/>
        </w:rPr>
        <w:t xml:space="preserve"> </w:t>
      </w:r>
      <w:r w:rsidRPr="00774A99">
        <w:rPr>
          <w:b/>
          <w:bCs/>
          <w:u w:val="single"/>
          <w:lang w:val="fr-FR"/>
        </w:rPr>
        <w:t>ne dépassent pas les débits de chargement maximaux, conformément aux</w:t>
      </w:r>
      <w:r w:rsidRPr="00052627">
        <w:rPr>
          <w:lang w:val="fr-FR"/>
        </w:rPr>
        <w:t xml:space="preserve"> instructions relatives aux débits de chargement et de déchargement visées au 9.3.2.25.9 ou 9.3.3.25.9 et que la pression au point de raccordement de la conduite d’évacuation de gaz et de la conduite de retour de</w:t>
      </w:r>
      <w:r w:rsidR="00B24121">
        <w:rPr>
          <w:lang w:val="fr-FR"/>
        </w:rPr>
        <w:t xml:space="preserve"> </w:t>
      </w:r>
      <w:r w:rsidRPr="00052627">
        <w:rPr>
          <w:lang w:val="fr-FR"/>
        </w:rPr>
        <w:t>gaz n’est pas supérieure à la</w:t>
      </w:r>
      <w:r w:rsidR="00B24121">
        <w:rPr>
          <w:lang w:val="fr-FR"/>
        </w:rPr>
        <w:t xml:space="preserve"> </w:t>
      </w:r>
      <w:r w:rsidRPr="00052627">
        <w:rPr>
          <w:lang w:val="fr-FR"/>
        </w:rPr>
        <w:t>pression d’ouverture de la soupape de surpression/soupape de dégagement à grande vitesse</w:t>
      </w:r>
      <w:r w:rsidR="00774A99">
        <w:rPr>
          <w:lang w:val="fr-FR"/>
        </w:rPr>
        <w:t> </w:t>
      </w:r>
      <w:r w:rsidRPr="00052627">
        <w:rPr>
          <w:lang w:val="fr-FR"/>
        </w:rPr>
        <w:t>; »</w:t>
      </w:r>
    </w:p>
    <w:p w14:paraId="018E467A" w14:textId="77777777" w:rsidR="00046E1F" w:rsidRPr="00052627" w:rsidRDefault="00046E1F" w:rsidP="00774A99">
      <w:pPr>
        <w:pStyle w:val="H23G"/>
        <w:rPr>
          <w:lang w:val="fr-FR"/>
        </w:rPr>
      </w:pPr>
      <w:r w:rsidRPr="00052627">
        <w:rPr>
          <w:lang w:val="fr-FR"/>
        </w:rPr>
        <w:tab/>
      </w:r>
      <w:r w:rsidR="00774A99">
        <w:rPr>
          <w:lang w:val="fr-FR"/>
        </w:rPr>
        <w:tab/>
      </w:r>
      <w:r w:rsidRPr="00052627">
        <w:rPr>
          <w:lang w:val="fr-FR"/>
        </w:rPr>
        <w:t>1.4.3.7.1.j</w:t>
      </w:r>
    </w:p>
    <w:p w14:paraId="4A327197" w14:textId="77777777" w:rsidR="00046E1F" w:rsidRPr="00052627" w:rsidRDefault="00046E1F" w:rsidP="00052627">
      <w:pPr>
        <w:pStyle w:val="SingleTxtG"/>
        <w:rPr>
          <w:lang w:val="fr-FR"/>
        </w:rPr>
      </w:pPr>
      <w:r w:rsidRPr="00052627">
        <w:rPr>
          <w:lang w:val="fr-FR"/>
        </w:rPr>
        <w:t>« </w:t>
      </w:r>
      <w:r w:rsidR="00744C7F">
        <w:rPr>
          <w:lang w:val="fr-FR"/>
        </w:rPr>
        <w:t>S</w:t>
      </w:r>
      <w:r w:rsidRPr="00052627">
        <w:rPr>
          <w:lang w:val="fr-FR"/>
        </w:rPr>
        <w:t xml:space="preserve">’assurer que les débits de déchargement </w:t>
      </w:r>
      <w:r w:rsidRPr="00052627">
        <w:rPr>
          <w:strike/>
          <w:lang w:val="fr-FR"/>
        </w:rPr>
        <w:t>sont conformes aux instructions relatives aux débits de chargement et de déchargement</w:t>
      </w:r>
      <w:r w:rsidRPr="00C201AA">
        <w:rPr>
          <w:strike/>
          <w:lang w:val="fr-FR"/>
        </w:rPr>
        <w:t xml:space="preserve"> </w:t>
      </w:r>
      <w:r w:rsidRPr="00774A99">
        <w:rPr>
          <w:b/>
          <w:bCs/>
          <w:u w:val="single"/>
          <w:lang w:val="fr-FR"/>
        </w:rPr>
        <w:t>ne dépassent pas les débits de déchargement maximaux, conformément aux instructions de chargement et de déchargement</w:t>
      </w:r>
      <w:r w:rsidRPr="00052627">
        <w:rPr>
          <w:lang w:val="fr-FR"/>
        </w:rPr>
        <w:t xml:space="preserve"> visées au 9.3.2.25.9 ou 9.3.3.25.9 et que la pression au point de raccordement de la conduite d’évacuation de gaz et de la conduite de retour de gaz n’est pas supérieure à la pression d’ouverture de la soupape de surpression/soupape de dégagement à grande vitesse; »</w:t>
      </w:r>
      <w:r w:rsidR="002608A1">
        <w:rPr>
          <w:lang w:val="fr-FR"/>
        </w:rPr>
        <w:t>.</w:t>
      </w:r>
    </w:p>
    <w:p w14:paraId="0C3C7B56" w14:textId="77777777" w:rsidR="00046E1F" w:rsidRPr="00052627" w:rsidRDefault="00774A99" w:rsidP="00774A99">
      <w:pPr>
        <w:pStyle w:val="H23G"/>
        <w:rPr>
          <w:lang w:val="fr-FR"/>
        </w:rPr>
      </w:pPr>
      <w:r>
        <w:rPr>
          <w:lang w:val="fr-FR"/>
        </w:rPr>
        <w:tab/>
      </w:r>
      <w:r>
        <w:rPr>
          <w:lang w:val="fr-FR"/>
        </w:rPr>
        <w:tab/>
      </w:r>
      <w:r w:rsidR="00046E1F" w:rsidRPr="00052627">
        <w:rPr>
          <w:lang w:val="fr-FR"/>
        </w:rPr>
        <w:t>7.2.4.16.1</w:t>
      </w:r>
    </w:p>
    <w:p w14:paraId="07544A24" w14:textId="77777777" w:rsidR="00046E1F" w:rsidRPr="00052627" w:rsidRDefault="00046E1F" w:rsidP="00052627">
      <w:pPr>
        <w:pStyle w:val="SingleTxtG"/>
        <w:rPr>
          <w:lang w:val="fr-FR"/>
        </w:rPr>
      </w:pPr>
      <w:r w:rsidRPr="00052627">
        <w:rPr>
          <w:lang w:val="fr-FR"/>
        </w:rPr>
        <w:t>« </w:t>
      </w:r>
      <w:r w:rsidRPr="00FC3434">
        <w:rPr>
          <w:b/>
          <w:bCs/>
          <w:u w:val="single"/>
          <w:lang w:val="fr-FR"/>
        </w:rPr>
        <w:t xml:space="preserve">Les valeurs maximales pour le débit de chargement </w:t>
      </w:r>
      <w:bookmarkStart w:id="1" w:name="_Hlk42705142"/>
      <w:r w:rsidRPr="00FC3434">
        <w:rPr>
          <w:b/>
          <w:bCs/>
          <w:u w:val="single"/>
          <w:lang w:val="fr-FR"/>
        </w:rPr>
        <w:t>initial, intermédiaire et final</w:t>
      </w:r>
      <w:r w:rsidRPr="002608A1">
        <w:rPr>
          <w:b/>
          <w:bCs/>
          <w:lang w:val="fr-FR"/>
        </w:rPr>
        <w:t xml:space="preserve"> </w:t>
      </w:r>
      <w:bookmarkEnd w:id="1"/>
      <w:r w:rsidRPr="00FA064B">
        <w:rPr>
          <w:lang w:val="fr-FR"/>
        </w:rPr>
        <w:t>et la pression maximale</w:t>
      </w:r>
      <w:r w:rsidRPr="00052627">
        <w:rPr>
          <w:lang w:val="fr-FR"/>
        </w:rPr>
        <w:t xml:space="preserve"> de fonctionnement des pompes à cargaison doivent être déterminées </w:t>
      </w:r>
      <w:r w:rsidRPr="00FC3434">
        <w:rPr>
          <w:b/>
          <w:bCs/>
          <w:u w:val="single"/>
          <w:lang w:val="fr-FR"/>
        </w:rPr>
        <w:t>conformément aux instructions de chargement et de déchargement. Le débit de chargement initial, intermédiaire et final à appliquer ne doit pas dépasser les valeurs maximales et doit être déterminé</w:t>
      </w:r>
      <w:r w:rsidRPr="00052627">
        <w:rPr>
          <w:lang w:val="fr-FR"/>
        </w:rPr>
        <w:t xml:space="preserve"> en accord avec le personnel des installations à terre. »</w:t>
      </w:r>
      <w:r w:rsidR="00FA064B">
        <w:rPr>
          <w:lang w:val="fr-FR"/>
        </w:rPr>
        <w:t>.</w:t>
      </w:r>
    </w:p>
    <w:p w14:paraId="47AD0DE3" w14:textId="77777777" w:rsidR="00046E1F" w:rsidRPr="00052627" w:rsidRDefault="00FA064B" w:rsidP="00FA064B">
      <w:pPr>
        <w:pStyle w:val="H23G"/>
        <w:rPr>
          <w:lang w:val="fr-FR"/>
        </w:rPr>
      </w:pPr>
      <w:r>
        <w:rPr>
          <w:lang w:val="fr-FR"/>
        </w:rPr>
        <w:tab/>
      </w:r>
      <w:r>
        <w:rPr>
          <w:lang w:val="fr-FR"/>
        </w:rPr>
        <w:tab/>
      </w:r>
      <w:r w:rsidR="00046E1F" w:rsidRPr="00052627">
        <w:rPr>
          <w:lang w:val="fr-FR"/>
        </w:rPr>
        <w:t>7.2.4.16.15</w:t>
      </w:r>
    </w:p>
    <w:p w14:paraId="54FA89E4" w14:textId="77777777" w:rsidR="00046E1F" w:rsidRPr="00052627" w:rsidRDefault="00046E1F" w:rsidP="00046E1F">
      <w:pPr>
        <w:pStyle w:val="SingleTxtG"/>
        <w:spacing w:line="240" w:lineRule="auto"/>
        <w:rPr>
          <w:lang w:val="fr-FR"/>
        </w:rPr>
      </w:pPr>
      <w:r w:rsidRPr="00052627">
        <w:rPr>
          <w:lang w:val="fr-FR"/>
        </w:rPr>
        <w:t>« </w:t>
      </w:r>
      <w:r w:rsidRPr="00052627">
        <w:rPr>
          <w:strike/>
          <w:lang w:val="fr-FR"/>
        </w:rPr>
        <w:t>Le débit de début de chargement fixé dans les instructions de chargement doit être tel qu’une charge électrostatique soit exclue au début du chargement.</w:t>
      </w:r>
      <w:r w:rsidRPr="00052627">
        <w:rPr>
          <w:lang w:val="fr-FR"/>
        </w:rPr>
        <w:t xml:space="preserve"> </w:t>
      </w:r>
      <w:r w:rsidRPr="008118A8">
        <w:rPr>
          <w:b/>
          <w:bCs/>
          <w:lang w:val="fr-FR"/>
        </w:rPr>
        <w:t>(</w:t>
      </w:r>
      <w:r w:rsidRPr="00052627">
        <w:rPr>
          <w:b/>
          <w:bCs/>
          <w:i/>
          <w:iCs/>
          <w:u w:val="single"/>
          <w:lang w:val="fr-FR"/>
        </w:rPr>
        <w:t>Supprimé</w:t>
      </w:r>
      <w:r w:rsidRPr="008118A8">
        <w:rPr>
          <w:b/>
          <w:bCs/>
          <w:lang w:val="fr-FR"/>
        </w:rPr>
        <w:t>)</w:t>
      </w:r>
      <w:r w:rsidRPr="00052627">
        <w:rPr>
          <w:b/>
          <w:bCs/>
          <w:i/>
          <w:iCs/>
          <w:lang w:val="fr-FR"/>
        </w:rPr>
        <w:t> </w:t>
      </w:r>
      <w:r w:rsidRPr="008118A8">
        <w:rPr>
          <w:lang w:val="fr-FR"/>
        </w:rPr>
        <w:t>»</w:t>
      </w:r>
      <w:r w:rsidR="008118A8" w:rsidRPr="008118A8">
        <w:rPr>
          <w:lang w:val="fr-FR"/>
        </w:rPr>
        <w:t>.</w:t>
      </w:r>
    </w:p>
    <w:p w14:paraId="2A88D429" w14:textId="77777777" w:rsidR="00046E1F" w:rsidRPr="00052627" w:rsidRDefault="00FA064B" w:rsidP="00FA064B">
      <w:pPr>
        <w:pStyle w:val="H23G"/>
        <w:rPr>
          <w:lang w:val="fr-FR"/>
        </w:rPr>
      </w:pPr>
      <w:r>
        <w:rPr>
          <w:lang w:val="fr-FR"/>
        </w:rPr>
        <w:tab/>
      </w:r>
      <w:r w:rsidR="00046E1F" w:rsidRPr="00052627">
        <w:rPr>
          <w:lang w:val="fr-FR"/>
        </w:rPr>
        <w:tab/>
        <w:t>8.1.2.3 i)</w:t>
      </w:r>
    </w:p>
    <w:p w14:paraId="5E3FE4B0" w14:textId="77777777" w:rsidR="00046E1F" w:rsidRPr="00052627" w:rsidRDefault="00046E1F" w:rsidP="00046E1F">
      <w:pPr>
        <w:pStyle w:val="SingleTxtG"/>
        <w:spacing w:line="240" w:lineRule="auto"/>
        <w:rPr>
          <w:lang w:val="fr-FR"/>
        </w:rPr>
      </w:pPr>
      <w:r w:rsidRPr="00052627">
        <w:rPr>
          <w:lang w:val="fr-FR"/>
        </w:rPr>
        <w:t xml:space="preserve">« Les </w:t>
      </w:r>
      <w:r w:rsidRPr="00052627">
        <w:rPr>
          <w:strike/>
          <w:lang w:val="fr-FR"/>
        </w:rPr>
        <w:t>instructions relatives aux débits de chargement et de déchargement</w:t>
      </w:r>
      <w:r w:rsidRPr="008118A8">
        <w:rPr>
          <w:strike/>
          <w:lang w:val="fr-FR"/>
        </w:rPr>
        <w:t xml:space="preserve"> </w:t>
      </w:r>
      <w:r w:rsidRPr="00FC3434">
        <w:rPr>
          <w:b/>
          <w:bCs/>
          <w:u w:val="single"/>
          <w:lang w:val="fr-FR"/>
        </w:rPr>
        <w:t>instructions de chargement et de déchargement</w:t>
      </w:r>
      <w:r w:rsidRPr="00052627">
        <w:rPr>
          <w:b/>
          <w:bCs/>
          <w:lang w:val="fr-FR"/>
        </w:rPr>
        <w:t xml:space="preserve"> </w:t>
      </w:r>
      <w:r w:rsidRPr="00052627">
        <w:rPr>
          <w:lang w:val="fr-FR"/>
        </w:rPr>
        <w:t>prescrites aux 9.3.2.25.9 ou 9.3.3.25.9; »</w:t>
      </w:r>
      <w:r w:rsidR="008118A8">
        <w:rPr>
          <w:lang w:val="fr-FR"/>
        </w:rPr>
        <w:t>.</w:t>
      </w:r>
    </w:p>
    <w:p w14:paraId="54350BD4" w14:textId="77777777" w:rsidR="00046E1F" w:rsidRPr="00052627" w:rsidRDefault="008118A8" w:rsidP="00FA064B">
      <w:pPr>
        <w:pStyle w:val="H23G"/>
        <w:rPr>
          <w:lang w:val="fr-FR"/>
        </w:rPr>
      </w:pPr>
      <w:r>
        <w:rPr>
          <w:lang w:val="fr-FR"/>
        </w:rPr>
        <w:br w:type="page"/>
      </w:r>
      <w:r w:rsidR="00FA064B">
        <w:rPr>
          <w:lang w:val="fr-FR"/>
        </w:rPr>
        <w:lastRenderedPageBreak/>
        <w:tab/>
      </w:r>
      <w:r w:rsidR="00FA064B">
        <w:rPr>
          <w:lang w:val="fr-FR"/>
        </w:rPr>
        <w:tab/>
      </w:r>
      <w:r w:rsidR="00046E1F" w:rsidRPr="00052627">
        <w:rPr>
          <w:lang w:val="fr-FR"/>
        </w:rPr>
        <w:t>8.6.3</w:t>
      </w:r>
    </w:p>
    <w:p w14:paraId="1213A055" w14:textId="77777777" w:rsidR="00046E1F" w:rsidRPr="00052627" w:rsidRDefault="00046E1F" w:rsidP="006B2D08">
      <w:pPr>
        <w:spacing w:after="120" w:line="240" w:lineRule="auto"/>
        <w:rPr>
          <w:lang w:val="fr-FR"/>
        </w:rPr>
      </w:pPr>
      <w:r w:rsidRPr="00052627">
        <w:rPr>
          <w:lang w:val="fr-FR"/>
        </w:rPr>
        <w:t>«</w:t>
      </w:r>
      <w:r w:rsidR="006B2D08">
        <w:rPr>
          <w:lang w:val="fr-FR"/>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240"/>
        <w:gridCol w:w="1024"/>
        <w:gridCol w:w="1117"/>
        <w:gridCol w:w="1109"/>
        <w:gridCol w:w="1148"/>
        <w:gridCol w:w="1022"/>
        <w:gridCol w:w="1076"/>
      </w:tblGrid>
      <w:tr w:rsidR="00046E1F" w:rsidRPr="00052627" w14:paraId="5039BF91" w14:textId="77777777" w:rsidTr="00F938AC">
        <w:tc>
          <w:tcPr>
            <w:tcW w:w="9639" w:type="dxa"/>
            <w:gridSpan w:val="8"/>
            <w:tcBorders>
              <w:top w:val="single" w:sz="4" w:space="0" w:color="auto"/>
              <w:left w:val="single" w:sz="4" w:space="0" w:color="auto"/>
              <w:bottom w:val="single" w:sz="4" w:space="0" w:color="auto"/>
              <w:right w:val="single" w:sz="4" w:space="0" w:color="auto"/>
            </w:tcBorders>
            <w:hideMark/>
          </w:tcPr>
          <w:p w14:paraId="15FA87F7" w14:textId="77777777" w:rsidR="00046E1F" w:rsidRPr="00052627" w:rsidRDefault="00046E1F" w:rsidP="006B2D08">
            <w:pPr>
              <w:suppressAutoHyphens w:val="0"/>
              <w:spacing w:before="60" w:after="60" w:line="240" w:lineRule="auto"/>
              <w:ind w:left="57" w:right="57"/>
              <w:jc w:val="right"/>
              <w:rPr>
                <w:lang w:val="fr-FR"/>
              </w:rPr>
            </w:pPr>
            <w:r w:rsidRPr="00052627">
              <w:rPr>
                <w:b/>
                <w:bCs/>
                <w:lang w:val="fr-FR"/>
              </w:rPr>
              <w:t>2</w:t>
            </w:r>
          </w:p>
          <w:p w14:paraId="473ED337" w14:textId="77777777" w:rsidR="00046E1F" w:rsidRPr="00052627" w:rsidRDefault="00046E1F" w:rsidP="00956FB4">
            <w:pPr>
              <w:suppressAutoHyphens w:val="0"/>
              <w:spacing w:before="60" w:after="60" w:line="240" w:lineRule="auto"/>
              <w:ind w:left="57" w:right="57"/>
              <w:rPr>
                <w:bCs/>
                <w:lang w:val="fr-FR"/>
              </w:rPr>
            </w:pPr>
            <w:r w:rsidRPr="00052627">
              <w:rPr>
                <w:b/>
                <w:lang w:val="fr-FR"/>
              </w:rPr>
              <w:t>Débit de chargement/déchargement</w:t>
            </w:r>
            <w:r w:rsidR="00956FB4">
              <w:rPr>
                <w:b/>
                <w:lang w:val="fr-FR"/>
              </w:rPr>
              <w:t xml:space="preserve"> </w:t>
            </w:r>
            <w:r w:rsidRPr="00052627">
              <w:rPr>
                <w:bCs/>
                <w:lang w:val="fr-FR"/>
              </w:rPr>
              <w:t>(n’est pas à remplir avant le chargement et le déchargement de gaz)</w:t>
            </w:r>
          </w:p>
        </w:tc>
      </w:tr>
      <w:tr w:rsidR="00046E1F" w:rsidRPr="00052627" w14:paraId="10C7FFD6" w14:textId="77777777" w:rsidTr="00F938AC">
        <w:tc>
          <w:tcPr>
            <w:tcW w:w="1903" w:type="dxa"/>
            <w:vMerge w:val="restart"/>
            <w:tcBorders>
              <w:top w:val="single" w:sz="4" w:space="0" w:color="auto"/>
              <w:left w:val="single" w:sz="4" w:space="0" w:color="auto"/>
              <w:bottom w:val="single" w:sz="4" w:space="0" w:color="auto"/>
              <w:right w:val="single" w:sz="4" w:space="0" w:color="auto"/>
            </w:tcBorders>
            <w:hideMark/>
          </w:tcPr>
          <w:p w14:paraId="52770EAB" w14:textId="77777777" w:rsidR="00046E1F" w:rsidRPr="00052627" w:rsidRDefault="00046E1F" w:rsidP="00956FB4">
            <w:pPr>
              <w:suppressAutoHyphens w:val="0"/>
              <w:spacing w:before="60" w:after="60" w:line="240" w:lineRule="auto"/>
              <w:ind w:left="-91" w:right="-40"/>
              <w:jc w:val="center"/>
            </w:pPr>
            <w:r w:rsidRPr="00052627">
              <w:rPr>
                <w:lang w:val="fr-FR"/>
              </w:rPr>
              <w:t xml:space="preserve">Désignation officielle </w:t>
            </w:r>
            <w:r w:rsidR="00956FB4">
              <w:rPr>
                <w:lang w:val="fr-FR"/>
              </w:rPr>
              <w:br/>
            </w:r>
            <w:r w:rsidRPr="00052627">
              <w:rPr>
                <w:lang w:val="fr-FR"/>
              </w:rPr>
              <w:t>de transport**</w:t>
            </w:r>
          </w:p>
        </w:tc>
        <w:tc>
          <w:tcPr>
            <w:tcW w:w="1240" w:type="dxa"/>
            <w:vMerge w:val="restart"/>
            <w:tcBorders>
              <w:top w:val="single" w:sz="4" w:space="0" w:color="auto"/>
              <w:left w:val="single" w:sz="4" w:space="0" w:color="auto"/>
              <w:bottom w:val="single" w:sz="4" w:space="0" w:color="auto"/>
              <w:right w:val="single" w:sz="4" w:space="0" w:color="auto"/>
            </w:tcBorders>
            <w:hideMark/>
          </w:tcPr>
          <w:p w14:paraId="3C7A8CAA" w14:textId="77777777" w:rsidR="00046E1F" w:rsidRPr="00052627" w:rsidRDefault="00046E1F" w:rsidP="00956FB4">
            <w:pPr>
              <w:suppressAutoHyphens w:val="0"/>
              <w:spacing w:before="60" w:after="60" w:line="240" w:lineRule="auto"/>
              <w:ind w:left="-124" w:right="-119"/>
              <w:jc w:val="center"/>
            </w:pPr>
            <w:r w:rsidRPr="00052627">
              <w:rPr>
                <w:lang w:val="fr-FR"/>
              </w:rPr>
              <w:t xml:space="preserve">Citerne </w:t>
            </w:r>
            <w:r w:rsidR="00956FB4">
              <w:rPr>
                <w:lang w:val="fr-FR"/>
              </w:rPr>
              <w:br/>
            </w:r>
            <w:r w:rsidRPr="00052627">
              <w:rPr>
                <w:lang w:val="fr-FR"/>
              </w:rPr>
              <w:t xml:space="preserve">à cargaison </w:t>
            </w:r>
            <w:r w:rsidR="00956FB4" w:rsidRPr="00956FB4">
              <w:rPr>
                <w:rFonts w:eastAsia="MS Mincho"/>
                <w:lang w:val="fr-FR"/>
              </w:rPr>
              <w:t>n</w:t>
            </w:r>
            <w:r w:rsidR="00956FB4" w:rsidRPr="00956FB4">
              <w:rPr>
                <w:rFonts w:eastAsia="MS Mincho"/>
                <w:vertAlign w:val="superscript"/>
                <w:lang w:val="fr-FR"/>
              </w:rPr>
              <w:t>o</w:t>
            </w:r>
          </w:p>
        </w:tc>
        <w:tc>
          <w:tcPr>
            <w:tcW w:w="6496" w:type="dxa"/>
            <w:gridSpan w:val="6"/>
            <w:tcBorders>
              <w:top w:val="single" w:sz="4" w:space="0" w:color="auto"/>
              <w:left w:val="single" w:sz="4" w:space="0" w:color="auto"/>
              <w:bottom w:val="single" w:sz="4" w:space="0" w:color="auto"/>
              <w:right w:val="single" w:sz="4" w:space="0" w:color="auto"/>
            </w:tcBorders>
            <w:hideMark/>
          </w:tcPr>
          <w:p w14:paraId="447327BB" w14:textId="77777777" w:rsidR="00046E1F" w:rsidRPr="00052627" w:rsidRDefault="00FC3434" w:rsidP="006B2D08">
            <w:pPr>
              <w:suppressAutoHyphens w:val="0"/>
              <w:spacing w:before="60" w:after="60" w:line="240" w:lineRule="auto"/>
              <w:ind w:left="57" w:right="57"/>
              <w:jc w:val="center"/>
              <w:rPr>
                <w:b/>
                <w:u w:val="single"/>
                <w:lang w:val="fr-FR"/>
              </w:rPr>
            </w:pPr>
            <w:r>
              <w:rPr>
                <w:lang w:val="fr-FR"/>
              </w:rPr>
              <w:t>D</w:t>
            </w:r>
            <w:r w:rsidR="00046E1F" w:rsidRPr="00052627">
              <w:rPr>
                <w:lang w:val="fr-FR"/>
              </w:rPr>
              <w:t xml:space="preserve">ébit de chargement/déchargement convenu </w:t>
            </w:r>
            <w:r w:rsidR="00046E1F" w:rsidRPr="00FC3434">
              <w:rPr>
                <w:b/>
                <w:bCs/>
                <w:u w:val="single"/>
                <w:lang w:val="fr-FR"/>
              </w:rPr>
              <w:t xml:space="preserve">compte tenu des débits maximaux de chargement/déchargement conformément </w:t>
            </w:r>
            <w:r>
              <w:rPr>
                <w:b/>
                <w:bCs/>
                <w:u w:val="single"/>
                <w:lang w:val="fr-FR"/>
              </w:rPr>
              <w:br/>
            </w:r>
            <w:r w:rsidR="00046E1F" w:rsidRPr="00FC3434">
              <w:rPr>
                <w:b/>
                <w:bCs/>
                <w:u w:val="single"/>
                <w:lang w:val="fr-FR"/>
              </w:rPr>
              <w:t>aux instructions de chargement et de déchargement</w:t>
            </w:r>
          </w:p>
        </w:tc>
      </w:tr>
      <w:tr w:rsidR="00B37A41" w:rsidRPr="00052627" w14:paraId="07255F09" w14:textId="77777777" w:rsidTr="00F938AC">
        <w:tc>
          <w:tcPr>
            <w:tcW w:w="1903" w:type="dxa"/>
            <w:vMerge/>
            <w:tcBorders>
              <w:top w:val="single" w:sz="4" w:space="0" w:color="auto"/>
              <w:left w:val="single" w:sz="4" w:space="0" w:color="auto"/>
              <w:bottom w:val="single" w:sz="4" w:space="0" w:color="auto"/>
              <w:right w:val="single" w:sz="4" w:space="0" w:color="auto"/>
            </w:tcBorders>
            <w:vAlign w:val="center"/>
            <w:hideMark/>
          </w:tcPr>
          <w:p w14:paraId="63AE727B" w14:textId="77777777" w:rsidR="00046E1F" w:rsidRPr="00052627" w:rsidRDefault="00046E1F" w:rsidP="006B2D08">
            <w:pPr>
              <w:suppressAutoHyphens w:val="0"/>
              <w:spacing w:before="60" w:after="60" w:line="240" w:lineRule="auto"/>
              <w:ind w:left="57" w:right="57"/>
              <w:rPr>
                <w:lang w:val="fr-F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366ACC4D" w14:textId="77777777" w:rsidR="00046E1F" w:rsidRPr="00052627" w:rsidRDefault="00046E1F" w:rsidP="006B2D08">
            <w:pPr>
              <w:suppressAutoHyphens w:val="0"/>
              <w:spacing w:before="60" w:after="60" w:line="240" w:lineRule="auto"/>
              <w:ind w:left="57" w:right="57"/>
              <w:rPr>
                <w:lang w:val="fr-FR"/>
              </w:rPr>
            </w:pPr>
          </w:p>
        </w:tc>
        <w:tc>
          <w:tcPr>
            <w:tcW w:w="2141" w:type="dxa"/>
            <w:gridSpan w:val="2"/>
            <w:tcBorders>
              <w:top w:val="single" w:sz="4" w:space="0" w:color="auto"/>
              <w:left w:val="single" w:sz="4" w:space="0" w:color="auto"/>
              <w:bottom w:val="single" w:sz="4" w:space="0" w:color="auto"/>
              <w:right w:val="single" w:sz="4" w:space="0" w:color="auto"/>
            </w:tcBorders>
            <w:hideMark/>
          </w:tcPr>
          <w:p w14:paraId="3A2C63DD" w14:textId="77777777" w:rsidR="00046E1F" w:rsidRPr="00052627" w:rsidRDefault="00046E1F" w:rsidP="006B2D08">
            <w:pPr>
              <w:suppressAutoHyphens w:val="0"/>
              <w:spacing w:before="60" w:after="60" w:line="240" w:lineRule="auto"/>
              <w:ind w:left="57" w:right="57"/>
              <w:jc w:val="center"/>
            </w:pPr>
            <w:r w:rsidRPr="00052627">
              <w:rPr>
                <w:lang w:val="fr-FR"/>
              </w:rPr>
              <w:t>début</w:t>
            </w:r>
          </w:p>
        </w:tc>
        <w:tc>
          <w:tcPr>
            <w:tcW w:w="2257" w:type="dxa"/>
            <w:gridSpan w:val="2"/>
            <w:tcBorders>
              <w:top w:val="single" w:sz="4" w:space="0" w:color="auto"/>
              <w:left w:val="single" w:sz="4" w:space="0" w:color="auto"/>
              <w:bottom w:val="single" w:sz="4" w:space="0" w:color="auto"/>
              <w:right w:val="single" w:sz="4" w:space="0" w:color="auto"/>
            </w:tcBorders>
            <w:hideMark/>
          </w:tcPr>
          <w:p w14:paraId="53FFF079" w14:textId="77777777" w:rsidR="00046E1F" w:rsidRPr="00052627" w:rsidRDefault="00046E1F" w:rsidP="006B2D08">
            <w:pPr>
              <w:suppressAutoHyphens w:val="0"/>
              <w:spacing w:before="60" w:after="60" w:line="240" w:lineRule="auto"/>
              <w:ind w:left="57" w:right="57"/>
              <w:jc w:val="center"/>
            </w:pPr>
            <w:r w:rsidRPr="00052627">
              <w:rPr>
                <w:lang w:val="fr-FR"/>
              </w:rPr>
              <w:t>milieu</w:t>
            </w:r>
          </w:p>
        </w:tc>
        <w:tc>
          <w:tcPr>
            <w:tcW w:w="2098" w:type="dxa"/>
            <w:gridSpan w:val="2"/>
            <w:tcBorders>
              <w:top w:val="single" w:sz="4" w:space="0" w:color="auto"/>
              <w:left w:val="single" w:sz="4" w:space="0" w:color="auto"/>
              <w:bottom w:val="single" w:sz="4" w:space="0" w:color="auto"/>
              <w:right w:val="single" w:sz="4" w:space="0" w:color="auto"/>
            </w:tcBorders>
            <w:hideMark/>
          </w:tcPr>
          <w:p w14:paraId="1CB92DF9" w14:textId="77777777" w:rsidR="00046E1F" w:rsidRPr="00052627" w:rsidRDefault="00046E1F" w:rsidP="006B2D08">
            <w:pPr>
              <w:suppressAutoHyphens w:val="0"/>
              <w:spacing w:before="60" w:after="60" w:line="240" w:lineRule="auto"/>
              <w:ind w:left="57" w:right="57"/>
              <w:jc w:val="center"/>
            </w:pPr>
            <w:r w:rsidRPr="00052627">
              <w:rPr>
                <w:lang w:val="fr-FR"/>
              </w:rPr>
              <w:t>fin</w:t>
            </w:r>
          </w:p>
        </w:tc>
      </w:tr>
      <w:tr w:rsidR="00B37A41" w:rsidRPr="00052627" w14:paraId="692CC6B3" w14:textId="77777777" w:rsidTr="00F938AC">
        <w:tc>
          <w:tcPr>
            <w:tcW w:w="1903" w:type="dxa"/>
            <w:vMerge/>
            <w:tcBorders>
              <w:top w:val="single" w:sz="4" w:space="0" w:color="auto"/>
              <w:left w:val="single" w:sz="4" w:space="0" w:color="auto"/>
              <w:bottom w:val="single" w:sz="4" w:space="0" w:color="auto"/>
              <w:right w:val="single" w:sz="4" w:space="0" w:color="auto"/>
            </w:tcBorders>
            <w:vAlign w:val="center"/>
            <w:hideMark/>
          </w:tcPr>
          <w:p w14:paraId="3FBB8AE0" w14:textId="77777777" w:rsidR="00046E1F" w:rsidRPr="00052627" w:rsidRDefault="00046E1F" w:rsidP="006B2D08">
            <w:pPr>
              <w:suppressAutoHyphens w:val="0"/>
              <w:spacing w:before="60" w:after="60" w:line="240" w:lineRule="auto"/>
              <w:ind w:left="57" w:right="57"/>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8CB8C78" w14:textId="77777777" w:rsidR="00046E1F" w:rsidRPr="00052627" w:rsidRDefault="00046E1F" w:rsidP="006B2D08">
            <w:pPr>
              <w:suppressAutoHyphens w:val="0"/>
              <w:spacing w:before="60" w:after="60" w:line="240" w:lineRule="auto"/>
              <w:ind w:left="57" w:right="57"/>
            </w:pPr>
          </w:p>
        </w:tc>
        <w:tc>
          <w:tcPr>
            <w:tcW w:w="1024" w:type="dxa"/>
            <w:tcBorders>
              <w:top w:val="single" w:sz="4" w:space="0" w:color="auto"/>
              <w:left w:val="single" w:sz="4" w:space="0" w:color="auto"/>
              <w:bottom w:val="single" w:sz="4" w:space="0" w:color="auto"/>
              <w:right w:val="single" w:sz="4" w:space="0" w:color="auto"/>
            </w:tcBorders>
            <w:hideMark/>
          </w:tcPr>
          <w:p w14:paraId="53D889F2" w14:textId="77777777" w:rsidR="00046E1F" w:rsidRPr="00052627" w:rsidRDefault="00046E1F" w:rsidP="006B2D08">
            <w:pPr>
              <w:suppressAutoHyphens w:val="0"/>
              <w:spacing w:before="60" w:after="60" w:line="240" w:lineRule="auto"/>
              <w:ind w:left="57" w:right="57"/>
              <w:jc w:val="center"/>
            </w:pPr>
            <w:r w:rsidRPr="00052627">
              <w:rPr>
                <w:lang w:val="fr-FR"/>
              </w:rPr>
              <w:t>débit</w:t>
            </w:r>
          </w:p>
          <w:p w14:paraId="3530E527" w14:textId="77777777" w:rsidR="00046E1F" w:rsidRPr="00052627" w:rsidRDefault="00046E1F" w:rsidP="006B2D08">
            <w:pPr>
              <w:suppressAutoHyphens w:val="0"/>
              <w:spacing w:before="60" w:after="60" w:line="240" w:lineRule="auto"/>
              <w:ind w:left="57" w:right="57"/>
              <w:jc w:val="center"/>
            </w:pPr>
            <w:r w:rsidRPr="00052627">
              <w:rPr>
                <w:lang w:val="fr-FR"/>
              </w:rPr>
              <w:t>m</w:t>
            </w:r>
            <w:r w:rsidRPr="00052627">
              <w:rPr>
                <w:vertAlign w:val="superscript"/>
                <w:lang w:val="fr-FR"/>
              </w:rPr>
              <w:t>3</w:t>
            </w:r>
            <w:r w:rsidRPr="00052627">
              <w:rPr>
                <w:lang w:val="fr-FR"/>
              </w:rPr>
              <w:t>/h</w:t>
            </w:r>
          </w:p>
        </w:tc>
        <w:tc>
          <w:tcPr>
            <w:tcW w:w="1117" w:type="dxa"/>
            <w:tcBorders>
              <w:top w:val="single" w:sz="4" w:space="0" w:color="auto"/>
              <w:left w:val="single" w:sz="4" w:space="0" w:color="auto"/>
              <w:bottom w:val="single" w:sz="4" w:space="0" w:color="auto"/>
              <w:right w:val="single" w:sz="4" w:space="0" w:color="auto"/>
            </w:tcBorders>
            <w:hideMark/>
          </w:tcPr>
          <w:p w14:paraId="2FD3D3A6" w14:textId="77777777" w:rsidR="00046E1F" w:rsidRPr="00052627" w:rsidRDefault="00046E1F" w:rsidP="006B2D08">
            <w:pPr>
              <w:suppressAutoHyphens w:val="0"/>
              <w:spacing w:before="60" w:after="60" w:line="240" w:lineRule="auto"/>
              <w:ind w:left="57" w:right="57"/>
              <w:jc w:val="center"/>
            </w:pPr>
            <w:r w:rsidRPr="00052627">
              <w:rPr>
                <w:lang w:val="fr-FR"/>
              </w:rPr>
              <w:t>quantité</w:t>
            </w:r>
          </w:p>
          <w:p w14:paraId="6C6B4FE8" w14:textId="77777777" w:rsidR="00046E1F" w:rsidRPr="00052627" w:rsidRDefault="00046E1F" w:rsidP="006B2D08">
            <w:pPr>
              <w:suppressAutoHyphens w:val="0"/>
              <w:spacing w:before="60" w:after="60" w:line="240" w:lineRule="auto"/>
              <w:ind w:left="57" w:right="57"/>
              <w:jc w:val="center"/>
            </w:pPr>
            <w:r w:rsidRPr="00052627">
              <w:rPr>
                <w:lang w:val="fr-FR"/>
              </w:rPr>
              <w:t>m</w:t>
            </w:r>
            <w:r w:rsidRPr="00052627">
              <w:rPr>
                <w:vertAlign w:val="superscript"/>
                <w:lang w:val="fr-FR"/>
              </w:rPr>
              <w:t>3</w:t>
            </w:r>
          </w:p>
        </w:tc>
        <w:tc>
          <w:tcPr>
            <w:tcW w:w="1109" w:type="dxa"/>
            <w:tcBorders>
              <w:top w:val="single" w:sz="4" w:space="0" w:color="auto"/>
              <w:left w:val="single" w:sz="4" w:space="0" w:color="auto"/>
              <w:bottom w:val="single" w:sz="4" w:space="0" w:color="auto"/>
              <w:right w:val="single" w:sz="4" w:space="0" w:color="auto"/>
            </w:tcBorders>
            <w:hideMark/>
          </w:tcPr>
          <w:p w14:paraId="6BE577DB" w14:textId="77777777" w:rsidR="00046E1F" w:rsidRPr="00052627" w:rsidRDefault="00046E1F" w:rsidP="006B2D08">
            <w:pPr>
              <w:suppressAutoHyphens w:val="0"/>
              <w:spacing w:before="60" w:after="60" w:line="240" w:lineRule="auto"/>
              <w:ind w:left="57" w:right="57"/>
              <w:jc w:val="center"/>
            </w:pPr>
            <w:r w:rsidRPr="00052627">
              <w:rPr>
                <w:lang w:val="fr-FR"/>
              </w:rPr>
              <w:t>débit</w:t>
            </w:r>
          </w:p>
          <w:p w14:paraId="5D340112" w14:textId="77777777" w:rsidR="00046E1F" w:rsidRPr="00052627" w:rsidRDefault="00046E1F" w:rsidP="006B2D08">
            <w:pPr>
              <w:suppressAutoHyphens w:val="0"/>
              <w:spacing w:before="60" w:after="60" w:line="240" w:lineRule="auto"/>
              <w:ind w:left="57" w:right="57"/>
              <w:jc w:val="center"/>
            </w:pPr>
            <w:r w:rsidRPr="00052627">
              <w:rPr>
                <w:lang w:val="fr-FR"/>
              </w:rPr>
              <w:t>m</w:t>
            </w:r>
            <w:r w:rsidRPr="00052627">
              <w:rPr>
                <w:vertAlign w:val="superscript"/>
                <w:lang w:val="fr-FR"/>
              </w:rPr>
              <w:t>3</w:t>
            </w:r>
            <w:r w:rsidRPr="00052627">
              <w:rPr>
                <w:lang w:val="fr-FR"/>
              </w:rPr>
              <w:t>/h</w:t>
            </w:r>
          </w:p>
        </w:tc>
        <w:tc>
          <w:tcPr>
            <w:tcW w:w="1148" w:type="dxa"/>
            <w:tcBorders>
              <w:top w:val="single" w:sz="4" w:space="0" w:color="auto"/>
              <w:left w:val="single" w:sz="4" w:space="0" w:color="auto"/>
              <w:bottom w:val="single" w:sz="4" w:space="0" w:color="auto"/>
              <w:right w:val="single" w:sz="4" w:space="0" w:color="auto"/>
            </w:tcBorders>
            <w:hideMark/>
          </w:tcPr>
          <w:p w14:paraId="2F19FAC3" w14:textId="77777777" w:rsidR="00046E1F" w:rsidRPr="00052627" w:rsidRDefault="00046E1F" w:rsidP="006B2D08">
            <w:pPr>
              <w:suppressAutoHyphens w:val="0"/>
              <w:spacing w:before="60" w:after="60" w:line="240" w:lineRule="auto"/>
              <w:ind w:left="57" w:right="57"/>
              <w:jc w:val="center"/>
            </w:pPr>
            <w:r w:rsidRPr="00052627">
              <w:rPr>
                <w:lang w:val="fr-FR"/>
              </w:rPr>
              <w:t>quantité</w:t>
            </w:r>
          </w:p>
          <w:p w14:paraId="12B5E1E9" w14:textId="77777777" w:rsidR="00046E1F" w:rsidRPr="00052627" w:rsidRDefault="00046E1F" w:rsidP="006B2D08">
            <w:pPr>
              <w:suppressAutoHyphens w:val="0"/>
              <w:spacing w:before="60" w:after="60" w:line="240" w:lineRule="auto"/>
              <w:ind w:left="57" w:right="57"/>
              <w:jc w:val="center"/>
            </w:pPr>
            <w:r w:rsidRPr="00052627">
              <w:rPr>
                <w:lang w:val="fr-FR"/>
              </w:rPr>
              <w:t>m</w:t>
            </w:r>
            <w:r w:rsidRPr="00052627">
              <w:rPr>
                <w:vertAlign w:val="superscript"/>
                <w:lang w:val="fr-FR"/>
              </w:rPr>
              <w:t>3</w:t>
            </w:r>
          </w:p>
        </w:tc>
        <w:tc>
          <w:tcPr>
            <w:tcW w:w="1022" w:type="dxa"/>
            <w:tcBorders>
              <w:top w:val="single" w:sz="4" w:space="0" w:color="auto"/>
              <w:left w:val="single" w:sz="4" w:space="0" w:color="auto"/>
              <w:bottom w:val="single" w:sz="4" w:space="0" w:color="auto"/>
              <w:right w:val="single" w:sz="4" w:space="0" w:color="auto"/>
            </w:tcBorders>
            <w:hideMark/>
          </w:tcPr>
          <w:p w14:paraId="66A85DAA" w14:textId="77777777" w:rsidR="00046E1F" w:rsidRPr="00052627" w:rsidRDefault="00046E1F" w:rsidP="006B2D08">
            <w:pPr>
              <w:suppressAutoHyphens w:val="0"/>
              <w:spacing w:before="60" w:after="60" w:line="240" w:lineRule="auto"/>
              <w:ind w:left="57" w:right="57"/>
              <w:jc w:val="center"/>
            </w:pPr>
            <w:r w:rsidRPr="00052627">
              <w:rPr>
                <w:lang w:val="fr-FR"/>
              </w:rPr>
              <w:t>débit</w:t>
            </w:r>
          </w:p>
          <w:p w14:paraId="641E4189" w14:textId="77777777" w:rsidR="00046E1F" w:rsidRPr="00052627" w:rsidRDefault="00046E1F" w:rsidP="006B2D08">
            <w:pPr>
              <w:suppressAutoHyphens w:val="0"/>
              <w:spacing w:before="60" w:after="60" w:line="240" w:lineRule="auto"/>
              <w:ind w:left="57" w:right="57"/>
              <w:jc w:val="center"/>
            </w:pPr>
            <w:r w:rsidRPr="00052627">
              <w:rPr>
                <w:lang w:val="fr-FR"/>
              </w:rPr>
              <w:t>m</w:t>
            </w:r>
            <w:r w:rsidRPr="00052627">
              <w:rPr>
                <w:vertAlign w:val="superscript"/>
                <w:lang w:val="fr-FR"/>
              </w:rPr>
              <w:t>3</w:t>
            </w:r>
            <w:r w:rsidRPr="00052627">
              <w:rPr>
                <w:lang w:val="fr-FR"/>
              </w:rPr>
              <w:t>/h</w:t>
            </w:r>
          </w:p>
        </w:tc>
        <w:tc>
          <w:tcPr>
            <w:tcW w:w="1076" w:type="dxa"/>
            <w:tcBorders>
              <w:top w:val="single" w:sz="4" w:space="0" w:color="auto"/>
              <w:left w:val="single" w:sz="4" w:space="0" w:color="auto"/>
              <w:bottom w:val="single" w:sz="4" w:space="0" w:color="auto"/>
              <w:right w:val="single" w:sz="4" w:space="0" w:color="auto"/>
            </w:tcBorders>
            <w:hideMark/>
          </w:tcPr>
          <w:p w14:paraId="77C50B7E" w14:textId="77777777" w:rsidR="00046E1F" w:rsidRPr="00052627" w:rsidRDefault="00046E1F" w:rsidP="006B2D08">
            <w:pPr>
              <w:suppressAutoHyphens w:val="0"/>
              <w:spacing w:before="60" w:after="60" w:line="240" w:lineRule="auto"/>
              <w:ind w:left="57" w:right="57"/>
              <w:jc w:val="center"/>
            </w:pPr>
            <w:r w:rsidRPr="00052627">
              <w:rPr>
                <w:lang w:val="fr-FR"/>
              </w:rPr>
              <w:t>quantité</w:t>
            </w:r>
          </w:p>
          <w:p w14:paraId="5D56E219" w14:textId="77777777" w:rsidR="00046E1F" w:rsidRPr="00052627" w:rsidRDefault="00046E1F" w:rsidP="006B2D08">
            <w:pPr>
              <w:suppressAutoHyphens w:val="0"/>
              <w:spacing w:before="60" w:after="60" w:line="240" w:lineRule="auto"/>
              <w:ind w:left="57" w:right="57"/>
              <w:jc w:val="center"/>
            </w:pPr>
            <w:r w:rsidRPr="00052627">
              <w:t>m</w:t>
            </w:r>
            <w:r w:rsidRPr="00052627">
              <w:rPr>
                <w:vertAlign w:val="superscript"/>
              </w:rPr>
              <w:t>3</w:t>
            </w:r>
          </w:p>
        </w:tc>
      </w:tr>
      <w:tr w:rsidR="00B37A41" w:rsidRPr="00052627" w14:paraId="6FDAF50A" w14:textId="77777777" w:rsidTr="00F938AC">
        <w:tc>
          <w:tcPr>
            <w:tcW w:w="1903" w:type="dxa"/>
            <w:tcBorders>
              <w:top w:val="single" w:sz="4" w:space="0" w:color="auto"/>
              <w:left w:val="single" w:sz="4" w:space="0" w:color="auto"/>
              <w:bottom w:val="single" w:sz="4" w:space="0" w:color="auto"/>
              <w:right w:val="single" w:sz="4" w:space="0" w:color="auto"/>
            </w:tcBorders>
          </w:tcPr>
          <w:p w14:paraId="75CFB743" w14:textId="77777777" w:rsidR="00046E1F" w:rsidRPr="00052627" w:rsidRDefault="00046E1F" w:rsidP="00E65D98">
            <w:pPr>
              <w:suppressAutoHyphens w:val="0"/>
              <w:spacing w:before="60" w:after="60" w:line="240" w:lineRule="auto"/>
              <w:ind w:left="-56" w:right="-63"/>
            </w:pPr>
            <w:r w:rsidRPr="00052627">
              <w:t>...…………………</w:t>
            </w:r>
            <w:r w:rsidR="00E65D98">
              <w:t>…</w:t>
            </w:r>
          </w:p>
          <w:p w14:paraId="3CB6774E" w14:textId="77777777" w:rsidR="00046E1F" w:rsidRPr="00052627" w:rsidRDefault="00046E1F" w:rsidP="00E65D98">
            <w:pPr>
              <w:suppressAutoHyphens w:val="0"/>
              <w:spacing w:before="60" w:after="60" w:line="240" w:lineRule="auto"/>
              <w:ind w:left="-56" w:right="-63"/>
            </w:pPr>
            <w:r w:rsidRPr="00052627">
              <w:t>…………………...</w:t>
            </w:r>
            <w:r w:rsidR="00E65D98">
              <w:t>....</w:t>
            </w:r>
          </w:p>
          <w:p w14:paraId="3F0BCFD1" w14:textId="77777777" w:rsidR="00046E1F" w:rsidRPr="00052627" w:rsidRDefault="00046E1F" w:rsidP="00E65D98">
            <w:pPr>
              <w:suppressAutoHyphens w:val="0"/>
              <w:spacing w:before="60" w:after="60" w:line="240" w:lineRule="auto"/>
              <w:ind w:left="-56" w:right="-63"/>
            </w:pPr>
            <w:r w:rsidRPr="00052627">
              <w:t>…………………...</w:t>
            </w:r>
            <w:r w:rsidR="00E65D98">
              <w:t>....</w:t>
            </w:r>
          </w:p>
        </w:tc>
        <w:tc>
          <w:tcPr>
            <w:tcW w:w="1240" w:type="dxa"/>
            <w:tcBorders>
              <w:top w:val="single" w:sz="4" w:space="0" w:color="auto"/>
              <w:left w:val="single" w:sz="4" w:space="0" w:color="auto"/>
              <w:bottom w:val="single" w:sz="4" w:space="0" w:color="auto"/>
              <w:right w:val="single" w:sz="4" w:space="0" w:color="auto"/>
            </w:tcBorders>
          </w:tcPr>
          <w:p w14:paraId="43304EA8" w14:textId="77777777" w:rsidR="00046E1F" w:rsidRPr="00052627" w:rsidRDefault="00046E1F" w:rsidP="00C53DFF">
            <w:pPr>
              <w:suppressAutoHyphens w:val="0"/>
              <w:spacing w:before="60" w:after="60" w:line="240" w:lineRule="auto"/>
              <w:ind w:left="-44" w:right="-57"/>
            </w:pPr>
            <w:r w:rsidRPr="00052627">
              <w:t>.…………</w:t>
            </w:r>
            <w:r w:rsidR="00C53DFF">
              <w:t>….</w:t>
            </w:r>
          </w:p>
          <w:p w14:paraId="2F4652AE" w14:textId="77777777" w:rsidR="00046E1F" w:rsidRPr="00052627" w:rsidRDefault="00046E1F" w:rsidP="00C53DFF">
            <w:pPr>
              <w:suppressAutoHyphens w:val="0"/>
              <w:spacing w:before="60" w:after="60" w:line="240" w:lineRule="auto"/>
              <w:ind w:left="-44" w:right="-57"/>
            </w:pPr>
            <w:r w:rsidRPr="00052627">
              <w:t>….………</w:t>
            </w:r>
            <w:r w:rsidR="00C53DFF">
              <w:t>….</w:t>
            </w:r>
          </w:p>
          <w:p w14:paraId="37DEBA46" w14:textId="77777777" w:rsidR="00046E1F" w:rsidRPr="00052627" w:rsidRDefault="00046E1F" w:rsidP="00C53DFF">
            <w:pPr>
              <w:suppressAutoHyphens w:val="0"/>
              <w:spacing w:before="60" w:after="60" w:line="240" w:lineRule="auto"/>
              <w:ind w:left="-44" w:right="-57"/>
            </w:pPr>
            <w:r w:rsidRPr="00052627">
              <w:t>…………</w:t>
            </w:r>
            <w:r w:rsidR="00C53DFF">
              <w:t>…..</w:t>
            </w:r>
          </w:p>
        </w:tc>
        <w:tc>
          <w:tcPr>
            <w:tcW w:w="1024" w:type="dxa"/>
            <w:tcBorders>
              <w:top w:val="single" w:sz="4" w:space="0" w:color="auto"/>
              <w:left w:val="single" w:sz="4" w:space="0" w:color="auto"/>
              <w:bottom w:val="single" w:sz="4" w:space="0" w:color="auto"/>
              <w:right w:val="single" w:sz="4" w:space="0" w:color="auto"/>
            </w:tcBorders>
          </w:tcPr>
          <w:p w14:paraId="769CD9D5" w14:textId="77777777" w:rsidR="00046E1F" w:rsidRPr="00052627" w:rsidRDefault="00046E1F" w:rsidP="00C53DFF">
            <w:pPr>
              <w:suppressAutoHyphens w:val="0"/>
              <w:spacing w:before="60" w:after="60" w:line="240" w:lineRule="auto"/>
              <w:ind w:left="-49" w:right="-66"/>
            </w:pPr>
            <w:r w:rsidRPr="00052627">
              <w:t>……</w:t>
            </w:r>
            <w:r w:rsidR="00C53DFF">
              <w:t>……..</w:t>
            </w:r>
          </w:p>
          <w:p w14:paraId="7A5DA860" w14:textId="77777777" w:rsidR="00046E1F" w:rsidRPr="00052627" w:rsidRDefault="00C53DFF" w:rsidP="00C53DFF">
            <w:pPr>
              <w:suppressAutoHyphens w:val="0"/>
              <w:spacing w:before="60" w:after="60" w:line="240" w:lineRule="auto"/>
              <w:ind w:left="-49" w:right="-66"/>
            </w:pPr>
            <w:r w:rsidRPr="00052627">
              <w:t>……</w:t>
            </w:r>
            <w:r>
              <w:t>……..</w:t>
            </w:r>
          </w:p>
          <w:p w14:paraId="76116F92" w14:textId="77777777" w:rsidR="00046E1F" w:rsidRPr="00052627" w:rsidRDefault="00C53DFF" w:rsidP="00C53DFF">
            <w:pPr>
              <w:suppressAutoHyphens w:val="0"/>
              <w:spacing w:before="60" w:after="60" w:line="240" w:lineRule="auto"/>
              <w:ind w:left="-49" w:right="-66"/>
            </w:pPr>
            <w:r w:rsidRPr="00052627">
              <w:t>……</w:t>
            </w:r>
            <w:r>
              <w:t>……..</w:t>
            </w:r>
          </w:p>
        </w:tc>
        <w:tc>
          <w:tcPr>
            <w:tcW w:w="1117" w:type="dxa"/>
            <w:tcBorders>
              <w:top w:val="single" w:sz="4" w:space="0" w:color="auto"/>
              <w:left w:val="single" w:sz="4" w:space="0" w:color="auto"/>
              <w:bottom w:val="single" w:sz="4" w:space="0" w:color="auto"/>
              <w:right w:val="single" w:sz="4" w:space="0" w:color="auto"/>
            </w:tcBorders>
          </w:tcPr>
          <w:p w14:paraId="15F22841" w14:textId="77777777" w:rsidR="00C53DFF" w:rsidRPr="00052627" w:rsidRDefault="00C53DFF" w:rsidP="00C53DFF">
            <w:pPr>
              <w:suppressAutoHyphens w:val="0"/>
              <w:spacing w:before="60" w:after="60" w:line="240" w:lineRule="auto"/>
              <w:ind w:left="-49" w:right="-66"/>
            </w:pPr>
            <w:r w:rsidRPr="00052627">
              <w:t>……</w:t>
            </w:r>
            <w:r>
              <w:t>……..</w:t>
            </w:r>
          </w:p>
          <w:p w14:paraId="05FF14F7" w14:textId="77777777" w:rsidR="00C53DFF" w:rsidRPr="00052627" w:rsidRDefault="00C53DFF" w:rsidP="00C53DFF">
            <w:pPr>
              <w:suppressAutoHyphens w:val="0"/>
              <w:spacing w:before="60" w:after="60" w:line="240" w:lineRule="auto"/>
              <w:ind w:left="-49" w:right="-66"/>
            </w:pPr>
            <w:r w:rsidRPr="00052627">
              <w:t>……</w:t>
            </w:r>
            <w:r>
              <w:t>……..</w:t>
            </w:r>
          </w:p>
          <w:p w14:paraId="25D408EC" w14:textId="77777777" w:rsidR="00046E1F" w:rsidRPr="00052627" w:rsidRDefault="00C53DFF" w:rsidP="00C53DFF">
            <w:pPr>
              <w:suppressAutoHyphens w:val="0"/>
              <w:spacing w:before="60" w:after="60" w:line="240" w:lineRule="auto"/>
              <w:ind w:left="-49" w:right="-66"/>
            </w:pPr>
            <w:r w:rsidRPr="00052627">
              <w:t>……</w:t>
            </w:r>
            <w:r>
              <w:t>……..</w:t>
            </w:r>
          </w:p>
        </w:tc>
        <w:tc>
          <w:tcPr>
            <w:tcW w:w="1109" w:type="dxa"/>
            <w:tcBorders>
              <w:top w:val="single" w:sz="4" w:space="0" w:color="auto"/>
              <w:left w:val="single" w:sz="4" w:space="0" w:color="auto"/>
              <w:bottom w:val="single" w:sz="4" w:space="0" w:color="auto"/>
              <w:right w:val="single" w:sz="4" w:space="0" w:color="auto"/>
            </w:tcBorders>
          </w:tcPr>
          <w:p w14:paraId="5266FA42" w14:textId="77777777" w:rsidR="00C53DFF" w:rsidRPr="00052627" w:rsidRDefault="00C53DFF" w:rsidP="00C53DFF">
            <w:pPr>
              <w:suppressAutoHyphens w:val="0"/>
              <w:spacing w:before="60" w:after="60" w:line="240" w:lineRule="auto"/>
              <w:ind w:left="-49" w:right="-66"/>
            </w:pPr>
            <w:r w:rsidRPr="00052627">
              <w:t>……</w:t>
            </w:r>
            <w:r>
              <w:t>……..</w:t>
            </w:r>
          </w:p>
          <w:p w14:paraId="539B9C7A" w14:textId="77777777" w:rsidR="00C53DFF" w:rsidRPr="00052627" w:rsidRDefault="00C53DFF" w:rsidP="00C53DFF">
            <w:pPr>
              <w:suppressAutoHyphens w:val="0"/>
              <w:spacing w:before="60" w:after="60" w:line="240" w:lineRule="auto"/>
              <w:ind w:left="-49" w:right="-66"/>
            </w:pPr>
            <w:r w:rsidRPr="00052627">
              <w:t>……</w:t>
            </w:r>
            <w:r>
              <w:t>……..</w:t>
            </w:r>
          </w:p>
          <w:p w14:paraId="13CEE0BF" w14:textId="77777777" w:rsidR="00C53DFF" w:rsidRPr="00052627" w:rsidRDefault="00C53DFF" w:rsidP="00C53DFF">
            <w:pPr>
              <w:suppressAutoHyphens w:val="0"/>
              <w:spacing w:before="60" w:after="60" w:line="240" w:lineRule="auto"/>
              <w:ind w:left="-49" w:right="-66"/>
            </w:pPr>
            <w:r w:rsidRPr="00052627">
              <w:t>……</w:t>
            </w:r>
            <w:r>
              <w:t>……..</w:t>
            </w:r>
          </w:p>
        </w:tc>
        <w:tc>
          <w:tcPr>
            <w:tcW w:w="1148" w:type="dxa"/>
            <w:tcBorders>
              <w:top w:val="single" w:sz="4" w:space="0" w:color="auto"/>
              <w:left w:val="single" w:sz="4" w:space="0" w:color="auto"/>
              <w:bottom w:val="single" w:sz="4" w:space="0" w:color="auto"/>
              <w:right w:val="single" w:sz="4" w:space="0" w:color="auto"/>
            </w:tcBorders>
          </w:tcPr>
          <w:p w14:paraId="0290AC7F" w14:textId="77777777" w:rsidR="00F938AC" w:rsidRPr="00052627" w:rsidRDefault="00F938AC" w:rsidP="00F938AC">
            <w:pPr>
              <w:suppressAutoHyphens w:val="0"/>
              <w:spacing w:before="60" w:after="60" w:line="240" w:lineRule="auto"/>
              <w:ind w:left="-49" w:right="-66"/>
            </w:pPr>
            <w:r w:rsidRPr="00052627">
              <w:t>……</w:t>
            </w:r>
            <w:r>
              <w:t>……..</w:t>
            </w:r>
          </w:p>
          <w:p w14:paraId="033644F4" w14:textId="77777777" w:rsidR="00F938AC" w:rsidRPr="00052627" w:rsidRDefault="00F938AC" w:rsidP="00F938AC">
            <w:pPr>
              <w:suppressAutoHyphens w:val="0"/>
              <w:spacing w:before="60" w:after="60" w:line="240" w:lineRule="auto"/>
              <w:ind w:left="-49" w:right="-66"/>
            </w:pPr>
            <w:r w:rsidRPr="00052627">
              <w:t>……</w:t>
            </w:r>
            <w:r>
              <w:t>……..</w:t>
            </w:r>
          </w:p>
          <w:p w14:paraId="53FFFCB0" w14:textId="77777777" w:rsidR="00046E1F" w:rsidRPr="00052627" w:rsidRDefault="00F938AC" w:rsidP="00F938AC">
            <w:pPr>
              <w:suppressAutoHyphens w:val="0"/>
              <w:spacing w:before="60" w:after="60" w:line="240" w:lineRule="auto"/>
              <w:ind w:left="-49" w:right="-66"/>
            </w:pPr>
            <w:r w:rsidRPr="00052627">
              <w:t>……</w:t>
            </w:r>
            <w:r>
              <w:t>……..</w:t>
            </w:r>
          </w:p>
        </w:tc>
        <w:tc>
          <w:tcPr>
            <w:tcW w:w="1022" w:type="dxa"/>
            <w:tcBorders>
              <w:top w:val="single" w:sz="4" w:space="0" w:color="auto"/>
              <w:left w:val="single" w:sz="4" w:space="0" w:color="auto"/>
              <w:bottom w:val="single" w:sz="4" w:space="0" w:color="auto"/>
              <w:right w:val="single" w:sz="4" w:space="0" w:color="auto"/>
            </w:tcBorders>
          </w:tcPr>
          <w:p w14:paraId="1E8DD7AF" w14:textId="77777777" w:rsidR="00F938AC" w:rsidRPr="00052627" w:rsidRDefault="00F938AC" w:rsidP="00F938AC">
            <w:pPr>
              <w:suppressAutoHyphens w:val="0"/>
              <w:spacing w:before="60" w:after="60" w:line="240" w:lineRule="auto"/>
              <w:ind w:left="-49" w:right="-66"/>
            </w:pPr>
            <w:r w:rsidRPr="00052627">
              <w:t>……</w:t>
            </w:r>
            <w:r>
              <w:t>……..</w:t>
            </w:r>
          </w:p>
          <w:p w14:paraId="4298080D" w14:textId="77777777" w:rsidR="00F938AC" w:rsidRPr="00052627" w:rsidRDefault="00F938AC" w:rsidP="00F938AC">
            <w:pPr>
              <w:suppressAutoHyphens w:val="0"/>
              <w:spacing w:before="60" w:after="60" w:line="240" w:lineRule="auto"/>
              <w:ind w:left="-49" w:right="-66"/>
            </w:pPr>
            <w:r w:rsidRPr="00052627">
              <w:t>……</w:t>
            </w:r>
            <w:r>
              <w:t>……..</w:t>
            </w:r>
          </w:p>
          <w:p w14:paraId="5D79AC65" w14:textId="77777777" w:rsidR="00046E1F" w:rsidRPr="00052627" w:rsidRDefault="00F938AC" w:rsidP="00F938AC">
            <w:pPr>
              <w:suppressAutoHyphens w:val="0"/>
              <w:spacing w:before="60" w:after="60" w:line="240" w:lineRule="auto"/>
              <w:ind w:left="-49" w:right="-66"/>
            </w:pPr>
            <w:r w:rsidRPr="00052627">
              <w:t>……</w:t>
            </w:r>
            <w:r>
              <w:t>……..</w:t>
            </w:r>
          </w:p>
        </w:tc>
        <w:tc>
          <w:tcPr>
            <w:tcW w:w="1076" w:type="dxa"/>
            <w:tcBorders>
              <w:top w:val="single" w:sz="4" w:space="0" w:color="auto"/>
              <w:left w:val="single" w:sz="4" w:space="0" w:color="auto"/>
              <w:bottom w:val="single" w:sz="4" w:space="0" w:color="auto"/>
              <w:right w:val="single" w:sz="4" w:space="0" w:color="auto"/>
            </w:tcBorders>
          </w:tcPr>
          <w:p w14:paraId="1FD77815" w14:textId="77777777" w:rsidR="00F938AC" w:rsidRPr="00052627" w:rsidRDefault="00F938AC" w:rsidP="00F938AC">
            <w:pPr>
              <w:suppressAutoHyphens w:val="0"/>
              <w:spacing w:before="60" w:after="60" w:line="240" w:lineRule="auto"/>
              <w:ind w:left="-49" w:right="-66"/>
            </w:pPr>
            <w:r w:rsidRPr="00052627">
              <w:t>……</w:t>
            </w:r>
            <w:r>
              <w:t>……..</w:t>
            </w:r>
          </w:p>
          <w:p w14:paraId="28268BDB" w14:textId="77777777" w:rsidR="00F938AC" w:rsidRPr="00052627" w:rsidRDefault="00F938AC" w:rsidP="00F938AC">
            <w:pPr>
              <w:suppressAutoHyphens w:val="0"/>
              <w:spacing w:before="60" w:after="60" w:line="240" w:lineRule="auto"/>
              <w:ind w:left="-49" w:right="-66"/>
            </w:pPr>
            <w:r w:rsidRPr="00052627">
              <w:t>……</w:t>
            </w:r>
            <w:r>
              <w:t>……..</w:t>
            </w:r>
          </w:p>
          <w:p w14:paraId="69D01C4F" w14:textId="77777777" w:rsidR="00046E1F" w:rsidRPr="00052627" w:rsidRDefault="00F938AC" w:rsidP="00F938AC">
            <w:pPr>
              <w:suppressAutoHyphens w:val="0"/>
              <w:spacing w:before="60" w:after="60" w:line="240" w:lineRule="auto"/>
              <w:ind w:left="-49" w:right="-66"/>
            </w:pPr>
            <w:r w:rsidRPr="00052627">
              <w:t>……</w:t>
            </w:r>
            <w:r>
              <w:t>……..</w:t>
            </w:r>
          </w:p>
        </w:tc>
      </w:tr>
    </w:tbl>
    <w:p w14:paraId="3DF76184" w14:textId="77777777" w:rsidR="00046E1F" w:rsidRPr="00052627" w:rsidRDefault="000B0608" w:rsidP="000B0608">
      <w:pPr>
        <w:pStyle w:val="SingleTxtG"/>
        <w:spacing w:before="120" w:after="240" w:line="240" w:lineRule="auto"/>
        <w:ind w:right="0"/>
        <w:jc w:val="right"/>
      </w:pPr>
      <w:r>
        <w:t> </w:t>
      </w:r>
      <w:r w:rsidR="00046E1F" w:rsidRPr="00052627">
        <w:t>»</w:t>
      </w:r>
      <w:r>
        <w:t>.</w:t>
      </w:r>
    </w:p>
    <w:p w14:paraId="5664D98C" w14:textId="77777777" w:rsidR="00046E1F" w:rsidRPr="00052627" w:rsidRDefault="00046E1F" w:rsidP="000B0608">
      <w:pPr>
        <w:pStyle w:val="H23G"/>
      </w:pPr>
      <w:r w:rsidRPr="00052627">
        <w:rPr>
          <w:lang w:val="fr-FR"/>
        </w:rPr>
        <w:tab/>
      </w:r>
      <w:r w:rsidR="000B0608">
        <w:rPr>
          <w:lang w:val="fr-FR"/>
        </w:rPr>
        <w:tab/>
      </w:r>
      <w:r w:rsidRPr="00052627">
        <w:rPr>
          <w:lang w:val="fr-FR"/>
        </w:rPr>
        <w:t>9.3.2.25.9/9.3.3.25.9</w:t>
      </w:r>
    </w:p>
    <w:p w14:paraId="75FAAC78" w14:textId="77777777" w:rsidR="00046E1F" w:rsidRPr="00052627" w:rsidRDefault="00046E1F" w:rsidP="00046E1F">
      <w:pPr>
        <w:pStyle w:val="SingleTxtG"/>
        <w:spacing w:line="240" w:lineRule="auto"/>
        <w:rPr>
          <w:lang w:val="fr-FR"/>
        </w:rPr>
      </w:pPr>
      <w:r w:rsidRPr="00052627">
        <w:rPr>
          <w:lang w:val="fr-FR"/>
        </w:rPr>
        <w:t xml:space="preserve">« Les débits de chargement et de déchargement admissibles doivent être calculés. </w:t>
      </w:r>
    </w:p>
    <w:p w14:paraId="2CB764EA" w14:textId="77777777" w:rsidR="00046E1F" w:rsidRPr="00052627" w:rsidRDefault="00046E1F" w:rsidP="00046E1F">
      <w:pPr>
        <w:pStyle w:val="SingleTxtG"/>
        <w:spacing w:line="240" w:lineRule="auto"/>
        <w:rPr>
          <w:lang w:val="fr-FR"/>
        </w:rPr>
      </w:pPr>
      <w:r w:rsidRPr="00052627">
        <w:rPr>
          <w:lang w:val="fr-FR"/>
        </w:rPr>
        <w:t xml:space="preserve">Les calculs concernent les débits </w:t>
      </w:r>
      <w:r w:rsidRPr="00A24562">
        <w:rPr>
          <w:b/>
          <w:bCs/>
          <w:u w:val="single"/>
          <w:lang w:val="fr-FR"/>
        </w:rPr>
        <w:t>initial, intermédiaire et final</w:t>
      </w:r>
      <w:r w:rsidRPr="00052627">
        <w:rPr>
          <w:lang w:val="fr-FR"/>
        </w:rPr>
        <w:t xml:space="preserve"> maximaux admissibles pour le chargement et le déchargement pour chaque citerne à cargaison </w:t>
      </w:r>
      <w:r w:rsidRPr="00052627">
        <w:rPr>
          <w:strike/>
          <w:lang w:val="fr-FR"/>
        </w:rPr>
        <w:t>ou</w:t>
      </w:r>
      <w:r w:rsidRPr="00052627">
        <w:rPr>
          <w:lang w:val="fr-FR"/>
        </w:rPr>
        <w:t xml:space="preserve"> </w:t>
      </w:r>
      <w:r w:rsidRPr="00052627">
        <w:rPr>
          <w:b/>
          <w:bCs/>
          <w:lang w:val="fr-FR"/>
        </w:rPr>
        <w:t xml:space="preserve">et </w:t>
      </w:r>
      <w:r w:rsidRPr="00052627">
        <w:rPr>
          <w:lang w:val="fr-FR"/>
        </w:rPr>
        <w:t xml:space="preserve">chaque groupe de citernes à cargaison, compte tenu de la conception </w:t>
      </w:r>
      <w:r w:rsidRPr="00A24562">
        <w:rPr>
          <w:b/>
          <w:bCs/>
          <w:u w:val="single"/>
          <w:lang w:val="fr-FR"/>
        </w:rPr>
        <w:t>de la tuyauterie de chargement et de déchargement et de la conception</w:t>
      </w:r>
      <w:r w:rsidRPr="00052627">
        <w:rPr>
          <w:lang w:val="fr-FR"/>
        </w:rPr>
        <w:t xml:space="preserve"> du système de ventilation. Dans ces calculs, on considérera qu’en cas de coupure imprévue de la conduite de retour de gaz de l’installation à terre, les dispositifs de sécurité des citernes à cargaison empêchent la pression dans les citernes à cargaison de dépasser les valeurs suivantes</w:t>
      </w:r>
      <w:r w:rsidR="007A1F05">
        <w:rPr>
          <w:lang w:val="fr-FR"/>
        </w:rPr>
        <w:t> </w:t>
      </w:r>
      <w:r w:rsidRPr="00052627">
        <w:rPr>
          <w:lang w:val="fr-FR"/>
        </w:rPr>
        <w:t xml:space="preserve">: </w:t>
      </w:r>
    </w:p>
    <w:p w14:paraId="12A73F73" w14:textId="77777777" w:rsidR="00046E1F" w:rsidRPr="00052627" w:rsidRDefault="007A1F05" w:rsidP="00046E1F">
      <w:pPr>
        <w:pStyle w:val="SingleTxtG"/>
        <w:spacing w:line="240" w:lineRule="auto"/>
        <w:ind w:left="2835" w:hanging="1701"/>
        <w:rPr>
          <w:lang w:val="fr-FR"/>
        </w:rPr>
      </w:pPr>
      <w:r>
        <w:rPr>
          <w:lang w:val="fr-FR"/>
        </w:rPr>
        <w:t>S</w:t>
      </w:r>
      <w:r w:rsidR="00046E1F" w:rsidRPr="00052627">
        <w:rPr>
          <w:lang w:val="fr-FR"/>
        </w:rPr>
        <w:t>urpression</w:t>
      </w:r>
      <w:r>
        <w:rPr>
          <w:lang w:val="fr-FR"/>
        </w:rPr>
        <w:t> </w:t>
      </w:r>
      <w:r w:rsidR="00046E1F" w:rsidRPr="00052627">
        <w:rPr>
          <w:lang w:val="fr-FR"/>
        </w:rPr>
        <w:t>:</w:t>
      </w:r>
      <w:r w:rsidR="00046E1F" w:rsidRPr="00052627">
        <w:rPr>
          <w:lang w:val="fr-FR"/>
        </w:rPr>
        <w:tab/>
        <w:t>1,15</w:t>
      </w:r>
      <w:r>
        <w:rPr>
          <w:lang w:val="fr-FR"/>
        </w:rPr>
        <w:t> </w:t>
      </w:r>
      <w:r w:rsidR="00046E1F" w:rsidRPr="00052627">
        <w:rPr>
          <w:lang w:val="fr-FR"/>
        </w:rPr>
        <w:t>fois la pression d’ouverture de la soupape de surpression/soupape de dégagement à grande vitesse</w:t>
      </w:r>
      <w:r>
        <w:rPr>
          <w:lang w:val="fr-FR"/>
        </w:rPr>
        <w:t> </w:t>
      </w:r>
      <w:r w:rsidR="00046E1F" w:rsidRPr="00052627">
        <w:rPr>
          <w:lang w:val="fr-FR"/>
        </w:rPr>
        <w:t>;</w:t>
      </w:r>
    </w:p>
    <w:p w14:paraId="3539DB78" w14:textId="77777777" w:rsidR="00046E1F" w:rsidRPr="00052627" w:rsidRDefault="007A1F05" w:rsidP="00046E1F">
      <w:pPr>
        <w:pStyle w:val="SingleTxtG"/>
        <w:spacing w:line="240" w:lineRule="auto"/>
        <w:ind w:left="2835" w:hanging="1701"/>
        <w:rPr>
          <w:lang w:val="fr-FR"/>
        </w:rPr>
      </w:pPr>
      <w:r>
        <w:rPr>
          <w:lang w:val="fr-FR"/>
        </w:rPr>
        <w:t>D</w:t>
      </w:r>
      <w:r w:rsidR="00046E1F" w:rsidRPr="00052627">
        <w:rPr>
          <w:lang w:val="fr-FR"/>
        </w:rPr>
        <w:t>épression</w:t>
      </w:r>
      <w:r>
        <w:rPr>
          <w:lang w:val="fr-FR"/>
        </w:rPr>
        <w:t> </w:t>
      </w:r>
      <w:r w:rsidR="00046E1F" w:rsidRPr="00052627">
        <w:rPr>
          <w:lang w:val="fr-FR"/>
        </w:rPr>
        <w:t>:</w:t>
      </w:r>
      <w:r w:rsidR="00046E1F" w:rsidRPr="00052627">
        <w:rPr>
          <w:lang w:val="fr-FR"/>
        </w:rPr>
        <w:tab/>
      </w:r>
      <w:r>
        <w:rPr>
          <w:lang w:val="fr-FR"/>
        </w:rPr>
        <w:t>P</w:t>
      </w:r>
      <w:r w:rsidR="00046E1F" w:rsidRPr="00052627">
        <w:rPr>
          <w:lang w:val="fr-FR"/>
        </w:rPr>
        <w:t>as plus que la pression de conception, sans toutefois dépasser une dépression de 5</w:t>
      </w:r>
      <w:r>
        <w:rPr>
          <w:lang w:val="fr-FR"/>
        </w:rPr>
        <w:t> </w:t>
      </w:r>
      <w:r w:rsidR="00046E1F" w:rsidRPr="00052627">
        <w:rPr>
          <w:lang w:val="fr-FR"/>
        </w:rPr>
        <w:t>kPa (0,05</w:t>
      </w:r>
      <w:r>
        <w:rPr>
          <w:lang w:val="fr-FR"/>
        </w:rPr>
        <w:t> </w:t>
      </w:r>
      <w:r w:rsidR="00046E1F" w:rsidRPr="00052627">
        <w:rPr>
          <w:lang w:val="fr-FR"/>
        </w:rPr>
        <w:t>bar).</w:t>
      </w:r>
    </w:p>
    <w:p w14:paraId="07A56962" w14:textId="77777777" w:rsidR="00046E1F" w:rsidRPr="00052627" w:rsidRDefault="00046E1F" w:rsidP="008222AA">
      <w:pPr>
        <w:pStyle w:val="SingleTxtG"/>
        <w:spacing w:line="240" w:lineRule="exact"/>
        <w:rPr>
          <w:lang w:val="fr-FR"/>
        </w:rPr>
      </w:pPr>
      <w:r w:rsidRPr="00052627">
        <w:rPr>
          <w:lang w:val="fr-FR"/>
        </w:rPr>
        <w:t>Les principaux facteurs à considérer sont les suivants</w:t>
      </w:r>
      <w:r w:rsidR="007A1F05">
        <w:rPr>
          <w:lang w:val="fr-FR"/>
        </w:rPr>
        <w:t> </w:t>
      </w:r>
      <w:r w:rsidRPr="00052627">
        <w:rPr>
          <w:lang w:val="fr-FR"/>
        </w:rPr>
        <w:t>:</w:t>
      </w:r>
    </w:p>
    <w:p w14:paraId="6FC87F75" w14:textId="77777777" w:rsidR="00046E1F" w:rsidRPr="00052627" w:rsidRDefault="00046E1F" w:rsidP="008222AA">
      <w:pPr>
        <w:pStyle w:val="SingleTxtG"/>
        <w:spacing w:line="240" w:lineRule="exact"/>
        <w:ind w:left="1701" w:hanging="567"/>
        <w:rPr>
          <w:b/>
          <w:u w:val="single"/>
          <w:lang w:val="fr-FR"/>
        </w:rPr>
      </w:pPr>
      <w:r w:rsidRPr="00052627">
        <w:rPr>
          <w:lang w:val="fr-FR"/>
        </w:rPr>
        <w:t>1.</w:t>
      </w:r>
      <w:r w:rsidRPr="00052627">
        <w:rPr>
          <w:lang w:val="fr-FR"/>
        </w:rPr>
        <w:tab/>
      </w:r>
      <w:r w:rsidRPr="00052627">
        <w:rPr>
          <w:b/>
          <w:bCs/>
          <w:u w:val="single"/>
          <w:lang w:val="fr-FR"/>
        </w:rPr>
        <w:t>Conception de la tuyauterie de chargement et de déchargement</w:t>
      </w:r>
      <w:r w:rsidR="007A1F05">
        <w:rPr>
          <w:b/>
          <w:bCs/>
          <w:u w:val="single"/>
          <w:lang w:val="fr-FR"/>
        </w:rPr>
        <w:t> </w:t>
      </w:r>
      <w:r w:rsidRPr="00052627">
        <w:rPr>
          <w:b/>
          <w:bCs/>
          <w:u w:val="single"/>
          <w:lang w:val="fr-FR"/>
        </w:rPr>
        <w:t>;</w:t>
      </w:r>
    </w:p>
    <w:p w14:paraId="79CEA7CF" w14:textId="77777777" w:rsidR="00046E1F" w:rsidRPr="00052627" w:rsidRDefault="00046E1F" w:rsidP="008222AA">
      <w:pPr>
        <w:pStyle w:val="SingleTxtG"/>
        <w:spacing w:line="240" w:lineRule="exact"/>
        <w:ind w:left="1701" w:hanging="567"/>
        <w:rPr>
          <w:lang w:val="fr-FR"/>
        </w:rPr>
      </w:pPr>
      <w:r w:rsidRPr="00052627">
        <w:rPr>
          <w:strike/>
          <w:lang w:val="fr-FR"/>
        </w:rPr>
        <w:t>1</w:t>
      </w:r>
      <w:r w:rsidRPr="00052627">
        <w:rPr>
          <w:b/>
          <w:bCs/>
          <w:u w:val="single"/>
          <w:lang w:val="fr-FR"/>
        </w:rPr>
        <w:t>2</w:t>
      </w:r>
      <w:r w:rsidRPr="00052627">
        <w:rPr>
          <w:lang w:val="fr-FR"/>
        </w:rPr>
        <w:t>.</w:t>
      </w:r>
      <w:r w:rsidRPr="00052627">
        <w:rPr>
          <w:lang w:val="fr-FR"/>
        </w:rPr>
        <w:tab/>
      </w:r>
      <w:r w:rsidRPr="00052627">
        <w:rPr>
          <w:strike/>
          <w:lang w:val="fr-FR"/>
        </w:rPr>
        <w:t>Dimensions</w:t>
      </w:r>
      <w:r w:rsidRPr="00052627">
        <w:rPr>
          <w:b/>
          <w:bCs/>
          <w:lang w:val="fr-FR"/>
        </w:rPr>
        <w:t>Conception</w:t>
      </w:r>
      <w:r w:rsidRPr="00052627">
        <w:rPr>
          <w:lang w:val="fr-FR"/>
        </w:rPr>
        <w:t xml:space="preserve"> du système de ventilation des citernes à cargaison</w:t>
      </w:r>
      <w:r w:rsidR="007A1F05">
        <w:rPr>
          <w:lang w:val="fr-FR"/>
        </w:rPr>
        <w:t> </w:t>
      </w:r>
      <w:r w:rsidRPr="00052627">
        <w:rPr>
          <w:lang w:val="fr-FR"/>
        </w:rPr>
        <w:t>;</w:t>
      </w:r>
    </w:p>
    <w:p w14:paraId="0808973B" w14:textId="77777777" w:rsidR="00046E1F" w:rsidRPr="00052627" w:rsidRDefault="00046E1F" w:rsidP="008222AA">
      <w:pPr>
        <w:pStyle w:val="SingleTxtG"/>
        <w:spacing w:line="240" w:lineRule="exact"/>
        <w:ind w:left="1701" w:hanging="567"/>
        <w:rPr>
          <w:lang w:val="fr-FR"/>
        </w:rPr>
      </w:pPr>
      <w:r w:rsidRPr="00052627">
        <w:rPr>
          <w:strike/>
          <w:lang w:val="fr-FR"/>
        </w:rPr>
        <w:t>2</w:t>
      </w:r>
      <w:r w:rsidRPr="00052627">
        <w:rPr>
          <w:b/>
          <w:bCs/>
          <w:u w:val="single"/>
          <w:lang w:val="fr-FR"/>
        </w:rPr>
        <w:t>3</w:t>
      </w:r>
      <w:r w:rsidRPr="00052627">
        <w:rPr>
          <w:lang w:val="fr-FR"/>
        </w:rPr>
        <w:t>.</w:t>
      </w:r>
      <w:r w:rsidRPr="00052627">
        <w:rPr>
          <w:lang w:val="fr-FR"/>
        </w:rPr>
        <w:tab/>
        <w:t>Formation de gaz pendant le chargement</w:t>
      </w:r>
      <w:r w:rsidR="007A1F05">
        <w:rPr>
          <w:lang w:val="fr-FR"/>
        </w:rPr>
        <w:t> </w:t>
      </w:r>
      <w:r w:rsidRPr="00052627">
        <w:rPr>
          <w:lang w:val="fr-FR"/>
        </w:rPr>
        <w:t>: multiplier le plus grand débit de chargement par un facteur de 1,25 au moins</w:t>
      </w:r>
      <w:r w:rsidR="007A1F05">
        <w:rPr>
          <w:lang w:val="fr-FR"/>
        </w:rPr>
        <w:t> </w:t>
      </w:r>
      <w:r w:rsidRPr="00052627">
        <w:rPr>
          <w:lang w:val="fr-FR"/>
        </w:rPr>
        <w:t>;</w:t>
      </w:r>
    </w:p>
    <w:p w14:paraId="4C9E5C9E" w14:textId="77777777" w:rsidR="00046E1F" w:rsidRPr="00052627" w:rsidRDefault="00046E1F" w:rsidP="008222AA">
      <w:pPr>
        <w:pStyle w:val="SingleTxtG"/>
        <w:spacing w:line="240" w:lineRule="exact"/>
        <w:ind w:left="1701" w:hanging="567"/>
        <w:rPr>
          <w:lang w:val="fr-FR"/>
        </w:rPr>
      </w:pPr>
      <w:r w:rsidRPr="00052627">
        <w:rPr>
          <w:strike/>
          <w:lang w:val="fr-FR"/>
        </w:rPr>
        <w:t>3</w:t>
      </w:r>
      <w:r w:rsidRPr="00052627">
        <w:rPr>
          <w:b/>
          <w:bCs/>
          <w:u w:val="single"/>
          <w:lang w:val="fr-FR"/>
        </w:rPr>
        <w:t>4</w:t>
      </w:r>
      <w:r w:rsidRPr="00052627">
        <w:rPr>
          <w:lang w:val="fr-FR"/>
        </w:rPr>
        <w:t>.</w:t>
      </w:r>
      <w:r w:rsidRPr="00052627">
        <w:rPr>
          <w:lang w:val="fr-FR"/>
        </w:rPr>
        <w:tab/>
      </w:r>
      <w:r w:rsidRPr="00052627">
        <w:rPr>
          <w:strike/>
          <w:lang w:val="fr-FR"/>
        </w:rPr>
        <w:t>Densité du mélange de vapeur de la cargaison basé</w:t>
      </w:r>
      <w:r w:rsidRPr="00052627">
        <w:rPr>
          <w:b/>
          <w:bCs/>
          <w:lang w:val="fr-FR"/>
        </w:rPr>
        <w:t>Différentes densités de vapeur pertinentes</w:t>
      </w:r>
      <w:r w:rsidRPr="00052627">
        <w:rPr>
          <w:lang w:val="fr-FR"/>
        </w:rPr>
        <w:t xml:space="preserve">, </w:t>
      </w:r>
      <w:r w:rsidRPr="00052627">
        <w:rPr>
          <w:b/>
          <w:bCs/>
          <w:lang w:val="fr-FR"/>
        </w:rPr>
        <w:t>basées</w:t>
      </w:r>
      <w:r w:rsidRPr="00052627">
        <w:rPr>
          <w:lang w:val="fr-FR"/>
        </w:rPr>
        <w:t xml:space="preserve"> sur 50</w:t>
      </w:r>
      <w:r w:rsidR="008222AA">
        <w:rPr>
          <w:lang w:val="fr-FR"/>
        </w:rPr>
        <w:t> </w:t>
      </w:r>
      <w:r w:rsidRPr="00052627">
        <w:rPr>
          <w:lang w:val="fr-FR"/>
        </w:rPr>
        <w:t>%</w:t>
      </w:r>
      <w:r w:rsidR="00B24121">
        <w:rPr>
          <w:lang w:val="fr-FR"/>
        </w:rPr>
        <w:t xml:space="preserve"> </w:t>
      </w:r>
      <w:r w:rsidRPr="00052627">
        <w:rPr>
          <w:lang w:val="fr-FR"/>
        </w:rPr>
        <w:t>de vapeur et 50</w:t>
      </w:r>
      <w:r w:rsidR="008222AA">
        <w:rPr>
          <w:lang w:val="fr-FR"/>
        </w:rPr>
        <w:t> </w:t>
      </w:r>
      <w:r w:rsidRPr="00052627">
        <w:rPr>
          <w:lang w:val="fr-FR"/>
        </w:rPr>
        <w:t>%</w:t>
      </w:r>
      <w:r w:rsidR="00B24121">
        <w:rPr>
          <w:lang w:val="fr-FR"/>
        </w:rPr>
        <w:t xml:space="preserve"> </w:t>
      </w:r>
      <w:r w:rsidRPr="00052627">
        <w:rPr>
          <w:lang w:val="fr-FR"/>
        </w:rPr>
        <w:t>d’air en volume</w:t>
      </w:r>
      <w:r w:rsidR="008222AA">
        <w:rPr>
          <w:lang w:val="fr-FR"/>
        </w:rPr>
        <w:t> </w:t>
      </w:r>
      <w:r w:rsidRPr="00052627">
        <w:rPr>
          <w:lang w:val="fr-FR"/>
        </w:rPr>
        <w:t>;</w:t>
      </w:r>
    </w:p>
    <w:p w14:paraId="7253FD5A" w14:textId="77777777" w:rsidR="00046E1F" w:rsidRPr="00052627" w:rsidRDefault="00046E1F" w:rsidP="008222AA">
      <w:pPr>
        <w:pStyle w:val="SingleTxtG"/>
        <w:spacing w:line="240" w:lineRule="exact"/>
        <w:ind w:left="1701" w:hanging="567"/>
        <w:rPr>
          <w:lang w:val="fr-FR"/>
        </w:rPr>
      </w:pPr>
      <w:r w:rsidRPr="00052627">
        <w:rPr>
          <w:strike/>
          <w:lang w:val="fr-FR"/>
        </w:rPr>
        <w:t>4</w:t>
      </w:r>
      <w:r w:rsidRPr="00052627">
        <w:rPr>
          <w:b/>
          <w:bCs/>
          <w:u w:val="single"/>
          <w:lang w:val="fr-FR"/>
        </w:rPr>
        <w:t>5</w:t>
      </w:r>
      <w:r w:rsidRPr="00052627">
        <w:rPr>
          <w:lang w:val="fr-FR"/>
        </w:rPr>
        <w:t>.</w:t>
      </w:r>
      <w:r w:rsidRPr="00052627">
        <w:rPr>
          <w:lang w:val="fr-FR"/>
        </w:rPr>
        <w:tab/>
        <w:t>Perte de pression par les conduits de ventilation, les soupapes et les accessoires. On</w:t>
      </w:r>
      <w:r w:rsidR="008222AA">
        <w:rPr>
          <w:lang w:val="fr-FR"/>
        </w:rPr>
        <w:t> </w:t>
      </w:r>
      <w:r w:rsidRPr="00052627">
        <w:rPr>
          <w:lang w:val="fr-FR"/>
        </w:rPr>
        <w:t>prendra en compte un encrassement des tamis du coupe-flammes de 30</w:t>
      </w:r>
      <w:r w:rsidR="00CD5B45">
        <w:rPr>
          <w:lang w:val="fr-FR"/>
        </w:rPr>
        <w:t> </w:t>
      </w:r>
      <w:r w:rsidRPr="00052627">
        <w:rPr>
          <w:lang w:val="fr-FR"/>
        </w:rPr>
        <w:t>%</w:t>
      </w:r>
      <w:r w:rsidR="00CD5B45">
        <w:rPr>
          <w:lang w:val="fr-FR"/>
        </w:rPr>
        <w:t> </w:t>
      </w:r>
      <w:r w:rsidRPr="00052627">
        <w:rPr>
          <w:lang w:val="fr-FR"/>
        </w:rPr>
        <w:t>;</w:t>
      </w:r>
    </w:p>
    <w:p w14:paraId="1B2B4B60" w14:textId="77777777" w:rsidR="00046E1F" w:rsidRPr="00052627" w:rsidRDefault="00046E1F" w:rsidP="008222AA">
      <w:pPr>
        <w:pStyle w:val="SingleTxtG"/>
        <w:spacing w:line="240" w:lineRule="exact"/>
        <w:ind w:left="1701" w:hanging="567"/>
        <w:rPr>
          <w:lang w:val="fr-FR"/>
        </w:rPr>
      </w:pPr>
      <w:r w:rsidRPr="00052627">
        <w:rPr>
          <w:strike/>
          <w:lang w:val="fr-FR"/>
        </w:rPr>
        <w:t>5</w:t>
      </w:r>
      <w:r w:rsidRPr="00052627">
        <w:rPr>
          <w:b/>
          <w:bCs/>
          <w:u w:val="single"/>
          <w:lang w:val="fr-FR"/>
        </w:rPr>
        <w:t>6</w:t>
      </w:r>
      <w:r w:rsidRPr="00052627">
        <w:rPr>
          <w:lang w:val="fr-FR"/>
        </w:rPr>
        <w:t>.</w:t>
      </w:r>
      <w:r w:rsidRPr="00052627">
        <w:rPr>
          <w:lang w:val="fr-FR"/>
        </w:rPr>
        <w:tab/>
        <w:t>Pression de calage des soupapes de sécurité</w:t>
      </w:r>
      <w:r w:rsidR="008222AA">
        <w:rPr>
          <w:lang w:val="fr-FR"/>
        </w:rPr>
        <w:t> </w:t>
      </w:r>
      <w:r w:rsidRPr="00052627">
        <w:rPr>
          <w:b/>
          <w:bCs/>
          <w:lang w:val="fr-FR"/>
        </w:rPr>
        <w:t>;</w:t>
      </w:r>
      <w:r w:rsidRPr="00052627">
        <w:rPr>
          <w:strike/>
          <w:lang w:val="fr-FR"/>
        </w:rPr>
        <w:t xml:space="preserve"> .</w:t>
      </w:r>
    </w:p>
    <w:p w14:paraId="66F76815" w14:textId="77777777" w:rsidR="00046E1F" w:rsidRPr="00052627" w:rsidRDefault="00046E1F" w:rsidP="008222AA">
      <w:pPr>
        <w:pStyle w:val="SingleTxtG"/>
        <w:spacing w:line="240" w:lineRule="exact"/>
        <w:ind w:left="1701" w:hanging="567"/>
        <w:rPr>
          <w:b/>
          <w:u w:val="single"/>
          <w:lang w:val="fr-FR"/>
        </w:rPr>
      </w:pPr>
      <w:r w:rsidRPr="00CD5B45">
        <w:rPr>
          <w:b/>
          <w:bCs/>
          <w:u w:val="single"/>
          <w:lang w:val="fr-FR"/>
        </w:rPr>
        <w:t>7.</w:t>
      </w:r>
      <w:r w:rsidRPr="00052627">
        <w:rPr>
          <w:lang w:val="fr-FR"/>
        </w:rPr>
        <w:tab/>
      </w:r>
      <w:r w:rsidRPr="00052627">
        <w:rPr>
          <w:b/>
          <w:bCs/>
          <w:u w:val="single"/>
          <w:lang w:val="fr-FR"/>
        </w:rPr>
        <w:t>Prévention de l’apparition de charges électrostatiques.</w:t>
      </w:r>
    </w:p>
    <w:p w14:paraId="3C60CF09" w14:textId="77777777" w:rsidR="00046E1F" w:rsidRPr="00052627" w:rsidRDefault="00046E1F" w:rsidP="00046E1F">
      <w:pPr>
        <w:pStyle w:val="SingleTxtG"/>
        <w:spacing w:line="240" w:lineRule="auto"/>
        <w:rPr>
          <w:lang w:val="fr-FR"/>
        </w:rPr>
      </w:pPr>
      <w:r w:rsidRPr="00052627">
        <w:rPr>
          <w:strike/>
          <w:lang w:val="fr-FR"/>
        </w:rPr>
        <w:t>Une instruction relative au débit maximal admissible de chargement et de déchargement pour chaque citerne à cargaison ou pour chaque groupe de citernes à cargaison</w:t>
      </w:r>
      <w:r w:rsidRPr="00052627">
        <w:rPr>
          <w:b/>
          <w:bCs/>
          <w:lang w:val="fr-FR"/>
        </w:rPr>
        <w:t xml:space="preserve"> Les</w:t>
      </w:r>
      <w:r w:rsidR="00CD5B45">
        <w:rPr>
          <w:b/>
          <w:bCs/>
          <w:lang w:val="fr-FR"/>
        </w:rPr>
        <w:t> </w:t>
      </w:r>
      <w:r w:rsidRPr="00052627">
        <w:rPr>
          <w:b/>
          <w:bCs/>
          <w:lang w:val="fr-FR"/>
        </w:rPr>
        <w:t>instructions relatives au chargement et au déchargement doivent être approuvées par la société de classification agréée chargée de la classification du</w:t>
      </w:r>
      <w:r w:rsidR="00B24121">
        <w:rPr>
          <w:b/>
          <w:bCs/>
          <w:lang w:val="fr-FR"/>
        </w:rPr>
        <w:t xml:space="preserve"> </w:t>
      </w:r>
      <w:r w:rsidRPr="00052627">
        <w:rPr>
          <w:b/>
          <w:bCs/>
          <w:lang w:val="fr-FR"/>
        </w:rPr>
        <w:t xml:space="preserve">bateau. Elles doivent </w:t>
      </w:r>
      <w:r w:rsidRPr="00052627">
        <w:rPr>
          <w:lang w:val="fr-FR"/>
        </w:rPr>
        <w:t>se trouver à bord. »</w:t>
      </w:r>
      <w:r w:rsidR="00CD5B45">
        <w:rPr>
          <w:lang w:val="fr-FR"/>
        </w:rPr>
        <w:t>.</w:t>
      </w:r>
    </w:p>
    <w:p w14:paraId="68F36B34" w14:textId="77777777" w:rsidR="00046E1F" w:rsidRPr="00052627" w:rsidRDefault="00046E1F" w:rsidP="00CD5B45">
      <w:pPr>
        <w:pStyle w:val="H1G"/>
        <w:rPr>
          <w:lang w:val="fr-FR"/>
        </w:rPr>
      </w:pPr>
      <w:r w:rsidRPr="00052627">
        <w:rPr>
          <w:lang w:val="fr-FR"/>
        </w:rPr>
        <w:lastRenderedPageBreak/>
        <w:tab/>
      </w:r>
      <w:r w:rsidRPr="00052627">
        <w:rPr>
          <w:lang w:val="fr-FR"/>
        </w:rPr>
        <w:tab/>
        <w:t>Amendement corollaire</w:t>
      </w:r>
    </w:p>
    <w:p w14:paraId="5D64890C" w14:textId="77777777" w:rsidR="00046E1F" w:rsidRPr="00052627" w:rsidRDefault="00046E1F" w:rsidP="00CD5B45">
      <w:pPr>
        <w:pStyle w:val="SingleTxtG"/>
        <w:rPr>
          <w:lang w:val="fr-FR"/>
        </w:rPr>
      </w:pPr>
      <w:r w:rsidRPr="00052627">
        <w:rPr>
          <w:lang w:val="fr-FR"/>
        </w:rPr>
        <w:t>10.</w:t>
      </w:r>
      <w:r w:rsidRPr="00052627">
        <w:rPr>
          <w:lang w:val="fr-FR"/>
        </w:rPr>
        <w:tab/>
        <w:t xml:space="preserve">La délégation néerlandaise propose un amendement corollaire visant à ajouter une disposition transitoire pour le nouveau document. </w:t>
      </w:r>
    </w:p>
    <w:p w14:paraId="74EA856C" w14:textId="77777777" w:rsidR="00046E1F" w:rsidRPr="00052627" w:rsidRDefault="00CD5B45" w:rsidP="00CD5B45">
      <w:pPr>
        <w:pStyle w:val="H23G"/>
      </w:pPr>
      <w:r>
        <w:rPr>
          <w:lang w:val="fr-FR"/>
        </w:rPr>
        <w:tab/>
      </w:r>
      <w:r>
        <w:rPr>
          <w:lang w:val="fr-FR"/>
        </w:rPr>
        <w:tab/>
      </w:r>
      <w:r w:rsidR="00046E1F" w:rsidRPr="00052627">
        <w:rPr>
          <w:lang w:val="fr-FR"/>
        </w:rPr>
        <w:t>1.6.7.2.2.2</w:t>
      </w:r>
    </w:p>
    <w:p w14:paraId="640D67EF" w14:textId="77777777" w:rsidR="00046E1F" w:rsidRPr="00052627" w:rsidRDefault="00046E1F" w:rsidP="00046E1F">
      <w:pPr>
        <w:pStyle w:val="SingleTxtG"/>
        <w:spacing w:line="240" w:lineRule="auto"/>
        <w:rPr>
          <w:lang w:val="en-US"/>
        </w:rPr>
      </w:pPr>
      <w:r w:rsidRPr="00052627">
        <w:rPr>
          <w:lang w:val="en-US"/>
        </w:rPr>
        <w:t>«</w:t>
      </w:r>
      <w:r w:rsidR="006751EF">
        <w:rPr>
          <w:lang w:val="en-US"/>
        </w:rPr>
        <w: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311"/>
        <w:gridCol w:w="3959"/>
      </w:tblGrid>
      <w:tr w:rsidR="00046E1F" w:rsidRPr="00052627" w14:paraId="0C99E038" w14:textId="77777777" w:rsidTr="00E31F64">
        <w:tc>
          <w:tcPr>
            <w:tcW w:w="1101" w:type="dxa"/>
            <w:shd w:val="clear" w:color="auto" w:fill="auto"/>
          </w:tcPr>
          <w:p w14:paraId="715924A5" w14:textId="77777777" w:rsidR="00046E1F" w:rsidRPr="00052627" w:rsidRDefault="00046E1F" w:rsidP="00E31F64">
            <w:pPr>
              <w:spacing w:before="60" w:after="60" w:line="240" w:lineRule="auto"/>
              <w:jc w:val="both"/>
              <w:rPr>
                <w:b/>
                <w:color w:val="000000"/>
                <w:u w:val="single"/>
              </w:rPr>
            </w:pPr>
            <w:r w:rsidRPr="00052627">
              <w:rPr>
                <w:b/>
                <w:bCs/>
                <w:u w:val="single"/>
                <w:lang w:val="fr-FR"/>
              </w:rPr>
              <w:t>9.3.2.25.9</w:t>
            </w:r>
            <w:r w:rsidRPr="00052627">
              <w:rPr>
                <w:lang w:val="fr-FR"/>
              </w:rPr>
              <w:t xml:space="preserve"> </w:t>
            </w:r>
            <w:r w:rsidRPr="00052627">
              <w:rPr>
                <w:b/>
                <w:bCs/>
                <w:u w:val="single"/>
                <w:lang w:val="fr-FR"/>
              </w:rPr>
              <w:t>9.3.3.25.9</w:t>
            </w:r>
          </w:p>
        </w:tc>
        <w:tc>
          <w:tcPr>
            <w:tcW w:w="2311" w:type="dxa"/>
            <w:shd w:val="clear" w:color="auto" w:fill="auto"/>
          </w:tcPr>
          <w:p w14:paraId="03DFD292" w14:textId="77777777" w:rsidR="00046E1F" w:rsidRPr="00052627" w:rsidRDefault="00046E1F" w:rsidP="00E31F64">
            <w:pPr>
              <w:spacing w:before="60" w:after="60" w:line="240" w:lineRule="auto"/>
              <w:rPr>
                <w:color w:val="000000"/>
                <w:lang w:val="fr-FR"/>
              </w:rPr>
            </w:pPr>
            <w:r w:rsidRPr="00052627">
              <w:rPr>
                <w:b/>
                <w:bCs/>
                <w:u w:val="single"/>
                <w:lang w:val="fr-FR"/>
              </w:rPr>
              <w:t xml:space="preserve">Instructions </w:t>
            </w:r>
            <w:r w:rsidR="00E31F64">
              <w:rPr>
                <w:b/>
                <w:bCs/>
                <w:u w:val="single"/>
                <w:lang w:val="fr-FR"/>
              </w:rPr>
              <w:br/>
            </w:r>
            <w:r w:rsidRPr="00052627">
              <w:rPr>
                <w:b/>
                <w:bCs/>
                <w:u w:val="single"/>
                <w:lang w:val="fr-FR"/>
              </w:rPr>
              <w:t xml:space="preserve">de chargement </w:t>
            </w:r>
            <w:r w:rsidR="00E31F64">
              <w:rPr>
                <w:b/>
                <w:bCs/>
                <w:u w:val="single"/>
                <w:lang w:val="fr-FR"/>
              </w:rPr>
              <w:br/>
            </w:r>
            <w:r w:rsidRPr="00052627">
              <w:rPr>
                <w:b/>
                <w:bCs/>
                <w:u w:val="single"/>
                <w:lang w:val="fr-FR"/>
              </w:rPr>
              <w:t>et de déchargement</w:t>
            </w:r>
          </w:p>
        </w:tc>
        <w:tc>
          <w:tcPr>
            <w:tcW w:w="3959" w:type="dxa"/>
            <w:shd w:val="clear" w:color="auto" w:fill="auto"/>
          </w:tcPr>
          <w:p w14:paraId="3C9DCBA2" w14:textId="77777777" w:rsidR="00046E1F" w:rsidRPr="00052627" w:rsidRDefault="00046E1F" w:rsidP="00E31F64">
            <w:pPr>
              <w:spacing w:before="60" w:after="60" w:line="240" w:lineRule="auto"/>
              <w:jc w:val="center"/>
              <w:rPr>
                <w:b/>
                <w:color w:val="000000"/>
                <w:u w:val="single"/>
                <w:lang w:val="fr-FR"/>
              </w:rPr>
            </w:pPr>
            <w:r w:rsidRPr="00126B93">
              <w:rPr>
                <w:b/>
                <w:bCs/>
                <w:u w:val="single"/>
                <w:lang w:val="fr-FR"/>
              </w:rPr>
              <w:t>N.R.T.</w:t>
            </w:r>
            <w:r w:rsidR="00126B93">
              <w:rPr>
                <w:b/>
                <w:bCs/>
                <w:lang w:val="fr-FR"/>
              </w:rPr>
              <w:br/>
            </w:r>
            <w:r w:rsidRPr="00052627">
              <w:rPr>
                <w:b/>
                <w:bCs/>
                <w:u w:val="single"/>
                <w:lang w:val="fr-FR"/>
              </w:rPr>
              <w:t xml:space="preserve">Renouvellement du certificat d’agrément </w:t>
            </w:r>
            <w:r w:rsidR="00126B93">
              <w:rPr>
                <w:b/>
                <w:bCs/>
                <w:u w:val="single"/>
                <w:lang w:val="fr-FR"/>
              </w:rPr>
              <w:br/>
            </w:r>
            <w:r w:rsidRPr="00052627">
              <w:rPr>
                <w:b/>
                <w:bCs/>
                <w:u w:val="single"/>
                <w:lang w:val="fr-FR"/>
              </w:rPr>
              <w:t>après le 31</w:t>
            </w:r>
            <w:r w:rsidR="00E31F64">
              <w:rPr>
                <w:b/>
                <w:bCs/>
                <w:u w:val="single"/>
                <w:lang w:val="fr-FR"/>
              </w:rPr>
              <w:t> </w:t>
            </w:r>
            <w:r w:rsidRPr="00052627">
              <w:rPr>
                <w:b/>
                <w:bCs/>
                <w:u w:val="single"/>
                <w:lang w:val="fr-FR"/>
              </w:rPr>
              <w:t>décembre 2022</w:t>
            </w:r>
          </w:p>
        </w:tc>
      </w:tr>
    </w:tbl>
    <w:p w14:paraId="063B7A12" w14:textId="77777777" w:rsidR="00046E1F" w:rsidRPr="00052627" w:rsidRDefault="001A06A1" w:rsidP="00E31F64">
      <w:pPr>
        <w:pStyle w:val="SingleTxtG"/>
        <w:spacing w:before="120" w:after="240"/>
        <w:jc w:val="right"/>
        <w:rPr>
          <w:lang w:val="fr-FR"/>
        </w:rPr>
      </w:pPr>
      <w:r>
        <w:rPr>
          <w:lang w:val="fr-FR"/>
        </w:rPr>
        <w:t> </w:t>
      </w:r>
      <w:r w:rsidR="00046E1F" w:rsidRPr="00052627">
        <w:rPr>
          <w:lang w:val="fr-FR"/>
        </w:rPr>
        <w:t>»</w:t>
      </w:r>
      <w:r w:rsidR="00E31F64">
        <w:rPr>
          <w:lang w:val="fr-FR"/>
        </w:rPr>
        <w:t>.</w:t>
      </w:r>
    </w:p>
    <w:p w14:paraId="32C6C115" w14:textId="77777777" w:rsidR="00046E1F" w:rsidRPr="00052627" w:rsidRDefault="00046E1F" w:rsidP="00463B3C">
      <w:pPr>
        <w:pStyle w:val="H1G"/>
        <w:rPr>
          <w:lang w:val="fr-FR"/>
        </w:rPr>
      </w:pPr>
      <w:r w:rsidRPr="00052627">
        <w:rPr>
          <w:lang w:val="fr-FR"/>
        </w:rPr>
        <w:tab/>
      </w:r>
      <w:r w:rsidRPr="00052627">
        <w:rPr>
          <w:lang w:val="fr-FR"/>
        </w:rPr>
        <w:tab/>
        <w:t>Mesures à prendre</w:t>
      </w:r>
    </w:p>
    <w:p w14:paraId="0DEA137B" w14:textId="77777777" w:rsidR="00F9573C" w:rsidRDefault="00046E1F" w:rsidP="00463B3C">
      <w:pPr>
        <w:pStyle w:val="SingleTxtG"/>
        <w:rPr>
          <w:sz w:val="24"/>
          <w:szCs w:val="24"/>
          <w:lang w:val="fr-FR"/>
        </w:rPr>
      </w:pPr>
      <w:r w:rsidRPr="00052627">
        <w:rPr>
          <w:lang w:val="fr-FR"/>
        </w:rPr>
        <w:t>11.</w:t>
      </w:r>
      <w:r w:rsidRPr="00052627">
        <w:rPr>
          <w:lang w:val="fr-FR"/>
        </w:rPr>
        <w:tab/>
        <w:t>La délégation néerlandaise prie le Comité de sécurité de l’ADN d’examiner les amendements proposés aux paragraphes</w:t>
      </w:r>
      <w:r w:rsidR="00463B3C">
        <w:rPr>
          <w:lang w:val="fr-FR"/>
        </w:rPr>
        <w:t> </w:t>
      </w:r>
      <w:r w:rsidRPr="00052627">
        <w:rPr>
          <w:lang w:val="fr-FR"/>
        </w:rPr>
        <w:t>9 et 10 et de prendre les mesures qu’il jugera appropriées.</w:t>
      </w:r>
    </w:p>
    <w:p w14:paraId="67FA08C8" w14:textId="77777777" w:rsidR="00046E1F" w:rsidRPr="00046E1F" w:rsidRDefault="00046E1F" w:rsidP="00046E1F">
      <w:pPr>
        <w:pStyle w:val="SingleTxtG"/>
        <w:spacing w:before="240" w:after="0"/>
        <w:jc w:val="center"/>
        <w:rPr>
          <w:u w:val="single"/>
        </w:rPr>
      </w:pPr>
      <w:r>
        <w:rPr>
          <w:u w:val="single"/>
        </w:rPr>
        <w:tab/>
      </w:r>
      <w:r>
        <w:rPr>
          <w:u w:val="single"/>
        </w:rPr>
        <w:tab/>
      </w:r>
      <w:r>
        <w:rPr>
          <w:u w:val="single"/>
        </w:rPr>
        <w:tab/>
      </w:r>
    </w:p>
    <w:sectPr w:rsidR="00046E1F" w:rsidRPr="00046E1F" w:rsidSect="008224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B9C3" w14:textId="77777777" w:rsidR="005129E1" w:rsidRDefault="005129E1" w:rsidP="00F95C08">
      <w:pPr>
        <w:spacing w:line="240" w:lineRule="auto"/>
      </w:pPr>
    </w:p>
  </w:endnote>
  <w:endnote w:type="continuationSeparator" w:id="0">
    <w:p w14:paraId="76390E41" w14:textId="77777777" w:rsidR="005129E1" w:rsidRPr="00AC3823" w:rsidRDefault="005129E1" w:rsidP="00AC3823">
      <w:pPr>
        <w:pStyle w:val="Footer"/>
      </w:pPr>
    </w:p>
  </w:endnote>
  <w:endnote w:type="continuationNotice" w:id="1">
    <w:p w14:paraId="36F506CB" w14:textId="77777777" w:rsidR="005129E1" w:rsidRDefault="005129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CA7F" w14:textId="77777777" w:rsidR="008224A7" w:rsidRPr="008224A7" w:rsidRDefault="008224A7" w:rsidP="008224A7">
    <w:pPr>
      <w:pStyle w:val="Footer"/>
      <w:tabs>
        <w:tab w:val="right" w:pos="9638"/>
      </w:tabs>
    </w:pPr>
    <w:r w:rsidRPr="008224A7">
      <w:rPr>
        <w:b/>
        <w:sz w:val="18"/>
      </w:rPr>
      <w:fldChar w:fldCharType="begin"/>
    </w:r>
    <w:r w:rsidRPr="008224A7">
      <w:rPr>
        <w:b/>
        <w:sz w:val="18"/>
      </w:rPr>
      <w:instrText xml:space="preserve"> PAGE  \* MERGEFORMAT </w:instrText>
    </w:r>
    <w:r w:rsidRPr="008224A7">
      <w:rPr>
        <w:b/>
        <w:sz w:val="18"/>
      </w:rPr>
      <w:fldChar w:fldCharType="separate"/>
    </w:r>
    <w:r w:rsidRPr="008224A7">
      <w:rPr>
        <w:b/>
        <w:noProof/>
        <w:sz w:val="18"/>
      </w:rPr>
      <w:t>2</w:t>
    </w:r>
    <w:r w:rsidRPr="008224A7">
      <w:rPr>
        <w:b/>
        <w:sz w:val="18"/>
      </w:rPr>
      <w:fldChar w:fldCharType="end"/>
    </w:r>
    <w:r>
      <w:rPr>
        <w:b/>
        <w:sz w:val="18"/>
      </w:rPr>
      <w:tab/>
    </w:r>
    <w:r>
      <w:t>GE.20-07499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D011" w14:textId="77777777" w:rsidR="008224A7" w:rsidRPr="008224A7" w:rsidRDefault="008224A7" w:rsidP="008224A7">
    <w:pPr>
      <w:pStyle w:val="Footer"/>
      <w:tabs>
        <w:tab w:val="right" w:pos="9638"/>
      </w:tabs>
      <w:rPr>
        <w:b/>
        <w:sz w:val="18"/>
      </w:rPr>
    </w:pPr>
    <w:r>
      <w:t>GE.20-07499</w:t>
    </w:r>
    <w:r>
      <w:tab/>
    </w:r>
    <w:r w:rsidRPr="008224A7">
      <w:rPr>
        <w:b/>
        <w:sz w:val="18"/>
      </w:rPr>
      <w:fldChar w:fldCharType="begin"/>
    </w:r>
    <w:r w:rsidRPr="008224A7">
      <w:rPr>
        <w:b/>
        <w:sz w:val="18"/>
      </w:rPr>
      <w:instrText xml:space="preserve"> PAGE  \* MERGEFORMAT </w:instrText>
    </w:r>
    <w:r w:rsidRPr="008224A7">
      <w:rPr>
        <w:b/>
        <w:sz w:val="18"/>
      </w:rPr>
      <w:fldChar w:fldCharType="separate"/>
    </w:r>
    <w:r w:rsidRPr="008224A7">
      <w:rPr>
        <w:b/>
        <w:noProof/>
        <w:sz w:val="18"/>
      </w:rPr>
      <w:t>3</w:t>
    </w:r>
    <w:r w:rsidRPr="008224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B128" w14:textId="77777777" w:rsidR="007F20FA" w:rsidRPr="008224A7" w:rsidRDefault="008224A7" w:rsidP="008224A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E8CC5AC" wp14:editId="79884C3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20-07499</w:t>
    </w:r>
    <w:r w:rsidR="00B24121">
      <w:rPr>
        <w:sz w:val="20"/>
      </w:rPr>
      <w:t xml:space="preserve">  </w:t>
    </w:r>
    <w:r>
      <w:rPr>
        <w:sz w:val="20"/>
      </w:rPr>
      <w:t>(F)</w:t>
    </w:r>
    <w:r w:rsidR="00B24121">
      <w:rPr>
        <w:sz w:val="20"/>
      </w:rPr>
      <w:t xml:space="preserve">    </w:t>
    </w:r>
    <w:r w:rsidR="008B7667">
      <w:rPr>
        <w:sz w:val="20"/>
      </w:rPr>
      <w:t>150620</w:t>
    </w:r>
    <w:r w:rsidR="00B24121">
      <w:rPr>
        <w:sz w:val="20"/>
      </w:rPr>
      <w:t xml:space="preserve">    </w:t>
    </w:r>
    <w:r w:rsidR="008B7667">
      <w:rPr>
        <w:sz w:val="20"/>
      </w:rPr>
      <w:t>150620</w:t>
    </w:r>
    <w:r>
      <w:rPr>
        <w:sz w:val="20"/>
      </w:rPr>
      <w:br/>
    </w:r>
    <w:r w:rsidRPr="008224A7">
      <w:rPr>
        <w:rFonts w:ascii="C39T30Lfz" w:hAnsi="C39T30Lfz"/>
        <w:sz w:val="56"/>
      </w:rPr>
      <w:t></w:t>
    </w:r>
    <w:r w:rsidRPr="008224A7">
      <w:rPr>
        <w:rFonts w:ascii="C39T30Lfz" w:hAnsi="C39T30Lfz"/>
        <w:sz w:val="56"/>
      </w:rPr>
      <w:t></w:t>
    </w:r>
    <w:r w:rsidRPr="008224A7">
      <w:rPr>
        <w:rFonts w:ascii="C39T30Lfz" w:hAnsi="C39T30Lfz"/>
        <w:sz w:val="56"/>
      </w:rPr>
      <w:t></w:t>
    </w:r>
    <w:r w:rsidRPr="008224A7">
      <w:rPr>
        <w:rFonts w:ascii="C39T30Lfz" w:hAnsi="C39T30Lfz"/>
        <w:sz w:val="56"/>
      </w:rPr>
      <w:t></w:t>
    </w:r>
    <w:r w:rsidRPr="008224A7">
      <w:rPr>
        <w:rFonts w:ascii="C39T30Lfz" w:hAnsi="C39T30Lfz"/>
        <w:sz w:val="56"/>
      </w:rPr>
      <w:t></w:t>
    </w:r>
    <w:r w:rsidRPr="008224A7">
      <w:rPr>
        <w:rFonts w:ascii="C39T30Lfz" w:hAnsi="C39T30Lfz"/>
        <w:sz w:val="56"/>
      </w:rPr>
      <w:t></w:t>
    </w:r>
    <w:r w:rsidRPr="008224A7">
      <w:rPr>
        <w:rFonts w:ascii="C39T30Lfz" w:hAnsi="C39T30Lfz"/>
        <w:sz w:val="56"/>
      </w:rPr>
      <w:t></w:t>
    </w:r>
    <w:r w:rsidRPr="008224A7">
      <w:rPr>
        <w:rFonts w:ascii="C39T30Lfz" w:hAnsi="C39T30Lfz"/>
        <w:sz w:val="56"/>
      </w:rPr>
      <w:t></w:t>
    </w:r>
    <w:r w:rsidRPr="008224A7">
      <w:rPr>
        <w:rFonts w:ascii="C39T30Lfz" w:hAnsi="C39T30Lfz"/>
        <w:sz w:val="56"/>
      </w:rPr>
      <w:t></w:t>
    </w:r>
    <w:r>
      <w:rPr>
        <w:noProof/>
        <w:sz w:val="20"/>
      </w:rPr>
      <w:drawing>
        <wp:anchor distT="0" distB="0" distL="114300" distR="114300" simplePos="0" relativeHeight="251658240" behindDoc="0" locked="0" layoutInCell="1" allowOverlap="1" wp14:anchorId="76BC389A" wp14:editId="2DD4599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1EC0" w14:textId="77777777" w:rsidR="005129E1" w:rsidRPr="00AC3823" w:rsidRDefault="005129E1" w:rsidP="00AC3823">
      <w:pPr>
        <w:pStyle w:val="Footer"/>
        <w:tabs>
          <w:tab w:val="right" w:pos="2155"/>
        </w:tabs>
        <w:spacing w:after="80" w:line="240" w:lineRule="atLeast"/>
        <w:ind w:left="680"/>
        <w:rPr>
          <w:u w:val="single"/>
        </w:rPr>
      </w:pPr>
      <w:r>
        <w:rPr>
          <w:u w:val="single"/>
        </w:rPr>
        <w:tab/>
      </w:r>
    </w:p>
  </w:footnote>
  <w:footnote w:type="continuationSeparator" w:id="0">
    <w:p w14:paraId="3F5DF021" w14:textId="77777777" w:rsidR="005129E1" w:rsidRPr="00AC3823" w:rsidRDefault="005129E1" w:rsidP="00AC3823">
      <w:pPr>
        <w:pStyle w:val="Footer"/>
        <w:tabs>
          <w:tab w:val="right" w:pos="2155"/>
        </w:tabs>
        <w:spacing w:after="80" w:line="240" w:lineRule="atLeast"/>
        <w:ind w:left="680"/>
        <w:rPr>
          <w:u w:val="single"/>
        </w:rPr>
      </w:pPr>
      <w:r>
        <w:rPr>
          <w:u w:val="single"/>
        </w:rPr>
        <w:tab/>
      </w:r>
    </w:p>
  </w:footnote>
  <w:footnote w:type="continuationNotice" w:id="1">
    <w:p w14:paraId="3EFECDF7" w14:textId="77777777" w:rsidR="005129E1" w:rsidRPr="00AC3823" w:rsidRDefault="005129E1">
      <w:pPr>
        <w:spacing w:line="240" w:lineRule="auto"/>
        <w:rPr>
          <w:sz w:val="2"/>
          <w:szCs w:val="2"/>
        </w:rPr>
      </w:pPr>
    </w:p>
  </w:footnote>
  <w:footnote w:id="2">
    <w:p w14:paraId="467CDFA0" w14:textId="77777777" w:rsidR="00046E1F" w:rsidRPr="00B46F54" w:rsidRDefault="00046E1F" w:rsidP="00046E1F">
      <w:pPr>
        <w:pStyle w:val="FootnoteText"/>
        <w:rPr>
          <w:lang w:val="fr-FR"/>
        </w:rPr>
      </w:pPr>
      <w:r>
        <w:rPr>
          <w:lang w:val="fr-FR"/>
        </w:rPr>
        <w:tab/>
      </w:r>
      <w:r w:rsidRPr="0074464B">
        <w:rPr>
          <w:sz w:val="20"/>
          <w:lang w:val="fr-FR"/>
        </w:rPr>
        <w:t>*</w:t>
      </w:r>
      <w:r>
        <w:rPr>
          <w:lang w:val="fr-FR"/>
        </w:rPr>
        <w:tab/>
        <w:t>Diffusée en langue allemande par la Commission centrale pour la navigation du Rhin sous la cote CCNR/ZKR/ADN/WP.15/AC.2/2020/37.</w:t>
      </w:r>
    </w:p>
  </w:footnote>
  <w:footnote w:id="3">
    <w:p w14:paraId="3F9BCFB2" w14:textId="77777777" w:rsidR="00046E1F" w:rsidRPr="00B46F54" w:rsidRDefault="00046E1F" w:rsidP="00046E1F">
      <w:pPr>
        <w:pStyle w:val="FootnoteText"/>
        <w:rPr>
          <w:lang w:val="fr-FR"/>
        </w:rPr>
      </w:pPr>
      <w:r>
        <w:rPr>
          <w:lang w:val="fr-FR"/>
        </w:rPr>
        <w:tab/>
      </w:r>
      <w:r w:rsidRPr="0074464B">
        <w:rPr>
          <w:sz w:val="20"/>
          <w:lang w:val="fr-FR"/>
        </w:rPr>
        <w:t>**</w:t>
      </w:r>
      <w:r>
        <w:rPr>
          <w:lang w:val="fr-FR"/>
        </w:rPr>
        <w:tab/>
        <w:t>Conformément au programme de travail du Comité des transports intérieurs pour 2020 tel qu’il figure dans le projet de budget-programme pour 2020 (A/74/6 (titre V, chap.</w:t>
      </w:r>
      <w:r w:rsidR="008B7667">
        <w:rPr>
          <w:lang w:val="fr-FR"/>
        </w:rPr>
        <w:t> </w:t>
      </w:r>
      <w:r>
        <w:rPr>
          <w:lang w:val="fr-FR"/>
        </w:rPr>
        <w:t>20), par.</w:t>
      </w:r>
      <w:r w:rsidR="008B7667">
        <w:rPr>
          <w:lang w:val="fr-FR"/>
        </w:rPr>
        <w:t> </w:t>
      </w:r>
      <w:r>
        <w:rPr>
          <w:lang w:val="fr-FR"/>
        </w:rPr>
        <w:t>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76A7" w14:textId="266F31F4" w:rsidR="008224A7" w:rsidRPr="008224A7" w:rsidRDefault="00ED3BC3">
    <w:pPr>
      <w:pStyle w:val="Header"/>
    </w:pPr>
    <w:r>
      <w:fldChar w:fldCharType="begin"/>
    </w:r>
    <w:r>
      <w:instrText xml:space="preserve"> TITLE  \* MERGEFORMAT </w:instrText>
    </w:r>
    <w:r>
      <w:fldChar w:fldCharType="separate"/>
    </w:r>
    <w:r w:rsidR="000F654E">
      <w:t>ECE/TRANS/WP.15/AC.2/2020/37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1800" w14:textId="211ECB56" w:rsidR="008224A7" w:rsidRPr="008224A7" w:rsidRDefault="00ED3BC3" w:rsidP="008224A7">
    <w:pPr>
      <w:pStyle w:val="Header"/>
      <w:jc w:val="right"/>
    </w:pPr>
    <w:r>
      <w:fldChar w:fldCharType="begin"/>
    </w:r>
    <w:r>
      <w:instrText xml:space="preserve"> TITLE  \* MERGEFORMAT </w:instrText>
    </w:r>
    <w:r>
      <w:fldChar w:fldCharType="separate"/>
    </w:r>
    <w:r w:rsidR="000F654E">
      <w:t>ECE/TRANS/WP.15/AC.2/2020/37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E1"/>
    <w:rsid w:val="00016F6C"/>
    <w:rsid w:val="00017F94"/>
    <w:rsid w:val="0002110A"/>
    <w:rsid w:val="00023842"/>
    <w:rsid w:val="000334F9"/>
    <w:rsid w:val="00036566"/>
    <w:rsid w:val="00045FEB"/>
    <w:rsid w:val="00046E1F"/>
    <w:rsid w:val="00052627"/>
    <w:rsid w:val="0007796D"/>
    <w:rsid w:val="000B0608"/>
    <w:rsid w:val="000B7790"/>
    <w:rsid w:val="000D54D9"/>
    <w:rsid w:val="000F654E"/>
    <w:rsid w:val="00111F2F"/>
    <w:rsid w:val="00126B93"/>
    <w:rsid w:val="0014365E"/>
    <w:rsid w:val="00143C66"/>
    <w:rsid w:val="00176178"/>
    <w:rsid w:val="001A06A1"/>
    <w:rsid w:val="001F525A"/>
    <w:rsid w:val="00223272"/>
    <w:rsid w:val="0024779E"/>
    <w:rsid w:val="00257168"/>
    <w:rsid w:val="002608A1"/>
    <w:rsid w:val="002744B8"/>
    <w:rsid w:val="002832AC"/>
    <w:rsid w:val="002D7C93"/>
    <w:rsid w:val="00305801"/>
    <w:rsid w:val="00334311"/>
    <w:rsid w:val="0039010F"/>
    <w:rsid w:val="003916DE"/>
    <w:rsid w:val="003F6A65"/>
    <w:rsid w:val="00421996"/>
    <w:rsid w:val="00441C3B"/>
    <w:rsid w:val="00446FE5"/>
    <w:rsid w:val="00452396"/>
    <w:rsid w:val="00463B3C"/>
    <w:rsid w:val="004837D8"/>
    <w:rsid w:val="004E2EED"/>
    <w:rsid w:val="004E468C"/>
    <w:rsid w:val="005129E1"/>
    <w:rsid w:val="00543078"/>
    <w:rsid w:val="005505B7"/>
    <w:rsid w:val="00573BE5"/>
    <w:rsid w:val="00586ED3"/>
    <w:rsid w:val="00596AA9"/>
    <w:rsid w:val="006751EF"/>
    <w:rsid w:val="006B2D08"/>
    <w:rsid w:val="0071601D"/>
    <w:rsid w:val="0074464B"/>
    <w:rsid w:val="00744C7F"/>
    <w:rsid w:val="00774A99"/>
    <w:rsid w:val="00791C5F"/>
    <w:rsid w:val="007A1F05"/>
    <w:rsid w:val="007A62E6"/>
    <w:rsid w:val="007F20FA"/>
    <w:rsid w:val="0080684C"/>
    <w:rsid w:val="008118A8"/>
    <w:rsid w:val="008222AA"/>
    <w:rsid w:val="008224A7"/>
    <w:rsid w:val="00871C75"/>
    <w:rsid w:val="008776DC"/>
    <w:rsid w:val="008B7667"/>
    <w:rsid w:val="00911F09"/>
    <w:rsid w:val="009446C0"/>
    <w:rsid w:val="00956FB4"/>
    <w:rsid w:val="009705C8"/>
    <w:rsid w:val="009C1CF4"/>
    <w:rsid w:val="009F6B74"/>
    <w:rsid w:val="00A24562"/>
    <w:rsid w:val="00A3029F"/>
    <w:rsid w:val="00A30353"/>
    <w:rsid w:val="00AC3823"/>
    <w:rsid w:val="00AE323C"/>
    <w:rsid w:val="00AF0CB5"/>
    <w:rsid w:val="00B00181"/>
    <w:rsid w:val="00B00B0D"/>
    <w:rsid w:val="00B24121"/>
    <w:rsid w:val="00B37A41"/>
    <w:rsid w:val="00B45F2E"/>
    <w:rsid w:val="00B765F7"/>
    <w:rsid w:val="00BA0CA9"/>
    <w:rsid w:val="00C02897"/>
    <w:rsid w:val="00C201AA"/>
    <w:rsid w:val="00C53DFF"/>
    <w:rsid w:val="00C76CC9"/>
    <w:rsid w:val="00C97039"/>
    <w:rsid w:val="00CD5B45"/>
    <w:rsid w:val="00D3439C"/>
    <w:rsid w:val="00DB1831"/>
    <w:rsid w:val="00DD3BFD"/>
    <w:rsid w:val="00DF6678"/>
    <w:rsid w:val="00E0299A"/>
    <w:rsid w:val="00E31F64"/>
    <w:rsid w:val="00E33FA1"/>
    <w:rsid w:val="00E65D98"/>
    <w:rsid w:val="00E74C39"/>
    <w:rsid w:val="00E85C74"/>
    <w:rsid w:val="00EA1A4E"/>
    <w:rsid w:val="00EA1DB1"/>
    <w:rsid w:val="00EA6547"/>
    <w:rsid w:val="00ED3BC3"/>
    <w:rsid w:val="00EF2E22"/>
    <w:rsid w:val="00F35BAF"/>
    <w:rsid w:val="00F660DF"/>
    <w:rsid w:val="00F938AC"/>
    <w:rsid w:val="00F94664"/>
    <w:rsid w:val="00F9573C"/>
    <w:rsid w:val="00F95C08"/>
    <w:rsid w:val="00FA064B"/>
    <w:rsid w:val="00FC343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DFA13"/>
  <w15:docId w15:val="{11CA3604-E7DC-4304-9C17-847D4BDE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222A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8222A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10150</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ECE/TRANS/WP.15/AC.2/2020/37</vt:lpstr>
      <vt:lpstr>ECE/TRANS/WP.15/AC.2/2020/37</vt:lpstr>
    </vt:vector>
  </TitlesOfParts>
  <Company>DCM</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ECE/TRANS/WP.15/AC.2/2020/37</dc:title>
  <dc:subject/>
  <dc:creator>Nathalie VITTOZ</dc:creator>
  <cp:keywords/>
  <cp:lastModifiedBy>June revision</cp:lastModifiedBy>
  <cp:revision>2</cp:revision>
  <cp:lastPrinted>2020-06-15T07:37:00Z</cp:lastPrinted>
  <dcterms:created xsi:type="dcterms:W3CDTF">2020-06-25T07:30:00Z</dcterms:created>
  <dcterms:modified xsi:type="dcterms:W3CDTF">2020-06-25T07:30:00Z</dcterms:modified>
</cp:coreProperties>
</file>