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6A2AD01" w14:textId="77777777" w:rsidTr="000D1B89">
        <w:trPr>
          <w:cantSplit/>
          <w:trHeight w:hRule="exact" w:val="851"/>
        </w:trPr>
        <w:tc>
          <w:tcPr>
            <w:tcW w:w="1276" w:type="dxa"/>
            <w:tcBorders>
              <w:bottom w:val="single" w:sz="4" w:space="0" w:color="auto"/>
            </w:tcBorders>
            <w:vAlign w:val="bottom"/>
          </w:tcPr>
          <w:p w14:paraId="290B129C" w14:textId="77777777" w:rsidR="00717266" w:rsidRDefault="00717266" w:rsidP="000D1B89">
            <w:pPr>
              <w:spacing w:after="80"/>
            </w:pPr>
          </w:p>
        </w:tc>
        <w:tc>
          <w:tcPr>
            <w:tcW w:w="2268" w:type="dxa"/>
            <w:tcBorders>
              <w:bottom w:val="single" w:sz="4" w:space="0" w:color="auto"/>
            </w:tcBorders>
            <w:vAlign w:val="bottom"/>
          </w:tcPr>
          <w:p w14:paraId="28D5BD78"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AD2736C" w14:textId="77777777" w:rsidR="00717266" w:rsidRPr="00D47EEA" w:rsidRDefault="007A4560" w:rsidP="007A4560">
            <w:pPr>
              <w:suppressAutoHyphens w:val="0"/>
              <w:spacing w:after="20"/>
              <w:jc w:val="right"/>
            </w:pPr>
            <w:r w:rsidRPr="007A4560">
              <w:rPr>
                <w:sz w:val="40"/>
              </w:rPr>
              <w:t>ECE</w:t>
            </w:r>
            <w:r>
              <w:t>/TRANS/WP.15/AC.2/2020/32</w:t>
            </w:r>
          </w:p>
        </w:tc>
      </w:tr>
      <w:tr w:rsidR="00717266" w14:paraId="5F58FBF3" w14:textId="77777777" w:rsidTr="000D1B89">
        <w:trPr>
          <w:cantSplit/>
          <w:trHeight w:hRule="exact" w:val="2835"/>
        </w:trPr>
        <w:tc>
          <w:tcPr>
            <w:tcW w:w="1276" w:type="dxa"/>
            <w:tcBorders>
              <w:top w:val="single" w:sz="4" w:space="0" w:color="auto"/>
              <w:bottom w:val="single" w:sz="12" w:space="0" w:color="auto"/>
            </w:tcBorders>
          </w:tcPr>
          <w:p w14:paraId="09D3F71A" w14:textId="77777777" w:rsidR="00717266" w:rsidRDefault="00717266" w:rsidP="000D1B89">
            <w:pPr>
              <w:spacing w:before="120"/>
            </w:pPr>
            <w:r>
              <w:rPr>
                <w:noProof/>
                <w:lang w:val="fr-CH" w:eastAsia="fr-CH"/>
              </w:rPr>
              <w:drawing>
                <wp:inline distT="0" distB="0" distL="0" distR="0" wp14:anchorId="3EAF2563" wp14:editId="603A29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BB5DF7"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AABEA0A" w14:textId="77777777" w:rsidR="008A3B88" w:rsidRPr="005E24B1" w:rsidRDefault="008A3B88" w:rsidP="008A3B88">
            <w:pPr>
              <w:kinsoku w:val="0"/>
              <w:overflowPunct w:val="0"/>
              <w:autoSpaceDE w:val="0"/>
              <w:autoSpaceDN w:val="0"/>
              <w:adjustRightInd w:val="0"/>
              <w:snapToGrid w:val="0"/>
              <w:spacing w:before="240" w:line="240" w:lineRule="exact"/>
              <w:rPr>
                <w:lang w:eastAsia="zh-CN"/>
              </w:rPr>
            </w:pPr>
            <w:r w:rsidRPr="005E24B1">
              <w:rPr>
                <w:lang w:eastAsia="zh-CN"/>
              </w:rPr>
              <w:t>Distr.: General</w:t>
            </w:r>
          </w:p>
          <w:p w14:paraId="703E41FE" w14:textId="77777777" w:rsidR="008A3B88" w:rsidRPr="005E24B1" w:rsidRDefault="008A3B88" w:rsidP="008A3B88">
            <w:pPr>
              <w:kinsoku w:val="0"/>
              <w:overflowPunct w:val="0"/>
              <w:autoSpaceDE w:val="0"/>
              <w:autoSpaceDN w:val="0"/>
              <w:adjustRightInd w:val="0"/>
              <w:snapToGrid w:val="0"/>
              <w:spacing w:line="240" w:lineRule="exact"/>
              <w:rPr>
                <w:lang w:eastAsia="zh-CN"/>
              </w:rPr>
            </w:pPr>
            <w:r w:rsidRPr="005E24B1">
              <w:rPr>
                <w:lang w:eastAsia="zh-CN"/>
              </w:rPr>
              <w:t>29 May 2020</w:t>
            </w:r>
          </w:p>
          <w:p w14:paraId="27151134" w14:textId="77777777" w:rsidR="008A3B88" w:rsidRPr="005E24B1" w:rsidRDefault="008A3B88" w:rsidP="008A3B88">
            <w:pPr>
              <w:kinsoku w:val="0"/>
              <w:overflowPunct w:val="0"/>
              <w:autoSpaceDE w:val="0"/>
              <w:autoSpaceDN w:val="0"/>
              <w:adjustRightInd w:val="0"/>
              <w:snapToGrid w:val="0"/>
              <w:spacing w:line="240" w:lineRule="exact"/>
              <w:rPr>
                <w:lang w:eastAsia="zh-CN"/>
              </w:rPr>
            </w:pPr>
            <w:r w:rsidRPr="005E24B1">
              <w:rPr>
                <w:lang w:eastAsia="zh-CN"/>
              </w:rPr>
              <w:t>English</w:t>
            </w:r>
          </w:p>
          <w:p w14:paraId="36B881D1" w14:textId="6E41C7C3" w:rsidR="007A4560" w:rsidRDefault="008A3B88" w:rsidP="008A3B88">
            <w:pPr>
              <w:suppressAutoHyphens w:val="0"/>
            </w:pPr>
            <w:r w:rsidRPr="005E24B1">
              <w:rPr>
                <w:lang w:eastAsia="zh-CN"/>
              </w:rPr>
              <w:t>Original: French</w:t>
            </w:r>
          </w:p>
        </w:tc>
      </w:tr>
    </w:tbl>
    <w:p w14:paraId="5E960C5E" w14:textId="77777777" w:rsidR="00966B02" w:rsidRPr="005E24B1" w:rsidRDefault="00966B02" w:rsidP="007E79E9">
      <w:pPr>
        <w:spacing w:before="120"/>
        <w:rPr>
          <w:b/>
          <w:sz w:val="28"/>
          <w:szCs w:val="28"/>
        </w:rPr>
      </w:pPr>
      <w:bookmarkStart w:id="0" w:name="_Hlk42695207"/>
      <w:bookmarkStart w:id="1" w:name="_Hlk42695283"/>
      <w:r w:rsidRPr="007E79E9">
        <w:rPr>
          <w:b/>
          <w:sz w:val="28"/>
          <w:szCs w:val="28"/>
        </w:rPr>
        <w:t>Economic Commission for Europe</w:t>
      </w:r>
    </w:p>
    <w:p w14:paraId="3D6568C3" w14:textId="77777777" w:rsidR="00966B02" w:rsidRPr="007E79E9" w:rsidRDefault="00966B02" w:rsidP="007E79E9">
      <w:pPr>
        <w:spacing w:before="120"/>
        <w:rPr>
          <w:bCs/>
          <w:sz w:val="28"/>
          <w:szCs w:val="28"/>
        </w:rPr>
      </w:pPr>
      <w:r w:rsidRPr="007E79E9">
        <w:rPr>
          <w:bCs/>
          <w:sz w:val="28"/>
          <w:szCs w:val="28"/>
        </w:rPr>
        <w:t>Inland Transport Committee</w:t>
      </w:r>
    </w:p>
    <w:p w14:paraId="7670C8EB" w14:textId="77777777" w:rsidR="00966B02" w:rsidRPr="007E79E9" w:rsidRDefault="00966B02" w:rsidP="007E79E9">
      <w:pPr>
        <w:spacing w:before="120"/>
        <w:rPr>
          <w:b/>
          <w:sz w:val="24"/>
          <w:szCs w:val="24"/>
        </w:rPr>
      </w:pPr>
      <w:r w:rsidRPr="007E79E9">
        <w:rPr>
          <w:b/>
          <w:sz w:val="24"/>
          <w:szCs w:val="24"/>
        </w:rPr>
        <w:t>Working Party on the Transport of Dangerous Goods</w:t>
      </w:r>
    </w:p>
    <w:p w14:paraId="5FD8D588" w14:textId="3212A4D0" w:rsidR="00966B02" w:rsidRPr="005E24B1" w:rsidRDefault="00966B02" w:rsidP="00995DA0">
      <w:pPr>
        <w:spacing w:before="120"/>
        <w:rPr>
          <w:rFonts w:eastAsia="SimSun"/>
          <w:b/>
          <w:lang w:eastAsia="zh-CN"/>
        </w:rPr>
      </w:pPr>
      <w:r w:rsidRPr="005E24B1">
        <w:rPr>
          <w:b/>
          <w:bCs/>
          <w:lang w:eastAsia="zh-CN"/>
        </w:rPr>
        <w:t>Joint Meeting of Experts on the Regulations annexed to the</w:t>
      </w:r>
      <w:r w:rsidR="00995DA0">
        <w:rPr>
          <w:b/>
          <w:bCs/>
          <w:lang w:eastAsia="zh-CN"/>
        </w:rPr>
        <w:br/>
      </w:r>
      <w:r w:rsidRPr="005E24B1">
        <w:rPr>
          <w:b/>
          <w:bCs/>
          <w:lang w:eastAsia="zh-CN"/>
        </w:rPr>
        <w:t xml:space="preserve">European Agreement concerning the </w:t>
      </w:r>
      <w:r w:rsidRPr="00995DA0">
        <w:rPr>
          <w:b/>
        </w:rPr>
        <w:t>International</w:t>
      </w:r>
      <w:r w:rsidRPr="005E24B1">
        <w:rPr>
          <w:b/>
          <w:bCs/>
          <w:lang w:eastAsia="zh-CN"/>
        </w:rPr>
        <w:t xml:space="preserve"> Carriage</w:t>
      </w:r>
      <w:r w:rsidR="00995DA0">
        <w:rPr>
          <w:b/>
          <w:bCs/>
          <w:lang w:eastAsia="zh-CN"/>
        </w:rPr>
        <w:br/>
      </w:r>
      <w:r w:rsidRPr="005E24B1">
        <w:rPr>
          <w:b/>
          <w:bCs/>
          <w:lang w:eastAsia="zh-CN"/>
        </w:rPr>
        <w:t>of Dangerous Goods by Inland Waterways (ADN)</w:t>
      </w:r>
      <w:r w:rsidR="00995DA0">
        <w:rPr>
          <w:b/>
          <w:bCs/>
          <w:lang w:eastAsia="zh-CN"/>
        </w:rPr>
        <w:br/>
      </w:r>
      <w:r w:rsidRPr="005E24B1">
        <w:rPr>
          <w:b/>
          <w:bCs/>
          <w:lang w:eastAsia="zh-CN"/>
        </w:rPr>
        <w:t>(ADN Safety Committee)</w:t>
      </w:r>
    </w:p>
    <w:p w14:paraId="1C84AD7B" w14:textId="77777777" w:rsidR="00966B02" w:rsidRPr="005E24B1" w:rsidRDefault="00966B02" w:rsidP="00966B02">
      <w:pPr>
        <w:kinsoku w:val="0"/>
        <w:overflowPunct w:val="0"/>
        <w:autoSpaceDE w:val="0"/>
        <w:autoSpaceDN w:val="0"/>
        <w:adjustRightInd w:val="0"/>
        <w:snapToGrid w:val="0"/>
        <w:spacing w:before="120"/>
        <w:rPr>
          <w:rFonts w:eastAsia="SimSun"/>
          <w:b/>
          <w:lang w:eastAsia="zh-CN"/>
        </w:rPr>
      </w:pPr>
      <w:r w:rsidRPr="005E24B1">
        <w:rPr>
          <w:b/>
          <w:bCs/>
          <w:lang w:eastAsia="zh-CN"/>
        </w:rPr>
        <w:t>Thirty-seventh session</w:t>
      </w:r>
    </w:p>
    <w:p w14:paraId="290010D1" w14:textId="77777777" w:rsidR="00966B02" w:rsidRPr="005E24B1" w:rsidRDefault="00966B02" w:rsidP="00966B02">
      <w:pPr>
        <w:kinsoku w:val="0"/>
        <w:overflowPunct w:val="0"/>
        <w:autoSpaceDE w:val="0"/>
        <w:autoSpaceDN w:val="0"/>
        <w:adjustRightInd w:val="0"/>
        <w:snapToGrid w:val="0"/>
        <w:rPr>
          <w:rFonts w:eastAsia="SimSun"/>
          <w:lang w:eastAsia="zh-CN"/>
        </w:rPr>
      </w:pPr>
      <w:r w:rsidRPr="005E24B1">
        <w:rPr>
          <w:lang w:eastAsia="zh-CN"/>
        </w:rPr>
        <w:t>Geneva, 24–28 August 2020</w:t>
      </w:r>
    </w:p>
    <w:p w14:paraId="0291E032" w14:textId="77777777" w:rsidR="00966B02" w:rsidRPr="005E24B1" w:rsidRDefault="00966B02" w:rsidP="00966B02">
      <w:pPr>
        <w:kinsoku w:val="0"/>
        <w:overflowPunct w:val="0"/>
        <w:autoSpaceDE w:val="0"/>
        <w:autoSpaceDN w:val="0"/>
        <w:adjustRightInd w:val="0"/>
        <w:snapToGrid w:val="0"/>
        <w:rPr>
          <w:rFonts w:eastAsia="SimSun"/>
          <w:lang w:eastAsia="zh-CN"/>
        </w:rPr>
      </w:pPr>
      <w:r w:rsidRPr="005E24B1">
        <w:rPr>
          <w:lang w:eastAsia="zh-CN"/>
        </w:rPr>
        <w:t>Item 3 (c) of the provisional agenda</w:t>
      </w:r>
    </w:p>
    <w:p w14:paraId="31528F78" w14:textId="2CEB8ECB" w:rsidR="00966B02" w:rsidRPr="005E24B1" w:rsidRDefault="00966B02" w:rsidP="00966B02">
      <w:pPr>
        <w:kinsoku w:val="0"/>
        <w:overflowPunct w:val="0"/>
        <w:autoSpaceDE w:val="0"/>
        <w:autoSpaceDN w:val="0"/>
        <w:adjustRightInd w:val="0"/>
        <w:snapToGrid w:val="0"/>
        <w:rPr>
          <w:rFonts w:eastAsia="SimSun"/>
          <w:b/>
          <w:bCs/>
          <w:lang w:eastAsia="zh-CN"/>
        </w:rPr>
      </w:pPr>
      <w:r w:rsidRPr="005E24B1">
        <w:rPr>
          <w:b/>
          <w:bCs/>
          <w:lang w:eastAsia="zh-CN"/>
        </w:rPr>
        <w:t xml:space="preserve">Implementation of the European Agreement concerning </w:t>
      </w:r>
      <w:r w:rsidR="00995DA0">
        <w:rPr>
          <w:b/>
          <w:bCs/>
          <w:lang w:eastAsia="zh-CN"/>
        </w:rPr>
        <w:br/>
      </w:r>
      <w:r w:rsidRPr="005E24B1">
        <w:rPr>
          <w:b/>
          <w:bCs/>
          <w:lang w:eastAsia="zh-CN"/>
        </w:rPr>
        <w:t>the International Carriage of Dangerous Goods</w:t>
      </w:r>
      <w:r w:rsidR="00707BF1">
        <w:rPr>
          <w:b/>
          <w:bCs/>
          <w:lang w:eastAsia="zh-CN"/>
        </w:rPr>
        <w:t xml:space="preserve"> </w:t>
      </w:r>
      <w:r w:rsidR="00E04921">
        <w:rPr>
          <w:b/>
          <w:bCs/>
          <w:lang w:eastAsia="zh-CN"/>
        </w:rPr>
        <w:br/>
      </w:r>
      <w:r w:rsidRPr="005E24B1">
        <w:rPr>
          <w:b/>
          <w:bCs/>
          <w:lang w:eastAsia="zh-CN"/>
        </w:rPr>
        <w:t>by Inland Waterways (ADN):</w:t>
      </w:r>
    </w:p>
    <w:p w14:paraId="4756B601" w14:textId="77777777" w:rsidR="00966B02" w:rsidRPr="005E24B1" w:rsidRDefault="00966B02" w:rsidP="00966B02">
      <w:pPr>
        <w:kinsoku w:val="0"/>
        <w:overflowPunct w:val="0"/>
        <w:autoSpaceDE w:val="0"/>
        <w:autoSpaceDN w:val="0"/>
        <w:adjustRightInd w:val="0"/>
        <w:snapToGrid w:val="0"/>
        <w:rPr>
          <w:rFonts w:eastAsia="SimSun"/>
          <w:b/>
          <w:bCs/>
          <w:lang w:eastAsia="zh-CN"/>
        </w:rPr>
      </w:pPr>
      <w:r w:rsidRPr="005E24B1">
        <w:rPr>
          <w:b/>
          <w:bCs/>
          <w:lang w:eastAsia="zh-CN"/>
        </w:rPr>
        <w:t>Interpretation of the Regulations annexed to ADN</w:t>
      </w:r>
    </w:p>
    <w:p w14:paraId="649112D0" w14:textId="115443D3" w:rsidR="00966B02" w:rsidRPr="005E24B1" w:rsidRDefault="00966B02" w:rsidP="00A36B97">
      <w:pPr>
        <w:pStyle w:val="HChG"/>
        <w:rPr>
          <w:lang w:eastAsia="zh-CN"/>
        </w:rPr>
      </w:pPr>
      <w:r w:rsidRPr="005E24B1">
        <w:rPr>
          <w:lang w:eastAsia="zh-CN"/>
        </w:rPr>
        <w:tab/>
      </w:r>
      <w:r w:rsidRPr="005E24B1">
        <w:rPr>
          <w:lang w:eastAsia="zh-CN"/>
        </w:rPr>
        <w:tab/>
        <w:t xml:space="preserve">Approval of classification societies </w:t>
      </w:r>
      <w:r w:rsidR="00A36B97">
        <w:rPr>
          <w:lang w:eastAsia="zh-CN"/>
        </w:rPr>
        <w:t>–</w:t>
      </w:r>
      <w:r w:rsidRPr="005E24B1">
        <w:rPr>
          <w:lang w:eastAsia="zh-CN"/>
        </w:rPr>
        <w:t xml:space="preserve"> Interpretation of 1.15.1 and 1.15.3.8</w:t>
      </w:r>
    </w:p>
    <w:p w14:paraId="2C8B9639" w14:textId="75548864" w:rsidR="00966B02" w:rsidRDefault="00966B02" w:rsidP="009A3DCA">
      <w:pPr>
        <w:pStyle w:val="H1G"/>
        <w:rPr>
          <w:rStyle w:val="FootnoteReference"/>
          <w:b w:val="0"/>
          <w:bCs/>
          <w:sz w:val="16"/>
          <w:szCs w:val="18"/>
          <w:vertAlign w:val="baseline"/>
        </w:rPr>
      </w:pPr>
      <w:r w:rsidRPr="005E24B1">
        <w:rPr>
          <w:lang w:eastAsia="zh-CN"/>
        </w:rPr>
        <w:tab/>
      </w:r>
      <w:r w:rsidRPr="005E24B1">
        <w:rPr>
          <w:lang w:eastAsia="zh-CN"/>
        </w:rPr>
        <w:tab/>
        <w:t>Transmitted by the Government of France</w:t>
      </w:r>
      <w:r w:rsidRPr="00982A18">
        <w:rPr>
          <w:rStyle w:val="FootnoteReference"/>
          <w:b w:val="0"/>
          <w:bCs/>
          <w:sz w:val="20"/>
          <w:vertAlign w:val="baseline"/>
        </w:rPr>
        <w:footnoteReference w:customMarkFollows="1" w:id="1"/>
        <w:t>*</w:t>
      </w:r>
      <w:r w:rsidR="00A36B97" w:rsidRPr="009A3DCA">
        <w:rPr>
          <w:rStyle w:val="FootnoteReference"/>
          <w:b w:val="0"/>
          <w:bCs/>
          <w:position w:val="8"/>
          <w:sz w:val="16"/>
          <w:szCs w:val="18"/>
          <w:vertAlign w:val="baseline"/>
        </w:rPr>
        <w:t>,</w:t>
      </w:r>
      <w:r w:rsidR="006C2285">
        <w:rPr>
          <w:b w:val="0"/>
          <w:bCs/>
          <w:position w:val="8"/>
          <w:sz w:val="16"/>
          <w:szCs w:val="18"/>
        </w:rPr>
        <w:t xml:space="preserve"> </w:t>
      </w:r>
      <w:r w:rsidRPr="00982A18">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FB1C7B" w14:paraId="43C713AE" w14:textId="77777777" w:rsidTr="00FB1C7B">
        <w:trPr>
          <w:jc w:val="center"/>
        </w:trPr>
        <w:tc>
          <w:tcPr>
            <w:tcW w:w="9637" w:type="dxa"/>
            <w:tcBorders>
              <w:bottom w:val="nil"/>
            </w:tcBorders>
          </w:tcPr>
          <w:p w14:paraId="4229419E" w14:textId="467E4011" w:rsidR="00FB1C7B" w:rsidRPr="00FB1C7B" w:rsidRDefault="00FB1C7B" w:rsidP="00FB1C7B">
            <w:pPr>
              <w:tabs>
                <w:tab w:val="left" w:pos="255"/>
              </w:tabs>
              <w:suppressAutoHyphens w:val="0"/>
              <w:spacing w:before="240" w:after="120"/>
              <w:rPr>
                <w:sz w:val="24"/>
              </w:rPr>
            </w:pPr>
            <w:r>
              <w:tab/>
            </w:r>
            <w:r>
              <w:rPr>
                <w:i/>
                <w:sz w:val="24"/>
              </w:rPr>
              <w:t>Summary</w:t>
            </w:r>
          </w:p>
        </w:tc>
      </w:tr>
      <w:tr w:rsidR="001069F4" w14:paraId="1AAA9FEF" w14:textId="77777777" w:rsidTr="00FB1C7B">
        <w:trPr>
          <w:jc w:val="center"/>
        </w:trPr>
        <w:tc>
          <w:tcPr>
            <w:tcW w:w="9637" w:type="dxa"/>
            <w:tcBorders>
              <w:top w:val="nil"/>
              <w:bottom w:val="nil"/>
            </w:tcBorders>
            <w:shd w:val="clear" w:color="auto" w:fill="auto"/>
          </w:tcPr>
          <w:p w14:paraId="474AC66A" w14:textId="62C4DC33" w:rsidR="001069F4" w:rsidRDefault="001069F4" w:rsidP="001069F4">
            <w:pPr>
              <w:pStyle w:val="SingleTxtG"/>
              <w:spacing w:after="60"/>
              <w:ind w:left="2552" w:hanging="2268"/>
            </w:pPr>
            <w:r w:rsidRPr="005E24B1">
              <w:rPr>
                <w:b/>
                <w:bCs/>
              </w:rPr>
              <w:t>Executive summary:</w:t>
            </w:r>
            <w:r w:rsidRPr="005E24B1">
              <w:t xml:space="preserve"> </w:t>
            </w:r>
            <w:r w:rsidRPr="005E24B1">
              <w:tab/>
              <w:t xml:space="preserve">With the aim of gathering the positions of the other States that are contracting parties to ADN, this document explores a number of possible interpretations or </w:t>
            </w:r>
            <w:r w:rsidRPr="001069F4">
              <w:rPr>
                <w:rFonts w:eastAsia="Times New Roman"/>
                <w:bCs/>
                <w:lang w:eastAsia="en-US"/>
              </w:rPr>
              <w:t>readings</w:t>
            </w:r>
            <w:r w:rsidRPr="005E24B1">
              <w:t xml:space="preserve"> of various aspects of Chapter 1.15 of the Regulations annexed to ADN.</w:t>
            </w:r>
          </w:p>
        </w:tc>
      </w:tr>
      <w:tr w:rsidR="001069F4" w14:paraId="3B155AA4" w14:textId="77777777" w:rsidTr="00FB1C7B">
        <w:trPr>
          <w:jc w:val="center"/>
        </w:trPr>
        <w:tc>
          <w:tcPr>
            <w:tcW w:w="9637" w:type="dxa"/>
            <w:tcBorders>
              <w:top w:val="nil"/>
              <w:bottom w:val="nil"/>
            </w:tcBorders>
            <w:shd w:val="clear" w:color="auto" w:fill="auto"/>
          </w:tcPr>
          <w:p w14:paraId="724779B7" w14:textId="41BBF578" w:rsidR="001069F4" w:rsidRDefault="001069F4" w:rsidP="001069F4">
            <w:pPr>
              <w:pStyle w:val="SingleTxtG"/>
              <w:spacing w:after="60"/>
              <w:ind w:left="2552" w:hanging="2268"/>
            </w:pPr>
            <w:r w:rsidRPr="005E24B1">
              <w:rPr>
                <w:b/>
                <w:bCs/>
              </w:rPr>
              <w:t>Proposed decision:</w:t>
            </w:r>
            <w:r w:rsidRPr="005E24B1">
              <w:t xml:space="preserve"> </w:t>
            </w:r>
            <w:r w:rsidRPr="005E24B1">
              <w:tab/>
              <w:t>See paragraph 14.</w:t>
            </w:r>
          </w:p>
        </w:tc>
      </w:tr>
      <w:tr w:rsidR="001069F4" w14:paraId="2166D2DA" w14:textId="77777777" w:rsidTr="00FB1C7B">
        <w:trPr>
          <w:jc w:val="center"/>
        </w:trPr>
        <w:tc>
          <w:tcPr>
            <w:tcW w:w="9637" w:type="dxa"/>
            <w:tcBorders>
              <w:top w:val="nil"/>
              <w:bottom w:val="nil"/>
            </w:tcBorders>
            <w:shd w:val="clear" w:color="auto" w:fill="auto"/>
          </w:tcPr>
          <w:p w14:paraId="5175706C" w14:textId="38697BB7" w:rsidR="001069F4" w:rsidRDefault="001069F4" w:rsidP="001069F4">
            <w:pPr>
              <w:pStyle w:val="SingleTxtG"/>
              <w:spacing w:after="60"/>
              <w:ind w:left="2552" w:hanging="2268"/>
            </w:pPr>
            <w:r w:rsidRPr="005E24B1">
              <w:rPr>
                <w:b/>
                <w:bCs/>
              </w:rPr>
              <w:t>Related documents:</w:t>
            </w:r>
            <w:r w:rsidRPr="005E24B1">
              <w:t xml:space="preserve"> </w:t>
            </w:r>
            <w:r w:rsidRPr="005E24B1">
              <w:tab/>
            </w:r>
            <w:r w:rsidRPr="001069F4">
              <w:rPr>
                <w:rFonts w:eastAsia="Times New Roman"/>
                <w:bCs/>
                <w:lang w:eastAsia="en-US"/>
              </w:rPr>
              <w:t>None</w:t>
            </w:r>
            <w:r w:rsidRPr="005E24B1">
              <w:t>.</w:t>
            </w:r>
          </w:p>
        </w:tc>
      </w:tr>
      <w:tr w:rsidR="001069F4" w14:paraId="3AC382F4" w14:textId="77777777" w:rsidTr="00FB1C7B">
        <w:trPr>
          <w:jc w:val="center"/>
        </w:trPr>
        <w:tc>
          <w:tcPr>
            <w:tcW w:w="9637" w:type="dxa"/>
            <w:tcBorders>
              <w:top w:val="nil"/>
            </w:tcBorders>
          </w:tcPr>
          <w:p w14:paraId="1EC65BFC" w14:textId="77777777" w:rsidR="001069F4" w:rsidRDefault="001069F4" w:rsidP="001069F4">
            <w:pPr>
              <w:suppressAutoHyphens w:val="0"/>
            </w:pPr>
          </w:p>
        </w:tc>
      </w:tr>
    </w:tbl>
    <w:p w14:paraId="3DF40B9F" w14:textId="5C3E37B5" w:rsidR="00966B02" w:rsidRPr="005E24B1" w:rsidRDefault="00467167" w:rsidP="00467167">
      <w:pPr>
        <w:pStyle w:val="HChG"/>
        <w:rPr>
          <w:lang w:eastAsia="zh-CN"/>
        </w:rPr>
      </w:pPr>
      <w:r>
        <w:rPr>
          <w:lang w:eastAsia="zh-CN"/>
        </w:rPr>
        <w:br w:type="column"/>
      </w:r>
      <w:r w:rsidR="00966B02" w:rsidRPr="005E24B1">
        <w:rPr>
          <w:lang w:eastAsia="zh-CN"/>
        </w:rPr>
        <w:lastRenderedPageBreak/>
        <w:tab/>
      </w:r>
      <w:r w:rsidR="00966B02" w:rsidRPr="005E24B1">
        <w:rPr>
          <w:lang w:eastAsia="zh-CN"/>
        </w:rPr>
        <w:tab/>
        <w:t>Introduction</w:t>
      </w:r>
    </w:p>
    <w:p w14:paraId="566EAFBF" w14:textId="77777777" w:rsidR="00966B02" w:rsidRPr="005E24B1" w:rsidRDefault="00966B02" w:rsidP="00467167">
      <w:pPr>
        <w:pStyle w:val="SingleTxtG"/>
      </w:pPr>
      <w:r w:rsidRPr="005E24B1">
        <w:t>1.</w:t>
      </w:r>
      <w:r w:rsidRPr="005E24B1">
        <w:tab/>
        <w:t>France considers it necessary to clarify certain provisions of Chapter 1.15 concerning the recognition of classification societies. It would thus like to gather the positions of the other States that are contracting parties to ADN and also those of non-governmental organizations.</w:t>
      </w:r>
    </w:p>
    <w:p w14:paraId="6F591C2F" w14:textId="77777777" w:rsidR="00966B02" w:rsidRPr="005E24B1" w:rsidRDefault="00966B02" w:rsidP="00017CF0">
      <w:pPr>
        <w:pStyle w:val="HChG"/>
        <w:rPr>
          <w:lang w:eastAsia="zh-CN"/>
        </w:rPr>
      </w:pPr>
      <w:r w:rsidRPr="005E24B1">
        <w:rPr>
          <w:lang w:eastAsia="zh-CN"/>
        </w:rPr>
        <w:tab/>
      </w:r>
      <w:r w:rsidRPr="005E24B1">
        <w:rPr>
          <w:lang w:eastAsia="zh-CN"/>
        </w:rPr>
        <w:tab/>
        <w:t>Discussion of the provisions of section 1.15.1 of the annexed Regulations, entitled “General”</w:t>
      </w:r>
    </w:p>
    <w:p w14:paraId="489B2332" w14:textId="77777777" w:rsidR="00966B02" w:rsidRPr="005E24B1" w:rsidRDefault="00966B02" w:rsidP="00017CF0">
      <w:pPr>
        <w:pStyle w:val="SingleTxtG"/>
      </w:pPr>
      <w:r w:rsidRPr="005E24B1">
        <w:t>2.</w:t>
      </w:r>
      <w:r w:rsidRPr="005E24B1">
        <w:tab/>
        <w:t>The first sentence of 1.15.1 of the Regulations annexed to ADN is worded as follows:</w:t>
      </w:r>
    </w:p>
    <w:p w14:paraId="02A21334" w14:textId="14A2F207" w:rsidR="00966B02" w:rsidRPr="005E24B1" w:rsidRDefault="00966B02" w:rsidP="00982A18">
      <w:pPr>
        <w:pStyle w:val="SingleTxtG"/>
        <w:tabs>
          <w:tab w:val="left" w:pos="2268"/>
          <w:tab w:val="left" w:pos="2552"/>
        </w:tabs>
        <w:ind w:left="1701"/>
        <w:rPr>
          <w:i/>
        </w:rPr>
      </w:pPr>
      <w:r w:rsidRPr="005E24B1">
        <w:t>“1.15.1</w:t>
      </w:r>
      <w:r w:rsidRPr="005E24B1">
        <w:tab/>
      </w:r>
      <w:r w:rsidRPr="005E24B1">
        <w:rPr>
          <w:b/>
          <w:bCs/>
        </w:rPr>
        <w:t>General</w:t>
      </w:r>
    </w:p>
    <w:p w14:paraId="1EC763CC" w14:textId="77777777" w:rsidR="00966B02" w:rsidRPr="005E24B1" w:rsidRDefault="00966B02" w:rsidP="00017CF0">
      <w:pPr>
        <w:pStyle w:val="SingleTxtG"/>
        <w:ind w:left="1701"/>
        <w:rPr>
          <w:rFonts w:eastAsia="Times New Roman"/>
          <w:i/>
        </w:rPr>
      </w:pPr>
      <w:r w:rsidRPr="005E24B1">
        <w:rPr>
          <w:rFonts w:eastAsia="Times New Roman"/>
        </w:rPr>
        <w:t>In the event of the conclusion of an international agreement concerning more general regulations or the navigation of vessels on inland waterways and containing provisions relating to the full range of activities of classification societies and their recognition, any provision of this Chapter in contradiction with any of the provisions of the said international agreement would, in the relations among Parties to this Agreement which had become parties to the international agreement and as from the day of the entry into force of the latter, automatically be deleted and replaced ipso facto by the relevant provision of the international agreement.”</w:t>
      </w:r>
    </w:p>
    <w:p w14:paraId="624C3B89" w14:textId="77777777" w:rsidR="00966B02" w:rsidRPr="005E24B1" w:rsidRDefault="00966B02" w:rsidP="00017CF0">
      <w:pPr>
        <w:pStyle w:val="SingleTxtG"/>
      </w:pPr>
      <w:r w:rsidRPr="005E24B1">
        <w:t>3.</w:t>
      </w:r>
      <w:r w:rsidRPr="005E24B1">
        <w:tab/>
        <w:t>For the 13 member States of the European Union that are also contracting parties to ADN, such an international agreement “concerning more general regulations or the navigation of vessels on inland waterways” exists, namely Directive (EU) 2016/1629 of the European Parliament and of the Council of 14 September 2016 laying down technical requirements for inland waterway vessels, amending Directive 2009/100/EC and repealing Directive 2006/87/EC.</w:t>
      </w:r>
    </w:p>
    <w:p w14:paraId="2194F0FB" w14:textId="77777777" w:rsidR="00966B02" w:rsidRPr="005E24B1" w:rsidRDefault="00966B02" w:rsidP="00017CF0">
      <w:pPr>
        <w:pStyle w:val="SingleTxtG"/>
      </w:pPr>
      <w:r w:rsidRPr="005E24B1">
        <w:t>4.</w:t>
      </w:r>
      <w:r w:rsidRPr="005E24B1">
        <w:tab/>
        <w:t>Article 21 and annex VI to that Directive set out the conditions for the recognition of classification societies. A comparison between the provisions of the Directive and those of ADN Chapter 1.15 can be found in the annex to this document.</w:t>
      </w:r>
    </w:p>
    <w:p w14:paraId="69ED8A79" w14:textId="77777777" w:rsidR="00966B02" w:rsidRPr="005E24B1" w:rsidRDefault="00966B02" w:rsidP="00017CF0">
      <w:pPr>
        <w:pStyle w:val="SingleTxtG"/>
      </w:pPr>
      <w:r w:rsidRPr="005E24B1">
        <w:t>5.</w:t>
      </w:r>
      <w:r w:rsidRPr="005E24B1">
        <w:tab/>
        <w:t>This comparison shows many similarities between the provisions of Chapter 1.15 of the Regulations annexed to ADN and those of Directive (EU) 2016/1629. However, there are some significant differences between 1.15.3.8 of the Regulations annexed to ADN on the one hand, and the group of provisions composed of paragraphs 10, 11 and 12 of annex VI to Directive (EU) 2016/1629 on the other.</w:t>
      </w:r>
    </w:p>
    <w:p w14:paraId="58E63420" w14:textId="77777777" w:rsidR="00966B02" w:rsidRPr="005E24B1" w:rsidRDefault="00966B02" w:rsidP="00017CF0">
      <w:pPr>
        <w:pStyle w:val="SingleTxtG"/>
      </w:pPr>
      <w:r w:rsidRPr="005E24B1">
        <w:t>6.</w:t>
      </w:r>
      <w:r w:rsidRPr="005E24B1">
        <w:tab/>
        <w:t>The wording of 1.15.1, above, prompts France to raise the following questions, which concern only the 13 member States of the European Union that are also contracting parties to ADN:</w:t>
      </w:r>
    </w:p>
    <w:p w14:paraId="126A863F" w14:textId="73DF37DD" w:rsidR="00966B02" w:rsidRPr="005E24B1" w:rsidRDefault="00017CF0" w:rsidP="00017CF0">
      <w:pPr>
        <w:pStyle w:val="SingleTxtG"/>
      </w:pPr>
      <w:r>
        <w:tab/>
      </w:r>
      <w:r w:rsidR="00966B02" w:rsidRPr="005E24B1">
        <w:t>(a)</w:t>
      </w:r>
      <w:r w:rsidR="00966B02" w:rsidRPr="005E24B1">
        <w:tab/>
        <w:t>Can or should the provisions of Chapter 1.15 of the Regulations annexed to ADN be replaced with the conditions for the recognition of classification societies contained in Directive (EU) 2016/1629? Following the logic of 1.15.1, the answer may be that the provisions of Chapter 1.15 should be replaced with those of the Directive.</w:t>
      </w:r>
    </w:p>
    <w:p w14:paraId="1BACD177" w14:textId="556F2194" w:rsidR="00966B02" w:rsidRPr="005E24B1" w:rsidRDefault="00017CF0" w:rsidP="00017CF0">
      <w:pPr>
        <w:pStyle w:val="SingleTxtG"/>
      </w:pPr>
      <w:r>
        <w:tab/>
      </w:r>
      <w:r w:rsidR="00966B02" w:rsidRPr="005E24B1">
        <w:t>(b)</w:t>
      </w:r>
      <w:r w:rsidR="00966B02" w:rsidRPr="005E24B1">
        <w:tab/>
        <w:t>Should this replacement (or substitution) lead to their disregarding the procedures, conditions and criteria for approval set out in 1.15.2 and 1.15.3 of the Regulations annexed to ADN? Again, following the logic of 1.15.1, the answer may be yes.</w:t>
      </w:r>
    </w:p>
    <w:p w14:paraId="4FEC8D02" w14:textId="23681431" w:rsidR="00966B02" w:rsidRPr="005E24B1" w:rsidRDefault="00017CF0" w:rsidP="00017CF0">
      <w:pPr>
        <w:pStyle w:val="SingleTxtG"/>
      </w:pPr>
      <w:r>
        <w:tab/>
      </w:r>
      <w:r w:rsidR="00966B02" w:rsidRPr="005E24B1">
        <w:t>(c)</w:t>
      </w:r>
      <w:r w:rsidR="00966B02" w:rsidRPr="005E24B1">
        <w:tab/>
        <w:t xml:space="preserve">If the answer is again affirmative, this may specifically lead to the 13 States concerned abandoning the concept of a classification society recommended for recognition, which appears in 1.15.2.3. </w:t>
      </w:r>
    </w:p>
    <w:p w14:paraId="40EA6A35" w14:textId="77777777" w:rsidR="00966B02" w:rsidRPr="005E24B1" w:rsidRDefault="00966B02" w:rsidP="00902DAB">
      <w:pPr>
        <w:pStyle w:val="SingleTxtG"/>
        <w:ind w:left="1701"/>
      </w:pPr>
      <w:r w:rsidRPr="005E24B1">
        <w:t>(</w:t>
      </w:r>
      <w:proofErr w:type="spellStart"/>
      <w:r w:rsidRPr="005E24B1">
        <w:t>i</w:t>
      </w:r>
      <w:proofErr w:type="spellEnd"/>
      <w:r w:rsidRPr="005E24B1">
        <w:t>)</w:t>
      </w:r>
      <w:r w:rsidRPr="005E24B1">
        <w:tab/>
        <w:t>Following this logic, could one or more of the 13 European Union member States in question consequently approve a classification society that is not on the list drawn up by the ADN Administrative Committee?</w:t>
      </w:r>
    </w:p>
    <w:p w14:paraId="7BF93CFB" w14:textId="77777777" w:rsidR="00966B02" w:rsidRPr="005E24B1" w:rsidRDefault="00966B02" w:rsidP="00902DAB">
      <w:pPr>
        <w:pStyle w:val="SingleTxtG"/>
        <w:ind w:left="1701"/>
      </w:pPr>
      <w:bookmarkStart w:id="2" w:name="_GoBack"/>
      <w:bookmarkEnd w:id="2"/>
      <w:r w:rsidRPr="005E24B1">
        <w:lastRenderedPageBreak/>
        <w:t>(ii)</w:t>
      </w:r>
      <w:r w:rsidRPr="005E24B1">
        <w:tab/>
        <w:t>Would it be possible to consider that the classification societies included in the list referred to in Article 21 (5) of Directive (EU) 2016/1629 are automatically authorized to act within the territory of the European Union, including under ADN?</w:t>
      </w:r>
    </w:p>
    <w:p w14:paraId="23A55F33" w14:textId="77777777" w:rsidR="00966B02" w:rsidRPr="005E24B1" w:rsidRDefault="00966B02" w:rsidP="00D77286">
      <w:pPr>
        <w:pStyle w:val="HChG"/>
        <w:rPr>
          <w:lang w:eastAsia="zh-CN"/>
        </w:rPr>
      </w:pPr>
      <w:r w:rsidRPr="005E24B1">
        <w:rPr>
          <w:lang w:eastAsia="zh-CN"/>
        </w:rPr>
        <w:tab/>
      </w:r>
      <w:r w:rsidRPr="005E24B1">
        <w:rPr>
          <w:lang w:eastAsia="zh-CN"/>
        </w:rPr>
        <w:tab/>
        <w:t>Discussion of the provisions of section 1.15.3.8 of the annexed Regulations</w:t>
      </w:r>
    </w:p>
    <w:p w14:paraId="1A41DE4D" w14:textId="77777777" w:rsidR="00966B02" w:rsidRPr="005E24B1" w:rsidRDefault="00966B02" w:rsidP="00D77286">
      <w:pPr>
        <w:pStyle w:val="SingleTxtG"/>
      </w:pPr>
      <w:r w:rsidRPr="005E24B1">
        <w:t>7.</w:t>
      </w:r>
      <w:r w:rsidRPr="005E24B1">
        <w:tab/>
        <w:t>Irrespective of points 1 to 5 above, section 1.15.3.8 of the Regulations annexed to ADN, in its current formulation, leaves much room for national interpretations and raises questions about the clarification of its provisions:</w:t>
      </w:r>
    </w:p>
    <w:p w14:paraId="6BFA0158" w14:textId="77777777" w:rsidR="00966B02" w:rsidRPr="005E24B1" w:rsidRDefault="00966B02" w:rsidP="00D77286">
      <w:pPr>
        <w:pStyle w:val="SingleTxtG"/>
        <w:ind w:left="1701"/>
        <w:rPr>
          <w:i/>
        </w:rPr>
      </w:pPr>
      <w:r w:rsidRPr="005E24B1">
        <w:t>“1.15.3.8</w:t>
      </w:r>
      <w:r w:rsidRPr="005E24B1">
        <w:tab/>
        <w:t xml:space="preserve">The classification society shall have prepared and implemented and shall maintain an effective system of internal quality based on the relevant aspects of internationally recognized quality standards and conforming to the standards EN ISO/IEC 17020:2012 (except clause 8.1.3) (inspection bodies) and ISO 9001 or EN ISO 9001:2015. The classification society is subject to certification of its quality system by an independent body of auditors recognized by the administration of the State in which it is located.” </w:t>
      </w:r>
    </w:p>
    <w:p w14:paraId="711270D8" w14:textId="77777777" w:rsidR="00966B02" w:rsidRPr="005E24B1" w:rsidRDefault="00966B02" w:rsidP="00D77286">
      <w:pPr>
        <w:pStyle w:val="SingleTxtG"/>
        <w:rPr>
          <w:rFonts w:eastAsia="Times New Roman"/>
        </w:rPr>
      </w:pPr>
      <w:r w:rsidRPr="005E24B1">
        <w:rPr>
          <w:rFonts w:eastAsia="Times New Roman"/>
        </w:rPr>
        <w:t>8.</w:t>
      </w:r>
      <w:r w:rsidRPr="005E24B1">
        <w:rPr>
          <w:rFonts w:eastAsia="Times New Roman"/>
        </w:rPr>
        <w:tab/>
        <w:t>Is it necessary to refer to two standards (EN ISO/IEC 17020 and ISO 9001 or EN ISO 9001), when the requirements of ISO 9001 are covered by sections 3 to 7 of the EN ISO/IEC 17020 standard?</w:t>
      </w:r>
    </w:p>
    <w:p w14:paraId="6B80139D" w14:textId="77777777" w:rsidR="00966B02" w:rsidRPr="005E24B1" w:rsidRDefault="00966B02" w:rsidP="00C5410C">
      <w:pPr>
        <w:pStyle w:val="SingleTxtG"/>
      </w:pPr>
      <w:r w:rsidRPr="005E24B1">
        <w:t>9.</w:t>
      </w:r>
      <w:r w:rsidRPr="005E24B1">
        <w:tab/>
        <w:t>In the meaning of annex A (normative) of EN ISO/IEC 17020, classification societies are what type of bodies? France considers that classification societies should be required to be of Type A, as defined in section A-1 of annex A to EN ISO/IEC 17020.</w:t>
      </w:r>
    </w:p>
    <w:p w14:paraId="2B7D65B2" w14:textId="77777777" w:rsidR="00966B02" w:rsidRPr="005E24B1" w:rsidRDefault="00966B02" w:rsidP="00C5410C">
      <w:pPr>
        <w:pStyle w:val="SingleTxtG"/>
      </w:pPr>
      <w:r w:rsidRPr="005E24B1">
        <w:t>10.</w:t>
      </w:r>
      <w:r w:rsidRPr="005E24B1">
        <w:tab/>
        <w:t>What is the meaning of the term “relevant aspects”? In France, as in many other States, proof of conformity with EN ISO/IEC 17020 can normally only be demonstrated through accreditation. If it is accepted that proof of conformity can be provided without accreditation, at a minimum, all “relevant aspects” would have to be listed, and the corresponding processes or procedures of the classification society would have to be made evident.</w:t>
      </w:r>
    </w:p>
    <w:p w14:paraId="04B33AA7" w14:textId="26878AE7" w:rsidR="00966B02" w:rsidRPr="005E24B1" w:rsidRDefault="00966B02" w:rsidP="00C5410C">
      <w:pPr>
        <w:pStyle w:val="SingleTxtG"/>
        <w:rPr>
          <w:rFonts w:eastAsia="Times New Roman"/>
        </w:rPr>
      </w:pPr>
      <w:r w:rsidRPr="005E24B1">
        <w:rPr>
          <w:rFonts w:eastAsia="Times New Roman"/>
        </w:rPr>
        <w:t>11.</w:t>
      </w:r>
      <w:r w:rsidRPr="005E24B1">
        <w:rPr>
          <w:rFonts w:eastAsia="Times New Roman"/>
        </w:rPr>
        <w:tab/>
        <w:t xml:space="preserve">In Directive (EU) </w:t>
      </w:r>
      <w:r w:rsidRPr="00C5410C">
        <w:t>2016</w:t>
      </w:r>
      <w:r w:rsidRPr="005E24B1">
        <w:rPr>
          <w:rFonts w:eastAsia="Times New Roman"/>
        </w:rPr>
        <w:t>/1629 (annex VI, para. 11), this notion of “relevant aspects” is replaced by compliance with EN ISO/IEC 17020, “</w:t>
      </w:r>
      <w:r w:rsidRPr="005E24B1">
        <w:rPr>
          <w:rFonts w:eastAsia="Times New Roman"/>
          <w:i/>
          <w:iCs/>
        </w:rPr>
        <w:t>as interpreted by the IACS quality certification scheme requirements</w:t>
      </w:r>
      <w:r w:rsidRPr="00C6022D">
        <w:rPr>
          <w:rFonts w:eastAsia="Times New Roman"/>
        </w:rPr>
        <w:t>”</w:t>
      </w:r>
      <w:r w:rsidRPr="005E24B1">
        <w:rPr>
          <w:rFonts w:eastAsia="Times New Roman"/>
        </w:rPr>
        <w:t>.</w:t>
      </w:r>
    </w:p>
    <w:p w14:paraId="6ADDDC1A" w14:textId="0F8079BA" w:rsidR="00966B02" w:rsidRPr="005E24B1" w:rsidRDefault="00966B02" w:rsidP="00C5410C">
      <w:pPr>
        <w:pStyle w:val="SingleTxtG"/>
        <w:rPr>
          <w:rFonts w:eastAsia="Times New Roman"/>
        </w:rPr>
      </w:pPr>
      <w:r w:rsidRPr="005E24B1">
        <w:rPr>
          <w:rFonts w:eastAsia="Times New Roman"/>
        </w:rPr>
        <w:t>12.</w:t>
      </w:r>
      <w:r w:rsidRPr="005E24B1">
        <w:rPr>
          <w:rFonts w:eastAsia="Times New Roman"/>
        </w:rPr>
        <w:tab/>
        <w:t xml:space="preserve">This interpretation appears in the IACS (International Association of Classification Societies) publication, </w:t>
      </w:r>
      <w:r w:rsidRPr="005E24B1">
        <w:rPr>
          <w:rFonts w:eastAsia="Times New Roman"/>
          <w:i/>
          <w:iCs/>
        </w:rPr>
        <w:t xml:space="preserve">IACS PROCEDURES </w:t>
      </w:r>
      <w:r w:rsidR="00C5410C">
        <w:rPr>
          <w:rFonts w:eastAsia="Times New Roman"/>
          <w:i/>
          <w:iCs/>
        </w:rPr>
        <w:t>–</w:t>
      </w:r>
      <w:r w:rsidRPr="005E24B1">
        <w:rPr>
          <w:rFonts w:eastAsia="Times New Roman"/>
          <w:i/>
          <w:iCs/>
        </w:rPr>
        <w:t xml:space="preserve"> Volume 3: IACS QUALITY SYSTEM CERTIFICATION SCHEME (QSCS)</w:t>
      </w:r>
      <w:r w:rsidRPr="005E24B1">
        <w:rPr>
          <w:rFonts w:eastAsia="Times New Roman"/>
        </w:rPr>
        <w:t xml:space="preserve">, accessible via the link: http://www.iacs.org.uk/download/1790, and that the reference documentation for this certification scheme only covers maritime references (IMO Resolution MSC.349(92) </w:t>
      </w:r>
      <w:r w:rsidR="00046DCF">
        <w:rPr>
          <w:rFonts w:eastAsia="Times New Roman"/>
        </w:rPr>
        <w:t>–</w:t>
      </w:r>
      <w:r w:rsidRPr="005E24B1">
        <w:rPr>
          <w:rFonts w:eastAsia="Times New Roman"/>
        </w:rPr>
        <w:t xml:space="preserve"> IMO RO Code and various IACS requirements and unified interpretations, etc.).</w:t>
      </w:r>
    </w:p>
    <w:p w14:paraId="5C51BD91" w14:textId="77777777" w:rsidR="00966B02" w:rsidRPr="005E24B1" w:rsidRDefault="00966B02" w:rsidP="00046DCF">
      <w:pPr>
        <w:pStyle w:val="SingleTxtG"/>
        <w:rPr>
          <w:rFonts w:eastAsia="Times New Roman"/>
        </w:rPr>
      </w:pPr>
      <w:r w:rsidRPr="005E24B1">
        <w:rPr>
          <w:rFonts w:eastAsia="Times New Roman"/>
        </w:rPr>
        <w:t>13.</w:t>
      </w:r>
      <w:r w:rsidRPr="005E24B1">
        <w:rPr>
          <w:rFonts w:eastAsia="Times New Roman"/>
        </w:rPr>
        <w:tab/>
        <w:t>What is the meaning of “an independent body of auditors recognized by the administration of the State in which it is located”?</w:t>
      </w:r>
    </w:p>
    <w:p w14:paraId="46E241B6" w14:textId="62DC053D" w:rsidR="00966B02" w:rsidRPr="005E24B1" w:rsidRDefault="00046DCF" w:rsidP="00046DCF">
      <w:pPr>
        <w:pStyle w:val="SingleTxtG"/>
      </w:pPr>
      <w:r>
        <w:tab/>
      </w:r>
      <w:r w:rsidRPr="005E24B1">
        <w:t>(a)</w:t>
      </w:r>
      <w:r w:rsidRPr="005E24B1">
        <w:tab/>
      </w:r>
      <w:r w:rsidR="00966B02" w:rsidRPr="005E24B1">
        <w:t>What is the State to which the reference is made? Is it the State where the body of auditors is located? Or is it the State in which the classification society operates? France would tend to opt for the second version.</w:t>
      </w:r>
    </w:p>
    <w:p w14:paraId="70FFBB61" w14:textId="63667473" w:rsidR="00966B02" w:rsidRPr="005E24B1" w:rsidRDefault="00046DCF" w:rsidP="00046DCF">
      <w:pPr>
        <w:pStyle w:val="SingleTxtG"/>
        <w:rPr>
          <w:rFonts w:eastAsia="Times New Roman"/>
        </w:rPr>
      </w:pPr>
      <w:r>
        <w:rPr>
          <w:rFonts w:eastAsia="Times New Roman"/>
        </w:rPr>
        <w:tab/>
      </w:r>
      <w:r w:rsidR="00966B02" w:rsidRPr="005E24B1">
        <w:rPr>
          <w:rFonts w:eastAsia="Times New Roman"/>
        </w:rPr>
        <w:t xml:space="preserve">In this regard, the French and English versions of the annexed Regulations may be understood differently. In the </w:t>
      </w:r>
      <w:r w:rsidR="00966B02" w:rsidRPr="00046DCF">
        <w:t>French</w:t>
      </w:r>
      <w:r w:rsidR="00966B02" w:rsidRPr="005E24B1">
        <w:rPr>
          <w:rFonts w:eastAsia="Times New Roman"/>
        </w:rPr>
        <w:t xml:space="preserve"> text, the State of reference seems to be the State of origin of the body of auditors (which is not necessarily a contracting party to ADN). In the English text, it could instead be the State in which the classification society is located (a contracting party to ADN), which is apparently more appropriate and more in line with the principles of the European Directive.</w:t>
      </w:r>
    </w:p>
    <w:p w14:paraId="1DC47765" w14:textId="27C5855C" w:rsidR="00966B02" w:rsidRPr="005E24B1" w:rsidRDefault="00046DCF" w:rsidP="00046DCF">
      <w:pPr>
        <w:pStyle w:val="SingleTxtG"/>
        <w:rPr>
          <w:rFonts w:eastAsia="Times New Roman"/>
        </w:rPr>
      </w:pPr>
      <w:r>
        <w:rPr>
          <w:rFonts w:eastAsia="Times New Roman"/>
        </w:rPr>
        <w:tab/>
      </w:r>
      <w:r w:rsidR="00966B02" w:rsidRPr="005E24B1">
        <w:rPr>
          <w:rFonts w:eastAsia="Times New Roman"/>
        </w:rPr>
        <w:t>Directive (EU) 2016/1629 is clearer, since it refers to the State in which the classification society has its “headquarters</w:t>
      </w:r>
      <w:r w:rsidR="00C042CD">
        <w:rPr>
          <w:rFonts w:eastAsia="Times New Roman"/>
        </w:rPr>
        <w:t xml:space="preserve"> </w:t>
      </w:r>
      <w:r w:rsidR="00966B02" w:rsidRPr="005E24B1">
        <w:rPr>
          <w:rFonts w:eastAsia="Times New Roman"/>
        </w:rPr>
        <w:t>...</w:t>
      </w:r>
      <w:r w:rsidR="00C042CD">
        <w:rPr>
          <w:rFonts w:eastAsia="Times New Roman"/>
        </w:rPr>
        <w:t xml:space="preserve"> </w:t>
      </w:r>
      <w:r w:rsidR="00966B02" w:rsidRPr="005E24B1">
        <w:rPr>
          <w:rFonts w:eastAsia="Times New Roman"/>
        </w:rPr>
        <w:t>or a subsidiary</w:t>
      </w:r>
      <w:r w:rsidR="00C042CD">
        <w:rPr>
          <w:rFonts w:eastAsia="Times New Roman"/>
        </w:rPr>
        <w:t xml:space="preserve"> </w:t>
      </w:r>
      <w:r w:rsidR="00966B02" w:rsidRPr="005E24B1">
        <w:rPr>
          <w:rFonts w:eastAsia="Times New Roman"/>
        </w:rPr>
        <w:t>...</w:t>
      </w:r>
      <w:r w:rsidR="00C042CD">
        <w:rPr>
          <w:rFonts w:eastAsia="Times New Roman"/>
        </w:rPr>
        <w:t xml:space="preserve"> </w:t>
      </w:r>
      <w:r w:rsidR="00966B02" w:rsidRPr="005E24B1">
        <w:rPr>
          <w:rFonts w:eastAsia="Times New Roman"/>
        </w:rPr>
        <w:t>authorized to give a ruling and to act in all areas incumbent on it under the regulations governing inland waterway transport”.</w:t>
      </w:r>
    </w:p>
    <w:p w14:paraId="15251A9C" w14:textId="6D9C6166" w:rsidR="00966B02" w:rsidRPr="005E24B1" w:rsidRDefault="00046DCF" w:rsidP="00046DCF">
      <w:pPr>
        <w:pStyle w:val="SingleTxtG"/>
      </w:pPr>
      <w:r>
        <w:lastRenderedPageBreak/>
        <w:tab/>
      </w:r>
      <w:r w:rsidRPr="005E24B1">
        <w:t>(b)</w:t>
      </w:r>
      <w:r w:rsidRPr="005E24B1">
        <w:tab/>
      </w:r>
      <w:r w:rsidR="00966B02" w:rsidRPr="005E24B1">
        <w:t>What is the meaning of “an independent body of auditors”? As 1.15.3.8 is currently worded, this concept of independence seems to be largely left to the discretion or initiative of each contracting party. In the interpretation of France, “an independent body of auditors” should be a body of auditors recognized as such by an accreditation issued by an accreditation body, for example, a signatory to the European co-operation for Accreditation (EA).</w:t>
      </w:r>
    </w:p>
    <w:p w14:paraId="4B7A9FFF" w14:textId="77777777" w:rsidR="00966B02" w:rsidRPr="005E24B1" w:rsidRDefault="00966B02" w:rsidP="00046DCF">
      <w:pPr>
        <w:pStyle w:val="HChG"/>
        <w:rPr>
          <w:lang w:eastAsia="zh-CN"/>
        </w:rPr>
      </w:pPr>
      <w:r w:rsidRPr="005E24B1">
        <w:rPr>
          <w:lang w:eastAsia="zh-CN"/>
        </w:rPr>
        <w:tab/>
      </w:r>
      <w:r w:rsidRPr="005E24B1">
        <w:rPr>
          <w:lang w:eastAsia="zh-CN"/>
        </w:rPr>
        <w:tab/>
        <w:t>Action to be taken</w:t>
      </w:r>
    </w:p>
    <w:p w14:paraId="3A58E4DC" w14:textId="77777777" w:rsidR="00966B02" w:rsidRPr="005E24B1" w:rsidRDefault="00966B02" w:rsidP="00046DCF">
      <w:pPr>
        <w:pStyle w:val="SingleTxtG"/>
      </w:pPr>
      <w:r w:rsidRPr="005E24B1">
        <w:t>14.</w:t>
      </w:r>
      <w:r w:rsidRPr="005E24B1">
        <w:tab/>
        <w:t>As indicated in the introduction to this document, France wishes to ascertain the position of the other States that are contracting parties to ADN, as well as that of non-governmental organizations, on the questions of interpretation raised in paragraphs 2 to 10 above.</w:t>
      </w:r>
    </w:p>
    <w:p w14:paraId="7F50A2FC" w14:textId="77777777" w:rsidR="00966B02" w:rsidRPr="00046DCF" w:rsidRDefault="00966B02" w:rsidP="00046DCF">
      <w:pPr>
        <w:pStyle w:val="SingleTxtG"/>
      </w:pPr>
      <w:r w:rsidRPr="00046DCF">
        <w:t>15.</w:t>
      </w:r>
      <w:r w:rsidRPr="00046DCF">
        <w:tab/>
        <w:t>If some clarification can be reached by consensus, it may be possible to consider proposing amendments to the Regulations annexed to ADN at a forthcoming session of the Safety Committee.</w:t>
      </w:r>
    </w:p>
    <w:p w14:paraId="5389A04C" w14:textId="77777777" w:rsidR="00966B02" w:rsidRPr="00046DCF" w:rsidRDefault="00966B02" w:rsidP="00046DCF">
      <w:pPr>
        <w:pStyle w:val="SingleTxtG"/>
      </w:pPr>
      <w:r w:rsidRPr="00046DCF">
        <w:t>16.</w:t>
      </w:r>
      <w:r w:rsidRPr="00046DCF">
        <w:tab/>
        <w:t>France, either alone or in the framework of an informal working group to be set up, could submit such proposals for amendments.</w:t>
      </w:r>
    </w:p>
    <w:p w14:paraId="5018218E" w14:textId="77777777" w:rsidR="00046DCF" w:rsidRDefault="00966B02" w:rsidP="00046DCF">
      <w:pPr>
        <w:pStyle w:val="SingleTxtG"/>
      </w:pPr>
      <w:r w:rsidRPr="00046DCF">
        <w:t>17.</w:t>
      </w:r>
      <w:r w:rsidRPr="00046DCF">
        <w:tab/>
        <w:t>The Safety Committee is invited to consider the proposals included in paragraphs 12 and 13, above, and to take action as it deems appropriate.</w:t>
      </w:r>
    </w:p>
    <w:p w14:paraId="3BD856A1" w14:textId="758024FE" w:rsidR="00046DCF" w:rsidRDefault="00046DCF" w:rsidP="00046DCF">
      <w:pPr>
        <w:pStyle w:val="SingleTxtG"/>
        <w:sectPr w:rsidR="00046DC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bookmarkEnd w:id="0"/>
    <w:p w14:paraId="1DF518C8" w14:textId="5DC8520B" w:rsidR="00966B02" w:rsidRPr="005E24B1" w:rsidRDefault="00A5349A" w:rsidP="00A5349A">
      <w:pPr>
        <w:pStyle w:val="HChG"/>
        <w:rPr>
          <w:lang w:eastAsia="zh-CN"/>
        </w:rPr>
      </w:pPr>
      <w:r>
        <w:rPr>
          <w:lang w:eastAsia="zh-CN"/>
        </w:rPr>
        <w:lastRenderedPageBreak/>
        <w:tab/>
      </w:r>
      <w:r w:rsidR="00966B02" w:rsidRPr="005E24B1">
        <w:rPr>
          <w:lang w:eastAsia="zh-CN"/>
        </w:rPr>
        <w:t>Annex</w:t>
      </w:r>
    </w:p>
    <w:p w14:paraId="5EC46122" w14:textId="76373B33" w:rsidR="00966B02" w:rsidRPr="003A5E65" w:rsidRDefault="00A5349A" w:rsidP="00A5349A">
      <w:pPr>
        <w:pStyle w:val="HChG"/>
        <w:rPr>
          <w:lang w:eastAsia="zh-CN"/>
        </w:rPr>
      </w:pPr>
      <w:r>
        <w:rPr>
          <w:lang w:eastAsia="zh-CN"/>
        </w:rPr>
        <w:tab/>
      </w:r>
      <w:r>
        <w:rPr>
          <w:lang w:eastAsia="zh-CN"/>
        </w:rPr>
        <w:tab/>
      </w:r>
      <w:r w:rsidR="00966B02" w:rsidRPr="003A5E65">
        <w:rPr>
          <w:lang w:eastAsia="zh-CN"/>
        </w:rPr>
        <w:t xml:space="preserve">Comparison between Chapter 1.15 of the Regulations </w:t>
      </w:r>
      <w:r w:rsidR="00966B02" w:rsidRPr="005E24B1">
        <w:rPr>
          <w:lang w:eastAsia="zh-CN"/>
        </w:rPr>
        <w:t xml:space="preserve">annexed </w:t>
      </w:r>
      <w:r w:rsidR="00966B02" w:rsidRPr="003A5E65">
        <w:rPr>
          <w:lang w:eastAsia="zh-CN"/>
        </w:rPr>
        <w:t xml:space="preserve">to ADN and </w:t>
      </w:r>
      <w:r w:rsidR="00447AD3">
        <w:rPr>
          <w:lang w:eastAsia="zh-CN"/>
        </w:rPr>
        <w:br/>
      </w:r>
      <w:r w:rsidR="00966B02" w:rsidRPr="003A5E65">
        <w:rPr>
          <w:lang w:eastAsia="zh-CN"/>
        </w:rPr>
        <w:t xml:space="preserve">Directive (EU) 2016/1629 related to the </w:t>
      </w:r>
      <w:r w:rsidR="00966B02" w:rsidRPr="005E24B1">
        <w:rPr>
          <w:lang w:eastAsia="zh-CN"/>
        </w:rPr>
        <w:t xml:space="preserve">approval </w:t>
      </w:r>
      <w:r w:rsidR="00966B02" w:rsidRPr="003A5E65">
        <w:rPr>
          <w:lang w:eastAsia="zh-CN"/>
        </w:rPr>
        <w:t>of classification societies</w:t>
      </w:r>
    </w:p>
    <w:tbl>
      <w:tblPr>
        <w:tblStyle w:val="TableGrid"/>
        <w:tblW w:w="1235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4631"/>
        <w:gridCol w:w="614"/>
        <w:gridCol w:w="4683"/>
        <w:gridCol w:w="1580"/>
      </w:tblGrid>
      <w:tr w:rsidR="00966B02" w:rsidRPr="00736060" w14:paraId="33D72C3A" w14:textId="77777777" w:rsidTr="008B4275">
        <w:trPr>
          <w:cantSplit/>
          <w:tblHeader/>
        </w:trPr>
        <w:tc>
          <w:tcPr>
            <w:tcW w:w="5482" w:type="dxa"/>
            <w:gridSpan w:val="2"/>
            <w:tcBorders>
              <w:top w:val="single" w:sz="4" w:space="0" w:color="auto"/>
              <w:bottom w:val="single" w:sz="4" w:space="0" w:color="auto"/>
            </w:tcBorders>
            <w:shd w:val="clear" w:color="auto" w:fill="auto"/>
            <w:vAlign w:val="bottom"/>
          </w:tcPr>
          <w:p w14:paraId="6051B9F1" w14:textId="77777777" w:rsidR="00966B02" w:rsidRPr="00736060" w:rsidRDefault="00966B02" w:rsidP="00736060">
            <w:pPr>
              <w:suppressAutoHyphens w:val="0"/>
              <w:spacing w:before="80" w:after="80" w:line="200" w:lineRule="exact"/>
              <w:ind w:right="113"/>
              <w:rPr>
                <w:bCs/>
                <w:i/>
                <w:iCs/>
                <w:sz w:val="16"/>
                <w:lang w:eastAsia="zh-CN"/>
              </w:rPr>
            </w:pPr>
            <w:r w:rsidRPr="00736060">
              <w:rPr>
                <w:bCs/>
                <w:i/>
                <w:iCs/>
                <w:sz w:val="16"/>
                <w:lang w:eastAsia="zh-CN"/>
              </w:rPr>
              <w:t>ADN 2019</w:t>
            </w:r>
          </w:p>
        </w:tc>
        <w:tc>
          <w:tcPr>
            <w:tcW w:w="5297" w:type="dxa"/>
            <w:gridSpan w:val="2"/>
            <w:tcBorders>
              <w:top w:val="single" w:sz="4" w:space="0" w:color="auto"/>
              <w:bottom w:val="single" w:sz="4" w:space="0" w:color="auto"/>
            </w:tcBorders>
            <w:shd w:val="clear" w:color="auto" w:fill="auto"/>
            <w:vAlign w:val="bottom"/>
          </w:tcPr>
          <w:p w14:paraId="3A573827" w14:textId="77777777" w:rsidR="00966B02" w:rsidRPr="00736060" w:rsidRDefault="00966B02" w:rsidP="00736060">
            <w:pPr>
              <w:suppressAutoHyphens w:val="0"/>
              <w:spacing w:before="80" w:after="80" w:line="200" w:lineRule="exact"/>
              <w:ind w:right="113"/>
              <w:rPr>
                <w:bCs/>
                <w:i/>
                <w:iCs/>
                <w:sz w:val="16"/>
                <w:lang w:eastAsia="zh-CN"/>
              </w:rPr>
            </w:pPr>
            <w:r w:rsidRPr="00736060">
              <w:rPr>
                <w:bCs/>
                <w:i/>
                <w:iCs/>
                <w:sz w:val="16"/>
                <w:lang w:eastAsia="zh-CN"/>
              </w:rPr>
              <w:t>Directive (EU) 2016/1629</w:t>
            </w:r>
          </w:p>
        </w:tc>
        <w:tc>
          <w:tcPr>
            <w:tcW w:w="1580" w:type="dxa"/>
            <w:tcBorders>
              <w:top w:val="single" w:sz="4" w:space="0" w:color="auto"/>
              <w:bottom w:val="single" w:sz="4" w:space="0" w:color="auto"/>
            </w:tcBorders>
            <w:shd w:val="clear" w:color="auto" w:fill="auto"/>
            <w:vAlign w:val="bottom"/>
          </w:tcPr>
          <w:p w14:paraId="3F1215B2" w14:textId="77777777" w:rsidR="00966B02" w:rsidRPr="00736060" w:rsidRDefault="00966B02" w:rsidP="00736060">
            <w:pPr>
              <w:suppressAutoHyphens w:val="0"/>
              <w:spacing w:before="80" w:after="80" w:line="200" w:lineRule="exact"/>
              <w:ind w:right="113"/>
              <w:rPr>
                <w:bCs/>
                <w:i/>
                <w:iCs/>
                <w:sz w:val="16"/>
                <w:lang w:eastAsia="zh-CN"/>
              </w:rPr>
            </w:pPr>
            <w:r w:rsidRPr="00736060">
              <w:rPr>
                <w:bCs/>
                <w:i/>
                <w:iCs/>
                <w:sz w:val="16"/>
                <w:lang w:eastAsia="zh-CN"/>
              </w:rPr>
              <w:t>Remarks</w:t>
            </w:r>
          </w:p>
        </w:tc>
      </w:tr>
      <w:tr w:rsidR="00966B02" w:rsidRPr="00736060" w14:paraId="280EFDA7" w14:textId="77777777" w:rsidTr="00C73A7C">
        <w:trPr>
          <w:cantSplit/>
          <w:tblHeader/>
        </w:trPr>
        <w:tc>
          <w:tcPr>
            <w:tcW w:w="5482" w:type="dxa"/>
            <w:gridSpan w:val="2"/>
            <w:tcBorders>
              <w:top w:val="single" w:sz="4" w:space="0" w:color="auto"/>
              <w:bottom w:val="single" w:sz="12" w:space="0" w:color="auto"/>
            </w:tcBorders>
            <w:shd w:val="clear" w:color="auto" w:fill="auto"/>
          </w:tcPr>
          <w:p w14:paraId="037FDD46" w14:textId="743980BB" w:rsidR="00966B02" w:rsidRPr="00FD0F9C" w:rsidRDefault="002C7E00" w:rsidP="00FD0F9C">
            <w:pPr>
              <w:suppressAutoHyphens w:val="0"/>
              <w:spacing w:before="80" w:after="80" w:line="200" w:lineRule="exact"/>
              <w:ind w:right="113"/>
              <w:rPr>
                <w:bCs/>
                <w:i/>
                <w:iCs/>
                <w:sz w:val="16"/>
                <w:lang w:eastAsia="zh-CN"/>
              </w:rPr>
            </w:pPr>
            <w:r w:rsidRPr="00FD0F9C">
              <w:rPr>
                <w:bCs/>
                <w:i/>
                <w:iCs/>
                <w:sz w:val="16"/>
                <w:lang w:eastAsia="zh-CN"/>
              </w:rPr>
              <w:t xml:space="preserve">Chapter </w:t>
            </w:r>
            <w:r w:rsidR="00966B02" w:rsidRPr="00FD0F9C">
              <w:rPr>
                <w:bCs/>
                <w:i/>
                <w:iCs/>
                <w:sz w:val="16"/>
                <w:lang w:eastAsia="zh-CN"/>
              </w:rPr>
              <w:t>1.15</w:t>
            </w:r>
            <w:r w:rsidRPr="00FD0F9C">
              <w:rPr>
                <w:bCs/>
                <w:i/>
                <w:iCs/>
                <w:sz w:val="16"/>
                <w:lang w:eastAsia="zh-CN"/>
              </w:rPr>
              <w:br/>
              <w:t>Recognition of Classification Societies</w:t>
            </w:r>
          </w:p>
        </w:tc>
        <w:tc>
          <w:tcPr>
            <w:tcW w:w="5297" w:type="dxa"/>
            <w:gridSpan w:val="2"/>
            <w:tcBorders>
              <w:top w:val="single" w:sz="4" w:space="0" w:color="auto"/>
              <w:bottom w:val="single" w:sz="12" w:space="0" w:color="auto"/>
            </w:tcBorders>
            <w:shd w:val="clear" w:color="auto" w:fill="auto"/>
          </w:tcPr>
          <w:p w14:paraId="6E157642" w14:textId="6AE5F40A" w:rsidR="00966B02" w:rsidRPr="00736060" w:rsidRDefault="00966B02" w:rsidP="00FD0F9C">
            <w:pPr>
              <w:suppressAutoHyphens w:val="0"/>
              <w:spacing w:before="80" w:after="80" w:line="200" w:lineRule="exact"/>
              <w:ind w:right="113"/>
              <w:rPr>
                <w:bCs/>
                <w:i/>
                <w:iCs/>
                <w:lang w:eastAsia="zh-CN"/>
              </w:rPr>
            </w:pPr>
            <w:r w:rsidRPr="00FD0F9C">
              <w:rPr>
                <w:bCs/>
                <w:i/>
                <w:iCs/>
                <w:sz w:val="16"/>
                <w:lang w:eastAsia="zh-CN"/>
              </w:rPr>
              <w:t>Article 21</w:t>
            </w:r>
            <w:r w:rsidR="002C7E00" w:rsidRPr="00FD0F9C">
              <w:rPr>
                <w:bCs/>
                <w:i/>
                <w:iCs/>
                <w:sz w:val="16"/>
                <w:lang w:eastAsia="zh-CN"/>
              </w:rPr>
              <w:br/>
              <w:t>Recognition of Classification Societies</w:t>
            </w:r>
          </w:p>
        </w:tc>
        <w:tc>
          <w:tcPr>
            <w:tcW w:w="1580" w:type="dxa"/>
            <w:tcBorders>
              <w:top w:val="single" w:sz="4" w:space="0" w:color="auto"/>
              <w:bottom w:val="single" w:sz="12" w:space="0" w:color="auto"/>
            </w:tcBorders>
            <w:shd w:val="clear" w:color="auto" w:fill="auto"/>
          </w:tcPr>
          <w:p w14:paraId="4866BA89" w14:textId="77777777" w:rsidR="00966B02" w:rsidRPr="00736060" w:rsidRDefault="00966B02" w:rsidP="00736060">
            <w:pPr>
              <w:suppressAutoHyphens w:val="0"/>
              <w:spacing w:before="40" w:after="120" w:line="220" w:lineRule="exact"/>
              <w:ind w:right="113"/>
              <w:rPr>
                <w:bCs/>
                <w:i/>
                <w:iCs/>
                <w:lang w:eastAsia="zh-CN"/>
              </w:rPr>
            </w:pPr>
          </w:p>
        </w:tc>
      </w:tr>
      <w:tr w:rsidR="00C73A7C" w:rsidRPr="00736060" w14:paraId="2D2E7997" w14:textId="77777777" w:rsidTr="00C73A7C">
        <w:trPr>
          <w:cantSplit/>
          <w:trHeight w:hRule="exact" w:val="113"/>
          <w:tblHeader/>
        </w:trPr>
        <w:tc>
          <w:tcPr>
            <w:tcW w:w="5482" w:type="dxa"/>
            <w:gridSpan w:val="2"/>
            <w:tcBorders>
              <w:top w:val="single" w:sz="12" w:space="0" w:color="auto"/>
              <w:bottom w:val="nil"/>
            </w:tcBorders>
            <w:shd w:val="clear" w:color="auto" w:fill="auto"/>
          </w:tcPr>
          <w:p w14:paraId="4B6B490D" w14:textId="77777777" w:rsidR="00C73A7C" w:rsidRPr="00FD0F9C" w:rsidRDefault="00C73A7C" w:rsidP="00FD0F9C">
            <w:pPr>
              <w:suppressAutoHyphens w:val="0"/>
              <w:spacing w:before="80" w:after="80" w:line="200" w:lineRule="exact"/>
              <w:ind w:right="113"/>
              <w:rPr>
                <w:bCs/>
                <w:i/>
                <w:iCs/>
                <w:sz w:val="16"/>
                <w:lang w:eastAsia="zh-CN"/>
              </w:rPr>
            </w:pPr>
          </w:p>
        </w:tc>
        <w:tc>
          <w:tcPr>
            <w:tcW w:w="5297" w:type="dxa"/>
            <w:gridSpan w:val="2"/>
            <w:tcBorders>
              <w:top w:val="single" w:sz="12" w:space="0" w:color="auto"/>
              <w:bottom w:val="nil"/>
            </w:tcBorders>
            <w:shd w:val="clear" w:color="auto" w:fill="auto"/>
          </w:tcPr>
          <w:p w14:paraId="6DDE4785" w14:textId="77777777" w:rsidR="00C73A7C" w:rsidRPr="00FD0F9C" w:rsidRDefault="00C73A7C" w:rsidP="00FD0F9C">
            <w:pPr>
              <w:suppressAutoHyphens w:val="0"/>
              <w:spacing w:before="80" w:after="80" w:line="200" w:lineRule="exact"/>
              <w:ind w:right="113"/>
              <w:rPr>
                <w:bCs/>
                <w:i/>
                <w:iCs/>
                <w:sz w:val="16"/>
                <w:lang w:eastAsia="zh-CN"/>
              </w:rPr>
            </w:pPr>
          </w:p>
        </w:tc>
        <w:tc>
          <w:tcPr>
            <w:tcW w:w="1580" w:type="dxa"/>
            <w:tcBorders>
              <w:top w:val="single" w:sz="12" w:space="0" w:color="auto"/>
              <w:bottom w:val="nil"/>
            </w:tcBorders>
            <w:shd w:val="clear" w:color="auto" w:fill="auto"/>
          </w:tcPr>
          <w:p w14:paraId="036AA451" w14:textId="77777777" w:rsidR="00C73A7C" w:rsidRPr="00736060" w:rsidRDefault="00C73A7C" w:rsidP="00736060">
            <w:pPr>
              <w:suppressAutoHyphens w:val="0"/>
              <w:spacing w:before="40" w:after="120" w:line="220" w:lineRule="exact"/>
              <w:ind w:right="113"/>
              <w:rPr>
                <w:bCs/>
                <w:i/>
                <w:iCs/>
                <w:lang w:eastAsia="zh-CN"/>
              </w:rPr>
            </w:pPr>
          </w:p>
        </w:tc>
      </w:tr>
      <w:tr w:rsidR="00966B02" w:rsidRPr="00736060" w14:paraId="03A911E5" w14:textId="77777777" w:rsidTr="00C73A7C">
        <w:trPr>
          <w:cantSplit/>
        </w:trPr>
        <w:tc>
          <w:tcPr>
            <w:tcW w:w="5482" w:type="dxa"/>
            <w:gridSpan w:val="2"/>
            <w:tcBorders>
              <w:top w:val="nil"/>
            </w:tcBorders>
            <w:shd w:val="clear" w:color="auto" w:fill="auto"/>
          </w:tcPr>
          <w:p w14:paraId="6225A803" w14:textId="77777777" w:rsidR="00966B02" w:rsidRPr="00736060" w:rsidRDefault="00966B02" w:rsidP="00736060">
            <w:pPr>
              <w:suppressAutoHyphens w:val="0"/>
              <w:spacing w:before="40" w:after="120" w:line="220" w:lineRule="exact"/>
              <w:ind w:right="113"/>
              <w:rPr>
                <w:b/>
                <w:lang w:eastAsia="zh-CN"/>
              </w:rPr>
            </w:pPr>
          </w:p>
        </w:tc>
        <w:tc>
          <w:tcPr>
            <w:tcW w:w="614" w:type="dxa"/>
            <w:tcBorders>
              <w:top w:val="nil"/>
            </w:tcBorders>
            <w:shd w:val="clear" w:color="auto" w:fill="auto"/>
          </w:tcPr>
          <w:p w14:paraId="59AB6BB5"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21.1</w:t>
            </w:r>
          </w:p>
        </w:tc>
        <w:tc>
          <w:tcPr>
            <w:tcW w:w="4683" w:type="dxa"/>
            <w:tcBorders>
              <w:top w:val="nil"/>
            </w:tcBorders>
            <w:shd w:val="clear" w:color="auto" w:fill="auto"/>
          </w:tcPr>
          <w:p w14:paraId="204FD8D2" w14:textId="4CE6314A" w:rsidR="00966B02" w:rsidRPr="00736060" w:rsidRDefault="00966B02" w:rsidP="00736060">
            <w:pPr>
              <w:suppressAutoHyphens w:val="0"/>
              <w:spacing w:before="40" w:after="120" w:line="220" w:lineRule="exact"/>
              <w:ind w:right="113"/>
              <w:rPr>
                <w:lang w:eastAsia="zh-CN"/>
              </w:rPr>
            </w:pPr>
            <w:r w:rsidRPr="00736060">
              <w:rPr>
                <w:lang w:eastAsia="zh-CN"/>
              </w:rPr>
              <w:t>The Commission shall adopt implementing acts in order to recognise a classification society which meets the criteria listed in Annex VI, or to withdraw recognition, in accordance with the procedure set out in paragraphs 2 and 3 of this Article. Those implementing acts shall be adopted in accordance with the advisory procedure referred to in Article 33</w:t>
            </w:r>
            <w:r w:rsidR="00982A18">
              <w:rPr>
                <w:lang w:eastAsia="zh-CN"/>
              </w:rPr>
              <w:t xml:space="preserve"> </w:t>
            </w:r>
            <w:r w:rsidRPr="00736060">
              <w:rPr>
                <w:lang w:eastAsia="zh-CN"/>
              </w:rPr>
              <w:t>(2).</w:t>
            </w:r>
          </w:p>
        </w:tc>
        <w:tc>
          <w:tcPr>
            <w:tcW w:w="1580" w:type="dxa"/>
            <w:tcBorders>
              <w:top w:val="nil"/>
            </w:tcBorders>
            <w:shd w:val="clear" w:color="auto" w:fill="auto"/>
          </w:tcPr>
          <w:p w14:paraId="323DB081" w14:textId="77777777" w:rsidR="00966B02" w:rsidRPr="00736060" w:rsidRDefault="00966B02" w:rsidP="00736060">
            <w:pPr>
              <w:suppressAutoHyphens w:val="0"/>
              <w:spacing w:before="40" w:after="120" w:line="220" w:lineRule="exact"/>
              <w:ind w:right="113"/>
              <w:rPr>
                <w:lang w:eastAsia="zh-CN"/>
              </w:rPr>
            </w:pPr>
          </w:p>
        </w:tc>
      </w:tr>
      <w:tr w:rsidR="00966B02" w:rsidRPr="00736060" w14:paraId="2982E0A5" w14:textId="77777777" w:rsidTr="00FC155F">
        <w:trPr>
          <w:cantSplit/>
        </w:trPr>
        <w:tc>
          <w:tcPr>
            <w:tcW w:w="5482" w:type="dxa"/>
            <w:gridSpan w:val="2"/>
            <w:tcBorders>
              <w:bottom w:val="nil"/>
            </w:tcBorders>
            <w:shd w:val="clear" w:color="auto" w:fill="auto"/>
          </w:tcPr>
          <w:p w14:paraId="0820272E" w14:textId="77777777" w:rsidR="00966B02" w:rsidRPr="00736060" w:rsidRDefault="00966B02" w:rsidP="00736060">
            <w:pPr>
              <w:suppressAutoHyphens w:val="0"/>
              <w:spacing w:before="40" w:after="120" w:line="220" w:lineRule="exact"/>
              <w:ind w:right="113"/>
              <w:rPr>
                <w:lang w:eastAsia="zh-CN"/>
              </w:rPr>
            </w:pPr>
            <w:r w:rsidRPr="00736060">
              <w:rPr>
                <w:b/>
                <w:lang w:eastAsia="zh-CN"/>
              </w:rPr>
              <w:t xml:space="preserve">1.15.1 </w:t>
            </w:r>
            <w:r w:rsidRPr="00736060">
              <w:rPr>
                <w:b/>
                <w:bCs/>
                <w:lang w:eastAsia="zh-CN"/>
              </w:rPr>
              <w:t>General</w:t>
            </w:r>
          </w:p>
        </w:tc>
        <w:tc>
          <w:tcPr>
            <w:tcW w:w="614" w:type="dxa"/>
            <w:tcBorders>
              <w:bottom w:val="nil"/>
            </w:tcBorders>
            <w:shd w:val="clear" w:color="auto" w:fill="auto"/>
          </w:tcPr>
          <w:p w14:paraId="548BD0E6" w14:textId="77777777" w:rsidR="00966B02" w:rsidRPr="00736060" w:rsidRDefault="00966B02" w:rsidP="00736060">
            <w:pPr>
              <w:suppressAutoHyphens w:val="0"/>
              <w:spacing w:before="40" w:after="120" w:line="220" w:lineRule="exact"/>
              <w:ind w:right="113"/>
              <w:rPr>
                <w:b/>
                <w:lang w:eastAsia="zh-CN"/>
              </w:rPr>
            </w:pPr>
          </w:p>
        </w:tc>
        <w:tc>
          <w:tcPr>
            <w:tcW w:w="4683" w:type="dxa"/>
            <w:tcBorders>
              <w:bottom w:val="nil"/>
            </w:tcBorders>
            <w:shd w:val="clear" w:color="auto" w:fill="auto"/>
          </w:tcPr>
          <w:p w14:paraId="12D9E272" w14:textId="77777777" w:rsidR="00966B02" w:rsidRPr="00736060" w:rsidRDefault="00966B02" w:rsidP="00736060">
            <w:pPr>
              <w:suppressAutoHyphens w:val="0"/>
              <w:spacing w:before="40" w:after="120" w:line="220" w:lineRule="exact"/>
              <w:ind w:right="113"/>
              <w:rPr>
                <w:lang w:eastAsia="zh-CN"/>
              </w:rPr>
            </w:pPr>
          </w:p>
        </w:tc>
        <w:tc>
          <w:tcPr>
            <w:tcW w:w="1580" w:type="dxa"/>
            <w:tcBorders>
              <w:bottom w:val="nil"/>
            </w:tcBorders>
            <w:shd w:val="clear" w:color="auto" w:fill="auto"/>
          </w:tcPr>
          <w:p w14:paraId="4BD0EF8D" w14:textId="77777777" w:rsidR="00966B02" w:rsidRPr="00736060" w:rsidRDefault="00966B02" w:rsidP="00736060">
            <w:pPr>
              <w:suppressAutoHyphens w:val="0"/>
              <w:spacing w:before="40" w:after="120" w:line="220" w:lineRule="exact"/>
              <w:ind w:right="113"/>
              <w:rPr>
                <w:lang w:eastAsia="zh-CN"/>
              </w:rPr>
            </w:pPr>
          </w:p>
        </w:tc>
      </w:tr>
      <w:tr w:rsidR="00966B02" w:rsidRPr="00736060" w14:paraId="0B704E1E" w14:textId="77777777" w:rsidTr="00A650D1">
        <w:trPr>
          <w:cantSplit/>
        </w:trPr>
        <w:tc>
          <w:tcPr>
            <w:tcW w:w="851" w:type="dxa"/>
            <w:tcBorders>
              <w:top w:val="nil"/>
              <w:bottom w:val="nil"/>
            </w:tcBorders>
            <w:shd w:val="clear" w:color="auto" w:fill="auto"/>
          </w:tcPr>
          <w:p w14:paraId="1CF0ED6A" w14:textId="77777777" w:rsidR="00966B02" w:rsidRPr="00736060" w:rsidRDefault="00966B02" w:rsidP="00736060">
            <w:pPr>
              <w:suppressAutoHyphens w:val="0"/>
              <w:spacing w:before="40" w:after="120" w:line="220" w:lineRule="exact"/>
              <w:ind w:right="113"/>
              <w:rPr>
                <w:b/>
                <w:lang w:eastAsia="zh-CN"/>
              </w:rPr>
            </w:pPr>
          </w:p>
        </w:tc>
        <w:tc>
          <w:tcPr>
            <w:tcW w:w="4631" w:type="dxa"/>
            <w:tcBorders>
              <w:top w:val="nil"/>
              <w:bottom w:val="nil"/>
            </w:tcBorders>
            <w:shd w:val="clear" w:color="auto" w:fill="auto"/>
          </w:tcPr>
          <w:p w14:paraId="61D0BC52" w14:textId="77777777" w:rsidR="00966B02" w:rsidRPr="00736060" w:rsidRDefault="00966B02" w:rsidP="00736060">
            <w:pPr>
              <w:suppressAutoHyphens w:val="0"/>
              <w:spacing w:before="40" w:after="120" w:line="220" w:lineRule="exact"/>
              <w:ind w:right="113"/>
              <w:rPr>
                <w:lang w:eastAsia="zh-CN"/>
              </w:rPr>
            </w:pPr>
            <w:r w:rsidRPr="00736060">
              <w:rPr>
                <w:lang w:eastAsia="zh-CN"/>
              </w:rPr>
              <w:t>In the event of the conclusion of an international agreement concerning more general regulations or the navigation of vessels on inland waterways and containing provisions relating to the full range of activities of classification societies and their recognition, any provision of this Chapter in contradiction with any of the provisions of the said international agreement would, in the relations among Parties to this Agreement which had become parties to the international agreement and as from the day of the entry into force of the latter, automatically be deleted and replaced ipso facto by the relevant provision of the international agreement. This Chapter would become null and void once the international agreement came into force if all Parties to this Agreement became Parties to the international agreement.</w:t>
            </w:r>
          </w:p>
        </w:tc>
        <w:tc>
          <w:tcPr>
            <w:tcW w:w="614" w:type="dxa"/>
            <w:tcBorders>
              <w:top w:val="nil"/>
              <w:bottom w:val="nil"/>
            </w:tcBorders>
            <w:shd w:val="clear" w:color="auto" w:fill="auto"/>
          </w:tcPr>
          <w:p w14:paraId="1FD57433" w14:textId="77777777" w:rsidR="00966B02" w:rsidRPr="00736060" w:rsidRDefault="00966B02" w:rsidP="00736060">
            <w:pPr>
              <w:suppressAutoHyphens w:val="0"/>
              <w:spacing w:before="40" w:after="120" w:line="220" w:lineRule="exact"/>
              <w:ind w:right="113"/>
              <w:rPr>
                <w:b/>
                <w:lang w:eastAsia="zh-CN"/>
              </w:rPr>
            </w:pPr>
          </w:p>
        </w:tc>
        <w:tc>
          <w:tcPr>
            <w:tcW w:w="4683" w:type="dxa"/>
            <w:tcBorders>
              <w:top w:val="nil"/>
              <w:bottom w:val="nil"/>
            </w:tcBorders>
            <w:shd w:val="clear" w:color="auto" w:fill="auto"/>
          </w:tcPr>
          <w:p w14:paraId="5AD79D45" w14:textId="77777777" w:rsidR="00966B02" w:rsidRPr="00736060" w:rsidRDefault="00966B02" w:rsidP="00736060">
            <w:pPr>
              <w:suppressAutoHyphens w:val="0"/>
              <w:spacing w:before="40" w:after="120" w:line="220" w:lineRule="exact"/>
              <w:ind w:right="113"/>
              <w:rPr>
                <w:lang w:eastAsia="zh-CN"/>
              </w:rPr>
            </w:pPr>
          </w:p>
        </w:tc>
        <w:tc>
          <w:tcPr>
            <w:tcW w:w="1580" w:type="dxa"/>
            <w:tcBorders>
              <w:top w:val="nil"/>
              <w:bottom w:val="nil"/>
            </w:tcBorders>
            <w:shd w:val="clear" w:color="auto" w:fill="auto"/>
          </w:tcPr>
          <w:p w14:paraId="1CB94A9E" w14:textId="77777777" w:rsidR="00966B02" w:rsidRPr="00736060" w:rsidRDefault="00966B02" w:rsidP="00736060">
            <w:pPr>
              <w:suppressAutoHyphens w:val="0"/>
              <w:spacing w:before="40" w:after="120" w:line="220" w:lineRule="exact"/>
              <w:ind w:right="113"/>
              <w:rPr>
                <w:lang w:eastAsia="zh-CN"/>
              </w:rPr>
            </w:pPr>
          </w:p>
        </w:tc>
      </w:tr>
      <w:tr w:rsidR="00966B02" w:rsidRPr="00736060" w14:paraId="502418CB" w14:textId="77777777" w:rsidTr="00FC155F">
        <w:trPr>
          <w:cantSplit/>
        </w:trPr>
        <w:tc>
          <w:tcPr>
            <w:tcW w:w="5482" w:type="dxa"/>
            <w:gridSpan w:val="2"/>
            <w:tcBorders>
              <w:top w:val="nil"/>
            </w:tcBorders>
            <w:shd w:val="clear" w:color="auto" w:fill="auto"/>
          </w:tcPr>
          <w:p w14:paraId="6E7189A5" w14:textId="77777777" w:rsidR="00966B02" w:rsidRPr="00736060" w:rsidRDefault="00966B02" w:rsidP="00FC155F">
            <w:pPr>
              <w:keepNext/>
              <w:keepLines/>
              <w:suppressAutoHyphens w:val="0"/>
              <w:spacing w:before="40" w:after="120" w:line="220" w:lineRule="exact"/>
              <w:ind w:right="113"/>
              <w:rPr>
                <w:lang w:eastAsia="zh-CN"/>
              </w:rPr>
            </w:pPr>
            <w:r w:rsidRPr="00736060">
              <w:rPr>
                <w:b/>
                <w:bCs/>
                <w:lang w:eastAsia="zh-CN"/>
              </w:rPr>
              <w:lastRenderedPageBreak/>
              <w:t>1.15.2 Procedure for the recognition of classification societies</w:t>
            </w:r>
          </w:p>
        </w:tc>
        <w:tc>
          <w:tcPr>
            <w:tcW w:w="5297" w:type="dxa"/>
            <w:gridSpan w:val="2"/>
            <w:tcBorders>
              <w:top w:val="nil"/>
            </w:tcBorders>
            <w:shd w:val="clear" w:color="auto" w:fill="auto"/>
          </w:tcPr>
          <w:p w14:paraId="14BA7A5A" w14:textId="77777777" w:rsidR="00966B02" w:rsidRPr="00736060" w:rsidRDefault="00966B02" w:rsidP="00FC155F">
            <w:pPr>
              <w:keepNext/>
              <w:keepLines/>
              <w:suppressAutoHyphens w:val="0"/>
              <w:spacing w:before="40" w:after="120" w:line="220" w:lineRule="exact"/>
              <w:ind w:right="113"/>
              <w:rPr>
                <w:b/>
                <w:lang w:eastAsia="zh-CN"/>
              </w:rPr>
            </w:pPr>
          </w:p>
        </w:tc>
        <w:tc>
          <w:tcPr>
            <w:tcW w:w="1580" w:type="dxa"/>
            <w:tcBorders>
              <w:top w:val="nil"/>
            </w:tcBorders>
            <w:shd w:val="clear" w:color="auto" w:fill="auto"/>
          </w:tcPr>
          <w:p w14:paraId="50F48877" w14:textId="77777777" w:rsidR="00966B02" w:rsidRPr="00736060" w:rsidRDefault="00966B02" w:rsidP="00FC155F">
            <w:pPr>
              <w:keepNext/>
              <w:keepLines/>
              <w:suppressAutoHyphens w:val="0"/>
              <w:spacing w:before="40" w:after="120" w:line="220" w:lineRule="exact"/>
              <w:ind w:right="113"/>
              <w:rPr>
                <w:lang w:eastAsia="zh-CN"/>
              </w:rPr>
            </w:pPr>
          </w:p>
        </w:tc>
      </w:tr>
      <w:tr w:rsidR="00966B02" w:rsidRPr="00736060" w14:paraId="2BCF1C19" w14:textId="77777777" w:rsidTr="00A650D1">
        <w:trPr>
          <w:cantSplit/>
        </w:trPr>
        <w:tc>
          <w:tcPr>
            <w:tcW w:w="851" w:type="dxa"/>
            <w:shd w:val="clear" w:color="auto" w:fill="auto"/>
          </w:tcPr>
          <w:p w14:paraId="13D7FC3D"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1.15.2.1</w:t>
            </w:r>
          </w:p>
        </w:tc>
        <w:tc>
          <w:tcPr>
            <w:tcW w:w="4631" w:type="dxa"/>
            <w:shd w:val="clear" w:color="auto" w:fill="auto"/>
          </w:tcPr>
          <w:p w14:paraId="5FF4777E" w14:textId="77777777" w:rsidR="00966B02" w:rsidRPr="00736060" w:rsidRDefault="00966B02" w:rsidP="00736060">
            <w:pPr>
              <w:suppressAutoHyphens w:val="0"/>
              <w:spacing w:before="40" w:after="120" w:line="220" w:lineRule="exact"/>
              <w:ind w:right="113"/>
              <w:rPr>
                <w:lang w:eastAsia="zh-CN"/>
              </w:rPr>
            </w:pPr>
            <w:r w:rsidRPr="00736060">
              <w:rPr>
                <w:lang w:eastAsia="zh-CN"/>
              </w:rPr>
              <w:t>A classification society which wishes to be recommended for recognition under this Agreement shall submit its application for recognition, in accordance with the provisions of this Chapter, to the competent authority of a Contracting Party.</w:t>
            </w:r>
          </w:p>
          <w:p w14:paraId="4098F39E" w14:textId="77777777" w:rsidR="00966B02" w:rsidRPr="00736060" w:rsidRDefault="00966B02" w:rsidP="00736060">
            <w:pPr>
              <w:suppressAutoHyphens w:val="0"/>
              <w:spacing w:before="40" w:after="120" w:line="220" w:lineRule="exact"/>
              <w:ind w:right="113"/>
              <w:rPr>
                <w:lang w:eastAsia="zh-CN"/>
              </w:rPr>
            </w:pPr>
            <w:r w:rsidRPr="00736060">
              <w:rPr>
                <w:lang w:eastAsia="zh-CN"/>
              </w:rPr>
              <w:t>The classification society shall prepare the relevant information in accordance with the provisions of this Chapter. It shall produce it in, at least, an official language of the State where the application is submitted and in English.</w:t>
            </w:r>
          </w:p>
          <w:p w14:paraId="46C6BBE1" w14:textId="77777777" w:rsidR="00966B02" w:rsidRPr="00736060" w:rsidRDefault="00966B02" w:rsidP="00736060">
            <w:pPr>
              <w:suppressAutoHyphens w:val="0"/>
              <w:spacing w:before="40" w:after="120" w:line="220" w:lineRule="exact"/>
              <w:ind w:right="113"/>
              <w:rPr>
                <w:lang w:eastAsia="zh-CN"/>
              </w:rPr>
            </w:pPr>
            <w:r w:rsidRPr="00736060">
              <w:rPr>
                <w:lang w:eastAsia="zh-CN"/>
              </w:rPr>
              <w:t>The Contracting Party shall forward the application to the Administrative Committee unless in its opinion the conditions and criteria referred to in 1.15.3 have manifestly not been met.</w:t>
            </w:r>
          </w:p>
        </w:tc>
        <w:tc>
          <w:tcPr>
            <w:tcW w:w="614" w:type="dxa"/>
            <w:shd w:val="clear" w:color="auto" w:fill="auto"/>
          </w:tcPr>
          <w:p w14:paraId="51228B84"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21.2</w:t>
            </w:r>
          </w:p>
        </w:tc>
        <w:tc>
          <w:tcPr>
            <w:tcW w:w="4683" w:type="dxa"/>
            <w:shd w:val="clear" w:color="auto" w:fill="auto"/>
          </w:tcPr>
          <w:p w14:paraId="354F2C8F" w14:textId="77777777" w:rsidR="00966B02" w:rsidRPr="00736060" w:rsidRDefault="00966B02" w:rsidP="00736060">
            <w:pPr>
              <w:suppressAutoHyphens w:val="0"/>
              <w:spacing w:before="40" w:after="120" w:line="220" w:lineRule="exact"/>
              <w:ind w:right="113"/>
              <w:rPr>
                <w:lang w:eastAsia="zh-CN"/>
              </w:rPr>
            </w:pPr>
            <w:r w:rsidRPr="00736060">
              <w:rPr>
                <w:lang w:eastAsia="zh-CN"/>
              </w:rPr>
              <w:t>An application for recognition shall be submitted to the Commission by the Member State in which the classification society has its headquarters or a subsidiary authorised to issue attestations that a craft satisfies the requirements referred to in Annexes II and V in accordance with this Directive. This application shall be accompanied by all information and documentation needed to check that the criteria for recognition are met.</w:t>
            </w:r>
          </w:p>
        </w:tc>
        <w:tc>
          <w:tcPr>
            <w:tcW w:w="1580" w:type="dxa"/>
            <w:shd w:val="clear" w:color="auto" w:fill="auto"/>
          </w:tcPr>
          <w:p w14:paraId="396D291D" w14:textId="77777777" w:rsidR="00966B02" w:rsidRPr="00736060" w:rsidRDefault="00966B02" w:rsidP="00736060">
            <w:pPr>
              <w:suppressAutoHyphens w:val="0"/>
              <w:spacing w:before="40" w:after="120" w:line="220" w:lineRule="exact"/>
              <w:ind w:right="113"/>
              <w:rPr>
                <w:lang w:eastAsia="zh-CN"/>
              </w:rPr>
            </w:pPr>
          </w:p>
        </w:tc>
      </w:tr>
      <w:tr w:rsidR="00966B02" w:rsidRPr="00736060" w14:paraId="25059A6E" w14:textId="77777777" w:rsidTr="00A650D1">
        <w:trPr>
          <w:cantSplit/>
        </w:trPr>
        <w:tc>
          <w:tcPr>
            <w:tcW w:w="851" w:type="dxa"/>
            <w:tcBorders>
              <w:bottom w:val="nil"/>
            </w:tcBorders>
            <w:shd w:val="clear" w:color="auto" w:fill="auto"/>
          </w:tcPr>
          <w:p w14:paraId="4375A766"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1.15.2.2</w:t>
            </w:r>
          </w:p>
        </w:tc>
        <w:tc>
          <w:tcPr>
            <w:tcW w:w="4631" w:type="dxa"/>
            <w:tcBorders>
              <w:bottom w:val="nil"/>
            </w:tcBorders>
            <w:shd w:val="clear" w:color="auto" w:fill="auto"/>
          </w:tcPr>
          <w:p w14:paraId="13A3D65D" w14:textId="77777777" w:rsidR="00966B02" w:rsidRPr="00736060" w:rsidRDefault="00966B02" w:rsidP="00736060">
            <w:pPr>
              <w:suppressAutoHyphens w:val="0"/>
              <w:spacing w:before="40" w:after="120" w:line="220" w:lineRule="exact"/>
              <w:ind w:right="113"/>
              <w:rPr>
                <w:lang w:eastAsia="zh-CN"/>
              </w:rPr>
            </w:pPr>
            <w:r w:rsidRPr="00736060">
              <w:rPr>
                <w:lang w:eastAsia="zh-CN"/>
              </w:rPr>
              <w:t>The Administrative Committee shall appoint a Committee of Experts and determine its composition and its rules of procedure. This Committee of Experts shall consider the proposal; it shall determine whether the classification society meets the criteria set out in 1.15.3 and shall make a recommendation to the Administrative Committee within a period of six months.</w:t>
            </w:r>
          </w:p>
        </w:tc>
        <w:tc>
          <w:tcPr>
            <w:tcW w:w="614" w:type="dxa"/>
            <w:tcBorders>
              <w:bottom w:val="nil"/>
            </w:tcBorders>
            <w:shd w:val="clear" w:color="auto" w:fill="auto"/>
          </w:tcPr>
          <w:p w14:paraId="0F636D41" w14:textId="77777777" w:rsidR="00966B02" w:rsidRPr="00736060" w:rsidRDefault="00966B02" w:rsidP="00736060">
            <w:pPr>
              <w:suppressAutoHyphens w:val="0"/>
              <w:spacing w:before="40" w:after="120" w:line="220" w:lineRule="exact"/>
              <w:ind w:right="113"/>
              <w:rPr>
                <w:b/>
                <w:lang w:eastAsia="zh-CN"/>
              </w:rPr>
            </w:pPr>
          </w:p>
        </w:tc>
        <w:tc>
          <w:tcPr>
            <w:tcW w:w="4683" w:type="dxa"/>
            <w:tcBorders>
              <w:bottom w:val="nil"/>
            </w:tcBorders>
            <w:shd w:val="clear" w:color="auto" w:fill="auto"/>
          </w:tcPr>
          <w:p w14:paraId="74630451" w14:textId="77777777" w:rsidR="00966B02" w:rsidRPr="00736060" w:rsidRDefault="00966B02" w:rsidP="00736060">
            <w:pPr>
              <w:suppressAutoHyphens w:val="0"/>
              <w:spacing w:before="40" w:after="120" w:line="220" w:lineRule="exact"/>
              <w:ind w:right="113"/>
              <w:rPr>
                <w:lang w:eastAsia="zh-CN"/>
              </w:rPr>
            </w:pPr>
          </w:p>
        </w:tc>
        <w:tc>
          <w:tcPr>
            <w:tcW w:w="1580" w:type="dxa"/>
            <w:tcBorders>
              <w:bottom w:val="nil"/>
            </w:tcBorders>
            <w:shd w:val="clear" w:color="auto" w:fill="auto"/>
          </w:tcPr>
          <w:p w14:paraId="15A98FFD" w14:textId="77777777" w:rsidR="00966B02" w:rsidRPr="00736060" w:rsidRDefault="00966B02" w:rsidP="00736060">
            <w:pPr>
              <w:suppressAutoHyphens w:val="0"/>
              <w:spacing w:before="40" w:after="120" w:line="220" w:lineRule="exact"/>
              <w:ind w:right="113"/>
              <w:rPr>
                <w:lang w:eastAsia="zh-CN"/>
              </w:rPr>
            </w:pPr>
          </w:p>
        </w:tc>
      </w:tr>
      <w:tr w:rsidR="00966B02" w:rsidRPr="00736060" w14:paraId="22FA269D" w14:textId="77777777" w:rsidTr="00A650D1">
        <w:trPr>
          <w:cantSplit/>
        </w:trPr>
        <w:tc>
          <w:tcPr>
            <w:tcW w:w="851" w:type="dxa"/>
            <w:tcBorders>
              <w:top w:val="nil"/>
              <w:bottom w:val="nil"/>
            </w:tcBorders>
            <w:shd w:val="clear" w:color="auto" w:fill="auto"/>
          </w:tcPr>
          <w:p w14:paraId="6302264E"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1.15.2.3</w:t>
            </w:r>
          </w:p>
        </w:tc>
        <w:tc>
          <w:tcPr>
            <w:tcW w:w="4631" w:type="dxa"/>
            <w:tcBorders>
              <w:top w:val="nil"/>
              <w:bottom w:val="nil"/>
            </w:tcBorders>
            <w:shd w:val="clear" w:color="auto" w:fill="auto"/>
          </w:tcPr>
          <w:p w14:paraId="64846EF4" w14:textId="402E8191" w:rsidR="00966B02" w:rsidRPr="00736060" w:rsidRDefault="00966B02" w:rsidP="00736060">
            <w:pPr>
              <w:suppressAutoHyphens w:val="0"/>
              <w:spacing w:before="40" w:after="120" w:line="220" w:lineRule="exact"/>
              <w:ind w:right="113"/>
              <w:rPr>
                <w:lang w:eastAsia="zh-CN"/>
              </w:rPr>
            </w:pPr>
            <w:r w:rsidRPr="00736060">
              <w:rPr>
                <w:lang w:eastAsia="zh-CN"/>
              </w:rPr>
              <w:t>The Administrative Committee shall examine the report of the experts. It shall decide in accordance with the procedure set out in Article 17, 7</w:t>
            </w:r>
            <w:r w:rsidR="001077F8">
              <w:rPr>
                <w:lang w:eastAsia="zh-CN"/>
              </w:rPr>
              <w:t xml:space="preserve"> </w:t>
            </w:r>
            <w:r w:rsidRPr="00736060">
              <w:rPr>
                <w:lang w:eastAsia="zh-CN"/>
              </w:rPr>
              <w:t>(c), within one year maximum, whether or not to recommend to the Contracting Parties that they should recognize the classification society in question. The Administrative Committee shall establish a list of the classification societies recommended for recognition by the Contracting Parties.</w:t>
            </w:r>
          </w:p>
        </w:tc>
        <w:tc>
          <w:tcPr>
            <w:tcW w:w="614" w:type="dxa"/>
            <w:tcBorders>
              <w:top w:val="nil"/>
              <w:bottom w:val="nil"/>
            </w:tcBorders>
            <w:shd w:val="clear" w:color="auto" w:fill="auto"/>
          </w:tcPr>
          <w:p w14:paraId="47A160B4" w14:textId="77777777" w:rsidR="00966B02" w:rsidRPr="00736060" w:rsidRDefault="00966B02" w:rsidP="00736060">
            <w:pPr>
              <w:suppressAutoHyphens w:val="0"/>
              <w:spacing w:before="40" w:after="120" w:line="220" w:lineRule="exact"/>
              <w:ind w:right="113"/>
              <w:rPr>
                <w:b/>
                <w:lang w:eastAsia="zh-CN"/>
              </w:rPr>
            </w:pPr>
          </w:p>
        </w:tc>
        <w:tc>
          <w:tcPr>
            <w:tcW w:w="4683" w:type="dxa"/>
            <w:tcBorders>
              <w:top w:val="nil"/>
              <w:bottom w:val="nil"/>
            </w:tcBorders>
            <w:shd w:val="clear" w:color="auto" w:fill="auto"/>
          </w:tcPr>
          <w:p w14:paraId="1507BFF8" w14:textId="77777777" w:rsidR="00966B02" w:rsidRPr="00736060" w:rsidRDefault="00966B02" w:rsidP="00736060">
            <w:pPr>
              <w:suppressAutoHyphens w:val="0"/>
              <w:spacing w:before="40" w:after="120" w:line="220" w:lineRule="exact"/>
              <w:ind w:right="113"/>
              <w:rPr>
                <w:lang w:eastAsia="zh-CN"/>
              </w:rPr>
            </w:pPr>
          </w:p>
        </w:tc>
        <w:tc>
          <w:tcPr>
            <w:tcW w:w="1580" w:type="dxa"/>
            <w:tcBorders>
              <w:top w:val="nil"/>
              <w:bottom w:val="nil"/>
            </w:tcBorders>
            <w:shd w:val="clear" w:color="auto" w:fill="auto"/>
          </w:tcPr>
          <w:p w14:paraId="655C5A1E" w14:textId="77777777" w:rsidR="00966B02" w:rsidRPr="00736060" w:rsidRDefault="00966B02" w:rsidP="00736060">
            <w:pPr>
              <w:suppressAutoHyphens w:val="0"/>
              <w:spacing w:before="40" w:after="120" w:line="220" w:lineRule="exact"/>
              <w:ind w:right="113"/>
              <w:rPr>
                <w:lang w:eastAsia="zh-CN"/>
              </w:rPr>
            </w:pPr>
          </w:p>
        </w:tc>
      </w:tr>
      <w:tr w:rsidR="00966B02" w:rsidRPr="00736060" w14:paraId="1EAB80AD" w14:textId="77777777" w:rsidTr="00A650D1">
        <w:trPr>
          <w:cantSplit/>
          <w:trHeight w:val="863"/>
        </w:trPr>
        <w:tc>
          <w:tcPr>
            <w:tcW w:w="851" w:type="dxa"/>
            <w:vMerge w:val="restart"/>
            <w:tcBorders>
              <w:top w:val="nil"/>
            </w:tcBorders>
            <w:shd w:val="clear" w:color="auto" w:fill="auto"/>
          </w:tcPr>
          <w:p w14:paraId="71A81638"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lastRenderedPageBreak/>
              <w:t>1.15.2.4</w:t>
            </w:r>
          </w:p>
        </w:tc>
        <w:tc>
          <w:tcPr>
            <w:tcW w:w="4631" w:type="dxa"/>
            <w:vMerge w:val="restart"/>
            <w:tcBorders>
              <w:top w:val="nil"/>
            </w:tcBorders>
            <w:shd w:val="clear" w:color="auto" w:fill="auto"/>
          </w:tcPr>
          <w:p w14:paraId="58696398" w14:textId="77777777" w:rsidR="00966B02" w:rsidRPr="00736060" w:rsidRDefault="00966B02" w:rsidP="00736060">
            <w:pPr>
              <w:suppressAutoHyphens w:val="0"/>
              <w:spacing w:before="40" w:after="120" w:line="220" w:lineRule="exact"/>
              <w:ind w:right="113"/>
              <w:rPr>
                <w:lang w:eastAsia="zh-CN"/>
              </w:rPr>
            </w:pPr>
            <w:r w:rsidRPr="00736060">
              <w:rPr>
                <w:lang w:eastAsia="zh-CN"/>
              </w:rPr>
              <w:t>Each Contracting Party may or may not decide to recognize the classification societies in question, only on the basis of the list referred to in 1.15.2.3. The Contracting Party shall inform the Administrative Committee and the other Contracting Parties of its decision.</w:t>
            </w:r>
          </w:p>
          <w:p w14:paraId="5E1EA4CB" w14:textId="77777777" w:rsidR="00966B02" w:rsidRPr="00736060" w:rsidRDefault="00966B02" w:rsidP="00736060">
            <w:pPr>
              <w:suppressAutoHyphens w:val="0"/>
              <w:spacing w:before="40" w:after="120" w:line="220" w:lineRule="exact"/>
              <w:ind w:right="113"/>
              <w:rPr>
                <w:lang w:eastAsia="zh-CN"/>
              </w:rPr>
            </w:pPr>
            <w:r w:rsidRPr="00736060">
              <w:rPr>
                <w:lang w:eastAsia="zh-CN"/>
              </w:rPr>
              <w:t>The Administrative Committee shall update the list of recognitions issued by Contracting Parties.</w:t>
            </w:r>
          </w:p>
        </w:tc>
        <w:tc>
          <w:tcPr>
            <w:tcW w:w="614" w:type="dxa"/>
            <w:tcBorders>
              <w:top w:val="nil"/>
            </w:tcBorders>
            <w:shd w:val="clear" w:color="auto" w:fill="auto"/>
          </w:tcPr>
          <w:p w14:paraId="58A4F322"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21.4</w:t>
            </w:r>
          </w:p>
        </w:tc>
        <w:tc>
          <w:tcPr>
            <w:tcW w:w="4683" w:type="dxa"/>
            <w:tcBorders>
              <w:top w:val="nil"/>
            </w:tcBorders>
            <w:shd w:val="clear" w:color="auto" w:fill="auto"/>
          </w:tcPr>
          <w:p w14:paraId="4B105510" w14:textId="77777777" w:rsidR="00966B02" w:rsidRPr="00736060" w:rsidRDefault="00966B02" w:rsidP="00736060">
            <w:pPr>
              <w:suppressAutoHyphens w:val="0"/>
              <w:spacing w:before="40" w:after="120" w:line="220" w:lineRule="exact"/>
              <w:ind w:right="113"/>
              <w:rPr>
                <w:lang w:eastAsia="zh-CN"/>
              </w:rPr>
            </w:pPr>
            <w:r w:rsidRPr="00736060">
              <w:rPr>
                <w:lang w:eastAsia="zh-CN"/>
              </w:rPr>
              <w:t>The classification societies which, by 6 October 2016, have been granted recognition in accordance with Directive 2006/87/EC shall retain their recognition.</w:t>
            </w:r>
          </w:p>
        </w:tc>
        <w:tc>
          <w:tcPr>
            <w:tcW w:w="1580" w:type="dxa"/>
            <w:vMerge w:val="restart"/>
            <w:tcBorders>
              <w:top w:val="nil"/>
            </w:tcBorders>
            <w:shd w:val="clear" w:color="auto" w:fill="auto"/>
          </w:tcPr>
          <w:p w14:paraId="4C9C2E5D" w14:textId="77777777" w:rsidR="00966B02" w:rsidRPr="00736060" w:rsidRDefault="00966B02" w:rsidP="00736060">
            <w:pPr>
              <w:suppressAutoHyphens w:val="0"/>
              <w:spacing w:before="40" w:after="120" w:line="220" w:lineRule="exact"/>
              <w:ind w:right="113"/>
              <w:rPr>
                <w:lang w:eastAsia="zh-CN"/>
              </w:rPr>
            </w:pPr>
            <w:r w:rsidRPr="00736060">
              <w:rPr>
                <w:lang w:eastAsia="zh-CN"/>
              </w:rPr>
              <w:t>Very close between the two texts</w:t>
            </w:r>
          </w:p>
        </w:tc>
      </w:tr>
      <w:tr w:rsidR="00966B02" w:rsidRPr="00736060" w14:paraId="0B870109" w14:textId="77777777" w:rsidTr="00A650D1">
        <w:trPr>
          <w:cantSplit/>
          <w:trHeight w:val="862"/>
        </w:trPr>
        <w:tc>
          <w:tcPr>
            <w:tcW w:w="851" w:type="dxa"/>
            <w:vMerge/>
            <w:shd w:val="clear" w:color="auto" w:fill="auto"/>
          </w:tcPr>
          <w:p w14:paraId="34742CFD" w14:textId="77777777" w:rsidR="00966B02" w:rsidRPr="00736060" w:rsidRDefault="00966B02" w:rsidP="00736060">
            <w:pPr>
              <w:suppressAutoHyphens w:val="0"/>
              <w:spacing w:before="40" w:after="120" w:line="220" w:lineRule="exact"/>
              <w:ind w:right="113"/>
              <w:rPr>
                <w:b/>
                <w:lang w:eastAsia="zh-CN"/>
              </w:rPr>
            </w:pPr>
          </w:p>
        </w:tc>
        <w:tc>
          <w:tcPr>
            <w:tcW w:w="4631" w:type="dxa"/>
            <w:vMerge/>
            <w:shd w:val="clear" w:color="auto" w:fill="auto"/>
          </w:tcPr>
          <w:p w14:paraId="67EEABF7" w14:textId="77777777" w:rsidR="00966B02" w:rsidRPr="00736060" w:rsidRDefault="00966B02" w:rsidP="00736060">
            <w:pPr>
              <w:suppressAutoHyphens w:val="0"/>
              <w:spacing w:before="40" w:after="120" w:line="220" w:lineRule="exact"/>
              <w:ind w:right="113"/>
              <w:rPr>
                <w:lang w:eastAsia="zh-CN"/>
              </w:rPr>
            </w:pPr>
          </w:p>
        </w:tc>
        <w:tc>
          <w:tcPr>
            <w:tcW w:w="614" w:type="dxa"/>
            <w:shd w:val="clear" w:color="auto" w:fill="auto"/>
          </w:tcPr>
          <w:p w14:paraId="4A481C90"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21.5</w:t>
            </w:r>
          </w:p>
        </w:tc>
        <w:tc>
          <w:tcPr>
            <w:tcW w:w="4683" w:type="dxa"/>
            <w:shd w:val="clear" w:color="auto" w:fill="auto"/>
          </w:tcPr>
          <w:p w14:paraId="4B7CA77D" w14:textId="77777777" w:rsidR="00966B02" w:rsidRPr="00736060" w:rsidRDefault="00966B02" w:rsidP="00736060">
            <w:pPr>
              <w:suppressAutoHyphens w:val="0"/>
              <w:spacing w:before="40" w:after="120" w:line="220" w:lineRule="exact"/>
              <w:ind w:right="113"/>
              <w:rPr>
                <w:lang w:eastAsia="zh-CN"/>
              </w:rPr>
            </w:pPr>
            <w:r w:rsidRPr="00736060">
              <w:rPr>
                <w:lang w:eastAsia="zh-CN"/>
              </w:rPr>
              <w:t>The Commission shall publish for the first time by 7 October 2017, and shall keep updated on an appropriate website, a list of the classification societies recognised in accordance with this Article. Member States shall communicate to the Commission any changes relating to the names or addresses of the classification societies for which they have applied for recognition.</w:t>
            </w:r>
          </w:p>
        </w:tc>
        <w:tc>
          <w:tcPr>
            <w:tcW w:w="1580" w:type="dxa"/>
            <w:vMerge/>
            <w:shd w:val="clear" w:color="auto" w:fill="auto"/>
          </w:tcPr>
          <w:p w14:paraId="083244D3" w14:textId="77777777" w:rsidR="00966B02" w:rsidRPr="00736060" w:rsidRDefault="00966B02" w:rsidP="00736060">
            <w:pPr>
              <w:suppressAutoHyphens w:val="0"/>
              <w:spacing w:before="40" w:after="120" w:line="220" w:lineRule="exact"/>
              <w:ind w:right="113"/>
              <w:rPr>
                <w:lang w:eastAsia="zh-CN"/>
              </w:rPr>
            </w:pPr>
          </w:p>
        </w:tc>
      </w:tr>
      <w:tr w:rsidR="00966B02" w:rsidRPr="00736060" w14:paraId="4A9F66F7" w14:textId="77777777" w:rsidTr="00A650D1">
        <w:trPr>
          <w:cantSplit/>
        </w:trPr>
        <w:tc>
          <w:tcPr>
            <w:tcW w:w="851" w:type="dxa"/>
            <w:tcBorders>
              <w:bottom w:val="nil"/>
            </w:tcBorders>
            <w:shd w:val="clear" w:color="auto" w:fill="auto"/>
          </w:tcPr>
          <w:p w14:paraId="553F7A74"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1.15.2.5</w:t>
            </w:r>
          </w:p>
        </w:tc>
        <w:tc>
          <w:tcPr>
            <w:tcW w:w="4631" w:type="dxa"/>
            <w:tcBorders>
              <w:bottom w:val="nil"/>
            </w:tcBorders>
            <w:shd w:val="clear" w:color="auto" w:fill="auto"/>
          </w:tcPr>
          <w:p w14:paraId="7F499937" w14:textId="77777777" w:rsidR="00966B02" w:rsidRPr="00736060" w:rsidRDefault="00966B02" w:rsidP="00736060">
            <w:pPr>
              <w:suppressAutoHyphens w:val="0"/>
              <w:spacing w:before="40" w:after="120" w:line="220" w:lineRule="exact"/>
              <w:ind w:right="113"/>
              <w:rPr>
                <w:lang w:eastAsia="zh-CN"/>
              </w:rPr>
            </w:pPr>
            <w:r w:rsidRPr="00736060">
              <w:rPr>
                <w:lang w:eastAsia="zh-CN"/>
              </w:rPr>
              <w:t>If a Contracting Party considers that a classification society no longer meets the conditions and criteria set out in 1.15.3, it may submit a proposal to the Administrative Committee for withdrawal from the list of recommended societies. Such a proposal shall be substantiated by convincing evidence of a failure to meet the conditions and criteria.</w:t>
            </w:r>
          </w:p>
        </w:tc>
        <w:tc>
          <w:tcPr>
            <w:tcW w:w="614" w:type="dxa"/>
            <w:tcBorders>
              <w:bottom w:val="nil"/>
            </w:tcBorders>
            <w:shd w:val="clear" w:color="auto" w:fill="auto"/>
          </w:tcPr>
          <w:p w14:paraId="4587D475"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21.3</w:t>
            </w:r>
          </w:p>
        </w:tc>
        <w:tc>
          <w:tcPr>
            <w:tcW w:w="4683" w:type="dxa"/>
            <w:tcBorders>
              <w:bottom w:val="nil"/>
            </w:tcBorders>
            <w:shd w:val="clear" w:color="auto" w:fill="auto"/>
          </w:tcPr>
          <w:p w14:paraId="06EE618D" w14:textId="0BF3AB9A" w:rsidR="00966B02" w:rsidRPr="00736060" w:rsidRDefault="00966B02" w:rsidP="00736060">
            <w:pPr>
              <w:suppressAutoHyphens w:val="0"/>
              <w:spacing w:before="40" w:after="120" w:line="220" w:lineRule="exact"/>
              <w:ind w:right="113"/>
              <w:rPr>
                <w:lang w:eastAsia="zh-CN"/>
              </w:rPr>
            </w:pPr>
            <w:r w:rsidRPr="00736060">
              <w:rPr>
                <w:lang w:eastAsia="zh-CN"/>
              </w:rPr>
              <w:t>Any Member State may submit to the Commission a request to withdraw the recognition if it considers that a classification society no longer meets the criteria set out in Annex VI. The request for withdrawal shall be accompanied by documentary evidence</w:t>
            </w:r>
            <w:r w:rsidR="00A65E97">
              <w:rPr>
                <w:lang w:eastAsia="zh-CN"/>
              </w:rPr>
              <w:t>.</w:t>
            </w:r>
          </w:p>
        </w:tc>
        <w:tc>
          <w:tcPr>
            <w:tcW w:w="1580" w:type="dxa"/>
            <w:tcBorders>
              <w:bottom w:val="nil"/>
            </w:tcBorders>
            <w:shd w:val="clear" w:color="auto" w:fill="auto"/>
          </w:tcPr>
          <w:p w14:paraId="022117EC" w14:textId="77777777" w:rsidR="00966B02" w:rsidRPr="00736060" w:rsidRDefault="00966B02" w:rsidP="00736060">
            <w:pPr>
              <w:suppressAutoHyphens w:val="0"/>
              <w:spacing w:before="40" w:after="120" w:line="220" w:lineRule="exact"/>
              <w:ind w:right="113"/>
              <w:rPr>
                <w:lang w:eastAsia="zh-CN"/>
              </w:rPr>
            </w:pPr>
            <w:r w:rsidRPr="00736060">
              <w:rPr>
                <w:lang w:eastAsia="zh-CN"/>
              </w:rPr>
              <w:t>Very close between the two texts</w:t>
            </w:r>
          </w:p>
        </w:tc>
      </w:tr>
      <w:tr w:rsidR="00966B02" w:rsidRPr="00736060" w14:paraId="089434FE" w14:textId="77777777" w:rsidTr="00A650D1">
        <w:trPr>
          <w:cantSplit/>
        </w:trPr>
        <w:tc>
          <w:tcPr>
            <w:tcW w:w="851" w:type="dxa"/>
            <w:tcBorders>
              <w:top w:val="nil"/>
              <w:bottom w:val="nil"/>
            </w:tcBorders>
            <w:shd w:val="clear" w:color="auto" w:fill="auto"/>
          </w:tcPr>
          <w:p w14:paraId="603DEE58"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1.15.2.6</w:t>
            </w:r>
          </w:p>
        </w:tc>
        <w:tc>
          <w:tcPr>
            <w:tcW w:w="4631" w:type="dxa"/>
            <w:tcBorders>
              <w:top w:val="nil"/>
              <w:bottom w:val="nil"/>
            </w:tcBorders>
            <w:shd w:val="clear" w:color="auto" w:fill="auto"/>
          </w:tcPr>
          <w:p w14:paraId="42ED83EE" w14:textId="77777777" w:rsidR="00966B02" w:rsidRPr="00736060" w:rsidRDefault="00966B02" w:rsidP="00736060">
            <w:pPr>
              <w:suppressAutoHyphens w:val="0"/>
              <w:spacing w:before="40" w:after="120" w:line="220" w:lineRule="exact"/>
              <w:ind w:right="113"/>
              <w:rPr>
                <w:lang w:eastAsia="zh-CN"/>
              </w:rPr>
            </w:pPr>
            <w:r w:rsidRPr="00736060">
              <w:rPr>
                <w:lang w:eastAsia="zh-CN"/>
              </w:rPr>
              <w:t>The Administrative Committee shall set up a new Committee of Experts following the procedure set out under 1.15.2.2 which shall report to the Administrative Committee within a period of six months. The classification society shall be informed and invited by the Committee of Experts to comment on the findings.</w:t>
            </w:r>
          </w:p>
        </w:tc>
        <w:tc>
          <w:tcPr>
            <w:tcW w:w="614" w:type="dxa"/>
            <w:tcBorders>
              <w:top w:val="nil"/>
              <w:bottom w:val="nil"/>
            </w:tcBorders>
            <w:shd w:val="clear" w:color="auto" w:fill="auto"/>
          </w:tcPr>
          <w:p w14:paraId="2CEB12C2" w14:textId="77777777" w:rsidR="00966B02" w:rsidRPr="00736060" w:rsidRDefault="00966B02" w:rsidP="00736060">
            <w:pPr>
              <w:suppressAutoHyphens w:val="0"/>
              <w:spacing w:before="40" w:after="120" w:line="220" w:lineRule="exact"/>
              <w:ind w:right="113"/>
              <w:rPr>
                <w:b/>
                <w:lang w:eastAsia="zh-CN"/>
              </w:rPr>
            </w:pPr>
          </w:p>
        </w:tc>
        <w:tc>
          <w:tcPr>
            <w:tcW w:w="4683" w:type="dxa"/>
            <w:tcBorders>
              <w:top w:val="nil"/>
              <w:bottom w:val="nil"/>
            </w:tcBorders>
            <w:shd w:val="clear" w:color="auto" w:fill="auto"/>
          </w:tcPr>
          <w:p w14:paraId="513B7963" w14:textId="77777777" w:rsidR="00966B02" w:rsidRPr="00736060" w:rsidRDefault="00966B02" w:rsidP="00736060">
            <w:pPr>
              <w:suppressAutoHyphens w:val="0"/>
              <w:spacing w:before="40" w:after="120" w:line="220" w:lineRule="exact"/>
              <w:ind w:right="113"/>
              <w:rPr>
                <w:lang w:eastAsia="zh-CN"/>
              </w:rPr>
            </w:pPr>
          </w:p>
        </w:tc>
        <w:tc>
          <w:tcPr>
            <w:tcW w:w="1580" w:type="dxa"/>
            <w:tcBorders>
              <w:top w:val="nil"/>
              <w:bottom w:val="nil"/>
            </w:tcBorders>
            <w:shd w:val="clear" w:color="auto" w:fill="auto"/>
          </w:tcPr>
          <w:p w14:paraId="71ACADCB" w14:textId="77777777" w:rsidR="00966B02" w:rsidRPr="00736060" w:rsidRDefault="00966B02" w:rsidP="00736060">
            <w:pPr>
              <w:suppressAutoHyphens w:val="0"/>
              <w:spacing w:before="40" w:after="120" w:line="220" w:lineRule="exact"/>
              <w:ind w:right="113"/>
              <w:rPr>
                <w:lang w:eastAsia="zh-CN"/>
              </w:rPr>
            </w:pPr>
          </w:p>
        </w:tc>
      </w:tr>
      <w:tr w:rsidR="00966B02" w:rsidRPr="00736060" w14:paraId="52643491" w14:textId="77777777" w:rsidTr="00A650D1">
        <w:trPr>
          <w:cantSplit/>
        </w:trPr>
        <w:tc>
          <w:tcPr>
            <w:tcW w:w="851" w:type="dxa"/>
            <w:tcBorders>
              <w:top w:val="nil"/>
              <w:bottom w:val="single" w:sz="12" w:space="0" w:color="auto"/>
            </w:tcBorders>
            <w:shd w:val="clear" w:color="auto" w:fill="auto"/>
          </w:tcPr>
          <w:p w14:paraId="38C1ABA5"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lastRenderedPageBreak/>
              <w:t>1.15.2.7</w:t>
            </w:r>
          </w:p>
        </w:tc>
        <w:tc>
          <w:tcPr>
            <w:tcW w:w="4631" w:type="dxa"/>
            <w:tcBorders>
              <w:top w:val="nil"/>
              <w:bottom w:val="single" w:sz="12" w:space="0" w:color="auto"/>
            </w:tcBorders>
            <w:shd w:val="clear" w:color="auto" w:fill="auto"/>
          </w:tcPr>
          <w:p w14:paraId="78E2BBB2" w14:textId="77777777" w:rsidR="00966B02" w:rsidRPr="00736060" w:rsidRDefault="00966B02" w:rsidP="00736060">
            <w:pPr>
              <w:suppressAutoHyphens w:val="0"/>
              <w:spacing w:before="40" w:after="120" w:line="220" w:lineRule="exact"/>
              <w:ind w:right="113"/>
              <w:rPr>
                <w:lang w:eastAsia="zh-CN"/>
              </w:rPr>
            </w:pPr>
            <w:r w:rsidRPr="00736060">
              <w:rPr>
                <w:lang w:eastAsia="zh-CN"/>
              </w:rPr>
              <w:t>The Administrative Committee may decide, in case of a failure(s) to meet the conditions and criteria in 1.15.3, that the classification society shall have the opportunity to present a plan to address the identified failure(s) within a deadline of six months and to avoid any reoccurrence or, in accordance with Article 17, 7 (c), to withdraw the name of the society in question from the list of societies recommended for recognition.</w:t>
            </w:r>
          </w:p>
          <w:p w14:paraId="2D4784F1" w14:textId="77777777" w:rsidR="00966B02" w:rsidRPr="00736060" w:rsidRDefault="00966B02" w:rsidP="00736060">
            <w:pPr>
              <w:suppressAutoHyphens w:val="0"/>
              <w:spacing w:before="40" w:after="120" w:line="220" w:lineRule="exact"/>
              <w:ind w:right="113"/>
              <w:rPr>
                <w:bCs/>
                <w:i/>
                <w:lang w:eastAsia="zh-CN"/>
              </w:rPr>
            </w:pPr>
            <w:r w:rsidRPr="00736060">
              <w:rPr>
                <w:bCs/>
                <w:i/>
                <w:lang w:eastAsia="zh-CN"/>
              </w:rPr>
              <w:t>In the French text of ADN 2019, there is a second paragraph which does not appear in the English version owing to an error. That paragraph appeared in ADN until 2011, and reads as follows:</w:t>
            </w:r>
          </w:p>
          <w:p w14:paraId="119B2182" w14:textId="0A2C296E" w:rsidR="00966B02" w:rsidRPr="00736060" w:rsidRDefault="00966B02" w:rsidP="004401FA">
            <w:pPr>
              <w:suppressAutoHyphens w:val="0"/>
              <w:spacing w:before="40" w:after="120" w:line="220" w:lineRule="exact"/>
              <w:ind w:right="113"/>
              <w:rPr>
                <w:b/>
                <w:i/>
                <w:u w:val="single"/>
                <w:lang w:eastAsia="zh-CN"/>
              </w:rPr>
            </w:pPr>
            <w:r w:rsidRPr="00736060">
              <w:rPr>
                <w:bCs/>
                <w:iCs/>
                <w:lang w:eastAsia="zh-CN"/>
              </w:rPr>
              <w:t>“In such a case the society in question shall immediately be so informed. The Administrative Committee shall also inform all the Contracting Parties that the classification society in question no longer meets the requirements to act as a recognized classification society in the context of the Agreement and shall invite them to take the necessary steps in order to remain in conformity with the requirements of the Agreement.”</w:t>
            </w:r>
          </w:p>
        </w:tc>
        <w:tc>
          <w:tcPr>
            <w:tcW w:w="614" w:type="dxa"/>
            <w:tcBorders>
              <w:top w:val="nil"/>
              <w:bottom w:val="single" w:sz="12" w:space="0" w:color="auto"/>
            </w:tcBorders>
            <w:shd w:val="clear" w:color="auto" w:fill="auto"/>
          </w:tcPr>
          <w:p w14:paraId="076142C9" w14:textId="77777777" w:rsidR="00966B02" w:rsidRPr="00736060" w:rsidRDefault="00966B02" w:rsidP="00736060">
            <w:pPr>
              <w:suppressAutoHyphens w:val="0"/>
              <w:spacing w:before="40" w:after="120" w:line="220" w:lineRule="exact"/>
              <w:ind w:right="113"/>
              <w:rPr>
                <w:b/>
                <w:lang w:eastAsia="zh-CN"/>
              </w:rPr>
            </w:pPr>
          </w:p>
        </w:tc>
        <w:tc>
          <w:tcPr>
            <w:tcW w:w="4683" w:type="dxa"/>
            <w:tcBorders>
              <w:top w:val="nil"/>
              <w:bottom w:val="single" w:sz="12" w:space="0" w:color="auto"/>
            </w:tcBorders>
            <w:shd w:val="clear" w:color="auto" w:fill="auto"/>
          </w:tcPr>
          <w:p w14:paraId="394BC23B" w14:textId="77777777" w:rsidR="00966B02" w:rsidRPr="00736060" w:rsidRDefault="00966B02" w:rsidP="00736060">
            <w:pPr>
              <w:suppressAutoHyphens w:val="0"/>
              <w:spacing w:before="40" w:after="120" w:line="220" w:lineRule="exact"/>
              <w:ind w:right="113"/>
              <w:rPr>
                <w:lang w:eastAsia="zh-CN"/>
              </w:rPr>
            </w:pPr>
          </w:p>
        </w:tc>
        <w:tc>
          <w:tcPr>
            <w:tcW w:w="1580" w:type="dxa"/>
            <w:tcBorders>
              <w:top w:val="nil"/>
              <w:bottom w:val="single" w:sz="12" w:space="0" w:color="auto"/>
            </w:tcBorders>
            <w:shd w:val="clear" w:color="auto" w:fill="auto"/>
          </w:tcPr>
          <w:p w14:paraId="2A672787" w14:textId="77777777" w:rsidR="00966B02" w:rsidRPr="00736060" w:rsidRDefault="00966B02" w:rsidP="00736060">
            <w:pPr>
              <w:suppressAutoHyphens w:val="0"/>
              <w:spacing w:before="40" w:after="120" w:line="220" w:lineRule="exact"/>
              <w:ind w:right="113"/>
              <w:rPr>
                <w:lang w:eastAsia="zh-CN"/>
              </w:rPr>
            </w:pPr>
          </w:p>
        </w:tc>
      </w:tr>
    </w:tbl>
    <w:p w14:paraId="63723E05" w14:textId="77777777" w:rsidR="00887C00" w:rsidRDefault="00887C00"/>
    <w:tbl>
      <w:tblPr>
        <w:tblStyle w:val="TableGrid"/>
        <w:tblW w:w="1235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4631"/>
        <w:gridCol w:w="897"/>
        <w:gridCol w:w="4400"/>
        <w:gridCol w:w="1580"/>
      </w:tblGrid>
      <w:tr w:rsidR="00966B02" w:rsidRPr="00736060" w14:paraId="0D914104" w14:textId="77777777" w:rsidTr="00C73A7C">
        <w:trPr>
          <w:cantSplit/>
          <w:tblHeader/>
        </w:trPr>
        <w:tc>
          <w:tcPr>
            <w:tcW w:w="5482" w:type="dxa"/>
            <w:gridSpan w:val="2"/>
            <w:tcBorders>
              <w:top w:val="single" w:sz="4" w:space="0" w:color="auto"/>
              <w:bottom w:val="single" w:sz="12" w:space="0" w:color="auto"/>
            </w:tcBorders>
            <w:shd w:val="clear" w:color="auto" w:fill="auto"/>
          </w:tcPr>
          <w:p w14:paraId="68A4096D" w14:textId="77777777" w:rsidR="00966B02" w:rsidRPr="00FD0F9C" w:rsidRDefault="00966B02" w:rsidP="009B2AC0">
            <w:pPr>
              <w:keepNext/>
              <w:keepLines/>
              <w:suppressAutoHyphens w:val="0"/>
              <w:spacing w:before="40" w:after="120" w:line="220" w:lineRule="exact"/>
              <w:ind w:right="113"/>
              <w:rPr>
                <w:i/>
                <w:iCs/>
                <w:sz w:val="16"/>
                <w:szCs w:val="16"/>
                <w:lang w:eastAsia="zh-CN"/>
              </w:rPr>
            </w:pPr>
            <w:r w:rsidRPr="00FD0F9C">
              <w:rPr>
                <w:i/>
                <w:iCs/>
                <w:sz w:val="16"/>
                <w:szCs w:val="16"/>
                <w:lang w:eastAsia="zh-CN"/>
              </w:rPr>
              <w:lastRenderedPageBreak/>
              <w:t>1.15.3 Conditions and criteria for the recognition of a classification society applying for recognition</w:t>
            </w:r>
          </w:p>
        </w:tc>
        <w:tc>
          <w:tcPr>
            <w:tcW w:w="5297" w:type="dxa"/>
            <w:gridSpan w:val="2"/>
            <w:tcBorders>
              <w:top w:val="single" w:sz="4" w:space="0" w:color="auto"/>
              <w:bottom w:val="single" w:sz="12" w:space="0" w:color="auto"/>
            </w:tcBorders>
            <w:shd w:val="clear" w:color="auto" w:fill="auto"/>
          </w:tcPr>
          <w:p w14:paraId="45DC6A71" w14:textId="3C5965E1" w:rsidR="00966B02" w:rsidRPr="00FD0F9C" w:rsidRDefault="00966B02" w:rsidP="00887C00">
            <w:pPr>
              <w:keepNext/>
              <w:keepLines/>
              <w:suppressAutoHyphens w:val="0"/>
              <w:spacing w:before="40" w:after="120" w:line="220" w:lineRule="exact"/>
              <w:ind w:right="113"/>
              <w:rPr>
                <w:i/>
                <w:iCs/>
                <w:sz w:val="16"/>
                <w:szCs w:val="16"/>
                <w:lang w:eastAsia="zh-CN"/>
              </w:rPr>
            </w:pPr>
            <w:r w:rsidRPr="00FD0F9C">
              <w:rPr>
                <w:i/>
                <w:iCs/>
                <w:sz w:val="16"/>
                <w:szCs w:val="16"/>
                <w:lang w:eastAsia="zh-CN"/>
              </w:rPr>
              <w:t>ANNEX VI</w:t>
            </w:r>
            <w:r w:rsidR="00FD0F9C">
              <w:rPr>
                <w:i/>
                <w:iCs/>
                <w:sz w:val="16"/>
                <w:szCs w:val="16"/>
                <w:lang w:eastAsia="zh-CN"/>
              </w:rPr>
              <w:t xml:space="preserve"> </w:t>
            </w:r>
            <w:r w:rsidRPr="00FD0F9C">
              <w:rPr>
                <w:i/>
                <w:iCs/>
                <w:sz w:val="16"/>
                <w:szCs w:val="16"/>
                <w:lang w:eastAsia="zh-CN"/>
              </w:rPr>
              <w:t>CLASSIFICATION SOCIETIES</w:t>
            </w:r>
            <w:r w:rsidR="00887C00" w:rsidRPr="00FD0F9C">
              <w:rPr>
                <w:i/>
                <w:iCs/>
                <w:sz w:val="16"/>
                <w:szCs w:val="16"/>
                <w:lang w:eastAsia="zh-CN"/>
              </w:rPr>
              <w:br/>
            </w:r>
            <w:r w:rsidRPr="00FD0F9C">
              <w:rPr>
                <w:i/>
                <w:iCs/>
                <w:sz w:val="16"/>
                <w:szCs w:val="16"/>
                <w:lang w:eastAsia="zh-CN"/>
              </w:rPr>
              <w:t>Criteria for the recognition of classification societies</w:t>
            </w:r>
          </w:p>
        </w:tc>
        <w:tc>
          <w:tcPr>
            <w:tcW w:w="1580" w:type="dxa"/>
            <w:tcBorders>
              <w:top w:val="single" w:sz="4" w:space="0" w:color="auto"/>
              <w:bottom w:val="single" w:sz="12" w:space="0" w:color="auto"/>
            </w:tcBorders>
            <w:shd w:val="clear" w:color="auto" w:fill="auto"/>
          </w:tcPr>
          <w:p w14:paraId="33EC5BF9" w14:textId="30A24744" w:rsidR="00966B02" w:rsidRPr="00FD0F9C" w:rsidRDefault="00982A18" w:rsidP="009B2AC0">
            <w:pPr>
              <w:keepNext/>
              <w:keepLines/>
              <w:suppressAutoHyphens w:val="0"/>
              <w:spacing w:before="40" w:after="120" w:line="220" w:lineRule="exact"/>
              <w:ind w:right="113"/>
              <w:rPr>
                <w:i/>
                <w:iCs/>
                <w:sz w:val="16"/>
                <w:szCs w:val="16"/>
                <w:lang w:eastAsia="zh-CN"/>
              </w:rPr>
            </w:pPr>
            <w:r>
              <w:rPr>
                <w:i/>
                <w:iCs/>
                <w:sz w:val="16"/>
                <w:szCs w:val="16"/>
                <w:lang w:eastAsia="zh-CN"/>
              </w:rPr>
              <w:t>Remarks</w:t>
            </w:r>
          </w:p>
        </w:tc>
      </w:tr>
      <w:tr w:rsidR="00C73A7C" w:rsidRPr="00736060" w14:paraId="52DD77CD" w14:textId="77777777" w:rsidTr="00C73A7C">
        <w:trPr>
          <w:cantSplit/>
          <w:trHeight w:hRule="exact" w:val="113"/>
          <w:tblHeader/>
        </w:trPr>
        <w:tc>
          <w:tcPr>
            <w:tcW w:w="5482" w:type="dxa"/>
            <w:gridSpan w:val="2"/>
            <w:tcBorders>
              <w:top w:val="single" w:sz="12" w:space="0" w:color="auto"/>
              <w:bottom w:val="nil"/>
            </w:tcBorders>
            <w:shd w:val="clear" w:color="auto" w:fill="auto"/>
          </w:tcPr>
          <w:p w14:paraId="3BC44A7B" w14:textId="77777777" w:rsidR="00C73A7C" w:rsidRPr="00FD0F9C" w:rsidRDefault="00C73A7C" w:rsidP="009B2AC0">
            <w:pPr>
              <w:keepNext/>
              <w:keepLines/>
              <w:suppressAutoHyphens w:val="0"/>
              <w:spacing w:before="40" w:after="120" w:line="220" w:lineRule="exact"/>
              <w:ind w:right="113"/>
              <w:rPr>
                <w:i/>
                <w:iCs/>
                <w:sz w:val="16"/>
                <w:szCs w:val="16"/>
                <w:lang w:eastAsia="zh-CN"/>
              </w:rPr>
            </w:pPr>
          </w:p>
        </w:tc>
        <w:tc>
          <w:tcPr>
            <w:tcW w:w="5297" w:type="dxa"/>
            <w:gridSpan w:val="2"/>
            <w:tcBorders>
              <w:top w:val="single" w:sz="12" w:space="0" w:color="auto"/>
              <w:bottom w:val="nil"/>
            </w:tcBorders>
            <w:shd w:val="clear" w:color="auto" w:fill="auto"/>
          </w:tcPr>
          <w:p w14:paraId="746A3469" w14:textId="77777777" w:rsidR="00C73A7C" w:rsidRPr="00FD0F9C" w:rsidRDefault="00C73A7C" w:rsidP="00887C00">
            <w:pPr>
              <w:keepNext/>
              <w:keepLines/>
              <w:suppressAutoHyphens w:val="0"/>
              <w:spacing w:before="40" w:after="120" w:line="220" w:lineRule="exact"/>
              <w:ind w:right="113"/>
              <w:rPr>
                <w:i/>
                <w:iCs/>
                <w:sz w:val="16"/>
                <w:szCs w:val="16"/>
                <w:lang w:eastAsia="zh-CN"/>
              </w:rPr>
            </w:pPr>
          </w:p>
        </w:tc>
        <w:tc>
          <w:tcPr>
            <w:tcW w:w="1580" w:type="dxa"/>
            <w:tcBorders>
              <w:top w:val="single" w:sz="12" w:space="0" w:color="auto"/>
              <w:bottom w:val="nil"/>
            </w:tcBorders>
            <w:shd w:val="clear" w:color="auto" w:fill="auto"/>
          </w:tcPr>
          <w:p w14:paraId="29699748" w14:textId="77777777" w:rsidR="00C73A7C" w:rsidRDefault="00C73A7C" w:rsidP="009B2AC0">
            <w:pPr>
              <w:keepNext/>
              <w:keepLines/>
              <w:suppressAutoHyphens w:val="0"/>
              <w:spacing w:before="40" w:after="120" w:line="220" w:lineRule="exact"/>
              <w:ind w:right="113"/>
              <w:rPr>
                <w:i/>
                <w:iCs/>
                <w:sz w:val="16"/>
                <w:szCs w:val="16"/>
                <w:lang w:eastAsia="zh-CN"/>
              </w:rPr>
            </w:pPr>
          </w:p>
        </w:tc>
      </w:tr>
      <w:tr w:rsidR="00966B02" w:rsidRPr="00736060" w14:paraId="3C2850C0" w14:textId="77777777" w:rsidTr="00C73A7C">
        <w:trPr>
          <w:cantSplit/>
        </w:trPr>
        <w:tc>
          <w:tcPr>
            <w:tcW w:w="5482" w:type="dxa"/>
            <w:gridSpan w:val="2"/>
            <w:tcBorders>
              <w:top w:val="nil"/>
            </w:tcBorders>
            <w:shd w:val="clear" w:color="auto" w:fill="auto"/>
          </w:tcPr>
          <w:p w14:paraId="1877FCF7" w14:textId="77777777" w:rsidR="00966B02" w:rsidRPr="00736060" w:rsidRDefault="00966B02" w:rsidP="009B2AC0">
            <w:pPr>
              <w:keepNext/>
              <w:keepLines/>
              <w:suppressAutoHyphens w:val="0"/>
              <w:spacing w:before="40" w:after="120" w:line="220" w:lineRule="exact"/>
              <w:ind w:right="113"/>
              <w:rPr>
                <w:lang w:eastAsia="zh-CN"/>
              </w:rPr>
            </w:pPr>
            <w:r w:rsidRPr="00736060">
              <w:rPr>
                <w:lang w:eastAsia="zh-CN"/>
              </w:rPr>
              <w:t>A classification society applying for recognition under this Agreement shall meet all the following conditions and criteria:</w:t>
            </w:r>
          </w:p>
        </w:tc>
        <w:tc>
          <w:tcPr>
            <w:tcW w:w="5297" w:type="dxa"/>
            <w:gridSpan w:val="2"/>
            <w:tcBorders>
              <w:top w:val="nil"/>
            </w:tcBorders>
            <w:shd w:val="clear" w:color="auto" w:fill="auto"/>
          </w:tcPr>
          <w:p w14:paraId="4E304049" w14:textId="77777777" w:rsidR="00966B02" w:rsidRPr="00736060" w:rsidRDefault="00966B02" w:rsidP="00887C00">
            <w:pPr>
              <w:keepNext/>
              <w:keepLines/>
              <w:suppressAutoHyphens w:val="0"/>
              <w:spacing w:before="40" w:after="120" w:line="220" w:lineRule="exact"/>
              <w:ind w:right="113"/>
              <w:rPr>
                <w:lang w:eastAsia="zh-CN"/>
              </w:rPr>
            </w:pPr>
            <w:r w:rsidRPr="00736060">
              <w:rPr>
                <w:lang w:eastAsia="zh-CN"/>
              </w:rPr>
              <w:t>Classification societies seeking recognition pursuant to Article 21 of this Directive shall meet all the following criteria:</w:t>
            </w:r>
          </w:p>
        </w:tc>
        <w:tc>
          <w:tcPr>
            <w:tcW w:w="1580" w:type="dxa"/>
            <w:tcBorders>
              <w:top w:val="nil"/>
            </w:tcBorders>
            <w:shd w:val="clear" w:color="auto" w:fill="auto"/>
          </w:tcPr>
          <w:p w14:paraId="2C1EFEF9" w14:textId="77777777" w:rsidR="00966B02" w:rsidRPr="00736060" w:rsidRDefault="00966B02" w:rsidP="009B2AC0">
            <w:pPr>
              <w:keepNext/>
              <w:keepLines/>
              <w:suppressAutoHyphens w:val="0"/>
              <w:spacing w:before="40" w:after="120" w:line="220" w:lineRule="exact"/>
              <w:ind w:right="113"/>
              <w:rPr>
                <w:lang w:eastAsia="zh-CN"/>
              </w:rPr>
            </w:pPr>
          </w:p>
        </w:tc>
      </w:tr>
      <w:tr w:rsidR="00966B02" w:rsidRPr="00736060" w14:paraId="655FBEB7" w14:textId="77777777" w:rsidTr="00747817">
        <w:trPr>
          <w:cantSplit/>
        </w:trPr>
        <w:tc>
          <w:tcPr>
            <w:tcW w:w="851" w:type="dxa"/>
            <w:shd w:val="clear" w:color="auto" w:fill="auto"/>
          </w:tcPr>
          <w:p w14:paraId="71AEBBBA"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1.15.3.1</w:t>
            </w:r>
          </w:p>
        </w:tc>
        <w:tc>
          <w:tcPr>
            <w:tcW w:w="4631" w:type="dxa"/>
            <w:shd w:val="clear" w:color="auto" w:fill="auto"/>
          </w:tcPr>
          <w:p w14:paraId="5764B093" w14:textId="77777777" w:rsidR="00966B02" w:rsidRPr="00736060" w:rsidRDefault="00966B02" w:rsidP="00736060">
            <w:pPr>
              <w:suppressAutoHyphens w:val="0"/>
              <w:spacing w:before="40" w:after="120" w:line="220" w:lineRule="exact"/>
              <w:ind w:right="113"/>
              <w:rPr>
                <w:lang w:eastAsia="zh-CN"/>
              </w:rPr>
            </w:pPr>
            <w:r w:rsidRPr="00736060">
              <w:rPr>
                <w:lang w:eastAsia="zh-CN"/>
              </w:rPr>
              <w:t>A classification society shall be able to demonstrate extensive knowledge of and experience in the assessment of the design and construction of inland navigation vessels. The society should have comprehensive rules and regulations for the design, construction and periodical inspection of vessels. These rules and regulations shall be published and continuously updated and improved through research and development programmes.</w:t>
            </w:r>
          </w:p>
        </w:tc>
        <w:tc>
          <w:tcPr>
            <w:tcW w:w="897" w:type="dxa"/>
            <w:shd w:val="clear" w:color="auto" w:fill="auto"/>
          </w:tcPr>
          <w:p w14:paraId="4CD6E7B8"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Annex VI §1</w:t>
            </w:r>
          </w:p>
        </w:tc>
        <w:tc>
          <w:tcPr>
            <w:tcW w:w="4400" w:type="dxa"/>
            <w:shd w:val="clear" w:color="auto" w:fill="auto"/>
          </w:tcPr>
          <w:p w14:paraId="6B846265" w14:textId="77777777" w:rsidR="00966B02" w:rsidRPr="00736060" w:rsidRDefault="00966B02" w:rsidP="00736060">
            <w:pPr>
              <w:suppressAutoHyphens w:val="0"/>
              <w:spacing w:before="40" w:after="120" w:line="220" w:lineRule="exact"/>
              <w:ind w:right="113"/>
              <w:rPr>
                <w:lang w:eastAsia="zh-CN"/>
              </w:rPr>
            </w:pPr>
            <w:r w:rsidRPr="00736060">
              <w:rPr>
                <w:lang w:eastAsia="zh-CN"/>
              </w:rPr>
              <w:t>The classification society shall be able to document extensive experience in assessing the design and construction of inland waterway vessels. The classification society shall have comprehensive rules and regulations for the design, construction and periodic inspection of inland waterway vessels, in particular for calculating stability in accordance with Part 9 of the Regulations annexed to the ADN as referred to in Annex II. Those rules and regulations are to be published in, at least, Dutch, English, French or German, and shall be continuously updated and improved through research and development programmes. The rules and regulations must not conflict with the provisions of Union law or with international agreements in force.</w:t>
            </w:r>
          </w:p>
        </w:tc>
        <w:tc>
          <w:tcPr>
            <w:tcW w:w="1580" w:type="dxa"/>
            <w:shd w:val="clear" w:color="auto" w:fill="auto"/>
          </w:tcPr>
          <w:p w14:paraId="50BFB3C0" w14:textId="77777777" w:rsidR="00966B02" w:rsidRPr="00736060" w:rsidRDefault="00966B02" w:rsidP="00736060">
            <w:pPr>
              <w:suppressAutoHyphens w:val="0"/>
              <w:spacing w:before="40" w:after="120" w:line="220" w:lineRule="exact"/>
              <w:ind w:right="113"/>
              <w:rPr>
                <w:lang w:eastAsia="zh-CN"/>
              </w:rPr>
            </w:pPr>
            <w:r w:rsidRPr="00736060">
              <w:rPr>
                <w:lang w:eastAsia="zh-CN"/>
              </w:rPr>
              <w:t xml:space="preserve">Very close between the two texts </w:t>
            </w:r>
          </w:p>
        </w:tc>
      </w:tr>
      <w:tr w:rsidR="00966B02" w:rsidRPr="00736060" w14:paraId="569E82A8" w14:textId="77777777" w:rsidTr="00747817">
        <w:trPr>
          <w:cantSplit/>
        </w:trPr>
        <w:tc>
          <w:tcPr>
            <w:tcW w:w="851" w:type="dxa"/>
            <w:shd w:val="clear" w:color="auto" w:fill="auto"/>
          </w:tcPr>
          <w:p w14:paraId="252456E3"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1.15.3.2</w:t>
            </w:r>
          </w:p>
        </w:tc>
        <w:tc>
          <w:tcPr>
            <w:tcW w:w="4631" w:type="dxa"/>
            <w:shd w:val="clear" w:color="auto" w:fill="auto"/>
          </w:tcPr>
          <w:p w14:paraId="7E260539" w14:textId="77777777" w:rsidR="00966B02" w:rsidRPr="00736060" w:rsidRDefault="00966B02" w:rsidP="00736060">
            <w:pPr>
              <w:suppressAutoHyphens w:val="0"/>
              <w:spacing w:before="40" w:after="120" w:line="220" w:lineRule="exact"/>
              <w:ind w:right="113"/>
              <w:rPr>
                <w:lang w:eastAsia="zh-CN"/>
              </w:rPr>
            </w:pPr>
            <w:r w:rsidRPr="00736060">
              <w:rPr>
                <w:lang w:eastAsia="zh-CN"/>
              </w:rPr>
              <w:t>Registers of the vessels classified by the classification society shall be published annually.</w:t>
            </w:r>
          </w:p>
        </w:tc>
        <w:tc>
          <w:tcPr>
            <w:tcW w:w="897" w:type="dxa"/>
            <w:shd w:val="clear" w:color="auto" w:fill="auto"/>
          </w:tcPr>
          <w:p w14:paraId="13A355D8"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Annex VI §2</w:t>
            </w:r>
          </w:p>
        </w:tc>
        <w:tc>
          <w:tcPr>
            <w:tcW w:w="4400" w:type="dxa"/>
            <w:shd w:val="clear" w:color="auto" w:fill="auto"/>
          </w:tcPr>
          <w:p w14:paraId="7C20F5F0" w14:textId="4CA62E0C" w:rsidR="00966B02" w:rsidRPr="00736060" w:rsidRDefault="00966B02" w:rsidP="00736060">
            <w:pPr>
              <w:suppressAutoHyphens w:val="0"/>
              <w:spacing w:before="40" w:after="120" w:line="220" w:lineRule="exact"/>
              <w:ind w:right="113"/>
              <w:rPr>
                <w:lang w:eastAsia="zh-CN"/>
              </w:rPr>
            </w:pPr>
            <w:r w:rsidRPr="00736060">
              <w:rPr>
                <w:lang w:eastAsia="zh-CN"/>
              </w:rPr>
              <w:t>The classification society shall publish its register of vessels annually.</w:t>
            </w:r>
          </w:p>
        </w:tc>
        <w:tc>
          <w:tcPr>
            <w:tcW w:w="1580" w:type="dxa"/>
            <w:shd w:val="clear" w:color="auto" w:fill="auto"/>
          </w:tcPr>
          <w:p w14:paraId="1787FA6A" w14:textId="77777777" w:rsidR="00966B02" w:rsidRPr="00736060" w:rsidRDefault="00966B02" w:rsidP="00736060">
            <w:pPr>
              <w:suppressAutoHyphens w:val="0"/>
              <w:spacing w:before="40" w:after="120" w:line="220" w:lineRule="exact"/>
              <w:ind w:right="113"/>
              <w:rPr>
                <w:lang w:eastAsia="zh-CN"/>
              </w:rPr>
            </w:pPr>
            <w:r w:rsidRPr="00736060">
              <w:rPr>
                <w:lang w:eastAsia="zh-CN"/>
              </w:rPr>
              <w:t>Very close between the two texts</w:t>
            </w:r>
          </w:p>
        </w:tc>
      </w:tr>
      <w:tr w:rsidR="00966B02" w:rsidRPr="00736060" w14:paraId="548F26D7" w14:textId="77777777" w:rsidTr="00747817">
        <w:trPr>
          <w:cantSplit/>
        </w:trPr>
        <w:tc>
          <w:tcPr>
            <w:tcW w:w="851" w:type="dxa"/>
            <w:shd w:val="clear" w:color="auto" w:fill="auto"/>
          </w:tcPr>
          <w:p w14:paraId="1A07522E"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1.15.3.3</w:t>
            </w:r>
          </w:p>
        </w:tc>
        <w:tc>
          <w:tcPr>
            <w:tcW w:w="4631" w:type="dxa"/>
            <w:shd w:val="clear" w:color="auto" w:fill="auto"/>
          </w:tcPr>
          <w:p w14:paraId="25E87ED0" w14:textId="1E415CE0" w:rsidR="00966B02" w:rsidRPr="00736060" w:rsidRDefault="00966B02" w:rsidP="00736060">
            <w:pPr>
              <w:suppressAutoHyphens w:val="0"/>
              <w:spacing w:before="40" w:after="120" w:line="220" w:lineRule="exact"/>
              <w:ind w:right="113"/>
              <w:rPr>
                <w:lang w:eastAsia="zh-CN"/>
              </w:rPr>
            </w:pPr>
            <w:r w:rsidRPr="00736060">
              <w:rPr>
                <w:lang w:eastAsia="zh-CN"/>
              </w:rPr>
              <w:t>The classification society shall not be controlled by shipowners or shipbuilders, or by others engaged commercially in the manufacture, fitting</w:t>
            </w:r>
            <w:r w:rsidR="00982A18">
              <w:rPr>
                <w:lang w:eastAsia="zh-CN"/>
              </w:rPr>
              <w:t>-</w:t>
            </w:r>
            <w:r w:rsidRPr="00736060">
              <w:rPr>
                <w:lang w:eastAsia="zh-CN"/>
              </w:rPr>
              <w:t>out, repair or operation of ships. The classification society shall not be substantially dependent on a single commercial enterprise for its revenue.</w:t>
            </w:r>
          </w:p>
        </w:tc>
        <w:tc>
          <w:tcPr>
            <w:tcW w:w="897" w:type="dxa"/>
            <w:shd w:val="clear" w:color="auto" w:fill="auto"/>
          </w:tcPr>
          <w:p w14:paraId="6355ABB4"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Annex VI §3</w:t>
            </w:r>
          </w:p>
        </w:tc>
        <w:tc>
          <w:tcPr>
            <w:tcW w:w="4400" w:type="dxa"/>
            <w:shd w:val="clear" w:color="auto" w:fill="auto"/>
          </w:tcPr>
          <w:p w14:paraId="68A916CB" w14:textId="77777777" w:rsidR="00966B02" w:rsidRPr="00736060" w:rsidRDefault="00966B02" w:rsidP="00736060">
            <w:pPr>
              <w:suppressAutoHyphens w:val="0"/>
              <w:spacing w:before="40" w:after="120" w:line="220" w:lineRule="exact"/>
              <w:ind w:right="113"/>
              <w:rPr>
                <w:lang w:eastAsia="zh-CN"/>
              </w:rPr>
            </w:pPr>
            <w:r w:rsidRPr="00736060">
              <w:rPr>
                <w:lang w:eastAsia="zh-CN"/>
              </w:rPr>
              <w:t>The classification society shall not be controlled by shipowners or shipbuilders or by others engaged commercially in the design, manufacture, fitting-out, repair, operation or insurance of ships. The classification society shall not be dependent on a single commercial enterprise for its revenue.</w:t>
            </w:r>
          </w:p>
        </w:tc>
        <w:tc>
          <w:tcPr>
            <w:tcW w:w="1580" w:type="dxa"/>
            <w:shd w:val="clear" w:color="auto" w:fill="auto"/>
          </w:tcPr>
          <w:p w14:paraId="39DC53FF" w14:textId="77777777" w:rsidR="00966B02" w:rsidRPr="00736060" w:rsidRDefault="00966B02" w:rsidP="00736060">
            <w:pPr>
              <w:suppressAutoHyphens w:val="0"/>
              <w:spacing w:before="40" w:after="120" w:line="220" w:lineRule="exact"/>
              <w:ind w:right="113"/>
              <w:rPr>
                <w:lang w:eastAsia="zh-CN"/>
              </w:rPr>
            </w:pPr>
            <w:r w:rsidRPr="00736060">
              <w:rPr>
                <w:lang w:eastAsia="zh-CN"/>
              </w:rPr>
              <w:t>Very close between the two texts</w:t>
            </w:r>
          </w:p>
        </w:tc>
      </w:tr>
      <w:tr w:rsidR="00966B02" w:rsidRPr="00736060" w14:paraId="1948D0BE" w14:textId="77777777" w:rsidTr="0062343E">
        <w:trPr>
          <w:cantSplit/>
        </w:trPr>
        <w:tc>
          <w:tcPr>
            <w:tcW w:w="851" w:type="dxa"/>
            <w:tcBorders>
              <w:bottom w:val="nil"/>
            </w:tcBorders>
            <w:shd w:val="clear" w:color="auto" w:fill="auto"/>
          </w:tcPr>
          <w:p w14:paraId="12D1F1B5"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1.15.3.4</w:t>
            </w:r>
          </w:p>
        </w:tc>
        <w:tc>
          <w:tcPr>
            <w:tcW w:w="4631" w:type="dxa"/>
            <w:tcBorders>
              <w:bottom w:val="nil"/>
            </w:tcBorders>
            <w:shd w:val="clear" w:color="auto" w:fill="auto"/>
          </w:tcPr>
          <w:p w14:paraId="1B3259F0" w14:textId="77777777" w:rsidR="00966B02" w:rsidRPr="00736060" w:rsidRDefault="00966B02" w:rsidP="00736060">
            <w:pPr>
              <w:suppressAutoHyphens w:val="0"/>
              <w:spacing w:before="40" w:after="120" w:line="220" w:lineRule="exact"/>
              <w:ind w:right="113"/>
              <w:rPr>
                <w:lang w:eastAsia="zh-CN"/>
              </w:rPr>
            </w:pPr>
            <w:r w:rsidRPr="00736060">
              <w:rPr>
                <w:lang w:eastAsia="zh-CN"/>
              </w:rPr>
              <w:t>The headquarters or a branch of the classification society authorized and entitled to give a ruling and to act in all areas incumbent on it under the regulations governing inland navigation shall be located in one of the Contracting Parties.</w:t>
            </w:r>
          </w:p>
        </w:tc>
        <w:tc>
          <w:tcPr>
            <w:tcW w:w="897" w:type="dxa"/>
            <w:tcBorders>
              <w:bottom w:val="nil"/>
            </w:tcBorders>
            <w:shd w:val="clear" w:color="auto" w:fill="auto"/>
          </w:tcPr>
          <w:p w14:paraId="75B113F7"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Annex VI §4</w:t>
            </w:r>
          </w:p>
        </w:tc>
        <w:tc>
          <w:tcPr>
            <w:tcW w:w="4400" w:type="dxa"/>
            <w:tcBorders>
              <w:bottom w:val="nil"/>
            </w:tcBorders>
            <w:shd w:val="clear" w:color="auto" w:fill="auto"/>
          </w:tcPr>
          <w:p w14:paraId="2557EB62" w14:textId="77777777" w:rsidR="00966B02" w:rsidRPr="00736060" w:rsidRDefault="00966B02" w:rsidP="00736060">
            <w:pPr>
              <w:suppressAutoHyphens w:val="0"/>
              <w:spacing w:before="40" w:after="120" w:line="220" w:lineRule="exact"/>
              <w:ind w:right="113"/>
              <w:rPr>
                <w:lang w:eastAsia="zh-CN"/>
              </w:rPr>
            </w:pPr>
            <w:r w:rsidRPr="00736060">
              <w:rPr>
                <w:lang w:eastAsia="zh-CN"/>
              </w:rPr>
              <w:t>The headquarters of the classification society or a subsidiary authorised to give a ruling and to act in all areas incumbent on it under the regulations governing inland waterway transport, shall be located in one of the Member States.</w:t>
            </w:r>
          </w:p>
        </w:tc>
        <w:tc>
          <w:tcPr>
            <w:tcW w:w="1580" w:type="dxa"/>
            <w:tcBorders>
              <w:bottom w:val="nil"/>
            </w:tcBorders>
            <w:shd w:val="clear" w:color="auto" w:fill="auto"/>
          </w:tcPr>
          <w:p w14:paraId="38EDE3CC" w14:textId="77777777" w:rsidR="00966B02" w:rsidRPr="00736060" w:rsidRDefault="00966B02" w:rsidP="00736060">
            <w:pPr>
              <w:suppressAutoHyphens w:val="0"/>
              <w:spacing w:before="40" w:after="120" w:line="220" w:lineRule="exact"/>
              <w:ind w:right="113"/>
              <w:rPr>
                <w:lang w:eastAsia="zh-CN"/>
              </w:rPr>
            </w:pPr>
            <w:r w:rsidRPr="00736060">
              <w:rPr>
                <w:lang w:eastAsia="zh-CN"/>
              </w:rPr>
              <w:t>Very close between the two texts</w:t>
            </w:r>
          </w:p>
        </w:tc>
      </w:tr>
      <w:tr w:rsidR="00966B02" w:rsidRPr="00736060" w14:paraId="13E33C85" w14:textId="77777777" w:rsidTr="0062343E">
        <w:trPr>
          <w:cantSplit/>
        </w:trPr>
        <w:tc>
          <w:tcPr>
            <w:tcW w:w="851" w:type="dxa"/>
            <w:tcBorders>
              <w:top w:val="nil"/>
              <w:bottom w:val="nil"/>
            </w:tcBorders>
            <w:shd w:val="clear" w:color="auto" w:fill="auto"/>
          </w:tcPr>
          <w:p w14:paraId="197CD561"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1.15.3.5</w:t>
            </w:r>
          </w:p>
        </w:tc>
        <w:tc>
          <w:tcPr>
            <w:tcW w:w="4631" w:type="dxa"/>
            <w:tcBorders>
              <w:top w:val="nil"/>
              <w:bottom w:val="nil"/>
            </w:tcBorders>
            <w:shd w:val="clear" w:color="auto" w:fill="auto"/>
          </w:tcPr>
          <w:p w14:paraId="6512A13C" w14:textId="77777777" w:rsidR="00966B02" w:rsidRPr="00736060" w:rsidRDefault="00966B02" w:rsidP="00736060">
            <w:pPr>
              <w:suppressAutoHyphens w:val="0"/>
              <w:spacing w:before="40" w:after="120" w:line="220" w:lineRule="exact"/>
              <w:ind w:right="113"/>
              <w:rPr>
                <w:lang w:eastAsia="zh-CN"/>
              </w:rPr>
            </w:pPr>
            <w:r w:rsidRPr="00736060">
              <w:rPr>
                <w:lang w:eastAsia="zh-CN"/>
              </w:rPr>
              <w:t>The classification society and its experts shall have a good reputation in inland navigation; the experts shall be able to provide proof of their professional abilities.</w:t>
            </w:r>
          </w:p>
        </w:tc>
        <w:tc>
          <w:tcPr>
            <w:tcW w:w="897" w:type="dxa"/>
            <w:tcBorders>
              <w:top w:val="nil"/>
              <w:bottom w:val="nil"/>
            </w:tcBorders>
            <w:shd w:val="clear" w:color="auto" w:fill="auto"/>
          </w:tcPr>
          <w:p w14:paraId="16C06114"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Annex VI §5</w:t>
            </w:r>
          </w:p>
        </w:tc>
        <w:tc>
          <w:tcPr>
            <w:tcW w:w="4400" w:type="dxa"/>
            <w:tcBorders>
              <w:top w:val="nil"/>
              <w:bottom w:val="nil"/>
            </w:tcBorders>
            <w:shd w:val="clear" w:color="auto" w:fill="auto"/>
          </w:tcPr>
          <w:p w14:paraId="6D58ED6B" w14:textId="77777777" w:rsidR="00966B02" w:rsidRPr="00736060" w:rsidRDefault="00966B02" w:rsidP="00736060">
            <w:pPr>
              <w:suppressAutoHyphens w:val="0"/>
              <w:spacing w:before="40" w:after="120" w:line="220" w:lineRule="exact"/>
              <w:ind w:right="113"/>
              <w:rPr>
                <w:lang w:eastAsia="zh-CN"/>
              </w:rPr>
            </w:pPr>
            <w:r w:rsidRPr="00736060">
              <w:rPr>
                <w:lang w:eastAsia="zh-CN"/>
              </w:rPr>
              <w:t>The classification society and its experts shall have a good reputation in inland waterway transport; the experts shall be able to provide proof of their professional abilities. They shall act on the responsibility of the classification society.</w:t>
            </w:r>
          </w:p>
        </w:tc>
        <w:tc>
          <w:tcPr>
            <w:tcW w:w="1580" w:type="dxa"/>
            <w:tcBorders>
              <w:top w:val="nil"/>
              <w:bottom w:val="nil"/>
            </w:tcBorders>
            <w:shd w:val="clear" w:color="auto" w:fill="auto"/>
          </w:tcPr>
          <w:p w14:paraId="079901B5" w14:textId="77777777" w:rsidR="00966B02" w:rsidRPr="00736060" w:rsidRDefault="00966B02" w:rsidP="00736060">
            <w:pPr>
              <w:suppressAutoHyphens w:val="0"/>
              <w:spacing w:before="40" w:after="120" w:line="220" w:lineRule="exact"/>
              <w:ind w:right="113"/>
              <w:rPr>
                <w:lang w:eastAsia="zh-CN"/>
              </w:rPr>
            </w:pPr>
            <w:r w:rsidRPr="00736060">
              <w:rPr>
                <w:lang w:eastAsia="zh-CN"/>
              </w:rPr>
              <w:t>Very close between the two texts</w:t>
            </w:r>
          </w:p>
        </w:tc>
      </w:tr>
      <w:tr w:rsidR="00966B02" w:rsidRPr="00736060" w14:paraId="25A41860" w14:textId="77777777" w:rsidTr="0062343E">
        <w:trPr>
          <w:cantSplit/>
        </w:trPr>
        <w:tc>
          <w:tcPr>
            <w:tcW w:w="851" w:type="dxa"/>
            <w:tcBorders>
              <w:top w:val="nil"/>
            </w:tcBorders>
            <w:shd w:val="clear" w:color="auto" w:fill="auto"/>
          </w:tcPr>
          <w:p w14:paraId="0F9583E6"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lastRenderedPageBreak/>
              <w:t>1.15.3.6</w:t>
            </w:r>
          </w:p>
        </w:tc>
        <w:tc>
          <w:tcPr>
            <w:tcW w:w="4631" w:type="dxa"/>
            <w:tcBorders>
              <w:top w:val="nil"/>
            </w:tcBorders>
            <w:shd w:val="clear" w:color="auto" w:fill="auto"/>
          </w:tcPr>
          <w:p w14:paraId="75F1D044" w14:textId="77777777" w:rsidR="00966B02" w:rsidRPr="00736060" w:rsidRDefault="00966B02" w:rsidP="00736060">
            <w:pPr>
              <w:suppressAutoHyphens w:val="0"/>
              <w:spacing w:before="40" w:after="120" w:line="220" w:lineRule="exact"/>
              <w:ind w:right="113"/>
              <w:rPr>
                <w:lang w:eastAsia="zh-CN"/>
              </w:rPr>
            </w:pPr>
            <w:r w:rsidRPr="00736060">
              <w:rPr>
                <w:lang w:eastAsia="zh-CN"/>
              </w:rPr>
              <w:t>The classification society:</w:t>
            </w:r>
          </w:p>
          <w:p w14:paraId="58CFA601" w14:textId="742C8115" w:rsidR="00966B02" w:rsidRPr="00736060" w:rsidRDefault="00966B02" w:rsidP="00772155">
            <w:pPr>
              <w:pStyle w:val="Bullet1G"/>
              <w:ind w:left="170" w:right="0"/>
              <w:jc w:val="left"/>
              <w:rPr>
                <w:lang w:eastAsia="zh-CN"/>
              </w:rPr>
            </w:pPr>
            <w:r w:rsidRPr="00736060">
              <w:rPr>
                <w:lang w:eastAsia="zh-CN"/>
              </w:rPr>
              <w:t>Shall have sufficient professional staff and engineers for the technical tasks of monitoring and inspection and for the tasks of management, support and research, in proportion to the tasks and the number of vessels classified and sufficient to keep regulations up to date and develop them in the light of quality requirements;</w:t>
            </w:r>
          </w:p>
          <w:p w14:paraId="31206462" w14:textId="4E77B9BB" w:rsidR="00966B02" w:rsidRPr="00736060" w:rsidRDefault="00966B02" w:rsidP="00772155">
            <w:pPr>
              <w:pStyle w:val="Bullet1G"/>
              <w:ind w:left="170" w:right="0"/>
              <w:jc w:val="left"/>
              <w:rPr>
                <w:lang w:eastAsia="zh-CN"/>
              </w:rPr>
            </w:pPr>
            <w:r w:rsidRPr="00736060">
              <w:rPr>
                <w:lang w:eastAsia="zh-CN"/>
              </w:rPr>
              <w:t>Shall have experts in at least two Contracting Parties.</w:t>
            </w:r>
          </w:p>
        </w:tc>
        <w:tc>
          <w:tcPr>
            <w:tcW w:w="897" w:type="dxa"/>
            <w:tcBorders>
              <w:top w:val="nil"/>
            </w:tcBorders>
            <w:shd w:val="clear" w:color="auto" w:fill="auto"/>
          </w:tcPr>
          <w:p w14:paraId="42B7CC48"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Annex VI §6</w:t>
            </w:r>
          </w:p>
        </w:tc>
        <w:tc>
          <w:tcPr>
            <w:tcW w:w="4400" w:type="dxa"/>
            <w:tcBorders>
              <w:top w:val="nil"/>
            </w:tcBorders>
            <w:shd w:val="clear" w:color="auto" w:fill="auto"/>
          </w:tcPr>
          <w:p w14:paraId="2024C757" w14:textId="77777777" w:rsidR="00966B02" w:rsidRPr="00736060" w:rsidRDefault="00966B02" w:rsidP="00736060">
            <w:pPr>
              <w:suppressAutoHyphens w:val="0"/>
              <w:spacing w:before="40" w:after="120" w:line="220" w:lineRule="exact"/>
              <w:ind w:right="113"/>
              <w:rPr>
                <w:lang w:eastAsia="zh-CN"/>
              </w:rPr>
            </w:pPr>
            <w:r w:rsidRPr="00736060">
              <w:rPr>
                <w:lang w:eastAsia="zh-CN"/>
              </w:rPr>
              <w:t>The classification society shall have a significant technical, managerial, support, inspection and research staff, in proportion to the tasks and the vessels classified and catering also for developing capability and updating the regulations. It shall have inspectors in at least one Member State;</w:t>
            </w:r>
          </w:p>
        </w:tc>
        <w:tc>
          <w:tcPr>
            <w:tcW w:w="1580" w:type="dxa"/>
            <w:tcBorders>
              <w:top w:val="nil"/>
            </w:tcBorders>
            <w:shd w:val="clear" w:color="auto" w:fill="auto"/>
          </w:tcPr>
          <w:p w14:paraId="3E001EA3" w14:textId="77777777" w:rsidR="00966B02" w:rsidRPr="00736060" w:rsidRDefault="00966B02" w:rsidP="00736060">
            <w:pPr>
              <w:suppressAutoHyphens w:val="0"/>
              <w:spacing w:before="40" w:after="120" w:line="220" w:lineRule="exact"/>
              <w:ind w:right="113"/>
              <w:rPr>
                <w:lang w:eastAsia="zh-CN"/>
              </w:rPr>
            </w:pPr>
            <w:r w:rsidRPr="00736060">
              <w:rPr>
                <w:lang w:eastAsia="zh-CN"/>
              </w:rPr>
              <w:t>Very close between the two texts</w:t>
            </w:r>
          </w:p>
        </w:tc>
      </w:tr>
      <w:tr w:rsidR="00966B02" w:rsidRPr="00736060" w14:paraId="1B5DA3FC" w14:textId="77777777" w:rsidTr="00747817">
        <w:trPr>
          <w:cantSplit/>
        </w:trPr>
        <w:tc>
          <w:tcPr>
            <w:tcW w:w="851" w:type="dxa"/>
            <w:shd w:val="clear" w:color="auto" w:fill="auto"/>
          </w:tcPr>
          <w:p w14:paraId="2347E774"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1.15.3.7</w:t>
            </w:r>
          </w:p>
        </w:tc>
        <w:tc>
          <w:tcPr>
            <w:tcW w:w="4631" w:type="dxa"/>
            <w:shd w:val="clear" w:color="auto" w:fill="auto"/>
          </w:tcPr>
          <w:p w14:paraId="1887190C" w14:textId="77777777" w:rsidR="00966B02" w:rsidRPr="00736060" w:rsidRDefault="00966B02" w:rsidP="00736060">
            <w:pPr>
              <w:suppressAutoHyphens w:val="0"/>
              <w:spacing w:before="40" w:after="120" w:line="220" w:lineRule="exact"/>
              <w:ind w:right="113"/>
              <w:rPr>
                <w:lang w:eastAsia="zh-CN"/>
              </w:rPr>
            </w:pPr>
            <w:r w:rsidRPr="00736060">
              <w:rPr>
                <w:lang w:eastAsia="zh-CN"/>
              </w:rPr>
              <w:t>The classification society shall be governed by a code of ethics.</w:t>
            </w:r>
          </w:p>
        </w:tc>
        <w:tc>
          <w:tcPr>
            <w:tcW w:w="897" w:type="dxa"/>
            <w:shd w:val="clear" w:color="auto" w:fill="auto"/>
          </w:tcPr>
          <w:p w14:paraId="11D894EA"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Annex VI §7</w:t>
            </w:r>
          </w:p>
        </w:tc>
        <w:tc>
          <w:tcPr>
            <w:tcW w:w="4400" w:type="dxa"/>
            <w:shd w:val="clear" w:color="auto" w:fill="auto"/>
          </w:tcPr>
          <w:p w14:paraId="3CD58749" w14:textId="5749001E" w:rsidR="00966B02" w:rsidRPr="00736060" w:rsidRDefault="00966B02" w:rsidP="00736060">
            <w:pPr>
              <w:suppressAutoHyphens w:val="0"/>
              <w:spacing w:before="40" w:after="120" w:line="220" w:lineRule="exact"/>
              <w:ind w:right="113"/>
              <w:rPr>
                <w:lang w:eastAsia="zh-CN"/>
              </w:rPr>
            </w:pPr>
            <w:r w:rsidRPr="00736060">
              <w:rPr>
                <w:lang w:eastAsia="zh-CN"/>
              </w:rPr>
              <w:t>The classification society shall be governed by a code of ethics</w:t>
            </w:r>
            <w:r w:rsidR="000C0662">
              <w:rPr>
                <w:lang w:eastAsia="zh-CN"/>
              </w:rPr>
              <w:t>.</w:t>
            </w:r>
          </w:p>
        </w:tc>
        <w:tc>
          <w:tcPr>
            <w:tcW w:w="1580" w:type="dxa"/>
            <w:shd w:val="clear" w:color="auto" w:fill="auto"/>
          </w:tcPr>
          <w:p w14:paraId="66B3D0C9" w14:textId="77777777" w:rsidR="00966B02" w:rsidRPr="00736060" w:rsidRDefault="00966B02" w:rsidP="00736060">
            <w:pPr>
              <w:suppressAutoHyphens w:val="0"/>
              <w:spacing w:before="40" w:after="120" w:line="220" w:lineRule="exact"/>
              <w:ind w:right="113"/>
              <w:rPr>
                <w:lang w:eastAsia="zh-CN"/>
              </w:rPr>
            </w:pPr>
            <w:r w:rsidRPr="00736060">
              <w:rPr>
                <w:lang w:eastAsia="zh-CN"/>
              </w:rPr>
              <w:t>Very close between the two texts</w:t>
            </w:r>
          </w:p>
        </w:tc>
      </w:tr>
      <w:tr w:rsidR="00966B02" w:rsidRPr="00736060" w14:paraId="50182DD8" w14:textId="77777777" w:rsidTr="00B90A52">
        <w:trPr>
          <w:cantSplit/>
        </w:trPr>
        <w:tc>
          <w:tcPr>
            <w:tcW w:w="851" w:type="dxa"/>
            <w:tcBorders>
              <w:bottom w:val="nil"/>
            </w:tcBorders>
            <w:shd w:val="clear" w:color="auto" w:fill="auto"/>
          </w:tcPr>
          <w:p w14:paraId="7268C2C6" w14:textId="77777777" w:rsidR="00966B02" w:rsidRPr="00736060" w:rsidRDefault="00966B02" w:rsidP="00736060">
            <w:pPr>
              <w:suppressAutoHyphens w:val="0"/>
              <w:spacing w:before="40" w:after="120" w:line="220" w:lineRule="exact"/>
              <w:ind w:right="113"/>
              <w:rPr>
                <w:b/>
                <w:lang w:eastAsia="zh-CN"/>
              </w:rPr>
            </w:pPr>
          </w:p>
        </w:tc>
        <w:tc>
          <w:tcPr>
            <w:tcW w:w="4631" w:type="dxa"/>
            <w:tcBorders>
              <w:bottom w:val="nil"/>
            </w:tcBorders>
            <w:shd w:val="clear" w:color="auto" w:fill="auto"/>
          </w:tcPr>
          <w:p w14:paraId="38052A07" w14:textId="77777777" w:rsidR="00966B02" w:rsidRPr="00736060" w:rsidRDefault="00966B02" w:rsidP="00736060">
            <w:pPr>
              <w:suppressAutoHyphens w:val="0"/>
              <w:spacing w:before="40" w:after="120" w:line="220" w:lineRule="exact"/>
              <w:ind w:right="113"/>
              <w:rPr>
                <w:lang w:eastAsia="zh-CN"/>
              </w:rPr>
            </w:pPr>
          </w:p>
        </w:tc>
        <w:tc>
          <w:tcPr>
            <w:tcW w:w="897" w:type="dxa"/>
            <w:tcBorders>
              <w:bottom w:val="nil"/>
            </w:tcBorders>
            <w:shd w:val="clear" w:color="auto" w:fill="auto"/>
          </w:tcPr>
          <w:p w14:paraId="392A3160"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Annex VI §8</w:t>
            </w:r>
          </w:p>
        </w:tc>
        <w:tc>
          <w:tcPr>
            <w:tcW w:w="4400" w:type="dxa"/>
            <w:tcBorders>
              <w:bottom w:val="nil"/>
            </w:tcBorders>
            <w:shd w:val="clear" w:color="auto" w:fill="auto"/>
          </w:tcPr>
          <w:p w14:paraId="22B4F9C2" w14:textId="0A61716C" w:rsidR="00966B02" w:rsidRPr="00736060" w:rsidRDefault="00966B02" w:rsidP="00736060">
            <w:pPr>
              <w:suppressAutoHyphens w:val="0"/>
              <w:spacing w:before="40" w:after="120" w:line="220" w:lineRule="exact"/>
              <w:ind w:right="113"/>
              <w:rPr>
                <w:lang w:eastAsia="zh-CN"/>
              </w:rPr>
            </w:pPr>
            <w:r w:rsidRPr="00736060">
              <w:rPr>
                <w:lang w:eastAsia="zh-CN"/>
              </w:rPr>
              <w:t>The classification society shall be managed and administered in such a way as to ensure the confidentiality of information required by a Member State</w:t>
            </w:r>
            <w:r w:rsidR="000C0662">
              <w:rPr>
                <w:lang w:eastAsia="zh-CN"/>
              </w:rPr>
              <w:t>.</w:t>
            </w:r>
          </w:p>
        </w:tc>
        <w:tc>
          <w:tcPr>
            <w:tcW w:w="1580" w:type="dxa"/>
            <w:tcBorders>
              <w:bottom w:val="nil"/>
            </w:tcBorders>
            <w:shd w:val="clear" w:color="auto" w:fill="auto"/>
          </w:tcPr>
          <w:p w14:paraId="13DE3EB4" w14:textId="77777777" w:rsidR="00966B02" w:rsidRPr="00736060" w:rsidRDefault="00966B02" w:rsidP="00736060">
            <w:pPr>
              <w:suppressAutoHyphens w:val="0"/>
              <w:spacing w:before="40" w:after="120" w:line="220" w:lineRule="exact"/>
              <w:ind w:right="113"/>
              <w:rPr>
                <w:lang w:eastAsia="zh-CN"/>
              </w:rPr>
            </w:pPr>
          </w:p>
        </w:tc>
      </w:tr>
      <w:tr w:rsidR="00966B02" w:rsidRPr="00736060" w14:paraId="466C1594" w14:textId="77777777" w:rsidTr="00B90A52">
        <w:trPr>
          <w:cantSplit/>
        </w:trPr>
        <w:tc>
          <w:tcPr>
            <w:tcW w:w="851" w:type="dxa"/>
            <w:tcBorders>
              <w:top w:val="nil"/>
              <w:bottom w:val="nil"/>
            </w:tcBorders>
            <w:shd w:val="clear" w:color="auto" w:fill="auto"/>
          </w:tcPr>
          <w:p w14:paraId="4AA3A8FC" w14:textId="77777777" w:rsidR="00966B02" w:rsidRPr="00736060" w:rsidRDefault="00966B02" w:rsidP="00736060">
            <w:pPr>
              <w:suppressAutoHyphens w:val="0"/>
              <w:spacing w:before="40" w:after="120" w:line="220" w:lineRule="exact"/>
              <w:ind w:right="113"/>
              <w:rPr>
                <w:b/>
                <w:lang w:eastAsia="zh-CN"/>
              </w:rPr>
            </w:pPr>
          </w:p>
        </w:tc>
        <w:tc>
          <w:tcPr>
            <w:tcW w:w="4631" w:type="dxa"/>
            <w:tcBorders>
              <w:top w:val="nil"/>
              <w:bottom w:val="nil"/>
            </w:tcBorders>
            <w:shd w:val="clear" w:color="auto" w:fill="auto"/>
          </w:tcPr>
          <w:p w14:paraId="0396AC82" w14:textId="77777777" w:rsidR="00966B02" w:rsidRPr="00736060" w:rsidRDefault="00966B02" w:rsidP="00736060">
            <w:pPr>
              <w:suppressAutoHyphens w:val="0"/>
              <w:spacing w:before="40" w:after="120" w:line="220" w:lineRule="exact"/>
              <w:ind w:right="113"/>
              <w:rPr>
                <w:lang w:eastAsia="zh-CN"/>
              </w:rPr>
            </w:pPr>
          </w:p>
        </w:tc>
        <w:tc>
          <w:tcPr>
            <w:tcW w:w="897" w:type="dxa"/>
            <w:tcBorders>
              <w:top w:val="nil"/>
              <w:bottom w:val="nil"/>
            </w:tcBorders>
            <w:shd w:val="clear" w:color="auto" w:fill="auto"/>
          </w:tcPr>
          <w:p w14:paraId="4664AC5A" w14:textId="77777777" w:rsidR="00966B02" w:rsidRPr="00736060" w:rsidRDefault="00966B02" w:rsidP="00736060">
            <w:pPr>
              <w:suppressAutoHyphens w:val="0"/>
              <w:spacing w:before="40" w:after="120" w:line="220" w:lineRule="exact"/>
              <w:ind w:right="113"/>
              <w:rPr>
                <w:b/>
                <w:lang w:eastAsia="zh-CN"/>
              </w:rPr>
            </w:pPr>
            <w:r w:rsidRPr="00736060">
              <w:rPr>
                <w:b/>
                <w:lang w:eastAsia="zh-CN"/>
              </w:rPr>
              <w:t>Annex VI §10</w:t>
            </w:r>
          </w:p>
        </w:tc>
        <w:tc>
          <w:tcPr>
            <w:tcW w:w="4400" w:type="dxa"/>
            <w:tcBorders>
              <w:top w:val="nil"/>
              <w:bottom w:val="nil"/>
            </w:tcBorders>
            <w:shd w:val="clear" w:color="auto" w:fill="auto"/>
          </w:tcPr>
          <w:p w14:paraId="1F34CA38" w14:textId="2632DB28" w:rsidR="00966B02" w:rsidRPr="00736060" w:rsidRDefault="00966B02" w:rsidP="00736060">
            <w:pPr>
              <w:suppressAutoHyphens w:val="0"/>
              <w:spacing w:before="40" w:after="120" w:line="220" w:lineRule="exact"/>
              <w:ind w:right="113"/>
              <w:rPr>
                <w:lang w:eastAsia="zh-CN"/>
              </w:rPr>
            </w:pPr>
            <w:r w:rsidRPr="00736060">
              <w:rPr>
                <w:lang w:eastAsia="zh-CN"/>
              </w:rPr>
              <w:t>The classification society's management shall define and document its policy and objectives for, and commitment to, quality and ensured that this policy is understood, implemented and maintained at all levels in the classification society</w:t>
            </w:r>
          </w:p>
        </w:tc>
        <w:tc>
          <w:tcPr>
            <w:tcW w:w="1580" w:type="dxa"/>
            <w:tcBorders>
              <w:top w:val="nil"/>
              <w:bottom w:val="nil"/>
            </w:tcBorders>
            <w:shd w:val="clear" w:color="auto" w:fill="auto"/>
          </w:tcPr>
          <w:p w14:paraId="473E91CC" w14:textId="77777777" w:rsidR="00966B02" w:rsidRPr="00736060" w:rsidRDefault="00966B02" w:rsidP="00736060">
            <w:pPr>
              <w:suppressAutoHyphens w:val="0"/>
              <w:spacing w:before="40" w:after="120" w:line="220" w:lineRule="exact"/>
              <w:ind w:right="113"/>
              <w:rPr>
                <w:lang w:eastAsia="zh-CN"/>
              </w:rPr>
            </w:pPr>
            <w:r w:rsidRPr="00736060">
              <w:rPr>
                <w:lang w:eastAsia="zh-CN"/>
              </w:rPr>
              <w:t>Very close to the general requirement of the ISO 9001 Standard</w:t>
            </w:r>
          </w:p>
        </w:tc>
      </w:tr>
      <w:tr w:rsidR="00B520CE" w:rsidRPr="00736060" w14:paraId="4239B600" w14:textId="77777777" w:rsidTr="00935320">
        <w:trPr>
          <w:cantSplit/>
        </w:trPr>
        <w:tc>
          <w:tcPr>
            <w:tcW w:w="851" w:type="dxa"/>
            <w:tcBorders>
              <w:top w:val="nil"/>
              <w:bottom w:val="nil"/>
            </w:tcBorders>
            <w:shd w:val="clear" w:color="auto" w:fill="auto"/>
          </w:tcPr>
          <w:p w14:paraId="5F60E855" w14:textId="5E04C030" w:rsidR="00B520CE" w:rsidRPr="00736060" w:rsidRDefault="00B520CE" w:rsidP="00B520CE">
            <w:pPr>
              <w:suppressAutoHyphens w:val="0"/>
              <w:spacing w:before="40" w:after="120" w:line="220" w:lineRule="exact"/>
              <w:ind w:right="113"/>
              <w:rPr>
                <w:b/>
                <w:lang w:eastAsia="zh-CN"/>
              </w:rPr>
            </w:pPr>
            <w:r w:rsidRPr="00736060">
              <w:rPr>
                <w:b/>
                <w:lang w:eastAsia="zh-CN"/>
              </w:rPr>
              <w:t>1.15.3.8</w:t>
            </w:r>
          </w:p>
        </w:tc>
        <w:tc>
          <w:tcPr>
            <w:tcW w:w="4631" w:type="dxa"/>
            <w:tcBorders>
              <w:top w:val="nil"/>
              <w:bottom w:val="nil"/>
            </w:tcBorders>
            <w:shd w:val="clear" w:color="auto" w:fill="auto"/>
          </w:tcPr>
          <w:p w14:paraId="23BDF067" w14:textId="774DE3C6" w:rsidR="00B520CE" w:rsidRPr="00736060" w:rsidRDefault="00B520CE" w:rsidP="00B520CE">
            <w:pPr>
              <w:suppressAutoHyphens w:val="0"/>
              <w:spacing w:before="40" w:after="120" w:line="220" w:lineRule="exact"/>
              <w:ind w:right="113"/>
              <w:rPr>
                <w:lang w:eastAsia="zh-CN"/>
              </w:rPr>
            </w:pPr>
            <w:r w:rsidRPr="00736060">
              <w:rPr>
                <w:lang w:eastAsia="zh-CN"/>
              </w:rPr>
              <w:t>The classification society shall have prepared and implemented and shall maintain an effective system of internal quality based on the relevant aspects of internationally recognized quality standards and conforming to the standards EN ISO/IEC 17020:2012 (except clause 8.1.3) (inspection bodies) and ISO 9001 or EN ISO 9001:2015. The classification society is subject to certification of its quality system by an independent body of auditors recognized by the administration of the State in which it is located.</w:t>
            </w:r>
          </w:p>
        </w:tc>
        <w:tc>
          <w:tcPr>
            <w:tcW w:w="897" w:type="dxa"/>
            <w:tcBorders>
              <w:top w:val="nil"/>
              <w:bottom w:val="nil"/>
            </w:tcBorders>
            <w:shd w:val="clear" w:color="auto" w:fill="auto"/>
          </w:tcPr>
          <w:p w14:paraId="48BC6BFF" w14:textId="0783FE2B" w:rsidR="00B520CE" w:rsidRPr="00736060" w:rsidRDefault="00B520CE" w:rsidP="00B520CE">
            <w:pPr>
              <w:suppressAutoHyphens w:val="0"/>
              <w:spacing w:before="40" w:after="120" w:line="220" w:lineRule="exact"/>
              <w:ind w:right="113"/>
              <w:rPr>
                <w:b/>
                <w:lang w:eastAsia="zh-CN"/>
              </w:rPr>
            </w:pPr>
            <w:r w:rsidRPr="00736060">
              <w:rPr>
                <w:b/>
                <w:lang w:eastAsia="zh-CN"/>
              </w:rPr>
              <w:t>Annex VI §11</w:t>
            </w:r>
          </w:p>
        </w:tc>
        <w:tc>
          <w:tcPr>
            <w:tcW w:w="4400" w:type="dxa"/>
            <w:tcBorders>
              <w:top w:val="nil"/>
              <w:bottom w:val="nil"/>
            </w:tcBorders>
            <w:shd w:val="clear" w:color="auto" w:fill="auto"/>
          </w:tcPr>
          <w:p w14:paraId="7F87E189" w14:textId="457FF61C" w:rsidR="00B520CE" w:rsidRPr="00736060" w:rsidRDefault="00B520CE" w:rsidP="00B520CE">
            <w:pPr>
              <w:suppressAutoHyphens w:val="0"/>
              <w:spacing w:before="40" w:after="120" w:line="220" w:lineRule="exact"/>
              <w:ind w:right="113"/>
              <w:rPr>
                <w:lang w:eastAsia="zh-CN"/>
              </w:rPr>
            </w:pPr>
            <w:r w:rsidRPr="00736060">
              <w:rPr>
                <w:lang w:eastAsia="zh-CN"/>
              </w:rPr>
              <w:t>The classification society shall prepare and implement and shall maintain an effective internal quality system based on the relevant parts of internationally recognised quality standards and complying with the EN ISO/IEC 17020:2004, as interpreted by the IACS quality system certification scheme requirements. The quality system must be certified by an independent body of auditors recognised by the administration of the State in which the classification society has its headquarters or branch, as provided for in point (4), and which, inter alia, ensures that:</w:t>
            </w:r>
          </w:p>
        </w:tc>
        <w:tc>
          <w:tcPr>
            <w:tcW w:w="1580" w:type="dxa"/>
            <w:tcBorders>
              <w:top w:val="nil"/>
              <w:bottom w:val="nil"/>
            </w:tcBorders>
            <w:shd w:val="clear" w:color="auto" w:fill="auto"/>
          </w:tcPr>
          <w:p w14:paraId="1AE4450D" w14:textId="578C1722" w:rsidR="00B520CE" w:rsidRPr="00736060" w:rsidRDefault="00B520CE" w:rsidP="00B520CE">
            <w:pPr>
              <w:suppressAutoHyphens w:val="0"/>
              <w:spacing w:before="40" w:after="120" w:line="220" w:lineRule="exact"/>
              <w:ind w:right="113"/>
              <w:rPr>
                <w:lang w:eastAsia="zh-CN"/>
              </w:rPr>
            </w:pPr>
            <w:r w:rsidRPr="00736060">
              <w:rPr>
                <w:lang w:eastAsia="zh-CN"/>
              </w:rPr>
              <w:t>Criteria (a) to (j) in the Directive cover 8.1.1, 8.1.2 and 8.2 to 8.6 of the ISO 17020 Standard</w:t>
            </w:r>
          </w:p>
        </w:tc>
      </w:tr>
      <w:tr w:rsidR="00935320" w:rsidRPr="00736060" w14:paraId="6B4A6AEF" w14:textId="77777777" w:rsidTr="00935320">
        <w:trPr>
          <w:cantSplit/>
        </w:trPr>
        <w:tc>
          <w:tcPr>
            <w:tcW w:w="851" w:type="dxa"/>
            <w:vMerge w:val="restart"/>
            <w:tcBorders>
              <w:top w:val="nil"/>
              <w:bottom w:val="nil"/>
            </w:tcBorders>
            <w:shd w:val="clear" w:color="auto" w:fill="auto"/>
          </w:tcPr>
          <w:p w14:paraId="3B8499C5" w14:textId="367FC5E0" w:rsidR="00B520CE" w:rsidRPr="00736060" w:rsidRDefault="00B520CE" w:rsidP="00B520CE">
            <w:pPr>
              <w:suppressAutoHyphens w:val="0"/>
              <w:spacing w:before="40" w:after="120" w:line="220" w:lineRule="exact"/>
              <w:ind w:right="113"/>
              <w:rPr>
                <w:b/>
                <w:lang w:eastAsia="zh-CN"/>
              </w:rPr>
            </w:pPr>
          </w:p>
        </w:tc>
        <w:tc>
          <w:tcPr>
            <w:tcW w:w="4631" w:type="dxa"/>
            <w:vMerge w:val="restart"/>
            <w:tcBorders>
              <w:top w:val="nil"/>
              <w:bottom w:val="nil"/>
            </w:tcBorders>
            <w:shd w:val="clear" w:color="auto" w:fill="auto"/>
          </w:tcPr>
          <w:p w14:paraId="5238967B" w14:textId="2D80851F" w:rsidR="00B520CE" w:rsidRPr="00736060" w:rsidRDefault="00B520CE" w:rsidP="00B520CE">
            <w:pPr>
              <w:suppressAutoHyphens w:val="0"/>
              <w:spacing w:before="40" w:after="120" w:line="220" w:lineRule="exact"/>
              <w:ind w:right="113"/>
              <w:rPr>
                <w:i/>
                <w:lang w:eastAsia="zh-CN"/>
              </w:rPr>
            </w:pPr>
          </w:p>
        </w:tc>
        <w:tc>
          <w:tcPr>
            <w:tcW w:w="897" w:type="dxa"/>
            <w:tcBorders>
              <w:top w:val="nil"/>
              <w:bottom w:val="nil"/>
            </w:tcBorders>
            <w:shd w:val="clear" w:color="auto" w:fill="auto"/>
          </w:tcPr>
          <w:p w14:paraId="5FF1BF2E" w14:textId="59E6D4F1" w:rsidR="00B520CE" w:rsidRPr="00736060" w:rsidRDefault="00B520CE" w:rsidP="00B520CE">
            <w:pPr>
              <w:suppressAutoHyphens w:val="0"/>
              <w:spacing w:before="40" w:after="120" w:line="220" w:lineRule="exact"/>
              <w:ind w:right="113"/>
              <w:rPr>
                <w:b/>
                <w:lang w:eastAsia="zh-CN"/>
              </w:rPr>
            </w:pPr>
          </w:p>
        </w:tc>
        <w:tc>
          <w:tcPr>
            <w:tcW w:w="4400" w:type="dxa"/>
            <w:tcBorders>
              <w:top w:val="nil"/>
              <w:bottom w:val="nil"/>
            </w:tcBorders>
            <w:shd w:val="clear" w:color="auto" w:fill="auto"/>
          </w:tcPr>
          <w:p w14:paraId="2F3FD0CD" w14:textId="448689CA" w:rsidR="00B520CE" w:rsidRPr="00736060" w:rsidRDefault="00B520CE" w:rsidP="00B520CE">
            <w:pPr>
              <w:tabs>
                <w:tab w:val="left" w:pos="286"/>
              </w:tabs>
              <w:suppressAutoHyphens w:val="0"/>
              <w:spacing w:before="40" w:after="120" w:line="220" w:lineRule="exact"/>
              <w:ind w:right="113"/>
              <w:rPr>
                <w:lang w:eastAsia="zh-CN"/>
              </w:rPr>
            </w:pPr>
            <w:r>
              <w:rPr>
                <w:lang w:eastAsia="zh-CN"/>
              </w:rPr>
              <w:tab/>
            </w:r>
            <w:r w:rsidRPr="00736060">
              <w:rPr>
                <w:lang w:eastAsia="zh-CN"/>
              </w:rPr>
              <w:t xml:space="preserve">(a) the classification society's rules and regulations are established and maintained in a systematic manner; </w:t>
            </w:r>
          </w:p>
          <w:p w14:paraId="3E3A1859" w14:textId="2564406A" w:rsidR="00B520CE" w:rsidRPr="00736060" w:rsidRDefault="00B520CE" w:rsidP="00B520CE">
            <w:pPr>
              <w:tabs>
                <w:tab w:val="left" w:pos="286"/>
              </w:tabs>
              <w:suppressAutoHyphens w:val="0"/>
              <w:spacing w:before="40" w:after="120" w:line="220" w:lineRule="exact"/>
              <w:ind w:right="113"/>
              <w:rPr>
                <w:lang w:eastAsia="zh-CN"/>
              </w:rPr>
            </w:pPr>
            <w:r>
              <w:rPr>
                <w:lang w:eastAsia="zh-CN"/>
              </w:rPr>
              <w:tab/>
            </w:r>
            <w:r w:rsidRPr="00736060">
              <w:rPr>
                <w:lang w:eastAsia="zh-CN"/>
              </w:rPr>
              <w:t xml:space="preserve">(b) the classification society's rules and regulations are complied with; </w:t>
            </w:r>
          </w:p>
          <w:p w14:paraId="55C4D9EF" w14:textId="1207EBA4" w:rsidR="00B520CE" w:rsidRPr="00736060" w:rsidRDefault="00B520CE" w:rsidP="00B520CE">
            <w:pPr>
              <w:tabs>
                <w:tab w:val="left" w:pos="286"/>
              </w:tabs>
              <w:suppressAutoHyphens w:val="0"/>
              <w:spacing w:before="40" w:after="120" w:line="220" w:lineRule="exact"/>
              <w:ind w:right="113"/>
              <w:rPr>
                <w:lang w:eastAsia="zh-CN"/>
              </w:rPr>
            </w:pPr>
            <w:r>
              <w:rPr>
                <w:lang w:eastAsia="zh-CN"/>
              </w:rPr>
              <w:tab/>
            </w:r>
            <w:r w:rsidRPr="00736060">
              <w:rPr>
                <w:lang w:eastAsia="zh-CN"/>
              </w:rPr>
              <w:t xml:space="preserve">(c) the requirements of the statutory work for which the classification society is authorised are satisfied; </w:t>
            </w:r>
          </w:p>
          <w:p w14:paraId="7BE98A3A" w14:textId="54E7BC58" w:rsidR="00B520CE" w:rsidRPr="00736060" w:rsidRDefault="00B520CE" w:rsidP="00B520CE">
            <w:pPr>
              <w:tabs>
                <w:tab w:val="left" w:pos="286"/>
              </w:tabs>
              <w:suppressAutoHyphens w:val="0"/>
              <w:spacing w:before="40" w:after="120" w:line="220" w:lineRule="exact"/>
              <w:ind w:right="113"/>
              <w:rPr>
                <w:lang w:eastAsia="zh-CN"/>
              </w:rPr>
            </w:pPr>
            <w:r>
              <w:rPr>
                <w:lang w:eastAsia="zh-CN"/>
              </w:rPr>
              <w:tab/>
            </w:r>
            <w:r w:rsidRPr="00736060">
              <w:rPr>
                <w:lang w:eastAsia="zh-CN"/>
              </w:rPr>
              <w:t xml:space="preserve">(d) the responsibilities, powers and interrelation of personnel whose work affects the quality of the classification society's services are defined and documented; </w:t>
            </w:r>
          </w:p>
          <w:p w14:paraId="4968BC32" w14:textId="1FF081E2" w:rsidR="00B520CE" w:rsidRPr="00736060" w:rsidRDefault="00B520CE" w:rsidP="00B520CE">
            <w:pPr>
              <w:tabs>
                <w:tab w:val="left" w:pos="286"/>
              </w:tabs>
              <w:suppressAutoHyphens w:val="0"/>
              <w:spacing w:before="40" w:after="120" w:line="220" w:lineRule="exact"/>
              <w:ind w:right="113"/>
              <w:rPr>
                <w:lang w:eastAsia="zh-CN"/>
              </w:rPr>
            </w:pPr>
            <w:r>
              <w:rPr>
                <w:lang w:eastAsia="zh-CN"/>
              </w:rPr>
              <w:tab/>
            </w:r>
            <w:r w:rsidRPr="00736060">
              <w:rPr>
                <w:lang w:eastAsia="zh-CN"/>
              </w:rPr>
              <w:t xml:space="preserve">(e) all work is carried out under controlled conditions; </w:t>
            </w:r>
          </w:p>
          <w:p w14:paraId="52089E02" w14:textId="68B371B9" w:rsidR="00B520CE" w:rsidRPr="00736060" w:rsidRDefault="00B520CE" w:rsidP="00B520CE">
            <w:pPr>
              <w:tabs>
                <w:tab w:val="left" w:pos="286"/>
              </w:tabs>
              <w:suppressAutoHyphens w:val="0"/>
              <w:spacing w:before="40" w:after="120" w:line="220" w:lineRule="exact"/>
              <w:ind w:right="113"/>
              <w:rPr>
                <w:lang w:eastAsia="zh-CN"/>
              </w:rPr>
            </w:pPr>
            <w:r>
              <w:rPr>
                <w:lang w:eastAsia="zh-CN"/>
              </w:rPr>
              <w:tab/>
            </w:r>
            <w:r w:rsidRPr="00736060">
              <w:rPr>
                <w:lang w:eastAsia="zh-CN"/>
              </w:rPr>
              <w:t xml:space="preserve">(f) a supervisory system is in place which monitors the actions and work carried out by surveyors and technical and administrative staff employed directly by the classification society; </w:t>
            </w:r>
          </w:p>
          <w:p w14:paraId="2FA29662" w14:textId="471EB001" w:rsidR="00B520CE" w:rsidRPr="00736060" w:rsidRDefault="00B520CE" w:rsidP="00B520CE">
            <w:pPr>
              <w:tabs>
                <w:tab w:val="left" w:pos="286"/>
              </w:tabs>
              <w:suppressAutoHyphens w:val="0"/>
              <w:spacing w:before="40" w:after="120" w:line="220" w:lineRule="exact"/>
              <w:ind w:right="113"/>
              <w:rPr>
                <w:lang w:eastAsia="zh-CN"/>
              </w:rPr>
            </w:pPr>
            <w:r>
              <w:rPr>
                <w:lang w:eastAsia="zh-CN"/>
              </w:rPr>
              <w:tab/>
            </w:r>
            <w:r w:rsidRPr="00736060">
              <w:rPr>
                <w:lang w:eastAsia="zh-CN"/>
              </w:rPr>
              <w:t xml:space="preserve">(g) the requirements of major statutory work for which the classification society is authorised are only carried out or directly supervised by its exclusive surveyors or by exclusive surveyors of other recognised classification societies; </w:t>
            </w:r>
          </w:p>
          <w:p w14:paraId="0B6FF769" w14:textId="7F53027B" w:rsidR="00B520CE" w:rsidRPr="00736060" w:rsidRDefault="00B520CE" w:rsidP="00B520CE">
            <w:pPr>
              <w:tabs>
                <w:tab w:val="left" w:pos="286"/>
              </w:tabs>
              <w:suppressAutoHyphens w:val="0"/>
              <w:spacing w:before="40" w:after="120" w:line="220" w:lineRule="exact"/>
              <w:ind w:right="113"/>
              <w:rPr>
                <w:lang w:eastAsia="zh-CN"/>
              </w:rPr>
            </w:pPr>
            <w:r>
              <w:rPr>
                <w:lang w:eastAsia="zh-CN"/>
              </w:rPr>
              <w:tab/>
            </w:r>
            <w:r w:rsidRPr="00736060">
              <w:rPr>
                <w:lang w:eastAsia="zh-CN"/>
              </w:rPr>
              <w:t xml:space="preserve">(h) a system for qualification of surveyors and continuous updating of their knowledge is implemented; </w:t>
            </w:r>
          </w:p>
          <w:p w14:paraId="61732766" w14:textId="2E932D02" w:rsidR="00B520CE" w:rsidRPr="00736060" w:rsidRDefault="00B520CE" w:rsidP="00B520CE">
            <w:pPr>
              <w:tabs>
                <w:tab w:val="left" w:pos="286"/>
              </w:tabs>
              <w:suppressAutoHyphens w:val="0"/>
              <w:spacing w:before="40" w:after="120" w:line="220" w:lineRule="exact"/>
              <w:ind w:right="113"/>
              <w:rPr>
                <w:lang w:eastAsia="zh-CN"/>
              </w:rPr>
            </w:pPr>
            <w:r>
              <w:rPr>
                <w:lang w:eastAsia="zh-CN"/>
              </w:rPr>
              <w:tab/>
            </w:r>
            <w:r w:rsidRPr="00736060">
              <w:rPr>
                <w:lang w:eastAsia="zh-CN"/>
              </w:rPr>
              <w:t>(</w:t>
            </w:r>
            <w:proofErr w:type="spellStart"/>
            <w:r w:rsidRPr="00736060">
              <w:rPr>
                <w:lang w:eastAsia="zh-CN"/>
              </w:rPr>
              <w:t>i</w:t>
            </w:r>
            <w:proofErr w:type="spellEnd"/>
            <w:r w:rsidRPr="00736060">
              <w:rPr>
                <w:lang w:eastAsia="zh-CN"/>
              </w:rPr>
              <w:t xml:space="preserve">) records are maintained, demonstrating achievement of the required standards in the items covered by the services performed, as well as the effective operation of the quality system; and </w:t>
            </w:r>
          </w:p>
          <w:p w14:paraId="19BB4CFF" w14:textId="7E1FEBE3" w:rsidR="00B520CE" w:rsidRPr="00736060" w:rsidRDefault="002D0239" w:rsidP="00B520CE">
            <w:pPr>
              <w:tabs>
                <w:tab w:val="left" w:pos="286"/>
              </w:tabs>
              <w:suppressAutoHyphens w:val="0"/>
              <w:spacing w:before="40" w:after="120" w:line="220" w:lineRule="exact"/>
              <w:ind w:right="113"/>
              <w:rPr>
                <w:lang w:eastAsia="zh-CN"/>
              </w:rPr>
            </w:pPr>
            <w:r>
              <w:rPr>
                <w:lang w:eastAsia="zh-CN"/>
              </w:rPr>
              <w:tab/>
            </w:r>
            <w:r w:rsidR="00B520CE" w:rsidRPr="00736060">
              <w:rPr>
                <w:lang w:eastAsia="zh-CN"/>
              </w:rPr>
              <w:t>(j) a comprehensive system of planned and documented internal audits of quality-related activities exists in all locations.</w:t>
            </w:r>
          </w:p>
        </w:tc>
        <w:tc>
          <w:tcPr>
            <w:tcW w:w="1580" w:type="dxa"/>
            <w:tcBorders>
              <w:top w:val="nil"/>
              <w:bottom w:val="nil"/>
            </w:tcBorders>
            <w:shd w:val="clear" w:color="auto" w:fill="auto"/>
          </w:tcPr>
          <w:p w14:paraId="73DBE6A3" w14:textId="77777777" w:rsidR="00B520CE" w:rsidRPr="00736060" w:rsidRDefault="00B520CE" w:rsidP="00B520CE">
            <w:pPr>
              <w:suppressAutoHyphens w:val="0"/>
              <w:spacing w:before="40" w:after="120" w:line="220" w:lineRule="exact"/>
              <w:ind w:right="113"/>
              <w:rPr>
                <w:lang w:eastAsia="zh-CN"/>
              </w:rPr>
            </w:pPr>
            <w:r w:rsidRPr="00736060">
              <w:rPr>
                <w:lang w:eastAsia="zh-CN"/>
              </w:rPr>
              <w:t xml:space="preserve">The main apparent difference between the two texts deals with the State into which the independent body of auditors has to be attached: </w:t>
            </w:r>
          </w:p>
          <w:p w14:paraId="562BF13A" w14:textId="5349ABC5" w:rsidR="00B520CE" w:rsidRPr="00736060" w:rsidRDefault="00B520CE" w:rsidP="00935320">
            <w:pPr>
              <w:pStyle w:val="Bullet1G"/>
              <w:ind w:left="170" w:right="0"/>
              <w:jc w:val="left"/>
              <w:rPr>
                <w:lang w:eastAsia="zh-CN"/>
              </w:rPr>
            </w:pPr>
            <w:r w:rsidRPr="00736060">
              <w:rPr>
                <w:lang w:eastAsia="zh-CN"/>
              </w:rPr>
              <w:t>In the State where the body of auditors is located according to the French version of ADN (and ambiguous in the English version)</w:t>
            </w:r>
          </w:p>
          <w:p w14:paraId="6ED21B34" w14:textId="672A8517" w:rsidR="00B520CE" w:rsidRPr="00736060" w:rsidRDefault="00B520CE" w:rsidP="00935320">
            <w:pPr>
              <w:pStyle w:val="Bullet1G"/>
              <w:ind w:left="170" w:right="0"/>
              <w:jc w:val="left"/>
              <w:rPr>
                <w:lang w:eastAsia="zh-CN"/>
              </w:rPr>
            </w:pPr>
            <w:r w:rsidRPr="00736060">
              <w:rPr>
                <w:lang w:eastAsia="zh-CN"/>
              </w:rPr>
              <w:t>In the State where the classification society is located according to the Directive</w:t>
            </w:r>
          </w:p>
          <w:p w14:paraId="552443D0" w14:textId="22C8B514" w:rsidR="00B520CE" w:rsidRPr="00736060" w:rsidRDefault="00B520CE" w:rsidP="007251C3">
            <w:pPr>
              <w:suppressAutoHyphens w:val="0"/>
              <w:spacing w:before="40" w:after="120" w:line="220" w:lineRule="exact"/>
              <w:ind w:right="113"/>
              <w:rPr>
                <w:lang w:eastAsia="zh-CN"/>
              </w:rPr>
            </w:pPr>
            <w:r w:rsidRPr="00736060">
              <w:rPr>
                <w:lang w:eastAsia="zh-CN"/>
              </w:rPr>
              <w:t>The text of the Directive is clearer and seems to be more consistent than</w:t>
            </w:r>
            <w:r w:rsidR="00EA7CEB">
              <w:rPr>
                <w:lang w:eastAsia="zh-CN"/>
              </w:rPr>
              <w:t xml:space="preserve"> </w:t>
            </w:r>
            <w:r w:rsidRPr="00736060">
              <w:rPr>
                <w:lang w:eastAsia="zh-CN"/>
              </w:rPr>
              <w:t>the French text of ADN</w:t>
            </w:r>
          </w:p>
        </w:tc>
      </w:tr>
      <w:tr w:rsidR="00B520CE" w:rsidRPr="00736060" w14:paraId="48F3300D" w14:textId="77777777" w:rsidTr="00935320">
        <w:trPr>
          <w:cantSplit/>
        </w:trPr>
        <w:tc>
          <w:tcPr>
            <w:tcW w:w="851" w:type="dxa"/>
            <w:vMerge/>
            <w:tcBorders>
              <w:top w:val="nil"/>
              <w:bottom w:val="nil"/>
            </w:tcBorders>
            <w:shd w:val="clear" w:color="auto" w:fill="auto"/>
          </w:tcPr>
          <w:p w14:paraId="20F55401" w14:textId="77777777" w:rsidR="00B520CE" w:rsidRPr="00736060" w:rsidRDefault="00B520CE" w:rsidP="00B520CE">
            <w:pPr>
              <w:suppressAutoHyphens w:val="0"/>
              <w:spacing w:before="40" w:after="120" w:line="220" w:lineRule="exact"/>
              <w:ind w:right="113"/>
              <w:rPr>
                <w:b/>
                <w:lang w:eastAsia="zh-CN"/>
              </w:rPr>
            </w:pPr>
          </w:p>
        </w:tc>
        <w:tc>
          <w:tcPr>
            <w:tcW w:w="4631" w:type="dxa"/>
            <w:vMerge/>
            <w:tcBorders>
              <w:top w:val="nil"/>
              <w:bottom w:val="nil"/>
            </w:tcBorders>
            <w:shd w:val="clear" w:color="auto" w:fill="auto"/>
          </w:tcPr>
          <w:p w14:paraId="7EA46388" w14:textId="77777777" w:rsidR="00B520CE" w:rsidRPr="00736060" w:rsidRDefault="00B520CE" w:rsidP="00B520CE">
            <w:pPr>
              <w:suppressAutoHyphens w:val="0"/>
              <w:spacing w:before="40" w:after="120" w:line="220" w:lineRule="exact"/>
              <w:ind w:right="113"/>
              <w:rPr>
                <w:lang w:eastAsia="zh-CN"/>
              </w:rPr>
            </w:pPr>
          </w:p>
        </w:tc>
        <w:tc>
          <w:tcPr>
            <w:tcW w:w="897" w:type="dxa"/>
            <w:tcBorders>
              <w:top w:val="nil"/>
            </w:tcBorders>
            <w:shd w:val="clear" w:color="auto" w:fill="auto"/>
          </w:tcPr>
          <w:p w14:paraId="038B48F4" w14:textId="77777777" w:rsidR="00B520CE" w:rsidRPr="00736060" w:rsidRDefault="00B520CE" w:rsidP="00B520CE">
            <w:pPr>
              <w:suppressAutoHyphens w:val="0"/>
              <w:spacing w:before="40" w:after="120" w:line="220" w:lineRule="exact"/>
              <w:ind w:right="113"/>
              <w:rPr>
                <w:b/>
                <w:lang w:eastAsia="zh-CN"/>
              </w:rPr>
            </w:pPr>
            <w:r w:rsidRPr="00736060">
              <w:rPr>
                <w:b/>
                <w:lang w:eastAsia="zh-CN"/>
              </w:rPr>
              <w:t>Annex VI §12</w:t>
            </w:r>
          </w:p>
        </w:tc>
        <w:tc>
          <w:tcPr>
            <w:tcW w:w="4400" w:type="dxa"/>
            <w:tcBorders>
              <w:top w:val="nil"/>
            </w:tcBorders>
            <w:shd w:val="clear" w:color="auto" w:fill="auto"/>
          </w:tcPr>
          <w:p w14:paraId="117A6587" w14:textId="080E455C" w:rsidR="00B520CE" w:rsidRPr="00736060" w:rsidRDefault="00B520CE" w:rsidP="00B520CE">
            <w:pPr>
              <w:suppressAutoHyphens w:val="0"/>
              <w:spacing w:before="40" w:after="120" w:line="220" w:lineRule="exact"/>
              <w:ind w:right="113"/>
              <w:rPr>
                <w:lang w:eastAsia="zh-CN"/>
              </w:rPr>
            </w:pPr>
            <w:r w:rsidRPr="00736060">
              <w:rPr>
                <w:lang w:eastAsia="zh-CN"/>
              </w:rPr>
              <w:t>The quality system must be certified by an independent body of auditors recognised by the administration of the Member State in which the classification society has its headquarters or branch, as provided for in point 4</w:t>
            </w:r>
          </w:p>
        </w:tc>
        <w:tc>
          <w:tcPr>
            <w:tcW w:w="1580" w:type="dxa"/>
            <w:tcBorders>
              <w:top w:val="nil"/>
            </w:tcBorders>
            <w:shd w:val="clear" w:color="auto" w:fill="auto"/>
          </w:tcPr>
          <w:p w14:paraId="1F9597F4" w14:textId="77777777" w:rsidR="00B520CE" w:rsidRPr="00736060" w:rsidRDefault="00B520CE" w:rsidP="00B520CE">
            <w:pPr>
              <w:suppressAutoHyphens w:val="0"/>
              <w:spacing w:before="40" w:after="120" w:line="220" w:lineRule="exact"/>
              <w:ind w:right="113"/>
              <w:rPr>
                <w:lang w:eastAsia="zh-CN"/>
              </w:rPr>
            </w:pPr>
            <w:r w:rsidRPr="00736060">
              <w:rPr>
                <w:lang w:eastAsia="zh-CN"/>
              </w:rPr>
              <w:t>Seems to be a double-use with Annex VI §11</w:t>
            </w:r>
          </w:p>
        </w:tc>
      </w:tr>
      <w:tr w:rsidR="00B520CE" w:rsidRPr="00736060" w14:paraId="1D13E996" w14:textId="77777777" w:rsidTr="00935320">
        <w:trPr>
          <w:cantSplit/>
        </w:trPr>
        <w:tc>
          <w:tcPr>
            <w:tcW w:w="5482" w:type="dxa"/>
            <w:gridSpan w:val="2"/>
            <w:tcBorders>
              <w:top w:val="nil"/>
            </w:tcBorders>
            <w:shd w:val="clear" w:color="auto" w:fill="auto"/>
          </w:tcPr>
          <w:p w14:paraId="34873658" w14:textId="77777777" w:rsidR="00B520CE" w:rsidRPr="00736060" w:rsidRDefault="00B520CE" w:rsidP="00B520CE">
            <w:pPr>
              <w:suppressAutoHyphens w:val="0"/>
              <w:spacing w:before="40" w:after="120" w:line="220" w:lineRule="exact"/>
              <w:ind w:right="113"/>
              <w:rPr>
                <w:lang w:eastAsia="zh-CN"/>
              </w:rPr>
            </w:pPr>
            <w:r w:rsidRPr="00736060">
              <w:rPr>
                <w:b/>
                <w:bCs/>
                <w:lang w:eastAsia="zh-CN"/>
              </w:rPr>
              <w:t>1.15.4 Obligations of recommended classification societies</w:t>
            </w:r>
          </w:p>
        </w:tc>
        <w:tc>
          <w:tcPr>
            <w:tcW w:w="5297" w:type="dxa"/>
            <w:gridSpan w:val="2"/>
            <w:shd w:val="clear" w:color="auto" w:fill="auto"/>
          </w:tcPr>
          <w:p w14:paraId="423C9CB8" w14:textId="77777777" w:rsidR="00B520CE" w:rsidRPr="00736060" w:rsidRDefault="00B520CE" w:rsidP="00B520CE">
            <w:pPr>
              <w:suppressAutoHyphens w:val="0"/>
              <w:spacing w:before="40" w:after="120" w:line="220" w:lineRule="exact"/>
              <w:ind w:right="113"/>
              <w:rPr>
                <w:lang w:eastAsia="zh-CN"/>
              </w:rPr>
            </w:pPr>
          </w:p>
        </w:tc>
        <w:tc>
          <w:tcPr>
            <w:tcW w:w="1580" w:type="dxa"/>
            <w:shd w:val="clear" w:color="auto" w:fill="auto"/>
          </w:tcPr>
          <w:p w14:paraId="2A551503" w14:textId="77777777" w:rsidR="00B520CE" w:rsidRPr="00736060" w:rsidRDefault="00B520CE" w:rsidP="00B520CE">
            <w:pPr>
              <w:suppressAutoHyphens w:val="0"/>
              <w:spacing w:before="40" w:after="120" w:line="220" w:lineRule="exact"/>
              <w:ind w:right="113"/>
              <w:rPr>
                <w:lang w:eastAsia="zh-CN"/>
              </w:rPr>
            </w:pPr>
          </w:p>
        </w:tc>
      </w:tr>
      <w:tr w:rsidR="00B520CE" w:rsidRPr="00736060" w14:paraId="160BFB67" w14:textId="77777777" w:rsidTr="00747817">
        <w:trPr>
          <w:cantSplit/>
        </w:trPr>
        <w:tc>
          <w:tcPr>
            <w:tcW w:w="851" w:type="dxa"/>
            <w:shd w:val="clear" w:color="auto" w:fill="auto"/>
          </w:tcPr>
          <w:p w14:paraId="1FF4DCA3" w14:textId="77777777" w:rsidR="00B520CE" w:rsidRPr="00736060" w:rsidRDefault="00B520CE" w:rsidP="00B520CE">
            <w:pPr>
              <w:suppressAutoHyphens w:val="0"/>
              <w:spacing w:before="40" w:after="120" w:line="220" w:lineRule="exact"/>
              <w:ind w:right="113"/>
              <w:rPr>
                <w:b/>
                <w:lang w:eastAsia="zh-CN"/>
              </w:rPr>
            </w:pPr>
            <w:r w:rsidRPr="00736060">
              <w:rPr>
                <w:b/>
                <w:lang w:eastAsia="zh-CN"/>
              </w:rPr>
              <w:t>1.15.4.1</w:t>
            </w:r>
          </w:p>
        </w:tc>
        <w:tc>
          <w:tcPr>
            <w:tcW w:w="4631" w:type="dxa"/>
            <w:shd w:val="clear" w:color="auto" w:fill="auto"/>
          </w:tcPr>
          <w:p w14:paraId="0FC11516" w14:textId="77777777" w:rsidR="00B520CE" w:rsidRPr="00736060" w:rsidRDefault="00B520CE" w:rsidP="00B520CE">
            <w:pPr>
              <w:suppressAutoHyphens w:val="0"/>
              <w:spacing w:before="40" w:after="120" w:line="220" w:lineRule="exact"/>
              <w:ind w:right="113"/>
              <w:rPr>
                <w:lang w:eastAsia="zh-CN"/>
              </w:rPr>
            </w:pPr>
            <w:r w:rsidRPr="00736060">
              <w:rPr>
                <w:lang w:eastAsia="zh-CN"/>
              </w:rPr>
              <w:t>Recommended classification societies shall undertake to cooperate with each other so as to guarantee equivalence from the point of view of safety of their technical standards which are relevant to the implementation of the provisions of the present Agreement.</w:t>
            </w:r>
          </w:p>
        </w:tc>
        <w:tc>
          <w:tcPr>
            <w:tcW w:w="897" w:type="dxa"/>
            <w:vMerge w:val="restart"/>
            <w:shd w:val="clear" w:color="auto" w:fill="auto"/>
          </w:tcPr>
          <w:p w14:paraId="7D52A57C" w14:textId="77777777" w:rsidR="00B520CE" w:rsidRPr="00736060" w:rsidRDefault="00B520CE" w:rsidP="00B520CE">
            <w:pPr>
              <w:suppressAutoHyphens w:val="0"/>
              <w:spacing w:before="40" w:after="120" w:line="220" w:lineRule="exact"/>
              <w:ind w:right="113"/>
              <w:rPr>
                <w:b/>
                <w:lang w:eastAsia="zh-CN"/>
              </w:rPr>
            </w:pPr>
            <w:r w:rsidRPr="00736060">
              <w:rPr>
                <w:b/>
                <w:lang w:eastAsia="zh-CN"/>
              </w:rPr>
              <w:t>Annex VI §14</w:t>
            </w:r>
          </w:p>
        </w:tc>
        <w:tc>
          <w:tcPr>
            <w:tcW w:w="4400" w:type="dxa"/>
            <w:vMerge w:val="restart"/>
            <w:shd w:val="clear" w:color="auto" w:fill="auto"/>
          </w:tcPr>
          <w:p w14:paraId="66A38499" w14:textId="77777777" w:rsidR="00B520CE" w:rsidRPr="00736060" w:rsidRDefault="00B520CE" w:rsidP="00B520CE">
            <w:pPr>
              <w:suppressAutoHyphens w:val="0"/>
              <w:spacing w:before="40" w:after="120" w:line="220" w:lineRule="exact"/>
              <w:ind w:right="113"/>
              <w:rPr>
                <w:lang w:eastAsia="zh-CN"/>
              </w:rPr>
            </w:pPr>
            <w:r w:rsidRPr="00736060">
              <w:rPr>
                <w:lang w:eastAsia="zh-CN"/>
              </w:rPr>
              <w:t>The classification society shall undertake periodically to consult with the classification societies already recognised in order to guarantee the equivalence of their technical standards and of implementation thereof, and to allow participation in the development of its rules and regulations by representatives of a Member State and other parties concerned.</w:t>
            </w:r>
          </w:p>
        </w:tc>
        <w:tc>
          <w:tcPr>
            <w:tcW w:w="1580" w:type="dxa"/>
            <w:vMerge w:val="restart"/>
            <w:shd w:val="clear" w:color="auto" w:fill="auto"/>
          </w:tcPr>
          <w:p w14:paraId="2A22D9D8" w14:textId="77777777" w:rsidR="00B520CE" w:rsidRPr="00736060" w:rsidRDefault="00B520CE" w:rsidP="00B520CE">
            <w:pPr>
              <w:suppressAutoHyphens w:val="0"/>
              <w:spacing w:before="40" w:after="120" w:line="220" w:lineRule="exact"/>
              <w:ind w:right="113"/>
              <w:rPr>
                <w:lang w:eastAsia="zh-CN"/>
              </w:rPr>
            </w:pPr>
            <w:r w:rsidRPr="00736060">
              <w:rPr>
                <w:lang w:eastAsia="zh-CN"/>
              </w:rPr>
              <w:t>Very close between the two texts</w:t>
            </w:r>
          </w:p>
        </w:tc>
      </w:tr>
      <w:tr w:rsidR="00B520CE" w:rsidRPr="00736060" w14:paraId="137C200D" w14:textId="77777777" w:rsidTr="00747817">
        <w:trPr>
          <w:cantSplit/>
        </w:trPr>
        <w:tc>
          <w:tcPr>
            <w:tcW w:w="851" w:type="dxa"/>
            <w:shd w:val="clear" w:color="auto" w:fill="auto"/>
          </w:tcPr>
          <w:p w14:paraId="64B86047" w14:textId="77777777" w:rsidR="00B520CE" w:rsidRPr="00736060" w:rsidRDefault="00B520CE" w:rsidP="00B520CE">
            <w:pPr>
              <w:suppressAutoHyphens w:val="0"/>
              <w:spacing w:before="40" w:after="120" w:line="220" w:lineRule="exact"/>
              <w:ind w:right="113"/>
              <w:rPr>
                <w:b/>
                <w:lang w:eastAsia="zh-CN"/>
              </w:rPr>
            </w:pPr>
            <w:r w:rsidRPr="00736060">
              <w:rPr>
                <w:b/>
                <w:lang w:eastAsia="zh-CN"/>
              </w:rPr>
              <w:t>1.15.4.2</w:t>
            </w:r>
          </w:p>
        </w:tc>
        <w:tc>
          <w:tcPr>
            <w:tcW w:w="4631" w:type="dxa"/>
            <w:shd w:val="clear" w:color="auto" w:fill="auto"/>
          </w:tcPr>
          <w:p w14:paraId="10527709" w14:textId="77777777" w:rsidR="00B520CE" w:rsidRPr="00736060" w:rsidRDefault="00B520CE" w:rsidP="00B520CE">
            <w:pPr>
              <w:suppressAutoHyphens w:val="0"/>
              <w:spacing w:before="40" w:after="120" w:line="220" w:lineRule="exact"/>
              <w:ind w:right="113"/>
              <w:rPr>
                <w:lang w:eastAsia="zh-CN"/>
              </w:rPr>
            </w:pPr>
            <w:r w:rsidRPr="00736060">
              <w:rPr>
                <w:lang w:eastAsia="zh-CN"/>
              </w:rPr>
              <w:t>They shall exchange experiences in joint meetings at least once a year. They shall report annually to the Safety Committee. The secretariat of the Safety Committee shall be informed of those meetings. The opportunity will be given to Contracting Parties to attend the meetings as observers.</w:t>
            </w:r>
          </w:p>
        </w:tc>
        <w:tc>
          <w:tcPr>
            <w:tcW w:w="897" w:type="dxa"/>
            <w:vMerge/>
            <w:shd w:val="clear" w:color="auto" w:fill="auto"/>
          </w:tcPr>
          <w:p w14:paraId="46AD55AF" w14:textId="77777777" w:rsidR="00B520CE" w:rsidRPr="00736060" w:rsidRDefault="00B520CE" w:rsidP="00B520CE">
            <w:pPr>
              <w:suppressAutoHyphens w:val="0"/>
              <w:spacing w:before="40" w:after="120" w:line="220" w:lineRule="exact"/>
              <w:ind w:right="113"/>
              <w:rPr>
                <w:b/>
                <w:lang w:eastAsia="zh-CN"/>
              </w:rPr>
            </w:pPr>
          </w:p>
        </w:tc>
        <w:tc>
          <w:tcPr>
            <w:tcW w:w="4400" w:type="dxa"/>
            <w:vMerge/>
            <w:shd w:val="clear" w:color="auto" w:fill="auto"/>
          </w:tcPr>
          <w:p w14:paraId="02BCE402" w14:textId="77777777" w:rsidR="00B520CE" w:rsidRPr="00736060" w:rsidRDefault="00B520CE" w:rsidP="00B520CE">
            <w:pPr>
              <w:suppressAutoHyphens w:val="0"/>
              <w:spacing w:before="40" w:after="120" w:line="220" w:lineRule="exact"/>
              <w:ind w:right="113"/>
              <w:rPr>
                <w:lang w:eastAsia="zh-CN"/>
              </w:rPr>
            </w:pPr>
          </w:p>
        </w:tc>
        <w:tc>
          <w:tcPr>
            <w:tcW w:w="1580" w:type="dxa"/>
            <w:vMerge/>
            <w:shd w:val="clear" w:color="auto" w:fill="auto"/>
          </w:tcPr>
          <w:p w14:paraId="2383D481" w14:textId="77777777" w:rsidR="00B520CE" w:rsidRPr="00736060" w:rsidRDefault="00B520CE" w:rsidP="00B520CE">
            <w:pPr>
              <w:suppressAutoHyphens w:val="0"/>
              <w:spacing w:before="40" w:after="120" w:line="220" w:lineRule="exact"/>
              <w:ind w:right="113"/>
              <w:rPr>
                <w:lang w:eastAsia="zh-CN"/>
              </w:rPr>
            </w:pPr>
          </w:p>
        </w:tc>
      </w:tr>
      <w:tr w:rsidR="00B520CE" w:rsidRPr="00736060" w14:paraId="3BAA7C6D" w14:textId="77777777" w:rsidTr="00747817">
        <w:trPr>
          <w:cantSplit/>
        </w:trPr>
        <w:tc>
          <w:tcPr>
            <w:tcW w:w="851" w:type="dxa"/>
            <w:vMerge w:val="restart"/>
            <w:shd w:val="clear" w:color="auto" w:fill="auto"/>
          </w:tcPr>
          <w:p w14:paraId="1BE64C45" w14:textId="77777777" w:rsidR="00B520CE" w:rsidRPr="00736060" w:rsidRDefault="00B520CE" w:rsidP="00B520CE">
            <w:pPr>
              <w:suppressAutoHyphens w:val="0"/>
              <w:spacing w:before="40" w:after="120" w:line="220" w:lineRule="exact"/>
              <w:ind w:right="113"/>
              <w:rPr>
                <w:b/>
                <w:lang w:eastAsia="zh-CN"/>
              </w:rPr>
            </w:pPr>
            <w:r w:rsidRPr="00736060">
              <w:rPr>
                <w:b/>
                <w:lang w:eastAsia="zh-CN"/>
              </w:rPr>
              <w:t>1.15.4.3</w:t>
            </w:r>
          </w:p>
        </w:tc>
        <w:tc>
          <w:tcPr>
            <w:tcW w:w="4631" w:type="dxa"/>
            <w:vMerge w:val="restart"/>
            <w:shd w:val="clear" w:color="auto" w:fill="auto"/>
          </w:tcPr>
          <w:p w14:paraId="6D08B9B9" w14:textId="77777777" w:rsidR="00B520CE" w:rsidRPr="00736060" w:rsidRDefault="00B520CE" w:rsidP="00B520CE">
            <w:pPr>
              <w:suppressAutoHyphens w:val="0"/>
              <w:spacing w:before="40" w:after="120" w:line="220" w:lineRule="exact"/>
              <w:ind w:right="113"/>
              <w:rPr>
                <w:lang w:eastAsia="zh-CN"/>
              </w:rPr>
            </w:pPr>
            <w:r w:rsidRPr="00736060">
              <w:rPr>
                <w:lang w:eastAsia="zh-CN"/>
              </w:rPr>
              <w:t>Recommended classification societies shall undertake to apply the present and future provisions of the Agreement taking into account the date of their entry into force. In response to requests from the competent authority, recommended classification societies shall provide all relevant information regarding their technical requirements.</w:t>
            </w:r>
          </w:p>
        </w:tc>
        <w:tc>
          <w:tcPr>
            <w:tcW w:w="897" w:type="dxa"/>
            <w:shd w:val="clear" w:color="auto" w:fill="auto"/>
          </w:tcPr>
          <w:p w14:paraId="02C9D311" w14:textId="77777777" w:rsidR="00B520CE" w:rsidRPr="00736060" w:rsidRDefault="00B520CE" w:rsidP="00B520CE">
            <w:pPr>
              <w:suppressAutoHyphens w:val="0"/>
              <w:spacing w:before="40" w:after="120" w:line="220" w:lineRule="exact"/>
              <w:ind w:right="113"/>
              <w:rPr>
                <w:b/>
                <w:lang w:eastAsia="zh-CN"/>
              </w:rPr>
            </w:pPr>
            <w:r w:rsidRPr="00736060">
              <w:rPr>
                <w:b/>
                <w:lang w:eastAsia="zh-CN"/>
              </w:rPr>
              <w:t>Annex VI §13</w:t>
            </w:r>
          </w:p>
        </w:tc>
        <w:tc>
          <w:tcPr>
            <w:tcW w:w="4400" w:type="dxa"/>
            <w:shd w:val="clear" w:color="auto" w:fill="auto"/>
          </w:tcPr>
          <w:p w14:paraId="13B2D32C" w14:textId="5D6557D9" w:rsidR="00B520CE" w:rsidRPr="00736060" w:rsidRDefault="00B520CE" w:rsidP="00B520CE">
            <w:pPr>
              <w:suppressAutoHyphens w:val="0"/>
              <w:spacing w:before="40" w:after="120" w:line="220" w:lineRule="exact"/>
              <w:ind w:right="113"/>
              <w:rPr>
                <w:lang w:eastAsia="zh-CN"/>
              </w:rPr>
            </w:pPr>
            <w:r w:rsidRPr="00736060">
              <w:rPr>
                <w:lang w:eastAsia="zh-CN"/>
              </w:rPr>
              <w:t>The classification society shall undertake to bring its requirements into line with the appropriate Union directives and to provide the Commission with all relevant information in good time</w:t>
            </w:r>
            <w:r w:rsidR="00F21215">
              <w:rPr>
                <w:lang w:eastAsia="zh-CN"/>
              </w:rPr>
              <w:t>.</w:t>
            </w:r>
          </w:p>
        </w:tc>
        <w:tc>
          <w:tcPr>
            <w:tcW w:w="1580" w:type="dxa"/>
            <w:vMerge w:val="restart"/>
            <w:shd w:val="clear" w:color="auto" w:fill="auto"/>
          </w:tcPr>
          <w:p w14:paraId="4E5C07F7" w14:textId="77777777" w:rsidR="00B520CE" w:rsidRPr="00736060" w:rsidRDefault="00B520CE" w:rsidP="00B520CE">
            <w:pPr>
              <w:suppressAutoHyphens w:val="0"/>
              <w:spacing w:before="40" w:after="120" w:line="220" w:lineRule="exact"/>
              <w:ind w:right="113"/>
              <w:rPr>
                <w:lang w:eastAsia="zh-CN"/>
              </w:rPr>
            </w:pPr>
            <w:r w:rsidRPr="00736060">
              <w:rPr>
                <w:lang w:eastAsia="zh-CN"/>
              </w:rPr>
              <w:t>Very close between the two texts</w:t>
            </w:r>
          </w:p>
        </w:tc>
      </w:tr>
      <w:tr w:rsidR="00B520CE" w:rsidRPr="00736060" w14:paraId="08C2C770" w14:textId="77777777" w:rsidTr="00747817">
        <w:trPr>
          <w:cantSplit/>
        </w:trPr>
        <w:tc>
          <w:tcPr>
            <w:tcW w:w="851" w:type="dxa"/>
            <w:vMerge/>
            <w:shd w:val="clear" w:color="auto" w:fill="auto"/>
          </w:tcPr>
          <w:p w14:paraId="16743871" w14:textId="77777777" w:rsidR="00B520CE" w:rsidRPr="00736060" w:rsidRDefault="00B520CE" w:rsidP="00B520CE">
            <w:pPr>
              <w:suppressAutoHyphens w:val="0"/>
              <w:spacing w:before="40" w:after="120" w:line="220" w:lineRule="exact"/>
              <w:ind w:right="113"/>
              <w:rPr>
                <w:b/>
                <w:lang w:eastAsia="zh-CN"/>
              </w:rPr>
            </w:pPr>
          </w:p>
        </w:tc>
        <w:tc>
          <w:tcPr>
            <w:tcW w:w="4631" w:type="dxa"/>
            <w:vMerge/>
            <w:shd w:val="clear" w:color="auto" w:fill="auto"/>
          </w:tcPr>
          <w:p w14:paraId="03A60E89" w14:textId="77777777" w:rsidR="00B520CE" w:rsidRPr="00736060" w:rsidRDefault="00B520CE" w:rsidP="00B520CE">
            <w:pPr>
              <w:suppressAutoHyphens w:val="0"/>
              <w:spacing w:before="40" w:after="120" w:line="220" w:lineRule="exact"/>
              <w:ind w:right="113"/>
              <w:rPr>
                <w:lang w:eastAsia="zh-CN"/>
              </w:rPr>
            </w:pPr>
          </w:p>
        </w:tc>
        <w:tc>
          <w:tcPr>
            <w:tcW w:w="897" w:type="dxa"/>
            <w:shd w:val="clear" w:color="auto" w:fill="auto"/>
          </w:tcPr>
          <w:p w14:paraId="14885C30" w14:textId="77777777" w:rsidR="00B520CE" w:rsidRPr="00736060" w:rsidRDefault="00B520CE" w:rsidP="00B520CE">
            <w:pPr>
              <w:suppressAutoHyphens w:val="0"/>
              <w:spacing w:before="40" w:after="120" w:line="220" w:lineRule="exact"/>
              <w:ind w:right="113"/>
              <w:rPr>
                <w:b/>
                <w:lang w:eastAsia="zh-CN"/>
              </w:rPr>
            </w:pPr>
            <w:r w:rsidRPr="00736060">
              <w:rPr>
                <w:b/>
                <w:lang w:eastAsia="zh-CN"/>
              </w:rPr>
              <w:t>Annex VI §9</w:t>
            </w:r>
          </w:p>
        </w:tc>
        <w:tc>
          <w:tcPr>
            <w:tcW w:w="4400" w:type="dxa"/>
            <w:shd w:val="clear" w:color="auto" w:fill="auto"/>
          </w:tcPr>
          <w:p w14:paraId="4E455CAD" w14:textId="13E806F0" w:rsidR="00B520CE" w:rsidRPr="00736060" w:rsidRDefault="00B520CE" w:rsidP="00B520CE">
            <w:pPr>
              <w:suppressAutoHyphens w:val="0"/>
              <w:spacing w:before="40" w:after="120" w:line="220" w:lineRule="exact"/>
              <w:ind w:right="113"/>
              <w:rPr>
                <w:lang w:eastAsia="zh-CN"/>
              </w:rPr>
            </w:pPr>
            <w:r w:rsidRPr="00736060">
              <w:rPr>
                <w:lang w:eastAsia="zh-CN"/>
              </w:rPr>
              <w:t>The classification society shall be prepared to provide relevant information to a Member State</w:t>
            </w:r>
            <w:r w:rsidR="00F21215">
              <w:rPr>
                <w:lang w:eastAsia="zh-CN"/>
              </w:rPr>
              <w:t>.</w:t>
            </w:r>
          </w:p>
        </w:tc>
        <w:tc>
          <w:tcPr>
            <w:tcW w:w="1580" w:type="dxa"/>
            <w:vMerge/>
            <w:shd w:val="clear" w:color="auto" w:fill="auto"/>
          </w:tcPr>
          <w:p w14:paraId="56013E60" w14:textId="77777777" w:rsidR="00B520CE" w:rsidRPr="00736060" w:rsidRDefault="00B520CE" w:rsidP="00B520CE">
            <w:pPr>
              <w:suppressAutoHyphens w:val="0"/>
              <w:spacing w:before="40" w:after="120" w:line="220" w:lineRule="exact"/>
              <w:ind w:right="113"/>
              <w:rPr>
                <w:lang w:eastAsia="zh-CN"/>
              </w:rPr>
            </w:pPr>
          </w:p>
        </w:tc>
      </w:tr>
    </w:tbl>
    <w:p w14:paraId="73C68EFD" w14:textId="3383A3DA" w:rsidR="007A4560" w:rsidRDefault="00966B02" w:rsidP="0039713C">
      <w:pPr>
        <w:kinsoku w:val="0"/>
        <w:overflowPunct w:val="0"/>
        <w:autoSpaceDE w:val="0"/>
        <w:autoSpaceDN w:val="0"/>
        <w:adjustRightInd w:val="0"/>
        <w:snapToGrid w:val="0"/>
        <w:spacing w:before="240"/>
        <w:jc w:val="center"/>
      </w:pPr>
      <w:r w:rsidRPr="00BB4D27">
        <w:rPr>
          <w:u w:val="single"/>
          <w:lang w:eastAsia="zh-CN"/>
        </w:rPr>
        <w:tab/>
      </w:r>
      <w:r w:rsidRPr="00BB4D27">
        <w:rPr>
          <w:u w:val="single"/>
          <w:lang w:eastAsia="zh-CN"/>
        </w:rPr>
        <w:tab/>
      </w:r>
      <w:r w:rsidRPr="00BB4D27">
        <w:rPr>
          <w:u w:val="single"/>
          <w:lang w:eastAsia="zh-CN"/>
        </w:rPr>
        <w:tab/>
      </w:r>
      <w:bookmarkEnd w:id="1"/>
    </w:p>
    <w:sectPr w:rsidR="007A4560" w:rsidSect="00A5349A">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905D8" w14:textId="77777777" w:rsidR="00913A8F" w:rsidRPr="00FB1744" w:rsidRDefault="00913A8F" w:rsidP="00FB1744">
      <w:pPr>
        <w:pStyle w:val="Footer"/>
      </w:pPr>
    </w:p>
  </w:endnote>
  <w:endnote w:type="continuationSeparator" w:id="0">
    <w:p w14:paraId="26CE16B3" w14:textId="77777777" w:rsidR="00913A8F" w:rsidRPr="00FB1744" w:rsidRDefault="00913A8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527D" w14:textId="77777777" w:rsidR="007A4560" w:rsidRDefault="007A4560" w:rsidP="007A4560">
    <w:pPr>
      <w:pStyle w:val="Footer"/>
      <w:tabs>
        <w:tab w:val="right" w:pos="9638"/>
      </w:tabs>
    </w:pPr>
    <w:r w:rsidRPr="007A4560">
      <w:rPr>
        <w:b/>
        <w:bCs/>
        <w:sz w:val="18"/>
      </w:rPr>
      <w:fldChar w:fldCharType="begin"/>
    </w:r>
    <w:r w:rsidRPr="007A4560">
      <w:rPr>
        <w:b/>
        <w:bCs/>
        <w:sz w:val="18"/>
      </w:rPr>
      <w:instrText xml:space="preserve"> PAGE  \* MERGEFORMAT </w:instrText>
    </w:r>
    <w:r w:rsidRPr="007A4560">
      <w:rPr>
        <w:b/>
        <w:bCs/>
        <w:sz w:val="18"/>
      </w:rPr>
      <w:fldChar w:fldCharType="separate"/>
    </w:r>
    <w:r w:rsidRPr="007A4560">
      <w:rPr>
        <w:b/>
        <w:bCs/>
        <w:noProof/>
        <w:sz w:val="18"/>
      </w:rPr>
      <w:t>2</w:t>
    </w:r>
    <w:r w:rsidRPr="007A4560">
      <w:rPr>
        <w:b/>
        <w:bCs/>
        <w:sz w:val="18"/>
      </w:rPr>
      <w:fldChar w:fldCharType="end"/>
    </w:r>
    <w:r>
      <w:tab/>
      <w:t>GE.20-07185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C690" w14:textId="77777777" w:rsidR="007A4560" w:rsidRDefault="007A4560" w:rsidP="007A4560">
    <w:pPr>
      <w:pStyle w:val="Footer"/>
      <w:tabs>
        <w:tab w:val="right" w:pos="9638"/>
      </w:tabs>
    </w:pPr>
    <w:r>
      <w:t>GE.20-07185</w:t>
    </w:r>
    <w:r>
      <w:tab/>
    </w:r>
    <w:r w:rsidRPr="007A4560">
      <w:rPr>
        <w:b/>
        <w:bCs/>
        <w:sz w:val="18"/>
      </w:rPr>
      <w:fldChar w:fldCharType="begin"/>
    </w:r>
    <w:r w:rsidRPr="007A4560">
      <w:rPr>
        <w:b/>
        <w:bCs/>
        <w:sz w:val="18"/>
      </w:rPr>
      <w:instrText xml:space="preserve"> PAGE  \* MERGEFORMAT </w:instrText>
    </w:r>
    <w:r w:rsidRPr="007A4560">
      <w:rPr>
        <w:b/>
        <w:bCs/>
        <w:sz w:val="18"/>
      </w:rPr>
      <w:fldChar w:fldCharType="separate"/>
    </w:r>
    <w:r w:rsidRPr="007A4560">
      <w:rPr>
        <w:b/>
        <w:bCs/>
        <w:noProof/>
        <w:sz w:val="18"/>
      </w:rPr>
      <w:t>3</w:t>
    </w:r>
    <w:r w:rsidRPr="007A456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8E15" w14:textId="77777777" w:rsidR="007A4560" w:rsidRDefault="007A4560">
    <w:pPr>
      <w:pStyle w:val="Footer"/>
      <w:rPr>
        <w:sz w:val="20"/>
      </w:rPr>
    </w:pPr>
    <w:bookmarkStart w:id="3" w:name="_Hlk42695346"/>
    <w:bookmarkStart w:id="4" w:name="_Hlk42695347"/>
    <w:bookmarkStart w:id="5" w:name="_Hlk42695399"/>
    <w:bookmarkStart w:id="6" w:name="_Hlk42695400"/>
    <w:r>
      <w:rPr>
        <w:noProof/>
      </w:rPr>
      <w:drawing>
        <wp:anchor distT="0" distB="0" distL="114300" distR="114300" simplePos="0" relativeHeight="251639808" behindDoc="1" locked="1" layoutInCell="1" allowOverlap="1" wp14:anchorId="69E6C152" wp14:editId="4479089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DA83EF" w14:textId="1089DCF0" w:rsidR="007A4560" w:rsidRDefault="007A4560" w:rsidP="007A4560">
    <w:pPr>
      <w:pStyle w:val="Footer"/>
      <w:rPr>
        <w:sz w:val="20"/>
      </w:rPr>
    </w:pPr>
    <w:r>
      <w:rPr>
        <w:sz w:val="20"/>
      </w:rPr>
      <w:t>GE.20-07185  (E)</w:t>
    </w:r>
    <w:r w:rsidR="0039449A">
      <w:rPr>
        <w:sz w:val="20"/>
      </w:rPr>
      <w:t xml:space="preserve">    100620    </w:t>
    </w:r>
    <w:r w:rsidR="003E6B74">
      <w:rPr>
        <w:sz w:val="20"/>
      </w:rPr>
      <w:t>11</w:t>
    </w:r>
    <w:r w:rsidR="0039449A">
      <w:rPr>
        <w:sz w:val="20"/>
      </w:rPr>
      <w:t>0620</w:t>
    </w:r>
  </w:p>
  <w:p w14:paraId="0F044C88" w14:textId="7DE904A6" w:rsidR="007A4560" w:rsidRPr="007A4560" w:rsidRDefault="007A4560" w:rsidP="007A456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45952" behindDoc="0" locked="0" layoutInCell="1" allowOverlap="1" wp14:anchorId="31FD7CD3" wp14:editId="724B66AA">
          <wp:simplePos x="0" y="0"/>
          <wp:positionH relativeFrom="margin">
            <wp:posOffset>5478780</wp:posOffset>
          </wp:positionH>
          <wp:positionV relativeFrom="margin">
            <wp:posOffset>8794750</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bookmarkEnd w:id="5"/>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9831" w14:textId="0AB78D59" w:rsidR="00A5349A" w:rsidRPr="00A5349A" w:rsidRDefault="00A5349A" w:rsidP="00A5349A">
    <w:pPr>
      <w:pStyle w:val="Footer"/>
    </w:pPr>
    <w:r>
      <w:rPr>
        <w:noProof/>
      </w:rPr>
      <mc:AlternateContent>
        <mc:Choice Requires="wps">
          <w:drawing>
            <wp:anchor distT="0" distB="0" distL="114300" distR="114300" simplePos="0" relativeHeight="251671552" behindDoc="0" locked="1" layoutInCell="1" allowOverlap="1" wp14:anchorId="3EB633F9" wp14:editId="13675921">
              <wp:simplePos x="0" y="0"/>
              <wp:positionH relativeFrom="page">
                <wp:posOffset>276860</wp:posOffset>
              </wp:positionH>
              <wp:positionV relativeFrom="page">
                <wp:posOffset>719455</wp:posOffset>
              </wp:positionV>
              <wp:extent cx="222885" cy="6159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482A1FB" w14:textId="77777777" w:rsidR="00A5349A" w:rsidRDefault="00A5349A" w:rsidP="00A5349A">
                          <w:pPr>
                            <w:pStyle w:val="Footer"/>
                            <w:tabs>
                              <w:tab w:val="right" w:pos="9638"/>
                            </w:tabs>
                          </w:pPr>
                          <w:r w:rsidRPr="007A4560">
                            <w:rPr>
                              <w:b/>
                              <w:bCs/>
                              <w:sz w:val="18"/>
                            </w:rPr>
                            <w:fldChar w:fldCharType="begin"/>
                          </w:r>
                          <w:r w:rsidRPr="007A4560">
                            <w:rPr>
                              <w:b/>
                              <w:bCs/>
                              <w:sz w:val="18"/>
                            </w:rPr>
                            <w:instrText xml:space="preserve"> PAGE  \* MERGEFORMAT </w:instrText>
                          </w:r>
                          <w:r w:rsidRPr="007A4560">
                            <w:rPr>
                              <w:b/>
                              <w:bCs/>
                              <w:sz w:val="18"/>
                            </w:rPr>
                            <w:fldChar w:fldCharType="separate"/>
                          </w:r>
                          <w:r>
                            <w:rPr>
                              <w:b/>
                              <w:bCs/>
                              <w:sz w:val="18"/>
                            </w:rPr>
                            <w:t>6</w:t>
                          </w:r>
                          <w:r w:rsidRPr="007A4560">
                            <w:rPr>
                              <w:b/>
                              <w:bCs/>
                              <w:sz w:val="18"/>
                            </w:rPr>
                            <w:fldChar w:fldCharType="end"/>
                          </w:r>
                          <w:r>
                            <w:tab/>
                            <w:t>GE.20-07185</w:t>
                          </w:r>
                        </w:p>
                        <w:p w14:paraId="2B853992" w14:textId="77777777" w:rsidR="00A5349A" w:rsidRDefault="00A534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633F9" id="_x0000_t202" coordsize="21600,21600" o:spt="202" path="m,l,21600r21600,l21600,xe">
              <v:stroke joinstyle="miter"/>
              <v:path gradientshapeok="t" o:connecttype="rect"/>
            </v:shapetype>
            <v:shape id="Text Box 5" o:spid="_x0000_s1028" type="#_x0000_t202" style="position:absolute;margin-left:21.8pt;margin-top:56.65pt;width:17.55pt;height:4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" fillcolor="#4f81bd [3204]" stroked="f">
              <v:fill opacity="0"/>
              <v:stroke joinstyle="round"/>
              <v:path arrowok="t"/>
              <v:textbox style="layout-flow:vertical" inset="0,0,0,0">
                <w:txbxContent>
                  <w:p w14:paraId="4482A1FB" w14:textId="77777777" w:rsidR="00A5349A" w:rsidRDefault="00A5349A" w:rsidP="00A5349A">
                    <w:pPr>
                      <w:pStyle w:val="Footer"/>
                      <w:tabs>
                        <w:tab w:val="right" w:pos="9638"/>
                      </w:tabs>
                    </w:pPr>
                    <w:r w:rsidRPr="007A4560">
                      <w:rPr>
                        <w:b/>
                        <w:bCs/>
                        <w:sz w:val="18"/>
                      </w:rPr>
                      <w:fldChar w:fldCharType="begin"/>
                    </w:r>
                    <w:r w:rsidRPr="007A4560">
                      <w:rPr>
                        <w:b/>
                        <w:bCs/>
                        <w:sz w:val="18"/>
                      </w:rPr>
                      <w:instrText xml:space="preserve"> PAGE  \* MERGEFORMAT </w:instrText>
                    </w:r>
                    <w:r w:rsidRPr="007A4560">
                      <w:rPr>
                        <w:b/>
                        <w:bCs/>
                        <w:sz w:val="18"/>
                      </w:rPr>
                      <w:fldChar w:fldCharType="separate"/>
                    </w:r>
                    <w:r>
                      <w:rPr>
                        <w:b/>
                        <w:bCs/>
                        <w:sz w:val="18"/>
                      </w:rPr>
                      <w:t>6</w:t>
                    </w:r>
                    <w:r w:rsidRPr="007A4560">
                      <w:rPr>
                        <w:b/>
                        <w:bCs/>
                        <w:sz w:val="18"/>
                      </w:rPr>
                      <w:fldChar w:fldCharType="end"/>
                    </w:r>
                    <w:r>
                      <w:tab/>
                      <w:t>GE.20-07185</w:t>
                    </w:r>
                  </w:p>
                  <w:p w14:paraId="2B853992" w14:textId="77777777" w:rsidR="00A5349A" w:rsidRDefault="00A5349A"/>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FE38" w14:textId="32376394" w:rsidR="00A5349A" w:rsidRPr="00A5349A" w:rsidRDefault="00A5349A" w:rsidP="00A5349A">
    <w:pPr>
      <w:pStyle w:val="Footer"/>
    </w:pPr>
    <w:r>
      <w:rPr>
        <w:noProof/>
      </w:rPr>
      <mc:AlternateContent>
        <mc:Choice Requires="wps">
          <w:drawing>
            <wp:anchor distT="0" distB="0" distL="114300" distR="114300" simplePos="0" relativeHeight="251680768" behindDoc="0" locked="1" layoutInCell="1" allowOverlap="1" wp14:anchorId="11F3F372" wp14:editId="7228E22F">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09E0BDF" w14:textId="77777777" w:rsidR="00A5349A" w:rsidRDefault="00A5349A" w:rsidP="00A5349A">
                          <w:pPr>
                            <w:pStyle w:val="Footer"/>
                            <w:tabs>
                              <w:tab w:val="right" w:pos="9638"/>
                            </w:tabs>
                          </w:pPr>
                          <w:r>
                            <w:t>GE.20-07185</w:t>
                          </w:r>
                          <w:r>
                            <w:tab/>
                          </w:r>
                          <w:r w:rsidRPr="007A4560">
                            <w:rPr>
                              <w:b/>
                              <w:bCs/>
                              <w:sz w:val="18"/>
                            </w:rPr>
                            <w:fldChar w:fldCharType="begin"/>
                          </w:r>
                          <w:r w:rsidRPr="007A4560">
                            <w:rPr>
                              <w:b/>
                              <w:bCs/>
                              <w:sz w:val="18"/>
                            </w:rPr>
                            <w:instrText xml:space="preserve"> PAGE  \* MERGEFORMAT </w:instrText>
                          </w:r>
                          <w:r w:rsidRPr="007A4560">
                            <w:rPr>
                              <w:b/>
                              <w:bCs/>
                              <w:sz w:val="18"/>
                            </w:rPr>
                            <w:fldChar w:fldCharType="separate"/>
                          </w:r>
                          <w:r>
                            <w:rPr>
                              <w:b/>
                              <w:bCs/>
                              <w:sz w:val="18"/>
                            </w:rPr>
                            <w:t>7</w:t>
                          </w:r>
                          <w:r w:rsidRPr="007A4560">
                            <w:rPr>
                              <w:b/>
                              <w:bCs/>
                              <w:sz w:val="18"/>
                            </w:rPr>
                            <w:fldChar w:fldCharType="end"/>
                          </w:r>
                        </w:p>
                        <w:p w14:paraId="01309E6B" w14:textId="77777777" w:rsidR="00A5349A" w:rsidRDefault="00A534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3F372" id="_x0000_t202" coordsize="21600,21600" o:spt="202" path="m,l,21600r21600,l21600,xe">
              <v:stroke joinstyle="miter"/>
              <v:path gradientshapeok="t" o:connecttype="rect"/>
            </v:shapetype>
            <v:shape id="Text Box 7" o:spid="_x0000_s1029" type="#_x0000_t202" style="position:absolute;margin-left:21.8pt;margin-top:56.65pt;width:17.55pt;height:4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" fillcolor="#4f81bd [3204]" stroked="f">
              <v:fill opacity="0"/>
              <v:stroke joinstyle="round"/>
              <v:path arrowok="t"/>
              <v:textbox style="layout-flow:vertical" inset="0,0,0,0">
                <w:txbxContent>
                  <w:p w14:paraId="109E0BDF" w14:textId="77777777" w:rsidR="00A5349A" w:rsidRDefault="00A5349A" w:rsidP="00A5349A">
                    <w:pPr>
                      <w:pStyle w:val="Footer"/>
                      <w:tabs>
                        <w:tab w:val="right" w:pos="9638"/>
                      </w:tabs>
                    </w:pPr>
                    <w:r>
                      <w:t>GE.20-07185</w:t>
                    </w:r>
                    <w:r>
                      <w:tab/>
                    </w:r>
                    <w:r w:rsidRPr="007A4560">
                      <w:rPr>
                        <w:b/>
                        <w:bCs/>
                        <w:sz w:val="18"/>
                      </w:rPr>
                      <w:fldChar w:fldCharType="begin"/>
                    </w:r>
                    <w:r w:rsidRPr="007A4560">
                      <w:rPr>
                        <w:b/>
                        <w:bCs/>
                        <w:sz w:val="18"/>
                      </w:rPr>
                      <w:instrText xml:space="preserve"> PAGE  \* MERGEFORMAT </w:instrText>
                    </w:r>
                    <w:r w:rsidRPr="007A4560">
                      <w:rPr>
                        <w:b/>
                        <w:bCs/>
                        <w:sz w:val="18"/>
                      </w:rPr>
                      <w:fldChar w:fldCharType="separate"/>
                    </w:r>
                    <w:r>
                      <w:rPr>
                        <w:b/>
                        <w:bCs/>
                        <w:sz w:val="18"/>
                      </w:rPr>
                      <w:t>7</w:t>
                    </w:r>
                    <w:r w:rsidRPr="007A4560">
                      <w:rPr>
                        <w:b/>
                        <w:bCs/>
                        <w:sz w:val="18"/>
                      </w:rPr>
                      <w:fldChar w:fldCharType="end"/>
                    </w:r>
                  </w:p>
                  <w:p w14:paraId="01309E6B" w14:textId="77777777" w:rsidR="00A5349A" w:rsidRDefault="00A5349A"/>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59B28" w14:textId="77777777" w:rsidR="00913A8F" w:rsidRPr="00FB1744" w:rsidRDefault="00913A8F" w:rsidP="00FB1744">
      <w:pPr>
        <w:tabs>
          <w:tab w:val="right" w:pos="2155"/>
        </w:tabs>
        <w:spacing w:after="80" w:line="240" w:lineRule="auto"/>
        <w:ind w:left="680"/>
      </w:pPr>
      <w:r>
        <w:rPr>
          <w:u w:val="single"/>
        </w:rPr>
        <w:tab/>
      </w:r>
    </w:p>
  </w:footnote>
  <w:footnote w:type="continuationSeparator" w:id="0">
    <w:p w14:paraId="6CB031FF" w14:textId="77777777" w:rsidR="00913A8F" w:rsidRPr="00FB1744" w:rsidRDefault="00913A8F" w:rsidP="00FB1744">
      <w:pPr>
        <w:tabs>
          <w:tab w:val="right" w:pos="2155"/>
        </w:tabs>
        <w:spacing w:after="80" w:line="240" w:lineRule="auto"/>
        <w:ind w:left="680"/>
      </w:pPr>
      <w:r>
        <w:rPr>
          <w:u w:val="single"/>
        </w:rPr>
        <w:tab/>
      </w:r>
    </w:p>
  </w:footnote>
  <w:footnote w:id="1">
    <w:p w14:paraId="1FA1E76D" w14:textId="77777777" w:rsidR="00966B02" w:rsidRPr="003E6B74" w:rsidRDefault="00966B02" w:rsidP="003E6B74">
      <w:pPr>
        <w:pStyle w:val="FootnoteText"/>
      </w:pPr>
      <w:r>
        <w:tab/>
      </w:r>
      <w:r w:rsidRPr="00982A18">
        <w:rPr>
          <w:sz w:val="20"/>
          <w:szCs w:val="22"/>
        </w:rPr>
        <w:t>*</w:t>
      </w:r>
      <w:r>
        <w:tab/>
      </w:r>
      <w:r w:rsidRPr="003E6B74">
        <w:t>Distributed in German by the Central Commission for the Navigation of the Rhine under the symbol CCNR-ZKR/ADN/WP.15/AC.2/2020/32.</w:t>
      </w:r>
    </w:p>
  </w:footnote>
  <w:footnote w:id="2">
    <w:p w14:paraId="2137F367" w14:textId="77777777" w:rsidR="00966B02" w:rsidRPr="003E6B74" w:rsidRDefault="00966B02" w:rsidP="003E6B74">
      <w:pPr>
        <w:pStyle w:val="FootnoteText"/>
      </w:pPr>
      <w:r w:rsidRPr="003E6B74">
        <w:tab/>
      </w:r>
      <w:r w:rsidRPr="003E6B74">
        <w:rPr>
          <w:sz w:val="20"/>
        </w:rPr>
        <w:t>**</w:t>
      </w:r>
      <w:r w:rsidRPr="003E6B74">
        <w:tab/>
        <w:t>In accordance with the programme of work of the Inland Transport Committee for 2020 as outlined in the proposed programme budget for 2020 (A/74/6 (part V, sect. 20), para.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7F2C" w14:textId="77777777" w:rsidR="007A4560" w:rsidRDefault="007A4560" w:rsidP="007A4560">
    <w:pPr>
      <w:pStyle w:val="Header"/>
    </w:pPr>
    <w:r>
      <w:t>ECE/TRANS/WP.15/AC.2/2020/32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6730" w14:textId="77777777" w:rsidR="007A4560" w:rsidRDefault="007A4560" w:rsidP="007A4560">
    <w:pPr>
      <w:pStyle w:val="Header"/>
      <w:jc w:val="right"/>
    </w:pPr>
    <w:r>
      <w:t>ECE/TRANS/WP.15/AC.2/2020/32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408B" w14:textId="77297C88" w:rsidR="00A5349A" w:rsidRPr="00A5349A" w:rsidRDefault="00A5349A" w:rsidP="00A5349A">
    <w:pPr>
      <w:pStyle w:val="Header"/>
      <w:pBdr>
        <w:bottom w:val="none" w:sz="0" w:space="0" w:color="auto"/>
      </w:pBdr>
    </w:pPr>
    <w:r>
      <w:rPr>
        <w:noProof/>
      </w:rPr>
      <mc:AlternateContent>
        <mc:Choice Requires="wps">
          <w:drawing>
            <wp:anchor distT="0" distB="0" distL="114300" distR="114300" simplePos="0" relativeHeight="251659264" behindDoc="0" locked="1" layoutInCell="1" allowOverlap="1" wp14:anchorId="0D9B5749" wp14:editId="6134C044">
              <wp:simplePos x="0" y="0"/>
              <wp:positionH relativeFrom="page">
                <wp:posOffset>9901555</wp:posOffset>
              </wp:positionH>
              <wp:positionV relativeFrom="page">
                <wp:posOffset>719455</wp:posOffset>
              </wp:positionV>
              <wp:extent cx="292100" cy="6120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F6E80B5" w14:textId="77777777" w:rsidR="00A5349A" w:rsidRDefault="00A5349A" w:rsidP="00A5349A">
                          <w:pPr>
                            <w:pStyle w:val="Header"/>
                          </w:pPr>
                          <w:r>
                            <w:t>ECE/TRANS/WP.15/AC.2/2020/32</w:t>
                          </w:r>
                        </w:p>
                        <w:p w14:paraId="32E42B4D" w14:textId="77777777" w:rsidR="00A5349A" w:rsidRDefault="00A534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B5749" id="_x0000_t202" coordsize="21600,21600" o:spt="202" path="m,l,21600r21600,l21600,xe">
              <v:stroke joinstyle="miter"/>
              <v:path gradientshapeok="t" o:connecttype="rect"/>
            </v:shapetype>
            <v:shape id="Text Box 2" o:spid="_x0000_s1026" type="#_x0000_t202" style="position:absolute;margin-left:779.65pt;margin-top:56.65pt;width:23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" fillcolor="#4f81bd [3204]" stroked="f">
              <v:fill opacity="0"/>
              <v:stroke joinstyle="round"/>
              <v:path arrowok="t"/>
              <v:textbox style="layout-flow:vertical" inset="0,0,0,0">
                <w:txbxContent>
                  <w:p w14:paraId="0F6E80B5" w14:textId="77777777" w:rsidR="00A5349A" w:rsidRDefault="00A5349A" w:rsidP="00A5349A">
                    <w:pPr>
                      <w:pStyle w:val="Header"/>
                    </w:pPr>
                    <w:r>
                      <w:t>ECE/TRANS/WP.15/AC.2/2020/32</w:t>
                    </w:r>
                  </w:p>
                  <w:p w14:paraId="32E42B4D" w14:textId="77777777" w:rsidR="00A5349A" w:rsidRDefault="00A5349A"/>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EA01" w14:textId="70F1BC83" w:rsidR="00A5349A" w:rsidRPr="00A5349A" w:rsidRDefault="00A5349A" w:rsidP="00A5349A">
    <w:pPr>
      <w:pStyle w:val="Header"/>
      <w:pBdr>
        <w:bottom w:val="none" w:sz="0" w:space="0" w:color="auto"/>
      </w:pBdr>
    </w:pPr>
    <w:r>
      <w:rPr>
        <w:noProof/>
      </w:rPr>
      <mc:AlternateContent>
        <mc:Choice Requires="wps">
          <w:drawing>
            <wp:anchor distT="0" distB="0" distL="114300" distR="114300" simplePos="0" relativeHeight="251676672" behindDoc="0" locked="1" layoutInCell="1" allowOverlap="1" wp14:anchorId="04D9E302" wp14:editId="0D5C486B">
              <wp:simplePos x="0" y="0"/>
              <wp:positionH relativeFrom="page">
                <wp:posOffset>9912350</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AF5CF4A" w14:textId="77777777" w:rsidR="00A5349A" w:rsidRDefault="00A5349A" w:rsidP="00A5349A">
                          <w:pPr>
                            <w:pStyle w:val="Header"/>
                            <w:jc w:val="right"/>
                          </w:pPr>
                          <w:r>
                            <w:t>ECE/TRANS/WP.15/AC.2/2020/32</w:t>
                          </w:r>
                        </w:p>
                        <w:p w14:paraId="45DFC542" w14:textId="77777777" w:rsidR="00A5349A" w:rsidRDefault="00A534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D9E302" id="_x0000_t202" coordsize="21600,21600" o:spt="202" path="m,l,21600r21600,l21600,xe">
              <v:stroke joinstyle="miter"/>
              <v:path gradientshapeok="t" o:connecttype="rect"/>
            </v:shapetype>
            <v:shape id="Text Box 6" o:spid="_x0000_s1027" type="#_x0000_t202" style="position:absolute;margin-left:780.5pt;margin-top:56.65pt;width:23pt;height:481.9pt;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" fillcolor="#4f81bd [3204]" stroked="f">
              <v:fill opacity="0"/>
              <v:stroke joinstyle="round"/>
              <v:path arrowok="t"/>
              <v:textbox style="layout-flow:vertical" inset="0,0,0,0">
                <w:txbxContent>
                  <w:p w14:paraId="2AF5CF4A" w14:textId="77777777" w:rsidR="00A5349A" w:rsidRDefault="00A5349A" w:rsidP="00A5349A">
                    <w:pPr>
                      <w:pStyle w:val="Header"/>
                      <w:jc w:val="right"/>
                    </w:pPr>
                    <w:r>
                      <w:t>ECE/TRANS/WP.15/AC.2/2020/32</w:t>
                    </w:r>
                  </w:p>
                  <w:p w14:paraId="45DFC542" w14:textId="77777777" w:rsidR="00A5349A" w:rsidRDefault="00A5349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16EB5"/>
    <w:multiLevelType w:val="hybridMultilevel"/>
    <w:tmpl w:val="C6A8A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DC32F6"/>
    <w:multiLevelType w:val="hybridMultilevel"/>
    <w:tmpl w:val="D5665752"/>
    <w:lvl w:ilvl="0" w:tplc="E45C1868">
      <w:start w:val="1"/>
      <w:numFmt w:val="lowerLetter"/>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0"/>
  </w:num>
  <w:num w:numId="4">
    <w:abstractNumId w:val="6"/>
  </w:num>
  <w:num w:numId="5">
    <w:abstractNumId w:val="7"/>
  </w:num>
  <w:num w:numId="6">
    <w:abstractNumId w:val="8"/>
  </w:num>
  <w:num w:numId="7">
    <w:abstractNumId w:val="1"/>
  </w:num>
  <w:num w:numId="8">
    <w:abstractNumId w:val="3"/>
  </w:num>
  <w:num w:numId="9">
    <w:abstractNumId w:val="4"/>
    <w:lvlOverride w:ilvl="0">
      <w:lvl w:ilvl="0" w:tplc="E45C1868">
        <w:start w:val="1"/>
        <w:numFmt w:val="lowerLetter"/>
        <w:lvlText w:val="(%1)"/>
        <w:lvlJc w:val="left"/>
        <w:pPr>
          <w:ind w:left="2271" w:hanging="570"/>
        </w:pPr>
        <w:rPr>
          <w:rFonts w:hint="default"/>
        </w:rPr>
      </w:lvl>
    </w:lvlOverride>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8F"/>
    <w:rsid w:val="000100B7"/>
    <w:rsid w:val="00017CF0"/>
    <w:rsid w:val="000301FF"/>
    <w:rsid w:val="00042202"/>
    <w:rsid w:val="00046DCF"/>
    <w:rsid w:val="00046E92"/>
    <w:rsid w:val="000C0662"/>
    <w:rsid w:val="000D1B89"/>
    <w:rsid w:val="000F3A7A"/>
    <w:rsid w:val="001069F4"/>
    <w:rsid w:val="001077F8"/>
    <w:rsid w:val="001170DC"/>
    <w:rsid w:val="001C1678"/>
    <w:rsid w:val="00247E2C"/>
    <w:rsid w:val="002C7E00"/>
    <w:rsid w:val="002D0239"/>
    <w:rsid w:val="002D6C53"/>
    <w:rsid w:val="002F5595"/>
    <w:rsid w:val="00334F6A"/>
    <w:rsid w:val="00342AC8"/>
    <w:rsid w:val="0039449A"/>
    <w:rsid w:val="0039713C"/>
    <w:rsid w:val="003B4550"/>
    <w:rsid w:val="003E31A4"/>
    <w:rsid w:val="003E6B74"/>
    <w:rsid w:val="0041737C"/>
    <w:rsid w:val="0043448D"/>
    <w:rsid w:val="004401FA"/>
    <w:rsid w:val="00447AD3"/>
    <w:rsid w:val="00461253"/>
    <w:rsid w:val="00467167"/>
    <w:rsid w:val="005042C2"/>
    <w:rsid w:val="00506C12"/>
    <w:rsid w:val="0056599A"/>
    <w:rsid w:val="00587690"/>
    <w:rsid w:val="005F2522"/>
    <w:rsid w:val="006115F2"/>
    <w:rsid w:val="0062343E"/>
    <w:rsid w:val="00671529"/>
    <w:rsid w:val="006C2285"/>
    <w:rsid w:val="006E5594"/>
    <w:rsid w:val="00707BF1"/>
    <w:rsid w:val="00717266"/>
    <w:rsid w:val="00724C45"/>
    <w:rsid w:val="007251C3"/>
    <w:rsid w:val="007268F9"/>
    <w:rsid w:val="007352CB"/>
    <w:rsid w:val="00736060"/>
    <w:rsid w:val="00746ABE"/>
    <w:rsid w:val="00747817"/>
    <w:rsid w:val="007646DF"/>
    <w:rsid w:val="00772155"/>
    <w:rsid w:val="007A4560"/>
    <w:rsid w:val="007C52B0"/>
    <w:rsid w:val="007E79E9"/>
    <w:rsid w:val="00887C00"/>
    <w:rsid w:val="008A3B88"/>
    <w:rsid w:val="008B4275"/>
    <w:rsid w:val="008E60DC"/>
    <w:rsid w:val="00902DAB"/>
    <w:rsid w:val="00913A8F"/>
    <w:rsid w:val="009142C9"/>
    <w:rsid w:val="009317E7"/>
    <w:rsid w:val="00931F49"/>
    <w:rsid w:val="00935320"/>
    <w:rsid w:val="009411B4"/>
    <w:rsid w:val="009467F9"/>
    <w:rsid w:val="00966B02"/>
    <w:rsid w:val="00982A18"/>
    <w:rsid w:val="00995DA0"/>
    <w:rsid w:val="009A3DCA"/>
    <w:rsid w:val="009B2AC0"/>
    <w:rsid w:val="009D0139"/>
    <w:rsid w:val="009D7419"/>
    <w:rsid w:val="009F5CDC"/>
    <w:rsid w:val="00A36B97"/>
    <w:rsid w:val="00A429CD"/>
    <w:rsid w:val="00A5349A"/>
    <w:rsid w:val="00A650D1"/>
    <w:rsid w:val="00A65E97"/>
    <w:rsid w:val="00A775CF"/>
    <w:rsid w:val="00AB3C7E"/>
    <w:rsid w:val="00B06045"/>
    <w:rsid w:val="00B520CE"/>
    <w:rsid w:val="00B90A52"/>
    <w:rsid w:val="00C042CD"/>
    <w:rsid w:val="00C35A27"/>
    <w:rsid w:val="00C35D79"/>
    <w:rsid w:val="00C462F5"/>
    <w:rsid w:val="00C5410C"/>
    <w:rsid w:val="00C6022D"/>
    <w:rsid w:val="00C714E3"/>
    <w:rsid w:val="00C73A7C"/>
    <w:rsid w:val="00D77286"/>
    <w:rsid w:val="00DA66F3"/>
    <w:rsid w:val="00DC7CF3"/>
    <w:rsid w:val="00E02C2B"/>
    <w:rsid w:val="00E04921"/>
    <w:rsid w:val="00EA4619"/>
    <w:rsid w:val="00EA6EF9"/>
    <w:rsid w:val="00EA7CEB"/>
    <w:rsid w:val="00ED6C48"/>
    <w:rsid w:val="00F21215"/>
    <w:rsid w:val="00F65F5D"/>
    <w:rsid w:val="00F86A3A"/>
    <w:rsid w:val="00FB1744"/>
    <w:rsid w:val="00FB1C7B"/>
    <w:rsid w:val="00FC04AB"/>
    <w:rsid w:val="00FC155F"/>
    <w:rsid w:val="00FC2476"/>
    <w:rsid w:val="00FD0F9C"/>
    <w:rsid w:val="00FF72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D7A906"/>
  <w15:docId w15:val="{C09D0D3F-F027-4CFB-B351-1A6874DF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table" w:customStyle="1" w:styleId="TableGrid2">
    <w:name w:val="Table Grid2"/>
    <w:basedOn w:val="TableNormal"/>
    <w:next w:val="TableGrid"/>
    <w:uiPriority w:val="39"/>
    <w:rsid w:val="00966B02"/>
    <w:pPr>
      <w:suppressAutoHyphens/>
      <w:spacing w:after="0" w:line="240" w:lineRule="atLeast"/>
    </w:pPr>
    <w:rPr>
      <w:rFonts w:ascii="Times New Roman" w:eastAsia="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9142C9"/>
    <w:rPr>
      <w:sz w:val="16"/>
      <w:szCs w:val="16"/>
    </w:rPr>
  </w:style>
  <w:style w:type="paragraph" w:styleId="CommentText">
    <w:name w:val="annotation text"/>
    <w:basedOn w:val="Normal"/>
    <w:link w:val="CommentTextChar"/>
    <w:uiPriority w:val="99"/>
    <w:semiHidden/>
    <w:unhideWhenUsed/>
    <w:rsid w:val="009142C9"/>
    <w:pPr>
      <w:spacing w:line="240" w:lineRule="auto"/>
    </w:pPr>
  </w:style>
  <w:style w:type="character" w:customStyle="1" w:styleId="CommentTextChar">
    <w:name w:val="Comment Text Char"/>
    <w:basedOn w:val="DefaultParagraphFont"/>
    <w:link w:val="CommentText"/>
    <w:uiPriority w:val="99"/>
    <w:semiHidden/>
    <w:rsid w:val="009142C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142C9"/>
    <w:rPr>
      <w:b/>
      <w:bCs/>
    </w:rPr>
  </w:style>
  <w:style w:type="character" w:customStyle="1" w:styleId="CommentSubjectChar">
    <w:name w:val="Comment Subject Char"/>
    <w:basedOn w:val="CommentTextChar"/>
    <w:link w:val="CommentSubject"/>
    <w:uiPriority w:val="99"/>
    <w:semiHidden/>
    <w:rsid w:val="009142C9"/>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38A7-7E48-4A8D-9041-C1038D08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3898</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ECE/TRANS/WP.15/AC.2/2020/32</vt:lpstr>
    </vt:vector>
  </TitlesOfParts>
  <Company>DCM</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ECE/TRANS/WP.15/AC.2/2020/32</dc:title>
  <dc:subject>2007185</dc:subject>
  <dc:creator>cg</dc:creator>
  <cp:keywords/>
  <dc:description/>
  <cp:lastModifiedBy>Secretariat</cp:lastModifiedBy>
  <cp:revision>2</cp:revision>
  <cp:lastPrinted>2020-06-11T07:18:00Z</cp:lastPrinted>
  <dcterms:created xsi:type="dcterms:W3CDTF">2020-06-11T15:00:00Z</dcterms:created>
  <dcterms:modified xsi:type="dcterms:W3CDTF">2020-06-11T15:00:00Z</dcterms:modified>
</cp:coreProperties>
</file>