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C41F2" w14:textId="63050223" w:rsidR="00277F70" w:rsidRPr="009C033F" w:rsidRDefault="00277F70" w:rsidP="00277F70">
      <w:pPr>
        <w:widowControl/>
        <w:overflowPunct/>
        <w:autoSpaceDE/>
        <w:autoSpaceDN/>
        <w:adjustRightInd/>
        <w:snapToGrid w:val="0"/>
        <w:ind w:left="5387" w:right="-286" w:firstLine="0"/>
        <w:jc w:val="left"/>
        <w:textAlignment w:val="auto"/>
        <w:outlineLvl w:val="0"/>
        <w:rPr>
          <w:rFonts w:ascii="Arial" w:eastAsia="Arial" w:hAnsi="Arial" w:cs="Arial"/>
          <w:bCs/>
          <w:szCs w:val="24"/>
          <w:lang w:val="en-GB" w:eastAsia="de-DE" w:bidi="fr-FR"/>
        </w:rPr>
      </w:pPr>
      <w:bookmarkStart w:id="0" w:name="_GoBack"/>
      <w:bookmarkEnd w:id="0"/>
      <w:r w:rsidRPr="00B041A6">
        <w:rPr>
          <w:rFonts w:ascii="Arial" w:eastAsia="Arial" w:hAnsi="Arial" w:cs="Arial"/>
          <w:bCs/>
          <w:noProof/>
          <w:szCs w:val="24"/>
          <w:lang w:eastAsia="de-DE"/>
        </w:rPr>
        <w:drawing>
          <wp:anchor distT="0" distB="0" distL="114300" distR="114300" simplePos="0" relativeHeight="251659264" behindDoc="0" locked="0" layoutInCell="1" allowOverlap="1" wp14:anchorId="5C559AF6" wp14:editId="5B26A3E3">
            <wp:simplePos x="0" y="0"/>
            <wp:positionH relativeFrom="column">
              <wp:posOffset>0</wp:posOffset>
            </wp:positionH>
            <wp:positionV relativeFrom="paragraph">
              <wp:posOffset>-68580</wp:posOffset>
            </wp:positionV>
            <wp:extent cx="1713865" cy="604520"/>
            <wp:effectExtent l="0" t="0" r="63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page">
              <wp14:pctWidth>0</wp14:pctWidth>
            </wp14:sizeRelH>
            <wp14:sizeRelV relativeFrom="page">
              <wp14:pctHeight>0</wp14:pctHeight>
            </wp14:sizeRelV>
          </wp:anchor>
        </w:drawing>
      </w:r>
      <w:r w:rsidRPr="009C033F">
        <w:rPr>
          <w:rFonts w:ascii="Arial" w:eastAsia="Arial" w:hAnsi="Arial" w:cs="Arial"/>
          <w:bCs/>
          <w:szCs w:val="24"/>
          <w:lang w:val="en-GB" w:eastAsia="de-DE"/>
        </w:rPr>
        <w:t>CCNR-ZKR/ADN/WP.15/AC.2/2020/</w:t>
      </w:r>
      <w:r w:rsidR="00863D48">
        <w:rPr>
          <w:rFonts w:ascii="Arial" w:eastAsia="Arial" w:hAnsi="Arial" w:cs="Arial"/>
          <w:bCs/>
          <w:szCs w:val="24"/>
          <w:lang w:val="en-GB" w:eastAsia="de-DE"/>
        </w:rPr>
        <w:t>24</w:t>
      </w:r>
    </w:p>
    <w:p w14:paraId="20DAC2EC" w14:textId="77777777" w:rsidR="00277F70" w:rsidRPr="00B041A6" w:rsidRDefault="00277F70" w:rsidP="00277F70">
      <w:pPr>
        <w:widowControl/>
        <w:tabs>
          <w:tab w:val="left" w:pos="5670"/>
        </w:tabs>
        <w:overflowPunct/>
        <w:autoSpaceDE/>
        <w:autoSpaceDN/>
        <w:adjustRightInd/>
        <w:snapToGrid w:val="0"/>
        <w:ind w:left="5387" w:firstLine="0"/>
        <w:jc w:val="left"/>
        <w:textAlignment w:val="auto"/>
        <w:rPr>
          <w:rFonts w:ascii="Arial" w:hAnsi="Arial" w:cs="Arial"/>
          <w:sz w:val="16"/>
          <w:szCs w:val="24"/>
          <w:lang w:eastAsia="de-DE"/>
        </w:rPr>
      </w:pPr>
      <w:r w:rsidRPr="00B041A6">
        <w:rPr>
          <w:rFonts w:ascii="Arial" w:hAnsi="Arial" w:cs="Arial"/>
          <w:sz w:val="16"/>
          <w:szCs w:val="24"/>
          <w:lang w:eastAsia="de-DE"/>
        </w:rPr>
        <w:t>Allgemeine Verteilung</w:t>
      </w:r>
    </w:p>
    <w:p w14:paraId="0374A1B1" w14:textId="26C93342" w:rsidR="00277F70" w:rsidRPr="00B041A6" w:rsidRDefault="00863D48" w:rsidP="00277F70">
      <w:pPr>
        <w:widowControl/>
        <w:tabs>
          <w:tab w:val="right" w:pos="3856"/>
          <w:tab w:val="left" w:pos="5670"/>
        </w:tabs>
        <w:overflowPunct/>
        <w:autoSpaceDE/>
        <w:autoSpaceDN/>
        <w:adjustRightInd/>
        <w:snapToGrid w:val="0"/>
        <w:ind w:left="5387" w:firstLine="0"/>
        <w:jc w:val="left"/>
        <w:textAlignment w:val="auto"/>
        <w:rPr>
          <w:rFonts w:ascii="Arial" w:hAnsi="Arial" w:cs="Arial"/>
          <w:szCs w:val="24"/>
          <w:lang w:eastAsia="de-DE"/>
        </w:rPr>
      </w:pPr>
      <w:r>
        <w:rPr>
          <w:rFonts w:ascii="Arial" w:eastAsia="Arial" w:hAnsi="Arial" w:cs="Arial"/>
          <w:szCs w:val="24"/>
          <w:lang w:eastAsia="de-DE"/>
        </w:rPr>
        <w:t>29. Mai</w:t>
      </w:r>
      <w:r w:rsidR="00277F70">
        <w:rPr>
          <w:rFonts w:ascii="Arial" w:eastAsia="Arial" w:hAnsi="Arial" w:cs="Arial"/>
          <w:szCs w:val="24"/>
          <w:lang w:eastAsia="de-DE"/>
        </w:rPr>
        <w:t xml:space="preserve"> 20</w:t>
      </w:r>
      <w:r w:rsidR="003F5E68">
        <w:rPr>
          <w:rFonts w:ascii="Arial" w:eastAsia="Arial" w:hAnsi="Arial" w:cs="Arial"/>
          <w:szCs w:val="24"/>
          <w:lang w:eastAsia="de-DE"/>
        </w:rPr>
        <w:t>20</w:t>
      </w:r>
    </w:p>
    <w:p w14:paraId="2C6BC17E" w14:textId="77777777" w:rsidR="00277F70" w:rsidRPr="00B041A6" w:rsidRDefault="00277F70" w:rsidP="00277F70">
      <w:pPr>
        <w:widowControl/>
        <w:tabs>
          <w:tab w:val="right" w:pos="3856"/>
          <w:tab w:val="left" w:pos="5670"/>
        </w:tabs>
        <w:overflowPunct/>
        <w:autoSpaceDE/>
        <w:autoSpaceDN/>
        <w:adjustRightInd/>
        <w:snapToGrid w:val="0"/>
        <w:ind w:left="5387" w:right="565" w:firstLine="0"/>
        <w:jc w:val="left"/>
        <w:textAlignment w:val="auto"/>
        <w:rPr>
          <w:rFonts w:ascii="Arial" w:eastAsia="Arial" w:hAnsi="Arial" w:cs="Arial"/>
          <w:sz w:val="16"/>
          <w:szCs w:val="24"/>
          <w:lang w:eastAsia="de-DE"/>
        </w:rPr>
      </w:pPr>
      <w:proofErr w:type="spellStart"/>
      <w:r w:rsidRPr="00B041A6">
        <w:rPr>
          <w:rFonts w:ascii="Arial" w:eastAsia="Arial" w:hAnsi="Arial" w:cs="Arial"/>
          <w:sz w:val="16"/>
          <w:szCs w:val="24"/>
          <w:lang w:eastAsia="de-DE"/>
        </w:rPr>
        <w:t>Or</w:t>
      </w:r>
      <w:proofErr w:type="spellEnd"/>
      <w:r w:rsidRPr="00B041A6">
        <w:rPr>
          <w:rFonts w:ascii="Arial" w:eastAsia="Arial" w:hAnsi="Arial" w:cs="Arial"/>
          <w:sz w:val="16"/>
          <w:szCs w:val="24"/>
          <w:lang w:eastAsia="de-DE"/>
        </w:rPr>
        <w:t>. DEUTSCH</w:t>
      </w:r>
    </w:p>
    <w:p w14:paraId="3CEACF79" w14:textId="77777777" w:rsidR="00277F70" w:rsidRPr="00596953" w:rsidRDefault="00277F70" w:rsidP="00277F70">
      <w:pPr>
        <w:widowControl/>
        <w:overflowPunct/>
        <w:autoSpaceDE/>
        <w:autoSpaceDN/>
        <w:adjustRightInd/>
        <w:snapToGrid w:val="0"/>
        <w:ind w:left="0" w:firstLine="0"/>
        <w:jc w:val="left"/>
        <w:textAlignment w:val="auto"/>
        <w:rPr>
          <w:rFonts w:ascii="Arial" w:hAnsi="Arial" w:cs="Arial"/>
          <w:sz w:val="16"/>
          <w:szCs w:val="24"/>
          <w:lang w:eastAsia="de-DE"/>
        </w:rPr>
      </w:pPr>
    </w:p>
    <w:p w14:paraId="1726207D" w14:textId="77777777" w:rsidR="00277F70" w:rsidRPr="00596953" w:rsidRDefault="00277F70" w:rsidP="00277F70">
      <w:pPr>
        <w:widowControl/>
        <w:overflowPunct/>
        <w:autoSpaceDE/>
        <w:autoSpaceDN/>
        <w:adjustRightInd/>
        <w:snapToGrid w:val="0"/>
        <w:ind w:left="0" w:firstLine="0"/>
        <w:jc w:val="left"/>
        <w:textAlignment w:val="auto"/>
        <w:rPr>
          <w:rFonts w:ascii="Arial" w:hAnsi="Arial" w:cs="Arial"/>
          <w:sz w:val="16"/>
          <w:szCs w:val="24"/>
          <w:lang w:eastAsia="de-DE"/>
        </w:rPr>
      </w:pPr>
    </w:p>
    <w:p w14:paraId="6A2432CE" w14:textId="0775FE43" w:rsidR="009873A1" w:rsidRPr="00075637" w:rsidRDefault="009873A1" w:rsidP="009873A1">
      <w:pPr>
        <w:tabs>
          <w:tab w:val="left" w:pos="2977"/>
        </w:tabs>
        <w:ind w:left="3960"/>
        <w:rPr>
          <w:rFonts w:ascii="Arial" w:hAnsi="Arial" w:cs="Arial"/>
          <w:b/>
          <w:sz w:val="16"/>
          <w:szCs w:val="16"/>
          <w:lang w:eastAsia="en-US"/>
        </w:rPr>
      </w:pPr>
    </w:p>
    <w:p w14:paraId="666D5097" w14:textId="77777777" w:rsidR="009873A1" w:rsidRPr="00820ADF" w:rsidRDefault="009873A1" w:rsidP="009873A1">
      <w:pPr>
        <w:widowControl/>
        <w:tabs>
          <w:tab w:val="left" w:pos="2977"/>
        </w:tabs>
        <w:overflowPunct/>
        <w:autoSpaceDE/>
        <w:autoSpaceDN/>
        <w:adjustRightInd/>
        <w:snapToGrid w:val="0"/>
        <w:ind w:left="3958" w:firstLine="0"/>
        <w:jc w:val="left"/>
        <w:textAlignment w:val="auto"/>
        <w:rPr>
          <w:rFonts w:ascii="Arial" w:hAnsi="Arial"/>
          <w:noProof/>
          <w:sz w:val="16"/>
          <w:szCs w:val="24"/>
        </w:rPr>
      </w:pPr>
      <w:r w:rsidRPr="00820ADF">
        <w:rPr>
          <w:rFonts w:ascii="Arial" w:hAnsi="Arial"/>
          <w:noProof/>
          <w:sz w:val="16"/>
          <w:szCs w:val="24"/>
        </w:rPr>
        <w:t xml:space="preserve">GEMEINSAME EXPERTENTAGUNG FÜR DIE DEM ÜBEREINKOMMEN ÜBER DIE INTERNATIONALE BEFÖRDERUNG VON GEFÄHRLICHEN GÜTERN AUF </w:t>
      </w:r>
      <w:r w:rsidRPr="00820ADF">
        <w:rPr>
          <w:rFonts w:ascii="Arial" w:eastAsia="Calibri" w:hAnsi="Arial" w:cs="Arial"/>
          <w:sz w:val="16"/>
          <w:szCs w:val="16"/>
          <w:lang w:eastAsia="en-US"/>
        </w:rPr>
        <w:t xml:space="preserve">BINNENWASSERSTRAẞEN (ADN) </w:t>
      </w:r>
      <w:r w:rsidRPr="00820ADF">
        <w:rPr>
          <w:rFonts w:ascii="Arial" w:hAnsi="Arial"/>
          <w:noProof/>
          <w:sz w:val="16"/>
          <w:szCs w:val="24"/>
        </w:rPr>
        <w:t>BEIGEFÜGTE VERORDNUNG (SICHERHEITSAUSSCHUSS)</w:t>
      </w:r>
    </w:p>
    <w:p w14:paraId="0013FCAC" w14:textId="7B0990D9" w:rsidR="00277F70" w:rsidRPr="00B041A6" w:rsidRDefault="00277F70" w:rsidP="009873A1">
      <w:pPr>
        <w:widowControl/>
        <w:tabs>
          <w:tab w:val="left" w:pos="2977"/>
        </w:tabs>
        <w:overflowPunct/>
        <w:autoSpaceDE/>
        <w:autoSpaceDN/>
        <w:adjustRightInd/>
        <w:snapToGrid w:val="0"/>
        <w:ind w:left="3960" w:firstLine="0"/>
        <w:jc w:val="left"/>
        <w:textAlignment w:val="auto"/>
        <w:rPr>
          <w:rFonts w:ascii="Arial" w:hAnsi="Arial"/>
          <w:sz w:val="16"/>
          <w:szCs w:val="24"/>
        </w:rPr>
      </w:pPr>
      <w:r>
        <w:rPr>
          <w:rFonts w:ascii="Arial" w:hAnsi="Arial"/>
          <w:sz w:val="16"/>
          <w:szCs w:val="24"/>
        </w:rPr>
        <w:t>(3</w:t>
      </w:r>
      <w:r w:rsidR="003F5E68">
        <w:rPr>
          <w:rFonts w:ascii="Arial" w:hAnsi="Arial"/>
          <w:sz w:val="16"/>
          <w:szCs w:val="24"/>
        </w:rPr>
        <w:t>7</w:t>
      </w:r>
      <w:r w:rsidRPr="00B041A6">
        <w:rPr>
          <w:rFonts w:ascii="Arial" w:hAnsi="Arial"/>
          <w:sz w:val="16"/>
          <w:szCs w:val="24"/>
        </w:rPr>
        <w:t xml:space="preserve">. Tagung, Genf, </w:t>
      </w:r>
      <w:r>
        <w:rPr>
          <w:rFonts w:ascii="Arial" w:hAnsi="Arial"/>
          <w:sz w:val="16"/>
          <w:szCs w:val="24"/>
        </w:rPr>
        <w:t>2</w:t>
      </w:r>
      <w:r w:rsidR="00222245">
        <w:rPr>
          <w:rFonts w:ascii="Arial" w:hAnsi="Arial"/>
          <w:sz w:val="16"/>
          <w:szCs w:val="24"/>
        </w:rPr>
        <w:t>4</w:t>
      </w:r>
      <w:r>
        <w:rPr>
          <w:rFonts w:ascii="Arial" w:hAnsi="Arial"/>
          <w:sz w:val="16"/>
          <w:szCs w:val="24"/>
        </w:rPr>
        <w:t>.</w:t>
      </w:r>
      <w:r w:rsidR="000B2B01">
        <w:rPr>
          <w:rFonts w:ascii="Arial" w:hAnsi="Arial"/>
          <w:sz w:val="16"/>
          <w:szCs w:val="24"/>
        </w:rPr>
        <w:t xml:space="preserve"> </w:t>
      </w:r>
      <w:r>
        <w:rPr>
          <w:rFonts w:ascii="Arial" w:hAnsi="Arial"/>
          <w:sz w:val="16"/>
          <w:szCs w:val="24"/>
        </w:rPr>
        <w:t>-</w:t>
      </w:r>
      <w:r w:rsidR="000B2B01">
        <w:rPr>
          <w:rFonts w:ascii="Arial" w:hAnsi="Arial"/>
          <w:sz w:val="16"/>
          <w:szCs w:val="24"/>
        </w:rPr>
        <w:t xml:space="preserve"> </w:t>
      </w:r>
      <w:r w:rsidR="00222245">
        <w:rPr>
          <w:rFonts w:ascii="Arial" w:hAnsi="Arial"/>
          <w:sz w:val="16"/>
          <w:szCs w:val="24"/>
        </w:rPr>
        <w:t>28</w:t>
      </w:r>
      <w:r>
        <w:rPr>
          <w:rFonts w:ascii="Arial" w:hAnsi="Arial"/>
          <w:sz w:val="16"/>
          <w:szCs w:val="24"/>
        </w:rPr>
        <w:t xml:space="preserve">. </w:t>
      </w:r>
      <w:r w:rsidR="00222245">
        <w:rPr>
          <w:rFonts w:ascii="Arial" w:hAnsi="Arial"/>
          <w:sz w:val="16"/>
          <w:szCs w:val="24"/>
        </w:rPr>
        <w:t>August</w:t>
      </w:r>
      <w:r>
        <w:rPr>
          <w:rFonts w:ascii="Arial" w:hAnsi="Arial"/>
          <w:sz w:val="16"/>
          <w:szCs w:val="24"/>
        </w:rPr>
        <w:t xml:space="preserve"> 2020</w:t>
      </w:r>
      <w:r w:rsidRPr="00B041A6">
        <w:rPr>
          <w:rFonts w:ascii="Arial" w:hAnsi="Arial"/>
          <w:sz w:val="16"/>
          <w:szCs w:val="24"/>
        </w:rPr>
        <w:t>)</w:t>
      </w:r>
    </w:p>
    <w:p w14:paraId="19D0F3FB" w14:textId="4BA5D86D" w:rsidR="00277F70" w:rsidRPr="00B041A6" w:rsidRDefault="00277F70" w:rsidP="00277F70">
      <w:pPr>
        <w:widowControl/>
        <w:tabs>
          <w:tab w:val="left" w:pos="2977"/>
        </w:tabs>
        <w:overflowPunct/>
        <w:autoSpaceDE/>
        <w:autoSpaceDN/>
        <w:adjustRightInd/>
        <w:snapToGrid w:val="0"/>
        <w:ind w:left="3960" w:firstLine="0"/>
        <w:jc w:val="left"/>
        <w:textAlignment w:val="auto"/>
        <w:rPr>
          <w:rFonts w:ascii="Arial" w:hAnsi="Arial" w:cs="Arial"/>
          <w:sz w:val="16"/>
          <w:szCs w:val="16"/>
          <w:lang w:eastAsia="en-US"/>
        </w:rPr>
      </w:pPr>
      <w:r w:rsidRPr="00B041A6">
        <w:rPr>
          <w:rFonts w:ascii="Arial" w:hAnsi="Arial" w:cs="Arial"/>
          <w:sz w:val="16"/>
          <w:szCs w:val="16"/>
          <w:lang w:eastAsia="en-US"/>
        </w:rPr>
        <w:t xml:space="preserve">Punkt </w:t>
      </w:r>
      <w:r w:rsidR="00863D48">
        <w:rPr>
          <w:rFonts w:ascii="Arial" w:hAnsi="Arial" w:cs="Arial"/>
          <w:sz w:val="16"/>
          <w:szCs w:val="16"/>
          <w:lang w:eastAsia="en-US"/>
        </w:rPr>
        <w:t>4 b)</w:t>
      </w:r>
      <w:r w:rsidRPr="00B041A6">
        <w:rPr>
          <w:rFonts w:ascii="Arial" w:hAnsi="Arial" w:cs="Arial"/>
          <w:sz w:val="16"/>
          <w:szCs w:val="16"/>
          <w:lang w:eastAsia="en-US"/>
        </w:rPr>
        <w:t xml:space="preserve"> zur vorläufigen Tagesordnung</w:t>
      </w:r>
    </w:p>
    <w:p w14:paraId="4ADFA0EB" w14:textId="461A8503" w:rsidR="00277F70" w:rsidRPr="009051C2" w:rsidRDefault="00277F70" w:rsidP="000E12CF">
      <w:pPr>
        <w:tabs>
          <w:tab w:val="left" w:pos="2977"/>
        </w:tabs>
        <w:ind w:left="3960" w:firstLine="9"/>
        <w:rPr>
          <w:rFonts w:ascii="Arial" w:hAnsi="Arial" w:cs="Arial"/>
          <w:b/>
          <w:sz w:val="16"/>
          <w:szCs w:val="16"/>
          <w:lang w:eastAsia="en-US"/>
        </w:rPr>
      </w:pPr>
      <w:r w:rsidRPr="00DC4C63">
        <w:rPr>
          <w:rFonts w:ascii="Arial" w:hAnsi="Arial" w:cs="Arial"/>
          <w:b/>
          <w:sz w:val="16"/>
          <w:szCs w:val="16"/>
          <w:lang w:eastAsia="en-US"/>
        </w:rPr>
        <w:t>Vorschläge für Änderungen der dem ADN beigefügten Verordnung</w:t>
      </w:r>
      <w:r w:rsidRPr="002D550A">
        <w:rPr>
          <w:rFonts w:ascii="Arial" w:hAnsi="Arial" w:cs="Arial"/>
          <w:b/>
          <w:sz w:val="16"/>
          <w:szCs w:val="16"/>
          <w:lang w:eastAsia="en-US"/>
        </w:rPr>
        <w:t>:</w:t>
      </w:r>
      <w:r w:rsidR="000E12CF">
        <w:rPr>
          <w:rFonts w:ascii="Arial" w:hAnsi="Arial" w:cs="Arial"/>
          <w:b/>
          <w:sz w:val="16"/>
          <w:szCs w:val="16"/>
          <w:lang w:eastAsia="en-US"/>
        </w:rPr>
        <w:t xml:space="preserve"> </w:t>
      </w:r>
      <w:r>
        <w:rPr>
          <w:rFonts w:ascii="Arial" w:hAnsi="Arial" w:cs="Arial"/>
          <w:b/>
          <w:sz w:val="16"/>
          <w:szCs w:val="16"/>
          <w:lang w:eastAsia="en-US"/>
        </w:rPr>
        <w:t xml:space="preserve">Weitere </w:t>
      </w:r>
      <w:r w:rsidR="000E12CF">
        <w:rPr>
          <w:rFonts w:ascii="Arial" w:hAnsi="Arial" w:cs="Arial"/>
          <w:b/>
          <w:sz w:val="16"/>
          <w:szCs w:val="16"/>
          <w:lang w:eastAsia="en-US"/>
        </w:rPr>
        <w:t>Änderungsv</w:t>
      </w:r>
      <w:r>
        <w:rPr>
          <w:rFonts w:ascii="Arial" w:hAnsi="Arial" w:cs="Arial"/>
          <w:b/>
          <w:sz w:val="16"/>
          <w:szCs w:val="16"/>
          <w:lang w:eastAsia="en-US"/>
        </w:rPr>
        <w:t>orschläge</w:t>
      </w:r>
    </w:p>
    <w:p w14:paraId="002D392D" w14:textId="332CA6DE" w:rsidR="00277F70" w:rsidRPr="00B041A6" w:rsidRDefault="00277F70" w:rsidP="00724E6F">
      <w:pPr>
        <w:widowControl/>
        <w:tabs>
          <w:tab w:val="left" w:pos="2977"/>
          <w:tab w:val="left" w:pos="5230"/>
        </w:tabs>
        <w:overflowPunct/>
        <w:autoSpaceDE/>
        <w:autoSpaceDN/>
        <w:adjustRightInd/>
        <w:snapToGrid w:val="0"/>
        <w:ind w:left="3960" w:firstLine="0"/>
        <w:jc w:val="left"/>
        <w:textAlignment w:val="auto"/>
        <w:rPr>
          <w:rFonts w:ascii="Arial" w:hAnsi="Arial" w:cs="Arial"/>
          <w:b/>
          <w:sz w:val="16"/>
          <w:szCs w:val="16"/>
          <w:lang w:eastAsia="en-US"/>
        </w:rPr>
      </w:pPr>
    </w:p>
    <w:p w14:paraId="61F72EEA" w14:textId="026D95B1" w:rsidR="00277F70" w:rsidRDefault="00277F70" w:rsidP="00277F70">
      <w:pPr>
        <w:widowControl/>
        <w:tabs>
          <w:tab w:val="left" w:pos="2977"/>
        </w:tabs>
        <w:overflowPunct/>
        <w:autoSpaceDE/>
        <w:autoSpaceDN/>
        <w:adjustRightInd/>
        <w:snapToGrid w:val="0"/>
        <w:ind w:left="3960" w:firstLine="0"/>
        <w:jc w:val="left"/>
        <w:textAlignment w:val="auto"/>
        <w:rPr>
          <w:rFonts w:ascii="Arial" w:hAnsi="Arial" w:cs="Arial"/>
          <w:b/>
          <w:sz w:val="16"/>
          <w:szCs w:val="16"/>
          <w:lang w:eastAsia="en-US"/>
        </w:rPr>
      </w:pPr>
    </w:p>
    <w:p w14:paraId="4114535C" w14:textId="77777777" w:rsidR="000E12CF" w:rsidRPr="00596953" w:rsidRDefault="000E12CF" w:rsidP="00277F70">
      <w:pPr>
        <w:widowControl/>
        <w:tabs>
          <w:tab w:val="left" w:pos="2977"/>
        </w:tabs>
        <w:overflowPunct/>
        <w:autoSpaceDE/>
        <w:autoSpaceDN/>
        <w:adjustRightInd/>
        <w:snapToGrid w:val="0"/>
        <w:ind w:left="3960" w:firstLine="0"/>
        <w:jc w:val="left"/>
        <w:textAlignment w:val="auto"/>
        <w:rPr>
          <w:rFonts w:ascii="Arial" w:hAnsi="Arial" w:cs="Arial"/>
          <w:b/>
          <w:sz w:val="16"/>
          <w:szCs w:val="16"/>
          <w:lang w:eastAsia="en-US"/>
        </w:rPr>
      </w:pPr>
    </w:p>
    <w:p w14:paraId="0A783B2D" w14:textId="783180B2" w:rsidR="00277F70" w:rsidRPr="00B041A6" w:rsidRDefault="003B3B76" w:rsidP="00E727CB">
      <w:pPr>
        <w:pStyle w:val="HChG"/>
        <w:keepNext w:val="0"/>
        <w:keepLines w:val="0"/>
        <w:tabs>
          <w:tab w:val="clear" w:pos="851"/>
        </w:tabs>
        <w:spacing w:before="0" w:after="0" w:line="240" w:lineRule="auto"/>
        <w:ind w:right="0" w:firstLine="0"/>
        <w:jc w:val="both"/>
        <w:rPr>
          <w:bCs/>
          <w:szCs w:val="24"/>
          <w:lang w:val="de-DE"/>
        </w:rPr>
      </w:pPr>
      <w:bookmarkStart w:id="1" w:name="_Hlk33099965"/>
      <w:r w:rsidRPr="003B3B76">
        <w:rPr>
          <w:bCs/>
          <w:szCs w:val="24"/>
          <w:lang w:val="de-DE"/>
        </w:rPr>
        <w:t>Feuerlöscheinrichtung an Bord eines einzelnen (nicht motorisierten) Schubleichters</w:t>
      </w:r>
    </w:p>
    <w:bookmarkEnd w:id="1"/>
    <w:p w14:paraId="4182DA61" w14:textId="19E1FB31" w:rsidR="00277F70" w:rsidRPr="00B041A6" w:rsidRDefault="00277F70" w:rsidP="00E727CB">
      <w:pPr>
        <w:keepNext/>
        <w:keepLines/>
        <w:widowControl/>
        <w:suppressAutoHyphens/>
        <w:overflowPunct/>
        <w:autoSpaceDE/>
        <w:autoSpaceDN/>
        <w:adjustRightInd/>
        <w:snapToGrid w:val="0"/>
        <w:spacing w:before="360" w:after="240" w:line="270" w:lineRule="exact"/>
        <w:ind w:right="567" w:firstLine="0"/>
        <w:jc w:val="left"/>
        <w:textAlignment w:val="auto"/>
        <w:rPr>
          <w:b/>
          <w:sz w:val="24"/>
        </w:rPr>
      </w:pPr>
      <w:r w:rsidRPr="00B041A6">
        <w:rPr>
          <w:b/>
          <w:sz w:val="24"/>
        </w:rPr>
        <w:t xml:space="preserve">Vorgelegt von </w:t>
      </w:r>
      <w:r w:rsidR="003E12AD">
        <w:rPr>
          <w:b/>
          <w:sz w:val="24"/>
        </w:rPr>
        <w:t>Österreich</w:t>
      </w:r>
      <w:r w:rsidRPr="00B041A6">
        <w:rPr>
          <w:b/>
          <w:sz w:val="18"/>
          <w:vertAlign w:val="superscript"/>
        </w:rPr>
        <w:footnoteReference w:id="1"/>
      </w:r>
      <w:r w:rsidRPr="00B041A6">
        <w:rPr>
          <w:b/>
          <w:sz w:val="18"/>
          <w:vertAlign w:val="superscript"/>
        </w:rPr>
        <w:t>,</w:t>
      </w:r>
      <w:r w:rsidRPr="00B041A6">
        <w:rPr>
          <w:b/>
          <w:sz w:val="18"/>
          <w:vertAlign w:val="superscript"/>
        </w:rPr>
        <w:footnoteReference w:id="2"/>
      </w:r>
    </w:p>
    <w:p w14:paraId="54009B72" w14:textId="77777777" w:rsidR="009C033F" w:rsidRPr="007C72B0" w:rsidRDefault="009C033F" w:rsidP="009C033F">
      <w:pPr>
        <w:rPr>
          <w:sz w:val="28"/>
          <w:szCs w:val="28"/>
        </w:rPr>
      </w:pPr>
    </w:p>
    <w:p w14:paraId="495687B8" w14:textId="6191028F" w:rsidR="003F5E68" w:rsidRPr="007C72B0" w:rsidRDefault="003F5E68" w:rsidP="00863D48">
      <w:pPr>
        <w:ind w:firstLine="0"/>
        <w:rPr>
          <w:b/>
          <w:sz w:val="28"/>
          <w:szCs w:val="28"/>
        </w:rPr>
      </w:pPr>
      <w:bookmarkStart w:id="2" w:name="_Hlk33099984"/>
      <w:r w:rsidRPr="007C72B0">
        <w:rPr>
          <w:b/>
          <w:sz w:val="28"/>
          <w:szCs w:val="28"/>
        </w:rPr>
        <w:t>Anzahl der Energiequellen für die Feuerlöschpumpen</w:t>
      </w:r>
    </w:p>
    <w:p w14:paraId="17A17FA1" w14:textId="77777777" w:rsidR="003F5E68" w:rsidRDefault="003F5E68" w:rsidP="003F5E68">
      <w:pPr>
        <w:ind w:firstLine="0"/>
      </w:pPr>
    </w:p>
    <w:p w14:paraId="29A9F88A" w14:textId="7D63B4F7" w:rsidR="003F5E68" w:rsidRDefault="003F5E68" w:rsidP="007C72B0">
      <w:pPr>
        <w:pStyle w:val="ListParagraph"/>
        <w:numPr>
          <w:ilvl w:val="0"/>
          <w:numId w:val="2"/>
        </w:numPr>
        <w:tabs>
          <w:tab w:val="left" w:pos="1701"/>
        </w:tabs>
        <w:ind w:left="1134" w:firstLine="0"/>
      </w:pPr>
      <w:r w:rsidRPr="00320562">
        <w:t xml:space="preserve">Im </w:t>
      </w:r>
      <w:r>
        <w:t xml:space="preserve">Protokoll über die fünfunddreißigste Sitzung des ADN-Sicherheitsausschusses, </w:t>
      </w:r>
      <w:r w:rsidR="009545CD" w:rsidRPr="009545CD">
        <w:t>ECE/TRANS/WP.15/AC.2/72</w:t>
      </w:r>
      <w:r>
        <w:t>, wurde unter Ziffer 49 festgehalten:</w:t>
      </w:r>
    </w:p>
    <w:p w14:paraId="38DE819E" w14:textId="77777777" w:rsidR="003F5E68" w:rsidRPr="00320562" w:rsidRDefault="003F5E68" w:rsidP="007C72B0">
      <w:pPr>
        <w:tabs>
          <w:tab w:val="left" w:pos="1701"/>
        </w:tabs>
        <w:ind w:firstLine="0"/>
      </w:pPr>
    </w:p>
    <w:p w14:paraId="78B090AF" w14:textId="4B1F67D5" w:rsidR="003F5E68" w:rsidRDefault="003F5E68" w:rsidP="00AC78AF">
      <w:pPr>
        <w:ind w:firstLine="0"/>
      </w:pPr>
      <w:r>
        <w:t>„Der Sicherheitsausschuss kam gleichwohl zu dem Schluss, dass weitere Untersuchungen über unbemannte, nicht motorisierte Leichter, die Energiequellen und elektrischen Anlagen für die Pumpen auf solchen Leichtern und die Auslegung von „nicht in demselben Raum“ durch die verschiedenen Klassifikationsgesellschaften erforderlich sind. Er bat die informelle Arbeitsgruppe der Empfohlenen Klassifikationsgesellschaften, diese Themen zu erörtern.“.</w:t>
      </w:r>
    </w:p>
    <w:p w14:paraId="28AB7F83" w14:textId="77777777" w:rsidR="003F5E68" w:rsidRDefault="003F5E68" w:rsidP="007C72B0">
      <w:pPr>
        <w:tabs>
          <w:tab w:val="left" w:pos="1701"/>
        </w:tabs>
        <w:ind w:firstLine="0"/>
      </w:pPr>
    </w:p>
    <w:p w14:paraId="56479AD5" w14:textId="0D0DFD9D" w:rsidR="003F5E68" w:rsidRPr="003F5E68" w:rsidRDefault="003F5E68" w:rsidP="007C72B0">
      <w:pPr>
        <w:pStyle w:val="ListParagraph"/>
        <w:numPr>
          <w:ilvl w:val="0"/>
          <w:numId w:val="2"/>
        </w:numPr>
        <w:tabs>
          <w:tab w:val="left" w:pos="1701"/>
        </w:tabs>
        <w:ind w:left="1134" w:firstLine="0"/>
      </w:pPr>
      <w:r w:rsidRPr="00863D48">
        <w:rPr>
          <w:lang w:val="en-US"/>
        </w:rPr>
        <w:t xml:space="preserve">Die „Minutes of Meeting of the 18th meeting of the Group of ADN Recommended Classification </w:t>
      </w:r>
      <w:proofErr w:type="gramStart"/>
      <w:r w:rsidRPr="00863D48">
        <w:rPr>
          <w:lang w:val="en-US"/>
        </w:rPr>
        <w:t>Societies“</w:t>
      </w:r>
      <w:proofErr w:type="gramEnd"/>
      <w:r w:rsidRPr="00863D48">
        <w:rPr>
          <w:lang w:val="en-US"/>
        </w:rPr>
        <w:t xml:space="preserve">, die </w:t>
      </w:r>
      <w:proofErr w:type="spellStart"/>
      <w:r w:rsidRPr="00863D48">
        <w:rPr>
          <w:lang w:val="en-US"/>
        </w:rPr>
        <w:t>mit</w:t>
      </w:r>
      <w:proofErr w:type="spellEnd"/>
      <w:r w:rsidRPr="00863D48">
        <w:rPr>
          <w:lang w:val="en-US"/>
        </w:rPr>
        <w:t xml:space="preserve"> INF.9 </w:t>
      </w:r>
      <w:proofErr w:type="spellStart"/>
      <w:r w:rsidRPr="00863D48">
        <w:rPr>
          <w:lang w:val="en-US"/>
        </w:rPr>
        <w:t>bei</w:t>
      </w:r>
      <w:proofErr w:type="spellEnd"/>
      <w:r w:rsidRPr="00863D48">
        <w:rPr>
          <w:lang w:val="en-US"/>
        </w:rPr>
        <w:t xml:space="preserve"> der 36. </w:t>
      </w:r>
      <w:r w:rsidRPr="003F5E68">
        <w:t>Sitzung des ADN-Sicherheitsausschusses vorgelegt wurde, enthielten keine Informationen zu diesem Thema.</w:t>
      </w:r>
    </w:p>
    <w:p w14:paraId="140BB9D8" w14:textId="77777777" w:rsidR="003F5E68" w:rsidRDefault="003F5E68" w:rsidP="007C72B0">
      <w:pPr>
        <w:tabs>
          <w:tab w:val="left" w:pos="1701"/>
        </w:tabs>
        <w:ind w:firstLine="0"/>
      </w:pPr>
    </w:p>
    <w:p w14:paraId="20E54C7E" w14:textId="5C40113A" w:rsidR="003F5E68" w:rsidRDefault="003F5E68" w:rsidP="007C72B0">
      <w:pPr>
        <w:pStyle w:val="ListParagraph"/>
        <w:numPr>
          <w:ilvl w:val="0"/>
          <w:numId w:val="2"/>
        </w:numPr>
        <w:tabs>
          <w:tab w:val="left" w:pos="1701"/>
        </w:tabs>
        <w:ind w:left="1134" w:firstLine="0"/>
      </w:pPr>
      <w:r>
        <w:t xml:space="preserve">Jedoch wurde vom Sekretariat der Donaukommission mit INF.19 </w:t>
      </w:r>
      <w:r w:rsidR="006B10A8" w:rsidRPr="006B10A8">
        <w:t xml:space="preserve">bei der 36. </w:t>
      </w:r>
      <w:r w:rsidR="006B10A8" w:rsidRPr="003F5E68">
        <w:t>Sitzung</w:t>
      </w:r>
      <w:r w:rsidR="006B10A8">
        <w:t xml:space="preserve"> </w:t>
      </w:r>
      <w:r>
        <w:t xml:space="preserve">ein Bericht über die Anzahl der Energiequellen auf bemannten und unbemannten Schubleichtern unter Berücksichtigung der Vorschriften des </w:t>
      </w:r>
      <w:proofErr w:type="gramStart"/>
      <w:r>
        <w:t>Ukrainischen</w:t>
      </w:r>
      <w:proofErr w:type="gramEnd"/>
      <w:r>
        <w:t xml:space="preserve"> Registers und des Russischen Flussregisters vorgelegt.</w:t>
      </w:r>
    </w:p>
    <w:p w14:paraId="17B43A05" w14:textId="15663A68" w:rsidR="007C72B0" w:rsidRDefault="007C72B0">
      <w:pPr>
        <w:widowControl/>
        <w:overflowPunct/>
        <w:autoSpaceDE/>
        <w:autoSpaceDN/>
        <w:adjustRightInd/>
        <w:ind w:left="0" w:firstLine="0"/>
        <w:jc w:val="left"/>
        <w:textAlignment w:val="auto"/>
      </w:pPr>
      <w:r>
        <w:br w:type="page"/>
      </w:r>
    </w:p>
    <w:p w14:paraId="0DDB6BE5" w14:textId="77777777" w:rsidR="003F5E68" w:rsidRDefault="003F5E68" w:rsidP="007C72B0">
      <w:pPr>
        <w:tabs>
          <w:tab w:val="left" w:pos="1701"/>
        </w:tabs>
        <w:ind w:firstLine="0"/>
      </w:pPr>
    </w:p>
    <w:p w14:paraId="782286CA" w14:textId="75E830F6" w:rsidR="003F5E68" w:rsidRDefault="003F5E68" w:rsidP="007C72B0">
      <w:pPr>
        <w:pStyle w:val="ListParagraph"/>
        <w:numPr>
          <w:ilvl w:val="0"/>
          <w:numId w:val="2"/>
        </w:numPr>
        <w:tabs>
          <w:tab w:val="left" w:pos="1701"/>
        </w:tabs>
        <w:ind w:left="1134" w:firstLine="0"/>
      </w:pPr>
      <w:r>
        <w:t>Aus diesem Bericht geht hervor, dass unbemannte Schubleichter nur über eine eigenständige Energiequelle verfügen und die zweite Energiequelle von einem bemannten Schiff zur Verfügung gestellt wird.</w:t>
      </w:r>
    </w:p>
    <w:p w14:paraId="5F99DD54" w14:textId="77777777" w:rsidR="003F5E68" w:rsidRDefault="003F5E68" w:rsidP="007C72B0">
      <w:pPr>
        <w:tabs>
          <w:tab w:val="left" w:pos="1701"/>
        </w:tabs>
        <w:ind w:firstLine="0"/>
      </w:pPr>
    </w:p>
    <w:p w14:paraId="2CCCD9BA" w14:textId="0C608D49" w:rsidR="003F5E68" w:rsidRDefault="003F5E68" w:rsidP="007C72B0">
      <w:pPr>
        <w:pStyle w:val="ListParagraph"/>
        <w:numPr>
          <w:ilvl w:val="0"/>
          <w:numId w:val="2"/>
        </w:numPr>
        <w:tabs>
          <w:tab w:val="left" w:pos="1701"/>
        </w:tabs>
        <w:ind w:left="1134" w:firstLine="0"/>
      </w:pPr>
      <w:r>
        <w:t xml:space="preserve">Während bemannte Schubleichter mit gefährlichen Gütern ohne Motorschiff abgestellt werden können, ist das bei Schubleichtern </w:t>
      </w:r>
      <w:proofErr w:type="gramStart"/>
      <w:r>
        <w:t>ohne Wohnräumen</w:t>
      </w:r>
      <w:proofErr w:type="gramEnd"/>
      <w:r>
        <w:t xml:space="preserve"> nicht möglich, da sich auf dem Schubleichter oder dem Verband zu jedem Zeitpunkt ein Sachkundiger befinden muss.</w:t>
      </w:r>
    </w:p>
    <w:p w14:paraId="49C971DD" w14:textId="77777777" w:rsidR="003F5E68" w:rsidRDefault="003F5E68" w:rsidP="007C72B0">
      <w:pPr>
        <w:tabs>
          <w:tab w:val="left" w:pos="1701"/>
        </w:tabs>
        <w:ind w:firstLine="0"/>
      </w:pPr>
    </w:p>
    <w:p w14:paraId="5021F517" w14:textId="515FCE7B" w:rsidR="003F5E68" w:rsidRDefault="003F5E68" w:rsidP="007C72B0">
      <w:pPr>
        <w:pStyle w:val="ListParagraph"/>
        <w:numPr>
          <w:ilvl w:val="0"/>
          <w:numId w:val="2"/>
        </w:numPr>
        <w:tabs>
          <w:tab w:val="left" w:pos="1701"/>
        </w:tabs>
        <w:ind w:left="1134" w:firstLine="0"/>
      </w:pPr>
      <w:r>
        <w:t xml:space="preserve">Da die Verbindung zwischen einem unbemannten Schubleichter und einem bemannten Schiff nicht getrennt werden darf, erscheint es ausreichend, wenn die in 9.3.x.40.1 geforderte zweite Energiequelle der Feuerlöschpumpe durch das bemannte Schiff bereitgestellt wird. </w:t>
      </w:r>
    </w:p>
    <w:p w14:paraId="41C449F9" w14:textId="2ABCC16C" w:rsidR="003F5E68" w:rsidRDefault="003F5E68" w:rsidP="007C72B0">
      <w:pPr>
        <w:tabs>
          <w:tab w:val="left" w:pos="1701"/>
        </w:tabs>
        <w:ind w:firstLine="0"/>
      </w:pPr>
    </w:p>
    <w:p w14:paraId="265520E8" w14:textId="77777777" w:rsidR="007C72B0" w:rsidRDefault="007C72B0" w:rsidP="007C72B0">
      <w:pPr>
        <w:tabs>
          <w:tab w:val="left" w:pos="1701"/>
        </w:tabs>
        <w:ind w:firstLine="0"/>
      </w:pPr>
    </w:p>
    <w:p w14:paraId="2256AE66" w14:textId="2BFE1D37" w:rsidR="003F5E68" w:rsidRPr="006B10A8" w:rsidRDefault="003F5E68" w:rsidP="003F5E68">
      <w:pPr>
        <w:ind w:firstLine="0"/>
        <w:rPr>
          <w:b/>
          <w:sz w:val="28"/>
          <w:szCs w:val="28"/>
        </w:rPr>
      </w:pPr>
      <w:r w:rsidRPr="006B10A8">
        <w:rPr>
          <w:b/>
          <w:sz w:val="28"/>
          <w:szCs w:val="28"/>
        </w:rPr>
        <w:t>Änderungsantrag</w:t>
      </w:r>
    </w:p>
    <w:p w14:paraId="726D49D5" w14:textId="77777777" w:rsidR="003F5E68" w:rsidRDefault="003F5E68" w:rsidP="003F5E68">
      <w:pPr>
        <w:ind w:firstLine="0"/>
      </w:pPr>
    </w:p>
    <w:p w14:paraId="65B654DB" w14:textId="3D2B2BAF" w:rsidR="003F5E68" w:rsidRDefault="003F5E68" w:rsidP="007C72B0">
      <w:pPr>
        <w:pStyle w:val="ListParagraph"/>
        <w:numPr>
          <w:ilvl w:val="0"/>
          <w:numId w:val="2"/>
        </w:numPr>
        <w:tabs>
          <w:tab w:val="left" w:pos="1701"/>
        </w:tabs>
        <w:ind w:left="1134" w:firstLine="0"/>
      </w:pPr>
      <w:r>
        <w:t>Um Unklarheiten bei Kontrollen vorzubeugen wird folgende Ergänzung von 9.3.3.40.1 vorgeschlagen:</w:t>
      </w:r>
    </w:p>
    <w:p w14:paraId="33B5B8EA" w14:textId="77777777" w:rsidR="003F5E68" w:rsidRDefault="003F5E68" w:rsidP="003F5E68">
      <w:pPr>
        <w:ind w:firstLine="0"/>
      </w:pPr>
    </w:p>
    <w:p w14:paraId="1EE245BB" w14:textId="20E832CC" w:rsidR="003F5E68" w:rsidRDefault="003F5E68" w:rsidP="003F5E68">
      <w:pPr>
        <w:ind w:firstLine="0"/>
      </w:pPr>
      <w:r>
        <w:t xml:space="preserve">„Sofern ein unbemannter Schubleichter nur über eine Energiequelle verfügt und die zweite Energiequelle von einem anderen bemannten Schiff bereitgestellt werden muss, ist im Zulassungszeugnis unter Punkt 13, Zusätzliche Bemerkungen, einzutragen: </w:t>
      </w:r>
      <w:r w:rsidR="006B10A8">
        <w:t>„</w:t>
      </w:r>
      <w:r>
        <w:t>Bei der Beförderung gefährlicher Güter muss die Feuerlöscheinrichtung permanent durch ein anderes Schiff mit Energie versorgt werden.“</w:t>
      </w:r>
      <w:r w:rsidR="006B10A8">
        <w:t>“.</w:t>
      </w:r>
    </w:p>
    <w:p w14:paraId="6999C72F" w14:textId="77777777" w:rsidR="003F5E68" w:rsidRDefault="003F5E68" w:rsidP="003F5E68">
      <w:pPr>
        <w:ind w:firstLine="0"/>
      </w:pPr>
    </w:p>
    <w:p w14:paraId="4B7B5561" w14:textId="77777777" w:rsidR="003F5E68" w:rsidRDefault="003F5E68" w:rsidP="003F5E68">
      <w:pPr>
        <w:ind w:firstLine="0"/>
      </w:pPr>
    </w:p>
    <w:p w14:paraId="55873504" w14:textId="66CA6EB5" w:rsidR="003F5E68" w:rsidRPr="006B10A8" w:rsidRDefault="003F5E68" w:rsidP="003F5E68">
      <w:pPr>
        <w:ind w:firstLine="0"/>
        <w:rPr>
          <w:b/>
          <w:sz w:val="28"/>
          <w:szCs w:val="28"/>
        </w:rPr>
      </w:pPr>
      <w:r w:rsidRPr="006B10A8">
        <w:rPr>
          <w:b/>
          <w:sz w:val="28"/>
          <w:szCs w:val="28"/>
        </w:rPr>
        <w:t>Interpretation des Begriffs „im gleichen Raum“</w:t>
      </w:r>
    </w:p>
    <w:p w14:paraId="3F09BEEF" w14:textId="77777777" w:rsidR="003F5E68" w:rsidRDefault="003F5E68" w:rsidP="003F5E68">
      <w:pPr>
        <w:ind w:firstLine="0"/>
      </w:pPr>
    </w:p>
    <w:p w14:paraId="73EEA08D" w14:textId="64CE754A" w:rsidR="003F5E68" w:rsidRDefault="003F5E68" w:rsidP="007C72B0">
      <w:pPr>
        <w:pStyle w:val="ListParagraph"/>
        <w:numPr>
          <w:ilvl w:val="0"/>
          <w:numId w:val="2"/>
        </w:numPr>
        <w:tabs>
          <w:tab w:val="left" w:pos="1701"/>
        </w:tabs>
        <w:ind w:left="1134" w:firstLine="0"/>
      </w:pPr>
      <w:r>
        <w:t>9.3.x.40.1 enthält bezüglich der Feuerlöschpumpen folgende Anforderung:</w:t>
      </w:r>
    </w:p>
    <w:p w14:paraId="20A089FC" w14:textId="77777777" w:rsidR="003F5E68" w:rsidRDefault="003F5E68" w:rsidP="007C72B0">
      <w:pPr>
        <w:tabs>
          <w:tab w:val="left" w:pos="1701"/>
        </w:tabs>
        <w:ind w:firstLine="0"/>
      </w:pPr>
    </w:p>
    <w:p w14:paraId="185DD5EF" w14:textId="06F18BB0" w:rsidR="003F5E68" w:rsidRDefault="003F5E68" w:rsidP="00AC78AF">
      <w:pPr>
        <w:ind w:firstLine="0"/>
      </w:pPr>
      <w:r>
        <w:t>„Diese Pumpen sowie deren Antrieb und deren elektrische Anlagen dürfen nicht im gleichen</w:t>
      </w:r>
      <w:r w:rsidR="00863D48">
        <w:t xml:space="preserve"> </w:t>
      </w:r>
      <w:r>
        <w:t>Raum aufgestellt sein.“</w:t>
      </w:r>
      <w:r w:rsidR="006B10A8">
        <w:t>.</w:t>
      </w:r>
    </w:p>
    <w:p w14:paraId="62E50332" w14:textId="77777777" w:rsidR="003F5E68" w:rsidRDefault="003F5E68" w:rsidP="007C72B0">
      <w:pPr>
        <w:tabs>
          <w:tab w:val="left" w:pos="1701"/>
        </w:tabs>
        <w:ind w:firstLine="0"/>
      </w:pPr>
    </w:p>
    <w:p w14:paraId="06B8790C" w14:textId="36B60C7A" w:rsidR="003F5E68" w:rsidRDefault="003F5E68" w:rsidP="007C72B0">
      <w:pPr>
        <w:pStyle w:val="ListParagraph"/>
        <w:numPr>
          <w:ilvl w:val="0"/>
          <w:numId w:val="2"/>
        </w:numPr>
        <w:tabs>
          <w:tab w:val="left" w:pos="1701"/>
        </w:tabs>
        <w:ind w:left="1134" w:firstLine="0"/>
      </w:pPr>
      <w:r>
        <w:t>Sowohl auf bemannten als auch auf unbemannten Schubleichtern gibt es in den meisten Fällen nicht zwei getrennte Maschinen- bzw. Pumpenräume. Feuerlöschpumpen können z.B. an Deck außerhalb des Bereichs der Ladung im Bug- und im Heckbereich aufgestellt werden. Da es von unterschiedlichen Stellen unterschiedliche Interpretationen gibt, ob es sich bei einer Aufstellung an Deck um eine Aufstellung „im gleichen Raum“ handelt, wird der Sicherheitsausschuss um eine Interpretation ersucht.</w:t>
      </w:r>
    </w:p>
    <w:p w14:paraId="6E0879B4" w14:textId="77777777" w:rsidR="003F5E68" w:rsidRDefault="003F5E68" w:rsidP="007C72B0">
      <w:pPr>
        <w:tabs>
          <w:tab w:val="left" w:pos="1701"/>
        </w:tabs>
        <w:ind w:firstLine="0"/>
      </w:pPr>
    </w:p>
    <w:p w14:paraId="5631DF02" w14:textId="429ABE2E" w:rsidR="003F5E68" w:rsidRDefault="003F5E68" w:rsidP="007C72B0">
      <w:pPr>
        <w:pStyle w:val="ListParagraph"/>
        <w:numPr>
          <w:ilvl w:val="0"/>
          <w:numId w:val="2"/>
        </w:numPr>
        <w:tabs>
          <w:tab w:val="left" w:pos="1701"/>
        </w:tabs>
        <w:ind w:left="1134" w:firstLine="0"/>
      </w:pPr>
      <w:r>
        <w:t>Aus Sicht der österreichischen Delegation würde bei der Aufstellung von zwei Pumpen im selben geschlossenen Raum ein großes Risiko bestehen, dass bei einem Brand beide Pumpen gleichzeitig ausfallen. Dieses Risiko besteht bei einer Aufstellung im Bug- und Heckbereich nicht. Wenn ein Feuer sowohl den Bug- als auch den Heckbereich betrifft, erscheint es unrealistisch, dass das Feuer noch von der Besatzung mit Bordmitteln bekämpft werden kann.</w:t>
      </w:r>
    </w:p>
    <w:p w14:paraId="524529DD" w14:textId="77777777" w:rsidR="003F5E68" w:rsidRDefault="003F5E68" w:rsidP="007C72B0">
      <w:pPr>
        <w:tabs>
          <w:tab w:val="left" w:pos="1701"/>
        </w:tabs>
        <w:ind w:firstLine="0"/>
      </w:pPr>
    </w:p>
    <w:p w14:paraId="4263F0D5" w14:textId="3BF108C5" w:rsidR="003F5E68" w:rsidRPr="00B467A5" w:rsidRDefault="003F5E68" w:rsidP="007C72B0">
      <w:pPr>
        <w:pStyle w:val="ListParagraph"/>
        <w:numPr>
          <w:ilvl w:val="0"/>
          <w:numId w:val="2"/>
        </w:numPr>
        <w:tabs>
          <w:tab w:val="left" w:pos="1701"/>
        </w:tabs>
        <w:ind w:left="1134" w:firstLine="0"/>
      </w:pPr>
      <w:r>
        <w:t>Die österreichische Delegation schlägt daher vor, festzuhalten, dass sich der Begriff „Raum“ auf geschlossene Räume, den Bereich an Deck vor dem Bereich der Ladung und den Bereich an Deck hinter dem Bereich der Ladung, nicht jedoch auf den gesamten Bereich an Deck bezieht.</w:t>
      </w:r>
    </w:p>
    <w:p w14:paraId="0162CF89" w14:textId="77777777" w:rsidR="0063076E" w:rsidRDefault="0063076E" w:rsidP="007C72B0">
      <w:pPr>
        <w:tabs>
          <w:tab w:val="left" w:pos="1418"/>
          <w:tab w:val="left" w:pos="1701"/>
        </w:tabs>
        <w:spacing w:line="240" w:lineRule="atLeast"/>
        <w:ind w:firstLine="0"/>
        <w:contextualSpacing/>
        <w:rPr>
          <w:rFonts w:cs="Arial"/>
        </w:rPr>
      </w:pPr>
    </w:p>
    <w:p w14:paraId="46C05A50" w14:textId="77777777" w:rsidR="0063076E" w:rsidRPr="00010B8A" w:rsidRDefault="0063076E" w:rsidP="0063076E">
      <w:pPr>
        <w:tabs>
          <w:tab w:val="left" w:pos="1418"/>
        </w:tabs>
        <w:spacing w:line="240" w:lineRule="atLeast"/>
        <w:ind w:left="0" w:firstLine="0"/>
        <w:contextualSpacing/>
        <w:jc w:val="center"/>
        <w:rPr>
          <w:rFonts w:cs="Arial"/>
        </w:rPr>
      </w:pPr>
      <w:r>
        <w:rPr>
          <w:rFonts w:cs="Arial"/>
        </w:rPr>
        <w:t>***</w:t>
      </w:r>
      <w:bookmarkEnd w:id="2"/>
    </w:p>
    <w:sectPr w:rsidR="0063076E" w:rsidRPr="00010B8A" w:rsidSect="00D36741">
      <w:headerReference w:type="even" r:id="rId8"/>
      <w:headerReference w:type="default" r:id="rId9"/>
      <w:footerReference w:type="even" r:id="rId10"/>
      <w:foot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FCC7E" w14:textId="77777777" w:rsidR="00277F70" w:rsidRDefault="00277F70" w:rsidP="00277F70">
      <w:r>
        <w:separator/>
      </w:r>
    </w:p>
  </w:endnote>
  <w:endnote w:type="continuationSeparator" w:id="0">
    <w:p w14:paraId="15BF02D3" w14:textId="77777777" w:rsidR="00277F70" w:rsidRDefault="00277F70" w:rsidP="0027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1AA26" w14:textId="793D5880" w:rsidR="00D36741" w:rsidRDefault="00D36741" w:rsidP="00D36741">
    <w:pPr>
      <w:widowControl/>
      <w:suppressAutoHyphens/>
      <w:overflowPunct/>
      <w:autoSpaceDE/>
      <w:autoSpaceDN/>
      <w:adjustRightInd/>
      <w:ind w:left="0" w:firstLine="0"/>
      <w:jc w:val="right"/>
      <w:textAlignment w:val="auto"/>
    </w:pPr>
    <w:r>
      <w:rPr>
        <w:rFonts w:ascii="Arial" w:hAnsi="Arial"/>
        <w:noProof/>
        <w:snapToGrid w:val="0"/>
        <w:sz w:val="12"/>
        <w:szCs w:val="24"/>
        <w:lang w:val="en-US"/>
      </w:rPr>
      <w:t>m</w:t>
    </w:r>
    <w:r w:rsidRPr="004F60A5">
      <w:rPr>
        <w:rFonts w:ascii="Arial" w:hAnsi="Arial"/>
        <w:noProof/>
        <w:snapToGrid w:val="0"/>
        <w:sz w:val="12"/>
        <w:szCs w:val="24"/>
        <w:lang w:val="en-US"/>
      </w:rPr>
      <w:t>m/adn_wp15_ac2_20</w:t>
    </w:r>
    <w:r>
      <w:rPr>
        <w:rFonts w:ascii="Arial" w:hAnsi="Arial"/>
        <w:noProof/>
        <w:snapToGrid w:val="0"/>
        <w:sz w:val="12"/>
        <w:szCs w:val="24"/>
        <w:lang w:val="en-US"/>
      </w:rPr>
      <w:t>20</w:t>
    </w:r>
    <w:r w:rsidRPr="004F60A5">
      <w:rPr>
        <w:rFonts w:ascii="Arial" w:hAnsi="Arial"/>
        <w:noProof/>
        <w:snapToGrid w:val="0"/>
        <w:sz w:val="12"/>
        <w:szCs w:val="24"/>
        <w:lang w:val="en-US"/>
      </w:rPr>
      <w:t>_</w:t>
    </w:r>
    <w:r w:rsidR="00863D48">
      <w:rPr>
        <w:rFonts w:ascii="Arial" w:hAnsi="Arial"/>
        <w:noProof/>
        <w:snapToGrid w:val="0"/>
        <w:sz w:val="12"/>
        <w:szCs w:val="24"/>
        <w:lang w:val="en-US"/>
      </w:rPr>
      <w:t>24</w:t>
    </w:r>
    <w:r w:rsidRPr="004F60A5">
      <w:rPr>
        <w:rFonts w:ascii="Arial" w:hAnsi="Arial"/>
        <w:noProof/>
        <w:snapToGrid w:val="0"/>
        <w:sz w:val="12"/>
        <w:szCs w:val="24"/>
        <w:lang w:val="en-US"/>
      </w:rPr>
      <w: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E2762" w14:textId="736DF9FA" w:rsidR="00D36741" w:rsidRDefault="00D36741" w:rsidP="00D36741">
    <w:pPr>
      <w:widowControl/>
      <w:suppressAutoHyphens/>
      <w:overflowPunct/>
      <w:autoSpaceDE/>
      <w:autoSpaceDN/>
      <w:adjustRightInd/>
      <w:ind w:left="0" w:firstLine="0"/>
      <w:jc w:val="right"/>
      <w:textAlignment w:val="auto"/>
    </w:pPr>
    <w:r>
      <w:rPr>
        <w:rFonts w:ascii="Arial" w:hAnsi="Arial"/>
        <w:noProof/>
        <w:snapToGrid w:val="0"/>
        <w:sz w:val="12"/>
        <w:szCs w:val="24"/>
        <w:lang w:val="en-US"/>
      </w:rPr>
      <w:t>m</w:t>
    </w:r>
    <w:r w:rsidRPr="004F60A5">
      <w:rPr>
        <w:rFonts w:ascii="Arial" w:hAnsi="Arial"/>
        <w:noProof/>
        <w:snapToGrid w:val="0"/>
        <w:sz w:val="12"/>
        <w:szCs w:val="24"/>
        <w:lang w:val="en-US"/>
      </w:rPr>
      <w:t>m/adn_wp15_ac2_20</w:t>
    </w:r>
    <w:r>
      <w:rPr>
        <w:rFonts w:ascii="Arial" w:hAnsi="Arial"/>
        <w:noProof/>
        <w:snapToGrid w:val="0"/>
        <w:sz w:val="12"/>
        <w:szCs w:val="24"/>
        <w:lang w:val="en-US"/>
      </w:rPr>
      <w:t>20</w:t>
    </w:r>
    <w:r w:rsidRPr="004F60A5">
      <w:rPr>
        <w:rFonts w:ascii="Arial" w:hAnsi="Arial"/>
        <w:noProof/>
        <w:snapToGrid w:val="0"/>
        <w:sz w:val="12"/>
        <w:szCs w:val="24"/>
        <w:lang w:val="en-US"/>
      </w:rPr>
      <w:t>_</w:t>
    </w:r>
    <w:r w:rsidR="00EE66ED">
      <w:rPr>
        <w:rFonts w:ascii="Arial" w:hAnsi="Arial"/>
        <w:noProof/>
        <w:snapToGrid w:val="0"/>
        <w:sz w:val="12"/>
        <w:szCs w:val="24"/>
        <w:lang w:val="en-US"/>
      </w:rPr>
      <w:t>0</w:t>
    </w:r>
    <w:r w:rsidR="000D45A5">
      <w:rPr>
        <w:rFonts w:ascii="Arial" w:hAnsi="Arial"/>
        <w:noProof/>
        <w:snapToGrid w:val="0"/>
        <w:sz w:val="12"/>
        <w:szCs w:val="24"/>
        <w:lang w:val="en-US"/>
      </w:rPr>
      <w:t>2</w:t>
    </w:r>
    <w:r w:rsidRPr="004F60A5">
      <w:rPr>
        <w:rFonts w:ascii="Arial" w:hAnsi="Arial"/>
        <w:noProof/>
        <w:snapToGrid w:val="0"/>
        <w:sz w:val="12"/>
        <w:szCs w:val="24"/>
        <w:lang w:val="en-US"/>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A111B" w14:textId="77777777" w:rsidR="00277F70" w:rsidRDefault="00277F70" w:rsidP="00277F70">
      <w:r>
        <w:separator/>
      </w:r>
    </w:p>
  </w:footnote>
  <w:footnote w:type="continuationSeparator" w:id="0">
    <w:p w14:paraId="5AA4B363" w14:textId="77777777" w:rsidR="00277F70" w:rsidRDefault="00277F70" w:rsidP="00277F70">
      <w:r>
        <w:continuationSeparator/>
      </w:r>
    </w:p>
  </w:footnote>
  <w:footnote w:id="1">
    <w:p w14:paraId="0A16825C" w14:textId="45F2756A" w:rsidR="00277F70" w:rsidRPr="00B041A6" w:rsidRDefault="00277F70" w:rsidP="00277F70">
      <w:pPr>
        <w:pStyle w:val="FootnoteText"/>
        <w:ind w:left="284" w:hanging="284"/>
        <w:rPr>
          <w:sz w:val="16"/>
          <w:szCs w:val="16"/>
        </w:rPr>
      </w:pPr>
      <w:r w:rsidRPr="00B041A6">
        <w:rPr>
          <w:rStyle w:val="FootnoteReference"/>
          <w:sz w:val="16"/>
          <w:szCs w:val="16"/>
        </w:rPr>
        <w:footnoteRef/>
      </w:r>
      <w:r w:rsidRPr="00B041A6">
        <w:rPr>
          <w:sz w:val="16"/>
          <w:szCs w:val="16"/>
        </w:rPr>
        <w:t xml:space="preserve"> </w:t>
      </w:r>
      <w:r w:rsidRPr="00B041A6">
        <w:rPr>
          <w:sz w:val="16"/>
          <w:szCs w:val="16"/>
        </w:rPr>
        <w:tab/>
        <w:t>Von der UN-ECE in Englisch, Französisch und Russisch unter dem Aktenzeichen ECE/TRANS/WP.15/AC.2/20</w:t>
      </w:r>
      <w:r>
        <w:rPr>
          <w:sz w:val="16"/>
          <w:szCs w:val="16"/>
        </w:rPr>
        <w:t>20</w:t>
      </w:r>
      <w:r w:rsidRPr="00B041A6">
        <w:rPr>
          <w:sz w:val="16"/>
          <w:szCs w:val="16"/>
        </w:rPr>
        <w:t>/</w:t>
      </w:r>
      <w:r w:rsidR="00863D48">
        <w:rPr>
          <w:sz w:val="16"/>
          <w:szCs w:val="16"/>
        </w:rPr>
        <w:t>24</w:t>
      </w:r>
      <w:r w:rsidRPr="00B041A6">
        <w:rPr>
          <w:sz w:val="16"/>
          <w:szCs w:val="16"/>
        </w:rPr>
        <w:t xml:space="preserve"> verteilt.</w:t>
      </w:r>
    </w:p>
  </w:footnote>
  <w:footnote w:id="2">
    <w:p w14:paraId="1C93A7FD" w14:textId="26078675" w:rsidR="00277F70" w:rsidRPr="00B041A6" w:rsidRDefault="00277F70" w:rsidP="009D5560">
      <w:pPr>
        <w:pStyle w:val="FootnoteText"/>
        <w:ind w:left="284" w:hanging="284"/>
        <w:rPr>
          <w:sz w:val="16"/>
          <w:szCs w:val="16"/>
        </w:rPr>
      </w:pPr>
      <w:r w:rsidRPr="00B041A6">
        <w:rPr>
          <w:rStyle w:val="FootnoteReference"/>
          <w:sz w:val="16"/>
          <w:szCs w:val="16"/>
        </w:rPr>
        <w:footnoteRef/>
      </w:r>
      <w:r w:rsidRPr="00B041A6">
        <w:rPr>
          <w:sz w:val="16"/>
          <w:szCs w:val="16"/>
        </w:rPr>
        <w:t xml:space="preserve"> </w:t>
      </w:r>
      <w:r w:rsidRPr="00B041A6">
        <w:rPr>
          <w:sz w:val="16"/>
          <w:szCs w:val="16"/>
        </w:rPr>
        <w:tab/>
      </w:r>
      <w:r w:rsidR="009D5560" w:rsidRPr="009D5560">
        <w:rPr>
          <w:sz w:val="16"/>
          <w:szCs w:val="16"/>
        </w:rPr>
        <w:t>Entsprechend dem Arbeitsprogramm des Binnenverkehrsausschusses für 2020 gemäß dem Entwurf des Programmhaushalts für 2020 (A/74/6 (Titel V, Kapitel 20), Abs. 20.37).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395E" w14:textId="0B18E8C9" w:rsidR="00D36741" w:rsidRPr="00FF3208" w:rsidRDefault="00D36741" w:rsidP="00D36741">
    <w:pPr>
      <w:widowControl/>
      <w:suppressAutoHyphens/>
      <w:overflowPunct/>
      <w:autoSpaceDE/>
      <w:autoSpaceDN/>
      <w:adjustRightInd/>
      <w:ind w:left="0" w:firstLine="0"/>
      <w:jc w:val="left"/>
      <w:textAlignment w:val="auto"/>
      <w:rPr>
        <w:rFonts w:ascii="Arial" w:hAnsi="Arial"/>
        <w:snapToGrid w:val="0"/>
        <w:sz w:val="16"/>
        <w:szCs w:val="16"/>
        <w:lang w:val="en-US"/>
      </w:rPr>
    </w:pPr>
    <w:r w:rsidRPr="00FF3208">
      <w:rPr>
        <w:rFonts w:ascii="Arial" w:hAnsi="Arial"/>
        <w:snapToGrid w:val="0"/>
        <w:sz w:val="16"/>
        <w:szCs w:val="16"/>
        <w:lang w:val="en-US"/>
      </w:rPr>
      <w:t>CCNR-ZKR/ADN/WP.15/AC.2/20</w:t>
    </w:r>
    <w:r>
      <w:rPr>
        <w:rFonts w:ascii="Arial" w:hAnsi="Arial"/>
        <w:snapToGrid w:val="0"/>
        <w:sz w:val="16"/>
        <w:szCs w:val="16"/>
        <w:lang w:val="en-US"/>
      </w:rPr>
      <w:t>20</w:t>
    </w:r>
    <w:r w:rsidRPr="00FF3208">
      <w:rPr>
        <w:rFonts w:ascii="Arial" w:hAnsi="Arial"/>
        <w:snapToGrid w:val="0"/>
        <w:sz w:val="16"/>
        <w:szCs w:val="16"/>
        <w:lang w:val="en-US"/>
      </w:rPr>
      <w:t>/</w:t>
    </w:r>
    <w:r w:rsidR="00863D48">
      <w:rPr>
        <w:rFonts w:ascii="Arial" w:hAnsi="Arial"/>
        <w:snapToGrid w:val="0"/>
        <w:sz w:val="16"/>
        <w:szCs w:val="16"/>
        <w:lang w:val="en-US"/>
      </w:rPr>
      <w:t>24</w:t>
    </w:r>
  </w:p>
  <w:p w14:paraId="5014E70E" w14:textId="6C61F175" w:rsidR="00D36741" w:rsidRDefault="00D36741" w:rsidP="003F5E68">
    <w:pPr>
      <w:widowControl/>
      <w:suppressAutoHyphens/>
      <w:overflowPunct/>
      <w:autoSpaceDE/>
      <w:autoSpaceDN/>
      <w:adjustRightInd/>
      <w:ind w:left="0" w:firstLine="0"/>
      <w:jc w:val="left"/>
      <w:textAlignment w:val="auto"/>
    </w:pPr>
    <w:r w:rsidRPr="00FF3208">
      <w:rPr>
        <w:rFonts w:ascii="Arial" w:hAnsi="Arial"/>
        <w:snapToGrid w:val="0"/>
        <w:sz w:val="16"/>
        <w:szCs w:val="16"/>
      </w:rPr>
      <w:t xml:space="preserve">Seite </w:t>
    </w:r>
    <w:r w:rsidRPr="00FF3208">
      <w:rPr>
        <w:rFonts w:ascii="Arial" w:hAnsi="Arial"/>
        <w:snapToGrid w:val="0"/>
        <w:sz w:val="16"/>
        <w:szCs w:val="16"/>
      </w:rPr>
      <w:fldChar w:fldCharType="begin"/>
    </w:r>
    <w:r w:rsidRPr="00FF3208">
      <w:rPr>
        <w:rFonts w:ascii="Arial" w:hAnsi="Arial"/>
        <w:snapToGrid w:val="0"/>
        <w:sz w:val="16"/>
        <w:szCs w:val="16"/>
      </w:rPr>
      <w:instrText xml:space="preserve"> PAGE  \* MERGEFORMAT </w:instrText>
    </w:r>
    <w:r w:rsidRPr="00FF3208">
      <w:rPr>
        <w:rFonts w:ascii="Arial" w:hAnsi="Arial"/>
        <w:snapToGrid w:val="0"/>
        <w:sz w:val="16"/>
        <w:szCs w:val="16"/>
      </w:rPr>
      <w:fldChar w:fldCharType="separate"/>
    </w:r>
    <w:r>
      <w:rPr>
        <w:rFonts w:ascii="Arial" w:hAnsi="Arial"/>
        <w:snapToGrid w:val="0"/>
        <w:sz w:val="16"/>
        <w:szCs w:val="16"/>
      </w:rPr>
      <w:t>3</w:t>
    </w:r>
    <w:r w:rsidRPr="00FF3208">
      <w:rPr>
        <w:rFonts w:ascii="Arial" w:hAnsi="Arial"/>
        <w:snapToGrid w:val="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87E64" w14:textId="2E448880" w:rsidR="00724E6F" w:rsidRPr="00FF3208" w:rsidRDefault="00724E6F" w:rsidP="00724E6F">
    <w:pPr>
      <w:widowControl/>
      <w:suppressAutoHyphens/>
      <w:overflowPunct/>
      <w:autoSpaceDE/>
      <w:autoSpaceDN/>
      <w:adjustRightInd/>
      <w:ind w:left="0" w:firstLine="0"/>
      <w:jc w:val="right"/>
      <w:textAlignment w:val="auto"/>
      <w:rPr>
        <w:rFonts w:ascii="Arial" w:hAnsi="Arial"/>
        <w:snapToGrid w:val="0"/>
        <w:sz w:val="16"/>
        <w:szCs w:val="16"/>
        <w:lang w:val="en-US"/>
      </w:rPr>
    </w:pPr>
    <w:bookmarkStart w:id="3" w:name="_Hlk19605293"/>
    <w:bookmarkStart w:id="4" w:name="_Hlk19605294"/>
    <w:r w:rsidRPr="00FF3208">
      <w:rPr>
        <w:rFonts w:ascii="Arial" w:hAnsi="Arial"/>
        <w:snapToGrid w:val="0"/>
        <w:sz w:val="16"/>
        <w:szCs w:val="16"/>
        <w:lang w:val="en-US"/>
      </w:rPr>
      <w:t>CCNR-ZKR/ADN/WP.15/AC.2/20</w:t>
    </w:r>
    <w:r>
      <w:rPr>
        <w:rFonts w:ascii="Arial" w:hAnsi="Arial"/>
        <w:snapToGrid w:val="0"/>
        <w:sz w:val="16"/>
        <w:szCs w:val="16"/>
        <w:lang w:val="en-US"/>
      </w:rPr>
      <w:t>20</w:t>
    </w:r>
    <w:r w:rsidRPr="00FF3208">
      <w:rPr>
        <w:rFonts w:ascii="Arial" w:hAnsi="Arial"/>
        <w:snapToGrid w:val="0"/>
        <w:sz w:val="16"/>
        <w:szCs w:val="16"/>
        <w:lang w:val="en-US"/>
      </w:rPr>
      <w:t>/</w:t>
    </w:r>
    <w:r w:rsidR="000D45A5">
      <w:rPr>
        <w:rFonts w:ascii="Arial" w:hAnsi="Arial"/>
        <w:snapToGrid w:val="0"/>
        <w:sz w:val="16"/>
        <w:szCs w:val="16"/>
        <w:lang w:val="en-US"/>
      </w:rPr>
      <w:t>2</w:t>
    </w:r>
  </w:p>
  <w:p w14:paraId="038C26D2" w14:textId="08D4F8AA" w:rsidR="00724E6F" w:rsidRDefault="00724E6F" w:rsidP="00724E6F">
    <w:pPr>
      <w:widowControl/>
      <w:suppressAutoHyphens/>
      <w:overflowPunct/>
      <w:autoSpaceDE/>
      <w:autoSpaceDN/>
      <w:adjustRightInd/>
      <w:ind w:left="0" w:firstLine="0"/>
      <w:jc w:val="right"/>
      <w:textAlignment w:val="auto"/>
    </w:pPr>
    <w:r w:rsidRPr="00FF3208">
      <w:rPr>
        <w:rFonts w:ascii="Arial" w:hAnsi="Arial"/>
        <w:snapToGrid w:val="0"/>
        <w:sz w:val="16"/>
        <w:szCs w:val="16"/>
      </w:rPr>
      <w:t xml:space="preserve">Seite </w:t>
    </w:r>
    <w:r w:rsidRPr="00FF3208">
      <w:rPr>
        <w:rFonts w:ascii="Arial" w:hAnsi="Arial"/>
        <w:snapToGrid w:val="0"/>
        <w:sz w:val="16"/>
        <w:szCs w:val="16"/>
      </w:rPr>
      <w:fldChar w:fldCharType="begin"/>
    </w:r>
    <w:r w:rsidRPr="00FF3208">
      <w:rPr>
        <w:rFonts w:ascii="Arial" w:hAnsi="Arial"/>
        <w:snapToGrid w:val="0"/>
        <w:sz w:val="16"/>
        <w:szCs w:val="16"/>
      </w:rPr>
      <w:instrText xml:space="preserve"> PAGE  \* MERGEFORMAT </w:instrText>
    </w:r>
    <w:r w:rsidRPr="00FF3208">
      <w:rPr>
        <w:rFonts w:ascii="Arial" w:hAnsi="Arial"/>
        <w:snapToGrid w:val="0"/>
        <w:sz w:val="16"/>
        <w:szCs w:val="16"/>
      </w:rPr>
      <w:fldChar w:fldCharType="separate"/>
    </w:r>
    <w:r>
      <w:rPr>
        <w:rFonts w:ascii="Arial" w:hAnsi="Arial"/>
        <w:snapToGrid w:val="0"/>
        <w:sz w:val="16"/>
        <w:szCs w:val="16"/>
      </w:rPr>
      <w:t>2</w:t>
    </w:r>
    <w:r w:rsidRPr="00FF3208">
      <w:rPr>
        <w:rFonts w:ascii="Arial" w:hAnsi="Arial"/>
        <w:snapToGrid w:val="0"/>
        <w:sz w:val="16"/>
        <w:szCs w:val="16"/>
      </w:rPr>
      <w:fldChar w:fldCharType="end"/>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14344"/>
    <w:multiLevelType w:val="hybridMultilevel"/>
    <w:tmpl w:val="80A243BE"/>
    <w:lvl w:ilvl="0" w:tplc="869A303A">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 w15:restartNumberingAfterBreak="0">
    <w:nsid w:val="7675274C"/>
    <w:multiLevelType w:val="hybridMultilevel"/>
    <w:tmpl w:val="FF32D248"/>
    <w:lvl w:ilvl="0" w:tplc="586A581E">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76"/>
    <w:rsid w:val="00010B8A"/>
    <w:rsid w:val="0009215A"/>
    <w:rsid w:val="00094A98"/>
    <w:rsid w:val="000A563B"/>
    <w:rsid w:val="000B2B01"/>
    <w:rsid w:val="000C6E63"/>
    <w:rsid w:val="000D45A5"/>
    <w:rsid w:val="000E12CF"/>
    <w:rsid w:val="00155C7C"/>
    <w:rsid w:val="00160AF1"/>
    <w:rsid w:val="001C60D6"/>
    <w:rsid w:val="00222245"/>
    <w:rsid w:val="00225E1F"/>
    <w:rsid w:val="00277F70"/>
    <w:rsid w:val="002E6F67"/>
    <w:rsid w:val="00387BCB"/>
    <w:rsid w:val="003B3B76"/>
    <w:rsid w:val="003E12AD"/>
    <w:rsid w:val="003E6913"/>
    <w:rsid w:val="003F5E68"/>
    <w:rsid w:val="004076CE"/>
    <w:rsid w:val="00454F9B"/>
    <w:rsid w:val="00483782"/>
    <w:rsid w:val="004A7663"/>
    <w:rsid w:val="004E2AEF"/>
    <w:rsid w:val="004E64FE"/>
    <w:rsid w:val="004F06F2"/>
    <w:rsid w:val="00591A7D"/>
    <w:rsid w:val="005C2135"/>
    <w:rsid w:val="0063076E"/>
    <w:rsid w:val="00635226"/>
    <w:rsid w:val="00643AEA"/>
    <w:rsid w:val="0069704F"/>
    <w:rsid w:val="006B10A8"/>
    <w:rsid w:val="006B4FAE"/>
    <w:rsid w:val="006E493E"/>
    <w:rsid w:val="00720516"/>
    <w:rsid w:val="00724E6F"/>
    <w:rsid w:val="00751575"/>
    <w:rsid w:val="007C4366"/>
    <w:rsid w:val="007C72B0"/>
    <w:rsid w:val="00827D8E"/>
    <w:rsid w:val="00863D48"/>
    <w:rsid w:val="00895F87"/>
    <w:rsid w:val="008E0E25"/>
    <w:rsid w:val="008F4F6A"/>
    <w:rsid w:val="009545CD"/>
    <w:rsid w:val="009873A1"/>
    <w:rsid w:val="009A5ADD"/>
    <w:rsid w:val="009C033F"/>
    <w:rsid w:val="009D5560"/>
    <w:rsid w:val="00A0258A"/>
    <w:rsid w:val="00A857CC"/>
    <w:rsid w:val="00A97CEA"/>
    <w:rsid w:val="00AC78AF"/>
    <w:rsid w:val="00B00D41"/>
    <w:rsid w:val="00B4533C"/>
    <w:rsid w:val="00BB0DBC"/>
    <w:rsid w:val="00C125FE"/>
    <w:rsid w:val="00C94048"/>
    <w:rsid w:val="00CF1246"/>
    <w:rsid w:val="00D12776"/>
    <w:rsid w:val="00D15348"/>
    <w:rsid w:val="00D25F16"/>
    <w:rsid w:val="00D36741"/>
    <w:rsid w:val="00D45DD4"/>
    <w:rsid w:val="00D4726C"/>
    <w:rsid w:val="00D63E14"/>
    <w:rsid w:val="00DB57E7"/>
    <w:rsid w:val="00E04049"/>
    <w:rsid w:val="00E37FFD"/>
    <w:rsid w:val="00E41049"/>
    <w:rsid w:val="00E565DE"/>
    <w:rsid w:val="00E569AC"/>
    <w:rsid w:val="00E727CB"/>
    <w:rsid w:val="00E83D57"/>
    <w:rsid w:val="00ED557F"/>
    <w:rsid w:val="00EE66ED"/>
    <w:rsid w:val="00FA20A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433325BE"/>
  <w15:docId w15:val="{337C479A-A2BD-4514-9AFC-B9FDA48B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076E"/>
    <w:pPr>
      <w:widowControl w:val="0"/>
      <w:overflowPunct w:val="0"/>
      <w:autoSpaceDE w:val="0"/>
      <w:autoSpaceDN w:val="0"/>
      <w:adjustRightInd w:val="0"/>
      <w:ind w:left="1134" w:hanging="1134"/>
      <w:jc w:val="both"/>
      <w:textAlignment w:val="baseline"/>
    </w:pPr>
    <w:rPr>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rsid w:val="00277F70"/>
    <w:pPr>
      <w:keepNext/>
      <w:keepLines/>
      <w:widowControl/>
      <w:tabs>
        <w:tab w:val="right" w:pos="851"/>
      </w:tabs>
      <w:suppressAutoHyphens/>
      <w:overflowPunct/>
      <w:autoSpaceDE/>
      <w:autoSpaceDN/>
      <w:adjustRightInd/>
      <w:snapToGrid w:val="0"/>
      <w:spacing w:before="360" w:after="240" w:line="300" w:lineRule="exact"/>
      <w:ind w:right="1134"/>
      <w:jc w:val="left"/>
      <w:textAlignment w:val="auto"/>
    </w:pPr>
    <w:rPr>
      <w:b/>
      <w:sz w:val="28"/>
      <w:lang w:val="fr-CH"/>
    </w:rPr>
  </w:style>
  <w:style w:type="paragraph" w:styleId="FootnoteText">
    <w:name w:val="footnote text"/>
    <w:aliases w:val="5_G"/>
    <w:basedOn w:val="Normal"/>
    <w:link w:val="FootnoteTextChar"/>
    <w:qFormat/>
    <w:rsid w:val="00277F70"/>
  </w:style>
  <w:style w:type="character" w:customStyle="1" w:styleId="FootnoteTextChar">
    <w:name w:val="Footnote Text Char"/>
    <w:aliases w:val="5_G Char"/>
    <w:basedOn w:val="DefaultParagraphFont"/>
    <w:link w:val="FootnoteText"/>
    <w:rsid w:val="00277F70"/>
    <w:rPr>
      <w:lang w:eastAsia="fr-FR"/>
    </w:rPr>
  </w:style>
  <w:style w:type="character" w:styleId="FootnoteReference">
    <w:name w:val="footnote reference"/>
    <w:aliases w:val="4_G,Footnote Reference/"/>
    <w:unhideWhenUsed/>
    <w:rsid w:val="00277F70"/>
    <w:rPr>
      <w:rFonts w:ascii="Times New Roman" w:hAnsi="Times New Roman" w:cs="Times New Roman" w:hint="default"/>
      <w:sz w:val="18"/>
      <w:vertAlign w:val="superscript"/>
    </w:rPr>
  </w:style>
  <w:style w:type="paragraph" w:customStyle="1" w:styleId="ADNParagraph">
    <w:name w:val="ADN Paragraph"/>
    <w:basedOn w:val="Normal"/>
    <w:qFormat/>
    <w:rsid w:val="00635226"/>
    <w:pPr>
      <w:widowControl/>
      <w:overflowPunct/>
      <w:autoSpaceDE/>
      <w:autoSpaceDN/>
      <w:adjustRightInd/>
      <w:spacing w:after="240"/>
      <w:ind w:left="1418" w:hanging="1418"/>
      <w:textAlignment w:val="auto"/>
    </w:pPr>
    <w:rPr>
      <w:sz w:val="22"/>
      <w:lang w:val="fr-FR" w:eastAsia="en-US"/>
    </w:rPr>
  </w:style>
  <w:style w:type="paragraph" w:customStyle="1" w:styleId="ADNSubaparagraphs">
    <w:name w:val="ADN Subaparagraphs"/>
    <w:basedOn w:val="Normal"/>
    <w:qFormat/>
    <w:rsid w:val="00635226"/>
    <w:pPr>
      <w:widowControl/>
      <w:overflowPunct/>
      <w:autoSpaceDE/>
      <w:autoSpaceDN/>
      <w:adjustRightInd/>
      <w:spacing w:after="240"/>
      <w:ind w:left="1985" w:hanging="581"/>
      <w:textAlignment w:val="auto"/>
    </w:pPr>
    <w:rPr>
      <w:sz w:val="22"/>
      <w:lang w:val="en-GB" w:eastAsia="en-US"/>
    </w:rPr>
  </w:style>
  <w:style w:type="paragraph" w:styleId="BodyText3">
    <w:name w:val="Body Text 3"/>
    <w:basedOn w:val="Normal"/>
    <w:link w:val="BodyText3Char"/>
    <w:rsid w:val="00635226"/>
    <w:pPr>
      <w:widowControl/>
      <w:tabs>
        <w:tab w:val="left" w:pos="-1"/>
        <w:tab w:val="left" w:pos="1132"/>
        <w:tab w:val="left" w:pos="1700"/>
        <w:tab w:val="left" w:pos="2266"/>
        <w:tab w:val="left" w:pos="2834"/>
        <w:tab w:val="left" w:pos="3400"/>
      </w:tabs>
      <w:overflowPunct/>
      <w:autoSpaceDE/>
      <w:autoSpaceDN/>
      <w:adjustRightInd/>
      <w:ind w:left="0" w:firstLine="0"/>
      <w:textAlignment w:val="auto"/>
    </w:pPr>
    <w:rPr>
      <w:sz w:val="22"/>
      <w:lang w:val="fr-FR" w:eastAsia="en-US"/>
    </w:rPr>
  </w:style>
  <w:style w:type="character" w:customStyle="1" w:styleId="BodyText3Char">
    <w:name w:val="Body Text 3 Char"/>
    <w:basedOn w:val="DefaultParagraphFont"/>
    <w:link w:val="BodyText3"/>
    <w:rsid w:val="00635226"/>
    <w:rPr>
      <w:sz w:val="22"/>
      <w:lang w:val="fr-FR" w:eastAsia="en-US"/>
    </w:rPr>
  </w:style>
  <w:style w:type="paragraph" w:styleId="BalloonText">
    <w:name w:val="Balloon Text"/>
    <w:basedOn w:val="Normal"/>
    <w:link w:val="BalloonTextChar"/>
    <w:rsid w:val="009873A1"/>
    <w:rPr>
      <w:rFonts w:ascii="Segoe UI" w:hAnsi="Segoe UI" w:cs="Segoe UI"/>
      <w:sz w:val="18"/>
      <w:szCs w:val="18"/>
    </w:rPr>
  </w:style>
  <w:style w:type="character" w:customStyle="1" w:styleId="BalloonTextChar">
    <w:name w:val="Balloon Text Char"/>
    <w:basedOn w:val="DefaultParagraphFont"/>
    <w:link w:val="BalloonText"/>
    <w:rsid w:val="009873A1"/>
    <w:rPr>
      <w:rFonts w:ascii="Segoe UI" w:hAnsi="Segoe UI" w:cs="Segoe UI"/>
      <w:sz w:val="18"/>
      <w:szCs w:val="18"/>
      <w:lang w:eastAsia="fr-FR"/>
    </w:rPr>
  </w:style>
  <w:style w:type="paragraph" w:styleId="Header">
    <w:name w:val="header"/>
    <w:basedOn w:val="Normal"/>
    <w:link w:val="HeaderChar"/>
    <w:unhideWhenUsed/>
    <w:rsid w:val="00724E6F"/>
    <w:pPr>
      <w:tabs>
        <w:tab w:val="center" w:pos="4536"/>
        <w:tab w:val="right" w:pos="9072"/>
      </w:tabs>
    </w:pPr>
  </w:style>
  <w:style w:type="character" w:customStyle="1" w:styleId="HeaderChar">
    <w:name w:val="Header Char"/>
    <w:basedOn w:val="DefaultParagraphFont"/>
    <w:link w:val="Header"/>
    <w:rsid w:val="00724E6F"/>
    <w:rPr>
      <w:lang w:eastAsia="fr-FR"/>
    </w:rPr>
  </w:style>
  <w:style w:type="paragraph" w:styleId="Footer">
    <w:name w:val="footer"/>
    <w:basedOn w:val="Normal"/>
    <w:link w:val="FooterChar"/>
    <w:unhideWhenUsed/>
    <w:rsid w:val="00724E6F"/>
    <w:pPr>
      <w:tabs>
        <w:tab w:val="center" w:pos="4536"/>
        <w:tab w:val="right" w:pos="9072"/>
      </w:tabs>
    </w:pPr>
  </w:style>
  <w:style w:type="character" w:customStyle="1" w:styleId="FooterChar">
    <w:name w:val="Footer Char"/>
    <w:basedOn w:val="DefaultParagraphFont"/>
    <w:link w:val="Footer"/>
    <w:rsid w:val="00724E6F"/>
    <w:rPr>
      <w:lang w:eastAsia="fr-FR"/>
    </w:rPr>
  </w:style>
  <w:style w:type="paragraph" w:styleId="ListParagraph">
    <w:name w:val="List Paragraph"/>
    <w:basedOn w:val="Normal"/>
    <w:uiPriority w:val="34"/>
    <w:qFormat/>
    <w:rsid w:val="003F5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3811</Characters>
  <Application>Microsoft Office Word</Application>
  <DocSecurity>4</DocSecurity>
  <Lines>31</Lines>
  <Paragraphs>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MyCompany</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Weiner, Manfred Leo</dc:creator>
  <cp:lastModifiedBy>Secretariat</cp:lastModifiedBy>
  <cp:revision>2</cp:revision>
  <cp:lastPrinted>2019-11-12T10:07:00Z</cp:lastPrinted>
  <dcterms:created xsi:type="dcterms:W3CDTF">2020-06-08T15:35:00Z</dcterms:created>
  <dcterms:modified xsi:type="dcterms:W3CDTF">2020-06-08T15:35:00Z</dcterms:modified>
</cp:coreProperties>
</file>