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EC23BF" w:rsidP="00EC23BF">
            <w:pPr>
              <w:suppressAutoHyphens w:val="0"/>
              <w:spacing w:after="20"/>
              <w:jc w:val="right"/>
            </w:pPr>
            <w:r w:rsidRPr="00EC23BF">
              <w:rPr>
                <w:sz w:val="40"/>
              </w:rPr>
              <w:t>ECE</w:t>
            </w:r>
            <w:r>
              <w:t>/TRANS/WP.15/AC.2/2020/7</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fr-CH" w:eastAsia="fr-CH"/>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EC23BF" w:rsidP="00EC23BF">
            <w:pPr>
              <w:spacing w:before="240"/>
            </w:pPr>
            <w:r>
              <w:t>Distr.: General</w:t>
            </w:r>
          </w:p>
          <w:p w:rsidR="00EC23BF" w:rsidRDefault="00EC23BF" w:rsidP="00EC23BF">
            <w:pPr>
              <w:suppressAutoHyphens w:val="0"/>
            </w:pPr>
            <w:r>
              <w:t>13 November 2019</w:t>
            </w:r>
          </w:p>
          <w:p w:rsidR="00EC23BF" w:rsidRDefault="00EC23BF" w:rsidP="00EC23BF">
            <w:pPr>
              <w:suppressAutoHyphens w:val="0"/>
            </w:pPr>
            <w:r>
              <w:t>English</w:t>
            </w:r>
          </w:p>
          <w:p w:rsidR="00EC23BF" w:rsidRDefault="00EC23BF" w:rsidP="00EC23BF">
            <w:pPr>
              <w:suppressAutoHyphens w:val="0"/>
            </w:pPr>
            <w:r>
              <w:t>Original: French</w:t>
            </w:r>
          </w:p>
        </w:tc>
      </w:tr>
    </w:tbl>
    <w:p w:rsidR="008A2A66" w:rsidRPr="008A2A66" w:rsidRDefault="008A2A66" w:rsidP="008A2A66">
      <w:pPr>
        <w:spacing w:before="120"/>
        <w:rPr>
          <w:b/>
          <w:sz w:val="40"/>
          <w:szCs w:val="40"/>
        </w:rPr>
      </w:pPr>
      <w:r w:rsidRPr="008A2A66">
        <w:rPr>
          <w:b/>
          <w:bCs/>
          <w:sz w:val="28"/>
          <w:szCs w:val="28"/>
        </w:rPr>
        <w:t>Economic Commission for Europe</w:t>
      </w:r>
    </w:p>
    <w:p w:rsidR="008A2A66" w:rsidRPr="008A2A66" w:rsidRDefault="008A2A66" w:rsidP="008A2A66">
      <w:pPr>
        <w:spacing w:before="120"/>
        <w:rPr>
          <w:sz w:val="36"/>
          <w:szCs w:val="36"/>
        </w:rPr>
      </w:pPr>
      <w:r w:rsidRPr="008A2A66">
        <w:rPr>
          <w:sz w:val="24"/>
          <w:szCs w:val="24"/>
        </w:rPr>
        <w:t>Inland Transport Committee</w:t>
      </w:r>
    </w:p>
    <w:p w:rsidR="008A2A66" w:rsidRPr="00CE1489" w:rsidRDefault="008A2A66" w:rsidP="008A2A66">
      <w:pPr>
        <w:spacing w:before="120"/>
        <w:rPr>
          <w:b/>
          <w:sz w:val="32"/>
          <w:szCs w:val="32"/>
        </w:rPr>
      </w:pPr>
      <w:r w:rsidRPr="00CE1489">
        <w:rPr>
          <w:b/>
          <w:bCs/>
          <w:sz w:val="24"/>
          <w:szCs w:val="24"/>
        </w:rPr>
        <w:t>Working Party on the Transport of Dangerous Goods</w:t>
      </w:r>
    </w:p>
    <w:p w:rsidR="008A2A66" w:rsidRPr="00761C56" w:rsidRDefault="008A2A66" w:rsidP="008A2A66">
      <w:pPr>
        <w:spacing w:before="120"/>
        <w:rPr>
          <w:b/>
        </w:rPr>
      </w:pPr>
      <w:r>
        <w:rPr>
          <w:b/>
          <w:bCs/>
        </w:rPr>
        <w:t>Joint Meeting of Experts on the Regulations annexed to the</w:t>
      </w:r>
      <w:r w:rsidR="00CE1489">
        <w:rPr>
          <w:b/>
          <w:bCs/>
        </w:rPr>
        <w:br/>
      </w:r>
      <w:r>
        <w:rPr>
          <w:b/>
          <w:bCs/>
        </w:rPr>
        <w:t xml:space="preserve">European Agreement concerning the International Carriage </w:t>
      </w:r>
      <w:r w:rsidR="00CE1489">
        <w:rPr>
          <w:b/>
          <w:bCs/>
        </w:rPr>
        <w:br/>
      </w:r>
      <w:r>
        <w:rPr>
          <w:b/>
          <w:bCs/>
        </w:rPr>
        <w:t xml:space="preserve">of Dangerous Goods by Inland Waterways (ADN) </w:t>
      </w:r>
      <w:r w:rsidR="004F2BE6">
        <w:rPr>
          <w:b/>
          <w:bCs/>
        </w:rPr>
        <w:br/>
      </w:r>
      <w:r>
        <w:rPr>
          <w:b/>
          <w:bCs/>
        </w:rPr>
        <w:t>(ADN Safety Committee)</w:t>
      </w:r>
    </w:p>
    <w:p w:rsidR="008A2A66" w:rsidRPr="00761C56" w:rsidRDefault="008A2A66" w:rsidP="008A2A66">
      <w:pPr>
        <w:spacing w:before="120"/>
        <w:rPr>
          <w:b/>
        </w:rPr>
      </w:pPr>
      <w:r>
        <w:rPr>
          <w:b/>
          <w:bCs/>
        </w:rPr>
        <w:t>Thirty-sixth session</w:t>
      </w:r>
    </w:p>
    <w:p w:rsidR="008A2A66" w:rsidRPr="00761C56" w:rsidRDefault="008A2A66" w:rsidP="008A2A66">
      <w:r>
        <w:t>Geneva, 27–31 January 2020</w:t>
      </w:r>
    </w:p>
    <w:p w:rsidR="008A2A66" w:rsidRPr="00761C56" w:rsidRDefault="008A2A66" w:rsidP="008A2A66">
      <w:r>
        <w:t>Item 5 (b) of the provisional agenda</w:t>
      </w:r>
    </w:p>
    <w:p w:rsidR="008A2A66" w:rsidRPr="00761C56" w:rsidRDefault="008A2A66" w:rsidP="008A2A66">
      <w:pPr>
        <w:rPr>
          <w:b/>
          <w:bCs/>
        </w:rPr>
      </w:pPr>
      <w:r>
        <w:rPr>
          <w:b/>
          <w:bCs/>
        </w:rPr>
        <w:t>Proposals for amendments to the Regulations annexed to ADN:</w:t>
      </w:r>
    </w:p>
    <w:p w:rsidR="008A2A66" w:rsidRPr="00761C56" w:rsidRDefault="008A2A66" w:rsidP="008A2A66">
      <w:pPr>
        <w:rPr>
          <w:b/>
          <w:bCs/>
        </w:rPr>
      </w:pPr>
      <w:r>
        <w:rPr>
          <w:b/>
          <w:bCs/>
        </w:rPr>
        <w:t>Other proposals</w:t>
      </w:r>
    </w:p>
    <w:p w:rsidR="008A2A66" w:rsidRPr="00761C56" w:rsidRDefault="008A2A66" w:rsidP="008A2A66">
      <w:pPr>
        <w:pStyle w:val="HChG"/>
      </w:pPr>
      <w:r>
        <w:tab/>
      </w:r>
      <w:r>
        <w:tab/>
      </w:r>
      <w:r>
        <w:rPr>
          <w:bCs/>
        </w:rPr>
        <w:t xml:space="preserve">UN No. 3082 </w:t>
      </w:r>
      <w:r w:rsidR="00056C07">
        <w:rPr>
          <w:bCs/>
        </w:rPr>
        <w:t>–</w:t>
      </w:r>
      <w:r>
        <w:rPr>
          <w:bCs/>
        </w:rPr>
        <w:t xml:space="preserve"> Bilge water</w:t>
      </w:r>
    </w:p>
    <w:p w:rsidR="008A2A66" w:rsidRDefault="008A2A66" w:rsidP="008A2A66">
      <w:pPr>
        <w:pStyle w:val="H1G"/>
        <w:rPr>
          <w:b w:val="0"/>
          <w:bCs/>
          <w:sz w:val="20"/>
          <w:szCs w:val="22"/>
        </w:rPr>
      </w:pPr>
      <w:r>
        <w:tab/>
      </w:r>
      <w:r>
        <w:tab/>
        <w:t>Transmitted by the Government of Germany</w:t>
      </w:r>
      <w:r w:rsidRPr="00B50F53">
        <w:rPr>
          <w:rStyle w:val="FootnoteReference"/>
          <w:b w:val="0"/>
          <w:bCs/>
          <w:sz w:val="20"/>
          <w:szCs w:val="22"/>
          <w:vertAlign w:val="baseline"/>
        </w:rPr>
        <w:footnoteReference w:customMarkFollows="1" w:id="1"/>
        <w:t>*</w:t>
      </w:r>
      <w:r w:rsidRPr="00B50F53">
        <w:rPr>
          <w:rStyle w:val="FootnoteReference"/>
          <w:b w:val="0"/>
          <w:bCs/>
          <w:position w:val="6"/>
          <w:sz w:val="20"/>
          <w:szCs w:val="22"/>
          <w:vertAlign w:val="baseline"/>
        </w:rPr>
        <w:t>,</w:t>
      </w:r>
      <w:r w:rsidRPr="00B50F53">
        <w:rPr>
          <w:rStyle w:val="FootnoteReference"/>
          <w:b w:val="0"/>
          <w:bCs/>
          <w:sz w:val="20"/>
          <w:szCs w:val="22"/>
          <w:vertAlign w:val="baseline"/>
        </w:rPr>
        <w:footnoteReference w:customMarkFollows="1" w:id="2"/>
        <w:t>**</w:t>
      </w:r>
    </w:p>
    <w:tbl>
      <w:tblPr>
        <w:tblStyle w:val="TableGrid"/>
        <w:tblW w:w="0" w:type="auto"/>
        <w:jc w:val="center"/>
        <w:tblCellMar>
          <w:left w:w="0" w:type="dxa"/>
          <w:right w:w="0" w:type="dxa"/>
        </w:tblCellMar>
        <w:tblLook w:val="01E0" w:firstRow="1" w:lastRow="1" w:firstColumn="1" w:lastColumn="1" w:noHBand="0" w:noVBand="0"/>
      </w:tblPr>
      <w:tblGrid>
        <w:gridCol w:w="9629"/>
      </w:tblGrid>
      <w:tr w:rsidR="00394561" w:rsidTr="00394561">
        <w:trPr>
          <w:trHeight w:val="322"/>
          <w:jc w:val="center"/>
        </w:trPr>
        <w:tc>
          <w:tcPr>
            <w:tcW w:w="9637" w:type="dxa"/>
            <w:tcBorders>
              <w:bottom w:val="nil"/>
            </w:tcBorders>
          </w:tcPr>
          <w:p w:rsidR="00394561" w:rsidRPr="00CD0A92" w:rsidRDefault="00394561" w:rsidP="00B167A7">
            <w:pPr>
              <w:tabs>
                <w:tab w:val="left" w:pos="255"/>
              </w:tabs>
              <w:suppressAutoHyphens w:val="0"/>
              <w:rPr>
                <w:sz w:val="24"/>
              </w:rPr>
            </w:pPr>
          </w:p>
        </w:tc>
      </w:tr>
      <w:tr w:rsidR="00394561" w:rsidTr="00976407">
        <w:trPr>
          <w:jc w:val="center"/>
        </w:trPr>
        <w:tc>
          <w:tcPr>
            <w:tcW w:w="9637" w:type="dxa"/>
            <w:tcBorders>
              <w:top w:val="nil"/>
              <w:bottom w:val="nil"/>
            </w:tcBorders>
            <w:shd w:val="clear" w:color="auto" w:fill="auto"/>
          </w:tcPr>
          <w:p w:rsidR="00DF2072" w:rsidRDefault="00B167A7" w:rsidP="00B167A7">
            <w:pPr>
              <w:pStyle w:val="SingleTxtG"/>
              <w:spacing w:after="60"/>
              <w:ind w:left="2552" w:hanging="2268"/>
            </w:pPr>
            <w:r w:rsidRPr="00EF5301">
              <w:rPr>
                <w:b/>
                <w:bCs/>
              </w:rPr>
              <w:t>Related document</w:t>
            </w:r>
            <w:r w:rsidRPr="00EF5301">
              <w:t>:</w:t>
            </w:r>
            <w:r w:rsidR="00394561" w:rsidRPr="00EF5301">
              <w:tab/>
            </w:r>
            <w:r w:rsidR="00EF5301" w:rsidRPr="00EF5301">
              <w:t xml:space="preserve">Informal document INF. 7 of the thirty-fifth session (Report of the 11th meeting of the informal working group on substances) </w:t>
            </w:r>
          </w:p>
          <w:p w:rsidR="00394561" w:rsidRPr="00EF5301" w:rsidRDefault="00DF2072" w:rsidP="00B167A7">
            <w:pPr>
              <w:pStyle w:val="SingleTxtG"/>
              <w:spacing w:after="60"/>
              <w:ind w:left="2552" w:hanging="2268"/>
            </w:pPr>
            <w:r>
              <w:tab/>
            </w:r>
            <w:r w:rsidR="00C860EE">
              <w:t>I</w:t>
            </w:r>
            <w:r w:rsidR="00EF5301" w:rsidRPr="00EF5301">
              <w:t xml:space="preserve">tem G, </w:t>
            </w:r>
            <w:r w:rsidR="00680D53">
              <w:t>“</w:t>
            </w:r>
            <w:r w:rsidR="00EF5301" w:rsidRPr="00EF5301">
              <w:t>Sludge and bilge water as environmentally hazardous substances under UN No. 3082</w:t>
            </w:r>
            <w:r w:rsidR="00680D53">
              <w:t>”</w:t>
            </w:r>
          </w:p>
        </w:tc>
      </w:tr>
      <w:tr w:rsidR="00394561" w:rsidTr="00976407">
        <w:trPr>
          <w:jc w:val="center"/>
        </w:trPr>
        <w:tc>
          <w:tcPr>
            <w:tcW w:w="9637" w:type="dxa"/>
            <w:tcBorders>
              <w:top w:val="nil"/>
            </w:tcBorders>
          </w:tcPr>
          <w:p w:rsidR="00394561" w:rsidRDefault="00394561" w:rsidP="00976407">
            <w:pPr>
              <w:suppressAutoHyphens w:val="0"/>
            </w:pPr>
          </w:p>
        </w:tc>
      </w:tr>
    </w:tbl>
    <w:p w:rsidR="008A2A66" w:rsidRPr="00761C56" w:rsidRDefault="008A2A66" w:rsidP="008A2A66">
      <w:pPr>
        <w:pStyle w:val="HChG"/>
      </w:pPr>
      <w:r>
        <w:tab/>
      </w:r>
      <w:r>
        <w:tab/>
      </w:r>
      <w:r>
        <w:rPr>
          <w:bCs/>
        </w:rPr>
        <w:t>Introduction</w:t>
      </w:r>
    </w:p>
    <w:p w:rsidR="008A2A66" w:rsidRPr="00761C56" w:rsidRDefault="008A2A66" w:rsidP="008A2A66">
      <w:pPr>
        <w:pStyle w:val="SingleTxtG"/>
      </w:pPr>
      <w:r>
        <w:t>1.</w:t>
      </w:r>
      <w:r>
        <w:tab/>
        <w:t>After considering the report of the 11th meeting of the informal working group on substances, the Safety Committee supported the addition, as proposed, of a new entry, UN No. 3082 (BILGE WAGER, CONTAINS SLUDGE), in Table C. The German delegation requested that the issue raised by the working group in paragraph 29, namely how to address the vapour return required under ADN 7.2.4.25.5, should be reviewed before the addition is made. The Safety Committee thus took no decision on this item.</w:t>
      </w:r>
    </w:p>
    <w:p w:rsidR="008A2A66" w:rsidRPr="00761C56" w:rsidRDefault="008A2A66" w:rsidP="008A2A66">
      <w:pPr>
        <w:pStyle w:val="HChG"/>
        <w:rPr>
          <w:iCs/>
          <w:szCs w:val="18"/>
        </w:rPr>
      </w:pPr>
      <w:r>
        <w:lastRenderedPageBreak/>
        <w:tab/>
        <w:t>I.</w:t>
      </w:r>
      <w:r>
        <w:tab/>
      </w:r>
      <w:r>
        <w:rPr>
          <w:bCs/>
        </w:rPr>
        <w:t>Request</w:t>
      </w:r>
    </w:p>
    <w:p w:rsidR="008A2A66" w:rsidRPr="00761C56" w:rsidRDefault="008A2A66" w:rsidP="008A2A66">
      <w:pPr>
        <w:pStyle w:val="SingleTxtG"/>
      </w:pPr>
      <w:r>
        <w:t>2.</w:t>
      </w:r>
      <w:r>
        <w:tab/>
        <w:t>Germany is taking up this proposal of the informal working group and is submitting the following request:</w:t>
      </w:r>
    </w:p>
    <w:p w:rsidR="008A2A66" w:rsidRPr="00761C56" w:rsidRDefault="008A2A66" w:rsidP="008A2A66">
      <w:pPr>
        <w:pStyle w:val="SingleTxtG"/>
      </w:pPr>
      <w:r>
        <w:tab/>
        <w:t>(a)</w:t>
      </w:r>
      <w:r>
        <w:tab/>
        <w:t>In subsection 3.2.3.2 of ADN Table C, in the entry for UN No. 3082 ENVIRONMENTALLY HAZARDOUS SUBSTANCE, LIQUID, N.O.S. (BILGE WATER), in column (2), amend the name and description to read ENVIRONMENTALLY HAZARDOUS SUBSTANCE, LIQUID, N.O.S. (BILGE WATER, FREE OF SLUDGE);</w:t>
      </w:r>
    </w:p>
    <w:p w:rsidR="008A2A66" w:rsidRPr="00761C56" w:rsidRDefault="008A2A66" w:rsidP="008A2A66">
      <w:pPr>
        <w:pStyle w:val="SingleTxtG"/>
      </w:pPr>
      <w:r>
        <w:tab/>
        <w:t>(b)</w:t>
      </w:r>
      <w:r>
        <w:tab/>
        <w:t xml:space="preserve">In column (20) for this entry, insert remark </w:t>
      </w:r>
      <w:r w:rsidR="00680D53">
        <w:t>“</w:t>
      </w:r>
      <w:r>
        <w:t>45</w:t>
      </w:r>
      <w:r w:rsidR="00680D53">
        <w:t>”</w:t>
      </w:r>
      <w:r>
        <w:t>;</w:t>
      </w:r>
    </w:p>
    <w:p w:rsidR="008A2A66" w:rsidRPr="00761C56" w:rsidRDefault="008A2A66" w:rsidP="00680D53">
      <w:pPr>
        <w:pStyle w:val="SingleTxtG"/>
        <w:spacing w:after="240"/>
        <w:rPr>
          <w:bCs/>
          <w:szCs w:val="24"/>
        </w:rPr>
      </w:pPr>
      <w:r>
        <w:tab/>
        <w:t>(c)</w:t>
      </w:r>
      <w:r>
        <w:tab/>
        <w:t>In subsection 3.2.3.2 of ADN Table C, insert a new line, to read as follows:</w:t>
      </w:r>
    </w:p>
    <w:tbl>
      <w:tblPr>
        <w:tblW w:w="9639" w:type="dxa"/>
        <w:tblLayout w:type="fixed"/>
        <w:tblCellMar>
          <w:left w:w="70" w:type="dxa"/>
          <w:right w:w="70" w:type="dxa"/>
        </w:tblCellMar>
        <w:tblLook w:val="04A0" w:firstRow="1" w:lastRow="0" w:firstColumn="1" w:lastColumn="0" w:noHBand="0" w:noVBand="1"/>
      </w:tblPr>
      <w:tblGrid>
        <w:gridCol w:w="502"/>
        <w:gridCol w:w="1586"/>
        <w:gridCol w:w="369"/>
        <w:gridCol w:w="377"/>
        <w:gridCol w:w="317"/>
        <w:gridCol w:w="859"/>
        <w:gridCol w:w="330"/>
        <w:gridCol w:w="307"/>
        <w:gridCol w:w="311"/>
        <w:gridCol w:w="311"/>
        <w:gridCol w:w="401"/>
        <w:gridCol w:w="423"/>
        <w:gridCol w:w="343"/>
        <w:gridCol w:w="308"/>
        <w:gridCol w:w="413"/>
        <w:gridCol w:w="425"/>
        <w:gridCol w:w="401"/>
        <w:gridCol w:w="392"/>
        <w:gridCol w:w="503"/>
        <w:gridCol w:w="384"/>
        <w:gridCol w:w="377"/>
      </w:tblGrid>
      <w:tr w:rsidR="008A2A66" w:rsidRPr="00795D79" w:rsidTr="0000607C">
        <w:tc>
          <w:tcPr>
            <w:tcW w:w="498" w:type="dxa"/>
            <w:tcBorders>
              <w:top w:val="single" w:sz="4" w:space="0" w:color="auto"/>
              <w:left w:val="single" w:sz="4" w:space="0" w:color="auto"/>
              <w:bottom w:val="single" w:sz="4" w:space="0" w:color="auto"/>
              <w:right w:val="single" w:sz="4" w:space="0" w:color="auto"/>
            </w:tcBorders>
            <w:shd w:val="clear" w:color="auto" w:fill="auto"/>
            <w:noWrap/>
            <w:hideMark/>
          </w:tcPr>
          <w:p w:rsidR="008A2A66" w:rsidRPr="00795D79" w:rsidRDefault="008A2A66" w:rsidP="0000607C">
            <w:pPr>
              <w:spacing w:before="40" w:after="40" w:line="220" w:lineRule="exact"/>
              <w:rPr>
                <w:rFonts w:asciiTheme="majorBidi" w:hAnsiTheme="majorBidi" w:cstheme="majorBidi"/>
                <w:sz w:val="14"/>
                <w:szCs w:val="14"/>
              </w:rPr>
            </w:pPr>
            <w:r w:rsidRPr="00795D79">
              <w:rPr>
                <w:sz w:val="14"/>
                <w:szCs w:val="14"/>
              </w:rPr>
              <w:t>(1)</w:t>
            </w:r>
          </w:p>
        </w:tc>
        <w:tc>
          <w:tcPr>
            <w:tcW w:w="1572" w:type="dxa"/>
            <w:tcBorders>
              <w:top w:val="single" w:sz="4" w:space="0" w:color="auto"/>
              <w:left w:val="nil"/>
              <w:bottom w:val="single" w:sz="4" w:space="0" w:color="auto"/>
              <w:right w:val="single" w:sz="4" w:space="0" w:color="auto"/>
            </w:tcBorders>
            <w:shd w:val="clear" w:color="auto" w:fill="auto"/>
            <w:hideMark/>
          </w:tcPr>
          <w:p w:rsidR="008A2A66" w:rsidRPr="00795D79" w:rsidRDefault="008A2A66" w:rsidP="0000607C">
            <w:pPr>
              <w:spacing w:before="40" w:after="40" w:line="220" w:lineRule="exact"/>
              <w:rPr>
                <w:rFonts w:asciiTheme="majorBidi" w:hAnsiTheme="majorBidi" w:cstheme="majorBidi"/>
                <w:sz w:val="14"/>
                <w:szCs w:val="14"/>
              </w:rPr>
            </w:pPr>
            <w:r w:rsidRPr="00795D79">
              <w:rPr>
                <w:sz w:val="14"/>
                <w:szCs w:val="14"/>
              </w:rPr>
              <w:t>(2)</w:t>
            </w:r>
          </w:p>
        </w:tc>
        <w:tc>
          <w:tcPr>
            <w:tcW w:w="366" w:type="dxa"/>
            <w:tcBorders>
              <w:top w:val="single" w:sz="4" w:space="0" w:color="auto"/>
              <w:left w:val="nil"/>
              <w:bottom w:val="single" w:sz="4" w:space="0" w:color="auto"/>
              <w:right w:val="single" w:sz="4" w:space="0" w:color="auto"/>
            </w:tcBorders>
            <w:shd w:val="clear" w:color="auto" w:fill="auto"/>
            <w:noWrap/>
            <w:hideMark/>
          </w:tcPr>
          <w:p w:rsidR="008A2A66" w:rsidRPr="00795D79" w:rsidRDefault="008A2A66" w:rsidP="0000607C">
            <w:pPr>
              <w:spacing w:before="40" w:after="40" w:line="220" w:lineRule="exact"/>
              <w:rPr>
                <w:rFonts w:asciiTheme="majorBidi" w:hAnsiTheme="majorBidi" w:cstheme="majorBidi"/>
                <w:sz w:val="14"/>
                <w:szCs w:val="14"/>
              </w:rPr>
            </w:pPr>
            <w:r w:rsidRPr="00795D79">
              <w:rPr>
                <w:sz w:val="14"/>
                <w:szCs w:val="14"/>
              </w:rPr>
              <w:t>(3a)</w:t>
            </w:r>
          </w:p>
        </w:tc>
        <w:tc>
          <w:tcPr>
            <w:tcW w:w="374" w:type="dxa"/>
            <w:tcBorders>
              <w:top w:val="single" w:sz="4" w:space="0" w:color="auto"/>
              <w:left w:val="nil"/>
              <w:bottom w:val="single" w:sz="4" w:space="0" w:color="auto"/>
              <w:right w:val="single" w:sz="4" w:space="0" w:color="auto"/>
            </w:tcBorders>
            <w:shd w:val="clear" w:color="auto" w:fill="auto"/>
            <w:noWrap/>
            <w:hideMark/>
          </w:tcPr>
          <w:p w:rsidR="008A2A66" w:rsidRPr="00795D79" w:rsidRDefault="008A2A66" w:rsidP="0000607C">
            <w:pPr>
              <w:spacing w:before="40" w:after="40" w:line="220" w:lineRule="exact"/>
              <w:ind w:left="-80" w:firstLine="80"/>
              <w:rPr>
                <w:rFonts w:asciiTheme="majorBidi" w:hAnsiTheme="majorBidi" w:cstheme="majorBidi"/>
                <w:sz w:val="14"/>
                <w:szCs w:val="14"/>
              </w:rPr>
            </w:pPr>
            <w:r w:rsidRPr="00795D79">
              <w:rPr>
                <w:sz w:val="14"/>
                <w:szCs w:val="14"/>
              </w:rPr>
              <w:t>(3b)</w:t>
            </w:r>
          </w:p>
        </w:tc>
        <w:tc>
          <w:tcPr>
            <w:tcW w:w="314" w:type="dxa"/>
            <w:tcBorders>
              <w:top w:val="single" w:sz="4" w:space="0" w:color="auto"/>
              <w:left w:val="nil"/>
              <w:bottom w:val="single" w:sz="4" w:space="0" w:color="auto"/>
              <w:right w:val="single" w:sz="4" w:space="0" w:color="auto"/>
            </w:tcBorders>
            <w:shd w:val="clear" w:color="auto" w:fill="auto"/>
            <w:noWrap/>
            <w:hideMark/>
          </w:tcPr>
          <w:p w:rsidR="008A2A66" w:rsidRPr="00795D79" w:rsidRDefault="008A2A66" w:rsidP="0000607C">
            <w:pPr>
              <w:spacing w:before="40" w:after="40" w:line="220" w:lineRule="exact"/>
              <w:rPr>
                <w:rFonts w:asciiTheme="majorBidi" w:hAnsiTheme="majorBidi" w:cstheme="majorBidi"/>
                <w:sz w:val="14"/>
                <w:szCs w:val="14"/>
              </w:rPr>
            </w:pPr>
            <w:r w:rsidRPr="00795D79">
              <w:rPr>
                <w:sz w:val="14"/>
                <w:szCs w:val="14"/>
              </w:rPr>
              <w:t>(4)</w:t>
            </w:r>
          </w:p>
        </w:tc>
        <w:tc>
          <w:tcPr>
            <w:tcW w:w="851" w:type="dxa"/>
            <w:tcBorders>
              <w:top w:val="single" w:sz="4" w:space="0" w:color="auto"/>
              <w:left w:val="nil"/>
              <w:bottom w:val="single" w:sz="4" w:space="0" w:color="auto"/>
              <w:right w:val="single" w:sz="4" w:space="0" w:color="auto"/>
            </w:tcBorders>
            <w:shd w:val="clear" w:color="auto" w:fill="auto"/>
            <w:noWrap/>
            <w:hideMark/>
          </w:tcPr>
          <w:p w:rsidR="008A2A66" w:rsidRPr="00795D79" w:rsidRDefault="008A2A66" w:rsidP="0000607C">
            <w:pPr>
              <w:spacing w:before="40" w:after="40" w:line="220" w:lineRule="exact"/>
              <w:jc w:val="center"/>
              <w:rPr>
                <w:rFonts w:asciiTheme="majorBidi" w:hAnsiTheme="majorBidi" w:cstheme="majorBidi"/>
                <w:sz w:val="14"/>
                <w:szCs w:val="14"/>
              </w:rPr>
            </w:pPr>
            <w:r w:rsidRPr="00795D79">
              <w:rPr>
                <w:sz w:val="14"/>
                <w:szCs w:val="14"/>
              </w:rPr>
              <w:t>(5)</w:t>
            </w:r>
          </w:p>
        </w:tc>
        <w:tc>
          <w:tcPr>
            <w:tcW w:w="327" w:type="dxa"/>
            <w:tcBorders>
              <w:top w:val="single" w:sz="4" w:space="0" w:color="auto"/>
              <w:left w:val="nil"/>
              <w:bottom w:val="single" w:sz="4" w:space="0" w:color="auto"/>
              <w:right w:val="single" w:sz="4" w:space="0" w:color="auto"/>
            </w:tcBorders>
            <w:shd w:val="clear" w:color="auto" w:fill="auto"/>
            <w:noWrap/>
            <w:hideMark/>
          </w:tcPr>
          <w:p w:rsidR="008A2A66" w:rsidRPr="00795D79" w:rsidRDefault="008A2A66" w:rsidP="0000607C">
            <w:pPr>
              <w:spacing w:before="40" w:after="40" w:line="220" w:lineRule="exact"/>
              <w:ind w:left="-147" w:firstLine="170"/>
              <w:rPr>
                <w:rFonts w:asciiTheme="majorBidi" w:hAnsiTheme="majorBidi" w:cstheme="majorBidi"/>
                <w:sz w:val="14"/>
                <w:szCs w:val="14"/>
              </w:rPr>
            </w:pPr>
            <w:r w:rsidRPr="00795D79">
              <w:rPr>
                <w:sz w:val="14"/>
                <w:szCs w:val="14"/>
              </w:rPr>
              <w:t>(6)</w:t>
            </w:r>
          </w:p>
        </w:tc>
        <w:tc>
          <w:tcPr>
            <w:tcW w:w="304" w:type="dxa"/>
            <w:tcBorders>
              <w:top w:val="single" w:sz="4" w:space="0" w:color="auto"/>
              <w:left w:val="nil"/>
              <w:bottom w:val="single" w:sz="4" w:space="0" w:color="auto"/>
              <w:right w:val="single" w:sz="4" w:space="0" w:color="auto"/>
            </w:tcBorders>
            <w:shd w:val="clear" w:color="auto" w:fill="auto"/>
            <w:noWrap/>
            <w:hideMark/>
          </w:tcPr>
          <w:p w:rsidR="008A2A66" w:rsidRPr="00795D79" w:rsidRDefault="008A2A66" w:rsidP="0000607C">
            <w:pPr>
              <w:spacing w:before="40" w:after="40" w:line="220" w:lineRule="exact"/>
              <w:rPr>
                <w:rFonts w:asciiTheme="majorBidi" w:hAnsiTheme="majorBidi" w:cstheme="majorBidi"/>
                <w:sz w:val="14"/>
                <w:szCs w:val="14"/>
              </w:rPr>
            </w:pPr>
            <w:r w:rsidRPr="00795D79">
              <w:rPr>
                <w:sz w:val="14"/>
                <w:szCs w:val="14"/>
              </w:rPr>
              <w:t>(7)</w:t>
            </w:r>
          </w:p>
        </w:tc>
        <w:tc>
          <w:tcPr>
            <w:tcW w:w="308" w:type="dxa"/>
            <w:tcBorders>
              <w:top w:val="single" w:sz="4" w:space="0" w:color="auto"/>
              <w:left w:val="nil"/>
              <w:bottom w:val="single" w:sz="4" w:space="0" w:color="auto"/>
              <w:right w:val="single" w:sz="4" w:space="0" w:color="auto"/>
            </w:tcBorders>
            <w:shd w:val="clear" w:color="auto" w:fill="auto"/>
            <w:noWrap/>
            <w:hideMark/>
          </w:tcPr>
          <w:p w:rsidR="008A2A66" w:rsidRPr="00795D79" w:rsidRDefault="008A2A66" w:rsidP="0000607C">
            <w:pPr>
              <w:spacing w:before="40" w:after="40" w:line="220" w:lineRule="exact"/>
              <w:ind w:left="-185" w:firstLine="170"/>
              <w:rPr>
                <w:rFonts w:asciiTheme="majorBidi" w:hAnsiTheme="majorBidi" w:cstheme="majorBidi"/>
                <w:sz w:val="14"/>
                <w:szCs w:val="14"/>
              </w:rPr>
            </w:pPr>
            <w:r w:rsidRPr="00795D79">
              <w:rPr>
                <w:sz w:val="14"/>
                <w:szCs w:val="14"/>
              </w:rPr>
              <w:t>(8)</w:t>
            </w:r>
          </w:p>
        </w:tc>
        <w:tc>
          <w:tcPr>
            <w:tcW w:w="308" w:type="dxa"/>
            <w:tcBorders>
              <w:top w:val="single" w:sz="4" w:space="0" w:color="auto"/>
              <w:left w:val="nil"/>
              <w:bottom w:val="single" w:sz="4" w:space="0" w:color="auto"/>
              <w:right w:val="single" w:sz="4" w:space="0" w:color="auto"/>
            </w:tcBorders>
            <w:shd w:val="clear" w:color="auto" w:fill="auto"/>
            <w:hideMark/>
          </w:tcPr>
          <w:p w:rsidR="008A2A66" w:rsidRPr="00795D79" w:rsidRDefault="008A2A66" w:rsidP="0000607C">
            <w:pPr>
              <w:spacing w:before="40" w:after="40" w:line="220" w:lineRule="exact"/>
              <w:ind w:left="-124" w:firstLine="73"/>
              <w:jc w:val="center"/>
              <w:rPr>
                <w:rFonts w:asciiTheme="majorBidi" w:hAnsiTheme="majorBidi" w:cstheme="majorBidi"/>
                <w:sz w:val="14"/>
                <w:szCs w:val="14"/>
              </w:rPr>
            </w:pPr>
            <w:r w:rsidRPr="00795D79">
              <w:rPr>
                <w:sz w:val="14"/>
                <w:szCs w:val="14"/>
              </w:rPr>
              <w:t>(9)</w:t>
            </w:r>
          </w:p>
        </w:tc>
        <w:tc>
          <w:tcPr>
            <w:tcW w:w="397" w:type="dxa"/>
            <w:tcBorders>
              <w:top w:val="single" w:sz="4" w:space="0" w:color="auto"/>
              <w:left w:val="nil"/>
              <w:bottom w:val="single" w:sz="4" w:space="0" w:color="auto"/>
              <w:right w:val="single" w:sz="4" w:space="0" w:color="auto"/>
            </w:tcBorders>
            <w:shd w:val="clear" w:color="auto" w:fill="auto"/>
            <w:hideMark/>
          </w:tcPr>
          <w:p w:rsidR="008A2A66" w:rsidRPr="00795D79" w:rsidRDefault="008A2A66" w:rsidP="0000607C">
            <w:pPr>
              <w:spacing w:before="40" w:after="40" w:line="220" w:lineRule="exact"/>
              <w:ind w:firstLine="23"/>
              <w:rPr>
                <w:rFonts w:asciiTheme="majorBidi" w:hAnsiTheme="majorBidi" w:cstheme="majorBidi"/>
                <w:sz w:val="14"/>
                <w:szCs w:val="14"/>
              </w:rPr>
            </w:pPr>
            <w:r w:rsidRPr="00795D79">
              <w:rPr>
                <w:sz w:val="14"/>
                <w:szCs w:val="14"/>
              </w:rPr>
              <w:t>(10)</w:t>
            </w:r>
          </w:p>
        </w:tc>
        <w:tc>
          <w:tcPr>
            <w:tcW w:w="419" w:type="dxa"/>
            <w:tcBorders>
              <w:top w:val="single" w:sz="4" w:space="0" w:color="auto"/>
              <w:left w:val="nil"/>
              <w:bottom w:val="single" w:sz="4" w:space="0" w:color="auto"/>
              <w:right w:val="single" w:sz="4" w:space="0" w:color="auto"/>
            </w:tcBorders>
            <w:shd w:val="clear" w:color="auto" w:fill="auto"/>
            <w:noWrap/>
            <w:hideMark/>
          </w:tcPr>
          <w:p w:rsidR="008A2A66" w:rsidRPr="00795D79" w:rsidRDefault="008A2A66" w:rsidP="0000607C">
            <w:pPr>
              <w:spacing w:before="40" w:after="40" w:line="220" w:lineRule="exact"/>
              <w:ind w:firstLine="45"/>
              <w:rPr>
                <w:rFonts w:asciiTheme="majorBidi" w:hAnsiTheme="majorBidi" w:cstheme="majorBidi"/>
                <w:sz w:val="14"/>
                <w:szCs w:val="14"/>
              </w:rPr>
            </w:pPr>
            <w:r w:rsidRPr="00795D79">
              <w:rPr>
                <w:sz w:val="14"/>
                <w:szCs w:val="14"/>
              </w:rPr>
              <w:t>(11)</w:t>
            </w:r>
          </w:p>
        </w:tc>
        <w:tc>
          <w:tcPr>
            <w:tcW w:w="340" w:type="dxa"/>
            <w:tcBorders>
              <w:top w:val="single" w:sz="4" w:space="0" w:color="auto"/>
              <w:left w:val="nil"/>
              <w:bottom w:val="single" w:sz="4" w:space="0" w:color="auto"/>
              <w:right w:val="single" w:sz="4" w:space="0" w:color="auto"/>
            </w:tcBorders>
            <w:shd w:val="clear" w:color="auto" w:fill="auto"/>
            <w:noWrap/>
            <w:hideMark/>
          </w:tcPr>
          <w:p w:rsidR="008A2A66" w:rsidRPr="00795D79" w:rsidRDefault="008A2A66" w:rsidP="0000607C">
            <w:pPr>
              <w:spacing w:before="40" w:after="40" w:line="220" w:lineRule="exact"/>
              <w:ind w:hanging="34"/>
              <w:rPr>
                <w:rFonts w:asciiTheme="majorBidi" w:hAnsiTheme="majorBidi" w:cstheme="majorBidi"/>
                <w:sz w:val="14"/>
                <w:szCs w:val="14"/>
              </w:rPr>
            </w:pPr>
            <w:r w:rsidRPr="00795D79">
              <w:rPr>
                <w:sz w:val="14"/>
                <w:szCs w:val="14"/>
              </w:rPr>
              <w:t>(12)</w:t>
            </w:r>
          </w:p>
        </w:tc>
        <w:tc>
          <w:tcPr>
            <w:tcW w:w="305" w:type="dxa"/>
            <w:tcBorders>
              <w:top w:val="single" w:sz="4" w:space="0" w:color="auto"/>
              <w:left w:val="nil"/>
              <w:bottom w:val="single" w:sz="4" w:space="0" w:color="auto"/>
              <w:right w:val="single" w:sz="4" w:space="0" w:color="auto"/>
            </w:tcBorders>
            <w:shd w:val="clear" w:color="auto" w:fill="auto"/>
            <w:noWrap/>
            <w:hideMark/>
          </w:tcPr>
          <w:p w:rsidR="008A2A66" w:rsidRPr="00795D79" w:rsidRDefault="008A2A66" w:rsidP="0000607C">
            <w:pPr>
              <w:spacing w:before="40" w:after="40" w:line="220" w:lineRule="exact"/>
              <w:ind w:hanging="69"/>
              <w:rPr>
                <w:rFonts w:asciiTheme="majorBidi" w:hAnsiTheme="majorBidi" w:cstheme="majorBidi"/>
                <w:sz w:val="14"/>
                <w:szCs w:val="14"/>
              </w:rPr>
            </w:pPr>
            <w:r w:rsidRPr="00795D79">
              <w:rPr>
                <w:sz w:val="14"/>
                <w:szCs w:val="14"/>
              </w:rPr>
              <w:t>(13)</w:t>
            </w:r>
          </w:p>
        </w:tc>
        <w:tc>
          <w:tcPr>
            <w:tcW w:w="409" w:type="dxa"/>
            <w:tcBorders>
              <w:top w:val="single" w:sz="4" w:space="0" w:color="auto"/>
              <w:left w:val="nil"/>
              <w:bottom w:val="single" w:sz="4" w:space="0" w:color="auto"/>
              <w:right w:val="single" w:sz="4" w:space="0" w:color="auto"/>
            </w:tcBorders>
            <w:shd w:val="clear" w:color="auto" w:fill="auto"/>
            <w:noWrap/>
            <w:hideMark/>
          </w:tcPr>
          <w:p w:rsidR="008A2A66" w:rsidRPr="00795D79" w:rsidRDefault="008A2A66" w:rsidP="0000607C">
            <w:pPr>
              <w:spacing w:before="40" w:after="40" w:line="220" w:lineRule="exact"/>
              <w:ind w:right="35"/>
              <w:rPr>
                <w:rFonts w:asciiTheme="majorBidi" w:hAnsiTheme="majorBidi" w:cstheme="majorBidi"/>
                <w:sz w:val="14"/>
                <w:szCs w:val="14"/>
              </w:rPr>
            </w:pPr>
            <w:r w:rsidRPr="00795D79">
              <w:rPr>
                <w:sz w:val="14"/>
                <w:szCs w:val="14"/>
              </w:rPr>
              <w:t>(14)</w:t>
            </w:r>
          </w:p>
        </w:tc>
        <w:tc>
          <w:tcPr>
            <w:tcW w:w="421" w:type="dxa"/>
            <w:tcBorders>
              <w:top w:val="single" w:sz="4" w:space="0" w:color="auto"/>
              <w:left w:val="nil"/>
              <w:bottom w:val="single" w:sz="4" w:space="0" w:color="auto"/>
              <w:right w:val="single" w:sz="4" w:space="0" w:color="auto"/>
            </w:tcBorders>
            <w:shd w:val="clear" w:color="auto" w:fill="auto"/>
            <w:noWrap/>
            <w:hideMark/>
          </w:tcPr>
          <w:p w:rsidR="008A2A66" w:rsidRPr="00795D79" w:rsidRDefault="008A2A66" w:rsidP="0000607C">
            <w:pPr>
              <w:spacing w:before="40" w:after="40" w:line="220" w:lineRule="exact"/>
              <w:ind w:firstLine="6"/>
              <w:rPr>
                <w:rFonts w:asciiTheme="majorBidi" w:hAnsiTheme="majorBidi" w:cstheme="majorBidi"/>
                <w:sz w:val="14"/>
                <w:szCs w:val="14"/>
              </w:rPr>
            </w:pPr>
            <w:r w:rsidRPr="00795D79">
              <w:rPr>
                <w:sz w:val="14"/>
                <w:szCs w:val="14"/>
              </w:rPr>
              <w:t>(15)</w:t>
            </w:r>
          </w:p>
        </w:tc>
        <w:tc>
          <w:tcPr>
            <w:tcW w:w="397" w:type="dxa"/>
            <w:tcBorders>
              <w:top w:val="single" w:sz="4" w:space="0" w:color="auto"/>
              <w:left w:val="nil"/>
              <w:bottom w:val="single" w:sz="4" w:space="0" w:color="auto"/>
              <w:right w:val="single" w:sz="4" w:space="0" w:color="auto"/>
            </w:tcBorders>
            <w:shd w:val="clear" w:color="auto" w:fill="auto"/>
            <w:noWrap/>
            <w:hideMark/>
          </w:tcPr>
          <w:p w:rsidR="008A2A66" w:rsidRPr="00795D79" w:rsidRDefault="008A2A66" w:rsidP="0000607C">
            <w:pPr>
              <w:spacing w:before="40" w:after="40" w:line="220" w:lineRule="exact"/>
              <w:ind w:right="23"/>
              <w:rPr>
                <w:rFonts w:asciiTheme="majorBidi" w:hAnsiTheme="majorBidi" w:cstheme="majorBidi"/>
                <w:sz w:val="14"/>
                <w:szCs w:val="14"/>
              </w:rPr>
            </w:pPr>
            <w:r w:rsidRPr="00795D79">
              <w:rPr>
                <w:sz w:val="14"/>
                <w:szCs w:val="14"/>
              </w:rPr>
              <w:t>(16)</w:t>
            </w:r>
          </w:p>
        </w:tc>
        <w:tc>
          <w:tcPr>
            <w:tcW w:w="388" w:type="dxa"/>
            <w:tcBorders>
              <w:top w:val="single" w:sz="4" w:space="0" w:color="auto"/>
              <w:left w:val="nil"/>
              <w:bottom w:val="single" w:sz="4" w:space="0" w:color="auto"/>
              <w:right w:val="single" w:sz="4" w:space="0" w:color="auto"/>
            </w:tcBorders>
            <w:shd w:val="clear" w:color="auto" w:fill="auto"/>
            <w:noWrap/>
            <w:hideMark/>
          </w:tcPr>
          <w:p w:rsidR="008A2A66" w:rsidRPr="00795D79" w:rsidRDefault="008A2A66" w:rsidP="0000607C">
            <w:pPr>
              <w:spacing w:before="40" w:after="40" w:line="220" w:lineRule="exact"/>
              <w:rPr>
                <w:rFonts w:asciiTheme="majorBidi" w:hAnsiTheme="majorBidi" w:cstheme="majorBidi"/>
                <w:sz w:val="14"/>
                <w:szCs w:val="14"/>
              </w:rPr>
            </w:pPr>
            <w:r w:rsidRPr="00795D79">
              <w:rPr>
                <w:sz w:val="14"/>
                <w:szCs w:val="14"/>
              </w:rPr>
              <w:t>(17)</w:t>
            </w:r>
          </w:p>
        </w:tc>
        <w:tc>
          <w:tcPr>
            <w:tcW w:w="498" w:type="dxa"/>
            <w:tcBorders>
              <w:top w:val="single" w:sz="4" w:space="0" w:color="auto"/>
              <w:left w:val="nil"/>
              <w:bottom w:val="single" w:sz="4" w:space="0" w:color="auto"/>
              <w:right w:val="single" w:sz="4" w:space="0" w:color="auto"/>
            </w:tcBorders>
            <w:shd w:val="clear" w:color="auto" w:fill="auto"/>
            <w:noWrap/>
            <w:hideMark/>
          </w:tcPr>
          <w:p w:rsidR="008A2A66" w:rsidRPr="00795D79" w:rsidRDefault="008A2A66" w:rsidP="0000607C">
            <w:pPr>
              <w:spacing w:before="40" w:after="40" w:line="220" w:lineRule="exact"/>
              <w:rPr>
                <w:rFonts w:asciiTheme="majorBidi" w:hAnsiTheme="majorBidi" w:cstheme="majorBidi"/>
                <w:sz w:val="14"/>
                <w:szCs w:val="14"/>
              </w:rPr>
            </w:pPr>
            <w:r w:rsidRPr="00795D79">
              <w:rPr>
                <w:sz w:val="14"/>
                <w:szCs w:val="14"/>
              </w:rPr>
              <w:t>(18)</w:t>
            </w:r>
          </w:p>
        </w:tc>
        <w:tc>
          <w:tcPr>
            <w:tcW w:w="380" w:type="dxa"/>
            <w:tcBorders>
              <w:top w:val="single" w:sz="4" w:space="0" w:color="auto"/>
              <w:left w:val="nil"/>
              <w:bottom w:val="single" w:sz="4" w:space="0" w:color="auto"/>
              <w:right w:val="single" w:sz="4" w:space="0" w:color="auto"/>
            </w:tcBorders>
            <w:shd w:val="clear" w:color="auto" w:fill="auto"/>
            <w:noWrap/>
            <w:hideMark/>
          </w:tcPr>
          <w:p w:rsidR="008A2A66" w:rsidRPr="00795D79" w:rsidRDefault="008A2A66" w:rsidP="0000607C">
            <w:pPr>
              <w:spacing w:before="40" w:after="40" w:line="220" w:lineRule="exact"/>
              <w:ind w:firstLine="6"/>
              <w:rPr>
                <w:rFonts w:asciiTheme="majorBidi" w:hAnsiTheme="majorBidi" w:cstheme="majorBidi"/>
                <w:sz w:val="14"/>
                <w:szCs w:val="14"/>
              </w:rPr>
            </w:pPr>
            <w:r w:rsidRPr="00795D79">
              <w:rPr>
                <w:sz w:val="14"/>
                <w:szCs w:val="14"/>
              </w:rPr>
              <w:t>(19)</w:t>
            </w:r>
          </w:p>
        </w:tc>
        <w:tc>
          <w:tcPr>
            <w:tcW w:w="374" w:type="dxa"/>
            <w:tcBorders>
              <w:top w:val="single" w:sz="4" w:space="0" w:color="auto"/>
              <w:left w:val="nil"/>
              <w:bottom w:val="single" w:sz="4" w:space="0" w:color="auto"/>
              <w:right w:val="single" w:sz="4" w:space="0" w:color="auto"/>
            </w:tcBorders>
            <w:shd w:val="clear" w:color="auto" w:fill="auto"/>
            <w:noWrap/>
            <w:hideMark/>
          </w:tcPr>
          <w:p w:rsidR="008A2A66" w:rsidRPr="00795D79" w:rsidRDefault="008A2A66" w:rsidP="0000607C">
            <w:pPr>
              <w:spacing w:before="40" w:after="40" w:line="220" w:lineRule="exact"/>
              <w:rPr>
                <w:rFonts w:asciiTheme="majorBidi" w:hAnsiTheme="majorBidi" w:cstheme="majorBidi"/>
                <w:sz w:val="14"/>
                <w:szCs w:val="14"/>
              </w:rPr>
            </w:pPr>
            <w:r w:rsidRPr="00795D79">
              <w:rPr>
                <w:sz w:val="14"/>
                <w:szCs w:val="14"/>
              </w:rPr>
              <w:t>(20)</w:t>
            </w:r>
          </w:p>
        </w:tc>
      </w:tr>
      <w:tr w:rsidR="008A2A66" w:rsidRPr="00795D79" w:rsidTr="0000607C">
        <w:trPr>
          <w:trHeight w:val="397"/>
        </w:trPr>
        <w:tc>
          <w:tcPr>
            <w:tcW w:w="498" w:type="dxa"/>
            <w:tcBorders>
              <w:top w:val="nil"/>
              <w:left w:val="single" w:sz="4" w:space="0" w:color="auto"/>
              <w:bottom w:val="single" w:sz="4" w:space="0" w:color="auto"/>
              <w:right w:val="single" w:sz="4" w:space="0" w:color="auto"/>
            </w:tcBorders>
            <w:shd w:val="clear" w:color="auto" w:fill="auto"/>
            <w:noWrap/>
            <w:hideMark/>
          </w:tcPr>
          <w:p w:rsidR="008A2A66" w:rsidRPr="00795D79" w:rsidRDefault="008A2A66" w:rsidP="00836577">
            <w:pPr>
              <w:spacing w:line="220" w:lineRule="exact"/>
              <w:rPr>
                <w:rFonts w:asciiTheme="majorBidi" w:hAnsiTheme="majorBidi" w:cstheme="majorBidi"/>
                <w:sz w:val="14"/>
                <w:szCs w:val="14"/>
              </w:rPr>
            </w:pPr>
            <w:r w:rsidRPr="00795D79">
              <w:rPr>
                <w:sz w:val="14"/>
                <w:szCs w:val="14"/>
              </w:rPr>
              <w:t>3082</w:t>
            </w:r>
          </w:p>
        </w:tc>
        <w:tc>
          <w:tcPr>
            <w:tcW w:w="1572" w:type="dxa"/>
            <w:tcBorders>
              <w:top w:val="nil"/>
              <w:left w:val="nil"/>
              <w:bottom w:val="single" w:sz="4" w:space="0" w:color="auto"/>
              <w:right w:val="single" w:sz="4" w:space="0" w:color="auto"/>
            </w:tcBorders>
            <w:shd w:val="clear" w:color="auto" w:fill="auto"/>
            <w:hideMark/>
          </w:tcPr>
          <w:p w:rsidR="008A2A66" w:rsidRPr="00795D79" w:rsidRDefault="008A2A66" w:rsidP="00976407">
            <w:pPr>
              <w:spacing w:line="220" w:lineRule="exact"/>
              <w:ind w:hanging="6"/>
              <w:rPr>
                <w:rFonts w:asciiTheme="majorBidi" w:hAnsiTheme="majorBidi" w:cstheme="majorBidi"/>
                <w:sz w:val="14"/>
                <w:szCs w:val="14"/>
              </w:rPr>
            </w:pPr>
            <w:r w:rsidRPr="00795D79">
              <w:rPr>
                <w:sz w:val="14"/>
                <w:szCs w:val="14"/>
              </w:rPr>
              <w:t>ENVIRONMENTALLY HAZARDOUS SUBSTANCE, LIQUID, N.O.S. (BILGE WATER, CONTAINS SLUDGE)</w:t>
            </w:r>
          </w:p>
        </w:tc>
        <w:tc>
          <w:tcPr>
            <w:tcW w:w="366" w:type="dxa"/>
            <w:tcBorders>
              <w:top w:val="nil"/>
              <w:left w:val="nil"/>
              <w:bottom w:val="single" w:sz="4" w:space="0" w:color="auto"/>
              <w:right w:val="single" w:sz="4" w:space="0" w:color="auto"/>
            </w:tcBorders>
            <w:shd w:val="clear" w:color="auto" w:fill="auto"/>
            <w:noWrap/>
            <w:hideMark/>
          </w:tcPr>
          <w:p w:rsidR="008A2A66" w:rsidRPr="00795D79" w:rsidRDefault="008A2A66" w:rsidP="00976407">
            <w:pPr>
              <w:spacing w:line="220" w:lineRule="exact"/>
              <w:jc w:val="center"/>
              <w:rPr>
                <w:rFonts w:asciiTheme="majorBidi" w:hAnsiTheme="majorBidi" w:cstheme="majorBidi"/>
                <w:sz w:val="14"/>
                <w:szCs w:val="14"/>
              </w:rPr>
            </w:pPr>
            <w:r w:rsidRPr="00795D79">
              <w:rPr>
                <w:sz w:val="14"/>
                <w:szCs w:val="14"/>
              </w:rPr>
              <w:t>9</w:t>
            </w:r>
          </w:p>
        </w:tc>
        <w:tc>
          <w:tcPr>
            <w:tcW w:w="374" w:type="dxa"/>
            <w:tcBorders>
              <w:top w:val="nil"/>
              <w:left w:val="nil"/>
              <w:bottom w:val="single" w:sz="4" w:space="0" w:color="auto"/>
              <w:right w:val="single" w:sz="4" w:space="0" w:color="auto"/>
            </w:tcBorders>
            <w:shd w:val="clear" w:color="auto" w:fill="auto"/>
            <w:noWrap/>
            <w:hideMark/>
          </w:tcPr>
          <w:p w:rsidR="008A2A66" w:rsidRPr="00795D79" w:rsidRDefault="008A2A66" w:rsidP="00976407">
            <w:pPr>
              <w:spacing w:line="220" w:lineRule="exact"/>
              <w:ind w:left="-80" w:firstLine="80"/>
              <w:jc w:val="center"/>
              <w:rPr>
                <w:rFonts w:asciiTheme="majorBidi" w:hAnsiTheme="majorBidi" w:cstheme="majorBidi"/>
                <w:sz w:val="14"/>
                <w:szCs w:val="14"/>
              </w:rPr>
            </w:pPr>
            <w:r w:rsidRPr="00795D79">
              <w:rPr>
                <w:sz w:val="14"/>
                <w:szCs w:val="14"/>
              </w:rPr>
              <w:t>M6</w:t>
            </w:r>
          </w:p>
        </w:tc>
        <w:tc>
          <w:tcPr>
            <w:tcW w:w="314" w:type="dxa"/>
            <w:tcBorders>
              <w:top w:val="nil"/>
              <w:left w:val="nil"/>
              <w:bottom w:val="single" w:sz="4" w:space="0" w:color="auto"/>
              <w:right w:val="single" w:sz="4" w:space="0" w:color="auto"/>
            </w:tcBorders>
            <w:shd w:val="clear" w:color="auto" w:fill="auto"/>
            <w:noWrap/>
            <w:hideMark/>
          </w:tcPr>
          <w:p w:rsidR="008A2A66" w:rsidRPr="00795D79" w:rsidRDefault="008A2A66" w:rsidP="00976407">
            <w:pPr>
              <w:spacing w:line="220" w:lineRule="exact"/>
              <w:jc w:val="center"/>
              <w:rPr>
                <w:rFonts w:asciiTheme="majorBidi" w:hAnsiTheme="majorBidi" w:cstheme="majorBidi"/>
                <w:sz w:val="14"/>
                <w:szCs w:val="14"/>
              </w:rPr>
            </w:pPr>
            <w:r w:rsidRPr="00795D79">
              <w:rPr>
                <w:sz w:val="14"/>
                <w:szCs w:val="14"/>
              </w:rPr>
              <w:t>III</w:t>
            </w:r>
          </w:p>
        </w:tc>
        <w:tc>
          <w:tcPr>
            <w:tcW w:w="851" w:type="dxa"/>
            <w:tcBorders>
              <w:top w:val="nil"/>
              <w:left w:val="nil"/>
              <w:bottom w:val="single" w:sz="4" w:space="0" w:color="auto"/>
              <w:right w:val="single" w:sz="4" w:space="0" w:color="auto"/>
            </w:tcBorders>
            <w:shd w:val="clear" w:color="auto" w:fill="auto"/>
            <w:hideMark/>
          </w:tcPr>
          <w:p w:rsidR="008A2A66" w:rsidRPr="00795D79" w:rsidRDefault="008A2A66" w:rsidP="00976407">
            <w:pPr>
              <w:spacing w:line="220" w:lineRule="exact"/>
              <w:jc w:val="center"/>
              <w:rPr>
                <w:rFonts w:asciiTheme="majorBidi" w:hAnsiTheme="majorBidi" w:cstheme="majorBidi"/>
                <w:sz w:val="14"/>
                <w:szCs w:val="14"/>
              </w:rPr>
            </w:pPr>
            <w:r w:rsidRPr="00795D79">
              <w:rPr>
                <w:sz w:val="14"/>
                <w:szCs w:val="14"/>
              </w:rPr>
              <w:t>9+CMR+N1</w:t>
            </w:r>
          </w:p>
        </w:tc>
        <w:tc>
          <w:tcPr>
            <w:tcW w:w="327" w:type="dxa"/>
            <w:tcBorders>
              <w:top w:val="nil"/>
              <w:left w:val="nil"/>
              <w:bottom w:val="single" w:sz="4" w:space="0" w:color="auto"/>
              <w:right w:val="single" w:sz="4" w:space="0" w:color="auto"/>
            </w:tcBorders>
            <w:shd w:val="clear" w:color="auto" w:fill="auto"/>
            <w:noWrap/>
            <w:hideMark/>
          </w:tcPr>
          <w:p w:rsidR="008A2A66" w:rsidRPr="00795D79" w:rsidRDefault="008A2A66" w:rsidP="00976407">
            <w:pPr>
              <w:spacing w:line="220" w:lineRule="exact"/>
              <w:ind w:left="-147" w:firstLine="170"/>
              <w:jc w:val="center"/>
              <w:rPr>
                <w:rFonts w:asciiTheme="majorBidi" w:hAnsiTheme="majorBidi" w:cstheme="majorBidi"/>
                <w:sz w:val="14"/>
                <w:szCs w:val="14"/>
              </w:rPr>
            </w:pPr>
            <w:r w:rsidRPr="00795D79">
              <w:rPr>
                <w:sz w:val="14"/>
                <w:szCs w:val="14"/>
              </w:rPr>
              <w:t>N</w:t>
            </w:r>
          </w:p>
        </w:tc>
        <w:tc>
          <w:tcPr>
            <w:tcW w:w="304" w:type="dxa"/>
            <w:tcBorders>
              <w:top w:val="nil"/>
              <w:left w:val="nil"/>
              <w:bottom w:val="single" w:sz="4" w:space="0" w:color="auto"/>
              <w:right w:val="single" w:sz="4" w:space="0" w:color="auto"/>
            </w:tcBorders>
            <w:shd w:val="clear" w:color="auto" w:fill="auto"/>
            <w:noWrap/>
            <w:hideMark/>
          </w:tcPr>
          <w:p w:rsidR="008A2A66" w:rsidRPr="00795D79" w:rsidRDefault="008A2A66" w:rsidP="00976407">
            <w:pPr>
              <w:spacing w:line="220" w:lineRule="exact"/>
              <w:jc w:val="center"/>
              <w:rPr>
                <w:rFonts w:asciiTheme="majorBidi" w:hAnsiTheme="majorBidi" w:cstheme="majorBidi"/>
                <w:sz w:val="14"/>
                <w:szCs w:val="14"/>
              </w:rPr>
            </w:pPr>
            <w:r w:rsidRPr="00795D79">
              <w:rPr>
                <w:sz w:val="14"/>
                <w:szCs w:val="14"/>
              </w:rPr>
              <w:t>2</w:t>
            </w:r>
          </w:p>
        </w:tc>
        <w:tc>
          <w:tcPr>
            <w:tcW w:w="308" w:type="dxa"/>
            <w:tcBorders>
              <w:top w:val="nil"/>
              <w:left w:val="nil"/>
              <w:bottom w:val="single" w:sz="4" w:space="0" w:color="auto"/>
              <w:right w:val="single" w:sz="4" w:space="0" w:color="auto"/>
            </w:tcBorders>
            <w:shd w:val="clear" w:color="auto" w:fill="auto"/>
            <w:noWrap/>
            <w:hideMark/>
          </w:tcPr>
          <w:p w:rsidR="008A2A66" w:rsidRPr="00795D79" w:rsidRDefault="008A2A66" w:rsidP="00976407">
            <w:pPr>
              <w:spacing w:line="220" w:lineRule="exact"/>
              <w:ind w:left="-185" w:firstLine="170"/>
              <w:jc w:val="center"/>
              <w:rPr>
                <w:rFonts w:asciiTheme="majorBidi" w:hAnsiTheme="majorBidi" w:cstheme="majorBidi"/>
                <w:sz w:val="14"/>
                <w:szCs w:val="14"/>
              </w:rPr>
            </w:pPr>
            <w:r w:rsidRPr="00795D79">
              <w:rPr>
                <w:sz w:val="14"/>
                <w:szCs w:val="14"/>
              </w:rPr>
              <w:t>3</w:t>
            </w:r>
          </w:p>
        </w:tc>
        <w:tc>
          <w:tcPr>
            <w:tcW w:w="308" w:type="dxa"/>
            <w:tcBorders>
              <w:top w:val="nil"/>
              <w:left w:val="nil"/>
              <w:bottom w:val="single" w:sz="4" w:space="0" w:color="auto"/>
              <w:right w:val="single" w:sz="4" w:space="0" w:color="auto"/>
            </w:tcBorders>
            <w:shd w:val="clear" w:color="auto" w:fill="auto"/>
            <w:noWrap/>
            <w:hideMark/>
          </w:tcPr>
          <w:p w:rsidR="008A2A66" w:rsidRPr="00795D79" w:rsidRDefault="008A2A66" w:rsidP="00976407">
            <w:pPr>
              <w:spacing w:line="220" w:lineRule="exact"/>
              <w:ind w:left="-124" w:firstLine="73"/>
              <w:jc w:val="center"/>
              <w:rPr>
                <w:rFonts w:asciiTheme="majorBidi" w:hAnsiTheme="majorBidi" w:cstheme="majorBidi"/>
                <w:sz w:val="14"/>
                <w:szCs w:val="14"/>
                <w:lang w:val="fr-FR"/>
              </w:rPr>
            </w:pPr>
          </w:p>
        </w:tc>
        <w:tc>
          <w:tcPr>
            <w:tcW w:w="397" w:type="dxa"/>
            <w:tcBorders>
              <w:top w:val="nil"/>
              <w:left w:val="nil"/>
              <w:bottom w:val="single" w:sz="4" w:space="0" w:color="auto"/>
              <w:right w:val="single" w:sz="4" w:space="0" w:color="auto"/>
            </w:tcBorders>
            <w:shd w:val="clear" w:color="auto" w:fill="auto"/>
            <w:hideMark/>
          </w:tcPr>
          <w:p w:rsidR="008A2A66" w:rsidRPr="00795D79" w:rsidRDefault="008A2A66" w:rsidP="00976407">
            <w:pPr>
              <w:spacing w:line="220" w:lineRule="exact"/>
              <w:ind w:firstLine="23"/>
              <w:jc w:val="center"/>
              <w:rPr>
                <w:rFonts w:asciiTheme="majorBidi" w:hAnsiTheme="majorBidi" w:cstheme="majorBidi"/>
                <w:sz w:val="14"/>
                <w:szCs w:val="14"/>
              </w:rPr>
            </w:pPr>
            <w:r w:rsidRPr="00795D79">
              <w:rPr>
                <w:sz w:val="14"/>
                <w:szCs w:val="14"/>
              </w:rPr>
              <w:t>10</w:t>
            </w:r>
          </w:p>
        </w:tc>
        <w:tc>
          <w:tcPr>
            <w:tcW w:w="419" w:type="dxa"/>
            <w:tcBorders>
              <w:top w:val="nil"/>
              <w:left w:val="nil"/>
              <w:bottom w:val="single" w:sz="4" w:space="0" w:color="auto"/>
              <w:right w:val="single" w:sz="4" w:space="0" w:color="auto"/>
            </w:tcBorders>
            <w:shd w:val="clear" w:color="auto" w:fill="auto"/>
            <w:hideMark/>
          </w:tcPr>
          <w:p w:rsidR="008A2A66" w:rsidRPr="00795D79" w:rsidRDefault="008A2A66" w:rsidP="00976407">
            <w:pPr>
              <w:spacing w:line="220" w:lineRule="exact"/>
              <w:ind w:firstLine="45"/>
              <w:jc w:val="center"/>
              <w:rPr>
                <w:rFonts w:asciiTheme="majorBidi" w:hAnsiTheme="majorBidi" w:cstheme="majorBidi"/>
                <w:sz w:val="14"/>
                <w:szCs w:val="14"/>
              </w:rPr>
            </w:pPr>
            <w:r w:rsidRPr="00795D79">
              <w:rPr>
                <w:sz w:val="14"/>
                <w:szCs w:val="14"/>
              </w:rPr>
              <w:t>97</w:t>
            </w:r>
          </w:p>
        </w:tc>
        <w:tc>
          <w:tcPr>
            <w:tcW w:w="340" w:type="dxa"/>
            <w:tcBorders>
              <w:top w:val="nil"/>
              <w:left w:val="nil"/>
              <w:bottom w:val="single" w:sz="4" w:space="0" w:color="auto"/>
              <w:right w:val="single" w:sz="4" w:space="0" w:color="auto"/>
            </w:tcBorders>
            <w:shd w:val="clear" w:color="auto" w:fill="auto"/>
            <w:hideMark/>
          </w:tcPr>
          <w:p w:rsidR="008A2A66" w:rsidRPr="00795D79" w:rsidRDefault="008A2A66" w:rsidP="00976407">
            <w:pPr>
              <w:spacing w:line="220" w:lineRule="exact"/>
              <w:ind w:hanging="34"/>
              <w:jc w:val="center"/>
              <w:rPr>
                <w:rFonts w:asciiTheme="majorBidi" w:hAnsiTheme="majorBidi" w:cstheme="majorBidi"/>
                <w:sz w:val="14"/>
                <w:szCs w:val="14"/>
                <w:lang w:val="fr-FR"/>
              </w:rPr>
            </w:pPr>
          </w:p>
        </w:tc>
        <w:tc>
          <w:tcPr>
            <w:tcW w:w="305" w:type="dxa"/>
            <w:tcBorders>
              <w:top w:val="nil"/>
              <w:left w:val="nil"/>
              <w:bottom w:val="single" w:sz="4" w:space="0" w:color="auto"/>
              <w:right w:val="single" w:sz="4" w:space="0" w:color="auto"/>
            </w:tcBorders>
            <w:shd w:val="clear" w:color="auto" w:fill="auto"/>
            <w:noWrap/>
            <w:hideMark/>
          </w:tcPr>
          <w:p w:rsidR="008A2A66" w:rsidRPr="00795D79" w:rsidRDefault="008A2A66" w:rsidP="00976407">
            <w:pPr>
              <w:spacing w:line="220" w:lineRule="exact"/>
              <w:ind w:hanging="69"/>
              <w:jc w:val="center"/>
              <w:rPr>
                <w:rFonts w:asciiTheme="majorBidi" w:hAnsiTheme="majorBidi" w:cstheme="majorBidi"/>
                <w:sz w:val="14"/>
                <w:szCs w:val="14"/>
              </w:rPr>
            </w:pPr>
            <w:r w:rsidRPr="00795D79">
              <w:rPr>
                <w:sz w:val="14"/>
                <w:szCs w:val="14"/>
              </w:rPr>
              <w:t>3</w:t>
            </w:r>
          </w:p>
        </w:tc>
        <w:tc>
          <w:tcPr>
            <w:tcW w:w="409" w:type="dxa"/>
            <w:tcBorders>
              <w:top w:val="nil"/>
              <w:left w:val="nil"/>
              <w:bottom w:val="single" w:sz="4" w:space="0" w:color="auto"/>
              <w:right w:val="single" w:sz="4" w:space="0" w:color="auto"/>
            </w:tcBorders>
            <w:shd w:val="clear" w:color="auto" w:fill="auto"/>
            <w:noWrap/>
            <w:hideMark/>
          </w:tcPr>
          <w:p w:rsidR="008A2A66" w:rsidRPr="00795D79" w:rsidRDefault="008A2A66" w:rsidP="00976407">
            <w:pPr>
              <w:spacing w:line="220" w:lineRule="exact"/>
              <w:ind w:right="35"/>
              <w:jc w:val="center"/>
              <w:rPr>
                <w:rFonts w:asciiTheme="majorBidi" w:hAnsiTheme="majorBidi" w:cstheme="majorBidi"/>
                <w:sz w:val="14"/>
                <w:szCs w:val="14"/>
              </w:rPr>
            </w:pPr>
            <w:r w:rsidRPr="00795D79">
              <w:rPr>
                <w:sz w:val="14"/>
                <w:szCs w:val="14"/>
              </w:rPr>
              <w:t>yes</w:t>
            </w:r>
          </w:p>
        </w:tc>
        <w:tc>
          <w:tcPr>
            <w:tcW w:w="421" w:type="dxa"/>
            <w:tcBorders>
              <w:top w:val="nil"/>
              <w:left w:val="nil"/>
              <w:bottom w:val="single" w:sz="4" w:space="0" w:color="auto"/>
              <w:right w:val="single" w:sz="4" w:space="0" w:color="auto"/>
            </w:tcBorders>
            <w:shd w:val="clear" w:color="auto" w:fill="auto"/>
            <w:noWrap/>
            <w:hideMark/>
          </w:tcPr>
          <w:p w:rsidR="008A2A66" w:rsidRPr="00795D79" w:rsidRDefault="008A2A66" w:rsidP="00976407">
            <w:pPr>
              <w:spacing w:line="220" w:lineRule="exact"/>
              <w:ind w:firstLine="6"/>
              <w:jc w:val="center"/>
              <w:rPr>
                <w:rFonts w:asciiTheme="majorBidi" w:hAnsiTheme="majorBidi" w:cstheme="majorBidi"/>
                <w:sz w:val="14"/>
                <w:szCs w:val="14"/>
                <w:lang w:val="fr-FR"/>
              </w:rPr>
            </w:pPr>
          </w:p>
        </w:tc>
        <w:tc>
          <w:tcPr>
            <w:tcW w:w="397" w:type="dxa"/>
            <w:tcBorders>
              <w:top w:val="nil"/>
              <w:left w:val="nil"/>
              <w:bottom w:val="single" w:sz="4" w:space="0" w:color="auto"/>
              <w:right w:val="single" w:sz="4" w:space="0" w:color="auto"/>
            </w:tcBorders>
            <w:shd w:val="clear" w:color="auto" w:fill="auto"/>
            <w:noWrap/>
            <w:hideMark/>
          </w:tcPr>
          <w:p w:rsidR="008A2A66" w:rsidRPr="00795D79" w:rsidRDefault="008A2A66" w:rsidP="00976407">
            <w:pPr>
              <w:spacing w:line="220" w:lineRule="exact"/>
              <w:ind w:right="23"/>
              <w:jc w:val="center"/>
              <w:rPr>
                <w:rFonts w:asciiTheme="majorBidi" w:hAnsiTheme="majorBidi" w:cstheme="majorBidi"/>
                <w:sz w:val="14"/>
                <w:szCs w:val="14"/>
                <w:lang w:val="fr-FR"/>
              </w:rPr>
            </w:pPr>
          </w:p>
        </w:tc>
        <w:tc>
          <w:tcPr>
            <w:tcW w:w="388" w:type="dxa"/>
            <w:tcBorders>
              <w:top w:val="nil"/>
              <w:left w:val="nil"/>
              <w:bottom w:val="single" w:sz="4" w:space="0" w:color="auto"/>
              <w:right w:val="single" w:sz="4" w:space="0" w:color="auto"/>
            </w:tcBorders>
            <w:shd w:val="clear" w:color="auto" w:fill="auto"/>
            <w:noWrap/>
            <w:hideMark/>
          </w:tcPr>
          <w:p w:rsidR="008A2A66" w:rsidRPr="00795D79" w:rsidRDefault="008A2A66" w:rsidP="00976407">
            <w:pPr>
              <w:spacing w:line="220" w:lineRule="exact"/>
              <w:jc w:val="center"/>
              <w:rPr>
                <w:rFonts w:asciiTheme="majorBidi" w:hAnsiTheme="majorBidi" w:cstheme="majorBidi"/>
                <w:sz w:val="14"/>
                <w:szCs w:val="14"/>
              </w:rPr>
            </w:pPr>
            <w:r w:rsidRPr="00795D79">
              <w:rPr>
                <w:sz w:val="14"/>
                <w:szCs w:val="14"/>
              </w:rPr>
              <w:t>no</w:t>
            </w:r>
          </w:p>
        </w:tc>
        <w:tc>
          <w:tcPr>
            <w:tcW w:w="498" w:type="dxa"/>
            <w:tcBorders>
              <w:top w:val="nil"/>
              <w:left w:val="nil"/>
              <w:bottom w:val="single" w:sz="4" w:space="0" w:color="auto"/>
              <w:right w:val="single" w:sz="4" w:space="0" w:color="auto"/>
            </w:tcBorders>
            <w:shd w:val="clear" w:color="auto" w:fill="auto"/>
            <w:hideMark/>
          </w:tcPr>
          <w:p w:rsidR="008A2A66" w:rsidRPr="00795D79" w:rsidRDefault="008A2A66" w:rsidP="00976407">
            <w:pPr>
              <w:spacing w:line="220" w:lineRule="exact"/>
              <w:jc w:val="center"/>
              <w:rPr>
                <w:rFonts w:asciiTheme="majorBidi" w:hAnsiTheme="majorBidi" w:cstheme="majorBidi"/>
                <w:sz w:val="14"/>
                <w:szCs w:val="14"/>
              </w:rPr>
            </w:pPr>
            <w:r w:rsidRPr="00795D79">
              <w:rPr>
                <w:sz w:val="14"/>
                <w:szCs w:val="14"/>
              </w:rPr>
              <w:t>PP,</w:t>
            </w:r>
          </w:p>
          <w:p w:rsidR="008A2A66" w:rsidRPr="00795D79" w:rsidRDefault="008A2A66" w:rsidP="00976407">
            <w:pPr>
              <w:spacing w:line="220" w:lineRule="exact"/>
              <w:jc w:val="center"/>
              <w:rPr>
                <w:rFonts w:asciiTheme="majorBidi" w:hAnsiTheme="majorBidi" w:cstheme="majorBidi"/>
                <w:sz w:val="14"/>
                <w:szCs w:val="14"/>
              </w:rPr>
            </w:pPr>
            <w:r w:rsidRPr="00795D79">
              <w:rPr>
                <w:sz w:val="14"/>
                <w:szCs w:val="14"/>
              </w:rPr>
              <w:t>EP</w:t>
            </w:r>
          </w:p>
          <w:p w:rsidR="008A2A66" w:rsidRPr="00795D79" w:rsidRDefault="008A2A66" w:rsidP="00976407">
            <w:pPr>
              <w:spacing w:line="220" w:lineRule="exact"/>
              <w:jc w:val="center"/>
              <w:rPr>
                <w:rFonts w:asciiTheme="majorBidi" w:hAnsiTheme="majorBidi" w:cstheme="majorBidi"/>
                <w:sz w:val="14"/>
                <w:szCs w:val="14"/>
              </w:rPr>
            </w:pPr>
            <w:r w:rsidRPr="00795D79">
              <w:rPr>
                <w:sz w:val="14"/>
                <w:szCs w:val="14"/>
              </w:rPr>
              <w:t>TOX,</w:t>
            </w:r>
          </w:p>
          <w:p w:rsidR="008A2A66" w:rsidRPr="00795D79" w:rsidRDefault="008A2A66" w:rsidP="00976407">
            <w:pPr>
              <w:spacing w:line="220" w:lineRule="exact"/>
              <w:jc w:val="center"/>
              <w:rPr>
                <w:rFonts w:asciiTheme="majorBidi" w:hAnsiTheme="majorBidi" w:cstheme="majorBidi"/>
                <w:sz w:val="14"/>
                <w:szCs w:val="14"/>
              </w:rPr>
            </w:pPr>
            <w:r w:rsidRPr="00795D79">
              <w:rPr>
                <w:sz w:val="14"/>
                <w:szCs w:val="14"/>
              </w:rPr>
              <w:t>A</w:t>
            </w:r>
          </w:p>
        </w:tc>
        <w:tc>
          <w:tcPr>
            <w:tcW w:w="380" w:type="dxa"/>
            <w:tcBorders>
              <w:top w:val="nil"/>
              <w:left w:val="nil"/>
              <w:bottom w:val="single" w:sz="4" w:space="0" w:color="auto"/>
              <w:right w:val="single" w:sz="4" w:space="0" w:color="auto"/>
            </w:tcBorders>
            <w:shd w:val="clear" w:color="auto" w:fill="auto"/>
            <w:noWrap/>
            <w:hideMark/>
          </w:tcPr>
          <w:p w:rsidR="008A2A66" w:rsidRPr="00795D79" w:rsidRDefault="008A2A66" w:rsidP="00976407">
            <w:pPr>
              <w:spacing w:line="220" w:lineRule="exact"/>
              <w:ind w:firstLine="6"/>
              <w:jc w:val="center"/>
              <w:rPr>
                <w:rFonts w:asciiTheme="majorBidi" w:hAnsiTheme="majorBidi" w:cstheme="majorBidi"/>
                <w:sz w:val="14"/>
                <w:szCs w:val="14"/>
              </w:rPr>
            </w:pPr>
            <w:r w:rsidRPr="00795D79">
              <w:rPr>
                <w:sz w:val="14"/>
                <w:szCs w:val="14"/>
              </w:rPr>
              <w:t>0</w:t>
            </w:r>
          </w:p>
        </w:tc>
        <w:tc>
          <w:tcPr>
            <w:tcW w:w="374" w:type="dxa"/>
            <w:tcBorders>
              <w:top w:val="nil"/>
              <w:left w:val="nil"/>
              <w:bottom w:val="single" w:sz="4" w:space="0" w:color="auto"/>
              <w:right w:val="single" w:sz="4" w:space="0" w:color="auto"/>
            </w:tcBorders>
            <w:shd w:val="clear" w:color="auto" w:fill="auto"/>
            <w:hideMark/>
          </w:tcPr>
          <w:p w:rsidR="008A2A66" w:rsidRPr="00795D79" w:rsidRDefault="008A2A66" w:rsidP="00976407">
            <w:pPr>
              <w:spacing w:line="220" w:lineRule="exact"/>
              <w:jc w:val="center"/>
              <w:rPr>
                <w:rFonts w:asciiTheme="majorBidi" w:hAnsiTheme="majorBidi" w:cstheme="majorBidi"/>
                <w:sz w:val="14"/>
                <w:szCs w:val="14"/>
              </w:rPr>
            </w:pPr>
            <w:r w:rsidRPr="00795D79">
              <w:rPr>
                <w:sz w:val="14"/>
                <w:szCs w:val="14"/>
              </w:rPr>
              <w:t>45</w:t>
            </w:r>
          </w:p>
        </w:tc>
      </w:tr>
    </w:tbl>
    <w:p w:rsidR="008A2A66" w:rsidRPr="00761C56" w:rsidRDefault="008A2A66" w:rsidP="0000607C">
      <w:pPr>
        <w:pStyle w:val="SingleTxtG"/>
        <w:spacing w:before="240"/>
      </w:pPr>
      <w:r>
        <w:tab/>
        <w:t>(d)</w:t>
      </w:r>
      <w:r>
        <w:tab/>
        <w:t>At the end of ADN section 3.2.3.1, add a remark, as follows:</w:t>
      </w:r>
    </w:p>
    <w:p w:rsidR="008A2A66" w:rsidRPr="00761C56" w:rsidRDefault="00680D53" w:rsidP="008A2A66">
      <w:pPr>
        <w:pStyle w:val="SingleTxtG"/>
        <w:ind w:left="1701"/>
        <w:rPr>
          <w:iCs/>
          <w:szCs w:val="18"/>
        </w:rPr>
      </w:pPr>
      <w:r>
        <w:t>“</w:t>
      </w:r>
      <w:r w:rsidR="008A2A66">
        <w:t>45.</w:t>
      </w:r>
      <w:r w:rsidR="008A2A66">
        <w:tab/>
        <w:t>When this substance is received from seagoing vessels as waste related to the operation of the vessel, appropriate technical and organizational measures shall be taken on board the vessels to avoid or minimize, to the extent possible, the exposure of personnel on board to gas/air mixtures escaping from the cargo tanks of the receiving vessel during loading and to ensure the protection of personnel on board during such activities. Appropriate personal protective equipment shall be made available to the employees in question and shall be worn for the duration of the increased exposure</w:t>
      </w:r>
      <w:r w:rsidR="008A2A66" w:rsidRPr="009353CC">
        <w:t>.</w:t>
      </w:r>
      <w:r>
        <w:t>”</w:t>
      </w:r>
    </w:p>
    <w:p w:rsidR="008A2A66" w:rsidRPr="00761C56" w:rsidRDefault="008A2A66" w:rsidP="008A2A66">
      <w:pPr>
        <w:pStyle w:val="SingleTxtG"/>
        <w:rPr>
          <w:iCs/>
          <w:szCs w:val="18"/>
        </w:rPr>
      </w:pPr>
      <w:r>
        <w:tab/>
        <w:t>(e)</w:t>
      </w:r>
      <w:r>
        <w:tab/>
        <w:t xml:space="preserve">In 7.2.4.25.5, after the word </w:t>
      </w:r>
      <w:r w:rsidR="00680D53">
        <w:t>“</w:t>
      </w:r>
      <w:r>
        <w:t>gas/air mixtures</w:t>
      </w:r>
      <w:r w:rsidR="00680D53">
        <w:t>”</w:t>
      </w:r>
      <w:r>
        <w:t xml:space="preserve">, insert the words </w:t>
      </w:r>
      <w:r w:rsidR="00680D53">
        <w:t>“</w:t>
      </w:r>
      <w:r>
        <w:t>that escape from the cargo tanks of the receiving vessel during [loading] [filling] by a shore facility</w:t>
      </w:r>
      <w:r w:rsidR="00680D53">
        <w:t>”</w:t>
      </w:r>
      <w:r>
        <w:t>.</w:t>
      </w:r>
    </w:p>
    <w:p w:rsidR="008A2A66" w:rsidRPr="00761C56" w:rsidRDefault="008A2A66" w:rsidP="008A2A66">
      <w:pPr>
        <w:pStyle w:val="SingleTxtG"/>
        <w:rPr>
          <w:u w:val="single"/>
        </w:rPr>
      </w:pPr>
      <w:r>
        <w:rPr>
          <w:u w:val="single"/>
        </w:rPr>
        <w:t>Consolidated version:</w:t>
      </w:r>
    </w:p>
    <w:p w:rsidR="008A2A66" w:rsidRPr="00761C56" w:rsidRDefault="00680D53" w:rsidP="008A2A66">
      <w:pPr>
        <w:pStyle w:val="SingleTxtG"/>
        <w:ind w:left="1701"/>
      </w:pPr>
      <w:r>
        <w:t>“</w:t>
      </w:r>
      <w:r w:rsidR="008A2A66">
        <w:t>7.2.4.25.5</w:t>
      </w:r>
      <w:r w:rsidR="008A2A66">
        <w:tab/>
        <w:t>The gas/air mixtures that escape from the cargo tanks of the receiving vessel during [loading] [filling] by a shore facility shall be returned ashore through a vapour return piping:</w:t>
      </w:r>
      <w:r>
        <w:t>”</w:t>
      </w:r>
    </w:p>
    <w:p w:rsidR="008A2A66" w:rsidRPr="00761C56" w:rsidRDefault="008A2A66" w:rsidP="008A2A66">
      <w:pPr>
        <w:pStyle w:val="SingleTxtG"/>
      </w:pPr>
      <w:r>
        <w:tab/>
        <w:t>(f)</w:t>
      </w:r>
      <w:r>
        <w:tab/>
        <w:t>ADN 7.2.4.2.1 is amended as follows:</w:t>
      </w:r>
    </w:p>
    <w:p w:rsidR="008A2A66" w:rsidRPr="00761C56" w:rsidRDefault="00680D53" w:rsidP="008A2A66">
      <w:pPr>
        <w:pStyle w:val="SingleTxtG"/>
        <w:ind w:left="1701"/>
      </w:pPr>
      <w:r>
        <w:t>“</w:t>
      </w:r>
      <w:r w:rsidR="008A2A66">
        <w:t>7.2.4.2.1</w:t>
      </w:r>
      <w:r w:rsidR="008A2A66">
        <w:tab/>
        <w:t>The reception from inland navigation vessels of unpackaged liquid oily and greasy wastes resulting from the operation of vessels shall be ensured by suction; the reception from seagoing vessels may also be ensured by pressurization.</w:t>
      </w:r>
      <w:r>
        <w:t>”</w:t>
      </w:r>
    </w:p>
    <w:p w:rsidR="008A2A66" w:rsidRPr="00761C56" w:rsidRDefault="008A2A66" w:rsidP="008A2A66">
      <w:pPr>
        <w:pStyle w:val="HChG"/>
      </w:pPr>
      <w:r>
        <w:tab/>
        <w:t>II.</w:t>
      </w:r>
      <w:r>
        <w:tab/>
      </w:r>
      <w:r>
        <w:rPr>
          <w:bCs/>
        </w:rPr>
        <w:t>Justification</w:t>
      </w:r>
    </w:p>
    <w:p w:rsidR="008A2A66" w:rsidRPr="00761C56" w:rsidRDefault="008A2A66" w:rsidP="008A2A66">
      <w:pPr>
        <w:pStyle w:val="SingleTxtG"/>
      </w:pPr>
      <w:r>
        <w:t>3.</w:t>
      </w:r>
      <w:r>
        <w:tab/>
        <w:t>Regarding the addition of a new entry in Table C, we refer to the information presented in the report of the informal working group on substances, submitted at the thirty-fifth session of the ADN Safety Committee (informal document INF. 7).</w:t>
      </w:r>
    </w:p>
    <w:p w:rsidR="008A2A66" w:rsidRPr="00761C56" w:rsidRDefault="008A2A66" w:rsidP="008A2A66">
      <w:pPr>
        <w:pStyle w:val="SingleTxtG"/>
      </w:pPr>
      <w:r>
        <w:t>4.</w:t>
      </w:r>
      <w:r>
        <w:tab/>
        <w:t>The distinction between this new entry and the new entry under UN No. 3082, ENVIRONMENTALLY HAZARDOUS SUBSTANCE, LIQUID, N.O.S. (SLUDGE) can be ensured as follows:</w:t>
      </w:r>
    </w:p>
    <w:p w:rsidR="008A2A66" w:rsidRPr="00761C56" w:rsidRDefault="008A2A66" w:rsidP="008A2A66">
      <w:pPr>
        <w:pStyle w:val="SingleTxtG"/>
        <w:ind w:left="1701"/>
      </w:pPr>
      <w:r>
        <w:rPr>
          <w:b/>
          <w:bCs/>
        </w:rPr>
        <w:t xml:space="preserve">Sludge </w:t>
      </w:r>
      <w:r>
        <w:t xml:space="preserve">as such is of a pasty consistency and closer to a solid substance; </w:t>
      </w:r>
      <w:r>
        <w:rPr>
          <w:b/>
          <w:bCs/>
        </w:rPr>
        <w:t xml:space="preserve">bilge water </w:t>
      </w:r>
      <w:r>
        <w:t>is water contaminated, for example by condensation (condensed water), water used for cleaning and water infiltration. No differentiation is made on the basis of the proportion of intermediate mixtures that are theoretically possible in the processes used for the day-to-day operation of the vessels, so it is not necessary to specify the percentages of bilge water and sludge.</w:t>
      </w:r>
    </w:p>
    <w:p w:rsidR="008A2A66" w:rsidRPr="00761C56" w:rsidRDefault="008A2A66" w:rsidP="008A2A66">
      <w:pPr>
        <w:pStyle w:val="SingleTxtG"/>
        <w:rPr>
          <w:iCs/>
          <w:szCs w:val="18"/>
        </w:rPr>
      </w:pPr>
      <w:r>
        <w:lastRenderedPageBreak/>
        <w:t>5.</w:t>
      </w:r>
      <w:r>
        <w:tab/>
        <w:t xml:space="preserve">Seagoing vessels are not equipped with gas return systems for the deposit of waste resulting from the operation of the vessels or for cargo </w:t>
      </w:r>
      <w:proofErr w:type="spellStart"/>
      <w:r>
        <w:t>transshipment</w:t>
      </w:r>
      <w:proofErr w:type="spellEnd"/>
      <w:r>
        <w:t xml:space="preserve"> from their cargo tanks to inland navigation tank vessels. The introduction </w:t>
      </w:r>
      <w:r w:rsidRPr="009F3E3A">
        <w:t xml:space="preserve">in ADN </w:t>
      </w:r>
      <w:r>
        <w:t>of such a requirement relating to design would result in an inconsistency with the regulations applicable to maritime navigation.</w:t>
      </w:r>
    </w:p>
    <w:p w:rsidR="008A2A66" w:rsidRPr="00761C56" w:rsidRDefault="008A2A66" w:rsidP="008A2A66">
      <w:pPr>
        <w:pStyle w:val="SingleTxtG"/>
      </w:pPr>
      <w:r>
        <w:t>6.</w:t>
      </w:r>
      <w:r>
        <w:tab/>
        <w:t>We are not aware of systems on inland navigation vessels allowing for the cleaning or collection of the gas/air mixture escaping from the cargo tanks of such inland navigation vessels. In the view of the German delegation, it would take several years to design such systems and make them available, and it is not certain that this would be economically viable.</w:t>
      </w:r>
    </w:p>
    <w:p w:rsidR="008A2A66" w:rsidRPr="00761C56" w:rsidRDefault="008A2A66" w:rsidP="008A2A66">
      <w:pPr>
        <w:pStyle w:val="SingleTxtG"/>
      </w:pPr>
      <w:r>
        <w:t>7.</w:t>
      </w:r>
      <w:r>
        <w:tab/>
        <w:t>The receipt of waste resulting from the operation of vessels exclusively in cargo tanks that are degassed or gas free would of course be technically possible, but the operators of the receiving tank vessels would face considerable logistical difficulties, and equipping the vessels would require significant investments.</w:t>
      </w:r>
    </w:p>
    <w:p w:rsidR="008A2A66" w:rsidRPr="00761C56" w:rsidRDefault="008A2A66" w:rsidP="008A2A66">
      <w:pPr>
        <w:pStyle w:val="SingleTxtG"/>
      </w:pPr>
      <w:r>
        <w:t>8.</w:t>
      </w:r>
      <w:r>
        <w:tab/>
        <w:t>It therefore seems disproportionate to apply ADN 7.2.4.25.5 for the reception on board inland navigation tank vessels of waste resulting from the operation of seagoing vessels.</w:t>
      </w:r>
    </w:p>
    <w:p w:rsidR="008A2A66" w:rsidRPr="00761C56" w:rsidRDefault="008A2A66" w:rsidP="008A2A66">
      <w:pPr>
        <w:pStyle w:val="SingleTxtG"/>
      </w:pPr>
      <w:r>
        <w:t>9.</w:t>
      </w:r>
      <w:r>
        <w:tab/>
        <w:t>The wording of ADN 7.2.4.25.5 already allows for an interpretation according to which it is not applicable for loading the tanks of an inland navigation vessel with goods from a (seagoing) vessel:</w:t>
      </w:r>
    </w:p>
    <w:p w:rsidR="008A2A66" w:rsidRPr="00761C56" w:rsidRDefault="00680D53" w:rsidP="008A2A66">
      <w:pPr>
        <w:pStyle w:val="SingleTxtG"/>
        <w:ind w:left="1701"/>
      </w:pPr>
      <w:r>
        <w:t>“</w:t>
      </w:r>
      <w:r w:rsidR="008A2A66">
        <w:t xml:space="preserve">The gas/air mixtures released during loading operations shall be returned </w:t>
      </w:r>
      <w:r w:rsidR="008A2A66">
        <w:rPr>
          <w:b/>
          <w:bCs/>
          <w:u w:val="single"/>
        </w:rPr>
        <w:t xml:space="preserve">ashore </w:t>
      </w:r>
      <w:r w:rsidR="008A2A66">
        <w:t>through a vapour return piping if:</w:t>
      </w:r>
      <w:r>
        <w:t>”</w:t>
      </w:r>
    </w:p>
    <w:p w:rsidR="008A2A66" w:rsidRPr="00761C56" w:rsidRDefault="008A2A66" w:rsidP="008A2A66">
      <w:pPr>
        <w:pStyle w:val="SingleTxtG"/>
      </w:pPr>
      <w:r>
        <w:t>This requirement is not relevant when the loading is not from the shore.</w:t>
      </w:r>
    </w:p>
    <w:p w:rsidR="008A2A66" w:rsidRPr="00761C56" w:rsidRDefault="008A2A66" w:rsidP="008A2A66">
      <w:pPr>
        <w:pStyle w:val="SingleTxtG"/>
        <w:rPr>
          <w:iCs/>
          <w:szCs w:val="18"/>
        </w:rPr>
      </w:pPr>
      <w:r>
        <w:t>10.</w:t>
      </w:r>
      <w:r>
        <w:tab/>
        <w:t>ADN 7.2.4.25.5 should be amended as proposed, for clarification. The proposal also includes a clarification regarding where the gas/air mixtures in question occur.</w:t>
      </w:r>
    </w:p>
    <w:p w:rsidR="008A2A66" w:rsidRPr="00761C56" w:rsidRDefault="008A2A66" w:rsidP="008A2A66">
      <w:pPr>
        <w:pStyle w:val="SingleTxtG"/>
      </w:pPr>
      <w:r>
        <w:t>11.</w:t>
      </w:r>
      <w:r>
        <w:tab/>
        <w:t xml:space="preserve">This means, however, that although characteristics that are carcinogenic, mutagenic or toxic for reproduction (CMR) have been identified in waste resulting from the operation of vessels, whether it is </w:t>
      </w:r>
      <w:r w:rsidR="00680D53">
        <w:t>“</w:t>
      </w:r>
      <w:r>
        <w:t>ENVIRONMENTALLY HAZARDOUS SUBSTANCE, LIQUID, N.O.S. (BILGE WATER, FREE OF SLUDGE)</w:t>
      </w:r>
      <w:r w:rsidR="00680D53">
        <w:t>”</w:t>
      </w:r>
      <w:r>
        <w:t xml:space="preserve"> or </w:t>
      </w:r>
      <w:r w:rsidR="00680D53">
        <w:t>“</w:t>
      </w:r>
      <w:r>
        <w:t>ENVIRONMENTALLY HAZARDOUS SUBSTANCE, LIQUID, N.O.S. (BILGE WATER, CONTAINS SLUDGE)</w:t>
      </w:r>
      <w:r w:rsidR="00680D53">
        <w:t>”</w:t>
      </w:r>
      <w:r>
        <w:t>, gas/air mixtures would be released into the ambient air and the personnel on board would be exposed to CMR substances.</w:t>
      </w:r>
    </w:p>
    <w:p w:rsidR="008A2A66" w:rsidRPr="00761C56" w:rsidRDefault="008A2A66" w:rsidP="008A2A66">
      <w:pPr>
        <w:pStyle w:val="SingleTxtG"/>
      </w:pPr>
      <w:r>
        <w:t>12.</w:t>
      </w:r>
      <w:r>
        <w:tab/>
        <w:t>UN No. 3082 is not among the cargos for which the amendment to the Convention on Collection, Deposit and Reception of Waste Produced during Navigation on the Rhine and Inland Waterways (CDNI), adopted in 2017, prohibits degassing. Similarly, UN No. 3082 is not a substance for which the European directive on VOC and its prohibitions against emissions would be relevant. ADN 7.2.3.7 does not cover the release of gas/air mixtures occurring in connection with loading, but only active and independent degassing measures.</w:t>
      </w:r>
    </w:p>
    <w:p w:rsidR="008A2A66" w:rsidRPr="00761C56" w:rsidRDefault="008A2A66" w:rsidP="008A2A66">
      <w:pPr>
        <w:pStyle w:val="SingleTxtG"/>
      </w:pPr>
      <w:r>
        <w:t>13.</w:t>
      </w:r>
      <w:r>
        <w:tab/>
        <w:t>At maritime ports, local or national requirements prohibiting the emission of gas/air mixtures into the atmosphere are likely to be applicable, regardless of regulations on dangerous goods. The German delegation considers that in such cases it is the responsibility of the national port authorities to regulate collection and cleaning facilities under regulations other than ADN.</w:t>
      </w:r>
    </w:p>
    <w:p w:rsidR="008A2A66" w:rsidRPr="00761C56" w:rsidRDefault="008A2A66" w:rsidP="008A2A66">
      <w:pPr>
        <w:pStyle w:val="SingleTxtG"/>
      </w:pPr>
      <w:r>
        <w:t>14.</w:t>
      </w:r>
      <w:r>
        <w:tab/>
        <w:t>The personnel involved in the reception of waste resulting from the operation of the vessel can be protected by making their exposure to the released gas/air mixture as short as possible and as short as necessary, and by requiring them to wear personal protective equipment. In addition, the gas/air mixture occurring in the cargo tanks of the receiving inland navigation vessel can be evacuated by air discharge piping so that the persons on board the vessels concerned are not exposed to it. The proposed text was based on the German national regulations on occupational health and safety, which are themselves based on European Union regulations. The content of such regulations should thus be identical for all ADN contracting parties that are also member States of the European Union.</w:t>
      </w:r>
    </w:p>
    <w:p w:rsidR="008A2A66" w:rsidRPr="00761C56" w:rsidRDefault="008A2A66" w:rsidP="008A2A66">
      <w:pPr>
        <w:pStyle w:val="SingleTxtG"/>
        <w:rPr>
          <w:iCs/>
          <w:szCs w:val="18"/>
        </w:rPr>
      </w:pPr>
      <w:r>
        <w:lastRenderedPageBreak/>
        <w:t>15.</w:t>
      </w:r>
      <w:r>
        <w:tab/>
        <w:t>For inland navigation vessels receiving waste resulting from the operation of vessels, ADN 7.2.4.2.1 should also be taken into account. It provides that the reception from inland navigation vessels of unpackaged liquid oily and greasy wastes resulting from the operation of vessels may be ensured only by suction. However, according to the information available to the German delegation, the reception of waste resulting from the operation of vessels from seagoing vessels is always ensured by pressurization aboard the seagoing vessel and pumping to the vessel ensuring collection. In light of the large number of operations carried out at seaports, it does not seem realistic each time to require derogations from the competent authorities in accordance with ADN 7.2.4.2.4.</w:t>
      </w:r>
    </w:p>
    <w:p w:rsidR="008A2A66" w:rsidRPr="00761C56" w:rsidRDefault="008A2A66" w:rsidP="008A2A66">
      <w:pPr>
        <w:pStyle w:val="SingleTxtG"/>
        <w:rPr>
          <w:iCs/>
          <w:szCs w:val="18"/>
        </w:rPr>
      </w:pPr>
      <w:r>
        <w:t>16.</w:t>
      </w:r>
      <w:r>
        <w:tab/>
        <w:t>Germany invites the Committee to consider the points above and to take the appropriate action.</w:t>
      </w:r>
    </w:p>
    <w:p w:rsidR="00EC23BF" w:rsidRDefault="008A2A66" w:rsidP="00D231EA">
      <w:pPr>
        <w:spacing w:before="240"/>
        <w:jc w:val="center"/>
      </w:pPr>
      <w:r w:rsidRPr="00761C56">
        <w:rPr>
          <w:u w:val="single"/>
        </w:rPr>
        <w:tab/>
      </w:r>
      <w:r w:rsidRPr="00761C56">
        <w:rPr>
          <w:u w:val="single"/>
        </w:rPr>
        <w:tab/>
      </w:r>
      <w:r w:rsidRPr="00761C56">
        <w:rPr>
          <w:u w:val="single"/>
        </w:rPr>
        <w:tab/>
      </w:r>
    </w:p>
    <w:sectPr w:rsidR="00EC23BF"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FFD" w:rsidRPr="00FB1744" w:rsidRDefault="00435FFD" w:rsidP="00FB1744">
      <w:pPr>
        <w:pStyle w:val="Footer"/>
      </w:pPr>
    </w:p>
  </w:endnote>
  <w:endnote w:type="continuationSeparator" w:id="0">
    <w:p w:rsidR="00435FFD" w:rsidRPr="00FB1744" w:rsidRDefault="00435FFD"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3BF" w:rsidRDefault="00EC23BF" w:rsidP="00EC23BF">
    <w:pPr>
      <w:pStyle w:val="Footer"/>
      <w:tabs>
        <w:tab w:val="right" w:pos="9638"/>
      </w:tabs>
    </w:pPr>
    <w:r w:rsidRPr="00EC23BF">
      <w:rPr>
        <w:b/>
        <w:bCs/>
        <w:sz w:val="18"/>
      </w:rPr>
      <w:fldChar w:fldCharType="begin"/>
    </w:r>
    <w:r w:rsidRPr="00EC23BF">
      <w:rPr>
        <w:b/>
        <w:bCs/>
        <w:sz w:val="18"/>
      </w:rPr>
      <w:instrText xml:space="preserve"> PAGE  \* MERGEFORMAT </w:instrText>
    </w:r>
    <w:r w:rsidRPr="00EC23BF">
      <w:rPr>
        <w:b/>
        <w:bCs/>
        <w:sz w:val="18"/>
      </w:rPr>
      <w:fldChar w:fldCharType="separate"/>
    </w:r>
    <w:r w:rsidRPr="00EC23BF">
      <w:rPr>
        <w:b/>
        <w:bCs/>
        <w:noProof/>
        <w:sz w:val="18"/>
      </w:rPr>
      <w:t>2</w:t>
    </w:r>
    <w:r w:rsidRPr="00EC23BF">
      <w:rPr>
        <w:b/>
        <w:bCs/>
        <w:sz w:val="18"/>
      </w:rPr>
      <w:fldChar w:fldCharType="end"/>
    </w:r>
    <w:r>
      <w:tab/>
      <w:t>GE.19-19456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3BF" w:rsidRDefault="00EC23BF" w:rsidP="00EC23BF">
    <w:pPr>
      <w:pStyle w:val="Footer"/>
      <w:tabs>
        <w:tab w:val="right" w:pos="9638"/>
      </w:tabs>
    </w:pPr>
    <w:r>
      <w:t>GE.19-19456</w:t>
    </w:r>
    <w:r>
      <w:tab/>
    </w:r>
    <w:r w:rsidRPr="00EC23BF">
      <w:rPr>
        <w:b/>
        <w:bCs/>
        <w:sz w:val="18"/>
      </w:rPr>
      <w:fldChar w:fldCharType="begin"/>
    </w:r>
    <w:r w:rsidRPr="00EC23BF">
      <w:rPr>
        <w:b/>
        <w:bCs/>
        <w:sz w:val="18"/>
      </w:rPr>
      <w:instrText xml:space="preserve"> PAGE  \* MERGEFORMAT </w:instrText>
    </w:r>
    <w:r w:rsidRPr="00EC23BF">
      <w:rPr>
        <w:b/>
        <w:bCs/>
        <w:sz w:val="18"/>
      </w:rPr>
      <w:fldChar w:fldCharType="separate"/>
    </w:r>
    <w:r w:rsidRPr="00EC23BF">
      <w:rPr>
        <w:b/>
        <w:bCs/>
        <w:noProof/>
        <w:sz w:val="18"/>
      </w:rPr>
      <w:t>3</w:t>
    </w:r>
    <w:r w:rsidRPr="00EC23B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3BF" w:rsidRDefault="00EC23BF">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C23BF" w:rsidRDefault="00EC23BF" w:rsidP="00EC23BF">
    <w:pPr>
      <w:pStyle w:val="Footer"/>
      <w:rPr>
        <w:sz w:val="20"/>
      </w:rPr>
    </w:pPr>
    <w:r>
      <w:rPr>
        <w:sz w:val="20"/>
      </w:rPr>
      <w:t>GE.19-19456  (E)</w:t>
    </w:r>
    <w:r w:rsidR="00960DC0">
      <w:rPr>
        <w:sz w:val="20"/>
      </w:rPr>
      <w:t xml:space="preserve">    191119    191119</w:t>
    </w:r>
  </w:p>
  <w:p w:rsidR="00EC23BF" w:rsidRPr="00EC23BF" w:rsidRDefault="00EC23BF" w:rsidP="00EC23BF">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AC.2/2020/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20/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FFD" w:rsidRPr="00FB1744" w:rsidRDefault="00435FFD" w:rsidP="00FB1744">
      <w:pPr>
        <w:tabs>
          <w:tab w:val="right" w:pos="2155"/>
        </w:tabs>
        <w:spacing w:after="80" w:line="240" w:lineRule="auto"/>
        <w:ind w:left="680"/>
      </w:pPr>
      <w:r>
        <w:rPr>
          <w:u w:val="single"/>
        </w:rPr>
        <w:tab/>
      </w:r>
    </w:p>
  </w:footnote>
  <w:footnote w:type="continuationSeparator" w:id="0">
    <w:p w:rsidR="00435FFD" w:rsidRPr="00FB1744" w:rsidRDefault="00435FFD" w:rsidP="00FB1744">
      <w:pPr>
        <w:tabs>
          <w:tab w:val="right" w:pos="2155"/>
        </w:tabs>
        <w:spacing w:after="80" w:line="240" w:lineRule="auto"/>
        <w:ind w:left="680"/>
      </w:pPr>
      <w:r>
        <w:rPr>
          <w:u w:val="single"/>
        </w:rPr>
        <w:tab/>
      </w:r>
    </w:p>
  </w:footnote>
  <w:footnote w:id="1">
    <w:p w:rsidR="008A2A66" w:rsidRPr="00761C56" w:rsidRDefault="008A2A66" w:rsidP="008A2A66">
      <w:pPr>
        <w:pStyle w:val="FootnoteText"/>
        <w:rPr>
          <w:szCs w:val="18"/>
        </w:rPr>
      </w:pPr>
      <w:r w:rsidRPr="00960DC0">
        <w:rPr>
          <w:sz w:val="20"/>
          <w:szCs w:val="22"/>
        </w:rPr>
        <w:tab/>
        <w:t>*</w:t>
      </w:r>
      <w:r w:rsidRPr="00960DC0">
        <w:rPr>
          <w:sz w:val="20"/>
          <w:szCs w:val="22"/>
        </w:rPr>
        <w:tab/>
      </w:r>
      <w:r>
        <w:t xml:space="preserve">Distributed in German by the Central Commission for the Navigation of the Rhine under the symbol </w:t>
      </w:r>
      <w:r w:rsidRPr="009353CC">
        <w:t>CCNR-ZKR/ADN</w:t>
      </w:r>
      <w:r>
        <w:t>/WP.15/AC.2/2020/7.</w:t>
      </w:r>
    </w:p>
  </w:footnote>
  <w:footnote w:id="2">
    <w:p w:rsidR="008A2A66" w:rsidRPr="00761C56" w:rsidRDefault="008A2A66" w:rsidP="008A2A66">
      <w:pPr>
        <w:pStyle w:val="FootnoteText"/>
      </w:pPr>
      <w:r w:rsidRPr="00960DC0">
        <w:rPr>
          <w:sz w:val="20"/>
          <w:szCs w:val="22"/>
        </w:rPr>
        <w:tab/>
        <w:t>**</w:t>
      </w:r>
      <w:r w:rsidRPr="00960DC0">
        <w:rPr>
          <w:sz w:val="20"/>
          <w:szCs w:val="22"/>
        </w:rPr>
        <w:tab/>
      </w:r>
      <w:r>
        <w:t>In accordance with the programme of work of the Inland Transport Committee for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3BF" w:rsidRDefault="00EC23BF" w:rsidP="00EC23BF">
    <w:pPr>
      <w:pStyle w:val="Header"/>
    </w:pPr>
    <w:r>
      <w:t>ECE/TRANS/WP.15/AC.2/2020/7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3BF" w:rsidRDefault="00EC23BF" w:rsidP="00EC23BF">
    <w:pPr>
      <w:pStyle w:val="Header"/>
      <w:jc w:val="right"/>
    </w:pPr>
    <w:r>
      <w:t>ECE/TRANS/WP.15/AC.2/2020/7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FFD"/>
    <w:rsid w:val="0000607C"/>
    <w:rsid w:val="00016D73"/>
    <w:rsid w:val="00046E92"/>
    <w:rsid w:val="00056C07"/>
    <w:rsid w:val="000D1B89"/>
    <w:rsid w:val="001170DC"/>
    <w:rsid w:val="00122356"/>
    <w:rsid w:val="00247E2C"/>
    <w:rsid w:val="002D6C53"/>
    <w:rsid w:val="002F5595"/>
    <w:rsid w:val="00334F6A"/>
    <w:rsid w:val="00342AC8"/>
    <w:rsid w:val="00394561"/>
    <w:rsid w:val="003B4550"/>
    <w:rsid w:val="0043448D"/>
    <w:rsid w:val="00435FFD"/>
    <w:rsid w:val="00461253"/>
    <w:rsid w:val="0046574C"/>
    <w:rsid w:val="004C68DA"/>
    <w:rsid w:val="004F2BE6"/>
    <w:rsid w:val="005042C2"/>
    <w:rsid w:val="00506C12"/>
    <w:rsid w:val="0056599A"/>
    <w:rsid w:val="00587690"/>
    <w:rsid w:val="005B4E4F"/>
    <w:rsid w:val="00671529"/>
    <w:rsid w:val="00680D53"/>
    <w:rsid w:val="00717266"/>
    <w:rsid w:val="007268F9"/>
    <w:rsid w:val="007C52B0"/>
    <w:rsid w:val="008058C8"/>
    <w:rsid w:val="00836577"/>
    <w:rsid w:val="008A2A66"/>
    <w:rsid w:val="00902AAE"/>
    <w:rsid w:val="009411B4"/>
    <w:rsid w:val="00960DC0"/>
    <w:rsid w:val="009B3780"/>
    <w:rsid w:val="009D0139"/>
    <w:rsid w:val="009F5CDC"/>
    <w:rsid w:val="00A34D04"/>
    <w:rsid w:val="00A429CD"/>
    <w:rsid w:val="00A775CF"/>
    <w:rsid w:val="00AB3C7E"/>
    <w:rsid w:val="00B06045"/>
    <w:rsid w:val="00B167A7"/>
    <w:rsid w:val="00B50F53"/>
    <w:rsid w:val="00BC6778"/>
    <w:rsid w:val="00C24922"/>
    <w:rsid w:val="00C35A27"/>
    <w:rsid w:val="00C860EE"/>
    <w:rsid w:val="00CE1489"/>
    <w:rsid w:val="00D231EA"/>
    <w:rsid w:val="00D73218"/>
    <w:rsid w:val="00DB369A"/>
    <w:rsid w:val="00DF2072"/>
    <w:rsid w:val="00DF6FA3"/>
    <w:rsid w:val="00E02C2B"/>
    <w:rsid w:val="00EC23BF"/>
    <w:rsid w:val="00ED6C48"/>
    <w:rsid w:val="00EF5301"/>
    <w:rsid w:val="00F65F5D"/>
    <w:rsid w:val="00F86A3A"/>
    <w:rsid w:val="00FB1744"/>
    <w:rsid w:val="00FC04AB"/>
    <w:rsid w:val="00FF12A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6DD4F16-0DA5-482A-B59B-53687B87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2AAE"/>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HChGChar">
    <w:name w:val="_ H _Ch_G Char"/>
    <w:link w:val="HChG"/>
    <w:rsid w:val="008A2A66"/>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99F2B-ADFD-41D5-AC93-07CFB2A96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ECE/TRANS/WP.15/AC.2/2020/7</vt:lpstr>
    </vt:vector>
  </TitlesOfParts>
  <Company>DCM</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ECE/TRANS/WP.15/AC.2/2020/7</dc:title>
  <dc:subject>1919456</dc:subject>
  <dc:creator>cg</dc:creator>
  <cp:keywords/>
  <dc:description/>
  <cp:lastModifiedBy>Marie-Claude Collet</cp:lastModifiedBy>
  <cp:revision>2</cp:revision>
  <dcterms:created xsi:type="dcterms:W3CDTF">2019-12-02T14:12:00Z</dcterms:created>
  <dcterms:modified xsi:type="dcterms:W3CDTF">2019-12-02T14:12:00Z</dcterms:modified>
</cp:coreProperties>
</file>