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01207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675796" w:rsidP="00675796">
            <w:pPr>
              <w:jc w:val="right"/>
            </w:pPr>
            <w:r w:rsidRPr="00675796">
              <w:rPr>
                <w:sz w:val="40"/>
              </w:rPr>
              <w:t>ECE</w:t>
            </w:r>
            <w:r>
              <w:t>/TRANS/WP.15/AC.2/2020/4</w:t>
            </w:r>
          </w:p>
        </w:tc>
      </w:tr>
      <w:tr w:rsidR="001433FD" w:rsidRPr="00DB58B5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2B727A0" wp14:editId="4777D7C7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1207F" w:rsidRDefault="00675796" w:rsidP="00675796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675796" w:rsidRDefault="00960BA4" w:rsidP="00675796">
            <w:pPr>
              <w:spacing w:line="240" w:lineRule="exact"/>
            </w:pPr>
            <w:r>
              <w:t>7</w:t>
            </w:r>
            <w:r w:rsidR="00675796">
              <w:t xml:space="preserve"> novembre 2019</w:t>
            </w:r>
          </w:p>
          <w:p w:rsidR="00675796" w:rsidRDefault="00675796" w:rsidP="00675796">
            <w:pPr>
              <w:spacing w:line="240" w:lineRule="exact"/>
            </w:pPr>
          </w:p>
          <w:p w:rsidR="00675796" w:rsidRPr="00DB58B5" w:rsidRDefault="00675796" w:rsidP="00675796">
            <w:pPr>
              <w:spacing w:line="240" w:lineRule="exact"/>
            </w:pPr>
            <w:r>
              <w:t>Original : français</w:t>
            </w:r>
          </w:p>
        </w:tc>
      </w:tr>
    </w:tbl>
    <w:p w:rsidR="009F40E4" w:rsidRDefault="009F40E4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:rsidR="009F40E4" w:rsidRDefault="009F40E4" w:rsidP="00FD1581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F40E4" w:rsidRPr="009E01B8" w:rsidRDefault="009F40E4" w:rsidP="00FD1581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9F40E4" w:rsidRPr="004812F5" w:rsidRDefault="009F40E4" w:rsidP="00FD1581">
      <w:pPr>
        <w:spacing w:before="120"/>
        <w:rPr>
          <w:b/>
        </w:rPr>
      </w:pPr>
      <w:r w:rsidRPr="004812F5">
        <w:rPr>
          <w:b/>
          <w:lang w:val="fr-FR"/>
        </w:rPr>
        <w:t>Réunion commune d’experts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:rsidR="009F40E4" w:rsidRPr="00234E40" w:rsidRDefault="009F40E4" w:rsidP="00FD1581">
      <w:pPr>
        <w:spacing w:before="120"/>
        <w:rPr>
          <w:b/>
        </w:rPr>
      </w:pPr>
      <w:r>
        <w:rPr>
          <w:b/>
        </w:rPr>
        <w:t xml:space="preserve">Trente-sixième </w:t>
      </w:r>
      <w:r w:rsidRPr="00234E40">
        <w:rPr>
          <w:b/>
        </w:rPr>
        <w:t>session</w:t>
      </w:r>
    </w:p>
    <w:p w:rsidR="009F40E4" w:rsidRDefault="009F40E4" w:rsidP="00FD1581">
      <w:r>
        <w:t>Genève, 27-31 janvier 2020</w:t>
      </w:r>
    </w:p>
    <w:p w:rsidR="009F40E4" w:rsidRDefault="009F40E4" w:rsidP="00FD1581">
      <w:r w:rsidRPr="00B93E72">
        <w:t xml:space="preserve">Point </w:t>
      </w:r>
      <w:r>
        <w:t xml:space="preserve">5 b) </w:t>
      </w:r>
      <w:r w:rsidRPr="00B93E72">
        <w:t>de l’ordre du jour provisoire</w:t>
      </w:r>
    </w:p>
    <w:p w:rsidR="009F40E4" w:rsidRPr="009F40E4" w:rsidRDefault="009F40E4" w:rsidP="00FD1581">
      <w:pPr>
        <w:rPr>
          <w:b/>
          <w:bCs/>
        </w:rPr>
      </w:pPr>
      <w:r w:rsidRPr="009F40E4">
        <w:rPr>
          <w:b/>
          <w:bCs/>
        </w:rPr>
        <w:t>Propositions d’amendements au Règlement annexé à l’ADN :</w:t>
      </w:r>
    </w:p>
    <w:p w:rsidR="009F40E4" w:rsidRPr="0054180D" w:rsidRDefault="009F40E4" w:rsidP="0054180D">
      <w:pPr>
        <w:rPr>
          <w:b/>
          <w:bCs/>
        </w:rPr>
      </w:pPr>
      <w:proofErr w:type="gramStart"/>
      <w:r w:rsidRPr="009F40E4">
        <w:rPr>
          <w:b/>
          <w:bCs/>
        </w:rPr>
        <w:t>autres</w:t>
      </w:r>
      <w:proofErr w:type="gramEnd"/>
      <w:r w:rsidRPr="009F40E4">
        <w:rPr>
          <w:b/>
          <w:bCs/>
        </w:rPr>
        <w:t xml:space="preserve"> propositions</w:t>
      </w:r>
    </w:p>
    <w:p w:rsidR="0054180D" w:rsidRDefault="009F40E4" w:rsidP="0054180D">
      <w:pPr>
        <w:pStyle w:val="HChG"/>
        <w:ind w:right="566"/>
      </w:pPr>
      <w:r>
        <w:tab/>
      </w:r>
      <w:r>
        <w:tab/>
      </w:r>
      <w:r w:rsidRPr="009F40E4">
        <w:t xml:space="preserve">7.2 </w:t>
      </w:r>
      <w:r w:rsidR="00AC733E">
        <w:t>de l’</w:t>
      </w:r>
      <w:r w:rsidRPr="009F40E4">
        <w:t>ADN – Emplacements réservés dans l</w:t>
      </w:r>
      <w:r>
        <w:t>’</w:t>
      </w:r>
      <w:r w:rsidRPr="009F40E4">
        <w:t xml:space="preserve">articulation de </w:t>
      </w:r>
      <w:r w:rsidR="0054180D">
        <w:t>l’ADN</w:t>
      </w:r>
    </w:p>
    <w:p w:rsidR="009F40E4" w:rsidRPr="00521AB9" w:rsidRDefault="009F40E4" w:rsidP="0054180D">
      <w:pPr>
        <w:pStyle w:val="H1G"/>
        <w:rPr>
          <w:sz w:val="18"/>
          <w:szCs w:val="18"/>
          <w:vertAlign w:val="superscript"/>
          <w:lang w:val="fr-FR"/>
        </w:rPr>
      </w:pPr>
      <w:r>
        <w:tab/>
      </w:r>
      <w:r>
        <w:tab/>
      </w:r>
      <w:r>
        <w:tab/>
      </w:r>
      <w:r w:rsidRPr="00E55857">
        <w:rPr>
          <w:lang w:val="fr-FR"/>
        </w:rPr>
        <w:t>Communication du Gouvernement de l’Allemagne</w:t>
      </w:r>
      <w:r w:rsidRPr="00521AB9">
        <w:rPr>
          <w:rStyle w:val="FootnoteReference"/>
          <w:sz w:val="20"/>
        </w:rPr>
        <w:footnoteReference w:customMarkFollows="1" w:id="2"/>
        <w:t>*</w:t>
      </w:r>
      <w:r w:rsidRPr="00521AB9">
        <w:rPr>
          <w:bCs/>
          <w:sz w:val="18"/>
          <w:szCs w:val="18"/>
          <w:vertAlign w:val="superscript"/>
          <w:lang w:val="fr-FR"/>
        </w:rPr>
        <w:t>,</w:t>
      </w:r>
      <w:r w:rsidRPr="00521AB9">
        <w:rPr>
          <w:rStyle w:val="FootnoteReference"/>
          <w:b w:val="0"/>
          <w:bCs/>
          <w:sz w:val="20"/>
          <w:szCs w:val="18"/>
        </w:rPr>
        <w:footnoteReference w:customMarkFollows="1" w:id="3"/>
        <w:t>**</w:t>
      </w:r>
      <w:r w:rsidRPr="00521AB9">
        <w:rPr>
          <w:sz w:val="18"/>
          <w:szCs w:val="18"/>
          <w:vertAlign w:val="superscript"/>
          <w:lang w:val="fr-FR"/>
        </w:rPr>
        <w:t xml:space="preserve"> 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9F40E4" w:rsidTr="006E5E26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9F40E4" w:rsidRDefault="009F40E4" w:rsidP="006E5E26">
            <w:pPr>
              <w:spacing w:line="240" w:lineRule="auto"/>
            </w:pPr>
          </w:p>
        </w:tc>
      </w:tr>
      <w:tr w:rsidR="009F40E4" w:rsidTr="009F40E4">
        <w:trPr>
          <w:trHeight w:val="340"/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9F40E4" w:rsidRPr="00E55857" w:rsidRDefault="009F40E4" w:rsidP="009F40E4">
            <w:pPr>
              <w:rPr>
                <w:iCs/>
                <w:szCs w:val="18"/>
                <w:lang w:val="fr-FR"/>
              </w:rPr>
            </w:pPr>
            <w:r w:rsidRPr="00E55857">
              <w:rPr>
                <w:u w:val="single"/>
                <w:lang w:val="fr-FR"/>
              </w:rPr>
              <w:t>Documents connexes</w:t>
            </w:r>
            <w:r w:rsidRPr="00E55857">
              <w:rPr>
                <w:lang w:val="fr-FR"/>
              </w:rPr>
              <w:t xml:space="preserve"> :</w:t>
            </w:r>
            <w:r>
              <w:rPr>
                <w:lang w:val="fr-FR"/>
              </w:rPr>
              <w:tab/>
            </w:r>
            <w:r w:rsidRPr="00E55857">
              <w:rPr>
                <w:iCs/>
                <w:szCs w:val="18"/>
                <w:lang w:val="fr-FR"/>
              </w:rPr>
              <w:t>Aucun</w:t>
            </w:r>
          </w:p>
          <w:p w:rsidR="009F40E4" w:rsidRDefault="009F40E4" w:rsidP="006E5E26">
            <w:pPr>
              <w:spacing w:after="120"/>
              <w:jc w:val="both"/>
            </w:pPr>
          </w:p>
        </w:tc>
      </w:tr>
      <w:tr w:rsidR="009F40E4" w:rsidTr="006E5E26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9F40E4" w:rsidRDefault="009F40E4" w:rsidP="006E5E26">
            <w:pPr>
              <w:spacing w:line="240" w:lineRule="auto"/>
            </w:pPr>
          </w:p>
        </w:tc>
      </w:tr>
    </w:tbl>
    <w:p w:rsidR="009F40E4" w:rsidRPr="00E55857" w:rsidRDefault="009F40E4" w:rsidP="009F40E4">
      <w:pPr>
        <w:pStyle w:val="HChG"/>
        <w:rPr>
          <w:lang w:val="fr-FR"/>
        </w:rPr>
      </w:pPr>
      <w:r>
        <w:rPr>
          <w:lang w:val="fr-FR"/>
        </w:rPr>
        <w:tab/>
      </w:r>
      <w:r w:rsidRPr="00E55857">
        <w:rPr>
          <w:lang w:val="fr-FR"/>
        </w:rPr>
        <w:tab/>
        <w:t>Introduction</w:t>
      </w:r>
    </w:p>
    <w:p w:rsidR="009F40E4" w:rsidRPr="00E55857" w:rsidRDefault="009F40E4" w:rsidP="009F40E4">
      <w:pPr>
        <w:pStyle w:val="SingleTxtG"/>
        <w:rPr>
          <w:lang w:val="fr-FR"/>
        </w:rPr>
      </w:pPr>
      <w:r w:rsidRPr="00E55857">
        <w:rPr>
          <w:lang w:val="fr-FR"/>
        </w:rPr>
        <w:t>1.</w:t>
      </w:r>
      <w:r w:rsidRPr="00E55857">
        <w:rPr>
          <w:lang w:val="fr-FR"/>
        </w:rPr>
        <w:tab/>
        <w:t>L</w:t>
      </w:r>
      <w:r>
        <w:rPr>
          <w:lang w:val="fr-FR"/>
        </w:rPr>
        <w:t>’</w:t>
      </w:r>
      <w:r w:rsidRPr="00E55857">
        <w:rPr>
          <w:lang w:val="fr-FR"/>
        </w:rPr>
        <w:t>Allemagne est d'avis que les 7.1 et 7.2 contiennent dans l</w:t>
      </w:r>
      <w:r>
        <w:rPr>
          <w:lang w:val="fr-FR"/>
        </w:rPr>
        <w:t>’</w:t>
      </w:r>
      <w:r w:rsidRPr="00E55857">
        <w:rPr>
          <w:lang w:val="fr-FR"/>
        </w:rPr>
        <w:t>articulation des prescriptions de nombreux emplacements réservés superflus pour des dispositions inexistantes.</w:t>
      </w:r>
    </w:p>
    <w:p w:rsidR="009F40E4" w:rsidRPr="00E55857" w:rsidRDefault="009F40E4" w:rsidP="009F129E">
      <w:pPr>
        <w:pStyle w:val="HChG"/>
        <w:pageBreakBefore/>
        <w:rPr>
          <w:lang w:val="fr-FR"/>
        </w:rPr>
      </w:pPr>
      <w:r>
        <w:rPr>
          <w:lang w:val="fr-FR"/>
        </w:rPr>
        <w:lastRenderedPageBreak/>
        <w:tab/>
      </w:r>
      <w:r w:rsidRPr="00E55857">
        <w:rPr>
          <w:lang w:val="fr-FR"/>
        </w:rPr>
        <w:t>I.</w:t>
      </w:r>
      <w:r w:rsidRPr="00E55857">
        <w:rPr>
          <w:lang w:val="fr-FR"/>
        </w:rPr>
        <w:tab/>
        <w:t>Demande</w:t>
      </w:r>
    </w:p>
    <w:p w:rsidR="009F40E4" w:rsidRPr="0054180D" w:rsidRDefault="009F40E4" w:rsidP="009F129E">
      <w:pPr>
        <w:pStyle w:val="SingleTxtG"/>
        <w:spacing w:after="240"/>
      </w:pPr>
      <w:r w:rsidRPr="0054180D">
        <w:t>2.</w:t>
      </w:r>
      <w:r w:rsidRPr="0054180D">
        <w:tab/>
        <w:t>Au 7.1, supprimer intégralement les emplacements réservés suivants 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55"/>
        <w:gridCol w:w="3367"/>
      </w:tblGrid>
      <w:tr w:rsidR="009F40E4" w:rsidRPr="009F40E4" w:rsidTr="0054180D">
        <w:trPr>
          <w:trHeight w:val="1871"/>
        </w:trPr>
        <w:tc>
          <w:tcPr>
            <w:tcW w:w="3855" w:type="dxa"/>
          </w:tcPr>
          <w:p w:rsidR="009F40E4" w:rsidRPr="009F40E4" w:rsidRDefault="009F40E4" w:rsidP="0054180D">
            <w:pPr>
              <w:keepNext/>
              <w:keepLines/>
              <w:spacing w:before="120"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9F40E4">
              <w:rPr>
                <w:iCs/>
                <w:sz w:val="18"/>
                <w:szCs w:val="18"/>
                <w:lang w:val="fr-FR"/>
              </w:rPr>
              <w:t>7.1.0.2 –</w:t>
            </w:r>
          </w:p>
          <w:p w:rsidR="009F40E4" w:rsidRPr="009F40E4" w:rsidRDefault="009F40E4" w:rsidP="009F40E4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9F40E4">
              <w:rPr>
                <w:iCs/>
                <w:sz w:val="18"/>
                <w:szCs w:val="18"/>
                <w:lang w:val="fr-FR"/>
              </w:rPr>
              <w:t>7.1.0.99</w:t>
            </w:r>
            <w:r w:rsidR="0054180D">
              <w:rPr>
                <w:iCs/>
                <w:sz w:val="18"/>
                <w:szCs w:val="18"/>
                <w:lang w:val="fr-FR"/>
              </w:rPr>
              <w:t xml:space="preserve"> </w:t>
            </w:r>
            <w:r w:rsidRPr="009F40E4">
              <w:rPr>
                <w:iCs/>
                <w:sz w:val="18"/>
                <w:szCs w:val="18"/>
                <w:lang w:val="fr-FR"/>
              </w:rPr>
              <w:t>(réservés)</w:t>
            </w:r>
          </w:p>
          <w:p w:rsidR="009F40E4" w:rsidRPr="009F40E4" w:rsidRDefault="009F40E4" w:rsidP="009F40E4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</w:p>
          <w:p w:rsidR="009F40E4" w:rsidRPr="009F40E4" w:rsidRDefault="009F40E4" w:rsidP="009F40E4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9F40E4">
              <w:rPr>
                <w:iCs/>
                <w:sz w:val="18"/>
                <w:szCs w:val="18"/>
                <w:lang w:val="fr-FR"/>
              </w:rPr>
              <w:t>7.1.1.22 –</w:t>
            </w:r>
          </w:p>
          <w:p w:rsidR="009F40E4" w:rsidRPr="009F40E4" w:rsidRDefault="009F40E4" w:rsidP="009F40E4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9F40E4">
              <w:rPr>
                <w:iCs/>
                <w:sz w:val="18"/>
                <w:szCs w:val="18"/>
                <w:lang w:val="fr-FR"/>
              </w:rPr>
              <w:t>7.1.1.99</w:t>
            </w:r>
            <w:r w:rsidR="0054180D">
              <w:rPr>
                <w:iCs/>
                <w:sz w:val="18"/>
                <w:szCs w:val="18"/>
                <w:lang w:val="fr-FR"/>
              </w:rPr>
              <w:t xml:space="preserve"> </w:t>
            </w:r>
            <w:r w:rsidRPr="009F40E4">
              <w:rPr>
                <w:iCs/>
                <w:sz w:val="18"/>
                <w:szCs w:val="18"/>
                <w:lang w:val="fr-FR"/>
              </w:rPr>
              <w:t>(réservés)</w:t>
            </w:r>
          </w:p>
          <w:p w:rsidR="009F40E4" w:rsidRPr="009F40E4" w:rsidRDefault="009F40E4" w:rsidP="009F40E4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</w:p>
          <w:p w:rsidR="009F40E4" w:rsidRPr="009F40E4" w:rsidRDefault="009F40E4" w:rsidP="009F40E4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9F40E4">
              <w:rPr>
                <w:iCs/>
                <w:sz w:val="18"/>
                <w:szCs w:val="18"/>
                <w:lang w:val="fr-FR"/>
              </w:rPr>
              <w:t>7.1.2.20 –</w:t>
            </w:r>
          </w:p>
          <w:p w:rsidR="009F40E4" w:rsidRPr="009F40E4" w:rsidRDefault="009F40E4" w:rsidP="009F40E4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9F40E4">
              <w:rPr>
                <w:iCs/>
                <w:sz w:val="18"/>
                <w:szCs w:val="18"/>
                <w:lang w:val="fr-FR"/>
              </w:rPr>
              <w:t>7.1.2.99</w:t>
            </w:r>
            <w:r w:rsidR="0054180D">
              <w:rPr>
                <w:iCs/>
                <w:sz w:val="18"/>
                <w:szCs w:val="18"/>
                <w:lang w:val="fr-FR"/>
              </w:rPr>
              <w:t xml:space="preserve"> </w:t>
            </w:r>
            <w:r w:rsidRPr="009F40E4">
              <w:rPr>
                <w:iCs/>
                <w:sz w:val="18"/>
                <w:szCs w:val="18"/>
                <w:lang w:val="fr-FR"/>
              </w:rPr>
              <w:t>(réservés)</w:t>
            </w:r>
          </w:p>
          <w:p w:rsidR="009F40E4" w:rsidRPr="009F40E4" w:rsidRDefault="009F40E4" w:rsidP="009F40E4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</w:p>
          <w:p w:rsidR="009F40E4" w:rsidRPr="009F40E4" w:rsidRDefault="009F40E4" w:rsidP="009F40E4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9F40E4">
              <w:rPr>
                <w:iCs/>
                <w:sz w:val="18"/>
                <w:szCs w:val="18"/>
                <w:lang w:val="fr-FR"/>
              </w:rPr>
              <w:t>7.1.3.71 –</w:t>
            </w:r>
          </w:p>
          <w:p w:rsidR="009F40E4" w:rsidRPr="009F40E4" w:rsidRDefault="009F40E4" w:rsidP="0054180D">
            <w:pPr>
              <w:keepNext/>
              <w:keepLines/>
              <w:spacing w:after="120"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9F40E4">
              <w:rPr>
                <w:iCs/>
                <w:sz w:val="18"/>
                <w:szCs w:val="18"/>
                <w:lang w:val="fr-FR"/>
              </w:rPr>
              <w:t>7.1.3.99</w:t>
            </w:r>
            <w:r w:rsidR="0054180D">
              <w:rPr>
                <w:iCs/>
                <w:sz w:val="18"/>
                <w:szCs w:val="18"/>
                <w:lang w:val="fr-FR"/>
              </w:rPr>
              <w:t xml:space="preserve"> </w:t>
            </w:r>
            <w:r w:rsidRPr="009F40E4">
              <w:rPr>
                <w:iCs/>
                <w:sz w:val="18"/>
                <w:szCs w:val="18"/>
                <w:lang w:val="fr-FR"/>
              </w:rPr>
              <w:t>(réservés)</w:t>
            </w:r>
          </w:p>
        </w:tc>
        <w:tc>
          <w:tcPr>
            <w:tcW w:w="3367" w:type="dxa"/>
          </w:tcPr>
          <w:p w:rsidR="009F40E4" w:rsidRPr="009F40E4" w:rsidRDefault="009F40E4" w:rsidP="0054180D">
            <w:pPr>
              <w:keepNext/>
              <w:keepLines/>
              <w:spacing w:before="120"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9F40E4">
              <w:rPr>
                <w:iCs/>
                <w:sz w:val="18"/>
                <w:szCs w:val="18"/>
                <w:lang w:val="fr-FR"/>
              </w:rPr>
              <w:t>7.1.4.78 –</w:t>
            </w:r>
          </w:p>
          <w:p w:rsidR="009F40E4" w:rsidRPr="009F40E4" w:rsidRDefault="009F40E4" w:rsidP="0054180D">
            <w:pPr>
              <w:keepNext/>
              <w:keepLines/>
              <w:spacing w:line="220" w:lineRule="exact"/>
              <w:ind w:left="1134" w:right="387" w:firstLine="170"/>
              <w:rPr>
                <w:iCs/>
                <w:sz w:val="18"/>
                <w:szCs w:val="18"/>
                <w:lang w:val="fr-FR"/>
              </w:rPr>
            </w:pPr>
            <w:r w:rsidRPr="009F40E4">
              <w:rPr>
                <w:iCs/>
                <w:sz w:val="18"/>
                <w:szCs w:val="18"/>
                <w:lang w:val="fr-FR"/>
              </w:rPr>
              <w:t>7.1.4.99</w:t>
            </w:r>
            <w:r w:rsidR="0054180D">
              <w:rPr>
                <w:iCs/>
                <w:sz w:val="18"/>
                <w:szCs w:val="18"/>
                <w:lang w:val="fr-FR"/>
              </w:rPr>
              <w:t xml:space="preserve"> </w:t>
            </w:r>
            <w:r w:rsidRPr="009F40E4">
              <w:rPr>
                <w:iCs/>
                <w:sz w:val="18"/>
                <w:szCs w:val="18"/>
                <w:lang w:val="fr-FR"/>
              </w:rPr>
              <w:t>(réservés)</w:t>
            </w:r>
          </w:p>
          <w:p w:rsidR="009F40E4" w:rsidRPr="009F40E4" w:rsidRDefault="009F40E4" w:rsidP="009F40E4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</w:p>
          <w:p w:rsidR="009F40E4" w:rsidRPr="009F40E4" w:rsidRDefault="009F40E4" w:rsidP="009F40E4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9F40E4">
              <w:rPr>
                <w:iCs/>
                <w:sz w:val="18"/>
                <w:szCs w:val="18"/>
                <w:lang w:val="fr-FR"/>
              </w:rPr>
              <w:t>7.1.5.9 –</w:t>
            </w:r>
          </w:p>
          <w:p w:rsidR="009F40E4" w:rsidRPr="009F40E4" w:rsidRDefault="009F40E4" w:rsidP="0054180D">
            <w:pPr>
              <w:keepNext/>
              <w:keepLines/>
              <w:spacing w:line="220" w:lineRule="exact"/>
              <w:ind w:left="1134" w:right="671" w:firstLine="170"/>
              <w:rPr>
                <w:iCs/>
                <w:sz w:val="18"/>
                <w:szCs w:val="18"/>
                <w:lang w:val="fr-FR"/>
              </w:rPr>
            </w:pPr>
            <w:r w:rsidRPr="009F40E4">
              <w:rPr>
                <w:iCs/>
                <w:sz w:val="18"/>
                <w:szCs w:val="18"/>
                <w:lang w:val="fr-FR"/>
              </w:rPr>
              <w:t>7.1.5.99</w:t>
            </w:r>
            <w:r w:rsidR="0054180D">
              <w:rPr>
                <w:iCs/>
                <w:sz w:val="18"/>
                <w:szCs w:val="18"/>
                <w:lang w:val="fr-FR"/>
              </w:rPr>
              <w:t xml:space="preserve"> </w:t>
            </w:r>
            <w:r w:rsidRPr="009F40E4">
              <w:rPr>
                <w:iCs/>
                <w:sz w:val="18"/>
                <w:szCs w:val="18"/>
                <w:lang w:val="fr-FR"/>
              </w:rPr>
              <w:t>(réservés)</w:t>
            </w:r>
          </w:p>
          <w:p w:rsidR="009F40E4" w:rsidRPr="009F40E4" w:rsidRDefault="009F40E4" w:rsidP="009F40E4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</w:p>
          <w:p w:rsidR="009F40E4" w:rsidRPr="009F40E4" w:rsidRDefault="009F40E4" w:rsidP="009F40E4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9F40E4">
              <w:rPr>
                <w:iCs/>
                <w:sz w:val="18"/>
                <w:szCs w:val="18"/>
                <w:lang w:val="fr-FR"/>
              </w:rPr>
              <w:t>7.1.6.17 –</w:t>
            </w:r>
          </w:p>
          <w:p w:rsidR="009F40E4" w:rsidRPr="009F40E4" w:rsidRDefault="009F40E4" w:rsidP="0054180D">
            <w:pPr>
              <w:keepNext/>
              <w:keepLines/>
              <w:spacing w:line="220" w:lineRule="exact"/>
              <w:ind w:left="1134" w:right="671" w:firstLine="170"/>
              <w:rPr>
                <w:iCs/>
                <w:sz w:val="18"/>
                <w:szCs w:val="18"/>
                <w:lang w:val="fr-FR"/>
              </w:rPr>
            </w:pPr>
            <w:r w:rsidRPr="009F40E4">
              <w:rPr>
                <w:iCs/>
                <w:sz w:val="18"/>
                <w:szCs w:val="18"/>
                <w:lang w:val="fr-FR"/>
              </w:rPr>
              <w:t>7.1.6.99</w:t>
            </w:r>
            <w:r w:rsidR="0054180D">
              <w:rPr>
                <w:iCs/>
                <w:sz w:val="18"/>
                <w:szCs w:val="18"/>
                <w:lang w:val="fr-FR"/>
              </w:rPr>
              <w:t xml:space="preserve"> </w:t>
            </w:r>
            <w:r w:rsidRPr="009F40E4">
              <w:rPr>
                <w:iCs/>
                <w:sz w:val="18"/>
                <w:szCs w:val="18"/>
                <w:lang w:val="fr-FR"/>
              </w:rPr>
              <w:t>(réservés)</w:t>
            </w:r>
          </w:p>
          <w:p w:rsidR="009F40E4" w:rsidRPr="009F40E4" w:rsidRDefault="009F40E4" w:rsidP="009F40E4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</w:p>
          <w:p w:rsidR="009F40E4" w:rsidRPr="009F40E4" w:rsidRDefault="009F40E4" w:rsidP="009F40E4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9F40E4">
              <w:rPr>
                <w:iCs/>
                <w:sz w:val="18"/>
                <w:szCs w:val="18"/>
                <w:lang w:val="fr-FR"/>
              </w:rPr>
              <w:t>7.1.7.5 –</w:t>
            </w:r>
          </w:p>
          <w:p w:rsidR="009F40E4" w:rsidRPr="009F40E4" w:rsidRDefault="009F40E4" w:rsidP="0054180D">
            <w:pPr>
              <w:keepNext/>
              <w:keepLines/>
              <w:spacing w:after="120" w:line="220" w:lineRule="exact"/>
              <w:ind w:left="1134" w:right="529" w:firstLine="170"/>
              <w:rPr>
                <w:iCs/>
                <w:sz w:val="18"/>
                <w:szCs w:val="18"/>
                <w:lang w:val="fr-FR"/>
              </w:rPr>
            </w:pPr>
            <w:r w:rsidRPr="009F40E4">
              <w:rPr>
                <w:iCs/>
                <w:sz w:val="18"/>
                <w:szCs w:val="18"/>
                <w:lang w:val="fr-FR"/>
              </w:rPr>
              <w:t xml:space="preserve">7.1.9.99 </w:t>
            </w:r>
            <w:r w:rsidR="0054180D">
              <w:rPr>
                <w:iCs/>
                <w:sz w:val="18"/>
                <w:szCs w:val="18"/>
                <w:lang w:val="fr-FR"/>
              </w:rPr>
              <w:t>(</w:t>
            </w:r>
            <w:r w:rsidRPr="009F40E4">
              <w:rPr>
                <w:iCs/>
                <w:sz w:val="18"/>
                <w:szCs w:val="18"/>
                <w:lang w:val="fr-FR"/>
              </w:rPr>
              <w:t>réservés)</w:t>
            </w:r>
          </w:p>
        </w:tc>
      </w:tr>
    </w:tbl>
    <w:p w:rsidR="0054180D" w:rsidRPr="00E55857" w:rsidRDefault="0054180D" w:rsidP="009F129E">
      <w:pPr>
        <w:pStyle w:val="SingleTxtG"/>
        <w:spacing w:before="240" w:after="240"/>
        <w:rPr>
          <w:lang w:val="fr-FR"/>
        </w:rPr>
      </w:pPr>
      <w:r w:rsidRPr="00E55857">
        <w:rPr>
          <w:lang w:val="fr-FR"/>
        </w:rPr>
        <w:t>3.</w:t>
      </w:r>
      <w:r w:rsidRPr="00E55857">
        <w:rPr>
          <w:lang w:val="fr-FR"/>
        </w:rPr>
        <w:tab/>
        <w:t>Au 7.2, supprimer intégralement les emplacements réservés suivants 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3469"/>
      </w:tblGrid>
      <w:tr w:rsidR="0054180D" w:rsidRPr="0054180D" w:rsidTr="0054180D">
        <w:tc>
          <w:tcPr>
            <w:tcW w:w="3789" w:type="dxa"/>
          </w:tcPr>
          <w:p w:rsidR="0054180D" w:rsidRPr="0054180D" w:rsidRDefault="0054180D" w:rsidP="00741D59">
            <w:pPr>
              <w:spacing w:before="120"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54180D">
              <w:rPr>
                <w:iCs/>
                <w:sz w:val="18"/>
                <w:szCs w:val="18"/>
                <w:lang w:val="fr-FR"/>
              </w:rPr>
              <w:t>7.2.0.2 –</w:t>
            </w:r>
          </w:p>
          <w:p w:rsidR="0054180D" w:rsidRPr="0054180D" w:rsidRDefault="0054180D" w:rsidP="0054180D">
            <w:pPr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54180D">
              <w:rPr>
                <w:iCs/>
                <w:sz w:val="18"/>
                <w:szCs w:val="18"/>
                <w:lang w:val="fr-FR"/>
              </w:rPr>
              <w:t>7.2.0.99</w:t>
            </w:r>
            <w:r>
              <w:rPr>
                <w:iCs/>
                <w:sz w:val="18"/>
                <w:szCs w:val="18"/>
                <w:lang w:val="fr-FR"/>
              </w:rPr>
              <w:t xml:space="preserve"> </w:t>
            </w:r>
            <w:r w:rsidRPr="0054180D">
              <w:rPr>
                <w:iCs/>
                <w:sz w:val="18"/>
                <w:szCs w:val="18"/>
                <w:lang w:val="fr-FR"/>
              </w:rPr>
              <w:t>(réservés)</w:t>
            </w:r>
          </w:p>
          <w:p w:rsidR="0054180D" w:rsidRPr="0054180D" w:rsidRDefault="0054180D" w:rsidP="0054180D">
            <w:pPr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</w:p>
          <w:p w:rsidR="0054180D" w:rsidRPr="0054180D" w:rsidRDefault="0054180D" w:rsidP="0054180D">
            <w:pPr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54180D">
              <w:rPr>
                <w:iCs/>
                <w:sz w:val="18"/>
                <w:szCs w:val="18"/>
                <w:lang w:val="fr-FR"/>
              </w:rPr>
              <w:t>7.2.1.22 –</w:t>
            </w:r>
          </w:p>
          <w:p w:rsidR="0054180D" w:rsidRPr="0054180D" w:rsidRDefault="0054180D" w:rsidP="0054180D">
            <w:pPr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54180D">
              <w:rPr>
                <w:iCs/>
                <w:sz w:val="18"/>
                <w:szCs w:val="18"/>
                <w:lang w:val="fr-FR"/>
              </w:rPr>
              <w:t>7.2.1.99</w:t>
            </w:r>
            <w:r>
              <w:rPr>
                <w:iCs/>
                <w:sz w:val="18"/>
                <w:szCs w:val="18"/>
                <w:lang w:val="fr-FR"/>
              </w:rPr>
              <w:t xml:space="preserve"> </w:t>
            </w:r>
            <w:r w:rsidRPr="0054180D">
              <w:rPr>
                <w:iCs/>
                <w:sz w:val="18"/>
                <w:szCs w:val="18"/>
                <w:lang w:val="fr-FR"/>
              </w:rPr>
              <w:t>(réservés)</w:t>
            </w:r>
          </w:p>
          <w:p w:rsidR="0054180D" w:rsidRPr="0054180D" w:rsidRDefault="0054180D" w:rsidP="0054180D">
            <w:pPr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</w:p>
          <w:p w:rsidR="0054180D" w:rsidRPr="0054180D" w:rsidRDefault="0054180D" w:rsidP="0054180D">
            <w:pPr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54180D">
              <w:rPr>
                <w:iCs/>
                <w:sz w:val="18"/>
                <w:szCs w:val="18"/>
                <w:lang w:val="fr-FR"/>
              </w:rPr>
              <w:t>7.2.2.23 –</w:t>
            </w:r>
          </w:p>
          <w:p w:rsidR="0054180D" w:rsidRPr="0054180D" w:rsidRDefault="0054180D" w:rsidP="0054180D">
            <w:pPr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54180D">
              <w:rPr>
                <w:iCs/>
                <w:sz w:val="18"/>
                <w:szCs w:val="18"/>
                <w:lang w:val="fr-FR"/>
              </w:rPr>
              <w:t>7.2.2.99</w:t>
            </w:r>
            <w:r>
              <w:rPr>
                <w:iCs/>
                <w:sz w:val="18"/>
                <w:szCs w:val="18"/>
                <w:lang w:val="fr-FR"/>
              </w:rPr>
              <w:t xml:space="preserve"> </w:t>
            </w:r>
            <w:r w:rsidRPr="0054180D">
              <w:rPr>
                <w:iCs/>
                <w:sz w:val="18"/>
                <w:szCs w:val="18"/>
                <w:lang w:val="fr-FR"/>
              </w:rPr>
              <w:t>(réservés)</w:t>
            </w:r>
          </w:p>
          <w:p w:rsidR="0054180D" w:rsidRPr="0054180D" w:rsidRDefault="0054180D" w:rsidP="0054180D">
            <w:pPr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</w:p>
          <w:p w:rsidR="0054180D" w:rsidRPr="0054180D" w:rsidRDefault="0054180D" w:rsidP="0054180D">
            <w:pPr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54180D">
              <w:rPr>
                <w:iCs/>
                <w:sz w:val="18"/>
                <w:szCs w:val="18"/>
                <w:lang w:val="fr-FR"/>
              </w:rPr>
              <w:t>7.2.3.52 –</w:t>
            </w:r>
          </w:p>
          <w:p w:rsidR="0054180D" w:rsidRPr="0054180D" w:rsidRDefault="0054180D" w:rsidP="00741D59">
            <w:pPr>
              <w:spacing w:after="120"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  <w:r w:rsidRPr="0054180D">
              <w:rPr>
                <w:iCs/>
                <w:sz w:val="18"/>
                <w:szCs w:val="18"/>
                <w:lang w:val="fr-FR"/>
              </w:rPr>
              <w:t>7.2.3.99</w:t>
            </w:r>
            <w:r>
              <w:rPr>
                <w:iCs/>
                <w:sz w:val="18"/>
                <w:szCs w:val="18"/>
                <w:lang w:val="fr-FR"/>
              </w:rPr>
              <w:t xml:space="preserve"> </w:t>
            </w:r>
            <w:r w:rsidRPr="0054180D">
              <w:rPr>
                <w:iCs/>
                <w:sz w:val="18"/>
                <w:szCs w:val="18"/>
                <w:lang w:val="fr-FR"/>
              </w:rPr>
              <w:t>(réservés)</w:t>
            </w:r>
          </w:p>
        </w:tc>
        <w:tc>
          <w:tcPr>
            <w:tcW w:w="3469" w:type="dxa"/>
          </w:tcPr>
          <w:p w:rsidR="0054180D" w:rsidRPr="0054180D" w:rsidRDefault="0054180D" w:rsidP="00741D59">
            <w:pPr>
              <w:spacing w:before="120" w:line="220" w:lineRule="exact"/>
              <w:ind w:left="1134" w:right="422" w:firstLine="170"/>
              <w:rPr>
                <w:iCs/>
                <w:sz w:val="18"/>
                <w:szCs w:val="18"/>
                <w:lang w:val="fr-FR"/>
              </w:rPr>
            </w:pPr>
            <w:r w:rsidRPr="0054180D">
              <w:rPr>
                <w:iCs/>
                <w:sz w:val="18"/>
                <w:szCs w:val="18"/>
                <w:lang w:val="fr-FR"/>
              </w:rPr>
              <w:t>7.2.4.78 –</w:t>
            </w:r>
          </w:p>
          <w:p w:rsidR="0054180D" w:rsidRPr="0054180D" w:rsidRDefault="0054180D" w:rsidP="0054180D">
            <w:pPr>
              <w:spacing w:line="220" w:lineRule="exact"/>
              <w:ind w:left="1134" w:right="422" w:firstLine="170"/>
              <w:rPr>
                <w:iCs/>
                <w:sz w:val="18"/>
                <w:szCs w:val="18"/>
                <w:lang w:val="fr-FR"/>
              </w:rPr>
            </w:pPr>
            <w:r w:rsidRPr="0054180D">
              <w:rPr>
                <w:iCs/>
                <w:sz w:val="18"/>
                <w:szCs w:val="18"/>
                <w:lang w:val="fr-FR"/>
              </w:rPr>
              <w:t>7.2.4.99</w:t>
            </w:r>
            <w:r>
              <w:rPr>
                <w:iCs/>
                <w:sz w:val="18"/>
                <w:szCs w:val="18"/>
                <w:lang w:val="fr-FR"/>
              </w:rPr>
              <w:t xml:space="preserve"> </w:t>
            </w:r>
            <w:r w:rsidRPr="0054180D">
              <w:rPr>
                <w:iCs/>
                <w:sz w:val="18"/>
                <w:szCs w:val="18"/>
                <w:lang w:val="fr-FR"/>
              </w:rPr>
              <w:t>(réservés)</w:t>
            </w:r>
          </w:p>
          <w:p w:rsidR="0054180D" w:rsidRPr="0054180D" w:rsidRDefault="0054180D" w:rsidP="0054180D">
            <w:pPr>
              <w:spacing w:line="220" w:lineRule="exact"/>
              <w:ind w:left="1134" w:right="422" w:firstLine="170"/>
              <w:rPr>
                <w:iCs/>
                <w:sz w:val="18"/>
                <w:szCs w:val="18"/>
                <w:lang w:val="fr-FR"/>
              </w:rPr>
            </w:pPr>
          </w:p>
          <w:p w:rsidR="0054180D" w:rsidRPr="0054180D" w:rsidRDefault="0054180D" w:rsidP="0054180D">
            <w:pPr>
              <w:spacing w:line="220" w:lineRule="exact"/>
              <w:ind w:left="1134" w:right="422" w:firstLine="170"/>
              <w:rPr>
                <w:iCs/>
                <w:sz w:val="18"/>
                <w:szCs w:val="18"/>
                <w:lang w:val="fr-FR"/>
              </w:rPr>
            </w:pPr>
            <w:r w:rsidRPr="0054180D">
              <w:rPr>
                <w:iCs/>
                <w:sz w:val="18"/>
                <w:szCs w:val="18"/>
                <w:lang w:val="fr-FR"/>
              </w:rPr>
              <w:t>7.2.5.8.2 (supprimé)</w:t>
            </w:r>
          </w:p>
          <w:p w:rsidR="0054180D" w:rsidRPr="0054180D" w:rsidRDefault="0054180D" w:rsidP="0054180D">
            <w:pPr>
              <w:spacing w:line="220" w:lineRule="exact"/>
              <w:ind w:left="1134" w:right="422" w:firstLine="170"/>
              <w:rPr>
                <w:iCs/>
                <w:sz w:val="18"/>
                <w:szCs w:val="18"/>
                <w:lang w:val="fr-FR"/>
              </w:rPr>
            </w:pPr>
          </w:p>
          <w:p w:rsidR="0054180D" w:rsidRPr="0054180D" w:rsidRDefault="0054180D" w:rsidP="0054180D">
            <w:pPr>
              <w:spacing w:line="220" w:lineRule="exact"/>
              <w:ind w:left="1134" w:right="422" w:firstLine="170"/>
              <w:rPr>
                <w:iCs/>
                <w:sz w:val="18"/>
                <w:szCs w:val="18"/>
                <w:lang w:val="fr-FR"/>
              </w:rPr>
            </w:pPr>
            <w:r w:rsidRPr="0054180D">
              <w:rPr>
                <w:iCs/>
                <w:sz w:val="18"/>
                <w:szCs w:val="18"/>
                <w:lang w:val="fr-FR"/>
              </w:rPr>
              <w:t>7.2.5.8.3 (supprimé)</w:t>
            </w:r>
          </w:p>
          <w:p w:rsidR="0054180D" w:rsidRPr="0054180D" w:rsidRDefault="0054180D" w:rsidP="0054180D">
            <w:pPr>
              <w:spacing w:line="220" w:lineRule="exact"/>
              <w:ind w:left="1134" w:right="422" w:firstLine="170"/>
              <w:rPr>
                <w:iCs/>
                <w:sz w:val="18"/>
                <w:szCs w:val="18"/>
                <w:lang w:val="fr-FR"/>
              </w:rPr>
            </w:pPr>
          </w:p>
          <w:p w:rsidR="0054180D" w:rsidRPr="0054180D" w:rsidRDefault="0054180D" w:rsidP="0054180D">
            <w:pPr>
              <w:spacing w:line="220" w:lineRule="exact"/>
              <w:ind w:left="1134" w:right="422" w:firstLine="170"/>
              <w:rPr>
                <w:iCs/>
                <w:sz w:val="18"/>
                <w:szCs w:val="18"/>
                <w:lang w:val="fr-FR"/>
              </w:rPr>
            </w:pPr>
            <w:r w:rsidRPr="0054180D">
              <w:rPr>
                <w:iCs/>
                <w:sz w:val="18"/>
                <w:szCs w:val="18"/>
                <w:lang w:val="fr-FR"/>
              </w:rPr>
              <w:t>7.2.5.8.4 (supprimé)</w:t>
            </w:r>
          </w:p>
          <w:p w:rsidR="0054180D" w:rsidRPr="0054180D" w:rsidRDefault="0054180D" w:rsidP="0054180D">
            <w:pPr>
              <w:spacing w:line="220" w:lineRule="exact"/>
              <w:ind w:left="1134" w:right="422" w:firstLine="170"/>
              <w:rPr>
                <w:iCs/>
                <w:sz w:val="18"/>
                <w:szCs w:val="18"/>
                <w:lang w:val="fr-FR"/>
              </w:rPr>
            </w:pPr>
          </w:p>
          <w:p w:rsidR="0054180D" w:rsidRPr="0054180D" w:rsidRDefault="0054180D" w:rsidP="0054180D">
            <w:pPr>
              <w:spacing w:line="220" w:lineRule="exact"/>
              <w:ind w:left="1134" w:right="422" w:firstLine="170"/>
              <w:rPr>
                <w:iCs/>
                <w:sz w:val="18"/>
                <w:szCs w:val="18"/>
                <w:lang w:val="fr-FR"/>
              </w:rPr>
            </w:pPr>
            <w:r w:rsidRPr="0054180D">
              <w:rPr>
                <w:iCs/>
                <w:sz w:val="18"/>
                <w:szCs w:val="18"/>
                <w:lang w:val="fr-FR"/>
              </w:rPr>
              <w:t>7.2.5.9 –</w:t>
            </w:r>
          </w:p>
          <w:p w:rsidR="0054180D" w:rsidRPr="0054180D" w:rsidRDefault="0054180D" w:rsidP="0054180D">
            <w:pPr>
              <w:tabs>
                <w:tab w:val="left" w:pos="2055"/>
              </w:tabs>
              <w:spacing w:line="220" w:lineRule="exact"/>
              <w:ind w:left="1134" w:right="422" w:firstLine="170"/>
              <w:rPr>
                <w:iCs/>
                <w:sz w:val="18"/>
                <w:szCs w:val="18"/>
                <w:lang w:val="fr-FR"/>
              </w:rPr>
            </w:pPr>
            <w:r w:rsidRPr="0054180D">
              <w:rPr>
                <w:iCs/>
                <w:sz w:val="18"/>
                <w:szCs w:val="18"/>
                <w:lang w:val="fr-FR"/>
              </w:rPr>
              <w:t>7.2.5.99</w:t>
            </w:r>
            <w:r>
              <w:rPr>
                <w:iCs/>
                <w:sz w:val="18"/>
                <w:szCs w:val="18"/>
                <w:lang w:val="fr-FR"/>
              </w:rPr>
              <w:t xml:space="preserve"> </w:t>
            </w:r>
            <w:r w:rsidRPr="0054180D">
              <w:rPr>
                <w:iCs/>
                <w:sz w:val="18"/>
                <w:szCs w:val="18"/>
                <w:lang w:val="fr-FR"/>
              </w:rPr>
              <w:t>(réservés)</w:t>
            </w:r>
          </w:p>
        </w:tc>
      </w:tr>
    </w:tbl>
    <w:p w:rsidR="0054180D" w:rsidRPr="00191D1E" w:rsidRDefault="0054180D" w:rsidP="009F129E">
      <w:pPr>
        <w:pStyle w:val="SingleTxtG"/>
        <w:spacing w:before="240" w:after="240"/>
        <w:rPr>
          <w:lang w:val="fr-FR"/>
        </w:rPr>
      </w:pPr>
      <w:r w:rsidRPr="00E55857">
        <w:rPr>
          <w:lang w:val="fr-FR"/>
        </w:rPr>
        <w:t>4.</w:t>
      </w:r>
      <w:r w:rsidRPr="00E55857">
        <w:rPr>
          <w:lang w:val="fr-FR"/>
        </w:rPr>
        <w:tab/>
        <w:t>Le sommaire doit être adapté en conséquence.</w:t>
      </w:r>
    </w:p>
    <w:p w:rsidR="0054180D" w:rsidRPr="00E55857" w:rsidRDefault="0054180D" w:rsidP="0054180D">
      <w:pPr>
        <w:pStyle w:val="HChG"/>
        <w:rPr>
          <w:lang w:val="fr-FR"/>
        </w:rPr>
      </w:pPr>
      <w:r>
        <w:rPr>
          <w:lang w:val="fr-FR"/>
        </w:rPr>
        <w:tab/>
      </w:r>
      <w:r w:rsidRPr="00E55857">
        <w:rPr>
          <w:lang w:val="fr-FR"/>
        </w:rPr>
        <w:t>II.</w:t>
      </w:r>
      <w:r w:rsidRPr="00E55857">
        <w:rPr>
          <w:lang w:val="fr-FR"/>
        </w:rPr>
        <w:tab/>
        <w:t>Motifs</w:t>
      </w:r>
    </w:p>
    <w:p w:rsidR="0054180D" w:rsidRPr="00E55857" w:rsidRDefault="0054180D" w:rsidP="0054180D">
      <w:pPr>
        <w:pStyle w:val="SingleTxtG"/>
        <w:rPr>
          <w:lang w:val="fr-FR"/>
        </w:rPr>
      </w:pPr>
      <w:r w:rsidRPr="00E55857">
        <w:rPr>
          <w:lang w:val="fr-FR"/>
        </w:rPr>
        <w:t>5.</w:t>
      </w:r>
      <w:r w:rsidRPr="00E55857">
        <w:rPr>
          <w:lang w:val="fr-FR"/>
        </w:rPr>
        <w:tab/>
        <w:t>Ces emplacements réservés ne sont pas nécessaire pour remplir des vides entre les prescriptions successives. Ils n</w:t>
      </w:r>
      <w:r w:rsidR="008D6AEE">
        <w:rPr>
          <w:lang w:val="fr-FR"/>
        </w:rPr>
        <w:t>’</w:t>
      </w:r>
      <w:r w:rsidRPr="00E55857">
        <w:rPr>
          <w:lang w:val="fr-FR"/>
        </w:rPr>
        <w:t>ont aucune autre utilité sur le plan réglementaire.</w:t>
      </w:r>
    </w:p>
    <w:p w:rsidR="0054180D" w:rsidRPr="00E55857" w:rsidRDefault="0054180D" w:rsidP="0054180D">
      <w:pPr>
        <w:pStyle w:val="SingleTxtG"/>
        <w:rPr>
          <w:lang w:val="fr-FR"/>
        </w:rPr>
      </w:pPr>
      <w:r w:rsidRPr="00E55857">
        <w:rPr>
          <w:lang w:val="fr-FR"/>
        </w:rPr>
        <w:t>6.</w:t>
      </w:r>
      <w:r w:rsidRPr="00E55857">
        <w:rPr>
          <w:lang w:val="fr-FR"/>
        </w:rPr>
        <w:tab/>
        <w:t>En outre, ils affectent la lisibilité de la Partie 7 et alourdissent inutilement le règlement.</w:t>
      </w:r>
    </w:p>
    <w:p w:rsidR="0054180D" w:rsidRPr="00E55857" w:rsidRDefault="0054180D" w:rsidP="0054180D">
      <w:pPr>
        <w:pStyle w:val="HChG"/>
        <w:rPr>
          <w:lang w:val="fr-FR"/>
        </w:rPr>
      </w:pPr>
      <w:r>
        <w:rPr>
          <w:lang w:val="fr-FR"/>
        </w:rPr>
        <w:tab/>
      </w:r>
      <w:r w:rsidR="009F129E">
        <w:rPr>
          <w:lang w:val="fr-FR"/>
        </w:rPr>
        <w:t>III</w:t>
      </w:r>
      <w:r w:rsidRPr="00E55857">
        <w:rPr>
          <w:lang w:val="fr-FR"/>
        </w:rPr>
        <w:t>.</w:t>
      </w:r>
      <w:r w:rsidRPr="00E55857">
        <w:rPr>
          <w:lang w:val="fr-FR"/>
        </w:rPr>
        <w:tab/>
        <w:t>Sécurité</w:t>
      </w:r>
    </w:p>
    <w:p w:rsidR="0054180D" w:rsidRPr="00E55857" w:rsidRDefault="0054180D" w:rsidP="0054180D">
      <w:pPr>
        <w:pStyle w:val="SingleTxtG"/>
        <w:rPr>
          <w:lang w:val="fr-FR"/>
        </w:rPr>
      </w:pPr>
      <w:r w:rsidRPr="00E55857">
        <w:rPr>
          <w:lang w:val="fr-FR"/>
        </w:rPr>
        <w:t>7.</w:t>
      </w:r>
      <w:r w:rsidRPr="00E55857">
        <w:rPr>
          <w:lang w:val="fr-FR"/>
        </w:rPr>
        <w:tab/>
        <w:t>Cette modification est sans incidence sur la sécurité. Il s</w:t>
      </w:r>
      <w:r w:rsidR="008D6AEE">
        <w:rPr>
          <w:lang w:val="fr-FR"/>
        </w:rPr>
        <w:t>’</w:t>
      </w:r>
      <w:r w:rsidRPr="00E55857">
        <w:rPr>
          <w:lang w:val="fr-FR"/>
        </w:rPr>
        <w:t>agit exclusivement d</w:t>
      </w:r>
      <w:r w:rsidR="008D6AEE">
        <w:rPr>
          <w:lang w:val="fr-FR"/>
        </w:rPr>
        <w:t>’</w:t>
      </w:r>
      <w:r w:rsidRPr="00E55857">
        <w:rPr>
          <w:lang w:val="fr-FR"/>
        </w:rPr>
        <w:t>une amélioration rédactionnelle des prescriptions. La sécurité du transport s</w:t>
      </w:r>
      <w:r w:rsidR="008D6AEE">
        <w:rPr>
          <w:lang w:val="fr-FR"/>
        </w:rPr>
        <w:t>’</w:t>
      </w:r>
      <w:r w:rsidRPr="00E55857">
        <w:rPr>
          <w:lang w:val="fr-FR"/>
        </w:rPr>
        <w:t>en trouve améliorée indirectement, la lisibilité et compréhensibilité des prescriptions s</w:t>
      </w:r>
      <w:r w:rsidR="0004256C">
        <w:rPr>
          <w:lang w:val="fr-FR"/>
        </w:rPr>
        <w:t>’</w:t>
      </w:r>
      <w:r w:rsidRPr="00E55857">
        <w:rPr>
          <w:lang w:val="fr-FR"/>
        </w:rPr>
        <w:t>en trouvant améliorée.</w:t>
      </w:r>
    </w:p>
    <w:p w:rsidR="0054180D" w:rsidRPr="00E55857" w:rsidRDefault="0054180D" w:rsidP="0054180D">
      <w:pPr>
        <w:pStyle w:val="HChG"/>
        <w:rPr>
          <w:lang w:val="fr-FR"/>
        </w:rPr>
      </w:pPr>
      <w:r>
        <w:rPr>
          <w:lang w:val="fr-FR"/>
        </w:rPr>
        <w:tab/>
      </w:r>
      <w:r w:rsidR="009F129E">
        <w:rPr>
          <w:lang w:val="fr-FR"/>
        </w:rPr>
        <w:t>I</w:t>
      </w:r>
      <w:r w:rsidRPr="00E55857">
        <w:rPr>
          <w:lang w:val="fr-FR"/>
        </w:rPr>
        <w:t>V.</w:t>
      </w:r>
      <w:r w:rsidRPr="00E55857">
        <w:rPr>
          <w:lang w:val="fr-FR"/>
        </w:rPr>
        <w:tab/>
        <w:t>Mise en œuvre</w:t>
      </w:r>
    </w:p>
    <w:p w:rsidR="0054180D" w:rsidRDefault="0054180D" w:rsidP="0054180D">
      <w:pPr>
        <w:pStyle w:val="SingleTxtG"/>
        <w:rPr>
          <w:lang w:val="fr-FR"/>
        </w:rPr>
      </w:pPr>
      <w:r w:rsidRPr="00E55857">
        <w:rPr>
          <w:lang w:val="fr-FR"/>
        </w:rPr>
        <w:t>8.</w:t>
      </w:r>
      <w:r w:rsidRPr="00E55857">
        <w:rPr>
          <w:lang w:val="fr-FR"/>
        </w:rPr>
        <w:tab/>
        <w:t>La demande n</w:t>
      </w:r>
      <w:r w:rsidR="0004256C">
        <w:rPr>
          <w:lang w:val="fr-FR"/>
        </w:rPr>
        <w:t>’</w:t>
      </w:r>
      <w:r w:rsidRPr="00E55857">
        <w:rPr>
          <w:lang w:val="fr-FR"/>
        </w:rPr>
        <w:t>implique aucune modification sur le plan de la construction navale ou de l</w:t>
      </w:r>
      <w:r w:rsidR="0004256C">
        <w:rPr>
          <w:lang w:val="fr-FR"/>
        </w:rPr>
        <w:t>’</w:t>
      </w:r>
      <w:r w:rsidRPr="00E55857">
        <w:rPr>
          <w:lang w:val="fr-FR"/>
        </w:rPr>
        <w:t>organisation du transport. Il n</w:t>
      </w:r>
      <w:r w:rsidR="0004256C">
        <w:rPr>
          <w:lang w:val="fr-FR"/>
        </w:rPr>
        <w:t>’</w:t>
      </w:r>
      <w:r w:rsidRPr="00E55857">
        <w:rPr>
          <w:lang w:val="fr-FR"/>
        </w:rPr>
        <w:t>existe aucune autre disposition du règlement annexé à l</w:t>
      </w:r>
      <w:r w:rsidR="0004256C">
        <w:rPr>
          <w:lang w:val="fr-FR"/>
        </w:rPr>
        <w:t>’</w:t>
      </w:r>
      <w:r w:rsidRPr="00E55857">
        <w:rPr>
          <w:lang w:val="fr-FR"/>
        </w:rPr>
        <w:t>ADN comportant un renvoi à ces emplacements réservés.</w:t>
      </w:r>
    </w:p>
    <w:p w:rsidR="0054180D" w:rsidRPr="0054180D" w:rsidRDefault="0054180D" w:rsidP="0054180D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4180D" w:rsidRPr="0054180D" w:rsidSect="00741D5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96" w:rsidRDefault="00675796" w:rsidP="00F95C08">
      <w:pPr>
        <w:spacing w:line="240" w:lineRule="auto"/>
      </w:pPr>
    </w:p>
  </w:endnote>
  <w:endnote w:type="continuationSeparator" w:id="0">
    <w:p w:rsidR="00675796" w:rsidRPr="00AC3823" w:rsidRDefault="00675796" w:rsidP="00AC3823">
      <w:pPr>
        <w:pStyle w:val="Footer"/>
      </w:pPr>
    </w:p>
  </w:endnote>
  <w:endnote w:type="continuationNotice" w:id="1">
    <w:p w:rsidR="00675796" w:rsidRDefault="006757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796" w:rsidRPr="00675796" w:rsidRDefault="00675796" w:rsidP="00675796">
    <w:pPr>
      <w:pStyle w:val="Footer"/>
      <w:tabs>
        <w:tab w:val="right" w:pos="9638"/>
      </w:tabs>
      <w:rPr>
        <w:sz w:val="18"/>
      </w:rPr>
    </w:pPr>
    <w:r w:rsidRPr="00675796">
      <w:rPr>
        <w:b/>
        <w:sz w:val="18"/>
      </w:rPr>
      <w:fldChar w:fldCharType="begin"/>
    </w:r>
    <w:r w:rsidRPr="00675796">
      <w:rPr>
        <w:b/>
        <w:sz w:val="18"/>
      </w:rPr>
      <w:instrText xml:space="preserve"> PAGE  \* MERGEFORMAT </w:instrText>
    </w:r>
    <w:r w:rsidRPr="00675796">
      <w:rPr>
        <w:b/>
        <w:sz w:val="18"/>
      </w:rPr>
      <w:fldChar w:fldCharType="separate"/>
    </w:r>
    <w:r w:rsidRPr="00675796">
      <w:rPr>
        <w:b/>
        <w:noProof/>
        <w:sz w:val="18"/>
      </w:rPr>
      <w:t>2</w:t>
    </w:r>
    <w:r w:rsidRPr="0067579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796" w:rsidRPr="00675796" w:rsidRDefault="00675796" w:rsidP="00675796">
    <w:pPr>
      <w:pStyle w:val="Footer"/>
      <w:tabs>
        <w:tab w:val="right" w:pos="9638"/>
      </w:tabs>
      <w:rPr>
        <w:b/>
        <w:sz w:val="18"/>
      </w:rPr>
    </w:pPr>
    <w:r>
      <w:tab/>
    </w:r>
    <w:r w:rsidRPr="00675796">
      <w:rPr>
        <w:b/>
        <w:sz w:val="18"/>
      </w:rPr>
      <w:fldChar w:fldCharType="begin"/>
    </w:r>
    <w:r w:rsidRPr="00675796">
      <w:rPr>
        <w:b/>
        <w:sz w:val="18"/>
      </w:rPr>
      <w:instrText xml:space="preserve"> PAGE  \* MERGEFORMAT </w:instrText>
    </w:r>
    <w:r w:rsidRPr="00675796">
      <w:rPr>
        <w:b/>
        <w:sz w:val="18"/>
      </w:rPr>
      <w:fldChar w:fldCharType="separate"/>
    </w:r>
    <w:r w:rsidRPr="00675796">
      <w:rPr>
        <w:b/>
        <w:noProof/>
        <w:sz w:val="18"/>
      </w:rPr>
      <w:t>3</w:t>
    </w:r>
    <w:r w:rsidRPr="006757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E9" w:rsidRPr="00675796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96" w:rsidRPr="00AC3823" w:rsidRDefault="0067579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75796" w:rsidRPr="00AC3823" w:rsidRDefault="0067579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75796" w:rsidRPr="00AC3823" w:rsidRDefault="00675796">
      <w:pPr>
        <w:spacing w:line="240" w:lineRule="auto"/>
        <w:rPr>
          <w:sz w:val="2"/>
          <w:szCs w:val="2"/>
        </w:rPr>
      </w:pPr>
    </w:p>
  </w:footnote>
  <w:footnote w:id="2">
    <w:p w:rsidR="009F40E4" w:rsidRPr="009F40E4" w:rsidRDefault="009F40E4">
      <w:pPr>
        <w:pStyle w:val="FootnoteText"/>
      </w:pPr>
      <w:r w:rsidRPr="009F129E">
        <w:rPr>
          <w:rStyle w:val="FootnoteReference"/>
        </w:rPr>
        <w:tab/>
      </w:r>
      <w:r w:rsidRPr="009F129E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E55857">
        <w:rPr>
          <w:sz w:val="16"/>
          <w:lang w:val="fr-FR"/>
        </w:rPr>
        <w:t>Diffusé en langue allemande par la Commission centrale pour la navigation du Rhin sous la cote CCNR/ZKR/ADN/WP.15/AC.2/2020/</w:t>
      </w:r>
      <w:r w:rsidR="009F129E">
        <w:rPr>
          <w:sz w:val="16"/>
          <w:lang w:val="fr-FR"/>
        </w:rPr>
        <w:t>4</w:t>
      </w:r>
      <w:r w:rsidRPr="00E55857">
        <w:rPr>
          <w:sz w:val="16"/>
          <w:lang w:val="fr-FR"/>
        </w:rPr>
        <w:t>.</w:t>
      </w:r>
    </w:p>
  </w:footnote>
  <w:footnote w:id="3">
    <w:p w:rsidR="009F40E4" w:rsidRPr="009F40E4" w:rsidRDefault="009F40E4">
      <w:pPr>
        <w:pStyle w:val="FootnoteText"/>
      </w:pPr>
      <w:r w:rsidRPr="009F129E">
        <w:rPr>
          <w:rStyle w:val="FootnoteReference"/>
        </w:rPr>
        <w:tab/>
      </w:r>
      <w:r w:rsidRPr="009F129E">
        <w:rPr>
          <w:rStyle w:val="FootnoteReference"/>
          <w:sz w:val="20"/>
        </w:rPr>
        <w:t>**</w:t>
      </w:r>
      <w:r>
        <w:rPr>
          <w:rStyle w:val="FootnoteReference"/>
          <w:sz w:val="20"/>
          <w:vertAlign w:val="baseline"/>
        </w:rPr>
        <w:tab/>
      </w:r>
      <w:r w:rsidRPr="00191D1E">
        <w:rPr>
          <w:sz w:val="16"/>
          <w:szCs w:val="16"/>
          <w:lang w:val="fr-FR"/>
        </w:rPr>
        <w:t xml:space="preserve">Conformément au programme de travail du Comité des transports intérieurs pour 2018-2019 </w:t>
      </w:r>
      <w:r w:rsidRPr="009F40E4">
        <w:rPr>
          <w:rStyle w:val="FootnoteReference"/>
          <w:szCs w:val="16"/>
          <w:vertAlign w:val="baseline"/>
          <w:lang w:val="fr-FR"/>
        </w:rPr>
        <w:t>(ECE/TRANS/2018/21/Add.1,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796" w:rsidRPr="00675796" w:rsidRDefault="00960BA4">
    <w:pPr>
      <w:pStyle w:val="Header"/>
    </w:pPr>
    <w:fldSimple w:instr=" TITLE  \* MERGEFORMAT ">
      <w:r w:rsidR="009D5A79">
        <w:t>ECE/TRANS/WP.15/AC.2/2020/4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796" w:rsidRPr="00675796" w:rsidRDefault="00960BA4" w:rsidP="00675796">
    <w:pPr>
      <w:pStyle w:val="Header"/>
      <w:jc w:val="right"/>
    </w:pPr>
    <w:fldSimple w:instr=" TITLE  \* MERGEFORMAT ">
      <w:r w:rsidR="009D5A79">
        <w:t>ECE/TRANS/WP.15/AC.2/2020/4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675796"/>
    <w:rsid w:val="0001207F"/>
    <w:rsid w:val="00017F94"/>
    <w:rsid w:val="00023842"/>
    <w:rsid w:val="000334F9"/>
    <w:rsid w:val="0004256C"/>
    <w:rsid w:val="0004639C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56B77"/>
    <w:rsid w:val="00176178"/>
    <w:rsid w:val="00177140"/>
    <w:rsid w:val="001D400F"/>
    <w:rsid w:val="001F525A"/>
    <w:rsid w:val="00223272"/>
    <w:rsid w:val="00240333"/>
    <w:rsid w:val="0024779E"/>
    <w:rsid w:val="002832AC"/>
    <w:rsid w:val="002D7C93"/>
    <w:rsid w:val="0037241C"/>
    <w:rsid w:val="003819FF"/>
    <w:rsid w:val="00441C3B"/>
    <w:rsid w:val="00446B0A"/>
    <w:rsid w:val="00446FE5"/>
    <w:rsid w:val="00452396"/>
    <w:rsid w:val="00471288"/>
    <w:rsid w:val="0049687C"/>
    <w:rsid w:val="004E468C"/>
    <w:rsid w:val="00521AB9"/>
    <w:rsid w:val="005316B0"/>
    <w:rsid w:val="0054180D"/>
    <w:rsid w:val="005505B7"/>
    <w:rsid w:val="00573BE5"/>
    <w:rsid w:val="00586ED3"/>
    <w:rsid w:val="00596AA9"/>
    <w:rsid w:val="005B4D0F"/>
    <w:rsid w:val="00675796"/>
    <w:rsid w:val="00703D0F"/>
    <w:rsid w:val="00706363"/>
    <w:rsid w:val="007158BB"/>
    <w:rsid w:val="0071601D"/>
    <w:rsid w:val="00741D59"/>
    <w:rsid w:val="0075410D"/>
    <w:rsid w:val="007A62E6"/>
    <w:rsid w:val="0080684C"/>
    <w:rsid w:val="008204DA"/>
    <w:rsid w:val="008535AD"/>
    <w:rsid w:val="00871C75"/>
    <w:rsid w:val="008767E8"/>
    <w:rsid w:val="008776DC"/>
    <w:rsid w:val="00883605"/>
    <w:rsid w:val="008D6AEE"/>
    <w:rsid w:val="008E6043"/>
    <w:rsid w:val="00960BA4"/>
    <w:rsid w:val="00961E7B"/>
    <w:rsid w:val="009705C8"/>
    <w:rsid w:val="009C1CF4"/>
    <w:rsid w:val="009D5A79"/>
    <w:rsid w:val="009F02C9"/>
    <w:rsid w:val="009F129E"/>
    <w:rsid w:val="009F40E4"/>
    <w:rsid w:val="00A30353"/>
    <w:rsid w:val="00A62D91"/>
    <w:rsid w:val="00A90D54"/>
    <w:rsid w:val="00AA113A"/>
    <w:rsid w:val="00AC3823"/>
    <w:rsid w:val="00AC733E"/>
    <w:rsid w:val="00AE323C"/>
    <w:rsid w:val="00AF774C"/>
    <w:rsid w:val="00B00181"/>
    <w:rsid w:val="00B00B0D"/>
    <w:rsid w:val="00B40927"/>
    <w:rsid w:val="00B50E25"/>
    <w:rsid w:val="00B64918"/>
    <w:rsid w:val="00B765F7"/>
    <w:rsid w:val="00BA0CA9"/>
    <w:rsid w:val="00C02897"/>
    <w:rsid w:val="00C1626B"/>
    <w:rsid w:val="00C66A47"/>
    <w:rsid w:val="00C7616F"/>
    <w:rsid w:val="00CB16B5"/>
    <w:rsid w:val="00CE0608"/>
    <w:rsid w:val="00D3439C"/>
    <w:rsid w:val="00D44CF3"/>
    <w:rsid w:val="00D46C8C"/>
    <w:rsid w:val="00DB1831"/>
    <w:rsid w:val="00DD3BFD"/>
    <w:rsid w:val="00DE239D"/>
    <w:rsid w:val="00DF431C"/>
    <w:rsid w:val="00DF6678"/>
    <w:rsid w:val="00E428C8"/>
    <w:rsid w:val="00E5453B"/>
    <w:rsid w:val="00EF2E22"/>
    <w:rsid w:val="00F0592C"/>
    <w:rsid w:val="00F06ED4"/>
    <w:rsid w:val="00F43289"/>
    <w:rsid w:val="00F660DF"/>
    <w:rsid w:val="00F95C08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400C6BB-52E5-4348-9033-D176E675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1111</TotalTime>
  <Pages>2</Pages>
  <Words>321</Words>
  <Characters>2135</Characters>
  <Application>Microsoft Office Word</Application>
  <DocSecurity>0</DocSecurity>
  <Lines>94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ECE/TRANS/WP.15/AC.2/2020/4</vt:lpstr>
      <vt:lpstr>ECE/EX/22</vt:lpstr>
    </vt:vector>
  </TitlesOfParts>
  <Company>DCM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ECE/TRANS/WP.15/AC.2/2020/4</dc:title>
  <dc:subject>FINAL</dc:subject>
  <dc:creator>Marie-Claude Collet</dc:creator>
  <cp:keywords/>
  <dc:description/>
  <cp:lastModifiedBy>Marie-Claude Collet</cp:lastModifiedBy>
  <cp:revision>8</cp:revision>
  <cp:lastPrinted>2019-11-07T14:07:00Z</cp:lastPrinted>
  <dcterms:created xsi:type="dcterms:W3CDTF">2019-10-23T08:18:00Z</dcterms:created>
  <dcterms:modified xsi:type="dcterms:W3CDTF">2019-11-07T14:09:00Z</dcterms:modified>
</cp:coreProperties>
</file>